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37CE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Name of Journal: </w:t>
      </w:r>
      <w:r w:rsidRPr="00565758">
        <w:rPr>
          <w:rFonts w:ascii="Book Antiqua" w:eastAsia="Book Antiqua" w:hAnsi="Book Antiqua" w:cs="Book Antiqua"/>
          <w:i/>
          <w:color w:val="000000" w:themeColor="text1"/>
        </w:rPr>
        <w:t>World Journal of Clinical Cases</w:t>
      </w:r>
    </w:p>
    <w:p w14:paraId="521AFEA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Manuscript NO: </w:t>
      </w:r>
      <w:r w:rsidRPr="00565758">
        <w:rPr>
          <w:rFonts w:ascii="Book Antiqua" w:eastAsia="Book Antiqua" w:hAnsi="Book Antiqua" w:cs="Book Antiqua"/>
          <w:color w:val="000000" w:themeColor="text1"/>
        </w:rPr>
        <w:t>59544</w:t>
      </w:r>
    </w:p>
    <w:p w14:paraId="70A960D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Manuscript Type: </w:t>
      </w:r>
      <w:r w:rsidRPr="00565758">
        <w:rPr>
          <w:rFonts w:ascii="Book Antiqua" w:eastAsia="Book Antiqua" w:hAnsi="Book Antiqua" w:cs="Book Antiqua"/>
          <w:color w:val="000000" w:themeColor="text1"/>
        </w:rPr>
        <w:t>CASE REPORT</w:t>
      </w:r>
    </w:p>
    <w:p w14:paraId="2CF49C61" w14:textId="77777777" w:rsidR="00A77B3E" w:rsidRPr="00565758" w:rsidRDefault="00A77B3E" w:rsidP="00565758">
      <w:pPr>
        <w:snapToGrid w:val="0"/>
        <w:spacing w:line="360" w:lineRule="auto"/>
        <w:jc w:val="both"/>
        <w:rPr>
          <w:color w:val="000000" w:themeColor="text1"/>
        </w:rPr>
      </w:pPr>
    </w:p>
    <w:p w14:paraId="3F1FF65A" w14:textId="30FE4BF3" w:rsidR="00A77B3E" w:rsidRPr="00565758" w:rsidRDefault="00C170C1"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R</w:t>
      </w:r>
      <w:r w:rsidR="00AD0EBB" w:rsidRPr="00565758">
        <w:rPr>
          <w:rFonts w:ascii="Book Antiqua" w:eastAsia="Book Antiqua" w:hAnsi="Book Antiqua" w:cs="Book Antiqua"/>
          <w:b/>
          <w:color w:val="000000" w:themeColor="text1"/>
        </w:rPr>
        <w:t>are case of drain-site hernia after laparoscopic surgery and a novel strategy of prevention: A case report</w:t>
      </w:r>
    </w:p>
    <w:p w14:paraId="483AAE9D" w14:textId="77777777" w:rsidR="00A77B3E" w:rsidRPr="00565758" w:rsidRDefault="00A77B3E" w:rsidP="00565758">
      <w:pPr>
        <w:snapToGrid w:val="0"/>
        <w:spacing w:line="360" w:lineRule="auto"/>
        <w:jc w:val="both"/>
        <w:rPr>
          <w:color w:val="000000" w:themeColor="text1"/>
        </w:rPr>
      </w:pPr>
    </w:p>
    <w:p w14:paraId="0E49A7A9" w14:textId="1F4EC040" w:rsidR="00A77B3E" w:rsidRPr="00565758" w:rsidRDefault="00C170C1"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Gao X</w:t>
      </w:r>
      <w:r w:rsidRPr="00565758">
        <w:rPr>
          <w:rFonts w:ascii="Book Antiqua" w:eastAsia="Book Antiqua" w:hAnsi="Book Antiqua" w:cs="Book Antiqua"/>
          <w:i/>
          <w:iCs/>
          <w:color w:val="000000" w:themeColor="text1"/>
        </w:rPr>
        <w:t xml:space="preserve"> et al</w:t>
      </w:r>
      <w:r w:rsidRPr="00565758">
        <w:rPr>
          <w:rFonts w:ascii="Book Antiqua" w:eastAsia="Book Antiqua" w:hAnsi="Book Antiqua" w:cs="Book Antiqua"/>
          <w:color w:val="000000" w:themeColor="text1"/>
        </w:rPr>
        <w:t>. R</w:t>
      </w:r>
      <w:r w:rsidR="00AD0EBB" w:rsidRPr="00565758">
        <w:rPr>
          <w:rFonts w:ascii="Book Antiqua" w:eastAsia="Book Antiqua" w:hAnsi="Book Antiqua" w:cs="Book Antiqua"/>
          <w:color w:val="000000" w:themeColor="text1"/>
        </w:rPr>
        <w:t xml:space="preserve">are case of drain-site </w:t>
      </w:r>
      <w:r w:rsidRPr="00565758">
        <w:rPr>
          <w:rFonts w:ascii="Book Antiqua" w:eastAsia="Book Antiqua" w:hAnsi="Book Antiqua" w:cs="Book Antiqua"/>
          <w:color w:val="000000" w:themeColor="text1"/>
        </w:rPr>
        <w:t>TSH</w:t>
      </w:r>
    </w:p>
    <w:p w14:paraId="3AB1C414" w14:textId="77777777" w:rsidR="00A77B3E" w:rsidRPr="00565758" w:rsidRDefault="00A77B3E" w:rsidP="00565758">
      <w:pPr>
        <w:snapToGrid w:val="0"/>
        <w:spacing w:line="360" w:lineRule="auto"/>
        <w:jc w:val="both"/>
        <w:rPr>
          <w:color w:val="000000" w:themeColor="text1"/>
        </w:rPr>
      </w:pPr>
    </w:p>
    <w:p w14:paraId="50BC0A42" w14:textId="3E68A649"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Xiang Gao, Qun Chen, Cun Wang, Yong-Yang Yu, Lie Yang, Zong-Guang Zhou</w:t>
      </w:r>
    </w:p>
    <w:p w14:paraId="58E25B65" w14:textId="77777777" w:rsidR="00A77B3E" w:rsidRPr="00565758" w:rsidRDefault="00A77B3E" w:rsidP="00565758">
      <w:pPr>
        <w:snapToGrid w:val="0"/>
        <w:spacing w:line="360" w:lineRule="auto"/>
        <w:jc w:val="both"/>
        <w:rPr>
          <w:color w:val="000000" w:themeColor="text1"/>
        </w:rPr>
      </w:pPr>
    </w:p>
    <w:p w14:paraId="7ED90E39" w14:textId="4FC005B4"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Xiang Gao, Cun Wang, Yong-Yang Yu, Lie Yang, Zong-Guang Zhou, </w:t>
      </w:r>
      <w:r w:rsidRPr="00565758">
        <w:rPr>
          <w:rFonts w:ascii="Book Antiqua" w:eastAsia="Book Antiqua" w:hAnsi="Book Antiqua" w:cs="Book Antiqua"/>
          <w:color w:val="000000" w:themeColor="text1"/>
        </w:rPr>
        <w:t>Institute of Digestive Surgery, Sichuan University, Department of Gastrointestinal Surgery,</w:t>
      </w:r>
      <w:r w:rsidR="0070540D"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West China Hospital, West China School of Medicine, Sichuan University, Chengdu 610041, Sichuan Province, China</w:t>
      </w:r>
    </w:p>
    <w:p w14:paraId="6803AD6C" w14:textId="77777777" w:rsidR="00A77B3E" w:rsidRPr="00565758" w:rsidRDefault="00A77B3E" w:rsidP="00565758">
      <w:pPr>
        <w:snapToGrid w:val="0"/>
        <w:spacing w:line="360" w:lineRule="auto"/>
        <w:jc w:val="both"/>
        <w:rPr>
          <w:color w:val="000000" w:themeColor="text1"/>
        </w:rPr>
      </w:pPr>
    </w:p>
    <w:p w14:paraId="7020E6D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Qun Chen, </w:t>
      </w:r>
      <w:r w:rsidRPr="00565758">
        <w:rPr>
          <w:rFonts w:ascii="Book Antiqua" w:eastAsia="Book Antiqua" w:hAnsi="Book Antiqua" w:cs="Book Antiqua"/>
          <w:color w:val="000000" w:themeColor="text1"/>
        </w:rPr>
        <w:t>Department of Central Transportation, West China School of Nursing, Sichuan University, Chendu 610041, Sichuan Province, China</w:t>
      </w:r>
    </w:p>
    <w:p w14:paraId="3945BC4C" w14:textId="77777777" w:rsidR="00A77B3E" w:rsidRPr="00565758" w:rsidRDefault="00A77B3E" w:rsidP="00565758">
      <w:pPr>
        <w:snapToGrid w:val="0"/>
        <w:spacing w:line="360" w:lineRule="auto"/>
        <w:jc w:val="both"/>
        <w:rPr>
          <w:color w:val="000000" w:themeColor="text1"/>
        </w:rPr>
      </w:pPr>
    </w:p>
    <w:p w14:paraId="43558DF2" w14:textId="7523C6B0"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Author contributions: </w:t>
      </w:r>
      <w:r w:rsidRPr="00565758">
        <w:rPr>
          <w:rFonts w:ascii="Book Antiqua" w:eastAsia="Book Antiqua" w:hAnsi="Book Antiqua" w:cs="Book Antiqua"/>
          <w:color w:val="000000" w:themeColor="text1"/>
        </w:rPr>
        <w:t xml:space="preserve">Gao </w:t>
      </w:r>
      <w:r w:rsidR="00C170C1" w:rsidRPr="00565758">
        <w:rPr>
          <w:rFonts w:ascii="Book Antiqua" w:eastAsia="Book Antiqua" w:hAnsi="Book Antiqua" w:cs="Book Antiqua"/>
          <w:color w:val="000000" w:themeColor="text1"/>
        </w:rPr>
        <w:t xml:space="preserve">X </w:t>
      </w:r>
      <w:r w:rsidRPr="00565758">
        <w:rPr>
          <w:rFonts w:ascii="Book Antiqua" w:eastAsia="Book Antiqua" w:hAnsi="Book Antiqua" w:cs="Book Antiqua"/>
          <w:color w:val="000000" w:themeColor="text1"/>
        </w:rPr>
        <w:t xml:space="preserve">and Chen </w:t>
      </w:r>
      <w:r w:rsidR="00C170C1" w:rsidRPr="00565758">
        <w:rPr>
          <w:rFonts w:ascii="Book Antiqua" w:eastAsia="Book Antiqua" w:hAnsi="Book Antiqua" w:cs="Book Antiqua"/>
          <w:color w:val="000000" w:themeColor="text1"/>
        </w:rPr>
        <w:t xml:space="preserve">Q </w:t>
      </w:r>
      <w:r w:rsidRPr="00565758">
        <w:rPr>
          <w:rFonts w:ascii="Book Antiqua" w:eastAsia="Book Antiqua" w:hAnsi="Book Antiqua" w:cs="Book Antiqua"/>
          <w:color w:val="000000" w:themeColor="text1"/>
        </w:rPr>
        <w:t>contributed equally to this work; Gao</w:t>
      </w:r>
      <w:r w:rsidR="00C170C1" w:rsidRPr="00565758">
        <w:rPr>
          <w:rFonts w:ascii="Book Antiqua" w:eastAsia="Book Antiqua" w:hAnsi="Book Antiqua" w:cs="Book Antiqua"/>
          <w:color w:val="000000" w:themeColor="text1"/>
        </w:rPr>
        <w:t xml:space="preserve"> X</w:t>
      </w:r>
      <w:r w:rsidRPr="00565758">
        <w:rPr>
          <w:rFonts w:ascii="Book Antiqua" w:eastAsia="Book Antiqua" w:hAnsi="Book Antiqua" w:cs="Book Antiqua"/>
          <w:color w:val="000000" w:themeColor="text1"/>
        </w:rPr>
        <w:t>, Chen</w:t>
      </w:r>
      <w:r w:rsidR="00C170C1" w:rsidRPr="00565758">
        <w:rPr>
          <w:rFonts w:ascii="Book Antiqua" w:eastAsia="Book Antiqua" w:hAnsi="Book Antiqua" w:cs="Book Antiqua"/>
          <w:color w:val="000000" w:themeColor="text1"/>
        </w:rPr>
        <w:t xml:space="preserve"> Q</w:t>
      </w:r>
      <w:r w:rsidR="0092695C" w:rsidRPr="00565758">
        <w:rPr>
          <w:rFonts w:ascii="Book Antiqua" w:eastAsia="Book Antiqua" w:hAnsi="Book Antiqua" w:cs="Book Antiqua"/>
          <w:color w:val="000000" w:themeColor="text1"/>
        </w:rPr>
        <w:t>,</w:t>
      </w:r>
      <w:r w:rsidR="00C170C1"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 xml:space="preserve">and Yang </w:t>
      </w:r>
      <w:r w:rsidR="00C170C1" w:rsidRPr="00565758">
        <w:rPr>
          <w:rFonts w:ascii="Book Antiqua" w:eastAsia="Book Antiqua" w:hAnsi="Book Antiqua" w:cs="Book Antiqua"/>
          <w:color w:val="000000" w:themeColor="text1"/>
        </w:rPr>
        <w:t xml:space="preserve">L </w:t>
      </w:r>
      <w:r w:rsidR="0092695C" w:rsidRPr="00565758">
        <w:rPr>
          <w:rFonts w:ascii="Book Antiqua" w:eastAsia="Book Antiqua" w:hAnsi="Book Antiqua" w:cs="Book Antiqua"/>
          <w:color w:val="000000" w:themeColor="text1"/>
        </w:rPr>
        <w:t>conceived and designed the study and acquired and interpreted the</w:t>
      </w:r>
      <w:r w:rsidRPr="00565758">
        <w:rPr>
          <w:rFonts w:ascii="Book Antiqua" w:eastAsia="Book Antiqua" w:hAnsi="Book Antiqua" w:cs="Book Antiqua"/>
          <w:color w:val="000000" w:themeColor="text1"/>
        </w:rPr>
        <w:t xml:space="preserve"> data; Gao</w:t>
      </w:r>
      <w:r w:rsidR="00C170C1" w:rsidRPr="00565758">
        <w:rPr>
          <w:rFonts w:ascii="Book Antiqua" w:eastAsia="Book Antiqua" w:hAnsi="Book Antiqua" w:cs="Book Antiqua"/>
          <w:color w:val="000000" w:themeColor="text1"/>
        </w:rPr>
        <w:t xml:space="preserve"> X</w:t>
      </w:r>
      <w:r w:rsidRPr="00565758">
        <w:rPr>
          <w:rFonts w:ascii="Book Antiqua" w:eastAsia="Book Antiqua" w:hAnsi="Book Antiqua" w:cs="Book Antiqua"/>
          <w:color w:val="000000" w:themeColor="text1"/>
        </w:rPr>
        <w:t>, Chen</w:t>
      </w:r>
      <w:r w:rsidR="00C170C1" w:rsidRPr="00565758">
        <w:rPr>
          <w:rFonts w:ascii="Book Antiqua" w:eastAsia="Book Antiqua" w:hAnsi="Book Antiqua" w:cs="Book Antiqua"/>
          <w:color w:val="000000" w:themeColor="text1"/>
        </w:rPr>
        <w:t xml:space="preserve"> Q</w:t>
      </w:r>
      <w:r w:rsidRPr="00565758">
        <w:rPr>
          <w:rFonts w:ascii="Book Antiqua" w:eastAsia="Book Antiqua" w:hAnsi="Book Antiqua" w:cs="Book Antiqua"/>
          <w:color w:val="000000" w:themeColor="text1"/>
        </w:rPr>
        <w:t>, Wang</w:t>
      </w:r>
      <w:r w:rsidR="00C170C1" w:rsidRPr="00565758">
        <w:rPr>
          <w:rFonts w:ascii="Book Antiqua" w:eastAsia="Book Antiqua" w:hAnsi="Book Antiqua" w:cs="Book Antiqua"/>
          <w:color w:val="000000" w:themeColor="text1"/>
        </w:rPr>
        <w:t xml:space="preserve"> C</w:t>
      </w:r>
      <w:r w:rsidR="0092695C" w:rsidRPr="00565758">
        <w:rPr>
          <w:rFonts w:ascii="Book Antiqua" w:eastAsia="Book Antiqua" w:hAnsi="Book Antiqua" w:cs="Book Antiqua"/>
          <w:color w:val="000000" w:themeColor="text1"/>
        </w:rPr>
        <w:t>,</w:t>
      </w:r>
      <w:r w:rsidR="00C170C1"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 xml:space="preserve">and Yu </w:t>
      </w:r>
      <w:r w:rsidR="00C170C1" w:rsidRPr="00565758">
        <w:rPr>
          <w:rFonts w:ascii="Book Antiqua" w:eastAsia="Book Antiqua" w:hAnsi="Book Antiqua" w:cs="Book Antiqua"/>
          <w:color w:val="000000" w:themeColor="text1"/>
        </w:rPr>
        <w:t xml:space="preserve">YY </w:t>
      </w:r>
      <w:r w:rsidR="0092695C" w:rsidRPr="00565758">
        <w:rPr>
          <w:rFonts w:ascii="Book Antiqua" w:eastAsia="Book Antiqua" w:hAnsi="Book Antiqua" w:cs="Book Antiqua"/>
          <w:color w:val="000000" w:themeColor="text1"/>
        </w:rPr>
        <w:t>drafted</w:t>
      </w:r>
      <w:r w:rsidRPr="00565758">
        <w:rPr>
          <w:rFonts w:ascii="Book Antiqua" w:eastAsia="Book Antiqua" w:hAnsi="Book Antiqua" w:cs="Book Antiqua"/>
          <w:color w:val="000000" w:themeColor="text1"/>
        </w:rPr>
        <w:t xml:space="preserve"> the article; Yang </w:t>
      </w:r>
      <w:r w:rsidR="00C170C1" w:rsidRPr="00565758">
        <w:rPr>
          <w:rFonts w:ascii="Book Antiqua" w:eastAsia="Book Antiqua" w:hAnsi="Book Antiqua" w:cs="Book Antiqua"/>
          <w:color w:val="000000" w:themeColor="text1"/>
        </w:rPr>
        <w:t xml:space="preserve">L </w:t>
      </w:r>
      <w:r w:rsidRPr="00565758">
        <w:rPr>
          <w:rFonts w:ascii="Book Antiqua" w:eastAsia="Book Antiqua" w:hAnsi="Book Antiqua" w:cs="Book Antiqua"/>
          <w:color w:val="000000" w:themeColor="text1"/>
        </w:rPr>
        <w:t xml:space="preserve">and Zhou </w:t>
      </w:r>
      <w:r w:rsidR="00C170C1" w:rsidRPr="00565758">
        <w:rPr>
          <w:rFonts w:ascii="Book Antiqua" w:eastAsia="Book Antiqua" w:hAnsi="Book Antiqua" w:cs="Book Antiqua"/>
          <w:color w:val="000000" w:themeColor="text1"/>
        </w:rPr>
        <w:t xml:space="preserve">ZG </w:t>
      </w:r>
      <w:r w:rsidR="0092695C" w:rsidRPr="00565758">
        <w:rPr>
          <w:rFonts w:ascii="Book Antiqua" w:eastAsia="Book Antiqua" w:hAnsi="Book Antiqua" w:cs="Book Antiqua"/>
          <w:color w:val="000000" w:themeColor="text1"/>
        </w:rPr>
        <w:t>revised the article for</w:t>
      </w:r>
      <w:r w:rsidRPr="00565758">
        <w:rPr>
          <w:rFonts w:ascii="Book Antiqua" w:eastAsia="Book Antiqua" w:hAnsi="Book Antiqua" w:cs="Book Antiqua"/>
          <w:color w:val="000000" w:themeColor="text1"/>
        </w:rPr>
        <w:t xml:space="preserve"> important intellectual content; </w:t>
      </w:r>
      <w:r w:rsidR="00747048">
        <w:rPr>
          <w:rFonts w:ascii="Book Antiqua" w:eastAsia="Book Antiqua" w:hAnsi="Book Antiqua" w:cs="Book Antiqua"/>
          <w:color w:val="000000" w:themeColor="text1"/>
        </w:rPr>
        <w:t>A</w:t>
      </w:r>
      <w:r w:rsidRPr="00565758">
        <w:rPr>
          <w:rFonts w:ascii="Book Antiqua" w:eastAsia="Book Antiqua" w:hAnsi="Book Antiqua" w:cs="Book Antiqua"/>
          <w:color w:val="000000" w:themeColor="text1"/>
        </w:rPr>
        <w:t>ll authors gave final approval of the version to be published.</w:t>
      </w:r>
    </w:p>
    <w:p w14:paraId="44334AB1" w14:textId="77777777" w:rsidR="00A77B3E" w:rsidRPr="00565758" w:rsidRDefault="00A77B3E" w:rsidP="00565758">
      <w:pPr>
        <w:snapToGrid w:val="0"/>
        <w:spacing w:line="360" w:lineRule="auto"/>
        <w:jc w:val="both"/>
        <w:rPr>
          <w:color w:val="000000" w:themeColor="text1"/>
        </w:rPr>
      </w:pPr>
    </w:p>
    <w:p w14:paraId="7EC5309A" w14:textId="4D8EB8AB"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Supported by </w:t>
      </w:r>
      <w:r w:rsidRPr="00565758">
        <w:rPr>
          <w:rFonts w:ascii="Book Antiqua" w:eastAsia="Book Antiqua" w:hAnsi="Book Antiqua" w:cs="Book Antiqua"/>
          <w:color w:val="000000" w:themeColor="text1"/>
        </w:rPr>
        <w:t>National Key Research and Development Program of China</w:t>
      </w:r>
      <w:r w:rsidR="0070540D"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w:t>
      </w:r>
      <w:r w:rsidR="0070540D" w:rsidRPr="00565758">
        <w:rPr>
          <w:rFonts w:ascii="Book Antiqua" w:eastAsia="Book Antiqua" w:hAnsi="Book Antiqua" w:cs="Book Antiqua"/>
          <w:color w:val="000000" w:themeColor="text1"/>
        </w:rPr>
        <w:t>No.</w:t>
      </w:r>
      <w:r w:rsidRPr="00565758">
        <w:rPr>
          <w:rFonts w:ascii="Book Antiqua" w:eastAsia="Book Antiqua" w:hAnsi="Book Antiqua" w:cs="Book Antiqua"/>
          <w:color w:val="000000" w:themeColor="text1"/>
        </w:rPr>
        <w:t xml:space="preserve"> 2016YFC0906000.</w:t>
      </w:r>
    </w:p>
    <w:p w14:paraId="6DE68F02" w14:textId="77777777" w:rsidR="00A77B3E" w:rsidRPr="00565758" w:rsidRDefault="00A77B3E" w:rsidP="00565758">
      <w:pPr>
        <w:snapToGrid w:val="0"/>
        <w:spacing w:line="360" w:lineRule="auto"/>
        <w:jc w:val="both"/>
        <w:rPr>
          <w:color w:val="000000" w:themeColor="text1"/>
        </w:rPr>
      </w:pPr>
    </w:p>
    <w:p w14:paraId="410944B9" w14:textId="7C20E54A"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lastRenderedPageBreak/>
        <w:t xml:space="preserve">Corresponding author: Zong-Guang Zhou, FACS, Director, </w:t>
      </w:r>
      <w:r w:rsidRPr="00565758">
        <w:rPr>
          <w:rFonts w:ascii="Book Antiqua" w:eastAsia="Book Antiqua" w:hAnsi="Book Antiqua" w:cs="Book Antiqua"/>
          <w:color w:val="000000" w:themeColor="text1"/>
        </w:rPr>
        <w:t>Institute of Digestive Surgery, Sichuan University, Department of Gastrointestinal Surgery,</w:t>
      </w:r>
      <w:r w:rsidR="0070540D"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West China Hospital, West China School of Medicine, Sichuan University, No.</w:t>
      </w:r>
      <w:r w:rsidR="006E6D6B"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37 Guo</w:t>
      </w:r>
      <w:r w:rsidR="0070540D" w:rsidRPr="00565758">
        <w:rPr>
          <w:rFonts w:ascii="Book Antiqua" w:eastAsia="Book Antiqua" w:hAnsi="Book Antiqua" w:cs="Book Antiqua"/>
          <w:color w:val="000000" w:themeColor="text1"/>
        </w:rPr>
        <w:t>x</w:t>
      </w:r>
      <w:r w:rsidRPr="00565758">
        <w:rPr>
          <w:rFonts w:ascii="Book Antiqua" w:eastAsia="Book Antiqua" w:hAnsi="Book Antiqua" w:cs="Book Antiqua"/>
          <w:color w:val="000000" w:themeColor="text1"/>
        </w:rPr>
        <w:t>ue Xiang, Chengdu 610041, Sichuan Province, China. zhou767@163.com</w:t>
      </w:r>
    </w:p>
    <w:p w14:paraId="1B9E56EF" w14:textId="77777777" w:rsidR="00A77B3E" w:rsidRPr="00565758" w:rsidRDefault="00A77B3E" w:rsidP="00565758">
      <w:pPr>
        <w:snapToGrid w:val="0"/>
        <w:spacing w:line="360" w:lineRule="auto"/>
        <w:jc w:val="both"/>
        <w:rPr>
          <w:color w:val="000000" w:themeColor="text1"/>
        </w:rPr>
      </w:pPr>
    </w:p>
    <w:p w14:paraId="2479CD9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Received: </w:t>
      </w:r>
      <w:r w:rsidRPr="00565758">
        <w:rPr>
          <w:rFonts w:ascii="Book Antiqua" w:eastAsia="Book Antiqua" w:hAnsi="Book Antiqua" w:cs="Book Antiqua"/>
          <w:color w:val="000000" w:themeColor="text1"/>
        </w:rPr>
        <w:t>September 20, 2020</w:t>
      </w:r>
    </w:p>
    <w:p w14:paraId="6FD1E21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Revised: </w:t>
      </w:r>
      <w:r w:rsidRPr="00565758">
        <w:rPr>
          <w:rFonts w:ascii="Book Antiqua" w:eastAsia="Book Antiqua" w:hAnsi="Book Antiqua" w:cs="Book Antiqua"/>
          <w:color w:val="000000" w:themeColor="text1"/>
        </w:rPr>
        <w:t>October 14, 2020</w:t>
      </w:r>
    </w:p>
    <w:p w14:paraId="61DC69D2" w14:textId="5E98412F"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Accepted:</w:t>
      </w:r>
      <w:r w:rsidR="003D6427" w:rsidRPr="00565758">
        <w:rPr>
          <w:color w:val="000000" w:themeColor="text1"/>
        </w:rPr>
        <w:t xml:space="preserve"> </w:t>
      </w:r>
      <w:r w:rsidR="003D6427" w:rsidRPr="00565758">
        <w:rPr>
          <w:rFonts w:ascii="Book Antiqua" w:eastAsia="Book Antiqua" w:hAnsi="Book Antiqua" w:cs="Book Antiqua"/>
          <w:color w:val="000000" w:themeColor="text1"/>
        </w:rPr>
        <w:t>November 2, 2020</w:t>
      </w:r>
      <w:r w:rsidRPr="00565758">
        <w:rPr>
          <w:rFonts w:ascii="Book Antiqua" w:eastAsia="Book Antiqua" w:hAnsi="Book Antiqua" w:cs="Book Antiqua"/>
          <w:color w:val="000000" w:themeColor="text1"/>
        </w:rPr>
        <w:t xml:space="preserve"> </w:t>
      </w:r>
    </w:p>
    <w:p w14:paraId="5FD47DB8" w14:textId="764D0EB4" w:rsidR="00A77B3E" w:rsidRPr="003B240D" w:rsidRDefault="00AD0EBB" w:rsidP="00565758">
      <w:pPr>
        <w:snapToGrid w:val="0"/>
        <w:spacing w:line="360" w:lineRule="auto"/>
        <w:jc w:val="both"/>
        <w:rPr>
          <w:color w:val="000000" w:themeColor="text1"/>
          <w:lang w:eastAsia="zh-CN"/>
        </w:rPr>
      </w:pPr>
      <w:r w:rsidRPr="00565758">
        <w:rPr>
          <w:rFonts w:ascii="Book Antiqua" w:eastAsia="Book Antiqua" w:hAnsi="Book Antiqua" w:cs="Book Antiqua"/>
          <w:b/>
          <w:bCs/>
          <w:color w:val="000000" w:themeColor="text1"/>
        </w:rPr>
        <w:t xml:space="preserve">Published online: </w:t>
      </w:r>
      <w:r w:rsidR="007A6A35" w:rsidRPr="003B240D">
        <w:rPr>
          <w:rFonts w:ascii="Book Antiqua" w:hAnsi="Book Antiqua" w:cs="Book Antiqua" w:hint="eastAsia"/>
          <w:bCs/>
          <w:color w:val="000000" w:themeColor="text1"/>
          <w:lang w:eastAsia="zh-CN"/>
        </w:rPr>
        <w:t>D</w:t>
      </w:r>
      <w:r w:rsidR="003B240D" w:rsidRPr="003B240D">
        <w:rPr>
          <w:rFonts w:ascii="Book Antiqua" w:hAnsi="Book Antiqua" w:cs="Book Antiqua" w:hint="eastAsia"/>
          <w:bCs/>
          <w:color w:val="000000" w:themeColor="text1"/>
          <w:lang w:eastAsia="zh-CN"/>
        </w:rPr>
        <w:t>ecember 26, 2020</w:t>
      </w:r>
    </w:p>
    <w:p w14:paraId="75E7F347" w14:textId="77777777" w:rsidR="00A8594A" w:rsidRPr="00565758" w:rsidRDefault="00A8594A" w:rsidP="00565758">
      <w:pPr>
        <w:snapToGrid w:val="0"/>
        <w:spacing w:line="360" w:lineRule="auto"/>
        <w:jc w:val="both"/>
        <w:rPr>
          <w:color w:val="000000" w:themeColor="text1"/>
        </w:rPr>
        <w:sectPr w:rsidR="00A8594A" w:rsidRPr="00565758">
          <w:footerReference w:type="default" r:id="rId8"/>
          <w:pgSz w:w="12240" w:h="15840"/>
          <w:pgMar w:top="1440" w:right="1440" w:bottom="1440" w:left="1440" w:header="720" w:footer="720" w:gutter="0"/>
          <w:cols w:space="720"/>
          <w:docGrid w:linePitch="360"/>
        </w:sectPr>
      </w:pPr>
    </w:p>
    <w:p w14:paraId="5E6CD929"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Abstract</w:t>
      </w:r>
    </w:p>
    <w:p w14:paraId="10D3E92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BACKGROUND</w:t>
      </w:r>
    </w:p>
    <w:p w14:paraId="2CA4BFFC" w14:textId="6BBC7A11"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Trocar site hernia (TSH) is a rare but potentially dangerous complication of laparoscopic surgery, and the drain-site TSH is an even rarer type. Due to the difficulty </w:t>
      </w:r>
      <w:r w:rsidR="00B1010F" w:rsidRPr="00565758">
        <w:rPr>
          <w:rFonts w:ascii="Book Antiqua" w:eastAsia="Book Antiqua" w:hAnsi="Book Antiqua" w:cs="Book Antiqua"/>
          <w:color w:val="000000" w:themeColor="text1"/>
        </w:rPr>
        <w:t>to diagnose</w:t>
      </w:r>
      <w:r w:rsidRPr="00565758">
        <w:rPr>
          <w:rFonts w:ascii="Book Antiqua" w:eastAsia="Book Antiqua" w:hAnsi="Book Antiqua" w:cs="Book Antiqua"/>
          <w:color w:val="000000" w:themeColor="text1"/>
        </w:rPr>
        <w:t xml:space="preserve"> at early stages, TSH often leads to a delay in surgical intervention and eventually results in life-threatening consequences. Herein, we report an unusual case of drain-site TSH, followed by a brief literature review. Finally, we provide a novel, simple, and practical method of prevention.</w:t>
      </w:r>
    </w:p>
    <w:p w14:paraId="4765E436" w14:textId="77777777" w:rsidR="00A77B3E" w:rsidRPr="00565758" w:rsidRDefault="00A77B3E" w:rsidP="00565758">
      <w:pPr>
        <w:snapToGrid w:val="0"/>
        <w:spacing w:line="360" w:lineRule="auto"/>
        <w:jc w:val="both"/>
        <w:rPr>
          <w:color w:val="000000" w:themeColor="text1"/>
        </w:rPr>
      </w:pPr>
    </w:p>
    <w:p w14:paraId="2AF0D84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CASE SUMMARY</w:t>
      </w:r>
    </w:p>
    <w:p w14:paraId="74A56AB6" w14:textId="17AE8B11"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A 54-year-old female patient underwent laparoscopic subtotal hysterectomy and bilateral adnexectomy for uterine fibroids </w:t>
      </w:r>
      <w:r w:rsidR="00B1010F" w:rsidRPr="00565758">
        <w:rPr>
          <w:rFonts w:ascii="Book Antiqua" w:eastAsia="Book Antiqua" w:hAnsi="Book Antiqua" w:cs="Book Antiqua"/>
          <w:color w:val="000000" w:themeColor="text1"/>
        </w:rPr>
        <w:t>8 d</w:t>
      </w:r>
      <w:r w:rsidRPr="00565758">
        <w:rPr>
          <w:rFonts w:ascii="Book Antiqua" w:eastAsia="Book Antiqua" w:hAnsi="Book Antiqua" w:cs="Book Antiqua"/>
          <w:color w:val="000000" w:themeColor="text1"/>
        </w:rPr>
        <w:t xml:space="preserve"> ago in another hospital. She was admitted to our hospital with a 2-d history of intermittent abdominal pain, nausea, vomiting, and abdominal enlargement with an inability to pass stool and flatus. The emergency computed tomography scan revealed the small bowel herniated through a 10 mm trocar incision, which was used as a drainage port, with diffuse bowel distension and multiple air-fluid levels with gas in the small intestines. She was diagnosed with drain-site strangulated TSH. The emergency exploratory laparotomy confirmed the diagnosis. </w:t>
      </w:r>
      <w:r w:rsidR="00B1010F" w:rsidRPr="00565758">
        <w:rPr>
          <w:rFonts w:ascii="Book Antiqua" w:eastAsia="Book Antiqua" w:hAnsi="Book Antiqua" w:cs="Book Antiqua"/>
          <w:color w:val="000000" w:themeColor="text1"/>
        </w:rPr>
        <w:t xml:space="preserve">A </w:t>
      </w:r>
      <w:r w:rsidRPr="00565758">
        <w:rPr>
          <w:rFonts w:ascii="Book Antiqua" w:eastAsia="Book Antiqua" w:hAnsi="Book Antiqua" w:cs="Book Antiqua"/>
          <w:color w:val="000000" w:themeColor="text1"/>
        </w:rPr>
        <w:t xml:space="preserve">herniorrhaphy followed by standard intestinal resection and anastomosis were performed. The patient recovered well after the operation and was discharged on postoperative day </w:t>
      </w:r>
      <w:r w:rsidR="00B1010F" w:rsidRPr="00565758">
        <w:rPr>
          <w:rFonts w:ascii="Book Antiqua" w:eastAsia="Book Antiqua" w:hAnsi="Book Antiqua" w:cs="Book Antiqua"/>
          <w:color w:val="000000" w:themeColor="text1"/>
        </w:rPr>
        <w:t xml:space="preserve">8 </w:t>
      </w:r>
      <w:r w:rsidRPr="00565758">
        <w:rPr>
          <w:rFonts w:ascii="Book Antiqua" w:eastAsia="Book Antiqua" w:hAnsi="Book Antiqua" w:cs="Book Antiqua"/>
          <w:color w:val="000000" w:themeColor="text1"/>
        </w:rPr>
        <w:t>and had no postoperative complications at her 2-wk follow-up visit.</w:t>
      </w:r>
    </w:p>
    <w:p w14:paraId="08FBC94C" w14:textId="77777777" w:rsidR="00A77B3E" w:rsidRPr="00565758" w:rsidRDefault="00A77B3E" w:rsidP="00565758">
      <w:pPr>
        <w:snapToGrid w:val="0"/>
        <w:spacing w:line="360" w:lineRule="auto"/>
        <w:jc w:val="both"/>
        <w:rPr>
          <w:color w:val="000000" w:themeColor="text1"/>
        </w:rPr>
      </w:pPr>
    </w:p>
    <w:p w14:paraId="3E6621C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CONCLUSION</w:t>
      </w:r>
    </w:p>
    <w:p w14:paraId="6F2ABFD5"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TSH must be kept in mind during the differential diagnosis of post-laparoscopic obstruction, especially after the removal of the drainage tube, to avoid the serious consequences caused by delayed diagnosis. Furthermore, all abdomen layers should be carefully closed under direct vision at the trocar port site, especially where the drainage tube was placed. Our simple and practical method of prevention may be a novel strategy worthy of clinical promotion.</w:t>
      </w:r>
    </w:p>
    <w:p w14:paraId="560E47D6" w14:textId="77777777" w:rsidR="00A77B3E" w:rsidRPr="00565758" w:rsidRDefault="00A77B3E" w:rsidP="00565758">
      <w:pPr>
        <w:snapToGrid w:val="0"/>
        <w:spacing w:line="360" w:lineRule="auto"/>
        <w:jc w:val="both"/>
        <w:rPr>
          <w:color w:val="000000" w:themeColor="text1"/>
        </w:rPr>
      </w:pPr>
    </w:p>
    <w:p w14:paraId="7CE6C78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Key Words: </w:t>
      </w:r>
      <w:r w:rsidRPr="00565758">
        <w:rPr>
          <w:rFonts w:ascii="Book Antiqua" w:eastAsia="Book Antiqua" w:hAnsi="Book Antiqua" w:cs="Book Antiqua"/>
          <w:color w:val="000000" w:themeColor="text1"/>
        </w:rPr>
        <w:t>General surgery; Laparoscopic surgery; Trocar site hernia; Innovation; Case report; Postoperative complications</w:t>
      </w:r>
    </w:p>
    <w:p w14:paraId="3C80E693" w14:textId="77777777" w:rsidR="00A77B3E" w:rsidRPr="00565758" w:rsidRDefault="00A77B3E" w:rsidP="00565758">
      <w:pPr>
        <w:snapToGrid w:val="0"/>
        <w:spacing w:line="360" w:lineRule="auto"/>
        <w:jc w:val="both"/>
        <w:rPr>
          <w:color w:val="000000" w:themeColor="text1"/>
        </w:rPr>
      </w:pPr>
    </w:p>
    <w:p w14:paraId="7D9C9602" w14:textId="41A9F080" w:rsidR="00B2351E" w:rsidRDefault="0080640C" w:rsidP="00565758">
      <w:pPr>
        <w:snapToGrid w:val="0"/>
        <w:spacing w:line="360" w:lineRule="auto"/>
        <w:jc w:val="both"/>
        <w:rPr>
          <w:rFonts w:ascii="Book Antiqua" w:hAnsi="Book Antiqua" w:cs="Book Antiqua" w:hint="eastAsia"/>
          <w:color w:val="000000" w:themeColor="text1"/>
          <w:lang w:eastAsia="zh-CN"/>
        </w:rPr>
      </w:pPr>
      <w:r w:rsidRPr="0080640C">
        <w:rPr>
          <w:rFonts w:ascii="Book Antiqua" w:hAnsi="Book Antiqua" w:cs="Book Antiqua" w:hint="eastAsia"/>
          <w:b/>
          <w:color w:val="000000" w:themeColor="text1"/>
          <w:lang w:eastAsia="zh-CN"/>
        </w:rPr>
        <w:t xml:space="preserve">Citation: </w:t>
      </w:r>
      <w:r w:rsidR="00AD0EBB" w:rsidRPr="00565758">
        <w:rPr>
          <w:rFonts w:ascii="Book Antiqua" w:eastAsia="Book Antiqua" w:hAnsi="Book Antiqua" w:cs="Book Antiqua"/>
          <w:color w:val="000000" w:themeColor="text1"/>
        </w:rPr>
        <w:t xml:space="preserve">Gao X, Chen Q, Wang C, Yu YY, Yang L, Zhou ZG. </w:t>
      </w:r>
      <w:r w:rsidR="00023A73" w:rsidRPr="00565758">
        <w:rPr>
          <w:rFonts w:ascii="Book Antiqua" w:eastAsia="Book Antiqua" w:hAnsi="Book Antiqua" w:cs="Book Antiqua"/>
          <w:color w:val="000000" w:themeColor="text1"/>
        </w:rPr>
        <w:t>R</w:t>
      </w:r>
      <w:r w:rsidR="00AD0EBB" w:rsidRPr="00565758">
        <w:rPr>
          <w:rFonts w:ascii="Book Antiqua" w:eastAsia="Book Antiqua" w:hAnsi="Book Antiqua" w:cs="Book Antiqua"/>
          <w:color w:val="000000" w:themeColor="text1"/>
        </w:rPr>
        <w:t xml:space="preserve">are case of drain-site hernia after laparoscopic surgery and a novel strategy of prevention: A case report. </w:t>
      </w:r>
      <w:r w:rsidR="00AD0EBB" w:rsidRPr="00565758">
        <w:rPr>
          <w:rFonts w:ascii="Book Antiqua" w:eastAsia="Book Antiqua" w:hAnsi="Book Antiqua" w:cs="Book Antiqua"/>
          <w:i/>
          <w:iCs/>
          <w:color w:val="000000" w:themeColor="text1"/>
        </w:rPr>
        <w:t>World J Clin Cases</w:t>
      </w:r>
      <w:r w:rsidR="00AD0EBB" w:rsidRPr="00565758">
        <w:rPr>
          <w:rFonts w:ascii="Book Antiqua" w:eastAsia="Book Antiqua" w:hAnsi="Book Antiqua" w:cs="Book Antiqua"/>
          <w:color w:val="000000" w:themeColor="text1"/>
        </w:rPr>
        <w:t xml:space="preserve"> 2020; </w:t>
      </w:r>
      <w:r w:rsidR="00E60AE4" w:rsidRPr="00E60AE4">
        <w:rPr>
          <w:rFonts w:ascii="Book Antiqua" w:eastAsia="Book Antiqua" w:hAnsi="Book Antiqua" w:cs="Book Antiqua"/>
          <w:color w:val="000000" w:themeColor="text1"/>
        </w:rPr>
        <w:t xml:space="preserve">8(24): </w:t>
      </w:r>
      <w:r w:rsidR="00316690" w:rsidRPr="00316690">
        <w:rPr>
          <w:rFonts w:ascii="Book Antiqua" w:eastAsia="Book Antiqua" w:hAnsi="Book Antiqua" w:cs="Book Antiqua"/>
          <w:color w:val="000000" w:themeColor="text1"/>
        </w:rPr>
        <w:t>6504-6510</w:t>
      </w:r>
      <w:r w:rsidR="00E60AE4" w:rsidRPr="00E60AE4">
        <w:rPr>
          <w:rFonts w:ascii="Book Antiqua" w:eastAsia="Book Antiqua" w:hAnsi="Book Antiqua" w:cs="Book Antiqua"/>
          <w:color w:val="000000" w:themeColor="text1"/>
        </w:rPr>
        <w:t xml:space="preserve">  </w:t>
      </w:r>
    </w:p>
    <w:p w14:paraId="733FD91B" w14:textId="7B33C83A" w:rsidR="00B2351E" w:rsidRDefault="00E60AE4" w:rsidP="00565758">
      <w:pPr>
        <w:snapToGrid w:val="0"/>
        <w:spacing w:line="360" w:lineRule="auto"/>
        <w:jc w:val="both"/>
        <w:rPr>
          <w:rFonts w:ascii="Book Antiqua" w:hAnsi="Book Antiqua" w:cs="Book Antiqua" w:hint="eastAsia"/>
          <w:color w:val="000000" w:themeColor="text1"/>
          <w:lang w:eastAsia="zh-CN"/>
        </w:rPr>
      </w:pPr>
      <w:r w:rsidRPr="0080640C">
        <w:rPr>
          <w:rFonts w:ascii="Book Antiqua" w:eastAsia="Book Antiqua" w:hAnsi="Book Antiqua" w:cs="Book Antiqua"/>
          <w:b/>
          <w:color w:val="000000" w:themeColor="text1"/>
        </w:rPr>
        <w:t xml:space="preserve">URL: </w:t>
      </w:r>
      <w:r w:rsidRPr="00E60AE4">
        <w:rPr>
          <w:rFonts w:ascii="Book Antiqua" w:eastAsia="Book Antiqua" w:hAnsi="Book Antiqua" w:cs="Book Antiqua"/>
          <w:color w:val="000000" w:themeColor="text1"/>
        </w:rPr>
        <w:t>https://www.wjgnet.com/2307-8960/full/v8/i24/</w:t>
      </w:r>
      <w:r w:rsidR="00043C05">
        <w:rPr>
          <w:rFonts w:ascii="Book Antiqua" w:hAnsi="Book Antiqua" w:cs="Book Antiqua" w:hint="eastAsia"/>
          <w:color w:val="000000" w:themeColor="text1"/>
          <w:lang w:eastAsia="zh-CN"/>
        </w:rPr>
        <w:t>6504</w:t>
      </w:r>
      <w:r w:rsidRPr="00E60AE4">
        <w:rPr>
          <w:rFonts w:ascii="Book Antiqua" w:eastAsia="Book Antiqua" w:hAnsi="Book Antiqua" w:cs="Book Antiqua"/>
          <w:color w:val="000000" w:themeColor="text1"/>
        </w:rPr>
        <w:t xml:space="preserve">.htm  </w:t>
      </w:r>
    </w:p>
    <w:p w14:paraId="381A6427" w14:textId="7378D552" w:rsidR="00A77B3E" w:rsidRPr="00A219F3" w:rsidRDefault="00E60AE4" w:rsidP="00565758">
      <w:pPr>
        <w:snapToGrid w:val="0"/>
        <w:spacing w:line="360" w:lineRule="auto"/>
        <w:jc w:val="both"/>
        <w:rPr>
          <w:rFonts w:hint="eastAsia"/>
          <w:color w:val="000000" w:themeColor="text1"/>
          <w:lang w:eastAsia="zh-CN"/>
        </w:rPr>
      </w:pPr>
      <w:bookmarkStart w:id="0" w:name="_GoBack"/>
      <w:r w:rsidRPr="0080640C">
        <w:rPr>
          <w:rFonts w:ascii="Book Antiqua" w:eastAsia="Book Antiqua" w:hAnsi="Book Antiqua" w:cs="Book Antiqua"/>
          <w:b/>
          <w:color w:val="000000" w:themeColor="text1"/>
        </w:rPr>
        <w:t xml:space="preserve">DOI: </w:t>
      </w:r>
      <w:bookmarkEnd w:id="0"/>
      <w:r w:rsidRPr="00E60AE4">
        <w:rPr>
          <w:rFonts w:ascii="Book Antiqua" w:eastAsia="Book Antiqua" w:hAnsi="Book Antiqua" w:cs="Book Antiqua"/>
          <w:color w:val="000000" w:themeColor="text1"/>
        </w:rPr>
        <w:t>https://dx.doi.org/10.12998/wjcc.v8.i24.</w:t>
      </w:r>
      <w:r w:rsidR="00A219F3">
        <w:rPr>
          <w:rFonts w:ascii="Book Antiqua" w:hAnsi="Book Antiqua" w:cs="Book Antiqua" w:hint="eastAsia"/>
          <w:color w:val="000000" w:themeColor="text1"/>
          <w:lang w:eastAsia="zh-CN"/>
        </w:rPr>
        <w:t>6504</w:t>
      </w:r>
    </w:p>
    <w:p w14:paraId="67810255" w14:textId="77777777" w:rsidR="00A77B3E" w:rsidRPr="00565758" w:rsidRDefault="00A77B3E" w:rsidP="00565758">
      <w:pPr>
        <w:snapToGrid w:val="0"/>
        <w:spacing w:line="360" w:lineRule="auto"/>
        <w:jc w:val="both"/>
        <w:rPr>
          <w:color w:val="000000" w:themeColor="text1"/>
        </w:rPr>
      </w:pPr>
    </w:p>
    <w:p w14:paraId="5B4372BC" w14:textId="1E19D86E"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Core Tip: </w:t>
      </w:r>
      <w:r w:rsidRPr="00565758">
        <w:rPr>
          <w:rFonts w:ascii="Book Antiqua" w:eastAsia="Book Antiqua" w:hAnsi="Book Antiqua" w:cs="Book Antiqua"/>
          <w:color w:val="000000" w:themeColor="text1"/>
        </w:rPr>
        <w:t>Trocar site hernia (TSH) is a rare but potentially dangerous complication of laparoscopic surgery, and drain-site TSH is an even rarer type. In clinical practice, fascial-muscular and peritoneal defects at the drain-site are often left open to allow the drain to pass through, which facilitates the formation of a drain-site TSH. We present a rare case of a drain-site strangulated TSH at the lateral 10 mm port site soon after the removal of the intraperitoneal drainage tube following laparoscopic subtotal hysterectomy and bilateral adnexectomy. Finally, we provide a new</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practical</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and simple method of prevention.</w:t>
      </w:r>
    </w:p>
    <w:p w14:paraId="126E8FB5" w14:textId="1878B070" w:rsidR="00A77B3E" w:rsidRPr="00565758" w:rsidRDefault="005567C4" w:rsidP="00565758">
      <w:pPr>
        <w:snapToGrid w:val="0"/>
        <w:spacing w:line="360" w:lineRule="auto"/>
        <w:jc w:val="both"/>
        <w:rPr>
          <w:color w:val="000000" w:themeColor="text1"/>
        </w:rPr>
      </w:pPr>
      <w:r w:rsidRPr="00565758">
        <w:rPr>
          <w:color w:val="000000" w:themeColor="text1"/>
        </w:rPr>
        <w:br w:type="page"/>
      </w:r>
      <w:r w:rsidR="00AD0EBB" w:rsidRPr="00565758">
        <w:rPr>
          <w:rFonts w:ascii="Book Antiqua" w:eastAsia="Book Antiqua" w:hAnsi="Book Antiqua" w:cs="Book Antiqua"/>
          <w:b/>
          <w:caps/>
          <w:color w:val="000000" w:themeColor="text1"/>
          <w:u w:val="single"/>
        </w:rPr>
        <w:t>INTRODUCTION</w:t>
      </w:r>
    </w:p>
    <w:p w14:paraId="360D1A0A" w14:textId="6FD1329C" w:rsidR="005567C4" w:rsidRPr="00565758" w:rsidRDefault="00AD0EBB" w:rsidP="00565758">
      <w:pPr>
        <w:snapToGrid w:val="0"/>
        <w:spacing w:line="360" w:lineRule="auto"/>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Trocar site hernia (TSH) is a rare but potentially dangerous complication of minimally invasive surgery, often leading to life-threatening consequences. The incidence for adults has been reported to range from 0</w:t>
      </w:r>
      <w:r w:rsidR="005567C4"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-5.2% and continues to increase with the rise in the adoption of laparoscopic procedures</w:t>
      </w:r>
      <w:r w:rsidRPr="00565758">
        <w:rPr>
          <w:rFonts w:ascii="Book Antiqua" w:eastAsia="Book Antiqua" w:hAnsi="Book Antiqua" w:cs="Book Antiqua"/>
          <w:color w:val="000000" w:themeColor="text1"/>
          <w:vertAlign w:val="superscript"/>
        </w:rPr>
        <w:t>[1]</w:t>
      </w:r>
      <w:r w:rsidRPr="00565758">
        <w:rPr>
          <w:rFonts w:ascii="Book Antiqua" w:eastAsia="Book Antiqua" w:hAnsi="Book Antiqua" w:cs="Book Antiqua"/>
          <w:color w:val="000000" w:themeColor="text1"/>
        </w:rPr>
        <w:t>. Most of these hernias are reported to be associated with ≥</w:t>
      </w:r>
      <w:r w:rsidR="005567C4"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10 mm trocars at the umbilical port site, although few studies have reported TSHs with varying port sizes or other locations</w:t>
      </w:r>
      <w:r w:rsidRPr="00565758">
        <w:rPr>
          <w:rFonts w:ascii="Book Antiqua" w:eastAsia="Book Antiqua" w:hAnsi="Book Antiqua" w:cs="Book Antiqua"/>
          <w:color w:val="000000" w:themeColor="text1"/>
          <w:vertAlign w:val="superscript"/>
        </w:rPr>
        <w:t>[1-4]</w:t>
      </w:r>
      <w:r w:rsidRPr="00565758">
        <w:rPr>
          <w:rFonts w:ascii="Book Antiqua" w:eastAsia="Book Antiqua" w:hAnsi="Book Antiqua" w:cs="Book Antiqua"/>
          <w:color w:val="000000" w:themeColor="text1"/>
        </w:rPr>
        <w:t xml:space="preserve">. Among TSHs, drain-site hernias represent a special type that occurs at the port site where the drainage tube is placed. In clinical practice, fascial-muscular and peritoneal defects at the drain-site are often left open to allow the drain to pass through, which facilitates the formation of a drain-site TSH. Few cases of drain-site TSHs have been reported previously, while the optimal approach to close drain-site trocar incision is still unclear, </w:t>
      </w:r>
      <w:r w:rsidR="00B1010F" w:rsidRPr="00565758">
        <w:rPr>
          <w:rFonts w:ascii="Book Antiqua" w:eastAsia="Book Antiqua" w:hAnsi="Book Antiqua" w:cs="Book Antiqua"/>
          <w:color w:val="000000" w:themeColor="text1"/>
        </w:rPr>
        <w:t>leading</w:t>
      </w:r>
      <w:r w:rsidRPr="00565758">
        <w:rPr>
          <w:rFonts w:ascii="Book Antiqua" w:eastAsia="Book Antiqua" w:hAnsi="Book Antiqua" w:cs="Book Antiqua"/>
          <w:color w:val="000000" w:themeColor="text1"/>
        </w:rPr>
        <w:t xml:space="preserve"> to the occurrence of TSH occasionally and result</w:t>
      </w:r>
      <w:r w:rsidR="00B1010F" w:rsidRPr="00565758">
        <w:rPr>
          <w:rFonts w:ascii="Book Antiqua" w:eastAsia="Book Antiqua" w:hAnsi="Book Antiqua" w:cs="Book Antiqua"/>
          <w:color w:val="000000" w:themeColor="text1"/>
        </w:rPr>
        <w:t>ing</w:t>
      </w:r>
      <w:r w:rsidRPr="00565758">
        <w:rPr>
          <w:rFonts w:ascii="Book Antiqua" w:eastAsia="Book Antiqua" w:hAnsi="Book Antiqua" w:cs="Book Antiqua"/>
          <w:color w:val="000000" w:themeColor="text1"/>
        </w:rPr>
        <w:t xml:space="preserve"> in disastrous consequence</w:t>
      </w:r>
      <w:r w:rsidRPr="00565758">
        <w:rPr>
          <w:rFonts w:ascii="Book Antiqua" w:eastAsia="Book Antiqua" w:hAnsi="Book Antiqua" w:cs="Book Antiqua"/>
          <w:color w:val="000000" w:themeColor="text1"/>
          <w:vertAlign w:val="superscript"/>
        </w:rPr>
        <w:t>[5-7]</w:t>
      </w:r>
      <w:r w:rsidRPr="00565758">
        <w:rPr>
          <w:rFonts w:ascii="Book Antiqua" w:eastAsia="Book Antiqua" w:hAnsi="Book Antiqua" w:cs="Book Antiqua"/>
          <w:color w:val="000000" w:themeColor="text1"/>
        </w:rPr>
        <w:t>.</w:t>
      </w:r>
    </w:p>
    <w:p w14:paraId="368BCB40" w14:textId="63E43659" w:rsidR="00A77B3E" w:rsidRPr="00565758" w:rsidRDefault="00AD0EBB" w:rsidP="00565758">
      <w:pPr>
        <w:snapToGrid w:val="0"/>
        <w:spacing w:line="360" w:lineRule="auto"/>
        <w:ind w:firstLineChars="100" w:firstLine="240"/>
        <w:jc w:val="both"/>
        <w:rPr>
          <w:color w:val="000000" w:themeColor="text1"/>
        </w:rPr>
      </w:pPr>
      <w:r w:rsidRPr="00565758">
        <w:rPr>
          <w:rFonts w:ascii="Book Antiqua" w:eastAsia="Book Antiqua" w:hAnsi="Book Antiqua" w:cs="Book Antiqua"/>
          <w:color w:val="000000" w:themeColor="text1"/>
        </w:rPr>
        <w:t>We report a rare case of drain-site strangulated TSH at a lateral 10 mm port site soon after the removal of intraperitoneal drains following laparoscopic surgery with the hope of enhancing the general understanding of such cases. Furthermore, we provide a novel, simple</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and practical method of prevention.</w:t>
      </w:r>
    </w:p>
    <w:p w14:paraId="2C012E71" w14:textId="77777777" w:rsidR="00A77B3E" w:rsidRPr="00565758" w:rsidRDefault="00A77B3E" w:rsidP="00565758">
      <w:pPr>
        <w:snapToGrid w:val="0"/>
        <w:spacing w:line="360" w:lineRule="auto"/>
        <w:jc w:val="both"/>
        <w:rPr>
          <w:color w:val="000000" w:themeColor="text1"/>
        </w:rPr>
      </w:pPr>
    </w:p>
    <w:p w14:paraId="445F76D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CASE PRESENTATION</w:t>
      </w:r>
    </w:p>
    <w:p w14:paraId="1D603057"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Chief complaints</w:t>
      </w:r>
    </w:p>
    <w:p w14:paraId="0E2B3F98" w14:textId="1A73C1E6"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A 54-year-old obese female (</w:t>
      </w:r>
      <w:r w:rsidR="005567C4" w:rsidRPr="00565758">
        <w:rPr>
          <w:rFonts w:ascii="Book Antiqua" w:eastAsia="Book Antiqua" w:hAnsi="Book Antiqua" w:cs="Book Antiqua"/>
          <w:color w:val="000000" w:themeColor="text1"/>
        </w:rPr>
        <w:t xml:space="preserve">body mass index, </w:t>
      </w:r>
      <w:r w:rsidRPr="00565758">
        <w:rPr>
          <w:rFonts w:ascii="Book Antiqua" w:eastAsia="Book Antiqua" w:hAnsi="Book Antiqua" w:cs="Book Antiqua"/>
          <w:color w:val="000000" w:themeColor="text1"/>
        </w:rPr>
        <w:t>28.4 kg/m</w:t>
      </w:r>
      <w:r w:rsidRPr="00565758">
        <w:rPr>
          <w:rFonts w:ascii="Book Antiqua" w:eastAsia="Book Antiqua" w:hAnsi="Book Antiqua" w:cs="Book Antiqua"/>
          <w:color w:val="000000" w:themeColor="text1"/>
          <w:vertAlign w:val="superscript"/>
        </w:rPr>
        <w:t>2</w:t>
      </w:r>
      <w:r w:rsidRPr="00565758">
        <w:rPr>
          <w:rFonts w:ascii="Book Antiqua" w:eastAsia="Book Antiqua" w:hAnsi="Book Antiqua" w:cs="Book Antiqua"/>
          <w:color w:val="000000" w:themeColor="text1"/>
        </w:rPr>
        <w:t>) presented to the Emergency Department of the West China Hospital with a 2-d history of intermittent abdominal pain, nausea, vomiting, and abdominal enlargement with an inability to pass stool and flatus.</w:t>
      </w:r>
    </w:p>
    <w:p w14:paraId="2C33505C" w14:textId="77777777" w:rsidR="00A77B3E" w:rsidRPr="00565758" w:rsidRDefault="00A77B3E" w:rsidP="00565758">
      <w:pPr>
        <w:snapToGrid w:val="0"/>
        <w:spacing w:line="360" w:lineRule="auto"/>
        <w:jc w:val="both"/>
        <w:rPr>
          <w:color w:val="000000" w:themeColor="text1"/>
        </w:rPr>
      </w:pPr>
    </w:p>
    <w:p w14:paraId="479E9E5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History of present illness</w:t>
      </w:r>
    </w:p>
    <w:p w14:paraId="2B2DE718" w14:textId="0BE66B90"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She had undergone laparoscopic subtotal hysterectomy and bilateral adnexectomy in another institution </w:t>
      </w:r>
      <w:r w:rsidR="00B1010F" w:rsidRPr="00565758">
        <w:rPr>
          <w:rFonts w:ascii="Book Antiqua" w:eastAsia="Book Antiqua" w:hAnsi="Book Antiqua" w:cs="Book Antiqua"/>
          <w:color w:val="000000" w:themeColor="text1"/>
        </w:rPr>
        <w:t>8 d</w:t>
      </w:r>
      <w:r w:rsidRPr="00565758">
        <w:rPr>
          <w:rFonts w:ascii="Book Antiqua" w:eastAsia="Book Antiqua" w:hAnsi="Book Antiqua" w:cs="Book Antiqua"/>
          <w:color w:val="000000" w:themeColor="text1"/>
        </w:rPr>
        <w:t xml:space="preserve"> prior because of uterine fibroids. During the operation, three trocars were applied: </w:t>
      </w:r>
      <w:r w:rsidR="00B1010F" w:rsidRPr="00565758">
        <w:rPr>
          <w:rFonts w:ascii="Book Antiqua" w:eastAsia="Book Antiqua" w:hAnsi="Book Antiqua" w:cs="Book Antiqua"/>
          <w:color w:val="000000" w:themeColor="text1"/>
        </w:rPr>
        <w:t>T</w:t>
      </w:r>
      <w:r w:rsidRPr="00565758">
        <w:rPr>
          <w:rFonts w:ascii="Book Antiqua" w:eastAsia="Book Antiqua" w:hAnsi="Book Antiqua" w:cs="Book Antiqua"/>
          <w:color w:val="000000" w:themeColor="text1"/>
        </w:rPr>
        <w:t>wo 10 mm trocars at the umbilicus and in the left lower quadrant</w:t>
      </w:r>
      <w:r w:rsidR="00B1010F"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respectively, and a 5 mm trocar in the right lower quadrant, all of which were the bladed type. Additionally, a 24 FR soft silicon tube was drained through the 10 mm trocar port-site in the left lower quadrant. The fascial planes of the umbilical and right lower quadrant port sites were separately stitched with absorbable sutures, while the 10 mm port site in the left lower quadrant was left unclosed (only skin and subcutaneous tissue were sutured to fix the drain). The postoperative recovery was smooth, and gastrointestinal function recovered within 48 h. The drainage tube was removed </w:t>
      </w:r>
      <w:r w:rsidR="00B1010F" w:rsidRPr="00565758">
        <w:rPr>
          <w:rFonts w:ascii="Book Antiqua" w:eastAsia="Book Antiqua" w:hAnsi="Book Antiqua" w:cs="Book Antiqua"/>
          <w:color w:val="000000" w:themeColor="text1"/>
        </w:rPr>
        <w:t>4 d</w:t>
      </w:r>
      <w:r w:rsidRPr="00565758">
        <w:rPr>
          <w:rFonts w:ascii="Book Antiqua" w:eastAsia="Book Antiqua" w:hAnsi="Book Antiqua" w:cs="Book Antiqua"/>
          <w:color w:val="000000" w:themeColor="text1"/>
        </w:rPr>
        <w:t xml:space="preserve"> after the operation under direct vision when the collected drainage liquid was less than 30 mL per day. One day later, she was discharged to home without discomfort. Six days after the operation, she felt dull pain at the site of the left drain accompanied with nausea, but she did not have difficulty passing stool or flatus. The patient thought the problem was probably due to the incision and did not pay much attention. From that day on, the abdominal pain and distension were gradually aggravated, with the onset of the inability to pass stool and flatus.</w:t>
      </w:r>
    </w:p>
    <w:p w14:paraId="1B075BFD" w14:textId="77777777" w:rsidR="00A77B3E" w:rsidRPr="00565758" w:rsidRDefault="00A77B3E" w:rsidP="00565758">
      <w:pPr>
        <w:snapToGrid w:val="0"/>
        <w:spacing w:line="360" w:lineRule="auto"/>
        <w:jc w:val="both"/>
        <w:rPr>
          <w:color w:val="000000" w:themeColor="text1"/>
        </w:rPr>
      </w:pPr>
    </w:p>
    <w:p w14:paraId="0460AB57"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History of past illness</w:t>
      </w:r>
    </w:p>
    <w:p w14:paraId="0B99E57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patient had a history of uncontrolled diabetes mellitus and uterine fibroids.</w:t>
      </w:r>
    </w:p>
    <w:p w14:paraId="2A043323" w14:textId="77777777" w:rsidR="00A77B3E" w:rsidRPr="00565758" w:rsidRDefault="00A77B3E" w:rsidP="00565758">
      <w:pPr>
        <w:snapToGrid w:val="0"/>
        <w:spacing w:line="360" w:lineRule="auto"/>
        <w:jc w:val="both"/>
        <w:rPr>
          <w:color w:val="000000" w:themeColor="text1"/>
        </w:rPr>
      </w:pPr>
    </w:p>
    <w:p w14:paraId="7E2A8EB1"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Personal and family history</w:t>
      </w:r>
    </w:p>
    <w:p w14:paraId="41B1195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patient had no remarkable personal and family history.</w:t>
      </w:r>
    </w:p>
    <w:p w14:paraId="4226980B" w14:textId="77777777" w:rsidR="00A77B3E" w:rsidRPr="00565758" w:rsidRDefault="00A77B3E" w:rsidP="00565758">
      <w:pPr>
        <w:snapToGrid w:val="0"/>
        <w:spacing w:line="360" w:lineRule="auto"/>
        <w:jc w:val="both"/>
        <w:rPr>
          <w:color w:val="000000" w:themeColor="text1"/>
        </w:rPr>
      </w:pPr>
    </w:p>
    <w:p w14:paraId="5DA3AB9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Physical examination</w:t>
      </w:r>
    </w:p>
    <w:p w14:paraId="6AFBD37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primary symptoms were a distended abdomen, strong sensitivity at the left lower quadrant with a rebound, a tender 8 cm in size palpable mass in the left lower quadrant just above the drainage site, and hyperactive bowel sounds.</w:t>
      </w:r>
    </w:p>
    <w:p w14:paraId="59ED75B8" w14:textId="77777777" w:rsidR="00A77B3E" w:rsidRPr="00565758" w:rsidRDefault="00A77B3E" w:rsidP="00565758">
      <w:pPr>
        <w:snapToGrid w:val="0"/>
        <w:spacing w:line="360" w:lineRule="auto"/>
        <w:jc w:val="both"/>
        <w:rPr>
          <w:color w:val="000000" w:themeColor="text1"/>
        </w:rPr>
      </w:pPr>
    </w:p>
    <w:p w14:paraId="05C9F1E2"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Laboratory examinations</w:t>
      </w:r>
    </w:p>
    <w:p w14:paraId="2F511D01" w14:textId="02A24C1C"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All hematological parameters were within normal limits. The biochemical values were significant for N</w:t>
      </w:r>
      <w:r w:rsidR="005567C4" w:rsidRPr="00565758">
        <w:rPr>
          <w:rFonts w:ascii="Book Antiqua" w:eastAsia="Book Antiqua" w:hAnsi="Book Antiqua" w:cs="Book Antiqua"/>
          <w:color w:val="000000" w:themeColor="text1"/>
        </w:rPr>
        <w:t>a</w:t>
      </w:r>
      <w:r w:rsidR="005567C4" w:rsidRPr="00565758">
        <w:rPr>
          <w:rFonts w:ascii="Book Antiqua" w:eastAsia="Book Antiqua" w:hAnsi="Book Antiqua" w:cs="Book Antiqua"/>
          <w:color w:val="000000" w:themeColor="text1"/>
          <w:vertAlign w:val="superscript"/>
        </w:rPr>
        <w:t>+</w:t>
      </w:r>
      <w:r w:rsidRPr="00565758">
        <w:rPr>
          <w:rFonts w:ascii="Book Antiqua" w:eastAsia="Book Antiqua" w:hAnsi="Book Antiqua" w:cs="Book Antiqua"/>
          <w:color w:val="000000" w:themeColor="text1"/>
        </w:rPr>
        <w:t xml:space="preserve"> (131 mmol/L), C</w:t>
      </w:r>
      <w:r w:rsidR="005567C4" w:rsidRPr="00565758">
        <w:rPr>
          <w:rFonts w:ascii="Book Antiqua" w:eastAsia="Book Antiqua" w:hAnsi="Book Antiqua" w:cs="Book Antiqua"/>
          <w:color w:val="000000" w:themeColor="text1"/>
        </w:rPr>
        <w:t>l</w:t>
      </w:r>
      <w:r w:rsidR="005567C4" w:rsidRPr="00565758">
        <w:rPr>
          <w:rFonts w:ascii="Book Antiqua" w:eastAsia="Book Antiqua" w:hAnsi="Book Antiqua" w:cs="Book Antiqua"/>
          <w:color w:val="000000" w:themeColor="text1"/>
          <w:vertAlign w:val="superscript"/>
        </w:rPr>
        <w:t>-</w:t>
      </w:r>
      <w:r w:rsidRPr="00565758">
        <w:rPr>
          <w:rFonts w:ascii="Book Antiqua" w:eastAsia="Book Antiqua" w:hAnsi="Book Antiqua" w:cs="Book Antiqua"/>
          <w:color w:val="000000" w:themeColor="text1"/>
        </w:rPr>
        <w:t xml:space="preserve"> (89 mmol/L), </w:t>
      </w:r>
      <w:r w:rsidR="005567C4" w:rsidRPr="00565758">
        <w:rPr>
          <w:rFonts w:ascii="Book Antiqua" w:eastAsia="Book Antiqua" w:hAnsi="Book Antiqua" w:cs="Book Antiqua"/>
          <w:color w:val="000000" w:themeColor="text1"/>
        </w:rPr>
        <w:t>glucose level</w:t>
      </w:r>
      <w:r w:rsidRPr="00565758">
        <w:rPr>
          <w:rFonts w:ascii="Book Antiqua" w:eastAsia="Book Antiqua" w:hAnsi="Book Antiqua" w:cs="Book Antiqua"/>
          <w:color w:val="000000" w:themeColor="text1"/>
        </w:rPr>
        <w:t xml:space="preserve"> (21.5 mmol/L), </w:t>
      </w:r>
      <w:r w:rsidR="005567C4" w:rsidRPr="00565758">
        <w:rPr>
          <w:rFonts w:ascii="Book Antiqua" w:eastAsia="Book Antiqua" w:hAnsi="Book Antiqua" w:cs="Book Antiqua"/>
          <w:color w:val="000000" w:themeColor="text1"/>
        </w:rPr>
        <w:t>alanine aminotransferase</w:t>
      </w:r>
      <w:r w:rsidRPr="00565758">
        <w:rPr>
          <w:rFonts w:ascii="Book Antiqua" w:eastAsia="Book Antiqua" w:hAnsi="Book Antiqua" w:cs="Book Antiqua"/>
          <w:color w:val="000000" w:themeColor="text1"/>
        </w:rPr>
        <w:t xml:space="preserve"> (114 IU/L), and </w:t>
      </w:r>
      <w:r w:rsidR="005567C4" w:rsidRPr="00565758">
        <w:rPr>
          <w:rFonts w:ascii="Book Antiqua" w:eastAsia="Book Antiqua" w:hAnsi="Book Antiqua" w:cs="Book Antiqua"/>
          <w:color w:val="000000" w:themeColor="text1"/>
        </w:rPr>
        <w:t>aspartate aminotransferase</w:t>
      </w:r>
      <w:r w:rsidRPr="00565758">
        <w:rPr>
          <w:rFonts w:ascii="Book Antiqua" w:eastAsia="Book Antiqua" w:hAnsi="Book Antiqua" w:cs="Book Antiqua"/>
          <w:color w:val="000000" w:themeColor="text1"/>
        </w:rPr>
        <w:t xml:space="preserve"> (120 IU/L).</w:t>
      </w:r>
      <w:r w:rsidR="008F5F82" w:rsidRPr="00565758">
        <w:rPr>
          <w:rFonts w:ascii="Book Antiqua" w:eastAsia="Book Antiqua" w:hAnsi="Book Antiqua" w:cs="Book Antiqua"/>
          <w:color w:val="000000" w:themeColor="text1"/>
        </w:rPr>
        <w:t>]</w:t>
      </w:r>
    </w:p>
    <w:p w14:paraId="55D28827" w14:textId="77777777" w:rsidR="00A77B3E" w:rsidRPr="00565758" w:rsidRDefault="00A77B3E" w:rsidP="00565758">
      <w:pPr>
        <w:snapToGrid w:val="0"/>
        <w:spacing w:line="360" w:lineRule="auto"/>
        <w:jc w:val="both"/>
        <w:rPr>
          <w:color w:val="000000" w:themeColor="text1"/>
        </w:rPr>
      </w:pPr>
    </w:p>
    <w:p w14:paraId="08BE2360"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i/>
          <w:color w:val="000000" w:themeColor="text1"/>
        </w:rPr>
        <w:t>Imaging examinations</w:t>
      </w:r>
    </w:p>
    <w:p w14:paraId="015FE03D" w14:textId="602C1AB1"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The emergency </w:t>
      </w:r>
      <w:bookmarkStart w:id="1" w:name="_Hlk54004097"/>
      <w:r w:rsidR="005567C4" w:rsidRPr="00565758">
        <w:rPr>
          <w:rFonts w:ascii="Book Antiqua" w:eastAsia="Book Antiqua" w:hAnsi="Book Antiqua" w:cs="Book Antiqua"/>
          <w:color w:val="000000" w:themeColor="text1"/>
        </w:rPr>
        <w:t>computed tomography</w:t>
      </w:r>
      <w:bookmarkEnd w:id="1"/>
      <w:r w:rsidR="005567C4"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CT</w:t>
      </w:r>
      <w:r w:rsidR="005567C4"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scan revealed the small bowel herniated through the 10 mm drain-site, with diffuse bowel distension and multiple air-fluid levels with gas in the small intestines (Figure 1).</w:t>
      </w:r>
    </w:p>
    <w:p w14:paraId="562A26C7" w14:textId="77777777" w:rsidR="00A77B3E" w:rsidRPr="00565758" w:rsidRDefault="00A77B3E" w:rsidP="00565758">
      <w:pPr>
        <w:snapToGrid w:val="0"/>
        <w:spacing w:line="360" w:lineRule="auto"/>
        <w:jc w:val="both"/>
        <w:rPr>
          <w:color w:val="000000" w:themeColor="text1"/>
        </w:rPr>
      </w:pPr>
    </w:p>
    <w:p w14:paraId="2A1E76F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FINAL DIAGNOSIS</w:t>
      </w:r>
    </w:p>
    <w:p w14:paraId="6DC78CEB"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Based on her clinical presentation and radiographic findings, she was diagnosed with drain-site strangulated TSH.</w:t>
      </w:r>
    </w:p>
    <w:p w14:paraId="1B75F861" w14:textId="77777777" w:rsidR="00A77B3E" w:rsidRPr="00565758" w:rsidRDefault="00A77B3E" w:rsidP="00565758">
      <w:pPr>
        <w:snapToGrid w:val="0"/>
        <w:spacing w:line="360" w:lineRule="auto"/>
        <w:jc w:val="both"/>
        <w:rPr>
          <w:color w:val="000000" w:themeColor="text1"/>
        </w:rPr>
      </w:pPr>
    </w:p>
    <w:p w14:paraId="17C64F0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TREATMENT</w:t>
      </w:r>
    </w:p>
    <w:p w14:paraId="2DD24BFC" w14:textId="543CF183"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The patient was taken to the operating room for emergency exploratory laparotomy. Surgery revealed the small intestine, approximately 1.5 m from the Treitz ligament, protruding into the peritoneal defect just located at the drainage site. These findings confirmed the preoperative diagnosis. The previous incision was extended laterally and gently reposted back to the strangulated intestine without causing damage. The herniated intestinal canal was approximately 5 cm in length and was necrotic</w:t>
      </w:r>
      <w:r w:rsidR="005567C4"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thus, the standard intestinal resection and anastomosis were performed. The fascial-muscular and peritoneal defects were carefully closed with interrupted Vicry 2/0 sutures.</w:t>
      </w:r>
    </w:p>
    <w:p w14:paraId="77B9BBDD" w14:textId="77777777" w:rsidR="00A77B3E" w:rsidRPr="00565758" w:rsidRDefault="00A77B3E" w:rsidP="00565758">
      <w:pPr>
        <w:snapToGrid w:val="0"/>
        <w:spacing w:line="360" w:lineRule="auto"/>
        <w:jc w:val="both"/>
        <w:rPr>
          <w:color w:val="000000" w:themeColor="text1"/>
        </w:rPr>
      </w:pPr>
    </w:p>
    <w:p w14:paraId="2B690BC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OUTCOME AND FOLLOW-UP</w:t>
      </w:r>
    </w:p>
    <w:p w14:paraId="77F5290E" w14:textId="7B34C952"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She recovered well after the operation and was discharged on postoperative day 5. She had no postoperative complications at her 2-wk follow-up visit.</w:t>
      </w:r>
    </w:p>
    <w:p w14:paraId="1334E989" w14:textId="77777777" w:rsidR="00A77B3E" w:rsidRPr="00565758" w:rsidRDefault="00A77B3E" w:rsidP="00565758">
      <w:pPr>
        <w:snapToGrid w:val="0"/>
        <w:spacing w:line="360" w:lineRule="auto"/>
        <w:jc w:val="both"/>
        <w:rPr>
          <w:color w:val="000000" w:themeColor="text1"/>
        </w:rPr>
      </w:pPr>
    </w:p>
    <w:p w14:paraId="6FEFF28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DISCUSSION</w:t>
      </w:r>
    </w:p>
    <w:p w14:paraId="6A63C3E7" w14:textId="0DEA6A2D" w:rsidR="005567C4" w:rsidRPr="00565758" w:rsidRDefault="00AD0EBB" w:rsidP="00565758">
      <w:pPr>
        <w:snapToGrid w:val="0"/>
        <w:spacing w:line="360" w:lineRule="auto"/>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TSH is defined as an incisional hernia occurring at the trocar incision site after laparoscopic procedures. The first TSH was reported by Fear</w:t>
      </w:r>
      <w:r w:rsidR="00B1010F" w:rsidRPr="00565758">
        <w:rPr>
          <w:rFonts w:ascii="Book Antiqua" w:eastAsia="Book Antiqua" w:hAnsi="Book Antiqua" w:cs="Book Antiqua"/>
          <w:color w:val="000000" w:themeColor="text1"/>
          <w:vertAlign w:val="superscript"/>
        </w:rPr>
        <w:t>[8]</w:t>
      </w:r>
      <w:r w:rsidRPr="00565758">
        <w:rPr>
          <w:rFonts w:ascii="Book Antiqua" w:eastAsia="Book Antiqua" w:hAnsi="Book Antiqua" w:cs="Book Antiqua"/>
          <w:color w:val="000000" w:themeColor="text1"/>
        </w:rPr>
        <w:t xml:space="preserve"> in </w:t>
      </w:r>
      <w:r w:rsidR="00B1010F" w:rsidRPr="00565758">
        <w:rPr>
          <w:rFonts w:ascii="Book Antiqua" w:eastAsia="Book Antiqua" w:hAnsi="Book Antiqua" w:cs="Book Antiqua"/>
          <w:color w:val="000000" w:themeColor="text1"/>
        </w:rPr>
        <w:t>gynecological</w:t>
      </w:r>
      <w:r w:rsidRPr="00565758">
        <w:rPr>
          <w:rFonts w:ascii="Book Antiqua" w:eastAsia="Book Antiqua" w:hAnsi="Book Antiqua" w:cs="Book Antiqua"/>
          <w:color w:val="000000" w:themeColor="text1"/>
        </w:rPr>
        <w:t xml:space="preserve"> laparoscopy in 1968. Since then, many such cases have been reported with the increase in the adoption of laparoscopic procedures. Although TSH is rare, it is a serious complication with the potential to lead to life-threatening complications, such as bowel obstruction and strangulation, often leading to further surgery.</w:t>
      </w:r>
    </w:p>
    <w:p w14:paraId="1F084C9E" w14:textId="66210508"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The common clinical presentations of TSH are nausea, vomiting, poor exhaust and defecation, abdominal pain, abdominal mass, or protuberance. The appearance of these symptoms can range from several days to several months after the operation, although they usually occur within days of surgery. According to Tonouchi </w:t>
      </w:r>
      <w:r w:rsidRPr="00565758">
        <w:rPr>
          <w:rFonts w:ascii="Book Antiqua" w:eastAsia="Book Antiqua" w:hAnsi="Book Antiqua" w:cs="Book Antiqua"/>
          <w:i/>
          <w:iCs/>
          <w:color w:val="000000" w:themeColor="text1"/>
        </w:rPr>
        <w:t>et al</w:t>
      </w:r>
      <w:r w:rsidR="005567C4" w:rsidRPr="00565758">
        <w:rPr>
          <w:rFonts w:ascii="Book Antiqua" w:eastAsia="Book Antiqua" w:hAnsi="Book Antiqua" w:cs="Book Antiqua"/>
          <w:color w:val="000000" w:themeColor="text1"/>
          <w:vertAlign w:val="superscript"/>
        </w:rPr>
        <w:t>[9]</w:t>
      </w:r>
      <w:r w:rsidRPr="00565758">
        <w:rPr>
          <w:rFonts w:ascii="Book Antiqua" w:eastAsia="Book Antiqua" w:hAnsi="Book Antiqua" w:cs="Book Antiqua"/>
          <w:color w:val="000000" w:themeColor="text1"/>
        </w:rPr>
        <w:t xml:space="preserve"> and Velasco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[10]</w:t>
      </w:r>
      <w:r w:rsidRPr="00565758">
        <w:rPr>
          <w:rFonts w:ascii="Book Antiqua" w:eastAsia="Book Antiqua" w:hAnsi="Book Antiqua" w:cs="Book Antiqua"/>
          <w:color w:val="000000" w:themeColor="text1"/>
        </w:rPr>
        <w:t xml:space="preserve">, TSHs can be classified into three types based on the clinical presentations: </w:t>
      </w:r>
      <w:r w:rsidR="003D2B66" w:rsidRPr="00565758">
        <w:rPr>
          <w:rFonts w:ascii="Book Antiqua" w:eastAsia="Book Antiqua" w:hAnsi="Book Antiqua" w:cs="Book Antiqua"/>
          <w:color w:val="000000" w:themeColor="text1"/>
        </w:rPr>
        <w:t>T</w:t>
      </w:r>
      <w:r w:rsidRPr="00565758">
        <w:rPr>
          <w:rFonts w:ascii="Book Antiqua" w:eastAsia="Book Antiqua" w:hAnsi="Book Antiqua" w:cs="Book Antiqua"/>
          <w:color w:val="000000" w:themeColor="text1"/>
        </w:rPr>
        <w:t xml:space="preserve">he early-onset type (dehiscence of fascia and peritoneum, often presents with small bowel obstruction within </w:t>
      </w:r>
      <w:r w:rsidR="00747048">
        <w:rPr>
          <w:rFonts w:ascii="Book Antiqua" w:eastAsia="Book Antiqua" w:hAnsi="Book Antiqua" w:cs="Book Antiqua"/>
          <w:color w:val="000000" w:themeColor="text1"/>
        </w:rPr>
        <w:t xml:space="preserve">2 wk </w:t>
      </w:r>
      <w:r w:rsidRPr="00565758">
        <w:rPr>
          <w:rFonts w:ascii="Book Antiqua" w:eastAsia="Book Antiqua" w:hAnsi="Book Antiqua" w:cs="Book Antiqua"/>
          <w:color w:val="000000" w:themeColor="text1"/>
        </w:rPr>
        <w:t>after surgery without a sac), late-onset type (dehiscence of the fascial plane, often appears without small bowel obstruction within several months after the operation with a sac consisting of peritoneum), and special type (dehiscence of the whole abdominal wall may occur at any time after surgery). If TSH is suspected, emergency ultrasonography or abdominal CT scans should be considered, especially abdominal CT scans, which can not only reveal the herniation site but also define its classification. Once TSH is confirmed, emergency explorative surgery should be considered because the relatively narrow aperture of TSH results in an extremely low probability of self-relief and eventually leads to bowel incarceration or even necrosis. In terms of the surgical options, both exploratory laparotomy and laparoscopy can be applied, without any advantage of one over the other</w:t>
      </w:r>
      <w:r w:rsidRPr="00565758">
        <w:rPr>
          <w:rFonts w:ascii="Book Antiqua" w:eastAsia="Book Antiqua" w:hAnsi="Book Antiqua" w:cs="Book Antiqua"/>
          <w:color w:val="000000" w:themeColor="text1"/>
          <w:vertAlign w:val="superscript"/>
        </w:rPr>
        <w:t>[11,12]</w:t>
      </w:r>
      <w:r w:rsidRPr="00565758">
        <w:rPr>
          <w:rFonts w:ascii="Book Antiqua" w:eastAsia="Book Antiqua" w:hAnsi="Book Antiqua" w:cs="Book Antiqua"/>
          <w:color w:val="000000" w:themeColor="text1"/>
        </w:rPr>
        <w:t>.</w:t>
      </w:r>
    </w:p>
    <w:p w14:paraId="3F0AAAF9" w14:textId="52D1A13A"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The commonly recognized risk factors leading to TSH have been categorized according to their relationships with surgery and patients. The patient-related risk factors mainly include age &gt;</w:t>
      </w:r>
      <w:r w:rsidR="00962AD9"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60 years, poor nutrition, obesity (</w:t>
      </w:r>
      <w:r w:rsidR="00B1010F" w:rsidRPr="00565758">
        <w:rPr>
          <w:rFonts w:ascii="Book Antiqua" w:eastAsia="Book Antiqua" w:hAnsi="Book Antiqua" w:cs="Book Antiqua"/>
          <w:color w:val="000000" w:themeColor="text1"/>
        </w:rPr>
        <w:t>body mass index</w:t>
      </w:r>
      <w:r w:rsidRPr="00565758">
        <w:rPr>
          <w:rFonts w:ascii="Book Antiqua" w:eastAsia="Book Antiqua" w:hAnsi="Book Antiqua" w:cs="Book Antiqua"/>
          <w:color w:val="000000" w:themeColor="text1"/>
        </w:rPr>
        <w:t xml:space="preserve"> &gt;</w:t>
      </w:r>
      <w:r w:rsidR="00962AD9"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28 kg/m</w:t>
      </w:r>
      <w:r w:rsidRPr="00565758">
        <w:rPr>
          <w:rFonts w:ascii="Book Antiqua" w:eastAsia="Book Antiqua" w:hAnsi="Book Antiqua" w:cs="Book Antiqua"/>
          <w:color w:val="000000" w:themeColor="text1"/>
          <w:vertAlign w:val="superscript"/>
        </w:rPr>
        <w:t>2</w:t>
      </w:r>
      <w:r w:rsidRPr="00565758">
        <w:rPr>
          <w:rFonts w:ascii="Book Antiqua" w:eastAsia="Book Antiqua" w:hAnsi="Book Antiqua" w:cs="Book Antiqua"/>
          <w:color w:val="000000" w:themeColor="text1"/>
        </w:rPr>
        <w:t>), smoking, uncontrolled diabetes, previous abdominal surgery history, increased intraabdominal pressure, and incision infection. The surgery-related risk factors include the number of trocars used and their diameters, the type of trocar tip (bladed, non-bladed, or radially expanding), the insertion technique, the position of the trocar site, a longer operation time, and the method of withdrawing the trocar. Among these, the most critical factors are the size of the trocars and the trocar site position. Almost all TSHs have been reported to be associated with ≥</w:t>
      </w:r>
      <w:r w:rsidR="00962AD9"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 xml:space="preserve">10 mm trocar port sites at the umbilical port site, although sparse studies have reported hernias occurring at 5 mm or 3 mm trocar port sites or in the lateral abdominal wall. A recent systematic review by Swank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[1]</w:t>
      </w:r>
      <w:r w:rsidRPr="00565758">
        <w:rPr>
          <w:rFonts w:ascii="Book Antiqua" w:eastAsia="Book Antiqua" w:hAnsi="Book Antiqua" w:cs="Book Antiqua"/>
          <w:color w:val="000000" w:themeColor="text1"/>
        </w:rPr>
        <w:t xml:space="preserve"> demonstrated that approximately 96% of TSHs were associated with 10/12 mm trocar sites, and most of them occur at the umbilical port site (82%). The reason why TSH often occurs at the umbilical port site is possibl</w:t>
      </w:r>
      <w:r w:rsidR="003D2B66" w:rsidRPr="00565758">
        <w:rPr>
          <w:rFonts w:ascii="Book Antiqua" w:eastAsia="Book Antiqua" w:hAnsi="Book Antiqua" w:cs="Book Antiqua"/>
          <w:color w:val="000000" w:themeColor="text1"/>
        </w:rPr>
        <w:t>y</w:t>
      </w:r>
      <w:r w:rsidRPr="00565758">
        <w:rPr>
          <w:rFonts w:ascii="Book Antiqua" w:eastAsia="Book Antiqua" w:hAnsi="Book Antiqua" w:cs="Book Antiqua"/>
          <w:color w:val="000000" w:themeColor="text1"/>
        </w:rPr>
        <w:t xml:space="preserve"> due to the single fascia layer at the </w:t>
      </w:r>
      <w:r w:rsidRPr="00565758">
        <w:rPr>
          <w:rFonts w:ascii="Book Antiqua" w:eastAsia="Book Antiqua" w:hAnsi="Book Antiqua" w:cs="Book Antiqua"/>
          <w:i/>
          <w:iCs/>
          <w:color w:val="000000" w:themeColor="text1"/>
        </w:rPr>
        <w:t>linea alba</w:t>
      </w:r>
      <w:r w:rsidRPr="00565758">
        <w:rPr>
          <w:rFonts w:ascii="Book Antiqua" w:eastAsia="Book Antiqua" w:hAnsi="Book Antiqua" w:cs="Book Antiqua"/>
          <w:color w:val="000000" w:themeColor="text1"/>
        </w:rPr>
        <w:t xml:space="preserve"> and the presence of the umbilicus, which creates a natural defect at this position. Regarding our case, the patient was an elderly obese woman with a history of uncontrolled diabetes mellitus, and pyramidal type 10 mm trocars were used during the operation. All of these risk factors may be responsible for the occurrence of the current hernia.</w:t>
      </w:r>
    </w:p>
    <w:p w14:paraId="5FDD0952" w14:textId="4F2315D8"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Regarding the current case, the drainage site TSH may have been facilitated by several additional risk factors, the most important of which possibly being the non-closure of the fascial planes and peritoneum. In the trocar site where the drain was placed, the fascial planes and peritoneum were often left unclosed, and only the skin and subcutaneous tissue </w:t>
      </w:r>
      <w:r w:rsidR="003D2B66" w:rsidRPr="00565758">
        <w:rPr>
          <w:rFonts w:ascii="Book Antiqua" w:eastAsia="Book Antiqua" w:hAnsi="Book Antiqua" w:cs="Book Antiqua"/>
          <w:color w:val="000000" w:themeColor="text1"/>
        </w:rPr>
        <w:t xml:space="preserve">were </w:t>
      </w:r>
      <w:r w:rsidRPr="00565758">
        <w:rPr>
          <w:rFonts w:ascii="Book Antiqua" w:eastAsia="Book Antiqua" w:hAnsi="Book Antiqua" w:cs="Book Antiqua"/>
          <w:color w:val="000000" w:themeColor="text1"/>
        </w:rPr>
        <w:t>simply sutured to fix the drain. This forms a persistent and potential fascial defect after removing the drain, which may facilitate the TSH occurrence. Moreover, the drain itself may be another important risk factor promoting herniation because they trap or create a suction effect of the intestine when they were removed.</w:t>
      </w:r>
    </w:p>
    <w:p w14:paraId="46A2B31B" w14:textId="5F124366" w:rsidR="00962AD9" w:rsidRPr="00565758" w:rsidRDefault="00AD0EBB" w:rsidP="00565758">
      <w:pPr>
        <w:snapToGrid w:val="0"/>
        <w:spacing w:line="360" w:lineRule="auto"/>
        <w:ind w:firstLineChars="100" w:firstLine="240"/>
        <w:jc w:val="both"/>
        <w:rPr>
          <w:rFonts w:ascii="Book Antiqua" w:eastAsia="Book Antiqua" w:hAnsi="Book Antiqua" w:cs="Book Antiqua"/>
          <w:color w:val="000000" w:themeColor="text1"/>
        </w:rPr>
      </w:pPr>
      <w:r w:rsidRPr="00565758">
        <w:rPr>
          <w:rFonts w:ascii="Book Antiqua" w:eastAsia="Book Antiqua" w:hAnsi="Book Antiqua" w:cs="Book Antiqua"/>
          <w:color w:val="000000" w:themeColor="text1"/>
        </w:rPr>
        <w:t xml:space="preserve">To our knowledge, few studies have reported drain-site TSHs. Komuta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[13]</w:t>
      </w:r>
      <w:r w:rsidRPr="00565758">
        <w:rPr>
          <w:rFonts w:ascii="Book Antiqua" w:eastAsia="Book Antiqua" w:hAnsi="Book Antiqua" w:cs="Book Antiqua"/>
          <w:color w:val="000000" w:themeColor="text1"/>
        </w:rPr>
        <w:t xml:space="preserve"> reported a drainage site TSH that appeared at the lateral 10 mm port site after laparoscopy. Furthermore, Moreaux </w:t>
      </w:r>
      <w:r w:rsidR="00962AD9"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[6]</w:t>
      </w:r>
      <w:r w:rsidRPr="00565758">
        <w:rPr>
          <w:rFonts w:ascii="Book Antiqua" w:eastAsia="Book Antiqua" w:hAnsi="Book Antiqua" w:cs="Book Antiqua"/>
          <w:color w:val="000000" w:themeColor="text1"/>
        </w:rPr>
        <w:t xml:space="preserve"> showed two cases of drainage site TSHs at the 5 mm port site. Manigrasso </w:t>
      </w:r>
      <w:r w:rsidRPr="00565758">
        <w:rPr>
          <w:rFonts w:ascii="Book Antiqua" w:eastAsia="Book Antiqua" w:hAnsi="Book Antiqua" w:cs="Book Antiqua"/>
          <w:i/>
          <w:iCs/>
          <w:color w:val="000000" w:themeColor="text1"/>
        </w:rPr>
        <w:t>et al</w:t>
      </w:r>
      <w:r w:rsidR="00962AD9" w:rsidRPr="00565758">
        <w:rPr>
          <w:rFonts w:ascii="Book Antiqua" w:eastAsia="Book Antiqua" w:hAnsi="Book Antiqua" w:cs="Book Antiqua"/>
          <w:color w:val="000000" w:themeColor="text1"/>
          <w:vertAlign w:val="superscript"/>
        </w:rPr>
        <w:t>[7]</w:t>
      </w:r>
      <w:r w:rsidRPr="00565758">
        <w:rPr>
          <w:rFonts w:ascii="Book Antiqua" w:eastAsia="Book Antiqua" w:hAnsi="Book Antiqua" w:cs="Book Antiqua"/>
          <w:color w:val="000000" w:themeColor="text1"/>
        </w:rPr>
        <w:t xml:space="preserve"> also presented a case of drainage site TSH at the lateral 10 mm port site where the drainage tube was still inserted. All of them reported that hernias occurred at the drainage sites where the fascial planes and peritoneum were unclosed, while none of them provided an optimal solution regarding the closure of the drain-site incision. They suggested that the drain should be set through a new incision or set at the port site smaller than 10 mm</w:t>
      </w:r>
      <w:r w:rsidRPr="00565758">
        <w:rPr>
          <w:rFonts w:ascii="Book Antiqua" w:eastAsia="Book Antiqua" w:hAnsi="Book Antiqua" w:cs="Book Antiqua"/>
          <w:color w:val="000000" w:themeColor="text1"/>
          <w:vertAlign w:val="superscript"/>
        </w:rPr>
        <w:t>[6,13]</w:t>
      </w:r>
      <w:r w:rsidRPr="00565758">
        <w:rPr>
          <w:rFonts w:ascii="Book Antiqua" w:eastAsia="Book Antiqua" w:hAnsi="Book Antiqua" w:cs="Book Antiqua"/>
          <w:color w:val="000000" w:themeColor="text1"/>
        </w:rPr>
        <w:t>. However, to avoid additional trauma, it is sometimes unavoidable in daily clinical practice to place a thick drain at the 10 mm or larger port site for adequate drainage.</w:t>
      </w:r>
    </w:p>
    <w:p w14:paraId="63380300" w14:textId="682CB77A" w:rsidR="00A77B3E" w:rsidRPr="00565758" w:rsidRDefault="00AD0EBB" w:rsidP="00565758">
      <w:pPr>
        <w:snapToGrid w:val="0"/>
        <w:spacing w:line="360" w:lineRule="auto"/>
        <w:ind w:firstLineChars="100" w:firstLine="240"/>
        <w:jc w:val="both"/>
        <w:rPr>
          <w:color w:val="000000" w:themeColor="text1"/>
        </w:rPr>
      </w:pPr>
      <w:r w:rsidRPr="00565758">
        <w:rPr>
          <w:rFonts w:ascii="Book Antiqua" w:eastAsia="Book Antiqua" w:hAnsi="Book Antiqua" w:cs="Book Antiqua"/>
          <w:color w:val="000000" w:themeColor="text1"/>
        </w:rPr>
        <w:t xml:space="preserve">Completely closing all layers of the abdominal wall at the trocar site, especially where the drain is placed, is an important intervention to prevent TSH formation; however, the optimal approach remains unknown. The most commonly used method is blind suturing, which is difficult and time-consuming, causes potential damage to abdominal contents, and is probably impossible </w:t>
      </w:r>
      <w:r w:rsidRPr="00565758">
        <w:rPr>
          <w:rFonts w:ascii="Book Antiqua" w:eastAsia="Book Antiqua" w:hAnsi="Book Antiqua" w:cs="Book Antiqua"/>
          <w:i/>
          <w:iCs/>
          <w:color w:val="000000" w:themeColor="text1"/>
        </w:rPr>
        <w:t>via</w:t>
      </w:r>
      <w:r w:rsidRPr="00565758">
        <w:rPr>
          <w:rFonts w:ascii="Book Antiqua" w:eastAsia="Book Antiqua" w:hAnsi="Book Antiqua" w:cs="Book Antiqua"/>
          <w:color w:val="000000" w:themeColor="text1"/>
        </w:rPr>
        <w:t xml:space="preserve"> the standard technique, especially in obese patients. Some surgeons also recommend the use of a fascial closure device, a suture carrier, an Endoclose suture device, a spinal cord needle, or a Deschamps needle to close the fascia and the peritoneum together. However, these methods often require special equipment that is not easily found on the operating table. In our institution, we usually pre-embed a suture by using a syringe needle (18 G </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38 mm) penetrating through the whole abdominal wall at the edges of the incision under direct vision before we withdraw the camera. This simple and practical technique enables us to </w:t>
      </w:r>
      <w:r w:rsidR="003D2B66" w:rsidRPr="00565758">
        <w:rPr>
          <w:rFonts w:ascii="Book Antiqua" w:eastAsia="Book Antiqua" w:hAnsi="Book Antiqua" w:cs="Book Antiqua"/>
          <w:color w:val="000000" w:themeColor="text1"/>
        </w:rPr>
        <w:t xml:space="preserve">close </w:t>
      </w:r>
      <w:r w:rsidRPr="00565758">
        <w:rPr>
          <w:rFonts w:ascii="Book Antiqua" w:eastAsia="Book Antiqua" w:hAnsi="Book Antiqua" w:cs="Book Antiqua"/>
          <w:color w:val="000000" w:themeColor="text1"/>
        </w:rPr>
        <w:t xml:space="preserve">completely the incision after the removal of the drainage tube (the technique of delayed port closure) (Figure 2). After the application of this technique, to our knowledge, no more trocar site hernias </w:t>
      </w:r>
      <w:r w:rsidR="003D2B66" w:rsidRPr="00565758">
        <w:rPr>
          <w:rFonts w:ascii="Book Antiqua" w:eastAsia="Book Antiqua" w:hAnsi="Book Antiqua" w:cs="Book Antiqua"/>
          <w:color w:val="000000" w:themeColor="text1"/>
        </w:rPr>
        <w:t xml:space="preserve">were </w:t>
      </w:r>
      <w:r w:rsidRPr="00565758">
        <w:rPr>
          <w:rFonts w:ascii="Book Antiqua" w:eastAsia="Book Antiqua" w:hAnsi="Book Antiqua" w:cs="Book Antiqua"/>
          <w:color w:val="000000" w:themeColor="text1"/>
        </w:rPr>
        <w:t>observed following laparoscopic surgery in our institution. However, further studies are still needed to verify the safety and efficiency of this method.</w:t>
      </w:r>
    </w:p>
    <w:p w14:paraId="76D80ECF" w14:textId="77777777" w:rsidR="00A77B3E" w:rsidRPr="00565758" w:rsidRDefault="00A77B3E" w:rsidP="00565758">
      <w:pPr>
        <w:snapToGrid w:val="0"/>
        <w:spacing w:line="360" w:lineRule="auto"/>
        <w:jc w:val="both"/>
        <w:rPr>
          <w:color w:val="000000" w:themeColor="text1"/>
        </w:rPr>
      </w:pPr>
    </w:p>
    <w:p w14:paraId="59BD060C"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aps/>
          <w:color w:val="000000" w:themeColor="text1"/>
          <w:u w:val="single"/>
        </w:rPr>
        <w:t>CONCLUSION</w:t>
      </w:r>
    </w:p>
    <w:p w14:paraId="439DD519" w14:textId="11CCBABB"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Although it is a rare complication, TSH should be given attention due to the risk of life-threatening consequences. Based on lessons from the described case and review of the literature, we recommend the following: First, all layers of the abdomen should be carefully closed under direct vision at the trocar site more than 10 mm, especially where the drainage tube is placed, as well as at 5 mm port site if necessary</w:t>
      </w:r>
      <w:r w:rsidR="0084467C" w:rsidRPr="00565758">
        <w:rPr>
          <w:rFonts w:ascii="Book Antiqua" w:eastAsia="Book Antiqua" w:hAnsi="Book Antiqua" w:cs="Book Antiqua"/>
          <w:color w:val="000000" w:themeColor="text1"/>
        </w:rPr>
        <w:t xml:space="preserve">. </w:t>
      </w:r>
      <w:r w:rsidRPr="00565758">
        <w:rPr>
          <w:rFonts w:ascii="Book Antiqua" w:eastAsia="Book Antiqua" w:hAnsi="Book Antiqua" w:cs="Book Antiqua"/>
          <w:color w:val="000000" w:themeColor="text1"/>
        </w:rPr>
        <w:t>Second, TSH must be kept in mind during the differential diagnosis of post-laparoscopic obstruction, especially after the removal of drains. Patients should be carefully observed for at least 24 h after the removal of the intraabdominal drainage tube, avoiding a subsequent delay in diagnosis and treatment. Third, emergency image examination, especially abdominal CT scans, should be applied if TSH is suspected. Once TSH is identified, emergency exploratory laparotomy or laparoscopy should be undertaken for hernia reduction.</w:t>
      </w:r>
      <w:r w:rsidR="0084467C" w:rsidRPr="00565758">
        <w:rPr>
          <w:rFonts w:ascii="Book Antiqua" w:eastAsia="Book Antiqua" w:hAnsi="Book Antiqua" w:cs="Book Antiqua"/>
          <w:color w:val="000000" w:themeColor="text1"/>
        </w:rPr>
        <w:t xml:space="preserve"> Our simple and practical method of preventing TSH is a new strategy worthy of clinical promotion.</w:t>
      </w:r>
    </w:p>
    <w:p w14:paraId="1904F8A6" w14:textId="77777777" w:rsidR="00A77B3E" w:rsidRPr="00565758" w:rsidRDefault="00A77B3E" w:rsidP="00565758">
      <w:pPr>
        <w:snapToGrid w:val="0"/>
        <w:spacing w:line="360" w:lineRule="auto"/>
        <w:jc w:val="both"/>
        <w:rPr>
          <w:color w:val="000000" w:themeColor="text1"/>
        </w:rPr>
      </w:pPr>
    </w:p>
    <w:p w14:paraId="6EC3C69A"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REFERENCES</w:t>
      </w:r>
    </w:p>
    <w:p w14:paraId="67A6FB07"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 </w:t>
      </w:r>
      <w:r w:rsidRPr="00565758">
        <w:rPr>
          <w:rFonts w:ascii="Book Antiqua" w:eastAsia="Book Antiqua" w:hAnsi="Book Antiqua" w:cs="Book Antiqua"/>
          <w:b/>
          <w:bCs/>
          <w:color w:val="000000" w:themeColor="text1"/>
        </w:rPr>
        <w:t>Swank HA</w:t>
      </w:r>
      <w:r w:rsidRPr="00565758">
        <w:rPr>
          <w:rFonts w:ascii="Book Antiqua" w:eastAsia="Book Antiqua" w:hAnsi="Book Antiqua" w:cs="Book Antiqua"/>
          <w:color w:val="000000" w:themeColor="text1"/>
        </w:rPr>
        <w:t xml:space="preserve">, Mulder IM, la Chapelle CF, Reitsma JB, Lange JF, Bemelman WA. Systematic review of trocar-site hernia. </w:t>
      </w:r>
      <w:r w:rsidRPr="00565758">
        <w:rPr>
          <w:rFonts w:ascii="Book Antiqua" w:eastAsia="Book Antiqua" w:hAnsi="Book Antiqua" w:cs="Book Antiqua"/>
          <w:i/>
          <w:iCs/>
          <w:color w:val="000000" w:themeColor="text1"/>
        </w:rPr>
        <w:t>Br J Surg</w:t>
      </w:r>
      <w:r w:rsidRPr="00565758">
        <w:rPr>
          <w:rFonts w:ascii="Book Antiqua" w:eastAsia="Book Antiqua" w:hAnsi="Book Antiqua" w:cs="Book Antiqua"/>
          <w:color w:val="000000" w:themeColor="text1"/>
        </w:rPr>
        <w:t xml:space="preserve"> 2012; </w:t>
      </w:r>
      <w:r w:rsidRPr="00565758">
        <w:rPr>
          <w:rFonts w:ascii="Book Antiqua" w:eastAsia="Book Antiqua" w:hAnsi="Book Antiqua" w:cs="Book Antiqua"/>
          <w:b/>
          <w:bCs/>
          <w:color w:val="000000" w:themeColor="text1"/>
        </w:rPr>
        <w:t>99</w:t>
      </w:r>
      <w:r w:rsidRPr="00565758">
        <w:rPr>
          <w:rFonts w:ascii="Book Antiqua" w:eastAsia="Book Antiqua" w:hAnsi="Book Antiqua" w:cs="Book Antiqua"/>
          <w:color w:val="000000" w:themeColor="text1"/>
        </w:rPr>
        <w:t>: 315-323 [PMID: 22213083 DOI: 10.1002/bjs.7836]</w:t>
      </w:r>
    </w:p>
    <w:p w14:paraId="0BF929C4"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2 </w:t>
      </w:r>
      <w:r w:rsidRPr="00565758">
        <w:rPr>
          <w:rFonts w:ascii="Book Antiqua" w:eastAsia="Book Antiqua" w:hAnsi="Book Antiqua" w:cs="Book Antiqua"/>
          <w:b/>
          <w:bCs/>
          <w:color w:val="000000" w:themeColor="text1"/>
        </w:rPr>
        <w:t>Dulskas A</w:t>
      </w:r>
      <w:r w:rsidRPr="00565758">
        <w:rPr>
          <w:rFonts w:ascii="Book Antiqua" w:eastAsia="Book Antiqua" w:hAnsi="Book Antiqua" w:cs="Book Antiqua"/>
          <w:color w:val="000000" w:themeColor="text1"/>
        </w:rPr>
        <w:t xml:space="preserve">, Lunevičius R, Stanaitis J. A case report of incisional hernia through a 5 mm lateral port site following laparoscopic cholecystectomy. </w:t>
      </w:r>
      <w:r w:rsidRPr="00565758">
        <w:rPr>
          <w:rFonts w:ascii="Book Antiqua" w:eastAsia="Book Antiqua" w:hAnsi="Book Antiqua" w:cs="Book Antiqua"/>
          <w:i/>
          <w:iCs/>
          <w:color w:val="000000" w:themeColor="text1"/>
        </w:rPr>
        <w:t>J Minim Access Surg</w:t>
      </w:r>
      <w:r w:rsidRPr="00565758">
        <w:rPr>
          <w:rFonts w:ascii="Book Antiqua" w:eastAsia="Book Antiqua" w:hAnsi="Book Antiqua" w:cs="Book Antiqua"/>
          <w:color w:val="000000" w:themeColor="text1"/>
        </w:rPr>
        <w:t xml:space="preserve"> 2011; </w:t>
      </w:r>
      <w:r w:rsidRPr="00565758">
        <w:rPr>
          <w:rFonts w:ascii="Book Antiqua" w:eastAsia="Book Antiqua" w:hAnsi="Book Antiqua" w:cs="Book Antiqua"/>
          <w:b/>
          <w:bCs/>
          <w:color w:val="000000" w:themeColor="text1"/>
        </w:rPr>
        <w:t>7</w:t>
      </w:r>
      <w:r w:rsidRPr="00565758">
        <w:rPr>
          <w:rFonts w:ascii="Book Antiqua" w:eastAsia="Book Antiqua" w:hAnsi="Book Antiqua" w:cs="Book Antiqua"/>
          <w:color w:val="000000" w:themeColor="text1"/>
        </w:rPr>
        <w:t>: 187-189 [PMID: 22022103 DOI: 10.4103/0972-9941.83512]</w:t>
      </w:r>
    </w:p>
    <w:p w14:paraId="70C3FF1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3 </w:t>
      </w:r>
      <w:r w:rsidRPr="00565758">
        <w:rPr>
          <w:rFonts w:ascii="Book Antiqua" w:eastAsia="Book Antiqua" w:hAnsi="Book Antiqua" w:cs="Book Antiqua"/>
          <w:b/>
          <w:bCs/>
          <w:color w:val="000000" w:themeColor="text1"/>
        </w:rPr>
        <w:t>Schmocker RK</w:t>
      </w:r>
      <w:r w:rsidRPr="00565758">
        <w:rPr>
          <w:rFonts w:ascii="Book Antiqua" w:eastAsia="Book Antiqua" w:hAnsi="Book Antiqua" w:cs="Book Antiqua"/>
          <w:color w:val="000000" w:themeColor="text1"/>
        </w:rPr>
        <w:t xml:space="preserve">, Greenberg JA. An Unusual Trocar Site Hernia after Prostatectomy. </w:t>
      </w:r>
      <w:r w:rsidRPr="00565758">
        <w:rPr>
          <w:rFonts w:ascii="Book Antiqua" w:eastAsia="Book Antiqua" w:hAnsi="Book Antiqua" w:cs="Book Antiqua"/>
          <w:i/>
          <w:iCs/>
          <w:color w:val="000000" w:themeColor="text1"/>
        </w:rPr>
        <w:t>Case Rep Surg</w:t>
      </w:r>
      <w:r w:rsidRPr="00565758">
        <w:rPr>
          <w:rFonts w:ascii="Book Antiqua" w:eastAsia="Book Antiqua" w:hAnsi="Book Antiqua" w:cs="Book Antiqua"/>
          <w:color w:val="000000" w:themeColor="text1"/>
        </w:rPr>
        <w:t xml:space="preserve"> 2016; </w:t>
      </w:r>
      <w:r w:rsidRPr="00565758">
        <w:rPr>
          <w:rFonts w:ascii="Book Antiqua" w:eastAsia="Book Antiqua" w:hAnsi="Book Antiqua" w:cs="Book Antiqua"/>
          <w:b/>
          <w:bCs/>
          <w:color w:val="000000" w:themeColor="text1"/>
        </w:rPr>
        <w:t>2016</w:t>
      </w:r>
      <w:r w:rsidRPr="00565758">
        <w:rPr>
          <w:rFonts w:ascii="Book Antiqua" w:eastAsia="Book Antiqua" w:hAnsi="Book Antiqua" w:cs="Book Antiqua"/>
          <w:color w:val="000000" w:themeColor="text1"/>
        </w:rPr>
        <w:t>: 3257824 [PMID: 27648335 DOI: 10.1155/2016/3257824]</w:t>
      </w:r>
    </w:p>
    <w:p w14:paraId="2A1E3315"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4 </w:t>
      </w:r>
      <w:r w:rsidRPr="00565758">
        <w:rPr>
          <w:rFonts w:ascii="Book Antiqua" w:eastAsia="Book Antiqua" w:hAnsi="Book Antiqua" w:cs="Book Antiqua"/>
          <w:b/>
          <w:bCs/>
          <w:color w:val="000000" w:themeColor="text1"/>
        </w:rPr>
        <w:t>Zemet R</w:t>
      </w:r>
      <w:r w:rsidRPr="00565758">
        <w:rPr>
          <w:rFonts w:ascii="Book Antiqua" w:eastAsia="Book Antiqua" w:hAnsi="Book Antiqua" w:cs="Book Antiqua"/>
          <w:color w:val="000000" w:themeColor="text1"/>
        </w:rPr>
        <w:t xml:space="preserve">, Mazeh H, Grinbaum R, Abu-Wasel B, Beglaibter N. Incarcerated hernia in 11-mm nonbladed trocar site following laparoscopic appendectomy. </w:t>
      </w:r>
      <w:r w:rsidRPr="00565758">
        <w:rPr>
          <w:rFonts w:ascii="Book Antiqua" w:eastAsia="Book Antiqua" w:hAnsi="Book Antiqua" w:cs="Book Antiqua"/>
          <w:i/>
          <w:iCs/>
          <w:color w:val="000000" w:themeColor="text1"/>
        </w:rPr>
        <w:t>JSLS</w:t>
      </w:r>
      <w:r w:rsidRPr="00565758">
        <w:rPr>
          <w:rFonts w:ascii="Book Antiqua" w:eastAsia="Book Antiqua" w:hAnsi="Book Antiqua" w:cs="Book Antiqua"/>
          <w:color w:val="000000" w:themeColor="text1"/>
        </w:rPr>
        <w:t xml:space="preserve"> 2012; </w:t>
      </w:r>
      <w:r w:rsidRPr="00565758">
        <w:rPr>
          <w:rFonts w:ascii="Book Antiqua" w:eastAsia="Book Antiqua" w:hAnsi="Book Antiqua" w:cs="Book Antiqua"/>
          <w:b/>
          <w:bCs/>
          <w:color w:val="000000" w:themeColor="text1"/>
        </w:rPr>
        <w:t>16</w:t>
      </w:r>
      <w:r w:rsidRPr="00565758">
        <w:rPr>
          <w:rFonts w:ascii="Book Antiqua" w:eastAsia="Book Antiqua" w:hAnsi="Book Antiqua" w:cs="Book Antiqua"/>
          <w:color w:val="000000" w:themeColor="text1"/>
        </w:rPr>
        <w:t>: 178-181 [PMID: 22906352 DOI: 10.4293/108680812X13291597716780]</w:t>
      </w:r>
    </w:p>
    <w:p w14:paraId="639A6DBD" w14:textId="01134D08"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5 </w:t>
      </w:r>
      <w:r w:rsidRPr="00565758">
        <w:rPr>
          <w:rFonts w:ascii="Book Antiqua" w:eastAsia="Book Antiqua" w:hAnsi="Book Antiqua" w:cs="Book Antiqua"/>
          <w:b/>
          <w:bCs/>
          <w:color w:val="000000" w:themeColor="text1"/>
        </w:rPr>
        <w:t>Ramalingam M</w:t>
      </w:r>
      <w:r w:rsidRPr="00565758">
        <w:rPr>
          <w:rFonts w:ascii="Book Antiqua" w:eastAsia="Book Antiqua" w:hAnsi="Book Antiqua" w:cs="Book Antiqua"/>
          <w:color w:val="000000" w:themeColor="text1"/>
        </w:rPr>
        <w:t xml:space="preserve">, Senthil K, Murugesan A, Pai M. Early-onset port site (drain site) hernia in pediatric laparoscopy: a case series. </w:t>
      </w:r>
      <w:r w:rsidRPr="00565758">
        <w:rPr>
          <w:rFonts w:ascii="Book Antiqua" w:eastAsia="Book Antiqua" w:hAnsi="Book Antiqua" w:cs="Book Antiqua"/>
          <w:i/>
          <w:iCs/>
          <w:color w:val="000000" w:themeColor="text1"/>
        </w:rPr>
        <w:t>J Laparoendosc Adv Surg Tech A</w:t>
      </w:r>
      <w:r w:rsidRPr="00565758">
        <w:rPr>
          <w:rFonts w:ascii="Book Antiqua" w:eastAsia="Book Antiqua" w:hAnsi="Book Antiqua" w:cs="Book Antiqua"/>
          <w:color w:val="000000" w:themeColor="text1"/>
        </w:rPr>
        <w:t xml:space="preserve"> 2012; </w:t>
      </w:r>
      <w:r w:rsidRPr="00565758">
        <w:rPr>
          <w:rFonts w:ascii="Book Antiqua" w:eastAsia="Book Antiqua" w:hAnsi="Book Antiqua" w:cs="Book Antiqua"/>
          <w:b/>
          <w:bCs/>
          <w:color w:val="000000" w:themeColor="text1"/>
        </w:rPr>
        <w:t>22</w:t>
      </w:r>
      <w:r w:rsidRPr="00565758">
        <w:rPr>
          <w:rFonts w:ascii="Book Antiqua" w:eastAsia="Book Antiqua" w:hAnsi="Book Antiqua" w:cs="Book Antiqua"/>
          <w:color w:val="000000" w:themeColor="text1"/>
        </w:rPr>
        <w:t>: 416-418 [PMID: 22577812 DOI: 10.1089/</w:t>
      </w:r>
      <w:r w:rsidR="00563764" w:rsidRPr="00565758">
        <w:rPr>
          <w:rFonts w:ascii="Book Antiqua" w:eastAsia="Book Antiqua" w:hAnsi="Book Antiqua" w:cs="Book Antiqua"/>
          <w:color w:val="000000" w:themeColor="text1"/>
        </w:rPr>
        <w:t>l</w:t>
      </w:r>
      <w:r w:rsidRPr="00565758">
        <w:rPr>
          <w:rFonts w:ascii="Book Antiqua" w:eastAsia="Book Antiqua" w:hAnsi="Book Antiqua" w:cs="Book Antiqua"/>
          <w:color w:val="000000" w:themeColor="text1"/>
        </w:rPr>
        <w:t>ap.2011.0220]</w:t>
      </w:r>
    </w:p>
    <w:p w14:paraId="3670E5F2"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6 </w:t>
      </w:r>
      <w:r w:rsidRPr="00565758">
        <w:rPr>
          <w:rFonts w:ascii="Book Antiqua" w:eastAsia="Book Antiqua" w:hAnsi="Book Antiqua" w:cs="Book Antiqua"/>
          <w:b/>
          <w:bCs/>
          <w:color w:val="000000" w:themeColor="text1"/>
        </w:rPr>
        <w:t>Moreaux G</w:t>
      </w:r>
      <w:r w:rsidRPr="00565758">
        <w:rPr>
          <w:rFonts w:ascii="Book Antiqua" w:eastAsia="Book Antiqua" w:hAnsi="Book Antiqua" w:cs="Book Antiqua"/>
          <w:color w:val="000000" w:themeColor="text1"/>
        </w:rPr>
        <w:t xml:space="preserve">, Estrade-Huchon S, Bader G, Guyot B, Heitz D, Fauconnier A, Huchon C. Five-millimeter trocar site small bowel eviscerations after gynecologic laparoscopic surgery. </w:t>
      </w:r>
      <w:r w:rsidRPr="00565758">
        <w:rPr>
          <w:rFonts w:ascii="Book Antiqua" w:eastAsia="Book Antiqua" w:hAnsi="Book Antiqua" w:cs="Book Antiqua"/>
          <w:i/>
          <w:iCs/>
          <w:color w:val="000000" w:themeColor="text1"/>
        </w:rPr>
        <w:t>J Minim Invasive Gynecol</w:t>
      </w:r>
      <w:r w:rsidRPr="00565758">
        <w:rPr>
          <w:rFonts w:ascii="Book Antiqua" w:eastAsia="Book Antiqua" w:hAnsi="Book Antiqua" w:cs="Book Antiqua"/>
          <w:color w:val="000000" w:themeColor="text1"/>
        </w:rPr>
        <w:t xml:space="preserve"> 2009; </w:t>
      </w:r>
      <w:r w:rsidRPr="00565758">
        <w:rPr>
          <w:rFonts w:ascii="Book Antiqua" w:eastAsia="Book Antiqua" w:hAnsi="Book Antiqua" w:cs="Book Antiqua"/>
          <w:b/>
          <w:bCs/>
          <w:color w:val="000000" w:themeColor="text1"/>
        </w:rPr>
        <w:t>16</w:t>
      </w:r>
      <w:r w:rsidRPr="00565758">
        <w:rPr>
          <w:rFonts w:ascii="Book Antiqua" w:eastAsia="Book Antiqua" w:hAnsi="Book Antiqua" w:cs="Book Antiqua"/>
          <w:color w:val="000000" w:themeColor="text1"/>
        </w:rPr>
        <w:t>: 643-645 [PMID: 19835812 DOI: 10.1016/j.jmig.2009.05.014]</w:t>
      </w:r>
    </w:p>
    <w:p w14:paraId="2432392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7 </w:t>
      </w:r>
      <w:r w:rsidRPr="00565758">
        <w:rPr>
          <w:rFonts w:ascii="Book Antiqua" w:eastAsia="Book Antiqua" w:hAnsi="Book Antiqua" w:cs="Book Antiqua"/>
          <w:b/>
          <w:bCs/>
          <w:color w:val="000000" w:themeColor="text1"/>
        </w:rPr>
        <w:t>Manigrasso M</w:t>
      </w:r>
      <w:r w:rsidRPr="00565758">
        <w:rPr>
          <w:rFonts w:ascii="Book Antiqua" w:eastAsia="Book Antiqua" w:hAnsi="Book Antiqua" w:cs="Book Antiqua"/>
          <w:color w:val="000000" w:themeColor="text1"/>
        </w:rPr>
        <w:t xml:space="preserve">, Anoldo P, Milone F, De Palma GD, Milone M. Case report of an uncommon case of drain-site hernia after colorectal surgery. </w:t>
      </w:r>
      <w:r w:rsidRPr="00565758">
        <w:rPr>
          <w:rFonts w:ascii="Book Antiqua" w:eastAsia="Book Antiqua" w:hAnsi="Book Antiqua" w:cs="Book Antiqua"/>
          <w:i/>
          <w:iCs/>
          <w:color w:val="000000" w:themeColor="text1"/>
        </w:rPr>
        <w:t>Int J Surg Case Rep</w:t>
      </w:r>
      <w:r w:rsidRPr="00565758">
        <w:rPr>
          <w:rFonts w:ascii="Book Antiqua" w:eastAsia="Book Antiqua" w:hAnsi="Book Antiqua" w:cs="Book Antiqua"/>
          <w:color w:val="000000" w:themeColor="text1"/>
        </w:rPr>
        <w:t xml:space="preserve"> 2018; </w:t>
      </w:r>
      <w:r w:rsidRPr="00565758">
        <w:rPr>
          <w:rFonts w:ascii="Book Antiqua" w:eastAsia="Book Antiqua" w:hAnsi="Book Antiqua" w:cs="Book Antiqua"/>
          <w:b/>
          <w:bCs/>
          <w:color w:val="000000" w:themeColor="text1"/>
        </w:rPr>
        <w:t>53</w:t>
      </w:r>
      <w:r w:rsidRPr="00565758">
        <w:rPr>
          <w:rFonts w:ascii="Book Antiqua" w:eastAsia="Book Antiqua" w:hAnsi="Book Antiqua" w:cs="Book Antiqua"/>
          <w:color w:val="000000" w:themeColor="text1"/>
        </w:rPr>
        <w:t>: 500-503 [PMID: 29342445 DOI: 10.1016/j.ijscr.2017.12.041]</w:t>
      </w:r>
    </w:p>
    <w:p w14:paraId="35C83908"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8 </w:t>
      </w:r>
      <w:r w:rsidRPr="00565758">
        <w:rPr>
          <w:rFonts w:ascii="Book Antiqua" w:eastAsia="Book Antiqua" w:hAnsi="Book Antiqua" w:cs="Book Antiqua"/>
          <w:b/>
          <w:bCs/>
          <w:color w:val="000000" w:themeColor="text1"/>
        </w:rPr>
        <w:t>Fear RE</w:t>
      </w:r>
      <w:r w:rsidRPr="00565758">
        <w:rPr>
          <w:rFonts w:ascii="Book Antiqua" w:eastAsia="Book Antiqua" w:hAnsi="Book Antiqua" w:cs="Book Antiqua"/>
          <w:color w:val="000000" w:themeColor="text1"/>
        </w:rPr>
        <w:t xml:space="preserve">. Laparoscopy: a valuable aid in gynecologic diagnosis. </w:t>
      </w:r>
      <w:r w:rsidRPr="00565758">
        <w:rPr>
          <w:rFonts w:ascii="Book Antiqua" w:eastAsia="Book Antiqua" w:hAnsi="Book Antiqua" w:cs="Book Antiqua"/>
          <w:i/>
          <w:iCs/>
          <w:color w:val="000000" w:themeColor="text1"/>
        </w:rPr>
        <w:t>Obstet Gynecol</w:t>
      </w:r>
      <w:r w:rsidRPr="00565758">
        <w:rPr>
          <w:rFonts w:ascii="Book Antiqua" w:eastAsia="Book Antiqua" w:hAnsi="Book Antiqua" w:cs="Book Antiqua"/>
          <w:color w:val="000000" w:themeColor="text1"/>
        </w:rPr>
        <w:t xml:space="preserve"> 1968; </w:t>
      </w:r>
      <w:r w:rsidRPr="00565758">
        <w:rPr>
          <w:rFonts w:ascii="Book Antiqua" w:eastAsia="Book Antiqua" w:hAnsi="Book Antiqua" w:cs="Book Antiqua"/>
          <w:b/>
          <w:bCs/>
          <w:color w:val="000000" w:themeColor="text1"/>
        </w:rPr>
        <w:t>31</w:t>
      </w:r>
      <w:r w:rsidRPr="00565758">
        <w:rPr>
          <w:rFonts w:ascii="Book Antiqua" w:eastAsia="Book Antiqua" w:hAnsi="Book Antiqua" w:cs="Book Antiqua"/>
          <w:color w:val="000000" w:themeColor="text1"/>
        </w:rPr>
        <w:t>: 297-309 [PMID: 5639182 DOI: 10.1097/00006250-196803000-00001]</w:t>
      </w:r>
    </w:p>
    <w:p w14:paraId="5D40BEE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9 </w:t>
      </w:r>
      <w:r w:rsidRPr="00565758">
        <w:rPr>
          <w:rFonts w:ascii="Book Antiqua" w:eastAsia="Book Antiqua" w:hAnsi="Book Antiqua" w:cs="Book Antiqua"/>
          <w:b/>
          <w:bCs/>
          <w:color w:val="000000" w:themeColor="text1"/>
        </w:rPr>
        <w:t>Tonouchi H</w:t>
      </w:r>
      <w:r w:rsidRPr="00565758">
        <w:rPr>
          <w:rFonts w:ascii="Book Antiqua" w:eastAsia="Book Antiqua" w:hAnsi="Book Antiqua" w:cs="Book Antiqua"/>
          <w:color w:val="000000" w:themeColor="text1"/>
        </w:rPr>
        <w:t xml:space="preserve">, Ohmori Y, Kobayashi M, Kusunoki M. Trocar site hernia. </w:t>
      </w:r>
      <w:r w:rsidRPr="00565758">
        <w:rPr>
          <w:rFonts w:ascii="Book Antiqua" w:eastAsia="Book Antiqua" w:hAnsi="Book Antiqua" w:cs="Book Antiqua"/>
          <w:i/>
          <w:iCs/>
          <w:color w:val="000000" w:themeColor="text1"/>
        </w:rPr>
        <w:t>Arch Surg</w:t>
      </w:r>
      <w:r w:rsidRPr="00565758">
        <w:rPr>
          <w:rFonts w:ascii="Book Antiqua" w:eastAsia="Book Antiqua" w:hAnsi="Book Antiqua" w:cs="Book Antiqua"/>
          <w:color w:val="000000" w:themeColor="text1"/>
        </w:rPr>
        <w:t xml:space="preserve"> 2004; </w:t>
      </w:r>
      <w:r w:rsidRPr="00565758">
        <w:rPr>
          <w:rFonts w:ascii="Book Antiqua" w:eastAsia="Book Antiqua" w:hAnsi="Book Antiqua" w:cs="Book Antiqua"/>
          <w:b/>
          <w:bCs/>
          <w:color w:val="000000" w:themeColor="text1"/>
        </w:rPr>
        <w:t>139</w:t>
      </w:r>
      <w:r w:rsidRPr="00565758">
        <w:rPr>
          <w:rFonts w:ascii="Book Antiqua" w:eastAsia="Book Antiqua" w:hAnsi="Book Antiqua" w:cs="Book Antiqua"/>
          <w:color w:val="000000" w:themeColor="text1"/>
        </w:rPr>
        <w:t>: 1248-1256 [PMID: 15545574 DOI: 10.1001/archsurg.139.11.1248]</w:t>
      </w:r>
    </w:p>
    <w:p w14:paraId="17E852FA"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10 </w:t>
      </w:r>
      <w:r w:rsidRPr="00565758">
        <w:rPr>
          <w:rFonts w:ascii="Book Antiqua" w:eastAsia="Book Antiqua" w:hAnsi="Book Antiqua" w:cs="Book Antiqua"/>
          <w:b/>
          <w:bCs/>
          <w:color w:val="000000" w:themeColor="text1"/>
        </w:rPr>
        <w:t>Velasco JM</w:t>
      </w:r>
      <w:r w:rsidRPr="00565758">
        <w:rPr>
          <w:rFonts w:ascii="Book Antiqua" w:eastAsia="Book Antiqua" w:hAnsi="Book Antiqua" w:cs="Book Antiqua"/>
          <w:color w:val="000000" w:themeColor="text1"/>
        </w:rPr>
        <w:t xml:space="preserve">, Vallina VL, Bonomo SR, Hieken TJ. Postlaparoscopic small bowel obstruction. Rethinking its management. </w:t>
      </w:r>
      <w:r w:rsidRPr="00565758">
        <w:rPr>
          <w:rFonts w:ascii="Book Antiqua" w:eastAsia="Book Antiqua" w:hAnsi="Book Antiqua" w:cs="Book Antiqua"/>
          <w:i/>
          <w:iCs/>
          <w:color w:val="000000" w:themeColor="text1"/>
        </w:rPr>
        <w:t>Surg Endosc</w:t>
      </w:r>
      <w:r w:rsidRPr="00565758">
        <w:rPr>
          <w:rFonts w:ascii="Book Antiqua" w:eastAsia="Book Antiqua" w:hAnsi="Book Antiqua" w:cs="Book Antiqua"/>
          <w:color w:val="000000" w:themeColor="text1"/>
        </w:rPr>
        <w:t xml:space="preserve"> 1998; </w:t>
      </w:r>
      <w:r w:rsidRPr="00565758">
        <w:rPr>
          <w:rFonts w:ascii="Book Antiqua" w:eastAsia="Book Antiqua" w:hAnsi="Book Antiqua" w:cs="Book Antiqua"/>
          <w:b/>
          <w:bCs/>
          <w:color w:val="000000" w:themeColor="text1"/>
        </w:rPr>
        <w:t>12</w:t>
      </w:r>
      <w:r w:rsidRPr="00565758">
        <w:rPr>
          <w:rFonts w:ascii="Book Antiqua" w:eastAsia="Book Antiqua" w:hAnsi="Book Antiqua" w:cs="Book Antiqua"/>
          <w:color w:val="000000" w:themeColor="text1"/>
        </w:rPr>
        <w:t>: 1043-1045 [PMID: 9685539 DOI: 10.1007/s004649900777]</w:t>
      </w:r>
    </w:p>
    <w:p w14:paraId="46C3F6F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11 </w:t>
      </w:r>
      <w:r w:rsidRPr="00565758">
        <w:rPr>
          <w:rFonts w:ascii="Book Antiqua" w:eastAsia="Book Antiqua" w:hAnsi="Book Antiqua" w:cs="Book Antiqua"/>
          <w:b/>
          <w:bCs/>
          <w:color w:val="000000" w:themeColor="text1"/>
        </w:rPr>
        <w:t>Shaher Z</w:t>
      </w:r>
      <w:r w:rsidRPr="00565758">
        <w:rPr>
          <w:rFonts w:ascii="Book Antiqua" w:eastAsia="Book Antiqua" w:hAnsi="Book Antiqua" w:cs="Book Antiqua"/>
          <w:color w:val="000000" w:themeColor="text1"/>
        </w:rPr>
        <w:t xml:space="preserve">. Port closure techniques. </w:t>
      </w:r>
      <w:r w:rsidRPr="00565758">
        <w:rPr>
          <w:rFonts w:ascii="Book Antiqua" w:eastAsia="Book Antiqua" w:hAnsi="Book Antiqua" w:cs="Book Antiqua"/>
          <w:i/>
          <w:iCs/>
          <w:color w:val="000000" w:themeColor="text1"/>
        </w:rPr>
        <w:t>Surg Endosc</w:t>
      </w:r>
      <w:r w:rsidRPr="00565758">
        <w:rPr>
          <w:rFonts w:ascii="Book Antiqua" w:eastAsia="Book Antiqua" w:hAnsi="Book Antiqua" w:cs="Book Antiqua"/>
          <w:color w:val="000000" w:themeColor="text1"/>
        </w:rPr>
        <w:t xml:space="preserve"> 2007; </w:t>
      </w:r>
      <w:r w:rsidRPr="00565758">
        <w:rPr>
          <w:rFonts w:ascii="Book Antiqua" w:eastAsia="Book Antiqua" w:hAnsi="Book Antiqua" w:cs="Book Antiqua"/>
          <w:b/>
          <w:bCs/>
          <w:color w:val="000000" w:themeColor="text1"/>
        </w:rPr>
        <w:t>21</w:t>
      </w:r>
      <w:r w:rsidRPr="00565758">
        <w:rPr>
          <w:rFonts w:ascii="Book Antiqua" w:eastAsia="Book Antiqua" w:hAnsi="Book Antiqua" w:cs="Book Antiqua"/>
          <w:color w:val="000000" w:themeColor="text1"/>
        </w:rPr>
        <w:t>: 1264-1274 [PMID: 17285391 DOI: 10.1007/s00464-006-9095-6]</w:t>
      </w:r>
    </w:p>
    <w:p w14:paraId="66E754A0"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12 </w:t>
      </w:r>
      <w:r w:rsidRPr="00565758">
        <w:rPr>
          <w:rFonts w:ascii="Book Antiqua" w:eastAsia="Book Antiqua" w:hAnsi="Book Antiqua" w:cs="Book Antiqua"/>
          <w:b/>
          <w:bCs/>
          <w:color w:val="000000" w:themeColor="text1"/>
        </w:rPr>
        <w:t>Duron JJ</w:t>
      </w:r>
      <w:r w:rsidRPr="00565758">
        <w:rPr>
          <w:rFonts w:ascii="Book Antiqua" w:eastAsia="Book Antiqua" w:hAnsi="Book Antiqua" w:cs="Book Antiqua"/>
          <w:color w:val="000000" w:themeColor="text1"/>
        </w:rPr>
        <w:t xml:space="preserve">, Hay JM, Msika S, Gaschard D, Domergue J, Gainant A, Fingerhut A. Prevalence and mechanisms of small intestinal obstruction following laparoscopic abdominal surgery: a retrospective multicenter study. French Association for Surgical Research. </w:t>
      </w:r>
      <w:r w:rsidRPr="00565758">
        <w:rPr>
          <w:rFonts w:ascii="Book Antiqua" w:eastAsia="Book Antiqua" w:hAnsi="Book Antiqua" w:cs="Book Antiqua"/>
          <w:i/>
          <w:iCs/>
          <w:color w:val="000000" w:themeColor="text1"/>
        </w:rPr>
        <w:t>Arch Surg</w:t>
      </w:r>
      <w:r w:rsidRPr="00565758">
        <w:rPr>
          <w:rFonts w:ascii="Book Antiqua" w:eastAsia="Book Antiqua" w:hAnsi="Book Antiqua" w:cs="Book Antiqua"/>
          <w:color w:val="000000" w:themeColor="text1"/>
        </w:rPr>
        <w:t xml:space="preserve"> 2000; </w:t>
      </w:r>
      <w:r w:rsidRPr="00565758">
        <w:rPr>
          <w:rFonts w:ascii="Book Antiqua" w:eastAsia="Book Antiqua" w:hAnsi="Book Antiqua" w:cs="Book Antiqua"/>
          <w:b/>
          <w:bCs/>
          <w:color w:val="000000" w:themeColor="text1"/>
        </w:rPr>
        <w:t>135</w:t>
      </w:r>
      <w:r w:rsidRPr="00565758">
        <w:rPr>
          <w:rFonts w:ascii="Book Antiqua" w:eastAsia="Book Antiqua" w:hAnsi="Book Antiqua" w:cs="Book Antiqua"/>
          <w:color w:val="000000" w:themeColor="text1"/>
        </w:rPr>
        <w:t>: 208-212 [PMID: 10668883 DOI: 10.1001/archsurg.135.2.208]</w:t>
      </w:r>
    </w:p>
    <w:p w14:paraId="53A65C9C"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 xml:space="preserve">13 </w:t>
      </w:r>
      <w:r w:rsidRPr="00565758">
        <w:rPr>
          <w:rFonts w:ascii="Book Antiqua" w:eastAsia="Book Antiqua" w:hAnsi="Book Antiqua" w:cs="Book Antiqua"/>
          <w:b/>
          <w:bCs/>
          <w:color w:val="000000" w:themeColor="text1"/>
        </w:rPr>
        <w:t>Komuta K</w:t>
      </w:r>
      <w:r w:rsidRPr="00565758">
        <w:rPr>
          <w:rFonts w:ascii="Book Antiqua" w:eastAsia="Book Antiqua" w:hAnsi="Book Antiqua" w:cs="Book Antiqua"/>
          <w:color w:val="000000" w:themeColor="text1"/>
        </w:rPr>
        <w:t xml:space="preserve">, Haraguchi M, Inoue K, Furui J, Kanematsu T. Herniation of the small bowel through the port site following removal of drains during laparoscopic surgery. </w:t>
      </w:r>
      <w:r w:rsidRPr="00565758">
        <w:rPr>
          <w:rFonts w:ascii="Book Antiqua" w:eastAsia="Book Antiqua" w:hAnsi="Book Antiqua" w:cs="Book Antiqua"/>
          <w:i/>
          <w:iCs/>
          <w:color w:val="000000" w:themeColor="text1"/>
        </w:rPr>
        <w:t>Dig Surg</w:t>
      </w:r>
      <w:r w:rsidRPr="00565758">
        <w:rPr>
          <w:rFonts w:ascii="Book Antiqua" w:eastAsia="Book Antiqua" w:hAnsi="Book Antiqua" w:cs="Book Antiqua"/>
          <w:color w:val="000000" w:themeColor="text1"/>
        </w:rPr>
        <w:t xml:space="preserve"> 2000; </w:t>
      </w:r>
      <w:r w:rsidRPr="00565758">
        <w:rPr>
          <w:rFonts w:ascii="Book Antiqua" w:eastAsia="Book Antiqua" w:hAnsi="Book Antiqua" w:cs="Book Antiqua"/>
          <w:b/>
          <w:bCs/>
          <w:color w:val="000000" w:themeColor="text1"/>
        </w:rPr>
        <w:t>17</w:t>
      </w:r>
      <w:r w:rsidRPr="00565758">
        <w:rPr>
          <w:rFonts w:ascii="Book Antiqua" w:eastAsia="Book Antiqua" w:hAnsi="Book Antiqua" w:cs="Book Antiqua"/>
          <w:color w:val="000000" w:themeColor="text1"/>
        </w:rPr>
        <w:t>: 544-546 [PMID: 11124568 DOI: 10.1159/000051960]</w:t>
      </w:r>
    </w:p>
    <w:p w14:paraId="303BA863" w14:textId="77777777" w:rsidR="00A8594A" w:rsidRPr="00565758" w:rsidRDefault="00A8594A" w:rsidP="00565758">
      <w:pPr>
        <w:snapToGrid w:val="0"/>
        <w:spacing w:line="360" w:lineRule="auto"/>
        <w:jc w:val="both"/>
        <w:rPr>
          <w:color w:val="000000" w:themeColor="text1"/>
        </w:rPr>
        <w:sectPr w:rsidR="00A8594A" w:rsidRPr="00565758">
          <w:pgSz w:w="12240" w:h="15840"/>
          <w:pgMar w:top="1440" w:right="1440" w:bottom="1440" w:left="1440" w:header="720" w:footer="720" w:gutter="0"/>
          <w:cols w:space="720"/>
          <w:docGrid w:linePitch="360"/>
        </w:sectPr>
      </w:pPr>
    </w:p>
    <w:p w14:paraId="7BB79E0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Footnotes</w:t>
      </w:r>
    </w:p>
    <w:p w14:paraId="4E3657F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Informed consent statement: </w:t>
      </w:r>
      <w:r w:rsidRPr="00565758">
        <w:rPr>
          <w:rFonts w:ascii="Book Antiqua" w:eastAsia="Book Antiqua" w:hAnsi="Book Antiqua" w:cs="Book Antiqua"/>
          <w:color w:val="000000" w:themeColor="text1"/>
        </w:rPr>
        <w:t>Written informed consent was obtained from the patient and her daughter to publish the details of her case and accompanying images.</w:t>
      </w:r>
    </w:p>
    <w:p w14:paraId="15DAA961" w14:textId="77777777" w:rsidR="00A77B3E" w:rsidRPr="00565758" w:rsidRDefault="00A77B3E" w:rsidP="00565758">
      <w:pPr>
        <w:snapToGrid w:val="0"/>
        <w:spacing w:line="360" w:lineRule="auto"/>
        <w:jc w:val="both"/>
        <w:rPr>
          <w:color w:val="000000" w:themeColor="text1"/>
        </w:rPr>
      </w:pPr>
    </w:p>
    <w:p w14:paraId="00A0BC9E"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Conflict-of-interest statement: </w:t>
      </w:r>
      <w:r w:rsidRPr="00565758">
        <w:rPr>
          <w:rFonts w:ascii="Book Antiqua" w:eastAsia="Book Antiqua" w:hAnsi="Book Antiqua" w:cs="Book Antiqua"/>
          <w:color w:val="000000" w:themeColor="text1"/>
        </w:rPr>
        <w:t>The authors have no funding and conflicts of interest to disclose.</w:t>
      </w:r>
    </w:p>
    <w:p w14:paraId="3170ACBA" w14:textId="77777777" w:rsidR="00A77B3E" w:rsidRPr="00565758" w:rsidRDefault="00A77B3E" w:rsidP="00565758">
      <w:pPr>
        <w:snapToGrid w:val="0"/>
        <w:spacing w:line="360" w:lineRule="auto"/>
        <w:jc w:val="both"/>
        <w:rPr>
          <w:color w:val="000000" w:themeColor="text1"/>
        </w:rPr>
      </w:pPr>
    </w:p>
    <w:p w14:paraId="4A9F1F4E" w14:textId="0D66580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CARE Checklist (2016) statement: </w:t>
      </w:r>
      <w:r w:rsidR="002B46E8" w:rsidRPr="00565758">
        <w:rPr>
          <w:rFonts w:ascii="Book Antiqua" w:eastAsia="宋体" w:hAnsi="Book Antiqua"/>
          <w:color w:val="000000" w:themeColor="text1"/>
        </w:rPr>
        <w:t>The authors have read the CARE Checklist (2016), and the manuscript was prepared and revised according to the CARE Checklist (2016).</w:t>
      </w:r>
    </w:p>
    <w:p w14:paraId="5580E078" w14:textId="77777777" w:rsidR="00A77B3E" w:rsidRPr="00565758" w:rsidRDefault="00A77B3E" w:rsidP="00565758">
      <w:pPr>
        <w:snapToGrid w:val="0"/>
        <w:spacing w:line="360" w:lineRule="auto"/>
        <w:jc w:val="both"/>
        <w:rPr>
          <w:color w:val="000000" w:themeColor="text1"/>
        </w:rPr>
      </w:pPr>
    </w:p>
    <w:p w14:paraId="4C3037C1"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Open-Access: </w:t>
      </w:r>
      <w:r w:rsidRPr="00565758">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D7D0FC" w14:textId="77777777" w:rsidR="00A77B3E" w:rsidRPr="00565758" w:rsidRDefault="00A77B3E" w:rsidP="00565758">
      <w:pPr>
        <w:snapToGrid w:val="0"/>
        <w:spacing w:line="360" w:lineRule="auto"/>
        <w:jc w:val="both"/>
        <w:rPr>
          <w:color w:val="000000" w:themeColor="text1"/>
        </w:rPr>
      </w:pPr>
    </w:p>
    <w:p w14:paraId="227946A4" w14:textId="4524D3BC"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Manuscript source: </w:t>
      </w:r>
      <w:r w:rsidRPr="00565758">
        <w:rPr>
          <w:rFonts w:ascii="Book Antiqua" w:eastAsia="Book Antiqua" w:hAnsi="Book Antiqua" w:cs="Book Antiqua"/>
          <w:color w:val="000000" w:themeColor="text1"/>
        </w:rPr>
        <w:t xml:space="preserve">Unsolicited </w:t>
      </w:r>
      <w:r w:rsidR="00E023B6" w:rsidRPr="00565758">
        <w:rPr>
          <w:rFonts w:ascii="Book Antiqua" w:eastAsia="Book Antiqua" w:hAnsi="Book Antiqua" w:cs="Book Antiqua"/>
          <w:color w:val="000000" w:themeColor="text1"/>
        </w:rPr>
        <w:t>m</w:t>
      </w:r>
      <w:r w:rsidRPr="00565758">
        <w:rPr>
          <w:rFonts w:ascii="Book Antiqua" w:eastAsia="Book Antiqua" w:hAnsi="Book Antiqua" w:cs="Book Antiqua"/>
          <w:color w:val="000000" w:themeColor="text1"/>
        </w:rPr>
        <w:t>anuscript</w:t>
      </w:r>
    </w:p>
    <w:p w14:paraId="2197B50E" w14:textId="77777777" w:rsidR="00A77B3E" w:rsidRPr="00565758" w:rsidRDefault="00A77B3E" w:rsidP="00565758">
      <w:pPr>
        <w:snapToGrid w:val="0"/>
        <w:spacing w:line="360" w:lineRule="auto"/>
        <w:jc w:val="both"/>
        <w:rPr>
          <w:color w:val="000000" w:themeColor="text1"/>
        </w:rPr>
      </w:pPr>
    </w:p>
    <w:p w14:paraId="5409ABC2"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Peer-review started: </w:t>
      </w:r>
      <w:r w:rsidRPr="00565758">
        <w:rPr>
          <w:rFonts w:ascii="Book Antiqua" w:eastAsia="Book Antiqua" w:hAnsi="Book Antiqua" w:cs="Book Antiqua"/>
          <w:color w:val="000000" w:themeColor="text1"/>
        </w:rPr>
        <w:t>September 20, 2020</w:t>
      </w:r>
    </w:p>
    <w:p w14:paraId="120F0ADF"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First decision: </w:t>
      </w:r>
      <w:r w:rsidRPr="00565758">
        <w:rPr>
          <w:rFonts w:ascii="Book Antiqua" w:eastAsia="Book Antiqua" w:hAnsi="Book Antiqua" w:cs="Book Antiqua"/>
          <w:color w:val="000000" w:themeColor="text1"/>
        </w:rPr>
        <w:t>September 29, 2020</w:t>
      </w:r>
    </w:p>
    <w:p w14:paraId="6620B4DF" w14:textId="01882009" w:rsidR="00A77B3E" w:rsidRPr="00565758" w:rsidRDefault="00AD0EBB" w:rsidP="00565758">
      <w:pPr>
        <w:snapToGrid w:val="0"/>
        <w:spacing w:line="360" w:lineRule="auto"/>
        <w:jc w:val="both"/>
        <w:rPr>
          <w:color w:val="000000" w:themeColor="text1"/>
          <w:lang w:eastAsia="zh-CN"/>
        </w:rPr>
      </w:pPr>
      <w:r w:rsidRPr="00565758">
        <w:rPr>
          <w:rFonts w:ascii="Book Antiqua" w:eastAsia="Book Antiqua" w:hAnsi="Book Antiqua" w:cs="Book Antiqua"/>
          <w:b/>
          <w:color w:val="000000" w:themeColor="text1"/>
        </w:rPr>
        <w:t xml:space="preserve">Article in press: </w:t>
      </w:r>
      <w:r w:rsidR="003B240D" w:rsidRPr="00565758">
        <w:rPr>
          <w:rFonts w:ascii="Book Antiqua" w:eastAsia="Book Antiqua" w:hAnsi="Book Antiqua" w:cs="Book Antiqua"/>
          <w:color w:val="000000" w:themeColor="text1"/>
        </w:rPr>
        <w:t xml:space="preserve">November 2, 2020 </w:t>
      </w:r>
    </w:p>
    <w:p w14:paraId="0FC7C121" w14:textId="77777777" w:rsidR="00A77B3E" w:rsidRPr="00565758" w:rsidRDefault="00A77B3E" w:rsidP="00565758">
      <w:pPr>
        <w:snapToGrid w:val="0"/>
        <w:spacing w:line="360" w:lineRule="auto"/>
        <w:jc w:val="both"/>
        <w:rPr>
          <w:color w:val="000000" w:themeColor="text1"/>
        </w:rPr>
      </w:pPr>
    </w:p>
    <w:p w14:paraId="7D48DAF6" w14:textId="5AB091CB"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Specialty type: </w:t>
      </w:r>
      <w:r w:rsidR="00E023B6" w:rsidRPr="00565758">
        <w:rPr>
          <w:rFonts w:ascii="Book Antiqua" w:eastAsia="微软雅黑" w:hAnsi="Book Antiqua" w:cs="宋体"/>
          <w:color w:val="000000" w:themeColor="text1"/>
        </w:rPr>
        <w:t>Medicine, research and experimental</w:t>
      </w:r>
    </w:p>
    <w:p w14:paraId="6F05169C"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 xml:space="preserve">Country/Territory of origin: </w:t>
      </w:r>
      <w:r w:rsidRPr="00565758">
        <w:rPr>
          <w:rFonts w:ascii="Book Antiqua" w:eastAsia="Book Antiqua" w:hAnsi="Book Antiqua" w:cs="Book Antiqua"/>
          <w:color w:val="000000" w:themeColor="text1"/>
        </w:rPr>
        <w:t>China</w:t>
      </w:r>
    </w:p>
    <w:p w14:paraId="314159A1"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color w:val="000000" w:themeColor="text1"/>
        </w:rPr>
        <w:t>Peer-review report’s scientific quality classification</w:t>
      </w:r>
    </w:p>
    <w:p w14:paraId="3318522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A (Excellent): 0</w:t>
      </w:r>
    </w:p>
    <w:p w14:paraId="47155646"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B (Very good): 0</w:t>
      </w:r>
    </w:p>
    <w:p w14:paraId="189B91AD" w14:textId="29DD1466"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C (Good): C</w:t>
      </w:r>
      <w:r w:rsidR="00E023B6" w:rsidRPr="00565758">
        <w:rPr>
          <w:rFonts w:ascii="Book Antiqua" w:eastAsia="Book Antiqua" w:hAnsi="Book Antiqua" w:cs="Book Antiqua"/>
          <w:color w:val="000000" w:themeColor="text1"/>
        </w:rPr>
        <w:t>, C</w:t>
      </w:r>
    </w:p>
    <w:p w14:paraId="23304FF3"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D (Fair): 0</w:t>
      </w:r>
    </w:p>
    <w:p w14:paraId="0F77D64D" w14:textId="77777777"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color w:val="000000" w:themeColor="text1"/>
        </w:rPr>
        <w:t>Grade E (Poor): 0</w:t>
      </w:r>
    </w:p>
    <w:p w14:paraId="03650438" w14:textId="77777777" w:rsidR="00A77B3E" w:rsidRPr="00565758" w:rsidRDefault="00A77B3E" w:rsidP="00565758">
      <w:pPr>
        <w:snapToGrid w:val="0"/>
        <w:spacing w:line="360" w:lineRule="auto"/>
        <w:jc w:val="both"/>
        <w:rPr>
          <w:color w:val="000000" w:themeColor="text1"/>
        </w:rPr>
      </w:pPr>
    </w:p>
    <w:p w14:paraId="555F8D51" w14:textId="4B5F8E73" w:rsidR="00A8594A" w:rsidRDefault="00AD0EBB" w:rsidP="00565758">
      <w:pPr>
        <w:snapToGrid w:val="0"/>
        <w:spacing w:line="360" w:lineRule="auto"/>
        <w:jc w:val="both"/>
        <w:rPr>
          <w:rFonts w:ascii="Book Antiqua" w:hAnsi="Book Antiqua" w:cs="Book Antiqua"/>
          <w:color w:val="000000" w:themeColor="text1"/>
          <w:lang w:eastAsia="zh-CN"/>
        </w:rPr>
      </w:pPr>
      <w:r w:rsidRPr="00565758">
        <w:rPr>
          <w:rFonts w:ascii="Book Antiqua" w:eastAsia="Book Antiqua" w:hAnsi="Book Antiqua" w:cs="Book Antiqua"/>
          <w:b/>
          <w:color w:val="000000" w:themeColor="text1"/>
        </w:rPr>
        <w:t xml:space="preserve">P-Reviewer: </w:t>
      </w:r>
      <w:r w:rsidRPr="00565758">
        <w:rPr>
          <w:rFonts w:ascii="Book Antiqua" w:eastAsia="Book Antiqua" w:hAnsi="Book Antiqua" w:cs="Book Antiqua"/>
          <w:color w:val="000000" w:themeColor="text1"/>
        </w:rPr>
        <w:t>Mazeh H</w:t>
      </w:r>
      <w:r w:rsidRPr="00565758">
        <w:rPr>
          <w:rFonts w:ascii="Book Antiqua" w:eastAsia="Book Antiqua" w:hAnsi="Book Antiqua" w:cs="Book Antiqua"/>
          <w:b/>
          <w:color w:val="000000" w:themeColor="text1"/>
        </w:rPr>
        <w:t xml:space="preserve"> S-Editor: </w:t>
      </w:r>
      <w:r w:rsidRPr="00565758">
        <w:rPr>
          <w:rFonts w:ascii="Book Antiqua" w:eastAsia="Book Antiqua" w:hAnsi="Book Antiqua" w:cs="Book Antiqua"/>
          <w:color w:val="000000" w:themeColor="text1"/>
        </w:rPr>
        <w:t>Gao CC</w:t>
      </w:r>
      <w:r w:rsidRPr="00565758">
        <w:rPr>
          <w:rFonts w:ascii="Book Antiqua" w:eastAsia="Book Antiqua" w:hAnsi="Book Antiqua" w:cs="Book Antiqua"/>
          <w:b/>
          <w:color w:val="000000" w:themeColor="text1"/>
        </w:rPr>
        <w:t xml:space="preserve"> L-Editor: </w:t>
      </w:r>
      <w:r w:rsidR="006D1762" w:rsidRPr="00565758">
        <w:rPr>
          <w:rFonts w:ascii="Book Antiqua" w:eastAsia="Book Antiqua" w:hAnsi="Book Antiqua" w:cs="Book Antiqua"/>
          <w:bCs/>
          <w:color w:val="000000" w:themeColor="text1"/>
        </w:rPr>
        <w:t>Filipodia</w:t>
      </w:r>
      <w:r w:rsidRPr="00565758">
        <w:rPr>
          <w:rFonts w:ascii="Book Antiqua" w:eastAsia="Book Antiqua" w:hAnsi="Book Antiqua" w:cs="Book Antiqua"/>
          <w:b/>
          <w:color w:val="000000" w:themeColor="text1"/>
        </w:rPr>
        <w:t xml:space="preserve"> P-Editor:</w:t>
      </w:r>
      <w:r w:rsidR="003B240D">
        <w:rPr>
          <w:rFonts w:ascii="Book Antiqua" w:hAnsi="Book Antiqua" w:cs="Book Antiqua" w:hint="eastAsia"/>
          <w:b/>
          <w:color w:val="000000" w:themeColor="text1"/>
          <w:lang w:eastAsia="zh-CN"/>
        </w:rPr>
        <w:t xml:space="preserve"> </w:t>
      </w:r>
      <w:r w:rsidR="003B240D" w:rsidRPr="003B240D">
        <w:rPr>
          <w:rFonts w:ascii="Book Antiqua" w:hAnsi="Book Antiqua" w:cs="Book Antiqua" w:hint="eastAsia"/>
          <w:color w:val="000000" w:themeColor="text1"/>
          <w:lang w:eastAsia="zh-CN"/>
        </w:rPr>
        <w:t>Li JH</w:t>
      </w:r>
      <w:r w:rsidRPr="003B240D">
        <w:rPr>
          <w:rFonts w:ascii="Book Antiqua" w:eastAsia="Book Antiqua" w:hAnsi="Book Antiqua" w:cs="Book Antiqua"/>
          <w:color w:val="000000" w:themeColor="text1"/>
        </w:rPr>
        <w:t xml:space="preserve"> </w:t>
      </w:r>
    </w:p>
    <w:p w14:paraId="1FEF85B4" w14:textId="77777777" w:rsidR="00D4043C" w:rsidRPr="00D4043C" w:rsidRDefault="00D4043C" w:rsidP="00565758">
      <w:pPr>
        <w:snapToGrid w:val="0"/>
        <w:spacing w:line="360" w:lineRule="auto"/>
        <w:jc w:val="both"/>
        <w:rPr>
          <w:color w:val="000000" w:themeColor="text1"/>
          <w:lang w:eastAsia="zh-CN"/>
        </w:rPr>
        <w:sectPr w:rsidR="00D4043C" w:rsidRPr="00D4043C">
          <w:pgSz w:w="12240" w:h="15840"/>
          <w:pgMar w:top="1440" w:right="1440" w:bottom="1440" w:left="1440" w:header="720" w:footer="720" w:gutter="0"/>
          <w:cols w:space="720"/>
          <w:docGrid w:linePitch="360"/>
        </w:sectPr>
      </w:pPr>
    </w:p>
    <w:p w14:paraId="4DBD4660" w14:textId="38EA7456" w:rsidR="00A77B3E" w:rsidRPr="00565758" w:rsidRDefault="00AD0EBB" w:rsidP="00565758">
      <w:pPr>
        <w:snapToGrid w:val="0"/>
        <w:spacing w:line="360" w:lineRule="auto"/>
        <w:jc w:val="both"/>
        <w:rPr>
          <w:rFonts w:ascii="Book Antiqua" w:eastAsia="Book Antiqua" w:hAnsi="Book Antiqua" w:cs="Book Antiqua"/>
          <w:b/>
          <w:color w:val="000000" w:themeColor="text1"/>
        </w:rPr>
      </w:pPr>
      <w:r w:rsidRPr="00565758">
        <w:rPr>
          <w:rFonts w:ascii="Book Antiqua" w:eastAsia="Book Antiqua" w:hAnsi="Book Antiqua" w:cs="Book Antiqua"/>
          <w:b/>
          <w:color w:val="000000" w:themeColor="text1"/>
        </w:rPr>
        <w:t>Figure Legends</w:t>
      </w:r>
    </w:p>
    <w:p w14:paraId="157DE91A" w14:textId="1D00D98A" w:rsidR="00962AD9" w:rsidRPr="00565758" w:rsidRDefault="00962AD9" w:rsidP="00565758">
      <w:pPr>
        <w:snapToGrid w:val="0"/>
        <w:spacing w:line="360" w:lineRule="auto"/>
        <w:jc w:val="both"/>
        <w:rPr>
          <w:color w:val="000000" w:themeColor="text1"/>
        </w:rPr>
      </w:pPr>
      <w:r w:rsidRPr="00565758">
        <w:rPr>
          <w:noProof/>
          <w:color w:val="000000" w:themeColor="text1"/>
          <w:lang w:eastAsia="zh-CN"/>
        </w:rPr>
        <w:drawing>
          <wp:inline distT="0" distB="0" distL="0" distR="0" wp14:anchorId="44A644EB" wp14:editId="73AF838C">
            <wp:extent cx="4068395" cy="2711394"/>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1571" cy="2713510"/>
                    </a:xfrm>
                    <a:prstGeom prst="rect">
                      <a:avLst/>
                    </a:prstGeom>
                  </pic:spPr>
                </pic:pic>
              </a:graphicData>
            </a:graphic>
          </wp:inline>
        </w:drawing>
      </w:r>
    </w:p>
    <w:p w14:paraId="26D519B8" w14:textId="42D60E9C" w:rsidR="00962AD9" w:rsidRPr="00565758" w:rsidRDefault="00AD0EBB" w:rsidP="00565758">
      <w:pPr>
        <w:snapToGrid w:val="0"/>
        <w:spacing w:line="360" w:lineRule="auto"/>
        <w:jc w:val="both"/>
        <w:rPr>
          <w:rFonts w:ascii="Book Antiqua" w:eastAsia="Book Antiqua" w:hAnsi="Book Antiqua" w:cs="Book Antiqua"/>
          <w:b/>
          <w:bCs/>
          <w:color w:val="000000" w:themeColor="text1"/>
        </w:rPr>
      </w:pPr>
      <w:r w:rsidRPr="00565758">
        <w:rPr>
          <w:rFonts w:ascii="Book Antiqua" w:eastAsia="Book Antiqua" w:hAnsi="Book Antiqua" w:cs="Book Antiqua"/>
          <w:b/>
          <w:bCs/>
          <w:color w:val="000000" w:themeColor="text1"/>
        </w:rPr>
        <w:t xml:space="preserve">Figure 1 Postoperative day 8 coronal </w:t>
      </w:r>
      <w:r w:rsidR="00962AD9" w:rsidRPr="00565758">
        <w:rPr>
          <w:rFonts w:ascii="Book Antiqua" w:eastAsia="Book Antiqua" w:hAnsi="Book Antiqua" w:cs="Book Antiqua"/>
          <w:b/>
          <w:bCs/>
          <w:color w:val="000000" w:themeColor="text1"/>
        </w:rPr>
        <w:t>computed tomography</w:t>
      </w:r>
      <w:r w:rsidRPr="00565758">
        <w:rPr>
          <w:rFonts w:ascii="Book Antiqua" w:eastAsia="Book Antiqua" w:hAnsi="Book Antiqua" w:cs="Book Antiqua"/>
          <w:b/>
          <w:bCs/>
          <w:color w:val="000000" w:themeColor="text1"/>
        </w:rPr>
        <w:t xml:space="preserve"> scan showing small bowel herniated through the drainage port site.</w:t>
      </w:r>
    </w:p>
    <w:p w14:paraId="2E680D86" w14:textId="70816027" w:rsidR="00962AD9" w:rsidRPr="00565758" w:rsidRDefault="00962AD9" w:rsidP="00565758">
      <w:pPr>
        <w:snapToGrid w:val="0"/>
        <w:spacing w:line="360" w:lineRule="auto"/>
        <w:jc w:val="both"/>
        <w:rPr>
          <w:rFonts w:ascii="Book Antiqua" w:eastAsia="Book Antiqua" w:hAnsi="Book Antiqua" w:cs="Book Antiqua"/>
          <w:b/>
          <w:bCs/>
          <w:color w:val="000000" w:themeColor="text1"/>
        </w:rPr>
      </w:pPr>
      <w:r w:rsidRPr="00565758">
        <w:rPr>
          <w:rFonts w:ascii="Book Antiqua" w:eastAsia="Book Antiqua" w:hAnsi="Book Antiqua" w:cs="Book Antiqua"/>
          <w:b/>
          <w:bCs/>
          <w:color w:val="000000" w:themeColor="text1"/>
        </w:rPr>
        <w:br w:type="page"/>
      </w:r>
      <w:r w:rsidRPr="00565758">
        <w:rPr>
          <w:noProof/>
          <w:color w:val="000000" w:themeColor="text1"/>
          <w:lang w:eastAsia="zh-CN"/>
        </w:rPr>
        <w:drawing>
          <wp:inline distT="0" distB="0" distL="0" distR="0" wp14:anchorId="2E529E72" wp14:editId="6B5447C9">
            <wp:extent cx="5943600" cy="3587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87115"/>
                    </a:xfrm>
                    <a:prstGeom prst="rect">
                      <a:avLst/>
                    </a:prstGeom>
                  </pic:spPr>
                </pic:pic>
              </a:graphicData>
            </a:graphic>
          </wp:inline>
        </w:drawing>
      </w:r>
    </w:p>
    <w:p w14:paraId="7141A491" w14:textId="4CAF2CA6" w:rsidR="00A77B3E" w:rsidRPr="00565758" w:rsidRDefault="00AD0EBB" w:rsidP="00565758">
      <w:pPr>
        <w:snapToGrid w:val="0"/>
        <w:spacing w:line="360" w:lineRule="auto"/>
        <w:jc w:val="both"/>
        <w:rPr>
          <w:color w:val="000000" w:themeColor="text1"/>
        </w:rPr>
      </w:pPr>
      <w:r w:rsidRPr="00565758">
        <w:rPr>
          <w:rFonts w:ascii="Book Antiqua" w:eastAsia="Book Antiqua" w:hAnsi="Book Antiqua" w:cs="Book Antiqua"/>
          <w:b/>
          <w:bCs/>
          <w:color w:val="000000" w:themeColor="text1"/>
        </w:rPr>
        <w:t xml:space="preserve">Figure 2 A simple and practical method for closing the trocar incision at the drain-site. </w:t>
      </w:r>
      <w:r w:rsidRPr="00565758">
        <w:rPr>
          <w:rFonts w:ascii="Book Antiqua" w:eastAsia="Book Antiqua" w:hAnsi="Book Antiqua" w:cs="Book Antiqua"/>
          <w:color w:val="000000" w:themeColor="text1"/>
        </w:rPr>
        <w:t xml:space="preserve">A: Let one end of the suture pass through a syringe needle (18 G </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38 mm)</w:t>
      </w:r>
      <w:r w:rsidR="00573667"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and let the needle penetrate through the whole abdominal wall at one edge of the incision under direct vision. Perform the same way on the other side of the incision</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B: Let the right loop trap in the left loop with the help of a grasper</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C: Continuously grasp the right loop with a grasper</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D: Then, hold one end of the right suture and withdraw the left loop outward. Release the grasper when the right suture is pulled into the left needle and allow the other end of right suture pass to through the position of the left syringe needle. Finally, the right suture crosses all layers of the abdominal wall at the incision site</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E: Secure the drainage tube to the skin with a simple skin suture (dotted red line). Then, the right suture is wrapped around the drainage tube during the placement of the drainage tube</w:t>
      </w:r>
      <w:r w:rsidR="00962AD9" w:rsidRPr="00565758">
        <w:rPr>
          <w:rFonts w:ascii="Book Antiqua" w:eastAsia="Book Antiqua" w:hAnsi="Book Antiqua" w:cs="Book Antiqua"/>
          <w:color w:val="000000" w:themeColor="text1"/>
        </w:rPr>
        <w:t>;</w:t>
      </w:r>
      <w:r w:rsidRPr="00565758">
        <w:rPr>
          <w:rFonts w:ascii="Book Antiqua" w:eastAsia="Book Antiqua" w:hAnsi="Book Antiqua" w:cs="Book Antiqua"/>
          <w:color w:val="000000" w:themeColor="text1"/>
        </w:rPr>
        <w:t xml:space="preserve"> F: Finally, the right suture is tied after the drainage tube is removed (also known as delayed closure technique).</w:t>
      </w:r>
    </w:p>
    <w:sectPr w:rsidR="00A77B3E" w:rsidRPr="005657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2713D" w14:textId="77777777" w:rsidR="0023726D" w:rsidRDefault="0023726D" w:rsidP="0066216E">
      <w:r>
        <w:separator/>
      </w:r>
    </w:p>
  </w:endnote>
  <w:endnote w:type="continuationSeparator" w:id="0">
    <w:p w14:paraId="58DE8516" w14:textId="77777777" w:rsidR="0023726D" w:rsidRDefault="0023726D" w:rsidP="0066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95469760"/>
      <w:docPartObj>
        <w:docPartGallery w:val="Page Numbers (Bottom of Page)"/>
        <w:docPartUnique/>
      </w:docPartObj>
    </w:sdtPr>
    <w:sdtEndPr>
      <w:rPr>
        <w:noProof/>
      </w:rPr>
    </w:sdtEndPr>
    <w:sdtContent>
      <w:p w14:paraId="6C2EF25D" w14:textId="01D92195" w:rsidR="0092695C" w:rsidRPr="00565758" w:rsidRDefault="0092695C">
        <w:pPr>
          <w:pStyle w:val="a5"/>
          <w:jc w:val="right"/>
          <w:rPr>
            <w:rFonts w:ascii="Book Antiqua" w:hAnsi="Book Antiqua"/>
            <w:sz w:val="24"/>
            <w:szCs w:val="24"/>
          </w:rPr>
        </w:pPr>
        <w:r w:rsidRPr="00565758">
          <w:rPr>
            <w:rFonts w:ascii="Book Antiqua" w:hAnsi="Book Antiqua"/>
            <w:sz w:val="24"/>
            <w:szCs w:val="24"/>
          </w:rPr>
          <w:fldChar w:fldCharType="begin"/>
        </w:r>
        <w:r w:rsidRPr="00565758">
          <w:rPr>
            <w:rFonts w:ascii="Book Antiqua" w:hAnsi="Book Antiqua"/>
            <w:sz w:val="24"/>
            <w:szCs w:val="24"/>
          </w:rPr>
          <w:instrText xml:space="preserve"> PAGE   \* MERGEFORMAT </w:instrText>
        </w:r>
        <w:r w:rsidRPr="00565758">
          <w:rPr>
            <w:rFonts w:ascii="Book Antiqua" w:hAnsi="Book Antiqua"/>
            <w:sz w:val="24"/>
            <w:szCs w:val="24"/>
          </w:rPr>
          <w:fldChar w:fldCharType="separate"/>
        </w:r>
        <w:r w:rsidR="0023726D">
          <w:rPr>
            <w:rFonts w:ascii="Book Antiqua" w:hAnsi="Book Antiqua"/>
            <w:noProof/>
            <w:sz w:val="24"/>
            <w:szCs w:val="24"/>
          </w:rPr>
          <w:t>1</w:t>
        </w:r>
        <w:r w:rsidRPr="00565758">
          <w:rPr>
            <w:rFonts w:ascii="Book Antiqua" w:hAnsi="Book Antiqua"/>
            <w:noProof/>
            <w:sz w:val="24"/>
            <w:szCs w:val="24"/>
          </w:rPr>
          <w:fldChar w:fldCharType="end"/>
        </w:r>
        <w:r w:rsidR="00747048">
          <w:rPr>
            <w:rFonts w:ascii="Book Antiqua" w:hAnsi="Book Antiqua"/>
            <w:noProof/>
            <w:sz w:val="24"/>
            <w:szCs w:val="24"/>
          </w:rPr>
          <w:t xml:space="preserve"> </w:t>
        </w:r>
        <w:r w:rsidRPr="00565758">
          <w:rPr>
            <w:rFonts w:ascii="Book Antiqua" w:hAnsi="Book Antiqua"/>
            <w:noProof/>
            <w:sz w:val="24"/>
            <w:szCs w:val="24"/>
          </w:rPr>
          <w:t>/</w:t>
        </w:r>
        <w:r w:rsidR="00747048">
          <w:rPr>
            <w:rFonts w:ascii="Book Antiqua" w:hAnsi="Book Antiqua"/>
            <w:noProof/>
            <w:sz w:val="24"/>
            <w:szCs w:val="24"/>
          </w:rPr>
          <w:t xml:space="preserve"> </w:t>
        </w:r>
        <w:r w:rsidRPr="00565758">
          <w:rPr>
            <w:rFonts w:ascii="Book Antiqua" w:hAnsi="Book Antiqua"/>
            <w:noProof/>
            <w:sz w:val="24"/>
            <w:szCs w:val="24"/>
          </w:rPr>
          <w:t>16</w:t>
        </w:r>
      </w:p>
    </w:sdtContent>
  </w:sdt>
  <w:p w14:paraId="7A43A819" w14:textId="77777777" w:rsidR="0066216E" w:rsidRPr="0066216E" w:rsidRDefault="0066216E" w:rsidP="0066216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60367" w14:textId="77777777" w:rsidR="0023726D" w:rsidRDefault="0023726D" w:rsidP="0066216E">
      <w:r>
        <w:separator/>
      </w:r>
    </w:p>
  </w:footnote>
  <w:footnote w:type="continuationSeparator" w:id="0">
    <w:p w14:paraId="4AFC8B31" w14:textId="77777777" w:rsidR="0023726D" w:rsidRDefault="0023726D" w:rsidP="00662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A0NTOyMAKSBpZGxko6SsGpxcWZ+XkgBUa1AK37C3UsAAAA"/>
  </w:docVars>
  <w:rsids>
    <w:rsidRoot w:val="00A77B3E"/>
    <w:rsid w:val="00023A73"/>
    <w:rsid w:val="00043C05"/>
    <w:rsid w:val="000B3D2B"/>
    <w:rsid w:val="00114B90"/>
    <w:rsid w:val="0018712C"/>
    <w:rsid w:val="002329A7"/>
    <w:rsid w:val="0023726D"/>
    <w:rsid w:val="002B46E8"/>
    <w:rsid w:val="002E0CFC"/>
    <w:rsid w:val="0031292E"/>
    <w:rsid w:val="00316690"/>
    <w:rsid w:val="00335151"/>
    <w:rsid w:val="003933EF"/>
    <w:rsid w:val="003B240D"/>
    <w:rsid w:val="003D2B66"/>
    <w:rsid w:val="003D6427"/>
    <w:rsid w:val="004E2B09"/>
    <w:rsid w:val="005567C4"/>
    <w:rsid w:val="00563764"/>
    <w:rsid w:val="00565758"/>
    <w:rsid w:val="00573667"/>
    <w:rsid w:val="00587289"/>
    <w:rsid w:val="00657F1F"/>
    <w:rsid w:val="0066216E"/>
    <w:rsid w:val="006D1762"/>
    <w:rsid w:val="006E6D6B"/>
    <w:rsid w:val="0070540D"/>
    <w:rsid w:val="00721F4E"/>
    <w:rsid w:val="00747048"/>
    <w:rsid w:val="0077479D"/>
    <w:rsid w:val="007A6A35"/>
    <w:rsid w:val="0080640C"/>
    <w:rsid w:val="00811150"/>
    <w:rsid w:val="0084467C"/>
    <w:rsid w:val="008F5F82"/>
    <w:rsid w:val="0092695C"/>
    <w:rsid w:val="00962AD9"/>
    <w:rsid w:val="00A219F3"/>
    <w:rsid w:val="00A75E51"/>
    <w:rsid w:val="00A77B3E"/>
    <w:rsid w:val="00A8594A"/>
    <w:rsid w:val="00AD0EBB"/>
    <w:rsid w:val="00B1010F"/>
    <w:rsid w:val="00B1357D"/>
    <w:rsid w:val="00B2351E"/>
    <w:rsid w:val="00B55DE0"/>
    <w:rsid w:val="00BA2E45"/>
    <w:rsid w:val="00C170C1"/>
    <w:rsid w:val="00CA2A55"/>
    <w:rsid w:val="00CE1195"/>
    <w:rsid w:val="00CE18DB"/>
    <w:rsid w:val="00D4043C"/>
    <w:rsid w:val="00DB1206"/>
    <w:rsid w:val="00E023B6"/>
    <w:rsid w:val="00E4293D"/>
    <w:rsid w:val="00E60AE4"/>
    <w:rsid w:val="00F2096A"/>
    <w:rsid w:val="00FF2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7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170C1"/>
    <w:rPr>
      <w:sz w:val="18"/>
      <w:szCs w:val="18"/>
    </w:rPr>
  </w:style>
  <w:style w:type="character" w:customStyle="1" w:styleId="Char">
    <w:name w:val="批注框文本 Char"/>
    <w:basedOn w:val="a0"/>
    <w:link w:val="a3"/>
    <w:rsid w:val="00C170C1"/>
    <w:rPr>
      <w:sz w:val="18"/>
      <w:szCs w:val="18"/>
    </w:rPr>
  </w:style>
  <w:style w:type="paragraph" w:styleId="a4">
    <w:name w:val="header"/>
    <w:basedOn w:val="a"/>
    <w:link w:val="Char0"/>
    <w:unhideWhenUsed/>
    <w:rsid w:val="006621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6216E"/>
    <w:rPr>
      <w:sz w:val="18"/>
      <w:szCs w:val="18"/>
    </w:rPr>
  </w:style>
  <w:style w:type="paragraph" w:styleId="a5">
    <w:name w:val="footer"/>
    <w:basedOn w:val="a"/>
    <w:link w:val="Char1"/>
    <w:uiPriority w:val="99"/>
    <w:unhideWhenUsed/>
    <w:rsid w:val="0066216E"/>
    <w:pPr>
      <w:tabs>
        <w:tab w:val="center" w:pos="4153"/>
        <w:tab w:val="right" w:pos="8306"/>
      </w:tabs>
      <w:snapToGrid w:val="0"/>
    </w:pPr>
    <w:rPr>
      <w:sz w:val="18"/>
      <w:szCs w:val="18"/>
    </w:rPr>
  </w:style>
  <w:style w:type="character" w:customStyle="1" w:styleId="Char1">
    <w:name w:val="页脚 Char"/>
    <w:basedOn w:val="a0"/>
    <w:link w:val="a5"/>
    <w:uiPriority w:val="99"/>
    <w:rsid w:val="0066216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170C1"/>
    <w:rPr>
      <w:sz w:val="18"/>
      <w:szCs w:val="18"/>
    </w:rPr>
  </w:style>
  <w:style w:type="character" w:customStyle="1" w:styleId="Char">
    <w:name w:val="批注框文本 Char"/>
    <w:basedOn w:val="a0"/>
    <w:link w:val="a3"/>
    <w:rsid w:val="00C170C1"/>
    <w:rPr>
      <w:sz w:val="18"/>
      <w:szCs w:val="18"/>
    </w:rPr>
  </w:style>
  <w:style w:type="paragraph" w:styleId="a4">
    <w:name w:val="header"/>
    <w:basedOn w:val="a"/>
    <w:link w:val="Char0"/>
    <w:unhideWhenUsed/>
    <w:rsid w:val="006621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6216E"/>
    <w:rPr>
      <w:sz w:val="18"/>
      <w:szCs w:val="18"/>
    </w:rPr>
  </w:style>
  <w:style w:type="paragraph" w:styleId="a5">
    <w:name w:val="footer"/>
    <w:basedOn w:val="a"/>
    <w:link w:val="Char1"/>
    <w:uiPriority w:val="99"/>
    <w:unhideWhenUsed/>
    <w:rsid w:val="0066216E"/>
    <w:pPr>
      <w:tabs>
        <w:tab w:val="center" w:pos="4153"/>
        <w:tab w:val="right" w:pos="8306"/>
      </w:tabs>
      <w:snapToGrid w:val="0"/>
    </w:pPr>
    <w:rPr>
      <w:sz w:val="18"/>
      <w:szCs w:val="18"/>
    </w:rPr>
  </w:style>
  <w:style w:type="character" w:customStyle="1" w:styleId="Char1">
    <w:name w:val="页脚 Char"/>
    <w:basedOn w:val="a0"/>
    <w:link w:val="a5"/>
    <w:uiPriority w:val="99"/>
    <w:rsid w:val="006621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75B62-852A-4AE1-B2FE-D94E383F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3371</Words>
  <Characters>19220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16</cp:revision>
  <dcterms:created xsi:type="dcterms:W3CDTF">2020-11-03T13:29:00Z</dcterms:created>
  <dcterms:modified xsi:type="dcterms:W3CDTF">2020-12-15T08:42:00Z</dcterms:modified>
</cp:coreProperties>
</file>