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Gastrointestinal Endoscopy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59591</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Observational Study</w:t>
      </w:r>
    </w:p>
    <w:p>
      <w:pPr>
        <w:spacing w:line="360" w:lineRule="auto"/>
        <w:jc w:val="both"/>
        <w:rPr>
          <w:rFonts w:ascii="Book Antiqua" w:hAnsi="Book Antiqua"/>
        </w:rPr>
      </w:pPr>
      <w:r>
        <w:rPr>
          <w:rFonts w:ascii="Book Antiqua" w:hAnsi="Book Antiqua" w:eastAsia="Book Antiqua" w:cs="Book Antiqua"/>
          <w:b/>
          <w:color w:val="000000"/>
        </w:rPr>
        <w:t>Clinical characteristics and prognosis of patients with ulcerative colitis that shows rectal sparing at initial diagnosis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Choi YS </w:t>
      </w:r>
      <w:r>
        <w:rPr>
          <w:rFonts w:ascii="Book Antiqua" w:hAnsi="Book Antiqua" w:eastAsia="Book Antiqua" w:cs="Book Antiqua"/>
          <w:i/>
          <w:iCs/>
          <w:color w:val="000000"/>
        </w:rPr>
        <w:t>et al</w:t>
      </w:r>
      <w:r>
        <w:rPr>
          <w:rFonts w:ascii="Book Antiqua" w:hAnsi="Book Antiqua" w:eastAsia="Book Antiqua" w:cs="Book Antiqua"/>
          <w:color w:val="000000"/>
        </w:rPr>
        <w:t>. Rectal sparing ulcerative colitis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Yong-Sung Choi, Jong-Kyu Kim, Wan-Jung Kim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Yong-Sung Choi, </w:t>
      </w:r>
      <w:bookmarkStart w:id="0" w:name="OLE_LINK1"/>
      <w:r>
        <w:rPr>
          <w:rFonts w:ascii="Book Antiqua" w:hAnsi="Book Antiqua" w:eastAsia="Book Antiqua" w:cs="Book Antiqua"/>
          <w:color w:val="000000"/>
        </w:rPr>
        <w:t>Department of Internal Medicine</w:t>
      </w:r>
      <w:bookmarkEnd w:id="0"/>
      <w:r>
        <w:rPr>
          <w:rFonts w:ascii="Book Antiqua" w:hAnsi="Book Antiqua" w:eastAsia="Book Antiqua" w:cs="Book Antiqua"/>
          <w:color w:val="000000"/>
        </w:rPr>
        <w:t>, Daehang Hospital, Seoul 06699,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Jong-Kyu Kim, Wan-Jung Kim, </w:t>
      </w:r>
      <w:r>
        <w:rPr>
          <w:rFonts w:ascii="Book Antiqua" w:hAnsi="Book Antiqua" w:eastAsia="Book Antiqua" w:cs="Book Antiqua"/>
          <w:color w:val="000000"/>
        </w:rPr>
        <w:t>Department of Gastroenterology, Daehang Hospital, Seoul 06699, South Korea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Choi YS designed the research study and wrote the manuscript; Kim JK and Kim WJ analyzed the data; 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Yong-Sung Choi, MD, Chief Doctor, Director, Staff Physician, </w:t>
      </w:r>
      <w:r>
        <w:rPr>
          <w:rFonts w:ascii="Book Antiqua" w:hAnsi="Book Antiqua" w:eastAsia="Book Antiqua" w:cs="Book Antiqua"/>
          <w:color w:val="000000"/>
        </w:rPr>
        <w:t>Department of Internal Medicine, Daehang Hospital, 2151 Nambu Beltway, Seocho-Gu, Seoul 06699, South Korea. yschoi427@naver.com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19,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23,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bookmarkStart w:id="1" w:name="OLE_LINK33"/>
      <w:bookmarkStart w:id="2" w:name="OLE_LINK48"/>
      <w:bookmarkStart w:id="3" w:name="OLE_LINK15"/>
      <w:r>
        <w:rPr>
          <w:rFonts w:hint="eastAsia" w:ascii="Book Antiqua" w:hAnsi="Book Antiqua" w:eastAsia="宋体"/>
          <w:color w:val="000000" w:themeColor="text1"/>
        </w:rPr>
        <w:t>Au</w:t>
      </w:r>
      <w:r>
        <w:rPr>
          <w:rFonts w:ascii="Book Antiqua" w:hAnsi="Book Antiqua" w:eastAsia="宋体"/>
          <w:color w:val="000000" w:themeColor="text1"/>
        </w:rPr>
        <w:t>gust 12, 2021</w:t>
      </w:r>
      <w:bookmarkEnd w:id="1"/>
      <w:bookmarkEnd w:id="2"/>
      <w:bookmarkEnd w:id="3"/>
    </w:p>
    <w:p>
      <w:pPr>
        <w:spacing w:line="360" w:lineRule="auto"/>
        <w:jc w:val="both"/>
        <w:rPr>
          <w:rFonts w:ascii="Book Antiqua" w:hAnsi="Book Antiqua" w:eastAsia="宋体"/>
          <w:lang w:eastAsia="zh-CN"/>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color w:val="000000"/>
        </w:rPr>
        <w:t>September 16</w:t>
      </w:r>
      <w:r>
        <w:rPr>
          <w:rFonts w:hint="eastAsia" w:ascii="Book Antiqua" w:hAnsi="Book Antiqua" w:eastAsia="宋体" w:cs="Book Antiqua"/>
          <w:color w:val="000000"/>
          <w:lang w:eastAsia="zh-CN"/>
        </w:rPr>
        <w:t>,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Ulcerative colitis (UC) is characterised by mucosal inflammation from the rectum to its proximal area in a symmetric and continuous fashion. However, although uncommon, we encounter cases of UC with rectal sparing in the initial stage.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evaluate the clinical characteristics and clinical course for rectal sparing UC compared with typical UC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 xml:space="preserve">We looked at records from 2004 to 2015, and selected patients who were newly diagnosed with UC, and who could be followed up for at least 5 years in our hospital. We then retrospectively analysed the medical records and endoscopic findings of those patients. To compare the clinical course and prognosis, we matched each patient with rectal sparing UC 1:3 with controls by age, sex, and disease extent.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Of 619 UC patients, 24 (3.9%) showed rectal sparing at diagnosis. During the follow-up period (median 8 years), in two (8.3%) of the 24 patients, rectal sparing remained through follow-up inspections; but for the other 22 (91.7%) patients, obvious rectal inflammation was found at follow-up endoscopy. Of the 24 patients, 8 (33.3%) were initially misdiagnosed with infectious colitis. No diagnosis was changed to Crohn’s disease. The uses of corticosteroid or biologic agents, hospitalisation rate, and colectomy rates were not different between the rectal sparing UC group and typical UC group.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Some patients with UC can reveal atypical patterns of disease distribution, such as rectal sparing in its initial stage; but despite this, the clinical course and prognosis may not differ from those of typical UC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Ulcerative colitis; Rectal sparing; Clinical characteristics; Prognosis; At diagnosis; Adult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Choi YS, Kim JK, Kim WJ. Clinical characteristics and prognosis of patients with ulcerative colitis that shows rectal sparing at initial diagnosis.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13(</w:t>
      </w:r>
      <w:r>
        <w:rPr>
          <w:rFonts w:hint="eastAsia" w:ascii="Book Antiqua" w:hAnsi="Book Antiqua" w:eastAsia="宋体" w:cs="Book Antiqua"/>
          <w:color w:val="000000"/>
          <w:lang w:eastAsia="zh-CN"/>
        </w:rPr>
        <w:t>9</w:t>
      </w:r>
      <w:r>
        <w:rPr>
          <w:rFonts w:hint="eastAsia"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407</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415</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https://www.wjgnet.com/1948-5190/full/v13/i</w:t>
      </w:r>
      <w:r>
        <w:rPr>
          <w:rFonts w:hint="eastAsia" w:ascii="Book Antiqua" w:hAnsi="Book Antiqua" w:eastAsia="宋体" w:cs="Book Antiqua"/>
          <w:color w:val="000000"/>
          <w:lang w:eastAsia="zh-CN"/>
        </w:rPr>
        <w:t>9</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407</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https://dx.doi.org/10.4253/wjge.v13.i</w:t>
      </w:r>
      <w:r>
        <w:rPr>
          <w:rFonts w:hint="eastAsia" w:ascii="Book Antiqua" w:hAnsi="Book Antiqua" w:eastAsia="宋体" w:cs="Book Antiqua"/>
          <w:color w:val="000000"/>
          <w:lang w:eastAsia="zh-CN"/>
        </w:rPr>
        <w:t>9</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407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Ulcerative colitis (UC) is characterised by mucosal inflammation from the rectum to its proximal area in a symmetric and continuous fashion. However, the atypical distribution of UC, such as skip inflammation or rectal sparing can be encountered at initial stage, making diagnosis difficult in usual practice although it is uncommon. As a matter of fact, some studies concerning pediatric UC patients were reported, but its clinical significance and incidence is not known well in adult UC patients. Our study is the only study that evaluated the clinical characteristics and prognosis of adult rectal sparing-typed UC compared with typical UC.</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Ulcerative colitis (UC) is an idiopathic inflammatory bowel disease that is characterised by mucosal inflammation in a continuous and symmetrical fashion from rectum to colon. Recently, however, together with the easy availability and technical advance of colonoscopy, some reports have demonstrated atypical disease distribution of UC, such as skipped lesion, rectal sparing, and upper gastrointestinal tract involvement of ulcerative colitis</w:t>
      </w:r>
      <w:r>
        <w:rPr>
          <w:rFonts w:ascii="Book Antiqua" w:hAnsi="Book Antiqua" w:eastAsia="Book Antiqua" w:cs="Book Antiqua"/>
          <w:color w:val="000000"/>
          <w:vertAlign w:val="superscript"/>
        </w:rPr>
        <w:t>[1-6]</w:t>
      </w:r>
      <w:r>
        <w:rPr>
          <w:rFonts w:ascii="Book Antiqua" w:hAnsi="Book Antiqua" w:eastAsia="Book Antiqua" w:cs="Book Antiqua"/>
          <w:color w:val="000000"/>
        </w:rPr>
        <w:t>. Moreover, early and increasing diagnosis of UC may also raise the possibility of this diagnostic perplexity, and make it more difficult to differentiate UC from other colitis that can show similar endoscopic findings, such as infectious colitis (</w:t>
      </w:r>
      <w:r>
        <w:rPr>
          <w:rFonts w:ascii="Book Antiqua" w:hAnsi="Book Antiqua" w:eastAsia="Book Antiqua" w:cs="Book Antiqua"/>
          <w:i/>
          <w:iCs/>
          <w:color w:val="000000"/>
        </w:rPr>
        <w:t>i.e.</w:t>
      </w:r>
      <w:r>
        <w:rPr>
          <w:rFonts w:ascii="Book Antiqua" w:hAnsi="Book Antiqua" w:eastAsia="Book Antiqua" w:cs="Book Antiqua"/>
          <w:color w:val="000000"/>
        </w:rPr>
        <w:t xml:space="preserve">, bacterial, amoebic, tuberculous, </w:t>
      </w:r>
      <w:r>
        <w:rPr>
          <w:rFonts w:ascii="Book Antiqua" w:hAnsi="Book Antiqua" w:eastAsia="Book Antiqua" w:cs="Book Antiqua"/>
          <w:i/>
          <w:iCs/>
          <w:color w:val="000000"/>
        </w:rPr>
        <w:t>etc.</w:t>
      </w:r>
      <w:r>
        <w:rPr>
          <w:rFonts w:ascii="Book Antiqua" w:hAnsi="Book Antiqua" w:eastAsia="Book Antiqua" w:cs="Book Antiqua"/>
          <w:color w:val="000000"/>
        </w:rPr>
        <w:t>), ischemic colitis, radiation-induced colitis, drug-induced colitis, eosinophilic colitis, lymphoma, and solitary rectal ulcer syndrome</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Atypical distribution of UC, such as rectal sparing, can be encountered in patients with UC during treatment, when the mucosal healing of ulcerative proctitis is achieved by topical treatment with mesalamine or corticorsteroids</w:t>
      </w:r>
      <w:r>
        <w:rPr>
          <w:rFonts w:ascii="Book Antiqua" w:hAnsi="Book Antiqua" w:eastAsia="Book Antiqua" w:cs="Book Antiqua"/>
          <w:color w:val="000000"/>
          <w:vertAlign w:val="superscript"/>
        </w:rPr>
        <w:t>[8]</w:t>
      </w:r>
      <w:r>
        <w:rPr>
          <w:rFonts w:ascii="Book Antiqua" w:hAnsi="Book Antiqua" w:eastAsia="Book Antiqua" w:cs="Book Antiqua"/>
          <w:color w:val="000000"/>
        </w:rPr>
        <w:t>. This condition can also be found more frequently in paediatric UC patients</w:t>
      </w:r>
      <w:r>
        <w:rPr>
          <w:rFonts w:ascii="Book Antiqua" w:hAnsi="Book Antiqua" w:eastAsia="Book Antiqua" w:cs="Book Antiqua"/>
          <w:color w:val="000000"/>
          <w:vertAlign w:val="superscript"/>
        </w:rPr>
        <w:t>[9-11]</w:t>
      </w:r>
      <w:r>
        <w:rPr>
          <w:rFonts w:ascii="Book Antiqua" w:hAnsi="Book Antiqua" w:eastAsia="Book Antiqua" w:cs="Book Antiqua"/>
          <w:color w:val="000000"/>
        </w:rPr>
        <w:t>. Nevertheless, although uncommon, it can be noted even in adult patients, even at the initial UC diagnosis. In fact, challenging cases of UC with rectal sparing can be encountered at initial diagnosis, which may lead to misdiagnosis.</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clinical characteristics and significance of rectal sparing UC are not known well. Some previous reports have suggested that rectal sparing UC was associated with primary sclerosing cholangitis</w:t>
      </w:r>
      <w:r>
        <w:rPr>
          <w:rFonts w:ascii="Book Antiqua" w:hAnsi="Book Antiqua" w:eastAsia="Book Antiqua" w:cs="Book Antiqua"/>
          <w:color w:val="000000"/>
          <w:vertAlign w:val="superscript"/>
        </w:rPr>
        <w:t>[12,13]</w:t>
      </w:r>
      <w:r>
        <w:rPr>
          <w:rFonts w:ascii="Book Antiqua" w:hAnsi="Book Antiqua" w:eastAsia="Book Antiqua" w:cs="Book Antiqua"/>
          <w:color w:val="000000"/>
        </w:rPr>
        <w:t>. However, the clinical study concerning its clinical courses and prognosis is still insufficient, although some Japanese studies reported that rectal sparing type UC was related to poor prognosis</w:t>
      </w:r>
      <w:r>
        <w:rPr>
          <w:rFonts w:ascii="Book Antiqua" w:hAnsi="Book Antiqua" w:eastAsia="Book Antiqua" w:cs="Book Antiqua"/>
          <w:color w:val="000000"/>
          <w:vertAlign w:val="superscript"/>
        </w:rPr>
        <w:t>[14,15]</w:t>
      </w:r>
      <w:r>
        <w:rPr>
          <w:rFonts w:ascii="Book Antiqua" w:hAnsi="Book Antiqua" w:eastAsia="Book Antiqua" w:cs="Book Antiqua"/>
          <w:color w:val="000000"/>
        </w:rPr>
        <w:t>. The aim of the present study was to evaluate the clinical characteristics and clinical course for rectal sparing UC, compared to typical UC.</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Patients’ inclusion</w:t>
      </w:r>
    </w:p>
    <w:p>
      <w:pPr>
        <w:spacing w:line="360" w:lineRule="auto"/>
        <w:jc w:val="both"/>
        <w:rPr>
          <w:rFonts w:ascii="Book Antiqua" w:hAnsi="Book Antiqua"/>
        </w:rPr>
      </w:pPr>
      <w:r>
        <w:rPr>
          <w:rFonts w:ascii="Book Antiqua" w:hAnsi="Book Antiqua" w:eastAsia="Book Antiqua" w:cs="Book Antiqua"/>
          <w:color w:val="000000"/>
        </w:rPr>
        <w:t>We looked at the records of 905 patients [median age: 39 years; range: (16-81) years] who were newly diagnosed with UC at Daehang Hospital, Seoul, Korea, from January 2004 to December 2015; all UC patients were initially diagnosed and regularly followed for at least 5 years in our clinic.</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We then retrospectively investigated a number of baseline patient demographics, which included sex and age, time of diagnosis, symptom duration, perinuclear antineutrophil cytoplasmic antibody status, white cell count, erythrocyte sedimentation rate, C-reactive protein levels, initial disease extent, endoscopic findings (new development of rectal inflammation on follow-up endoscopy as well as initial findings), clinical courses including hospitalisation or colectomy, and medication history. </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design and definitions</w:t>
      </w:r>
    </w:p>
    <w:p>
      <w:pPr>
        <w:spacing w:line="360" w:lineRule="auto"/>
        <w:jc w:val="both"/>
        <w:rPr>
          <w:rFonts w:ascii="Book Antiqua" w:hAnsi="Book Antiqua"/>
        </w:rPr>
      </w:pPr>
      <w:r>
        <w:rPr>
          <w:rFonts w:ascii="Book Antiqua" w:hAnsi="Book Antiqua" w:eastAsia="Book Antiqua" w:cs="Book Antiqua"/>
          <w:color w:val="000000"/>
        </w:rPr>
        <w:t>To compare the clinical course and prognosis, we matched each patient with rectal sparing UC (</w:t>
      </w:r>
      <w:r>
        <w:rPr>
          <w:rFonts w:ascii="Book Antiqua" w:hAnsi="Book Antiqua" w:eastAsia="Book Antiqua" w:cs="Book Antiqua"/>
          <w:i/>
          <w:iCs/>
          <w:color w:val="000000"/>
        </w:rPr>
        <w:t>n</w:t>
      </w:r>
      <w:r>
        <w:rPr>
          <w:rFonts w:ascii="Book Antiqua" w:hAnsi="Book Antiqua" w:eastAsia="Book Antiqua" w:cs="Book Antiqua"/>
          <w:color w:val="000000"/>
        </w:rPr>
        <w:t xml:space="preserve"> = 24) 1:3 with controls who had typical continuous and symmetric pattern of UC without rectal sparing (</w:t>
      </w:r>
      <w:r>
        <w:rPr>
          <w:rFonts w:ascii="Book Antiqua" w:hAnsi="Book Antiqua" w:eastAsia="Book Antiqua" w:cs="Book Antiqua"/>
          <w:i/>
          <w:iCs/>
          <w:color w:val="000000"/>
        </w:rPr>
        <w:t>n</w:t>
      </w:r>
      <w:r>
        <w:rPr>
          <w:rFonts w:ascii="Book Antiqua" w:hAnsi="Book Antiqua" w:eastAsia="Book Antiqua" w:cs="Book Antiqua"/>
          <w:color w:val="000000"/>
        </w:rPr>
        <w:t xml:space="preserve"> = 72) to reduce bias; we matched the controls with the cases by age, gender, and disease extent. Primary study outcomes were the cumulative use of corticosteroid. Secondary outcomes were the use of biologic agents (including infliximab, adalimumab, golimumab, vedolizumab, or tofacitinib), hospitalisation of patients, and colectomy in patients with UC with and without rectal sparing at diagnosis. We collected and retrospectively analysed all data through December 31, 2015, or until loss to follow-up. The UC patients who were not on follow-up for less than 5 years were excluded from the analysis. The study was approved by the ethics committee of Daehang Hospital.</w:t>
      </w:r>
    </w:p>
    <w:p>
      <w:pPr>
        <w:spacing w:line="360" w:lineRule="auto"/>
        <w:ind w:firstLine="240" w:firstLineChars="100"/>
        <w:jc w:val="both"/>
        <w:rPr>
          <w:rFonts w:ascii="Book Antiqua" w:hAnsi="Book Antiqua"/>
        </w:rPr>
      </w:pPr>
      <w:r>
        <w:rPr>
          <w:rFonts w:ascii="Book Antiqua" w:hAnsi="Book Antiqua" w:eastAsia="Book Antiqua" w:cs="Book Antiqua"/>
          <w:color w:val="000000"/>
        </w:rPr>
        <w:t>UC was definitively diagnosed in those who met the following criteria: (1) Typical history of diarrhea, blood and pus in the stool, or both, for longer than four weeks; (2) Typical sigmoidoscopic or colonoscopic picture with loss of vascularity, friability, granularity, and/or ulcerations of the colorectal mucosa in a continuous and circumferential pattern in the rectum; and (3) Characteristic histopathologic signs of inflammation on biopsy, such as chronic inflammation or distortion of crypt architecture, inflammation of crypts, crypt abscesses, increased chronic inflammatory cells in the lamina propria, erosions, and/or ulcers</w:t>
      </w:r>
      <w:r>
        <w:rPr>
          <w:rFonts w:ascii="Book Antiqua" w:hAnsi="Book Antiqua" w:eastAsia="Book Antiqua" w:cs="Book Antiqua"/>
          <w:color w:val="000000"/>
          <w:vertAlign w:val="superscript"/>
        </w:rPr>
        <w:t>[16]</w:t>
      </w:r>
      <w:r>
        <w:rPr>
          <w:rFonts w:ascii="Book Antiqua" w:hAnsi="Book Antiqua" w:eastAsia="Book Antiqua" w:cs="Book Antiqua"/>
          <w:color w:val="000000"/>
        </w:rPr>
        <w:t>. Proctitis was categorised when disease extent was limited to the rectum (E1), left-sided colitis when disease extent was limited to the proportion of the colon distal to the splenic flexure (E2), and extensive disease when the disease extended proximal to the splenic flexure, including pancolitis (E3)</w:t>
      </w:r>
      <w:r>
        <w:rPr>
          <w:rFonts w:ascii="Book Antiqua" w:hAnsi="Book Antiqua" w:eastAsia="Book Antiqua" w:cs="Book Antiqua"/>
          <w:color w:val="000000"/>
          <w:vertAlign w:val="superscript"/>
        </w:rPr>
        <w:t>[17,18]</w:t>
      </w:r>
      <w:r>
        <w:rPr>
          <w:rFonts w:ascii="Book Antiqua" w:hAnsi="Book Antiqua" w:eastAsia="Book Antiqua" w:cs="Book Antiqua"/>
          <w:color w:val="000000"/>
        </w:rPr>
        <w:t xml:space="preserve">. In the case of UC with rectal sparing, left-sided colitis (E2) and pancolitis (E3) were defined as the same without rectal involvement. We defined rectal sparing as no evidence of mucosal inflammation of the rectal mucosa by colonoscopy, such as normal transparent mucosa with visible capillary vasculature. Endoscopic findings were reviewed by two experienced endoscopists in random order (Kim JK and Choi YS). </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We used the </w:t>
      </w:r>
      <w:r>
        <w:rPr>
          <w:rFonts w:ascii="Book Antiqua" w:hAnsi="Book Antiqua" w:eastAsia="Book Antiqua" w:cs="Book Antiqua"/>
          <w:i/>
          <w:iCs/>
          <w:color w:val="000000"/>
        </w:rPr>
        <w:t>χ</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test to compare the categorical variables, and the independent </w:t>
      </w:r>
      <w:r>
        <w:rPr>
          <w:rFonts w:ascii="Book Antiqua" w:hAnsi="Book Antiqua" w:eastAsia="Book Antiqua" w:cs="Book Antiqua"/>
          <w:i/>
          <w:iCs/>
          <w:color w:val="000000"/>
        </w:rPr>
        <w:t xml:space="preserve">t </w:t>
      </w:r>
      <w:r>
        <w:rPr>
          <w:rFonts w:ascii="Book Antiqua" w:hAnsi="Book Antiqua" w:eastAsia="Book Antiqua" w:cs="Book Antiqua"/>
          <w:color w:val="000000"/>
        </w:rPr>
        <w:t xml:space="preserve">test to compare the continuous variables. We calculated the cumulative rates of corticosteroids use using the Kaplan-Meier method, and we used the log-rank test to compare the categorical variables. We considered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to be statistically significant, and conducted all calculations using SPSS version 15.0 statistical software package (SPSS Inc., Chicago, IL, United States).</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Clinical characteristics at diagnosis</w:t>
      </w:r>
    </w:p>
    <w:p>
      <w:pPr>
        <w:spacing w:line="360" w:lineRule="auto"/>
        <w:jc w:val="both"/>
        <w:rPr>
          <w:rFonts w:ascii="Book Antiqua" w:hAnsi="Book Antiqua"/>
        </w:rPr>
      </w:pPr>
      <w:r>
        <w:rPr>
          <w:rFonts w:ascii="Book Antiqua" w:hAnsi="Book Antiqua" w:eastAsia="Book Antiqua" w:cs="Book Antiqua"/>
          <w:color w:val="000000"/>
        </w:rPr>
        <w:t xml:space="preserve">Of 619 UC patients, 24 (3.9%) showed rectal sparing by colonoscopy at initial diagnosis (Figures 1 and 2). Of the 24 patients, 16 (66.7%) had a disease extent beyond splenic flexure (E3), while 8 (33.3%) of the 24 patients were limited before splenic flexure (E2) with rectal sparing. During the follow-up period [median 9 years, range (5-15) years], in two (8.3%) of the 24 patients, rectal sparing remained through follow-up inspections; but for the other 22 (91.7%) patients, obvious rectal inflammation was found at follow-up endoscopy. Of the 24 patients, 8 (33.3%) were initially misdiagnosed with infectious colitis, and empirical antibiotics were administered. No diagnosis was changed from ulcerative colitis to Crohn’s disease (Table 1).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Clinical courses and prognosis</w:t>
      </w:r>
    </w:p>
    <w:p>
      <w:pPr>
        <w:spacing w:line="360" w:lineRule="auto"/>
        <w:jc w:val="both"/>
        <w:rPr>
          <w:rFonts w:ascii="Book Antiqua" w:hAnsi="Book Antiqua"/>
        </w:rPr>
      </w:pPr>
      <w:r>
        <w:rPr>
          <w:rFonts w:ascii="Book Antiqua" w:hAnsi="Book Antiqua" w:eastAsia="Book Antiqua" w:cs="Book Antiqua"/>
          <w:color w:val="000000"/>
        </w:rPr>
        <w:t xml:space="preserve">During the follow-up period [median: 115 mo; range: (60-194) mo], in the UC with rectal sparing group, 11 of 24 patients (45.8%) were treated with systemic corticosteroid therapy; in the control group, 38 of 72 patients (52.8%) were treated with systemic corticosteroid. The median time to use corticosteroids were 91 mo in rectal sparing group and 87 mo in control group, respectively. The cumulative rates of ever use of corticosteroid in rectal sparing group and in the control were 35.3%, 46.0% and 53.8% </w:t>
      </w:r>
      <w:r>
        <w:rPr>
          <w:rFonts w:ascii="Book Antiqua" w:hAnsi="Book Antiqua" w:eastAsia="Book Antiqua" w:cs="Book Antiqua"/>
          <w:i/>
          <w:iCs/>
          <w:color w:val="000000"/>
        </w:rPr>
        <w:t>vs</w:t>
      </w:r>
      <w:r>
        <w:rPr>
          <w:rFonts w:ascii="Book Antiqua" w:hAnsi="Book Antiqua" w:eastAsia="Book Antiqua" w:cs="Book Antiqua"/>
          <w:color w:val="000000"/>
        </w:rPr>
        <w:t xml:space="preserve"> 34.7%, 41.8% and 61.1% at 3, 5 and 10 years, respectively (log rank: </w:t>
      </w:r>
      <w:r>
        <w:rPr>
          <w:rFonts w:ascii="Book Antiqua" w:hAnsi="Book Antiqua" w:eastAsia="Book Antiqua" w:cs="Book Antiqua"/>
          <w:i/>
          <w:iCs/>
          <w:color w:val="000000"/>
        </w:rPr>
        <w:t>P</w:t>
      </w:r>
      <w:r>
        <w:rPr>
          <w:rFonts w:ascii="Book Antiqua" w:hAnsi="Book Antiqua" w:eastAsia="Book Antiqua" w:cs="Book Antiqua"/>
          <w:color w:val="000000"/>
        </w:rPr>
        <w:t xml:space="preserve"> = 0.77) (Figure 3). </w:t>
      </w:r>
    </w:p>
    <w:p>
      <w:pPr>
        <w:spacing w:line="360" w:lineRule="auto"/>
        <w:ind w:firstLine="240"/>
        <w:jc w:val="both"/>
        <w:rPr>
          <w:rFonts w:ascii="Book Antiqua" w:hAnsi="Book Antiqua"/>
        </w:rPr>
      </w:pPr>
      <w:r>
        <w:rPr>
          <w:rFonts w:ascii="Book Antiqua" w:hAnsi="Book Antiqua" w:eastAsia="Book Antiqua" w:cs="Book Antiqua"/>
          <w:color w:val="000000"/>
        </w:rPr>
        <w:t>In the UC with rectal sparing group, 4 patients (16.7%) were treated with biologic agents; in the control group, 10 patients (13.9%) with biologic agent, which did not significantly differ (Table 2). In the UC with rectal sparing group, 4 patients (16.7%) received hospital treatment, and 2 patients (8.3%) underwent total colectomy at maximal follow-up; in the control group, 16 patients (22.2%) were hospitalised, and 2 patients were colectomised, which also did not significantly differ (Table 3).</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Although “rectal involvement” and “continuous and symmetric fashion” are known well as typical colonoscopic findings of ulcerative colitis, rectal sparing or non-continuous distribution of mucosal inflammation can be found by colonoscopy in usual practice. For example, it is common in patients with UC who receive local therapy, such as suppository, enema, or foam type of mesalamine, or corticosteroid enema. However, unfortunately, if it is at the moment of initial diagnosis, it is a challenge to an endoscopist, although clinical or pathologic correlation is necessary for the definitive diagnosis of UC. In any event, is it possible to encounter rectal sparing in a newly diagnosed UC patient? If so, how often? Is the prognosis of this case different from a typical one?</w:t>
      </w:r>
    </w:p>
    <w:p>
      <w:pPr>
        <w:spacing w:line="360" w:lineRule="auto"/>
        <w:ind w:firstLine="240" w:firstLineChars="100"/>
        <w:jc w:val="both"/>
        <w:rPr>
          <w:rFonts w:ascii="Book Antiqua" w:hAnsi="Book Antiqua"/>
        </w:rPr>
      </w:pPr>
      <w:r>
        <w:rPr>
          <w:rFonts w:ascii="Book Antiqua" w:hAnsi="Book Antiqua" w:eastAsia="Book Antiqua" w:cs="Book Antiqua"/>
          <w:color w:val="000000"/>
        </w:rPr>
        <w:t>To the best of our knowledge, our study is the only study that evaluated the clinical prognosis of adult UC patients who showed rectal sparing at the stage of initial diagnosis. In fact, the studies analysing the incidence of rectal sparing UC are very rare, because initial endoscopic data can be modified by prior treatment in tertiary or referred hospital, and differential diagnostic methods from infectious colitis, such as culture, serologic test, or PCR, have limitations in primary practice. In one Korean data, eight (3.3%) of the 240 patients had rectal sparing at initial colonoscopy</w:t>
      </w:r>
      <w:r>
        <w:rPr>
          <w:rFonts w:ascii="Book Antiqua" w:hAnsi="Book Antiqua" w:eastAsia="Book Antiqua" w:cs="Book Antiqua"/>
          <w:color w:val="000000"/>
          <w:vertAlign w:val="superscript"/>
        </w:rPr>
        <w:t>[3]</w:t>
      </w:r>
      <w:r>
        <w:rPr>
          <w:rFonts w:ascii="Book Antiqua" w:hAnsi="Book Antiqua" w:eastAsia="Book Antiqua" w:cs="Book Antiqua"/>
          <w:color w:val="000000"/>
        </w:rPr>
        <w:t>. They suggested that the atypically-distributed UC, including rectal sparing UC, seemed to be uncorrelated with poor prognosis, in terms of rates of remission, relapse, disease extension, colectomy, and mortality. However, the prognosis of rectal sparing UC is still debatable, because in the previous study, the number of patients with rectal sparing was too small (</w:t>
      </w:r>
      <w:r>
        <w:rPr>
          <w:rFonts w:ascii="Book Antiqua" w:hAnsi="Book Antiqua" w:eastAsia="Book Antiqua" w:cs="Book Antiqua"/>
          <w:i/>
          <w:iCs/>
          <w:color w:val="000000"/>
        </w:rPr>
        <w:t>n</w:t>
      </w:r>
      <w:r>
        <w:rPr>
          <w:rFonts w:ascii="Book Antiqua" w:hAnsi="Book Antiqua" w:eastAsia="Book Antiqua" w:cs="Book Antiqua"/>
          <w:color w:val="000000"/>
        </w:rPr>
        <w:t xml:space="preserve"> = 8), and follow-up data was insufficient, because of relatively short follow-up period [median 69 mo, range (2 to 238) mo].</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contrast to prior clinical studies suggesting the unfavourable prognosis of UC with rectal sparing, our result concluded that clinical course and prognosis were not different from those of typical UC patients. Oshitani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suggest that rectal sparing may be associated with intractability or a tendency to relapse; but that data included the patients with relapsing type of UC, which means that study demonstrated the clinical courses of moderate to severe UC patients with rectal sparing during or after medical treatment, and not the patients at the time of diagnosis. Horio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also reported that rectal sparing UC was an independent risk factor for surgery in the analysis of colectomy specimens of 46 surgically treated patients with UC. However, the subjects of that study were not selected by their initial colonoscopic finding, but selected by pathologic review after colectomy. </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 contrast to adult UC, paediatric UC patients seem to have different clinical patterns. Rajwal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reported that rectal sparing was more frequent, and found in 23% of children with newly diagnosed and untreated UC; and that the presence of rectal sparing may be related to less responsiveness to conventional medical treatment. Glickman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[11] </w:t>
      </w:r>
      <w:r>
        <w:rPr>
          <w:rFonts w:ascii="Book Antiqua" w:hAnsi="Book Antiqua" w:eastAsia="Book Antiqua" w:cs="Book Antiqua"/>
          <w:color w:val="000000"/>
        </w:rPr>
        <w:t xml:space="preserve">reported that the endoscopic rectal sparing was found in 9% (6 of 73) and pathologic rectal sparing in 30% (absolute 3% </w:t>
      </w:r>
      <w:r>
        <w:rPr>
          <w:rFonts w:ascii="Book Antiqua" w:hAnsi="Book Antiqua" w:eastAsia="Book Antiqua" w:cs="Book Antiqua"/>
          <w:i/>
          <w:iCs/>
          <w:color w:val="000000"/>
        </w:rPr>
        <w:t>vs</w:t>
      </w:r>
      <w:r>
        <w:rPr>
          <w:rFonts w:ascii="Book Antiqua" w:hAnsi="Book Antiqua" w:eastAsia="Book Antiqua" w:cs="Book Antiqua"/>
          <w:color w:val="000000"/>
        </w:rPr>
        <w:t xml:space="preserve"> relative 27%) of paediatric patients with newly diagnosed UC. Interestingly, according to their result, in the adult control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38), no patient showed endoscopic rectal sparing, but one patient revealed pathologic relative rectal sparing.</w:t>
      </w:r>
    </w:p>
    <w:p>
      <w:pPr>
        <w:spacing w:line="360" w:lineRule="auto"/>
        <w:ind w:firstLine="284"/>
        <w:jc w:val="both"/>
        <w:rPr>
          <w:rFonts w:ascii="Book Antiqua" w:hAnsi="Book Antiqua"/>
        </w:rPr>
      </w:pPr>
      <w:r>
        <w:rPr>
          <w:rFonts w:ascii="Book Antiqua" w:hAnsi="Book Antiqua" w:eastAsia="Book Antiqua" w:cs="Book Antiqua"/>
          <w:color w:val="000000"/>
        </w:rPr>
        <w:t>Already in the 1980s, one report demonstrated 12 cases of rectal sparing UC, in which double-contrast barium enema showed an apparently normal rectum but an abnormal colon; but in all cases, the author reported that rectal biopsy showed changes compatible with ulcerative colitis</w:t>
      </w:r>
      <w:r>
        <w:rPr>
          <w:rFonts w:ascii="Book Antiqua" w:hAnsi="Book Antiqua" w:eastAsia="Book Antiqua" w:cs="Book Antiqua"/>
          <w:color w:val="000000"/>
          <w:vertAlign w:val="superscript"/>
        </w:rPr>
        <w:t>[20]</w:t>
      </w:r>
      <w:r>
        <w:rPr>
          <w:rFonts w:ascii="Book Antiqua" w:hAnsi="Book Antiqua" w:eastAsia="Book Antiqua" w:cs="Book Antiqua"/>
          <w:color w:val="000000"/>
        </w:rPr>
        <w:t>. Although the study subjects were different from ours, because those cases included the patients after and during medical treatment, their study suggested that rectal sparing of UC had been challenging diagnostically. As early detection of ulcerative colitis is possible thanks to the easy availability of colonoscopy and advanced imaging techniques, we can hypothesise that atypical pattern of colonoscopic findings in a patient with ulcerative colitis can be observed more frequently. In fact, in our data, most of the UC patients with rectal sparing showed rectal lesion during the follow-up examination, which means that the atypical distribution of mucosal inflammation may be found temporarily at an early stage. In one of our cases (Figure 2), a biopsy obtained at rectal sparing area demonstrated normal pathologic finding, although it is not certain whether normal-looking mucosa by colonoscopy is really pathologically intact, because pathologic evaluation at skipped lesion was not performed in all cases.</w:t>
      </w:r>
    </w:p>
    <w:p>
      <w:pPr>
        <w:spacing w:line="360" w:lineRule="auto"/>
        <w:ind w:firstLine="240" w:firstLineChars="100"/>
        <w:jc w:val="both"/>
        <w:rPr>
          <w:rFonts w:ascii="Book Antiqua" w:hAnsi="Book Antiqua"/>
        </w:rPr>
      </w:pPr>
      <w:r>
        <w:rPr>
          <w:rFonts w:ascii="Book Antiqua" w:hAnsi="Book Antiqua" w:eastAsia="Book Antiqua" w:cs="Book Antiqua"/>
          <w:color w:val="000000"/>
        </w:rPr>
        <w:t>We should think outside the box, and reconsider the stereotype of ulcerative colitis, such as rectal involvement with continuity, and symmetricity in colonoscopy. In the present study, a third of patients were initially diagnosed with infectious colitis, because the results of stool and pathologic examination were nonspecific, and so proper management was delayed. However, there was no case of diagnostic change to Crohn’s disease in our data. In two of 24 cases, rectal sparing has persisted for more than 10 years; one 30-year-old male has mucosal inflammation on cecum and ascending colon, while a 46-year-old female showed mucosal inflammation on ascending, transverse, and descending colon in a homogenous, symmetric, and continuous fashion. In cases like this, definitive diagnosis of ulcerative colitis is still not easy. Both are being kept stable on mesalamine therapy during the follow-up period.</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There are some limitations to this study. First, the definition of rectal sparing was ambiguous. For example, in this study, it is based only on endoscopical findings, and additional pathologic correlation was insufficient. However, at initial diagnosis, biopsies tend to be obtained only at grossly inflamed mucosa, because the extent of UC is generally classified according to endoscopic features, rather than histologic features. To define the rectal sparing more with more confidence, prospective designed study is needed. Second, the number of patients with rectal sparing UC was relatively small, so survival analysis in comparison with the control group was impossible. Long-term survival analysis is required to draw a more reliable conclusion. To minimise this limitation inevitably caused by retrospective analysis, we included the patients who could be followed up for more than five years [medium follow-up period was 115 mo; range (60 to 194) mo], and matched each UC patient with rectal sparing with controls.</w:t>
      </w:r>
    </w:p>
    <w:p>
      <w:pPr>
        <w:spacing w:line="360" w:lineRule="auto"/>
        <w:ind w:firstLine="1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adult patients with UC can reveal atypical patterns of disease distribution, such as rectal sparing; and the incidence at initial diagnosis was rare, but existed in 3.9%. The clinical course and prognosis that we can assume through the need for advanced treatment, hospitalisation, and colectomy did not differ from that of typical UC patients. We trust that this information can be useful in making an accurate diagnosis, and understanding the various disease phenotypes of UC.</w:t>
      </w:r>
    </w:p>
    <w:p>
      <w:pPr>
        <w:spacing w:line="360" w:lineRule="auto"/>
        <w:ind w:firstLine="284"/>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In practice, atypical pattern of ulcerative colitis (UC) such as rectal sparing UC is a challenge to endoscopist in timely diagnosis of UC, therefore we retrospectively reviewed the data of our clinic to study the clinical feature of these atypical pattern of UC, and their prognosis as well.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As early diagnosis and progression of diagnostic tools such as endoscopic, imaging techniques become possible, the detection of atypical pattern of inflammatory bowel disease seems to be possible. If we clarify the clinical characteristics, it will be helpful to understand the pathophysiology of inflammatory bowel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main object of this study is to predict the clinical course of these atypical pattern of UC. There are very rare report concerning this subject. A few reports demonstrated the poorer prognosis, but our experiences were out of accord.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As atypical pattern of UC is very rare and difficult to define in the early stage of UC, prospectively-designed study seems to be impossible, therefore, we (three different inflammatory bowel disease experts) inevitably analyzed the chart, pathologic report and mainly endoscopic images, and reached agreement.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Some reports suggested that the atypical pattern of UC may have a poor clinical outcome such as higher rate of colectomy, but we demonstrated the different results because the patient selection was not similar to the previous studies. Advanced treatment, hopitalization and colectomy rates did not different between rectal sparing UC and typical UC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According to a few previous reports, the prognosis of UC showing atypical pattern is debatable. Our data propose that various form of UC phenotype can be possible and their prognosis seems to be similar to the typical one. Further study is needed to predict the prognosis of UC.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In the future, further prospective studies to clarify the pathophysicology as well as prognosis of other various atypical patterns of UC is warranted.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 w:name="OLE_LINK2"/>
      <w:r>
        <w:rPr>
          <w:rFonts w:ascii="Book Antiqua" w:hAnsi="Book Antiqua" w:eastAsia="Book Antiqua" w:cs="Book Antiqua"/>
          <w:color w:val="000000"/>
        </w:rPr>
        <w:t xml:space="preserve">1 </w:t>
      </w:r>
      <w:r>
        <w:rPr>
          <w:rFonts w:ascii="Book Antiqua" w:hAnsi="Book Antiqua" w:eastAsia="Book Antiqua" w:cs="Book Antiqua"/>
          <w:b/>
          <w:bCs/>
          <w:color w:val="000000"/>
        </w:rPr>
        <w:t>Mutinga ML</w:t>
      </w:r>
      <w:r>
        <w:rPr>
          <w:rFonts w:ascii="Book Antiqua" w:hAnsi="Book Antiqua" w:eastAsia="Book Antiqua" w:cs="Book Antiqua"/>
          <w:color w:val="000000"/>
        </w:rPr>
        <w:t xml:space="preserve">, Odze RD, Wang HH, Hornick JL, Farraye FA. The clinical significance of right-sided colonic inflammation in patients with left-sided chronic ulcerative colitis. </w:t>
      </w:r>
      <w:r>
        <w:rPr>
          <w:rFonts w:ascii="Book Antiqua" w:hAnsi="Book Antiqua" w:eastAsia="Book Antiqua" w:cs="Book Antiqua"/>
          <w:i/>
          <w:iCs/>
          <w:color w:val="000000"/>
        </w:rPr>
        <w:t>Inflamm Bowel Dis</w:t>
      </w:r>
      <w:r>
        <w:rPr>
          <w:rFonts w:ascii="Book Antiqua" w:hAnsi="Book Antiqua" w:eastAsia="Book Antiqua" w:cs="Book Antiqua"/>
          <w:color w:val="000000"/>
        </w:rPr>
        <w:t xml:space="preserve"> 2004; </w:t>
      </w:r>
      <w:r>
        <w:rPr>
          <w:rFonts w:ascii="Book Antiqua" w:hAnsi="Book Antiqua" w:eastAsia="Book Antiqua" w:cs="Book Antiqua"/>
          <w:b/>
          <w:bCs/>
          <w:color w:val="000000"/>
        </w:rPr>
        <w:t>10</w:t>
      </w:r>
      <w:r>
        <w:rPr>
          <w:rFonts w:ascii="Book Antiqua" w:hAnsi="Book Antiqua" w:eastAsia="Book Antiqua" w:cs="Book Antiqua"/>
          <w:color w:val="000000"/>
        </w:rPr>
        <w:t>: 215-219 [PMID: 15290914 DOI: 10.1097/00054725-200405000-00006]</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Choi YS</w:t>
      </w:r>
      <w:r>
        <w:rPr>
          <w:rFonts w:ascii="Book Antiqua" w:hAnsi="Book Antiqua" w:eastAsia="Book Antiqua" w:cs="Book Antiqua"/>
          <w:color w:val="000000"/>
        </w:rPr>
        <w:t xml:space="preserve">, Kim WJ, Kim JK, Kim DS, Lee DH. Efficacy of topical 5-aminosalicylate monotherapy in patients with ulcerative proctitis with skip inflammation.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2018; </w:t>
      </w:r>
      <w:r>
        <w:rPr>
          <w:rFonts w:ascii="Book Antiqua" w:hAnsi="Book Antiqua" w:eastAsia="Book Antiqua" w:cs="Book Antiqua"/>
          <w:b/>
          <w:bCs/>
          <w:color w:val="000000"/>
        </w:rPr>
        <w:t>33</w:t>
      </w:r>
      <w:r>
        <w:rPr>
          <w:rFonts w:ascii="Book Antiqua" w:hAnsi="Book Antiqua" w:eastAsia="Book Antiqua" w:cs="Book Antiqua"/>
          <w:color w:val="000000"/>
        </w:rPr>
        <w:t>: 1200-1206 [PMID: 29205498 DOI: 10.1111/jgh.14052]</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Park SH</w:t>
      </w:r>
      <w:r>
        <w:rPr>
          <w:rFonts w:ascii="Book Antiqua" w:hAnsi="Book Antiqua" w:eastAsia="Book Antiqua" w:cs="Book Antiqua"/>
          <w:color w:val="000000"/>
        </w:rPr>
        <w:t xml:space="preserve">, Yang SK, Park SK, Kim JW, Yang DH, Jung KW, Kim KJ, Ye BD, Byeon JS, Myung SJ, Kim JH. Atypical distribution of inflammation in newly diagnosed ulcerative colitis is not rare. </w:t>
      </w:r>
      <w:r>
        <w:rPr>
          <w:rFonts w:ascii="Book Antiqua" w:hAnsi="Book Antiqua" w:eastAsia="Book Antiqua" w:cs="Book Antiqua"/>
          <w:i/>
          <w:iCs/>
          <w:color w:val="000000"/>
        </w:rPr>
        <w:t>Can J Gastroenterol Hepatol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28</w:t>
      </w:r>
      <w:r>
        <w:rPr>
          <w:rFonts w:ascii="Book Antiqua" w:hAnsi="Book Antiqua" w:eastAsia="Book Antiqua" w:cs="Book Antiqua"/>
          <w:color w:val="000000"/>
        </w:rPr>
        <w:t>: 125-130 [PMID: 24619632 DOI: 10.1155/2014/834512]</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Choi YS</w:t>
      </w:r>
      <w:r>
        <w:rPr>
          <w:rFonts w:ascii="Book Antiqua" w:hAnsi="Book Antiqua" w:eastAsia="Book Antiqua" w:cs="Book Antiqua"/>
          <w:color w:val="000000"/>
        </w:rPr>
        <w:t xml:space="preserve">, Kim JK, Kim WJ, Kim MJ. Remission of diffuse ulcerative duodenitis in a patient with ulcerative colitis after infliximab therapy: a case study and review of the literature. </w:t>
      </w:r>
      <w:r>
        <w:rPr>
          <w:rFonts w:ascii="Book Antiqua" w:hAnsi="Book Antiqua" w:eastAsia="Book Antiqua" w:cs="Book Antiqua"/>
          <w:i/>
          <w:iCs/>
          <w:color w:val="000000"/>
        </w:rPr>
        <w:t>Intest Res</w:t>
      </w:r>
      <w:r>
        <w:rPr>
          <w:rFonts w:ascii="Book Antiqua" w:hAnsi="Book Antiqua" w:eastAsia="Book Antiqua" w:cs="Book Antiqua"/>
          <w:color w:val="000000"/>
        </w:rPr>
        <w:t xml:space="preserve"> 2019; </w:t>
      </w:r>
      <w:r>
        <w:rPr>
          <w:rFonts w:ascii="Book Antiqua" w:hAnsi="Book Antiqua" w:eastAsia="Book Antiqua" w:cs="Book Antiqua"/>
          <w:b/>
          <w:bCs/>
          <w:color w:val="000000"/>
        </w:rPr>
        <w:t>17</w:t>
      </w:r>
      <w:r>
        <w:rPr>
          <w:rFonts w:ascii="Book Antiqua" w:hAnsi="Book Antiqua" w:eastAsia="Book Antiqua" w:cs="Book Antiqua"/>
          <w:color w:val="000000"/>
        </w:rPr>
        <w:t>: 273-277 [PMID: 30739436 DOI: 10.5217/ir.2018.00122]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Joo M</w:t>
      </w:r>
      <w:r>
        <w:rPr>
          <w:rFonts w:ascii="Book Antiqua" w:hAnsi="Book Antiqua" w:eastAsia="Book Antiqua" w:cs="Book Antiqua"/>
          <w:color w:val="000000"/>
        </w:rPr>
        <w:t xml:space="preserve">, Odze RD. Rectal sparing and skip lesions in ulcerative colitis: a comparative study of endoscopic and histologic findings in patients who underwent proctocolectomy.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2010; </w:t>
      </w:r>
      <w:r>
        <w:rPr>
          <w:rFonts w:ascii="Book Antiqua" w:hAnsi="Book Antiqua" w:eastAsia="Book Antiqua" w:cs="Book Antiqua"/>
          <w:b/>
          <w:bCs/>
          <w:color w:val="000000"/>
        </w:rPr>
        <w:t>34</w:t>
      </w:r>
      <w:r>
        <w:rPr>
          <w:rFonts w:ascii="Book Antiqua" w:hAnsi="Book Antiqua" w:eastAsia="Book Antiqua" w:cs="Book Antiqua"/>
          <w:color w:val="000000"/>
        </w:rPr>
        <w:t>: 689-696 [PMID: 20410806 DOI: 10.1097/PAS.0b013e3181db84cd]</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Terashima S</w:t>
      </w:r>
      <w:r>
        <w:rPr>
          <w:rFonts w:ascii="Book Antiqua" w:hAnsi="Book Antiqua" w:eastAsia="Book Antiqua" w:cs="Book Antiqua"/>
          <w:color w:val="000000"/>
        </w:rPr>
        <w:t xml:space="preserve">, Hoshino Y, Kanzaki N, Kogure M, Gotoh M. Ulcerative duodenitis accompanying ulcerative colitis.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2001; </w:t>
      </w:r>
      <w:r>
        <w:rPr>
          <w:rFonts w:ascii="Book Antiqua" w:hAnsi="Book Antiqua" w:eastAsia="Book Antiqua" w:cs="Book Antiqua"/>
          <w:b/>
          <w:bCs/>
          <w:color w:val="000000"/>
        </w:rPr>
        <w:t>32</w:t>
      </w:r>
      <w:r>
        <w:rPr>
          <w:rFonts w:ascii="Book Antiqua" w:hAnsi="Book Antiqua" w:eastAsia="Book Antiqua" w:cs="Book Antiqua"/>
          <w:color w:val="000000"/>
        </w:rPr>
        <w:t>: 172-175 [PMID: 11205658 DOI: 10.1097/00004836-200102000-00018]</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Lee HS</w:t>
      </w:r>
      <w:r>
        <w:rPr>
          <w:rFonts w:ascii="Book Antiqua" w:hAnsi="Book Antiqua" w:eastAsia="Book Antiqua" w:cs="Book Antiqua"/>
          <w:color w:val="000000"/>
        </w:rPr>
        <w:t xml:space="preserve">, Choe J, Lee HJ, Hwang SW, Park SH, Yang DH, Kim KJ, Ye BD, Byeon JS, Myung SJ, Yoon YS, Yu CS, Kim JH, Yang SK. Change in the diagnosis of inflammatory bowel disease: a hospital-based cohort study from Korea. </w:t>
      </w:r>
      <w:r>
        <w:rPr>
          <w:rFonts w:ascii="Book Antiqua" w:hAnsi="Book Antiqua" w:eastAsia="Book Antiqua" w:cs="Book Antiqua"/>
          <w:i/>
          <w:iCs/>
          <w:color w:val="000000"/>
        </w:rPr>
        <w:t>Intest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14</w:t>
      </w:r>
      <w:r>
        <w:rPr>
          <w:rFonts w:ascii="Book Antiqua" w:hAnsi="Book Antiqua" w:eastAsia="Book Antiqua" w:cs="Book Antiqua"/>
          <w:color w:val="000000"/>
        </w:rPr>
        <w:t>: 258-263 [PMID: 27433148 DOI: 10.5217/ir.2016.14.3.258]</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Bernstein CN</w:t>
      </w:r>
      <w:r>
        <w:rPr>
          <w:rFonts w:ascii="Book Antiqua" w:hAnsi="Book Antiqua" w:eastAsia="Book Antiqua" w:cs="Book Antiqua"/>
          <w:color w:val="000000"/>
        </w:rPr>
        <w:t xml:space="preserve">, Shanahan F, Anton PA, Weinstein WM. Patchiness of mucosal inflammation in treated ulcerative colitis: a prospective study.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1995; </w:t>
      </w:r>
      <w:r>
        <w:rPr>
          <w:rFonts w:ascii="Book Antiqua" w:hAnsi="Book Antiqua" w:eastAsia="Book Antiqua" w:cs="Book Antiqua"/>
          <w:b/>
          <w:bCs/>
          <w:color w:val="000000"/>
        </w:rPr>
        <w:t>42</w:t>
      </w:r>
      <w:r>
        <w:rPr>
          <w:rFonts w:ascii="Book Antiqua" w:hAnsi="Book Antiqua" w:eastAsia="Book Antiqua" w:cs="Book Antiqua"/>
          <w:color w:val="000000"/>
        </w:rPr>
        <w:t>: 232-237 [PMID: 7498688 DOI: 10.1016/s0016-5107(95)70097-8]</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Washington K</w:t>
      </w:r>
      <w:r>
        <w:rPr>
          <w:rFonts w:ascii="Book Antiqua" w:hAnsi="Book Antiqua" w:eastAsia="Book Antiqua" w:cs="Book Antiqua"/>
          <w:color w:val="000000"/>
        </w:rPr>
        <w:t xml:space="preserve">, Greenson JK, Montgomery E, Shyr Y, Crissinger KD, Polk DB, Barnard J, Lauwers GY. Histopathology of ulcerative colitis in initial rectal biopsy in children.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2002; </w:t>
      </w:r>
      <w:r>
        <w:rPr>
          <w:rFonts w:ascii="Book Antiqua" w:hAnsi="Book Antiqua" w:eastAsia="Book Antiqua" w:cs="Book Antiqua"/>
          <w:b/>
          <w:bCs/>
          <w:color w:val="000000"/>
        </w:rPr>
        <w:t>26</w:t>
      </w:r>
      <w:r>
        <w:rPr>
          <w:rFonts w:ascii="Book Antiqua" w:hAnsi="Book Antiqua" w:eastAsia="Book Antiqua" w:cs="Book Antiqua"/>
          <w:color w:val="000000"/>
        </w:rPr>
        <w:t>: 1441-1449 [PMID: 12409720 DOI: 10.1097/00000478-200211000-00006]</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Watson AJ</w:t>
      </w:r>
      <w:r>
        <w:rPr>
          <w:rFonts w:ascii="Book Antiqua" w:hAnsi="Book Antiqua" w:eastAsia="Book Antiqua" w:cs="Book Antiqua"/>
          <w:color w:val="000000"/>
        </w:rPr>
        <w:t xml:space="preserve">, Johnston AT, Barker PM, Youngson GG, Bisset WM, Mahomed AA. The presentation and management of juvenile-onset chronic inflammatory bowel disease in Northeastern Scotland.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2002; </w:t>
      </w:r>
      <w:r>
        <w:rPr>
          <w:rFonts w:ascii="Book Antiqua" w:hAnsi="Book Antiqua" w:eastAsia="Book Antiqua" w:cs="Book Antiqua"/>
          <w:b/>
          <w:bCs/>
          <w:color w:val="000000"/>
        </w:rPr>
        <w:t>37</w:t>
      </w:r>
      <w:r>
        <w:rPr>
          <w:rFonts w:ascii="Book Antiqua" w:hAnsi="Book Antiqua" w:eastAsia="Book Antiqua" w:cs="Book Antiqua"/>
          <w:color w:val="000000"/>
        </w:rPr>
        <w:t>: 83-86 [PMID: 11781993 DOI: 10.1053/jpsu.2002.29434]</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Glickman JN</w:t>
      </w:r>
      <w:r>
        <w:rPr>
          <w:rFonts w:ascii="Book Antiqua" w:hAnsi="Book Antiqua" w:eastAsia="Book Antiqua" w:cs="Book Antiqua"/>
          <w:color w:val="000000"/>
        </w:rPr>
        <w:t xml:space="preserve">, Bousvaros A, Farraye FA, Zholudev A, Friedman S, Wang HH, Leichtner AM, Odze RD. Pediatric patients with untreated ulcerative colitis may present initially with unusual morphologic findings.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2004; </w:t>
      </w:r>
      <w:r>
        <w:rPr>
          <w:rFonts w:ascii="Book Antiqua" w:hAnsi="Book Antiqua" w:eastAsia="Book Antiqua" w:cs="Book Antiqua"/>
          <w:b/>
          <w:bCs/>
          <w:color w:val="000000"/>
        </w:rPr>
        <w:t>28</w:t>
      </w:r>
      <w:r>
        <w:rPr>
          <w:rFonts w:ascii="Book Antiqua" w:hAnsi="Book Antiqua" w:eastAsia="Book Antiqua" w:cs="Book Antiqua"/>
          <w:color w:val="000000"/>
        </w:rPr>
        <w:t>: 190-197 [PMID: 15043308 DOI: 10.1097/00000478-200402000-00006]</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Loftus EV Jr</w:t>
      </w:r>
      <w:r>
        <w:rPr>
          <w:rFonts w:ascii="Book Antiqua" w:hAnsi="Book Antiqua" w:eastAsia="Book Antiqua" w:cs="Book Antiqua"/>
          <w:color w:val="000000"/>
        </w:rPr>
        <w:t xml:space="preserve">, Harewood GC, Loftus CG, Tremaine WJ, Harmsen WS, Zinsmeister AR, Jewell DA, Sandborn WJ. PSC-IBD: a unique form of inflammatory bowel disease associated with primary sclerosing cholangitis. </w:t>
      </w:r>
      <w:r>
        <w:rPr>
          <w:rFonts w:ascii="Book Antiqua" w:hAnsi="Book Antiqua" w:eastAsia="Book Antiqua" w:cs="Book Antiqua"/>
          <w:i/>
          <w:iCs/>
          <w:color w:val="000000"/>
        </w:rPr>
        <w:t>Gut</w:t>
      </w:r>
      <w:r>
        <w:rPr>
          <w:rFonts w:ascii="Book Antiqua" w:hAnsi="Book Antiqua" w:eastAsia="Book Antiqua" w:cs="Book Antiqua"/>
          <w:color w:val="000000"/>
        </w:rPr>
        <w:t xml:space="preserve"> 2005; </w:t>
      </w:r>
      <w:r>
        <w:rPr>
          <w:rFonts w:ascii="Book Antiqua" w:hAnsi="Book Antiqua" w:eastAsia="Book Antiqua" w:cs="Book Antiqua"/>
          <w:b/>
          <w:bCs/>
          <w:color w:val="000000"/>
        </w:rPr>
        <w:t>54</w:t>
      </w:r>
      <w:r>
        <w:rPr>
          <w:rFonts w:ascii="Book Antiqua" w:hAnsi="Book Antiqua" w:eastAsia="Book Antiqua" w:cs="Book Antiqua"/>
          <w:color w:val="000000"/>
        </w:rPr>
        <w:t>: 91-96 [PMID: 15591511 DOI: 10.1136/gut.2004.046615]</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Sinakos E</w:t>
      </w:r>
      <w:r>
        <w:rPr>
          <w:rFonts w:ascii="Book Antiqua" w:hAnsi="Book Antiqua" w:eastAsia="Book Antiqua" w:cs="Book Antiqua"/>
          <w:color w:val="000000"/>
        </w:rPr>
        <w:t xml:space="preserve">, Samuel S, Enders F, Loftus EV Jr, Sandborn WJ, Lindor KD. Inflammatory bowel disease in primary sclerosing cholangitis: a robust yet changing relationship. </w:t>
      </w:r>
      <w:r>
        <w:rPr>
          <w:rFonts w:ascii="Book Antiqua" w:hAnsi="Book Antiqua" w:eastAsia="Book Antiqua" w:cs="Book Antiqua"/>
          <w:i/>
          <w:iCs/>
          <w:color w:val="000000"/>
        </w:rPr>
        <w:t>Inflamm Bowel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19</w:t>
      </w:r>
      <w:r>
        <w:rPr>
          <w:rFonts w:ascii="Book Antiqua" w:hAnsi="Book Antiqua" w:eastAsia="Book Antiqua" w:cs="Book Antiqua"/>
          <w:color w:val="000000"/>
        </w:rPr>
        <w:t>: 1004-1009 [PMID: 23502353 DOI: 10.1097/MIB.0b013e3182802893]</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Oshitani N</w:t>
      </w:r>
      <w:r>
        <w:rPr>
          <w:rFonts w:ascii="Book Antiqua" w:hAnsi="Book Antiqua" w:eastAsia="Book Antiqua" w:cs="Book Antiqua"/>
          <w:color w:val="000000"/>
        </w:rPr>
        <w:t xml:space="preserve">, Kitano A, Nakamura S, Obata A, Hashimura H, Hiki M, Matsumoto T, Okawa K, Kobayashi K. Clinical and prognostic features of rectal sparing in ulcerative colitis. </w:t>
      </w:r>
      <w:r>
        <w:rPr>
          <w:rFonts w:ascii="Book Antiqua" w:hAnsi="Book Antiqua" w:eastAsia="Book Antiqua" w:cs="Book Antiqua"/>
          <w:i/>
          <w:iCs/>
          <w:color w:val="000000"/>
        </w:rPr>
        <w:t>Digestion</w:t>
      </w:r>
      <w:r>
        <w:rPr>
          <w:rFonts w:ascii="Book Antiqua" w:hAnsi="Book Antiqua" w:eastAsia="Book Antiqua" w:cs="Book Antiqua"/>
          <w:color w:val="000000"/>
        </w:rPr>
        <w:t xml:space="preserve"> 1989; </w:t>
      </w:r>
      <w:r>
        <w:rPr>
          <w:rFonts w:ascii="Book Antiqua" w:hAnsi="Book Antiqua" w:eastAsia="Book Antiqua" w:cs="Book Antiqua"/>
          <w:b/>
          <w:bCs/>
          <w:color w:val="000000"/>
        </w:rPr>
        <w:t>42</w:t>
      </w:r>
      <w:r>
        <w:rPr>
          <w:rFonts w:ascii="Book Antiqua" w:hAnsi="Book Antiqua" w:eastAsia="Book Antiqua" w:cs="Book Antiqua"/>
          <w:color w:val="000000"/>
        </w:rPr>
        <w:t>: 39-43 [PMID: 2744246 DOI: 10.1159/000199823]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Horio Y</w:t>
      </w:r>
      <w:r>
        <w:rPr>
          <w:rFonts w:ascii="Book Antiqua" w:hAnsi="Book Antiqua" w:eastAsia="Book Antiqua" w:cs="Book Antiqua"/>
          <w:color w:val="000000"/>
        </w:rPr>
        <w:t xml:space="preserve">, Uchino M, Bando T, Chohno T, Sasaki H, Hirata A, Takesue Y, Ikeuchi H. Rectal-sparing type of ulcerative colitis predicts lack of response to pharmacotherapies. </w:t>
      </w:r>
      <w:r>
        <w:rPr>
          <w:rFonts w:ascii="Book Antiqua" w:hAnsi="Book Antiqua" w:eastAsia="Book Antiqua" w:cs="Book Antiqua"/>
          <w:i/>
          <w:iCs/>
          <w:color w:val="000000"/>
        </w:rPr>
        <w:t>BMC Surg</w:t>
      </w:r>
      <w:r>
        <w:rPr>
          <w:rFonts w:ascii="Book Antiqua" w:hAnsi="Book Antiqua" w:eastAsia="Book Antiqua" w:cs="Book Antiqua"/>
          <w:color w:val="000000"/>
        </w:rPr>
        <w:t xml:space="preserve"> 2017; </w:t>
      </w:r>
      <w:r>
        <w:rPr>
          <w:rFonts w:ascii="Book Antiqua" w:hAnsi="Book Antiqua" w:eastAsia="Book Antiqua" w:cs="Book Antiqua"/>
          <w:b/>
          <w:bCs/>
          <w:color w:val="000000"/>
        </w:rPr>
        <w:t>17</w:t>
      </w:r>
      <w:r>
        <w:rPr>
          <w:rFonts w:ascii="Book Antiqua" w:hAnsi="Book Antiqua" w:eastAsia="Book Antiqua" w:cs="Book Antiqua"/>
          <w:color w:val="000000"/>
        </w:rPr>
        <w:t>: 59 [PMID: 28526076 DOI: 10.1186/s12893-017-0255-5]</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Yang SK</w:t>
      </w:r>
      <w:r>
        <w:rPr>
          <w:rFonts w:ascii="Book Antiqua" w:hAnsi="Book Antiqua" w:eastAsia="Book Antiqua" w:cs="Book Antiqua"/>
          <w:color w:val="000000"/>
        </w:rPr>
        <w:t xml:space="preserve">, Hong WS, Min YI, Kim HY, Yoo JY, Rhee PL, Rhee JC, Chang DK, Song IS, Jung SA, Park EB, Yoo HM, Lee DK, Kim YK. Incidence and prevalence of ulcerative colitis in the Songpa-Kangdong District, Seoul, Korea, 1986-1997.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15</w:t>
      </w:r>
      <w:r>
        <w:rPr>
          <w:rFonts w:ascii="Book Antiqua" w:hAnsi="Book Antiqua" w:eastAsia="Book Antiqua" w:cs="Book Antiqua"/>
          <w:color w:val="000000"/>
        </w:rPr>
        <w:t>: 1037-1042 [PMID: 11059934 DOI: 10.1046/j.1440-1746.2000.02252.x]</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Dignass A</w:t>
      </w:r>
      <w:r>
        <w:rPr>
          <w:rFonts w:ascii="Book Antiqua" w:hAnsi="Book Antiqua" w:eastAsia="Book Antiqua" w:cs="Book Antiqua"/>
          <w:color w:val="000000"/>
        </w:rPr>
        <w:t xml:space="preserve">, Eliakim R, Magro F, Maaser C, Chowers Y, Geboes K, Mantzaris G, Reinisch W, Colombel JF, Vermeire S, Travis S, Lindsay JO, Van Assche G. Second European evidence-based consensus on the diagnosis and management of ulcerative colitis part 1: definitions and diagnosis. </w:t>
      </w:r>
      <w:r>
        <w:rPr>
          <w:rFonts w:ascii="Book Antiqua" w:hAnsi="Book Antiqua" w:eastAsia="Book Antiqua" w:cs="Book Antiqua"/>
          <w:i/>
          <w:iCs/>
          <w:color w:val="000000"/>
        </w:rPr>
        <w:t>J Crohns Colitis</w:t>
      </w:r>
      <w:r>
        <w:rPr>
          <w:rFonts w:ascii="Book Antiqua" w:hAnsi="Book Antiqua" w:eastAsia="Book Antiqua" w:cs="Book Antiqua"/>
          <w:color w:val="000000"/>
        </w:rPr>
        <w:t xml:space="preserve"> 2012; </w:t>
      </w:r>
      <w:r>
        <w:rPr>
          <w:rFonts w:ascii="Book Antiqua" w:hAnsi="Book Antiqua" w:eastAsia="Book Antiqua" w:cs="Book Antiqua"/>
          <w:b/>
          <w:bCs/>
          <w:color w:val="000000"/>
        </w:rPr>
        <w:t>6</w:t>
      </w:r>
      <w:r>
        <w:rPr>
          <w:rFonts w:ascii="Book Antiqua" w:hAnsi="Book Antiqua" w:eastAsia="Book Antiqua" w:cs="Book Antiqua"/>
          <w:color w:val="000000"/>
        </w:rPr>
        <w:t>: 965-990 [PMID: 23040452 DOI: 10.1016/j.crohns.2012.09.003]</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Silverberg MS</w:t>
      </w:r>
      <w:r>
        <w:rPr>
          <w:rFonts w:ascii="Book Antiqua" w:hAnsi="Book Antiqua" w:eastAsia="Book Antiqua" w:cs="Book Antiqua"/>
          <w:color w:val="000000"/>
        </w:rPr>
        <w:t xml:space="preserve">, Satsangi J, Ahmad T, Arnott ID, Bernstein CN, Brant SR, Caprilli R, Colombel JF, Gasche C, Geboes K, Jewell DP, Karban A, Loftus EV Jr, Peña AS, Riddell RH, Sachar DB, Schreiber S, Steinhart AH, Targan SR, Vermeire S, Warren BF. Toward an integrated clinical, molecular and serological classification of inflammatory bowel disease: report of a Working Party of the 2005 Montreal World Congress of Gastroenterology. </w:t>
      </w:r>
      <w:r>
        <w:rPr>
          <w:rFonts w:ascii="Book Antiqua" w:hAnsi="Book Antiqua" w:eastAsia="Book Antiqua" w:cs="Book Antiqua"/>
          <w:i/>
          <w:iCs/>
          <w:color w:val="000000"/>
        </w:rPr>
        <w:t>Can J Gastroenterol</w:t>
      </w:r>
      <w:r>
        <w:rPr>
          <w:rFonts w:ascii="Book Antiqua" w:hAnsi="Book Antiqua" w:eastAsia="Book Antiqua" w:cs="Book Antiqua"/>
          <w:color w:val="000000"/>
        </w:rPr>
        <w:t xml:space="preserve"> 2005; </w:t>
      </w:r>
      <w:r>
        <w:rPr>
          <w:rFonts w:ascii="Book Antiqua" w:hAnsi="Book Antiqua" w:eastAsia="Book Antiqua" w:cs="Book Antiqua"/>
          <w:b/>
          <w:bCs/>
          <w:color w:val="000000"/>
        </w:rPr>
        <w:t>19 Suppl A</w:t>
      </w:r>
      <w:r>
        <w:rPr>
          <w:rFonts w:ascii="Book Antiqua" w:hAnsi="Book Antiqua" w:eastAsia="Book Antiqua" w:cs="Book Antiqua"/>
          <w:color w:val="000000"/>
        </w:rPr>
        <w:t>: 5A-36A [PMID: 16151544 DOI: 10.1155/2005/269076]</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Rajwal SR</w:t>
      </w:r>
      <w:r>
        <w:rPr>
          <w:rFonts w:ascii="Book Antiqua" w:hAnsi="Book Antiqua" w:eastAsia="Book Antiqua" w:cs="Book Antiqua"/>
          <w:color w:val="000000"/>
        </w:rPr>
        <w:t xml:space="preserve">, Puntis JW, McClean P, Davison SM, Newell SJ, Sugarman I, Stringer MD. Endoscopic rectal sparing in children with untreated ulcerative colitis. </w:t>
      </w:r>
      <w:r>
        <w:rPr>
          <w:rFonts w:ascii="Book Antiqua" w:hAnsi="Book Antiqua" w:eastAsia="Book Antiqua" w:cs="Book Antiqua"/>
          <w:i/>
          <w:iCs/>
          <w:color w:val="000000"/>
        </w:rPr>
        <w:t>J Pediatr Gastroenterol Nutr</w:t>
      </w:r>
      <w:r>
        <w:rPr>
          <w:rFonts w:ascii="Book Antiqua" w:hAnsi="Book Antiqua" w:eastAsia="Book Antiqua" w:cs="Book Antiqua"/>
          <w:color w:val="000000"/>
        </w:rPr>
        <w:t xml:space="preserve"> 2004; </w:t>
      </w:r>
      <w:r>
        <w:rPr>
          <w:rFonts w:ascii="Book Antiqua" w:hAnsi="Book Antiqua" w:eastAsia="Book Antiqua" w:cs="Book Antiqua"/>
          <w:b/>
          <w:bCs/>
          <w:color w:val="000000"/>
        </w:rPr>
        <w:t>38</w:t>
      </w:r>
      <w:r>
        <w:rPr>
          <w:rFonts w:ascii="Book Antiqua" w:hAnsi="Book Antiqua" w:eastAsia="Book Antiqua" w:cs="Book Antiqua"/>
          <w:color w:val="000000"/>
        </w:rPr>
        <w:t>: 66-69 [PMID: 14676597 DOI: 10.1097/00005176-200401000-00015]</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Spiliadis CA</w:t>
      </w:r>
      <w:r>
        <w:rPr>
          <w:rFonts w:ascii="Book Antiqua" w:hAnsi="Book Antiqua" w:eastAsia="Book Antiqua" w:cs="Book Antiqua"/>
          <w:color w:val="000000"/>
        </w:rPr>
        <w:t xml:space="preserve">, Spiliadis CA, Lennard-Jones JE. Ulcerative colitis with relative sparing of the rectum. Clinical features, histology, and prognosis. </w:t>
      </w:r>
      <w:r>
        <w:rPr>
          <w:rFonts w:ascii="Book Antiqua" w:hAnsi="Book Antiqua" w:eastAsia="Book Antiqua" w:cs="Book Antiqua"/>
          <w:i/>
          <w:iCs/>
          <w:color w:val="000000"/>
        </w:rPr>
        <w:t>Dis Colon Rectum</w:t>
      </w:r>
      <w:r>
        <w:rPr>
          <w:rFonts w:ascii="Book Antiqua" w:hAnsi="Book Antiqua" w:eastAsia="Book Antiqua" w:cs="Book Antiqua"/>
          <w:color w:val="000000"/>
        </w:rPr>
        <w:t xml:space="preserve"> 1987; </w:t>
      </w:r>
      <w:r>
        <w:rPr>
          <w:rFonts w:ascii="Book Antiqua" w:hAnsi="Book Antiqua" w:eastAsia="Book Antiqua" w:cs="Book Antiqua"/>
          <w:b/>
          <w:bCs/>
          <w:color w:val="000000"/>
        </w:rPr>
        <w:t>30</w:t>
      </w:r>
      <w:r>
        <w:rPr>
          <w:rFonts w:ascii="Book Antiqua" w:hAnsi="Book Antiqua" w:eastAsia="Book Antiqua" w:cs="Book Antiqua"/>
          <w:color w:val="000000"/>
        </w:rPr>
        <w:t>: 334-336 [PMID: 3568921 DOI: 10.1007/BF02555449]</w:t>
      </w:r>
    </w:p>
    <w:bookmarkEnd w:id="4"/>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shd w:val="clear" w:color="auto" w:fill="FFFFFF"/>
        </w:rPr>
        <w:t>The study was reviewed and approved by the Institutional Review Board of Daehang Hospital on Feb 13, 2021 (Approval No. DH21-0001).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rPr>
        <w:t>Informed consent statement</w:t>
      </w:r>
      <w:r>
        <w:rPr>
          <w:rFonts w:ascii="Book Antiqua" w:hAnsi="Book Antiqua"/>
          <w:b/>
          <w:iCs/>
          <w:color w:val="000000"/>
        </w:rPr>
        <w:t xml:space="preserve">: </w:t>
      </w:r>
      <w:r>
        <w:rPr>
          <w:rFonts w:ascii="Book Antiqua" w:hAnsi="Book Antiqua"/>
        </w:rPr>
        <w:t>Patients were not required to give informed consent to the study because the analysis used anonymous clinical data that were obtained after each patient agreed to treatment by written consent.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authors disclosed no conflict of interest or financial relationships relevant to this publication.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Technical appendix, statistical code, and dataset available from the corresponding author at [yschoi427@naver.com]. Participants gave informed consent for data sharing.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STROBE statement: </w:t>
      </w:r>
      <w:r>
        <w:rPr>
          <w:rFonts w:ascii="Book Antiqua" w:hAnsi="Book Antiqua" w:eastAsia="Book Antiqua" w:cs="Book Antiqua"/>
          <w:color w:val="000000"/>
          <w:shd w:val="clear" w:color="auto" w:fill="FFFFFF"/>
        </w:rPr>
        <w:t>The authors have read the STROBE Statement—checklist of items, and the manuscript was prepared and revised according to the STROBE Statement.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Manuscript source: </w:t>
      </w:r>
      <w:r>
        <w:rPr>
          <w:rFonts w:ascii="Book Antiqua" w:hAnsi="Book Antiqua" w:eastAsia="Book Antiqua" w:cs="Book Antiqua"/>
          <w:color w:val="000000"/>
        </w:rPr>
        <w:t>Unsolicited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19,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13,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hint="eastAsia" w:ascii="Book Antiqua" w:hAnsi="Book Antiqua" w:eastAsia="宋体"/>
          <w:color w:val="000000" w:themeColor="text1"/>
        </w:rPr>
        <w:t>Au</w:t>
      </w:r>
      <w:r>
        <w:rPr>
          <w:rFonts w:ascii="Book Antiqua" w:hAnsi="Book Antiqua" w:eastAsia="宋体"/>
          <w:color w:val="000000" w:themeColor="text1"/>
        </w:rPr>
        <w:t>gust 12,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宋体" w:cs="Book Antiqua"/>
          <w:bCs/>
          <w:color w:val="000000"/>
          <w:lang w:eastAsia="zh-CN"/>
        </w:rPr>
      </w:pPr>
      <w:r>
        <w:rPr>
          <w:rFonts w:hint="eastAsia" w:ascii="Book Antiqua" w:hAnsi="Book Antiqua" w:eastAsia="宋体" w:cs="Book Antiqua"/>
          <w:b/>
          <w:color w:val="000000"/>
          <w:lang w:eastAsia="zh-CN"/>
        </w:rPr>
        <w:t>P-</w:t>
      </w:r>
      <w:r>
        <w:rPr>
          <w:rFonts w:ascii="Book Antiqua" w:hAnsi="Book Antiqua" w:eastAsia="Book Antiqua" w:cs="Book Antiqua"/>
          <w:b/>
          <w:color w:val="000000"/>
        </w:rPr>
        <w:t xml:space="preserve">Reviewer: </w:t>
      </w:r>
      <w:r>
        <w:rPr>
          <w:rFonts w:ascii="Book Antiqua" w:hAnsi="Book Antiqua" w:eastAsia="Book Antiqua" w:cs="Book Antiqua"/>
          <w:color w:val="000000"/>
        </w:rPr>
        <w:t>Zhang H</w:t>
      </w:r>
      <w:r>
        <w:rPr>
          <w:rFonts w:ascii="Book Antiqua" w:hAnsi="Book Antiqua" w:eastAsia="Book Antiqua" w:cs="Book Antiqua"/>
          <w:b/>
          <w:color w:val="000000"/>
        </w:rPr>
        <w:t xml:space="preserve"> S-Editor: </w:t>
      </w:r>
      <w:r>
        <w:rPr>
          <w:rFonts w:ascii="Book Antiqua" w:hAnsi="Book Antiqua" w:eastAsia="Book Antiqua" w:cs="Book Antiqua"/>
          <w:color w:val="000000"/>
        </w:rPr>
        <w:t>Yan JP</w:t>
      </w:r>
      <w:r>
        <w:rPr>
          <w:rFonts w:ascii="Book Antiqua" w:hAnsi="Book Antiqua" w:eastAsia="Book Antiqua" w:cs="Book Antiqua"/>
          <w:b/>
          <w:color w:val="000000"/>
        </w:rPr>
        <w:t xml:space="preserve"> L-Editor: </w:t>
      </w:r>
      <w:r>
        <w:rPr>
          <w:rFonts w:hint="eastAsia" w:ascii="Book Antiqua" w:hAnsi="Book Antiqua" w:eastAsia="宋体" w:cs="Book Antiqua"/>
          <w:bCs/>
          <w:color w:val="000000"/>
          <w:lang w:eastAsia="zh-CN"/>
        </w:rPr>
        <w:t>A</w:t>
      </w:r>
      <w:r>
        <w:rPr>
          <w:rFonts w:ascii="Book Antiqua" w:hAnsi="Book Antiqua" w:eastAsia="Book Antiqua" w:cs="Book Antiqua"/>
          <w:b/>
          <w:color w:val="000000"/>
        </w:rPr>
        <w:t xml:space="preserve"> P-Editor: </w:t>
      </w:r>
      <w:r>
        <w:rPr>
          <w:rFonts w:hint="eastAsia" w:ascii="Book Antiqua" w:hAnsi="Book Antiqua" w:eastAsia="宋体" w:cs="Book Antiqua"/>
          <w:bCs/>
          <w:color w:val="000000"/>
          <w:lang w:eastAsia="zh-CN"/>
        </w:rPr>
        <w:t>Guo X</w:t>
      </w:r>
    </w:p>
    <w:p>
      <w:pPr>
        <w:spacing w:line="360" w:lineRule="auto"/>
        <w:jc w:val="both"/>
        <w:rPr>
          <w:rFonts w:ascii="Book Antiqua" w:hAnsi="Book Antiqua" w:eastAsia="宋体" w:cs="Book Antiqua"/>
          <w:bCs/>
          <w:color w:val="000000"/>
          <w:lang w:eastAsia="zh-CN"/>
        </w:rPr>
      </w:pPr>
    </w:p>
    <w:p>
      <w:pPr>
        <w:spacing w:line="360" w:lineRule="auto"/>
        <w:jc w:val="both"/>
        <w:rPr>
          <w:rFonts w:ascii="Book Antiqua" w:hAnsi="Book Antiqua" w:eastAsia="宋体" w:cs="Book Antiqua"/>
          <w:bCs/>
          <w:color w:val="000000"/>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0" distR="0">
            <wp:extent cx="3733165" cy="32397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733458" cy="3240000"/>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rPr>
        <w:t xml:space="preserve">Figure 1 Colonoscopy at initial diagnosis. </w:t>
      </w:r>
      <w:r>
        <w:rPr>
          <w:rFonts w:ascii="Book Antiqua" w:hAnsi="Book Antiqua" w:eastAsia="Book Antiqua" w:cs="Book Antiqua"/>
        </w:rPr>
        <w:t>A: On descending and sigmoid colon, continuous and symmetric micro-erosive inflammation with friability was noted</w:t>
      </w:r>
      <w:r>
        <w:rPr>
          <w:rFonts w:ascii="Book Antiqua" w:hAnsi="Book Antiqua" w:eastAsia="Book Antiqua" w:cs="Book Antiqua"/>
          <w:color w:val="000000"/>
        </w:rPr>
        <w:t>; B: At distal sigmoid colon, transitional zone was noted (arrow); C: On the rectum, normal transparent mucosa with visible vascularity was noted; D: At retroflexion view, there was no evidence of mucosal inflammation.</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0" distR="0">
            <wp:extent cx="5680710" cy="2159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81250" cy="2160000"/>
                    </a:xfrm>
                    <a:prstGeom prst="rect">
                      <a:avLst/>
                    </a:prstGeom>
                    <a:noFill/>
                  </pic:spPr>
                </pic:pic>
              </a:graphicData>
            </a:graphic>
          </wp:inline>
        </w:drawing>
      </w:r>
    </w:p>
    <w:p>
      <w:pPr>
        <w:spacing w:line="360" w:lineRule="auto"/>
        <w:jc w:val="both"/>
        <w:rPr>
          <w:rFonts w:hint="eastAsia" w:ascii="Book Antiqua" w:hAnsi="Book Antiqua" w:eastAsia="宋体" w:cs="Book Antiqua"/>
          <w:color w:val="000000"/>
          <w:lang w:val="en-US" w:eastAsia="zh-CN"/>
        </w:rPr>
      </w:pPr>
      <w:r>
        <w:rPr>
          <w:rFonts w:ascii="Book Antiqua" w:hAnsi="Book Antiqua" w:eastAsia="Book Antiqua" w:cs="Book Antiqua"/>
          <w:b/>
          <w:bCs/>
          <w:color w:val="000000"/>
        </w:rPr>
        <w:t>Figure 2 Hematoxylin and eosin stain.</w:t>
      </w:r>
      <w:r>
        <w:rPr>
          <w:rFonts w:ascii="Book Antiqua" w:hAnsi="Book Antiqua" w:eastAsia="Book Antiqua" w:cs="Book Antiqua"/>
          <w:color w:val="000000"/>
        </w:rPr>
        <w:t xml:space="preserve"> A: Rectum: No architectural distortion or neutrophilic inflammation; B: Sigmoid colon: Crypt abscess, crypt distortion, and lymphoplasmacytic infiltration in lamina propria (hematoxylin and eosin stain </w:t>
      </w:r>
      <w:r>
        <w:rPr>
          <w:rFonts w:ascii="Book Antiqua" w:hAnsi="Book Antiqua" w:cs="Book Antiqua"/>
          <w:color w:val="000000"/>
          <w:lang w:eastAsia="zh-CN"/>
        </w:rPr>
        <w:t xml:space="preserve">× </w:t>
      </w:r>
      <w:r>
        <w:rPr>
          <w:rFonts w:ascii="Book Antiqua" w:hAnsi="Book Antiqua" w:eastAsia="Book Antiqua" w:cs="Book Antiqua"/>
          <w:color w:val="000000"/>
        </w:rPr>
        <w:t>100)</w:t>
      </w:r>
      <w:r>
        <w:rPr>
          <w:rFonts w:hint="eastAsia" w:ascii="Book Antiqua" w:hAnsi="Book Antiqua" w:eastAsia="宋体" w:cs="Book Antiqua"/>
          <w:color w:val="000000"/>
          <w:lang w:val="en-US" w:eastAsia="zh-CN"/>
        </w:rPr>
        <w:t>.</w:t>
      </w:r>
      <w:bookmarkStart w:id="7" w:name="_GoBack"/>
      <w:bookmarkEnd w:id="7"/>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0" distR="0">
            <wp:extent cx="3942080" cy="32397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942329" cy="3240000"/>
                    </a:xfrm>
                    <a:prstGeom prst="rect">
                      <a:avLst/>
                    </a:prstGeom>
                    <a:noFill/>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3 Cumulative rate of corticosteroids use in rectal sparing group (</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24) </w:t>
      </w:r>
      <w:r>
        <w:rPr>
          <w:rFonts w:ascii="Book Antiqua" w:hAnsi="Book Antiqua" w:eastAsia="Book Antiqua" w:cs="Book Antiqua"/>
          <w:b/>
          <w:bCs/>
          <w:i/>
          <w:iCs/>
          <w:color w:val="000000"/>
        </w:rPr>
        <w:t xml:space="preserve">vs </w:t>
      </w:r>
      <w:r>
        <w:rPr>
          <w:rFonts w:ascii="Book Antiqua" w:hAnsi="Book Antiqua" w:eastAsia="Book Antiqua" w:cs="Book Antiqua"/>
          <w:b/>
          <w:bCs/>
          <w:color w:val="000000"/>
        </w:rPr>
        <w:t>control group (</w:t>
      </w:r>
      <w:r>
        <w:rPr>
          <w:rFonts w:ascii="Book Antiqua" w:hAnsi="Book Antiqua" w:eastAsia="Book Antiqua" w:cs="Book Antiqua"/>
          <w:b/>
          <w:bCs/>
          <w:i/>
          <w:iCs/>
          <w:color w:val="000000"/>
        </w:rPr>
        <w:t>n</w:t>
      </w:r>
      <w:r>
        <w:rPr>
          <w:rFonts w:ascii="Book Antiqua" w:hAnsi="Book Antiqua" w:eastAsia="Book Antiqua" w:cs="Book Antiqua"/>
          <w:b/>
          <w:bCs/>
          <w:color w:val="000000"/>
        </w:rPr>
        <w:t xml:space="preserve"> = 72).</w:t>
      </w:r>
      <w:r>
        <w:rPr>
          <w:rFonts w:ascii="Book Antiqua" w:hAnsi="Book Antiqua"/>
          <w:b/>
          <w:bCs/>
          <w:lang w:eastAsia="zh-CN"/>
        </w:rPr>
        <w:t xml:space="preserve"> </w:t>
      </w:r>
      <w:r>
        <w:rPr>
          <w:rFonts w:ascii="Book Antiqua" w:hAnsi="Book Antiqua"/>
          <w:lang w:eastAsia="zh-CN"/>
        </w:rPr>
        <w:t>UC: Ulcerative colitis.</w:t>
      </w:r>
    </w:p>
    <w:p>
      <w:pPr>
        <w:spacing w:line="360" w:lineRule="auto"/>
        <w:jc w:val="both"/>
        <w:rPr>
          <w:rFonts w:ascii="Book Antiqua" w:hAnsi="Book Antiqua"/>
          <w:b/>
          <w:bCs/>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color w:val="241F20"/>
        </w:rPr>
      </w:pPr>
      <w:r>
        <w:rPr>
          <w:rFonts w:ascii="Book Antiqua" w:hAnsi="Book Antiqua"/>
          <w:b/>
          <w:bCs/>
          <w:color w:val="241F20"/>
        </w:rPr>
        <w:t>Table 1 Clinical characteristics of rectal sparing ulcerative colitis at diagnosis</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16"/>
        <w:gridCol w:w="376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Borders>
              <w:bottom w:val="single" w:color="auto" w:sz="4" w:space="0"/>
            </w:tcBorders>
          </w:tcPr>
          <w:p>
            <w:pPr>
              <w:spacing w:line="360" w:lineRule="auto"/>
              <w:jc w:val="both"/>
              <w:rPr>
                <w:rFonts w:ascii="Book Antiqua" w:hAnsi="Book Antiqua"/>
                <w:b/>
                <w:bCs/>
              </w:rPr>
            </w:pPr>
          </w:p>
        </w:tc>
        <w:tc>
          <w:tcPr>
            <w:tcW w:w="0" w:type="auto"/>
            <w:tcBorders>
              <w:bottom w:val="single" w:color="auto" w:sz="4" w:space="0"/>
            </w:tcBorders>
          </w:tcPr>
          <w:p>
            <w:pPr>
              <w:spacing w:line="360" w:lineRule="auto"/>
              <w:jc w:val="both"/>
              <w:rPr>
                <w:rFonts w:ascii="Book Antiqua" w:hAnsi="Book Antiqua"/>
                <w:b/>
                <w:bCs/>
              </w:rPr>
            </w:pPr>
            <w:r>
              <w:rPr>
                <w:rFonts w:ascii="Book Antiqua" w:hAnsi="Book Antiqua"/>
                <w:b/>
                <w:bCs/>
              </w:rPr>
              <w:t>Rectal spring UC at diagnosis (</w:t>
            </w:r>
            <w:r>
              <w:rPr>
                <w:rFonts w:ascii="Book Antiqua" w:hAnsi="Book Antiqua"/>
                <w:b/>
                <w:bCs/>
                <w:i/>
                <w:iCs/>
              </w:rPr>
              <w:t>n</w:t>
            </w:r>
            <w:r>
              <w:rPr>
                <w:rFonts w:ascii="Book Antiqua" w:hAnsi="Book Antiqua"/>
                <w:b/>
                <w:bCs/>
              </w:rPr>
              <w:t xml:space="preserve"> = 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8" w:hRule="atLeast"/>
        </w:trPr>
        <w:tc>
          <w:tcPr>
            <w:tcW w:w="0" w:type="auto"/>
            <w:tcBorders>
              <w:top w:val="single" w:color="auto" w:sz="4" w:space="0"/>
            </w:tcBorders>
          </w:tcPr>
          <w:p>
            <w:pPr>
              <w:spacing w:line="360" w:lineRule="auto"/>
              <w:jc w:val="both"/>
              <w:rPr>
                <w:rFonts w:ascii="Book Antiqua" w:hAnsi="Book Antiqua"/>
                <w:lang w:eastAsia="zh-CN"/>
              </w:rPr>
            </w:pPr>
            <w:r>
              <w:rPr>
                <w:rFonts w:ascii="Book Antiqua" w:hAnsi="Book Antiqua"/>
              </w:rPr>
              <w:t>Age (yr)</w:t>
            </w:r>
          </w:p>
        </w:tc>
        <w:tc>
          <w:tcPr>
            <w:tcW w:w="0" w:type="auto"/>
            <w:tcBorders>
              <w:top w:val="single" w:color="auto" w:sz="4" w:space="0"/>
            </w:tcBorders>
          </w:tcPr>
          <w:p>
            <w:pPr>
              <w:spacing w:line="360" w:lineRule="auto"/>
              <w:jc w:val="both"/>
              <w:rPr>
                <w:rFonts w:ascii="Book Antiqua" w:hAnsi="Book Antiqua"/>
              </w:rPr>
            </w:pPr>
            <w:r>
              <w:rPr>
                <w:rFonts w:ascii="Book Antiqua" w:hAnsi="Book Antiqua"/>
              </w:rPr>
              <w:t>35.8 ± 11.0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Sex (male:female)</w:t>
            </w:r>
          </w:p>
        </w:tc>
        <w:tc>
          <w:tcPr>
            <w:tcW w:w="0" w:type="auto"/>
          </w:tcPr>
          <w:p>
            <w:pPr>
              <w:spacing w:line="360" w:lineRule="auto"/>
              <w:jc w:val="both"/>
              <w:rPr>
                <w:rFonts w:ascii="Book Antiqua" w:hAnsi="Book Antiqua"/>
              </w:rPr>
            </w:pPr>
            <w:r>
              <w:rPr>
                <w:rFonts w:ascii="Book Antiqua" w:hAnsi="Book Antiqua"/>
              </w:rPr>
              <w:t>19:5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8" w:hRule="atLeast"/>
        </w:trPr>
        <w:tc>
          <w:tcPr>
            <w:tcW w:w="0" w:type="auto"/>
          </w:tcPr>
          <w:p>
            <w:pPr>
              <w:spacing w:line="360" w:lineRule="auto"/>
              <w:jc w:val="both"/>
              <w:rPr>
                <w:rFonts w:ascii="Book Antiqua" w:hAnsi="Book Antiqua"/>
              </w:rPr>
            </w:pPr>
            <w:r>
              <w:rPr>
                <w:rFonts w:ascii="Book Antiqua" w:hAnsi="Book Antiqua"/>
              </w:rPr>
              <w:t>Disease distribution</w:t>
            </w:r>
          </w:p>
        </w:tc>
        <w:tc>
          <w:tcPr>
            <w:tcW w:w="0" w:type="auto"/>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Extensive colitis (E3) with rectal sparing</w:t>
            </w:r>
          </w:p>
        </w:tc>
        <w:tc>
          <w:tcPr>
            <w:tcW w:w="0" w:type="auto"/>
          </w:tcPr>
          <w:p>
            <w:pPr>
              <w:spacing w:line="360" w:lineRule="auto"/>
              <w:jc w:val="both"/>
              <w:rPr>
                <w:rFonts w:ascii="Book Antiqua" w:hAnsi="Book Antiqua"/>
              </w:rPr>
            </w:pPr>
            <w:r>
              <w:rPr>
                <w:rFonts w:ascii="Book Antiqua" w:hAnsi="Book Antiqua"/>
              </w:rPr>
              <w:t>16 (66.7%)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Left-sided colon (E2) with rectal sparing</w:t>
            </w:r>
          </w:p>
        </w:tc>
        <w:tc>
          <w:tcPr>
            <w:tcW w:w="0" w:type="auto"/>
          </w:tcPr>
          <w:p>
            <w:pPr>
              <w:spacing w:line="360" w:lineRule="auto"/>
              <w:jc w:val="both"/>
              <w:rPr>
                <w:rFonts w:ascii="Book Antiqua" w:hAnsi="Book Antiqua"/>
              </w:rPr>
            </w:pPr>
            <w:r>
              <w:rPr>
                <w:rFonts w:ascii="Book Antiqua" w:hAnsi="Book Antiqua"/>
              </w:rPr>
              <w:t>8 (33.3%)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Initial Diagnosis</w:t>
            </w:r>
          </w:p>
        </w:tc>
        <w:tc>
          <w:tcPr>
            <w:tcW w:w="0" w:type="auto"/>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IBD-U</w:t>
            </w:r>
          </w:p>
        </w:tc>
        <w:tc>
          <w:tcPr>
            <w:tcW w:w="0" w:type="auto"/>
          </w:tcPr>
          <w:p>
            <w:pPr>
              <w:spacing w:line="360" w:lineRule="auto"/>
              <w:jc w:val="both"/>
              <w:rPr>
                <w:rFonts w:ascii="Book Antiqua" w:hAnsi="Book Antiqua"/>
              </w:rPr>
            </w:pPr>
            <w:r>
              <w:rPr>
                <w:rFonts w:ascii="Book Antiqua" w:hAnsi="Book Antiqua"/>
              </w:rPr>
              <w:t>8 (33.3%)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Infectious colitis</w:t>
            </w:r>
          </w:p>
        </w:tc>
        <w:tc>
          <w:tcPr>
            <w:tcW w:w="0" w:type="auto"/>
          </w:tcPr>
          <w:p>
            <w:pPr>
              <w:spacing w:line="360" w:lineRule="auto"/>
              <w:jc w:val="both"/>
              <w:rPr>
                <w:rFonts w:ascii="Book Antiqua" w:hAnsi="Book Antiqua"/>
              </w:rPr>
            </w:pPr>
            <w:r>
              <w:rPr>
                <w:rFonts w:ascii="Book Antiqua" w:hAnsi="Book Antiqua"/>
              </w:rPr>
              <w:t>7 (29.2%)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UC</w:t>
            </w:r>
          </w:p>
        </w:tc>
        <w:tc>
          <w:tcPr>
            <w:tcW w:w="0" w:type="auto"/>
          </w:tcPr>
          <w:p>
            <w:pPr>
              <w:spacing w:line="360" w:lineRule="auto"/>
              <w:jc w:val="both"/>
              <w:rPr>
                <w:rFonts w:ascii="Book Antiqua" w:hAnsi="Book Antiqua"/>
              </w:rPr>
            </w:pPr>
            <w:r>
              <w:rPr>
                <w:rFonts w:ascii="Book Antiqua" w:hAnsi="Book Antiqua"/>
              </w:rPr>
              <w:t>7 (29.2%)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Nonspecific</w:t>
            </w:r>
          </w:p>
        </w:tc>
        <w:tc>
          <w:tcPr>
            <w:tcW w:w="0" w:type="auto"/>
          </w:tcPr>
          <w:p>
            <w:pPr>
              <w:spacing w:line="360" w:lineRule="auto"/>
              <w:jc w:val="both"/>
              <w:rPr>
                <w:rFonts w:ascii="Book Antiqua" w:hAnsi="Book Antiqua"/>
              </w:rPr>
            </w:pPr>
            <w:r>
              <w:rPr>
                <w:rFonts w:ascii="Book Antiqua" w:hAnsi="Book Antiqua"/>
              </w:rPr>
              <w:t>2 (8.3%)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8" w:hRule="atLeast"/>
        </w:trPr>
        <w:tc>
          <w:tcPr>
            <w:tcW w:w="0" w:type="auto"/>
          </w:tcPr>
          <w:p>
            <w:pPr>
              <w:spacing w:line="360" w:lineRule="auto"/>
              <w:jc w:val="both"/>
              <w:rPr>
                <w:rFonts w:ascii="Book Antiqua" w:hAnsi="Book Antiqua"/>
              </w:rPr>
            </w:pPr>
            <w:r>
              <w:rPr>
                <w:rFonts w:ascii="Book Antiqua" w:hAnsi="Book Antiqua"/>
              </w:rPr>
              <w:t>Symptom duration</w:t>
            </w:r>
          </w:p>
        </w:tc>
        <w:tc>
          <w:tcPr>
            <w:tcW w:w="0" w:type="auto"/>
          </w:tcPr>
          <w:p>
            <w:pPr>
              <w:spacing w:line="360" w:lineRule="auto"/>
              <w:jc w:val="both"/>
              <w:rPr>
                <w:rFonts w:ascii="Book Antiqua" w:hAnsi="Book Antiqua"/>
              </w:rPr>
            </w:pPr>
            <w:r>
              <w:rPr>
                <w:rFonts w:ascii="Book Antiqua" w:hAnsi="Book Antiqua"/>
              </w:rPr>
              <w:t>2 mo (2 wk to 60 mo)</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8" w:hRule="atLeast"/>
        </w:trPr>
        <w:tc>
          <w:tcPr>
            <w:tcW w:w="0" w:type="auto"/>
          </w:tcPr>
          <w:p>
            <w:pPr>
              <w:spacing w:line="360" w:lineRule="auto"/>
              <w:jc w:val="both"/>
              <w:rPr>
                <w:rFonts w:ascii="Book Antiqua" w:hAnsi="Book Antiqua"/>
              </w:rPr>
            </w:pPr>
            <w:r>
              <w:rPr>
                <w:rFonts w:ascii="Book Antiqua" w:hAnsi="Book Antiqua"/>
              </w:rPr>
              <w:t>Laboratory findings</w:t>
            </w:r>
          </w:p>
        </w:tc>
        <w:tc>
          <w:tcPr>
            <w:tcW w:w="0" w:type="auto"/>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42" w:hRule="atLeast"/>
        </w:trPr>
        <w:tc>
          <w:tcPr>
            <w:tcW w:w="0" w:type="auto"/>
          </w:tcPr>
          <w:p>
            <w:pPr>
              <w:spacing w:line="360" w:lineRule="auto"/>
              <w:jc w:val="both"/>
              <w:rPr>
                <w:rFonts w:ascii="Book Antiqua" w:hAnsi="Book Antiqua"/>
              </w:rPr>
            </w:pPr>
            <w:r>
              <w:rPr>
                <w:rFonts w:ascii="Book Antiqua" w:hAnsi="Book Antiqua"/>
              </w:rPr>
              <w:t>WBC (count/mm</w:t>
            </w:r>
            <w:r>
              <w:rPr>
                <w:rFonts w:ascii="Book Antiqua" w:hAnsi="Book Antiqua"/>
                <w:vertAlign w:val="superscript"/>
              </w:rPr>
              <w:t>3</w:t>
            </w:r>
            <w:r>
              <w:rPr>
                <w:rFonts w:ascii="Book Antiqua" w:hAnsi="Book Antiqua"/>
              </w:rPr>
              <w:t>)</w:t>
            </w:r>
          </w:p>
        </w:tc>
        <w:tc>
          <w:tcPr>
            <w:tcW w:w="0" w:type="auto"/>
          </w:tcPr>
          <w:p>
            <w:pPr>
              <w:spacing w:line="360" w:lineRule="auto"/>
              <w:jc w:val="both"/>
              <w:rPr>
                <w:rFonts w:ascii="Book Antiqua" w:hAnsi="Book Antiqua"/>
              </w:rPr>
            </w:pPr>
            <w:r>
              <w:rPr>
                <w:rFonts w:ascii="Book Antiqua" w:hAnsi="Book Antiqua"/>
              </w:rPr>
              <w:t>6475.9 ± 2273.4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42" w:hRule="atLeast"/>
        </w:trPr>
        <w:tc>
          <w:tcPr>
            <w:tcW w:w="0" w:type="auto"/>
          </w:tcPr>
          <w:p>
            <w:pPr>
              <w:spacing w:line="360" w:lineRule="auto"/>
              <w:jc w:val="both"/>
              <w:rPr>
                <w:rFonts w:ascii="Book Antiqua" w:hAnsi="Book Antiqua"/>
              </w:rPr>
            </w:pPr>
            <w:r>
              <w:rPr>
                <w:rFonts w:ascii="Book Antiqua" w:hAnsi="Book Antiqua"/>
              </w:rPr>
              <w:t>ESR (mm/h)</w:t>
            </w:r>
          </w:p>
        </w:tc>
        <w:tc>
          <w:tcPr>
            <w:tcW w:w="0" w:type="auto"/>
          </w:tcPr>
          <w:p>
            <w:pPr>
              <w:spacing w:line="360" w:lineRule="auto"/>
              <w:jc w:val="both"/>
              <w:rPr>
                <w:rFonts w:ascii="Book Antiqua" w:hAnsi="Book Antiqua"/>
              </w:rPr>
            </w:pPr>
            <w:r>
              <w:rPr>
                <w:rFonts w:ascii="Book Antiqua" w:hAnsi="Book Antiqua"/>
              </w:rPr>
              <w:t>17.4 ± 13.9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42" w:hRule="atLeast"/>
        </w:trPr>
        <w:tc>
          <w:tcPr>
            <w:tcW w:w="0" w:type="auto"/>
          </w:tcPr>
          <w:p>
            <w:pPr>
              <w:spacing w:line="360" w:lineRule="auto"/>
              <w:jc w:val="both"/>
              <w:rPr>
                <w:rFonts w:ascii="Book Antiqua" w:hAnsi="Book Antiqua"/>
              </w:rPr>
            </w:pPr>
            <w:r>
              <w:rPr>
                <w:rFonts w:ascii="Book Antiqua" w:hAnsi="Book Antiqua"/>
              </w:rPr>
              <w:t>CRP (mg/dL)</w:t>
            </w:r>
          </w:p>
        </w:tc>
        <w:tc>
          <w:tcPr>
            <w:tcW w:w="0" w:type="auto"/>
          </w:tcPr>
          <w:p>
            <w:pPr>
              <w:spacing w:line="360" w:lineRule="auto"/>
              <w:jc w:val="both"/>
              <w:rPr>
                <w:rFonts w:ascii="Book Antiqua" w:hAnsi="Book Antiqua"/>
              </w:rPr>
            </w:pPr>
            <w:r>
              <w:rPr>
                <w:rFonts w:ascii="Book Antiqua" w:hAnsi="Book Antiqua"/>
              </w:rPr>
              <w:t>0.4 ± 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p-ANCA positive </w:t>
            </w:r>
          </w:p>
        </w:tc>
        <w:tc>
          <w:tcPr>
            <w:tcW w:w="0" w:type="auto"/>
          </w:tcPr>
          <w:p>
            <w:pPr>
              <w:spacing w:line="360" w:lineRule="auto"/>
              <w:jc w:val="both"/>
              <w:rPr>
                <w:rFonts w:ascii="Book Antiqua" w:hAnsi="Book Antiqua"/>
              </w:rPr>
            </w:pPr>
            <w:r>
              <w:rPr>
                <w:rFonts w:ascii="Book Antiqua" w:hAnsi="Book Antiqua"/>
              </w:rPr>
              <w:t>4 (16.7%)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Follow-up endoscopy (follow-up period median 9 yr, 5-15 yr)</w:t>
            </w:r>
          </w:p>
        </w:tc>
        <w:tc>
          <w:tcPr>
            <w:tcW w:w="0" w:type="auto"/>
          </w:tcPr>
          <w:p>
            <w:pPr>
              <w:spacing w:line="360" w:lineRule="auto"/>
              <w:jc w:val="both"/>
              <w:rPr>
                <w:rFonts w:ascii="Book Antiqua" w:hAnsi="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Persistence of rectal sparing</w:t>
            </w:r>
          </w:p>
        </w:tc>
        <w:tc>
          <w:tcPr>
            <w:tcW w:w="0" w:type="auto"/>
          </w:tcPr>
          <w:p>
            <w:pPr>
              <w:spacing w:line="360" w:lineRule="auto"/>
              <w:jc w:val="both"/>
              <w:rPr>
                <w:rFonts w:ascii="Book Antiqua" w:hAnsi="Book Antiqua"/>
              </w:rPr>
            </w:pPr>
            <w:r>
              <w:rPr>
                <w:rFonts w:ascii="Book Antiqua" w:hAnsi="Book Antiqua"/>
              </w:rPr>
              <w:t>2 (8.3%)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8" w:hRule="atLeast"/>
        </w:trPr>
        <w:tc>
          <w:tcPr>
            <w:tcW w:w="0" w:type="auto"/>
          </w:tcPr>
          <w:p>
            <w:pPr>
              <w:spacing w:line="360" w:lineRule="auto"/>
              <w:jc w:val="both"/>
              <w:rPr>
                <w:rFonts w:ascii="Book Antiqua" w:hAnsi="Book Antiqua"/>
              </w:rPr>
            </w:pPr>
            <w:r>
              <w:rPr>
                <w:rFonts w:ascii="Book Antiqua" w:hAnsi="Book Antiqua"/>
              </w:rPr>
              <w:t xml:space="preserve">  Appearance of proctitis</w:t>
            </w:r>
          </w:p>
        </w:tc>
        <w:tc>
          <w:tcPr>
            <w:tcW w:w="0" w:type="auto"/>
          </w:tcPr>
          <w:p>
            <w:pPr>
              <w:spacing w:line="360" w:lineRule="auto"/>
              <w:jc w:val="both"/>
              <w:rPr>
                <w:rFonts w:ascii="Book Antiqua" w:hAnsi="Book Antiqua"/>
              </w:rPr>
            </w:pPr>
            <w:r>
              <w:rPr>
                <w:rFonts w:ascii="Book Antiqua" w:hAnsi="Book Antiqua"/>
              </w:rPr>
              <w:t>22 (91.7%)</w:t>
            </w:r>
          </w:p>
        </w:tc>
      </w:tr>
    </w:tbl>
    <w:p>
      <w:pPr>
        <w:spacing w:line="360" w:lineRule="auto"/>
        <w:jc w:val="both"/>
        <w:rPr>
          <w:rFonts w:ascii="Book Antiqua" w:hAnsi="Book Antiqua"/>
          <w:b/>
          <w:bCs/>
        </w:rPr>
      </w:pPr>
      <w:r>
        <w:rPr>
          <w:rFonts w:hint="eastAsia" w:ascii="Book Antiqua" w:hAnsi="Book Antiqua"/>
          <w:lang w:eastAsia="zh-CN"/>
        </w:rPr>
        <w:t>U</w:t>
      </w:r>
      <w:r>
        <w:rPr>
          <w:rFonts w:ascii="Book Antiqua" w:hAnsi="Book Antiqua"/>
          <w:lang w:eastAsia="zh-CN"/>
        </w:rPr>
        <w:t xml:space="preserve">C: </w:t>
      </w:r>
      <w:r>
        <w:rPr>
          <w:rFonts w:ascii="Book Antiqua" w:hAnsi="Book Antiqua" w:eastAsia="Book Antiqua" w:cs="Book Antiqua"/>
          <w:color w:val="000000"/>
        </w:rPr>
        <w:t xml:space="preserve">Ulcerative colitis; </w:t>
      </w:r>
      <w:r>
        <w:rPr>
          <w:rFonts w:ascii="Book Antiqua" w:hAnsi="Book Antiqua"/>
        </w:rPr>
        <w:t xml:space="preserve">IBD: </w:t>
      </w:r>
      <w:r>
        <w:rPr>
          <w:rFonts w:ascii="Book Antiqua" w:hAnsi="Book Antiqua" w:eastAsia="Book Antiqua" w:cs="Book Antiqua"/>
          <w:color w:val="000000"/>
        </w:rPr>
        <w:t xml:space="preserve">Inflammatory bowel disease; ESR: Erythrocyte sedimentation rate; </w:t>
      </w:r>
      <w:r>
        <w:rPr>
          <w:rFonts w:ascii="Book Antiqua" w:hAnsi="Book Antiqua"/>
        </w:rPr>
        <w:t>CRP: C-reactive protein; ANCA: Anti-neutrophil cytoplasmic antibodies; WBC: White blood cell.</w:t>
      </w:r>
    </w:p>
    <w:p>
      <w:pPr>
        <w:spacing w:line="360" w:lineRule="auto"/>
        <w:jc w:val="both"/>
        <w:rPr>
          <w:rFonts w:ascii="Book Antiqua" w:hAnsi="Book Antiqua"/>
          <w:b/>
          <w:bCs/>
        </w:rPr>
      </w:pP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Dotum"/>
          <w:b/>
          <w:bCs/>
        </w:rPr>
      </w:pPr>
      <w:r>
        <w:rPr>
          <w:rFonts w:hint="eastAsia" w:ascii="Book Antiqua" w:hAnsi="Book Antiqua" w:eastAsia="Dotum"/>
          <w:b/>
          <w:bCs/>
        </w:rPr>
        <w:t>T</w:t>
      </w:r>
      <w:r>
        <w:rPr>
          <w:rFonts w:ascii="Book Antiqua" w:hAnsi="Book Antiqua" w:eastAsia="Dotum"/>
          <w:b/>
          <w:bCs/>
        </w:rPr>
        <w:t>able 2 Summarized clinical history of ulcerative colitis patients who used biologics in both study and control group</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0"/>
        <w:gridCol w:w="1270"/>
        <w:gridCol w:w="603"/>
        <w:gridCol w:w="1443"/>
        <w:gridCol w:w="1201"/>
        <w:gridCol w:w="1428"/>
        <w:gridCol w:w="1631"/>
        <w:gridCol w:w="139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Borders>
              <w:bottom w:val="single" w:color="auto" w:sz="4" w:space="0"/>
            </w:tcBorders>
          </w:tcPr>
          <w:p>
            <w:pPr>
              <w:spacing w:line="360" w:lineRule="auto"/>
              <w:jc w:val="both"/>
              <w:rPr>
                <w:rFonts w:ascii="Book Antiqua" w:hAnsi="Book Antiqua"/>
                <w:b/>
                <w:bCs/>
              </w:rPr>
            </w:pPr>
            <w:r>
              <w:rPr>
                <w:rFonts w:hint="eastAsia" w:ascii="Book Antiqua" w:hAnsi="Book Antiqua"/>
                <w:b/>
                <w:bCs/>
              </w:rPr>
              <w:t>N</w:t>
            </w:r>
            <w:r>
              <w:rPr>
                <w:rFonts w:ascii="Book Antiqua" w:hAnsi="Book Antiqua"/>
                <w:b/>
                <w:bCs/>
              </w:rPr>
              <w:t>o.</w:t>
            </w:r>
          </w:p>
        </w:tc>
        <w:tc>
          <w:tcPr>
            <w:tcW w:w="1270" w:type="dxa"/>
            <w:tcBorders>
              <w:bottom w:val="single" w:color="auto" w:sz="4" w:space="0"/>
            </w:tcBorders>
          </w:tcPr>
          <w:p>
            <w:pPr>
              <w:spacing w:line="360" w:lineRule="auto"/>
              <w:jc w:val="both"/>
              <w:rPr>
                <w:rFonts w:ascii="Book Antiqua" w:hAnsi="Book Antiqua"/>
                <w:b/>
                <w:bCs/>
              </w:rPr>
            </w:pPr>
            <w:r>
              <w:rPr>
                <w:rFonts w:hint="eastAsia" w:ascii="Book Antiqua" w:hAnsi="Book Antiqua"/>
                <w:b/>
                <w:bCs/>
              </w:rPr>
              <w:t>A</w:t>
            </w:r>
            <w:r>
              <w:rPr>
                <w:rFonts w:ascii="Book Antiqua" w:hAnsi="Book Antiqua"/>
                <w:b/>
                <w:bCs/>
              </w:rPr>
              <w:t>ge at diagnosis</w:t>
            </w:r>
          </w:p>
        </w:tc>
        <w:tc>
          <w:tcPr>
            <w:tcW w:w="603" w:type="dxa"/>
            <w:tcBorders>
              <w:bottom w:val="single" w:color="auto" w:sz="4" w:space="0"/>
            </w:tcBorders>
          </w:tcPr>
          <w:p>
            <w:pPr>
              <w:spacing w:line="360" w:lineRule="auto"/>
              <w:jc w:val="both"/>
              <w:rPr>
                <w:rFonts w:ascii="Book Antiqua" w:hAnsi="Book Antiqua"/>
                <w:b/>
                <w:bCs/>
              </w:rPr>
            </w:pPr>
            <w:r>
              <w:rPr>
                <w:rFonts w:hint="eastAsia" w:ascii="Book Antiqua" w:hAnsi="Book Antiqua"/>
                <w:b/>
                <w:bCs/>
              </w:rPr>
              <w:t>S</w:t>
            </w:r>
            <w:r>
              <w:rPr>
                <w:rFonts w:ascii="Book Antiqua" w:hAnsi="Book Antiqua"/>
                <w:b/>
                <w:bCs/>
              </w:rPr>
              <w:t>ex</w:t>
            </w:r>
          </w:p>
        </w:tc>
        <w:tc>
          <w:tcPr>
            <w:tcW w:w="1443" w:type="dxa"/>
            <w:tcBorders>
              <w:bottom w:val="single" w:color="auto" w:sz="4" w:space="0"/>
            </w:tcBorders>
          </w:tcPr>
          <w:p>
            <w:pPr>
              <w:spacing w:line="360" w:lineRule="auto"/>
              <w:jc w:val="both"/>
              <w:rPr>
                <w:rFonts w:ascii="Book Antiqua" w:hAnsi="Book Antiqua"/>
                <w:b/>
                <w:bCs/>
              </w:rPr>
            </w:pPr>
            <w:r>
              <w:rPr>
                <w:rFonts w:ascii="Book Antiqua" w:hAnsi="Book Antiqua"/>
                <w:b/>
                <w:bCs/>
              </w:rPr>
              <w:t>Initial endoscopic finding</w:t>
            </w:r>
          </w:p>
        </w:tc>
        <w:tc>
          <w:tcPr>
            <w:tcW w:w="1201" w:type="dxa"/>
            <w:tcBorders>
              <w:bottom w:val="single" w:color="auto" w:sz="4" w:space="0"/>
            </w:tcBorders>
          </w:tcPr>
          <w:p>
            <w:pPr>
              <w:spacing w:line="360" w:lineRule="auto"/>
              <w:jc w:val="both"/>
              <w:rPr>
                <w:rFonts w:ascii="Book Antiqua" w:hAnsi="Book Antiqua"/>
                <w:b/>
                <w:bCs/>
              </w:rPr>
            </w:pPr>
            <w:r>
              <w:rPr>
                <w:rFonts w:ascii="Book Antiqua" w:hAnsi="Book Antiqua"/>
                <w:b/>
                <w:bCs/>
              </w:rPr>
              <w:t>No. of systemic steroid use</w:t>
            </w:r>
          </w:p>
        </w:tc>
        <w:tc>
          <w:tcPr>
            <w:tcW w:w="1428" w:type="dxa"/>
            <w:tcBorders>
              <w:bottom w:val="single" w:color="auto" w:sz="4" w:space="0"/>
            </w:tcBorders>
          </w:tcPr>
          <w:p>
            <w:pPr>
              <w:spacing w:line="360" w:lineRule="auto"/>
              <w:jc w:val="both"/>
              <w:rPr>
                <w:rFonts w:ascii="Book Antiqua" w:hAnsi="Book Antiqua"/>
                <w:b/>
                <w:bCs/>
              </w:rPr>
            </w:pPr>
            <w:r>
              <w:rPr>
                <w:rFonts w:ascii="Book Antiqua" w:hAnsi="Book Antiqua"/>
                <w:b/>
                <w:bCs/>
              </w:rPr>
              <w:t>Indication for biologics</w:t>
            </w:r>
          </w:p>
        </w:tc>
        <w:tc>
          <w:tcPr>
            <w:tcW w:w="1631" w:type="dxa"/>
            <w:tcBorders>
              <w:bottom w:val="single" w:color="auto" w:sz="4" w:space="0"/>
            </w:tcBorders>
          </w:tcPr>
          <w:p>
            <w:pPr>
              <w:spacing w:line="360" w:lineRule="auto"/>
              <w:jc w:val="both"/>
              <w:rPr>
                <w:rFonts w:ascii="Book Antiqua" w:hAnsi="Book Antiqua"/>
                <w:b/>
                <w:bCs/>
              </w:rPr>
            </w:pPr>
            <w:r>
              <w:rPr>
                <w:rFonts w:ascii="Book Antiqua" w:hAnsi="Book Antiqua"/>
                <w:b/>
                <w:bCs/>
              </w:rPr>
              <w:t>History of biologics</w:t>
            </w:r>
          </w:p>
        </w:tc>
        <w:tc>
          <w:tcPr>
            <w:tcW w:w="1390" w:type="dxa"/>
            <w:tcBorders>
              <w:bottom w:val="single" w:color="auto" w:sz="4" w:space="0"/>
            </w:tcBorders>
          </w:tcPr>
          <w:p>
            <w:pPr>
              <w:spacing w:line="360" w:lineRule="auto"/>
              <w:jc w:val="both"/>
              <w:rPr>
                <w:rFonts w:ascii="Book Antiqua" w:hAnsi="Book Antiqua"/>
                <w:b/>
                <w:bCs/>
              </w:rPr>
            </w:pPr>
            <w:r>
              <w:rPr>
                <w:rFonts w:ascii="Book Antiqua" w:hAnsi="Book Antiqua"/>
                <w:b/>
                <w:bCs/>
              </w:rPr>
              <w:t>Colectomy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Borders>
              <w:top w:val="single" w:color="auto" w:sz="4" w:space="0"/>
            </w:tcBorders>
          </w:tcPr>
          <w:p>
            <w:pPr>
              <w:spacing w:line="360" w:lineRule="auto"/>
              <w:jc w:val="both"/>
              <w:rPr>
                <w:rFonts w:ascii="Book Antiqua" w:hAnsi="Book Antiqua"/>
              </w:rPr>
            </w:pPr>
            <w:bookmarkStart w:id="5" w:name="_Hlk74427576"/>
            <w:r>
              <w:rPr>
                <w:rFonts w:hint="eastAsia" w:ascii="Book Antiqua" w:hAnsi="Book Antiqua"/>
              </w:rPr>
              <w:t>1</w:t>
            </w:r>
          </w:p>
        </w:tc>
        <w:tc>
          <w:tcPr>
            <w:tcW w:w="1270" w:type="dxa"/>
            <w:tcBorders>
              <w:top w:val="single" w:color="auto" w:sz="4" w:space="0"/>
            </w:tcBorders>
          </w:tcPr>
          <w:p>
            <w:pPr>
              <w:spacing w:line="360" w:lineRule="auto"/>
              <w:jc w:val="both"/>
              <w:rPr>
                <w:rFonts w:ascii="Book Antiqua" w:hAnsi="Book Antiqua"/>
              </w:rPr>
            </w:pPr>
            <w:r>
              <w:rPr>
                <w:rFonts w:hint="eastAsia" w:ascii="Book Antiqua" w:hAnsi="Book Antiqua"/>
              </w:rPr>
              <w:t>2</w:t>
            </w:r>
            <w:r>
              <w:rPr>
                <w:rFonts w:ascii="Book Antiqua" w:hAnsi="Book Antiqua"/>
              </w:rPr>
              <w:t>1</w:t>
            </w:r>
          </w:p>
        </w:tc>
        <w:tc>
          <w:tcPr>
            <w:tcW w:w="603" w:type="dxa"/>
            <w:tcBorders>
              <w:top w:val="single" w:color="auto" w:sz="4" w:space="0"/>
            </w:tcBorders>
          </w:tcPr>
          <w:p>
            <w:pPr>
              <w:spacing w:line="360" w:lineRule="auto"/>
              <w:jc w:val="both"/>
              <w:rPr>
                <w:rFonts w:ascii="Book Antiqua" w:hAnsi="Book Antiqua"/>
              </w:rPr>
            </w:pPr>
            <w:r>
              <w:rPr>
                <w:rFonts w:hint="eastAsia" w:ascii="Book Antiqua" w:hAnsi="Book Antiqua"/>
              </w:rPr>
              <w:t>F</w:t>
            </w:r>
          </w:p>
        </w:tc>
        <w:tc>
          <w:tcPr>
            <w:tcW w:w="1443" w:type="dxa"/>
            <w:tcBorders>
              <w:top w:val="single" w:color="auto" w:sz="4" w:space="0"/>
            </w:tcBorders>
          </w:tcPr>
          <w:p>
            <w:pPr>
              <w:spacing w:line="360" w:lineRule="auto"/>
              <w:jc w:val="both"/>
              <w:rPr>
                <w:rFonts w:ascii="Book Antiqua" w:hAnsi="Book Antiqua"/>
              </w:rPr>
            </w:pPr>
            <w:r>
              <w:rPr>
                <w:rFonts w:ascii="Book Antiqua" w:hAnsi="Book Antiqua"/>
              </w:rPr>
              <w:t>RS</w:t>
            </w:r>
          </w:p>
        </w:tc>
        <w:tc>
          <w:tcPr>
            <w:tcW w:w="1201" w:type="dxa"/>
            <w:tcBorders>
              <w:top w:val="single" w:color="auto" w:sz="4" w:space="0"/>
            </w:tcBorders>
          </w:tcPr>
          <w:p>
            <w:pPr>
              <w:spacing w:line="360" w:lineRule="auto"/>
              <w:jc w:val="both"/>
              <w:rPr>
                <w:rFonts w:ascii="Book Antiqua" w:hAnsi="Book Antiqua"/>
              </w:rPr>
            </w:pPr>
            <w:r>
              <w:rPr>
                <w:rFonts w:hint="eastAsia" w:ascii="Book Antiqua" w:hAnsi="Book Antiqua"/>
              </w:rPr>
              <w:t>4</w:t>
            </w:r>
          </w:p>
        </w:tc>
        <w:tc>
          <w:tcPr>
            <w:tcW w:w="1428" w:type="dxa"/>
            <w:tcBorders>
              <w:top w:val="single" w:color="auto" w:sz="4" w:space="0"/>
            </w:tcBorders>
          </w:tcPr>
          <w:p>
            <w:pPr>
              <w:spacing w:line="360" w:lineRule="auto"/>
              <w:jc w:val="both"/>
              <w:rPr>
                <w:rFonts w:ascii="Book Antiqua" w:hAnsi="Book Antiqua"/>
              </w:rPr>
            </w:pPr>
            <w:r>
              <w:rPr>
                <w:rFonts w:ascii="Book Antiqua" w:hAnsi="Book Antiqua"/>
              </w:rPr>
              <w:t>Steroid dependent</w:t>
            </w:r>
          </w:p>
        </w:tc>
        <w:tc>
          <w:tcPr>
            <w:tcW w:w="1631" w:type="dxa"/>
            <w:tcBorders>
              <w:top w:val="single" w:color="auto" w:sz="4" w:space="0"/>
            </w:tcBorders>
          </w:tcPr>
          <w:p>
            <w:pPr>
              <w:spacing w:line="360" w:lineRule="auto"/>
              <w:jc w:val="both"/>
              <w:rPr>
                <w:rFonts w:ascii="Book Antiqua" w:hAnsi="Book Antiqua"/>
              </w:rPr>
            </w:pPr>
            <w:r>
              <w:rPr>
                <w:rFonts w:hint="eastAsia" w:ascii="Book Antiqua" w:hAnsi="Book Antiqua"/>
              </w:rPr>
              <w:t>i</w:t>
            </w:r>
            <w:r>
              <w:rPr>
                <w:rFonts w:ascii="Book Antiqua" w:hAnsi="Book Antiqua"/>
              </w:rPr>
              <w:t>nfliximab</w:t>
            </w:r>
          </w:p>
        </w:tc>
        <w:tc>
          <w:tcPr>
            <w:tcW w:w="1390" w:type="dxa"/>
            <w:tcBorders>
              <w:top w:val="single" w:color="auto" w:sz="4" w:space="0"/>
            </w:tcBorders>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2</w:t>
            </w:r>
          </w:p>
        </w:tc>
        <w:tc>
          <w:tcPr>
            <w:tcW w:w="1270" w:type="dxa"/>
          </w:tcPr>
          <w:p>
            <w:pPr>
              <w:spacing w:line="360" w:lineRule="auto"/>
              <w:jc w:val="both"/>
              <w:rPr>
                <w:rFonts w:ascii="Book Antiqua" w:hAnsi="Book Antiqua"/>
              </w:rPr>
            </w:pPr>
            <w:r>
              <w:rPr>
                <w:rFonts w:hint="eastAsia" w:ascii="Book Antiqua" w:hAnsi="Book Antiqua"/>
              </w:rPr>
              <w:t>3</w:t>
            </w:r>
            <w:r>
              <w:rPr>
                <w:rFonts w:ascii="Book Antiqua" w:hAnsi="Book Antiqua"/>
              </w:rPr>
              <w:t>0</w:t>
            </w:r>
          </w:p>
        </w:tc>
        <w:tc>
          <w:tcPr>
            <w:tcW w:w="603" w:type="dxa"/>
          </w:tcPr>
          <w:p>
            <w:pPr>
              <w:spacing w:line="360" w:lineRule="auto"/>
              <w:jc w:val="both"/>
              <w:rPr>
                <w:rFonts w:ascii="Book Antiqua" w:hAnsi="Book Antiqua"/>
              </w:rPr>
            </w:pPr>
            <w:r>
              <w:rPr>
                <w:rFonts w:hint="eastAsia" w:ascii="Book Antiqua" w:hAnsi="Book Antiqua"/>
              </w:rPr>
              <w:t>F</w:t>
            </w:r>
          </w:p>
        </w:tc>
        <w:tc>
          <w:tcPr>
            <w:tcW w:w="1443" w:type="dxa"/>
          </w:tcPr>
          <w:p>
            <w:pPr>
              <w:spacing w:line="360" w:lineRule="auto"/>
              <w:jc w:val="both"/>
              <w:rPr>
                <w:rFonts w:ascii="Book Antiqua" w:hAnsi="Book Antiqua"/>
              </w:rPr>
            </w:pPr>
            <w:r>
              <w:rPr>
                <w:rFonts w:ascii="Book Antiqua" w:hAnsi="Book Antiqua"/>
              </w:rPr>
              <w:t>RS</w:t>
            </w:r>
          </w:p>
        </w:tc>
        <w:tc>
          <w:tcPr>
            <w:tcW w:w="1201" w:type="dxa"/>
          </w:tcPr>
          <w:p>
            <w:pPr>
              <w:spacing w:line="360" w:lineRule="auto"/>
              <w:jc w:val="both"/>
              <w:rPr>
                <w:rFonts w:ascii="Book Antiqua" w:hAnsi="Book Antiqua"/>
              </w:rPr>
            </w:pPr>
            <w:r>
              <w:rPr>
                <w:rFonts w:hint="eastAsia" w:ascii="Book Antiqua" w:hAnsi="Book Antiqua"/>
              </w:rPr>
              <w:t>2</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Infliximab (failed)</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3</w:t>
            </w:r>
          </w:p>
        </w:tc>
        <w:tc>
          <w:tcPr>
            <w:tcW w:w="1270" w:type="dxa"/>
          </w:tcPr>
          <w:p>
            <w:pPr>
              <w:spacing w:line="360" w:lineRule="auto"/>
              <w:jc w:val="both"/>
              <w:rPr>
                <w:rFonts w:ascii="Book Antiqua" w:hAnsi="Book Antiqua"/>
              </w:rPr>
            </w:pPr>
            <w:r>
              <w:rPr>
                <w:rFonts w:hint="eastAsia" w:ascii="Book Antiqua" w:hAnsi="Book Antiqua"/>
              </w:rPr>
              <w:t>3</w:t>
            </w:r>
            <w:r>
              <w:rPr>
                <w:rFonts w:ascii="Book Antiqua" w:hAnsi="Book Antiqua"/>
              </w:rPr>
              <w:t>1</w:t>
            </w:r>
          </w:p>
        </w:tc>
        <w:tc>
          <w:tcPr>
            <w:tcW w:w="603" w:type="dxa"/>
          </w:tcPr>
          <w:p>
            <w:pPr>
              <w:spacing w:line="360" w:lineRule="auto"/>
              <w:jc w:val="both"/>
              <w:rPr>
                <w:rFonts w:ascii="Book Antiqua" w:hAnsi="Book Antiqua"/>
              </w:rPr>
            </w:pPr>
            <w:r>
              <w:rPr>
                <w:rFonts w:hint="eastAsia" w:ascii="Book Antiqua" w:hAnsi="Book Antiqua"/>
              </w:rPr>
              <w:t>F</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S</w:t>
            </w:r>
          </w:p>
        </w:tc>
        <w:tc>
          <w:tcPr>
            <w:tcW w:w="1201" w:type="dxa"/>
          </w:tcPr>
          <w:p>
            <w:pPr>
              <w:spacing w:line="360" w:lineRule="auto"/>
              <w:jc w:val="both"/>
              <w:rPr>
                <w:rFonts w:ascii="Book Antiqua" w:hAnsi="Book Antiqua"/>
              </w:rPr>
            </w:pPr>
            <w:r>
              <w:rPr>
                <w:rFonts w:hint="eastAsia" w:ascii="Book Antiqua" w:hAnsi="Book Antiqua"/>
              </w:rPr>
              <w:t>9</w:t>
            </w:r>
          </w:p>
        </w:tc>
        <w:tc>
          <w:tcPr>
            <w:tcW w:w="1428" w:type="dxa"/>
          </w:tcPr>
          <w:p>
            <w:pPr>
              <w:spacing w:line="360" w:lineRule="auto"/>
              <w:jc w:val="both"/>
              <w:rPr>
                <w:rFonts w:ascii="Book Antiqua" w:hAnsi="Book Antiqua"/>
              </w:rPr>
            </w:pPr>
            <w:r>
              <w:rPr>
                <w:rFonts w:ascii="Book Antiqua" w:hAnsi="Book Antiqua"/>
              </w:rPr>
              <w:t>Steroid dependent</w:t>
            </w:r>
          </w:p>
        </w:tc>
        <w:tc>
          <w:tcPr>
            <w:tcW w:w="1631" w:type="dxa"/>
          </w:tcPr>
          <w:p>
            <w:pPr>
              <w:spacing w:line="360" w:lineRule="auto"/>
              <w:jc w:val="both"/>
              <w:rPr>
                <w:rFonts w:ascii="Book Antiqua" w:hAnsi="Book Antiqua"/>
              </w:rPr>
            </w:pPr>
            <w:r>
              <w:rPr>
                <w:rFonts w:hint="eastAsia" w:ascii="Book Antiqua" w:hAnsi="Book Antiqua"/>
              </w:rPr>
              <w:t>g</w:t>
            </w:r>
            <w:r>
              <w:rPr>
                <w:rFonts w:ascii="Book Antiqua" w:hAnsi="Book Antiqua"/>
              </w:rPr>
              <w:t>olimumab</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4</w:t>
            </w:r>
          </w:p>
        </w:tc>
        <w:tc>
          <w:tcPr>
            <w:tcW w:w="1270" w:type="dxa"/>
          </w:tcPr>
          <w:p>
            <w:pPr>
              <w:spacing w:line="360" w:lineRule="auto"/>
              <w:jc w:val="both"/>
              <w:rPr>
                <w:rFonts w:ascii="Book Antiqua" w:hAnsi="Book Antiqua"/>
              </w:rPr>
            </w:pPr>
            <w:r>
              <w:rPr>
                <w:rFonts w:hint="eastAsia" w:ascii="Book Antiqua" w:hAnsi="Book Antiqua"/>
              </w:rPr>
              <w:t>3</w:t>
            </w:r>
            <w:r>
              <w:rPr>
                <w:rFonts w:ascii="Book Antiqua" w:hAnsi="Book Antiqua"/>
              </w:rPr>
              <w:t>5</w:t>
            </w:r>
          </w:p>
        </w:tc>
        <w:tc>
          <w:tcPr>
            <w:tcW w:w="603" w:type="dxa"/>
          </w:tcPr>
          <w:p>
            <w:pPr>
              <w:spacing w:line="360" w:lineRule="auto"/>
              <w:jc w:val="both"/>
              <w:rPr>
                <w:rFonts w:ascii="Book Antiqua" w:hAnsi="Book Antiqua"/>
              </w:rPr>
            </w:pPr>
            <w:r>
              <w:rPr>
                <w:rFonts w:hint="eastAsia" w:ascii="Book Antiqua" w:hAnsi="Book Antiqua"/>
              </w:rPr>
              <w:t>M</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S</w:t>
            </w:r>
          </w:p>
        </w:tc>
        <w:tc>
          <w:tcPr>
            <w:tcW w:w="1201" w:type="dxa"/>
          </w:tcPr>
          <w:p>
            <w:pPr>
              <w:spacing w:line="360" w:lineRule="auto"/>
              <w:jc w:val="both"/>
              <w:rPr>
                <w:rFonts w:ascii="Book Antiqua" w:hAnsi="Book Antiqua"/>
              </w:rPr>
            </w:pPr>
            <w:r>
              <w:rPr>
                <w:rFonts w:hint="eastAsia" w:ascii="Book Antiqua" w:hAnsi="Book Antiqua"/>
              </w:rPr>
              <w:t>2</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Infliximab (failed)</w:t>
            </w:r>
          </w:p>
        </w:tc>
        <w:tc>
          <w:tcPr>
            <w:tcW w:w="1390" w:type="dxa"/>
          </w:tcPr>
          <w:p>
            <w:pPr>
              <w:spacing w:line="360" w:lineRule="auto"/>
              <w:jc w:val="both"/>
              <w:rPr>
                <w:rFonts w:ascii="Book Antiqua" w:hAnsi="Book Antiqua"/>
              </w:rPr>
            </w:pPr>
            <w:r>
              <w:rPr>
                <w:rFonts w:hint="eastAsia" w:ascii="Book Antiqua" w:hAnsi="Book Antiqua"/>
              </w:rPr>
              <w:t>+</w:t>
            </w:r>
          </w:p>
        </w:tc>
      </w:tr>
      <w:bookmarkEnd w:id="5"/>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bookmarkStart w:id="6" w:name="_Hlk74427094"/>
            <w:r>
              <w:rPr>
                <w:rFonts w:hint="eastAsia" w:ascii="Book Antiqua" w:hAnsi="Book Antiqua"/>
              </w:rPr>
              <w:t>5</w:t>
            </w:r>
          </w:p>
        </w:tc>
        <w:tc>
          <w:tcPr>
            <w:tcW w:w="1270" w:type="dxa"/>
          </w:tcPr>
          <w:p>
            <w:pPr>
              <w:spacing w:line="360" w:lineRule="auto"/>
              <w:jc w:val="both"/>
              <w:rPr>
                <w:rFonts w:ascii="Book Antiqua" w:hAnsi="Book Antiqua"/>
              </w:rPr>
            </w:pPr>
            <w:r>
              <w:rPr>
                <w:rFonts w:hint="eastAsia" w:ascii="Book Antiqua" w:hAnsi="Book Antiqua"/>
              </w:rPr>
              <w:t>1</w:t>
            </w:r>
            <w:r>
              <w:rPr>
                <w:rFonts w:ascii="Book Antiqua" w:hAnsi="Book Antiqua"/>
              </w:rPr>
              <w:t>5</w:t>
            </w:r>
          </w:p>
        </w:tc>
        <w:tc>
          <w:tcPr>
            <w:tcW w:w="603" w:type="dxa"/>
          </w:tcPr>
          <w:p>
            <w:pPr>
              <w:spacing w:line="360" w:lineRule="auto"/>
              <w:jc w:val="both"/>
              <w:rPr>
                <w:rFonts w:ascii="Book Antiqua" w:hAnsi="Book Antiqua"/>
              </w:rPr>
            </w:pPr>
            <w:r>
              <w:rPr>
                <w:rFonts w:hint="eastAsia" w:ascii="Book Antiqua" w:hAnsi="Book Antiqua"/>
              </w:rPr>
              <w:t>F</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3</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hint="eastAsia" w:ascii="Book Antiqua" w:hAnsi="Book Antiqua"/>
              </w:rPr>
              <w:t>g</w:t>
            </w:r>
            <w:r>
              <w:rPr>
                <w:rFonts w:ascii="Book Antiqua" w:hAnsi="Book Antiqua"/>
              </w:rPr>
              <w:t>olimumab</w:t>
            </w:r>
          </w:p>
        </w:tc>
        <w:tc>
          <w:tcPr>
            <w:tcW w:w="1390" w:type="dxa"/>
          </w:tcPr>
          <w:p>
            <w:pPr>
              <w:spacing w:line="360" w:lineRule="auto"/>
              <w:jc w:val="both"/>
              <w:rPr>
                <w:rFonts w:ascii="Book Antiqua" w:hAnsi="Book Antiqua"/>
              </w:rPr>
            </w:pPr>
          </w:p>
        </w:tc>
      </w:tr>
      <w:bookmarkEnd w:id="6"/>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6</w:t>
            </w:r>
          </w:p>
        </w:tc>
        <w:tc>
          <w:tcPr>
            <w:tcW w:w="1270" w:type="dxa"/>
          </w:tcPr>
          <w:p>
            <w:pPr>
              <w:spacing w:line="360" w:lineRule="auto"/>
              <w:jc w:val="both"/>
              <w:rPr>
                <w:rFonts w:ascii="Book Antiqua" w:hAnsi="Book Antiqua"/>
              </w:rPr>
            </w:pPr>
            <w:r>
              <w:rPr>
                <w:rFonts w:hint="eastAsia" w:ascii="Book Antiqua" w:hAnsi="Book Antiqua"/>
              </w:rPr>
              <w:t>2</w:t>
            </w:r>
            <w:r>
              <w:rPr>
                <w:rFonts w:ascii="Book Antiqua" w:hAnsi="Book Antiqua"/>
              </w:rPr>
              <w:t>2</w:t>
            </w:r>
          </w:p>
        </w:tc>
        <w:tc>
          <w:tcPr>
            <w:tcW w:w="603" w:type="dxa"/>
          </w:tcPr>
          <w:p>
            <w:pPr>
              <w:spacing w:line="360" w:lineRule="auto"/>
              <w:jc w:val="both"/>
              <w:rPr>
                <w:rFonts w:ascii="Book Antiqua" w:hAnsi="Book Antiqua"/>
              </w:rPr>
            </w:pPr>
            <w:r>
              <w:rPr>
                <w:rFonts w:hint="eastAsia" w:ascii="Book Antiqua" w:hAnsi="Book Antiqua"/>
              </w:rPr>
              <w:t>F</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ascii="Book Antiqua" w:hAnsi="Book Antiqua"/>
              </w:rPr>
              <w:t>1</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Infliximab (failed)</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7</w:t>
            </w:r>
          </w:p>
        </w:tc>
        <w:tc>
          <w:tcPr>
            <w:tcW w:w="1270" w:type="dxa"/>
          </w:tcPr>
          <w:p>
            <w:pPr>
              <w:spacing w:line="360" w:lineRule="auto"/>
              <w:jc w:val="both"/>
              <w:rPr>
                <w:rFonts w:ascii="Book Antiqua" w:hAnsi="Book Antiqua"/>
              </w:rPr>
            </w:pPr>
            <w:r>
              <w:rPr>
                <w:rFonts w:hint="eastAsia" w:ascii="Book Antiqua" w:hAnsi="Book Antiqua"/>
              </w:rPr>
              <w:t>2</w:t>
            </w:r>
            <w:r>
              <w:rPr>
                <w:rFonts w:ascii="Book Antiqua" w:hAnsi="Book Antiqua"/>
              </w:rPr>
              <w:t>0</w:t>
            </w:r>
          </w:p>
        </w:tc>
        <w:tc>
          <w:tcPr>
            <w:tcW w:w="603" w:type="dxa"/>
          </w:tcPr>
          <w:p>
            <w:pPr>
              <w:spacing w:line="360" w:lineRule="auto"/>
              <w:jc w:val="both"/>
              <w:rPr>
                <w:rFonts w:ascii="Book Antiqua" w:hAnsi="Book Antiqua"/>
              </w:rPr>
            </w:pPr>
            <w:r>
              <w:rPr>
                <w:rFonts w:hint="eastAsia" w:ascii="Book Antiqua" w:hAnsi="Book Antiqua"/>
              </w:rPr>
              <w:t>F</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7</w:t>
            </w:r>
          </w:p>
        </w:tc>
        <w:tc>
          <w:tcPr>
            <w:tcW w:w="1428" w:type="dxa"/>
          </w:tcPr>
          <w:p>
            <w:pPr>
              <w:spacing w:line="360" w:lineRule="auto"/>
              <w:jc w:val="both"/>
              <w:rPr>
                <w:rFonts w:ascii="Book Antiqua" w:hAnsi="Book Antiqua"/>
              </w:rPr>
            </w:pPr>
            <w:r>
              <w:rPr>
                <w:rFonts w:ascii="Book Antiqua" w:hAnsi="Book Antiqua"/>
              </w:rPr>
              <w:t>Steroid dependent</w:t>
            </w:r>
          </w:p>
        </w:tc>
        <w:tc>
          <w:tcPr>
            <w:tcW w:w="1631" w:type="dxa"/>
          </w:tcPr>
          <w:p>
            <w:pPr>
              <w:spacing w:line="360" w:lineRule="auto"/>
              <w:jc w:val="both"/>
              <w:rPr>
                <w:rFonts w:ascii="Book Antiqua" w:hAnsi="Book Antiqua"/>
              </w:rPr>
            </w:pPr>
            <w:r>
              <w:rPr>
                <w:rFonts w:ascii="Book Antiqua" w:hAnsi="Book Antiqua"/>
              </w:rPr>
              <w:t>golimumab topacitinib</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8</w:t>
            </w:r>
          </w:p>
        </w:tc>
        <w:tc>
          <w:tcPr>
            <w:tcW w:w="1270" w:type="dxa"/>
          </w:tcPr>
          <w:p>
            <w:pPr>
              <w:spacing w:line="360" w:lineRule="auto"/>
              <w:jc w:val="both"/>
              <w:rPr>
                <w:rFonts w:ascii="Book Antiqua" w:hAnsi="Book Antiqua"/>
              </w:rPr>
            </w:pPr>
            <w:r>
              <w:rPr>
                <w:rFonts w:hint="eastAsia" w:ascii="Book Antiqua" w:hAnsi="Book Antiqua"/>
              </w:rPr>
              <w:t>3</w:t>
            </w:r>
            <w:r>
              <w:rPr>
                <w:rFonts w:ascii="Book Antiqua" w:hAnsi="Book Antiqua"/>
              </w:rPr>
              <w:t>3</w:t>
            </w:r>
          </w:p>
        </w:tc>
        <w:tc>
          <w:tcPr>
            <w:tcW w:w="603" w:type="dxa"/>
          </w:tcPr>
          <w:p>
            <w:pPr>
              <w:spacing w:line="360" w:lineRule="auto"/>
              <w:jc w:val="both"/>
              <w:rPr>
                <w:rFonts w:ascii="Book Antiqua" w:hAnsi="Book Antiqua"/>
              </w:rPr>
            </w:pPr>
            <w:r>
              <w:rPr>
                <w:rFonts w:hint="eastAsia" w:ascii="Book Antiqua" w:hAnsi="Book Antiqua"/>
              </w:rPr>
              <w:t>M</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4</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hint="eastAsia" w:ascii="Book Antiqua" w:hAnsi="Book Antiqua"/>
              </w:rPr>
              <w:t>i</w:t>
            </w:r>
            <w:r>
              <w:rPr>
                <w:rFonts w:ascii="Book Antiqua" w:hAnsi="Book Antiqua"/>
              </w:rPr>
              <w:t>nfliximab</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9</w:t>
            </w:r>
          </w:p>
        </w:tc>
        <w:tc>
          <w:tcPr>
            <w:tcW w:w="1270" w:type="dxa"/>
          </w:tcPr>
          <w:p>
            <w:pPr>
              <w:spacing w:line="360" w:lineRule="auto"/>
              <w:jc w:val="both"/>
              <w:rPr>
                <w:rFonts w:ascii="Book Antiqua" w:hAnsi="Book Antiqua"/>
              </w:rPr>
            </w:pPr>
            <w:r>
              <w:rPr>
                <w:rFonts w:hint="eastAsia" w:ascii="Book Antiqua" w:hAnsi="Book Antiqua"/>
              </w:rPr>
              <w:t>3</w:t>
            </w:r>
            <w:r>
              <w:rPr>
                <w:rFonts w:ascii="Book Antiqua" w:hAnsi="Book Antiqua"/>
              </w:rPr>
              <w:t>4</w:t>
            </w:r>
          </w:p>
        </w:tc>
        <w:tc>
          <w:tcPr>
            <w:tcW w:w="603" w:type="dxa"/>
          </w:tcPr>
          <w:p>
            <w:pPr>
              <w:spacing w:line="360" w:lineRule="auto"/>
              <w:jc w:val="both"/>
              <w:rPr>
                <w:rFonts w:ascii="Book Antiqua" w:hAnsi="Book Antiqua"/>
              </w:rPr>
            </w:pPr>
            <w:r>
              <w:rPr>
                <w:rFonts w:hint="eastAsia" w:ascii="Book Antiqua" w:hAnsi="Book Antiqua"/>
              </w:rPr>
              <w:t>M</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2</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Infliximab (failed)</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1</w:t>
            </w:r>
            <w:r>
              <w:rPr>
                <w:rFonts w:ascii="Book Antiqua" w:hAnsi="Book Antiqua"/>
              </w:rPr>
              <w:t>0</w:t>
            </w:r>
          </w:p>
        </w:tc>
        <w:tc>
          <w:tcPr>
            <w:tcW w:w="1270" w:type="dxa"/>
          </w:tcPr>
          <w:p>
            <w:pPr>
              <w:spacing w:line="360" w:lineRule="auto"/>
              <w:jc w:val="both"/>
              <w:rPr>
                <w:rFonts w:ascii="Book Antiqua" w:hAnsi="Book Antiqua"/>
              </w:rPr>
            </w:pPr>
            <w:r>
              <w:rPr>
                <w:rFonts w:hint="eastAsia" w:ascii="Book Antiqua" w:hAnsi="Book Antiqua"/>
              </w:rPr>
              <w:t>3</w:t>
            </w:r>
            <w:r>
              <w:rPr>
                <w:rFonts w:ascii="Book Antiqua" w:hAnsi="Book Antiqua"/>
              </w:rPr>
              <w:t>5</w:t>
            </w:r>
          </w:p>
        </w:tc>
        <w:tc>
          <w:tcPr>
            <w:tcW w:w="603" w:type="dxa"/>
          </w:tcPr>
          <w:p>
            <w:pPr>
              <w:spacing w:line="360" w:lineRule="auto"/>
              <w:jc w:val="both"/>
              <w:rPr>
                <w:rFonts w:ascii="Book Antiqua" w:hAnsi="Book Antiqua"/>
              </w:rPr>
            </w:pPr>
            <w:r>
              <w:rPr>
                <w:rFonts w:hint="eastAsia" w:ascii="Book Antiqua" w:hAnsi="Book Antiqua"/>
              </w:rPr>
              <w:t>M</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4</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golimumab</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1</w:t>
            </w:r>
            <w:r>
              <w:rPr>
                <w:rFonts w:ascii="Book Antiqua" w:hAnsi="Book Antiqua"/>
              </w:rPr>
              <w:t>1</w:t>
            </w:r>
          </w:p>
        </w:tc>
        <w:tc>
          <w:tcPr>
            <w:tcW w:w="1270" w:type="dxa"/>
          </w:tcPr>
          <w:p>
            <w:pPr>
              <w:spacing w:line="360" w:lineRule="auto"/>
              <w:jc w:val="both"/>
              <w:rPr>
                <w:rFonts w:ascii="Book Antiqua" w:hAnsi="Book Antiqua"/>
              </w:rPr>
            </w:pPr>
            <w:r>
              <w:rPr>
                <w:rFonts w:hint="eastAsia" w:ascii="Book Antiqua" w:hAnsi="Book Antiqua"/>
              </w:rPr>
              <w:t>3</w:t>
            </w:r>
            <w:r>
              <w:rPr>
                <w:rFonts w:ascii="Book Antiqua" w:hAnsi="Book Antiqua"/>
              </w:rPr>
              <w:t>9</w:t>
            </w:r>
          </w:p>
        </w:tc>
        <w:tc>
          <w:tcPr>
            <w:tcW w:w="603" w:type="dxa"/>
          </w:tcPr>
          <w:p>
            <w:pPr>
              <w:spacing w:line="360" w:lineRule="auto"/>
              <w:jc w:val="both"/>
              <w:rPr>
                <w:rFonts w:ascii="Book Antiqua" w:hAnsi="Book Antiqua"/>
              </w:rPr>
            </w:pPr>
            <w:r>
              <w:rPr>
                <w:rFonts w:hint="eastAsia" w:ascii="Book Antiqua" w:hAnsi="Book Antiqua"/>
              </w:rPr>
              <w:t>M</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3</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golimumab</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1</w:t>
            </w:r>
            <w:r>
              <w:rPr>
                <w:rFonts w:ascii="Book Antiqua" w:hAnsi="Book Antiqua"/>
              </w:rPr>
              <w:t>2</w:t>
            </w:r>
          </w:p>
        </w:tc>
        <w:tc>
          <w:tcPr>
            <w:tcW w:w="1270" w:type="dxa"/>
          </w:tcPr>
          <w:p>
            <w:pPr>
              <w:spacing w:line="360" w:lineRule="auto"/>
              <w:jc w:val="both"/>
              <w:rPr>
                <w:rFonts w:ascii="Book Antiqua" w:hAnsi="Book Antiqua"/>
              </w:rPr>
            </w:pPr>
            <w:r>
              <w:rPr>
                <w:rFonts w:hint="eastAsia" w:ascii="Book Antiqua" w:hAnsi="Book Antiqua"/>
              </w:rPr>
              <w:t>4</w:t>
            </w:r>
            <w:r>
              <w:rPr>
                <w:rFonts w:ascii="Book Antiqua" w:hAnsi="Book Antiqua"/>
              </w:rPr>
              <w:t>1</w:t>
            </w:r>
          </w:p>
        </w:tc>
        <w:tc>
          <w:tcPr>
            <w:tcW w:w="603" w:type="dxa"/>
          </w:tcPr>
          <w:p>
            <w:pPr>
              <w:spacing w:line="360" w:lineRule="auto"/>
              <w:jc w:val="both"/>
              <w:rPr>
                <w:rFonts w:ascii="Book Antiqua" w:hAnsi="Book Antiqua"/>
              </w:rPr>
            </w:pPr>
            <w:r>
              <w:rPr>
                <w:rFonts w:ascii="Book Antiqua" w:hAnsi="Book Antiqua"/>
              </w:rPr>
              <w:t>F</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4</w:t>
            </w:r>
          </w:p>
        </w:tc>
        <w:tc>
          <w:tcPr>
            <w:tcW w:w="1428" w:type="dxa"/>
          </w:tcPr>
          <w:p>
            <w:pPr>
              <w:spacing w:line="360" w:lineRule="auto"/>
              <w:jc w:val="both"/>
              <w:rPr>
                <w:rFonts w:ascii="Book Antiqua" w:hAnsi="Book Antiqua"/>
              </w:rPr>
            </w:pPr>
            <w:r>
              <w:rPr>
                <w:rFonts w:ascii="Book Antiqua" w:hAnsi="Book Antiqua"/>
              </w:rPr>
              <w:t>Steroid dependent</w:t>
            </w:r>
          </w:p>
        </w:tc>
        <w:tc>
          <w:tcPr>
            <w:tcW w:w="1631" w:type="dxa"/>
          </w:tcPr>
          <w:p>
            <w:pPr>
              <w:spacing w:line="360" w:lineRule="auto"/>
              <w:jc w:val="both"/>
              <w:rPr>
                <w:rFonts w:ascii="Book Antiqua" w:hAnsi="Book Antiqua"/>
              </w:rPr>
            </w:pPr>
            <w:r>
              <w:rPr>
                <w:rFonts w:ascii="Book Antiqua" w:hAnsi="Book Antiqua"/>
              </w:rPr>
              <w:t>golimumab</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1</w:t>
            </w:r>
            <w:r>
              <w:rPr>
                <w:rFonts w:ascii="Book Antiqua" w:hAnsi="Book Antiqua"/>
              </w:rPr>
              <w:t>3</w:t>
            </w:r>
          </w:p>
        </w:tc>
        <w:tc>
          <w:tcPr>
            <w:tcW w:w="1270" w:type="dxa"/>
          </w:tcPr>
          <w:p>
            <w:pPr>
              <w:spacing w:line="360" w:lineRule="auto"/>
              <w:jc w:val="both"/>
              <w:rPr>
                <w:rFonts w:ascii="Book Antiqua" w:hAnsi="Book Antiqua"/>
              </w:rPr>
            </w:pPr>
            <w:r>
              <w:rPr>
                <w:rFonts w:hint="eastAsia" w:ascii="Book Antiqua" w:hAnsi="Book Antiqua"/>
              </w:rPr>
              <w:t>4</w:t>
            </w:r>
            <w:r>
              <w:rPr>
                <w:rFonts w:ascii="Book Antiqua" w:hAnsi="Book Antiqua"/>
              </w:rPr>
              <w:t>4</w:t>
            </w:r>
          </w:p>
        </w:tc>
        <w:tc>
          <w:tcPr>
            <w:tcW w:w="603" w:type="dxa"/>
          </w:tcPr>
          <w:p>
            <w:pPr>
              <w:spacing w:line="360" w:lineRule="auto"/>
              <w:jc w:val="both"/>
              <w:rPr>
                <w:rFonts w:ascii="Book Antiqua" w:hAnsi="Book Antiqua"/>
              </w:rPr>
            </w:pPr>
            <w:r>
              <w:rPr>
                <w:rFonts w:hint="eastAsia" w:ascii="Book Antiqua" w:hAnsi="Book Antiqua"/>
              </w:rPr>
              <w:t>M</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5</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golimumab</w:t>
            </w:r>
          </w:p>
        </w:tc>
        <w:tc>
          <w:tcPr>
            <w:tcW w:w="1390" w:type="dxa"/>
          </w:tcPr>
          <w:p>
            <w:pPr>
              <w:spacing w:line="360" w:lineRule="auto"/>
              <w:jc w:val="both"/>
              <w:rPr>
                <w:rFonts w:ascii="Book Antiqua" w:hAnsi="Book Antiqua"/>
              </w:rPr>
            </w:pPr>
            <w:r>
              <w:rPr>
                <w:rFonts w:hint="eastAsia" w:ascii="Book Antiqua" w:hAnsi="Book Antiqua"/>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610" w:type="dxa"/>
          </w:tcPr>
          <w:p>
            <w:pPr>
              <w:spacing w:line="360" w:lineRule="auto"/>
              <w:jc w:val="both"/>
              <w:rPr>
                <w:rFonts w:ascii="Book Antiqua" w:hAnsi="Book Antiqua"/>
              </w:rPr>
            </w:pPr>
            <w:r>
              <w:rPr>
                <w:rFonts w:hint="eastAsia" w:ascii="Book Antiqua" w:hAnsi="Book Antiqua"/>
              </w:rPr>
              <w:t>1</w:t>
            </w:r>
            <w:r>
              <w:rPr>
                <w:rFonts w:ascii="Book Antiqua" w:hAnsi="Book Antiqua"/>
              </w:rPr>
              <w:t>4</w:t>
            </w:r>
          </w:p>
        </w:tc>
        <w:tc>
          <w:tcPr>
            <w:tcW w:w="1270" w:type="dxa"/>
          </w:tcPr>
          <w:p>
            <w:pPr>
              <w:spacing w:line="360" w:lineRule="auto"/>
              <w:jc w:val="both"/>
              <w:rPr>
                <w:rFonts w:ascii="Book Antiqua" w:hAnsi="Book Antiqua"/>
              </w:rPr>
            </w:pPr>
            <w:r>
              <w:rPr>
                <w:rFonts w:hint="eastAsia" w:ascii="Book Antiqua" w:hAnsi="Book Antiqua"/>
              </w:rPr>
              <w:t>4</w:t>
            </w:r>
            <w:r>
              <w:rPr>
                <w:rFonts w:ascii="Book Antiqua" w:hAnsi="Book Antiqua"/>
              </w:rPr>
              <w:t>8</w:t>
            </w:r>
          </w:p>
        </w:tc>
        <w:tc>
          <w:tcPr>
            <w:tcW w:w="603" w:type="dxa"/>
          </w:tcPr>
          <w:p>
            <w:pPr>
              <w:spacing w:line="360" w:lineRule="auto"/>
              <w:jc w:val="both"/>
              <w:rPr>
                <w:rFonts w:ascii="Book Antiqua" w:hAnsi="Book Antiqua"/>
              </w:rPr>
            </w:pPr>
            <w:r>
              <w:rPr>
                <w:rFonts w:hint="eastAsia" w:ascii="Book Antiqua" w:hAnsi="Book Antiqua"/>
              </w:rPr>
              <w:t>M</w:t>
            </w:r>
          </w:p>
        </w:tc>
        <w:tc>
          <w:tcPr>
            <w:tcW w:w="1443" w:type="dxa"/>
          </w:tcPr>
          <w:p>
            <w:pPr>
              <w:spacing w:line="360" w:lineRule="auto"/>
              <w:jc w:val="both"/>
              <w:rPr>
                <w:rFonts w:ascii="Book Antiqua" w:hAnsi="Book Antiqua"/>
              </w:rPr>
            </w:pPr>
            <w:r>
              <w:rPr>
                <w:rFonts w:hint="eastAsia" w:ascii="Book Antiqua" w:hAnsi="Book Antiqua"/>
              </w:rPr>
              <w:t>R</w:t>
            </w:r>
            <w:r>
              <w:rPr>
                <w:rFonts w:ascii="Book Antiqua" w:hAnsi="Book Antiqua"/>
              </w:rPr>
              <w:t>I</w:t>
            </w:r>
          </w:p>
        </w:tc>
        <w:tc>
          <w:tcPr>
            <w:tcW w:w="1201" w:type="dxa"/>
          </w:tcPr>
          <w:p>
            <w:pPr>
              <w:spacing w:line="360" w:lineRule="auto"/>
              <w:jc w:val="both"/>
              <w:rPr>
                <w:rFonts w:ascii="Book Antiqua" w:hAnsi="Book Antiqua"/>
              </w:rPr>
            </w:pPr>
            <w:r>
              <w:rPr>
                <w:rFonts w:hint="eastAsia" w:ascii="Book Antiqua" w:hAnsi="Book Antiqua"/>
              </w:rPr>
              <w:t>2</w:t>
            </w:r>
          </w:p>
        </w:tc>
        <w:tc>
          <w:tcPr>
            <w:tcW w:w="1428" w:type="dxa"/>
          </w:tcPr>
          <w:p>
            <w:pPr>
              <w:spacing w:line="360" w:lineRule="auto"/>
              <w:jc w:val="both"/>
              <w:rPr>
                <w:rFonts w:ascii="Book Antiqua" w:hAnsi="Book Antiqua"/>
              </w:rPr>
            </w:pPr>
            <w:r>
              <w:rPr>
                <w:rFonts w:ascii="Book Antiqua" w:hAnsi="Book Antiqua"/>
              </w:rPr>
              <w:t>Steroid refractory</w:t>
            </w:r>
          </w:p>
        </w:tc>
        <w:tc>
          <w:tcPr>
            <w:tcW w:w="1631" w:type="dxa"/>
          </w:tcPr>
          <w:p>
            <w:pPr>
              <w:spacing w:line="360" w:lineRule="auto"/>
              <w:jc w:val="both"/>
              <w:rPr>
                <w:rFonts w:ascii="Book Antiqua" w:hAnsi="Book Antiqua"/>
              </w:rPr>
            </w:pPr>
            <w:r>
              <w:rPr>
                <w:rFonts w:ascii="Book Antiqua" w:hAnsi="Book Antiqua"/>
              </w:rPr>
              <w:t>golimumab</w:t>
            </w:r>
          </w:p>
        </w:tc>
        <w:tc>
          <w:tcPr>
            <w:tcW w:w="1390" w:type="dxa"/>
          </w:tcPr>
          <w:p>
            <w:pPr>
              <w:spacing w:line="360" w:lineRule="auto"/>
              <w:jc w:val="both"/>
              <w:rPr>
                <w:rFonts w:ascii="Book Antiqua" w:hAnsi="Book Antiqua"/>
              </w:rPr>
            </w:pPr>
            <w:r>
              <w:rPr>
                <w:rFonts w:hint="eastAsia" w:ascii="Book Antiqua" w:hAnsi="Book Antiqua"/>
              </w:rPr>
              <w:t>-</w:t>
            </w:r>
          </w:p>
        </w:tc>
      </w:tr>
    </w:tbl>
    <w:p>
      <w:pPr>
        <w:spacing w:line="360" w:lineRule="auto"/>
        <w:jc w:val="both"/>
        <w:rPr>
          <w:rFonts w:ascii="Book Antiqua" w:hAnsi="Book Antiqua"/>
          <w:b/>
          <w:bCs/>
        </w:rPr>
      </w:pPr>
      <w:r>
        <w:rPr>
          <w:rFonts w:ascii="Book Antiqua" w:hAnsi="Book Antiqua"/>
        </w:rPr>
        <w:t>RS: Rectal sparing; RI: Rectal involvement.</w:t>
      </w:r>
    </w:p>
    <w:p>
      <w:pPr>
        <w:spacing w:line="360" w:lineRule="auto"/>
        <w:jc w:val="both"/>
        <w:rPr>
          <w:rFonts w:ascii="Book Antiqua" w:hAnsi="Book Antiqua"/>
          <w:b/>
          <w:bCs/>
        </w:rPr>
      </w:pP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3 Clinical prognosis of ulcerative colitis with rectal sparing versus without rectal sparing (control)</w:t>
      </w:r>
    </w:p>
    <w:tbl>
      <w:tblPr>
        <w:tblStyle w:val="8"/>
        <w:tblW w:w="9776"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0"/>
        <w:gridCol w:w="354"/>
        <w:gridCol w:w="3384"/>
        <w:gridCol w:w="1898"/>
        <w:gridCol w:w="1820"/>
        <w:gridCol w:w="196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4098" w:type="dxa"/>
            <w:gridSpan w:val="3"/>
            <w:tcBorders>
              <w:top w:val="single" w:color="auto" w:sz="4" w:space="0"/>
              <w:bottom w:val="single" w:color="auto" w:sz="4" w:space="0"/>
            </w:tcBorders>
          </w:tcPr>
          <w:p>
            <w:pPr>
              <w:spacing w:line="360" w:lineRule="auto"/>
              <w:jc w:val="both"/>
              <w:rPr>
                <w:rFonts w:ascii="Book Antiqua" w:hAnsi="Book Antiqua" w:eastAsia="宋体"/>
                <w:b/>
                <w:bCs/>
              </w:rPr>
            </w:pPr>
          </w:p>
        </w:tc>
        <w:tc>
          <w:tcPr>
            <w:tcW w:w="1898"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Rectal sparing UC (</w:t>
            </w:r>
            <w:r>
              <w:rPr>
                <w:rFonts w:ascii="Book Antiqua" w:hAnsi="Book Antiqua" w:eastAsia="宋体"/>
                <w:b/>
                <w:bCs/>
                <w:i/>
                <w:iCs/>
              </w:rPr>
              <w:t xml:space="preserve">n </w:t>
            </w:r>
            <w:r>
              <w:rPr>
                <w:rFonts w:ascii="Book Antiqua" w:hAnsi="Book Antiqua" w:eastAsia="宋体"/>
                <w:b/>
                <w:bCs/>
              </w:rPr>
              <w:t>= 24)</w:t>
            </w:r>
          </w:p>
        </w:tc>
        <w:tc>
          <w:tcPr>
            <w:tcW w:w="1820"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rPr>
              <w:t>Control (</w:t>
            </w:r>
            <w:r>
              <w:rPr>
                <w:rFonts w:ascii="Book Antiqua" w:hAnsi="Book Antiqua" w:eastAsia="宋体"/>
                <w:b/>
                <w:bCs/>
                <w:i/>
                <w:iCs/>
              </w:rPr>
              <w:t xml:space="preserve">n </w:t>
            </w:r>
            <w:r>
              <w:rPr>
                <w:rFonts w:ascii="Book Antiqua" w:hAnsi="Book Antiqua" w:eastAsia="宋体"/>
                <w:b/>
                <w:bCs/>
              </w:rPr>
              <w:t>= 72)</w:t>
            </w:r>
          </w:p>
        </w:tc>
        <w:tc>
          <w:tcPr>
            <w:tcW w:w="1960" w:type="dxa"/>
            <w:tcBorders>
              <w:top w:val="single" w:color="auto" w:sz="4" w:space="0"/>
              <w:bottom w:val="single" w:color="auto" w:sz="4" w:space="0"/>
            </w:tcBorders>
          </w:tcPr>
          <w:p>
            <w:pPr>
              <w:spacing w:line="360" w:lineRule="auto"/>
              <w:jc w:val="both"/>
              <w:rPr>
                <w:rFonts w:ascii="Book Antiqua" w:hAnsi="Book Antiqua" w:eastAsia="宋体"/>
                <w:b/>
                <w:bCs/>
              </w:rPr>
            </w:pPr>
            <w:r>
              <w:rPr>
                <w:rFonts w:ascii="Book Antiqua" w:hAnsi="Book Antiqua" w:eastAsia="宋体"/>
                <w:b/>
                <w:bCs/>
                <w:i/>
                <w:iCs/>
              </w:rPr>
              <w:t>P</w:t>
            </w:r>
            <w:r>
              <w:rPr>
                <w:rFonts w:ascii="Book Antiqua" w:hAnsi="Book Antiqua" w:eastAsia="宋体"/>
                <w:b/>
                <w:bCs/>
              </w:rPr>
              <w:t xml:space="preserve"> value</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410" w:hRule="atLeast"/>
        </w:trPr>
        <w:tc>
          <w:tcPr>
            <w:tcW w:w="4098" w:type="dxa"/>
            <w:gridSpan w:val="3"/>
            <w:tcBorders>
              <w:top w:val="single" w:color="auto" w:sz="4" w:space="0"/>
            </w:tcBorders>
          </w:tcPr>
          <w:p>
            <w:pPr>
              <w:spacing w:line="360" w:lineRule="auto"/>
              <w:jc w:val="both"/>
              <w:rPr>
                <w:rFonts w:ascii="Book Antiqua" w:hAnsi="Book Antiqua" w:eastAsia="宋体"/>
              </w:rPr>
            </w:pPr>
            <w:r>
              <w:rPr>
                <w:rFonts w:ascii="Book Antiqua" w:hAnsi="Book Antiqua" w:eastAsia="宋体"/>
              </w:rPr>
              <w:t>Age</w:t>
            </w:r>
          </w:p>
        </w:tc>
        <w:tc>
          <w:tcPr>
            <w:tcW w:w="1898"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35.8 ± 11.0</w:t>
            </w:r>
          </w:p>
        </w:tc>
        <w:tc>
          <w:tcPr>
            <w:tcW w:w="1820" w:type="dxa"/>
            <w:tcBorders>
              <w:top w:val="single" w:color="auto" w:sz="4" w:space="0"/>
            </w:tcBorders>
          </w:tcPr>
          <w:p>
            <w:pPr>
              <w:spacing w:line="360" w:lineRule="auto"/>
              <w:jc w:val="both"/>
              <w:rPr>
                <w:rFonts w:ascii="Book Antiqua" w:hAnsi="Book Antiqua" w:eastAsia="宋体"/>
              </w:rPr>
            </w:pPr>
            <w:r>
              <w:rPr>
                <w:rFonts w:ascii="Book Antiqua" w:hAnsi="Book Antiqua" w:eastAsia="宋体"/>
              </w:rPr>
              <w:t>36.6 ± 10.6</w:t>
            </w:r>
          </w:p>
        </w:tc>
        <w:tc>
          <w:tcPr>
            <w:tcW w:w="1960" w:type="dxa"/>
            <w:tcBorders>
              <w:top w:val="single" w:color="auto" w:sz="4" w:space="0"/>
            </w:tcBorders>
          </w:tcPr>
          <w:p>
            <w:pPr>
              <w:spacing w:line="360" w:lineRule="auto"/>
              <w:jc w:val="both"/>
              <w:rPr>
                <w:rFonts w:ascii="Book Antiqua" w:hAnsi="Book Antiqua" w:eastAsia="宋体"/>
              </w:rPr>
            </w:pPr>
            <w:r>
              <w:rPr>
                <w:rFonts w:hint="eastAsia" w:ascii="Book Antiqua" w:hAnsi="Book Antiqua" w:eastAsia="宋体"/>
                <w:lang w:eastAsia="zh-CN"/>
              </w:rPr>
              <w:t>M</w:t>
            </w:r>
            <w:r>
              <w:rPr>
                <w:rFonts w:ascii="Book Antiqua" w:hAnsi="Book Antiqua" w:eastAsia="宋体"/>
              </w:rPr>
              <w:t>atched</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4098" w:type="dxa"/>
            <w:gridSpan w:val="3"/>
          </w:tcPr>
          <w:p>
            <w:pPr>
              <w:spacing w:line="360" w:lineRule="auto"/>
              <w:jc w:val="both"/>
              <w:rPr>
                <w:rFonts w:ascii="Book Antiqua" w:hAnsi="Book Antiqua" w:eastAsia="宋体"/>
              </w:rPr>
            </w:pPr>
            <w:r>
              <w:rPr>
                <w:rFonts w:ascii="Book Antiqua" w:hAnsi="Book Antiqua" w:eastAsia="宋体"/>
              </w:rPr>
              <w:t>Sex (male:female)</w:t>
            </w:r>
          </w:p>
        </w:tc>
        <w:tc>
          <w:tcPr>
            <w:tcW w:w="1898" w:type="dxa"/>
          </w:tcPr>
          <w:p>
            <w:pPr>
              <w:spacing w:line="360" w:lineRule="auto"/>
              <w:jc w:val="both"/>
              <w:rPr>
                <w:rFonts w:ascii="Book Antiqua" w:hAnsi="Book Antiqua" w:eastAsia="宋体"/>
              </w:rPr>
            </w:pPr>
            <w:r>
              <w:rPr>
                <w:rFonts w:ascii="Book Antiqua" w:hAnsi="Book Antiqua" w:eastAsia="宋体"/>
              </w:rPr>
              <w:t>19:5</w:t>
            </w:r>
          </w:p>
        </w:tc>
        <w:tc>
          <w:tcPr>
            <w:tcW w:w="1820" w:type="dxa"/>
          </w:tcPr>
          <w:p>
            <w:pPr>
              <w:spacing w:line="360" w:lineRule="auto"/>
              <w:jc w:val="both"/>
              <w:rPr>
                <w:rFonts w:ascii="Book Antiqua" w:hAnsi="Book Antiqua" w:eastAsia="宋体"/>
              </w:rPr>
            </w:pPr>
            <w:r>
              <w:rPr>
                <w:rFonts w:ascii="Book Antiqua" w:hAnsi="Book Antiqua" w:eastAsia="宋体"/>
              </w:rPr>
              <w:t>57:15</w:t>
            </w:r>
          </w:p>
        </w:tc>
        <w:tc>
          <w:tcPr>
            <w:tcW w:w="1960" w:type="dxa"/>
          </w:tcPr>
          <w:p>
            <w:pPr>
              <w:spacing w:line="360" w:lineRule="auto"/>
              <w:jc w:val="both"/>
              <w:rPr>
                <w:rFonts w:ascii="Book Antiqua" w:hAnsi="Book Antiqua" w:eastAsia="宋体"/>
              </w:rPr>
            </w:pPr>
            <w:r>
              <w:rPr>
                <w:rFonts w:hint="eastAsia" w:ascii="Book Antiqua" w:hAnsi="Book Antiqua" w:eastAsia="宋体"/>
                <w:lang w:eastAsia="zh-CN"/>
              </w:rPr>
              <w:t>M</w:t>
            </w:r>
            <w:r>
              <w:rPr>
                <w:rFonts w:ascii="Book Antiqua" w:hAnsi="Book Antiqua" w:eastAsia="宋体"/>
              </w:rPr>
              <w:t>atched</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4098" w:type="dxa"/>
            <w:gridSpan w:val="3"/>
          </w:tcPr>
          <w:p>
            <w:pPr>
              <w:spacing w:line="360" w:lineRule="auto"/>
              <w:jc w:val="both"/>
              <w:rPr>
                <w:rFonts w:ascii="Book Antiqua" w:hAnsi="Book Antiqua" w:eastAsia="宋体"/>
              </w:rPr>
            </w:pPr>
            <w:r>
              <w:rPr>
                <w:rFonts w:ascii="Book Antiqua" w:hAnsi="Book Antiqua" w:eastAsia="宋体"/>
              </w:rPr>
              <w:t>Disease extent (E2/E3)</w:t>
            </w:r>
          </w:p>
        </w:tc>
        <w:tc>
          <w:tcPr>
            <w:tcW w:w="1898" w:type="dxa"/>
          </w:tcPr>
          <w:p>
            <w:pPr>
              <w:spacing w:line="360" w:lineRule="auto"/>
              <w:jc w:val="both"/>
              <w:rPr>
                <w:rFonts w:ascii="Book Antiqua" w:hAnsi="Book Antiqua" w:eastAsia="宋体"/>
              </w:rPr>
            </w:pPr>
            <w:r>
              <w:rPr>
                <w:rFonts w:ascii="Book Antiqua" w:hAnsi="Book Antiqua" w:eastAsia="宋体"/>
              </w:rPr>
              <w:t>8/16</w:t>
            </w:r>
          </w:p>
        </w:tc>
        <w:tc>
          <w:tcPr>
            <w:tcW w:w="1820" w:type="dxa"/>
          </w:tcPr>
          <w:p>
            <w:pPr>
              <w:spacing w:line="360" w:lineRule="auto"/>
              <w:jc w:val="both"/>
              <w:rPr>
                <w:rFonts w:ascii="Book Antiqua" w:hAnsi="Book Antiqua" w:eastAsia="宋体"/>
              </w:rPr>
            </w:pPr>
            <w:r>
              <w:rPr>
                <w:rFonts w:ascii="Book Antiqua" w:hAnsi="Book Antiqua" w:eastAsia="宋体"/>
              </w:rPr>
              <w:t>24/48</w:t>
            </w:r>
          </w:p>
        </w:tc>
        <w:tc>
          <w:tcPr>
            <w:tcW w:w="1960" w:type="dxa"/>
          </w:tcPr>
          <w:p>
            <w:pPr>
              <w:spacing w:line="360" w:lineRule="auto"/>
              <w:jc w:val="both"/>
              <w:rPr>
                <w:rFonts w:ascii="Book Antiqua" w:hAnsi="Book Antiqua" w:eastAsia="宋体"/>
              </w:rPr>
            </w:pPr>
            <w:r>
              <w:rPr>
                <w:rFonts w:hint="eastAsia" w:ascii="Book Antiqua" w:hAnsi="Book Antiqua" w:eastAsia="宋体"/>
                <w:lang w:eastAsia="zh-CN"/>
              </w:rPr>
              <w:t>M</w:t>
            </w:r>
            <w:r>
              <w:rPr>
                <w:rFonts w:ascii="Book Antiqua" w:hAnsi="Book Antiqua" w:eastAsia="宋体"/>
              </w:rPr>
              <w:t>atched</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4098" w:type="dxa"/>
            <w:gridSpan w:val="3"/>
          </w:tcPr>
          <w:p>
            <w:pPr>
              <w:spacing w:line="360" w:lineRule="auto"/>
              <w:jc w:val="both"/>
              <w:rPr>
                <w:rFonts w:ascii="Book Antiqua" w:hAnsi="Book Antiqua" w:eastAsia="宋体"/>
              </w:rPr>
            </w:pPr>
            <w:r>
              <w:rPr>
                <w:rFonts w:ascii="Book Antiqua" w:hAnsi="Book Antiqua" w:eastAsia="宋体"/>
              </w:rPr>
              <w:t>Follow-up period (mo)</w:t>
            </w:r>
          </w:p>
        </w:tc>
        <w:tc>
          <w:tcPr>
            <w:tcW w:w="1898" w:type="dxa"/>
          </w:tcPr>
          <w:p>
            <w:pPr>
              <w:spacing w:line="360" w:lineRule="auto"/>
              <w:jc w:val="both"/>
              <w:rPr>
                <w:rFonts w:ascii="Book Antiqua" w:hAnsi="Book Antiqua" w:eastAsia="宋体"/>
              </w:rPr>
            </w:pPr>
            <w:r>
              <w:rPr>
                <w:rFonts w:ascii="Book Antiqua" w:hAnsi="Book Antiqua" w:eastAsia="宋体"/>
              </w:rPr>
              <w:t>103.4 ± 41.3</w:t>
            </w:r>
          </w:p>
        </w:tc>
        <w:tc>
          <w:tcPr>
            <w:tcW w:w="1820" w:type="dxa"/>
          </w:tcPr>
          <w:p>
            <w:pPr>
              <w:spacing w:line="360" w:lineRule="auto"/>
              <w:jc w:val="both"/>
              <w:rPr>
                <w:rFonts w:ascii="Book Antiqua" w:hAnsi="Book Antiqua" w:eastAsia="宋体"/>
              </w:rPr>
            </w:pPr>
            <w:r>
              <w:rPr>
                <w:rFonts w:ascii="Book Antiqua" w:hAnsi="Book Antiqua" w:eastAsia="宋体"/>
              </w:rPr>
              <w:t>109.4 ± 41.6</w:t>
            </w:r>
          </w:p>
        </w:tc>
        <w:tc>
          <w:tcPr>
            <w:tcW w:w="1960" w:type="dxa"/>
          </w:tcPr>
          <w:p>
            <w:pPr>
              <w:spacing w:line="360" w:lineRule="auto"/>
              <w:jc w:val="both"/>
              <w:rPr>
                <w:rFonts w:ascii="Book Antiqua" w:hAnsi="Book Antiqua" w:eastAsia="宋体"/>
              </w:rPr>
            </w:pPr>
            <w:r>
              <w:rPr>
                <w:rFonts w:ascii="Book Antiqua" w:hAnsi="Book Antiqua" w:eastAsia="宋体"/>
              </w:rPr>
              <w:t xml:space="preserve"> 0.5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4098" w:type="dxa"/>
            <w:gridSpan w:val="3"/>
            <w:tcBorders>
              <w:bottom w:val="nil"/>
            </w:tcBorders>
          </w:tcPr>
          <w:p>
            <w:pPr>
              <w:spacing w:line="360" w:lineRule="auto"/>
              <w:jc w:val="both"/>
              <w:rPr>
                <w:rFonts w:ascii="Book Antiqua" w:hAnsi="Book Antiqua" w:eastAsia="宋体"/>
              </w:rPr>
            </w:pPr>
            <w:r>
              <w:rPr>
                <w:rFonts w:ascii="Book Antiqua" w:hAnsi="Book Antiqua" w:eastAsia="宋体"/>
              </w:rPr>
              <w:t>Clinical outcomes</w:t>
            </w:r>
          </w:p>
        </w:tc>
        <w:tc>
          <w:tcPr>
            <w:tcW w:w="1898" w:type="dxa"/>
          </w:tcPr>
          <w:p>
            <w:pPr>
              <w:spacing w:line="360" w:lineRule="auto"/>
              <w:jc w:val="both"/>
              <w:rPr>
                <w:rFonts w:ascii="Book Antiqua" w:hAnsi="Book Antiqua" w:eastAsia="宋体"/>
              </w:rPr>
            </w:pPr>
          </w:p>
        </w:tc>
        <w:tc>
          <w:tcPr>
            <w:tcW w:w="1820" w:type="dxa"/>
          </w:tcPr>
          <w:p>
            <w:pPr>
              <w:spacing w:line="360" w:lineRule="auto"/>
              <w:jc w:val="both"/>
              <w:rPr>
                <w:rFonts w:ascii="Book Antiqua" w:hAnsi="Book Antiqua" w:eastAsia="宋体"/>
              </w:rPr>
            </w:pPr>
          </w:p>
        </w:tc>
        <w:tc>
          <w:tcPr>
            <w:tcW w:w="1960" w:type="dxa"/>
          </w:tcPr>
          <w:p>
            <w:pPr>
              <w:spacing w:line="360" w:lineRule="auto"/>
              <w:jc w:val="both"/>
              <w:rPr>
                <w:rFonts w:ascii="Book Antiqua" w:hAnsi="Book Antiqua" w:eastAsia="宋体"/>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410" w:hRule="atLeast"/>
        </w:trPr>
        <w:tc>
          <w:tcPr>
            <w:tcW w:w="360" w:type="dxa"/>
            <w:tcBorders>
              <w:bottom w:val="nil"/>
              <w:right w:val="nil"/>
            </w:tcBorders>
          </w:tcPr>
          <w:p>
            <w:pPr>
              <w:spacing w:line="360" w:lineRule="auto"/>
              <w:jc w:val="both"/>
              <w:rPr>
                <w:rFonts w:ascii="Book Antiqua" w:hAnsi="Book Antiqua" w:eastAsia="宋体"/>
              </w:rPr>
            </w:pPr>
          </w:p>
        </w:tc>
        <w:tc>
          <w:tcPr>
            <w:tcW w:w="3738" w:type="dxa"/>
            <w:gridSpan w:val="2"/>
            <w:tcBorders>
              <w:left w:val="nil"/>
              <w:bottom w:val="nil"/>
            </w:tcBorders>
          </w:tcPr>
          <w:p>
            <w:pPr>
              <w:spacing w:line="360" w:lineRule="auto"/>
              <w:ind w:left="120"/>
              <w:jc w:val="both"/>
              <w:rPr>
                <w:rFonts w:ascii="Book Antiqua" w:hAnsi="Book Antiqua" w:eastAsia="宋体"/>
              </w:rPr>
            </w:pPr>
            <w:r>
              <w:rPr>
                <w:rFonts w:ascii="Book Antiqua" w:hAnsi="Book Antiqua" w:eastAsia="宋体"/>
              </w:rPr>
              <w:t>Use of systemic corticosteroid</w:t>
            </w:r>
          </w:p>
        </w:tc>
        <w:tc>
          <w:tcPr>
            <w:tcW w:w="1898" w:type="dxa"/>
          </w:tcPr>
          <w:p>
            <w:pPr>
              <w:spacing w:line="360" w:lineRule="auto"/>
              <w:jc w:val="both"/>
              <w:rPr>
                <w:rFonts w:ascii="Book Antiqua" w:hAnsi="Book Antiqua" w:eastAsia="宋体"/>
              </w:rPr>
            </w:pPr>
          </w:p>
        </w:tc>
        <w:tc>
          <w:tcPr>
            <w:tcW w:w="1820" w:type="dxa"/>
          </w:tcPr>
          <w:p>
            <w:pPr>
              <w:spacing w:line="360" w:lineRule="auto"/>
              <w:jc w:val="both"/>
              <w:rPr>
                <w:rFonts w:ascii="Book Antiqua" w:hAnsi="Book Antiqua" w:eastAsia="宋体"/>
              </w:rPr>
            </w:pPr>
          </w:p>
        </w:tc>
        <w:tc>
          <w:tcPr>
            <w:tcW w:w="1960" w:type="dxa"/>
          </w:tcPr>
          <w:p>
            <w:pPr>
              <w:spacing w:line="360" w:lineRule="auto"/>
              <w:jc w:val="both"/>
              <w:rPr>
                <w:rFonts w:ascii="Book Antiqua" w:hAnsi="Book Antiqua" w:eastAsia="宋体"/>
              </w:rPr>
            </w:pPr>
            <w:r>
              <w:rPr>
                <w:rFonts w:hint="eastAsia" w:ascii="Book Antiqua" w:hAnsi="Book Antiqua" w:eastAsia="宋体"/>
              </w:rPr>
              <w:t>0</w:t>
            </w:r>
            <w:r>
              <w:rPr>
                <w:rFonts w:ascii="Book Antiqua" w:hAnsi="Book Antiqua" w:eastAsia="宋体"/>
              </w:rPr>
              <w:t xml:space="preserve">.77  </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360" w:type="dxa"/>
            <w:tcBorders>
              <w:bottom w:val="nil"/>
              <w:right w:val="nil"/>
            </w:tcBorders>
          </w:tcPr>
          <w:p>
            <w:pPr>
              <w:spacing w:line="360" w:lineRule="auto"/>
              <w:jc w:val="both"/>
              <w:rPr>
                <w:rFonts w:ascii="Book Antiqua" w:hAnsi="Book Antiqua" w:eastAsia="宋体"/>
              </w:rPr>
            </w:pPr>
          </w:p>
        </w:tc>
        <w:tc>
          <w:tcPr>
            <w:tcW w:w="354" w:type="dxa"/>
            <w:tcBorders>
              <w:left w:val="nil"/>
              <w:bottom w:val="nil"/>
              <w:right w:val="nil"/>
            </w:tcBorders>
          </w:tcPr>
          <w:p>
            <w:pPr>
              <w:spacing w:line="360" w:lineRule="auto"/>
              <w:jc w:val="both"/>
              <w:rPr>
                <w:rFonts w:ascii="Book Antiqua" w:hAnsi="Book Antiqua" w:eastAsia="宋体"/>
              </w:rPr>
            </w:pPr>
          </w:p>
        </w:tc>
        <w:tc>
          <w:tcPr>
            <w:tcW w:w="3384" w:type="dxa"/>
            <w:tcBorders>
              <w:left w:val="nil"/>
              <w:bottom w:val="nil"/>
            </w:tcBorders>
          </w:tcPr>
          <w:p>
            <w:pPr>
              <w:spacing w:line="360" w:lineRule="auto"/>
              <w:jc w:val="both"/>
              <w:rPr>
                <w:rFonts w:ascii="Book Antiqua" w:hAnsi="Book Antiqua" w:eastAsia="宋体"/>
              </w:rPr>
            </w:pPr>
            <w:r>
              <w:rPr>
                <w:rFonts w:ascii="Book Antiqua" w:hAnsi="Book Antiqua" w:eastAsia="宋体"/>
              </w:rPr>
              <w:t>3-</w:t>
            </w:r>
            <w:r>
              <w:rPr>
                <w:rFonts w:hint="eastAsia" w:ascii="Book Antiqua" w:hAnsi="Book Antiqua" w:eastAsia="宋体"/>
              </w:rPr>
              <w:t>y</w:t>
            </w:r>
            <w:r>
              <w:rPr>
                <w:rFonts w:ascii="Book Antiqua" w:hAnsi="Book Antiqua" w:eastAsia="宋体"/>
              </w:rPr>
              <w:t xml:space="preserve">r cumulative rate </w:t>
            </w:r>
          </w:p>
        </w:tc>
        <w:tc>
          <w:tcPr>
            <w:tcW w:w="1898" w:type="dxa"/>
          </w:tcPr>
          <w:p>
            <w:pPr>
              <w:spacing w:line="360" w:lineRule="auto"/>
              <w:jc w:val="both"/>
              <w:rPr>
                <w:rFonts w:ascii="Book Antiqua" w:hAnsi="Book Antiqua" w:eastAsia="宋体"/>
              </w:rPr>
            </w:pPr>
            <w:r>
              <w:rPr>
                <w:rFonts w:hint="eastAsia" w:ascii="Book Antiqua" w:hAnsi="Book Antiqua" w:eastAsia="宋体"/>
              </w:rPr>
              <w:t>3</w:t>
            </w:r>
            <w:r>
              <w:rPr>
                <w:rFonts w:ascii="Book Antiqua" w:hAnsi="Book Antiqua" w:eastAsia="宋体"/>
              </w:rPr>
              <w:t>5.3%</w:t>
            </w:r>
          </w:p>
        </w:tc>
        <w:tc>
          <w:tcPr>
            <w:tcW w:w="1820" w:type="dxa"/>
          </w:tcPr>
          <w:p>
            <w:pPr>
              <w:spacing w:line="360" w:lineRule="auto"/>
              <w:jc w:val="both"/>
              <w:rPr>
                <w:rFonts w:ascii="Book Antiqua" w:hAnsi="Book Antiqua" w:eastAsia="宋体"/>
              </w:rPr>
            </w:pPr>
            <w:r>
              <w:rPr>
                <w:rFonts w:hint="eastAsia" w:ascii="Book Antiqua" w:hAnsi="Book Antiqua" w:eastAsia="宋体"/>
              </w:rPr>
              <w:t>3</w:t>
            </w:r>
            <w:r>
              <w:rPr>
                <w:rFonts w:ascii="Book Antiqua" w:hAnsi="Book Antiqua" w:eastAsia="宋体"/>
              </w:rPr>
              <w:t>4.7%</w:t>
            </w:r>
          </w:p>
        </w:tc>
        <w:tc>
          <w:tcPr>
            <w:tcW w:w="1960" w:type="dxa"/>
          </w:tcPr>
          <w:p>
            <w:pPr>
              <w:spacing w:line="360" w:lineRule="auto"/>
              <w:jc w:val="both"/>
              <w:rPr>
                <w:rFonts w:ascii="Book Antiqua" w:hAnsi="Book Antiqua" w:eastAsia="宋体"/>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410" w:hRule="atLeast"/>
        </w:trPr>
        <w:tc>
          <w:tcPr>
            <w:tcW w:w="360" w:type="dxa"/>
            <w:tcBorders>
              <w:bottom w:val="nil"/>
              <w:right w:val="nil"/>
            </w:tcBorders>
          </w:tcPr>
          <w:p>
            <w:pPr>
              <w:spacing w:line="360" w:lineRule="auto"/>
              <w:jc w:val="both"/>
              <w:rPr>
                <w:rFonts w:ascii="Book Antiqua" w:hAnsi="Book Antiqua" w:eastAsia="宋体"/>
              </w:rPr>
            </w:pPr>
          </w:p>
        </w:tc>
        <w:tc>
          <w:tcPr>
            <w:tcW w:w="354" w:type="dxa"/>
            <w:tcBorders>
              <w:left w:val="nil"/>
              <w:bottom w:val="nil"/>
              <w:right w:val="nil"/>
            </w:tcBorders>
          </w:tcPr>
          <w:p>
            <w:pPr>
              <w:spacing w:line="360" w:lineRule="auto"/>
              <w:jc w:val="both"/>
              <w:rPr>
                <w:rFonts w:ascii="Book Antiqua" w:hAnsi="Book Antiqua" w:eastAsia="宋体"/>
              </w:rPr>
            </w:pPr>
          </w:p>
        </w:tc>
        <w:tc>
          <w:tcPr>
            <w:tcW w:w="3384" w:type="dxa"/>
            <w:tcBorders>
              <w:left w:val="nil"/>
              <w:bottom w:val="nil"/>
            </w:tcBorders>
          </w:tcPr>
          <w:p>
            <w:pPr>
              <w:spacing w:line="360" w:lineRule="auto"/>
              <w:jc w:val="both"/>
              <w:rPr>
                <w:rFonts w:ascii="Book Antiqua" w:hAnsi="Book Antiqua" w:eastAsia="宋体"/>
              </w:rPr>
            </w:pPr>
            <w:r>
              <w:rPr>
                <w:rFonts w:ascii="Book Antiqua" w:hAnsi="Book Antiqua" w:eastAsia="宋体"/>
              </w:rPr>
              <w:t>5-yr cumulative rate</w:t>
            </w:r>
          </w:p>
        </w:tc>
        <w:tc>
          <w:tcPr>
            <w:tcW w:w="1898" w:type="dxa"/>
          </w:tcPr>
          <w:p>
            <w:pPr>
              <w:spacing w:line="360" w:lineRule="auto"/>
              <w:jc w:val="both"/>
              <w:rPr>
                <w:rFonts w:ascii="Book Antiqua" w:hAnsi="Book Antiqua" w:eastAsia="宋体"/>
              </w:rPr>
            </w:pPr>
            <w:r>
              <w:rPr>
                <w:rFonts w:hint="eastAsia" w:ascii="Book Antiqua" w:hAnsi="Book Antiqua" w:eastAsia="宋体"/>
              </w:rPr>
              <w:t>4</w:t>
            </w:r>
            <w:r>
              <w:rPr>
                <w:rFonts w:ascii="Book Antiqua" w:hAnsi="Book Antiqua" w:eastAsia="宋体"/>
              </w:rPr>
              <w:t>6.0%</w:t>
            </w:r>
          </w:p>
        </w:tc>
        <w:tc>
          <w:tcPr>
            <w:tcW w:w="1820" w:type="dxa"/>
          </w:tcPr>
          <w:p>
            <w:pPr>
              <w:spacing w:line="360" w:lineRule="auto"/>
              <w:jc w:val="both"/>
              <w:rPr>
                <w:rFonts w:ascii="Book Antiqua" w:hAnsi="Book Antiqua" w:eastAsia="宋体"/>
              </w:rPr>
            </w:pPr>
            <w:r>
              <w:rPr>
                <w:rFonts w:hint="eastAsia" w:ascii="Book Antiqua" w:hAnsi="Book Antiqua" w:eastAsia="宋体"/>
              </w:rPr>
              <w:t>4</w:t>
            </w:r>
            <w:r>
              <w:rPr>
                <w:rFonts w:ascii="Book Antiqua" w:hAnsi="Book Antiqua" w:eastAsia="宋体"/>
              </w:rPr>
              <w:t>1.8%</w:t>
            </w:r>
          </w:p>
        </w:tc>
        <w:tc>
          <w:tcPr>
            <w:tcW w:w="1960" w:type="dxa"/>
          </w:tcPr>
          <w:p>
            <w:pPr>
              <w:spacing w:line="360" w:lineRule="auto"/>
              <w:jc w:val="both"/>
              <w:rPr>
                <w:rFonts w:ascii="Book Antiqua" w:hAnsi="Book Antiqua" w:eastAsia="宋体"/>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60" w:type="dxa"/>
            <w:tcBorders>
              <w:bottom w:val="nil"/>
              <w:right w:val="nil"/>
            </w:tcBorders>
          </w:tcPr>
          <w:p>
            <w:pPr>
              <w:spacing w:line="360" w:lineRule="auto"/>
              <w:jc w:val="both"/>
              <w:rPr>
                <w:rFonts w:ascii="Book Antiqua" w:hAnsi="Book Antiqua" w:eastAsia="宋体"/>
              </w:rPr>
            </w:pPr>
          </w:p>
        </w:tc>
        <w:tc>
          <w:tcPr>
            <w:tcW w:w="354" w:type="dxa"/>
            <w:tcBorders>
              <w:left w:val="nil"/>
              <w:bottom w:val="nil"/>
              <w:right w:val="nil"/>
            </w:tcBorders>
          </w:tcPr>
          <w:p>
            <w:pPr>
              <w:spacing w:line="360" w:lineRule="auto"/>
              <w:jc w:val="both"/>
              <w:rPr>
                <w:rFonts w:ascii="Book Antiqua" w:hAnsi="Book Antiqua" w:eastAsia="宋体"/>
              </w:rPr>
            </w:pPr>
          </w:p>
        </w:tc>
        <w:tc>
          <w:tcPr>
            <w:tcW w:w="3384" w:type="dxa"/>
            <w:tcBorders>
              <w:left w:val="nil"/>
              <w:bottom w:val="nil"/>
            </w:tcBorders>
          </w:tcPr>
          <w:p>
            <w:pPr>
              <w:spacing w:line="360" w:lineRule="auto"/>
              <w:jc w:val="both"/>
              <w:rPr>
                <w:rFonts w:ascii="Book Antiqua" w:hAnsi="Book Antiqua" w:eastAsia="宋体"/>
              </w:rPr>
            </w:pPr>
            <w:r>
              <w:rPr>
                <w:rFonts w:ascii="Book Antiqua" w:hAnsi="Book Antiqua" w:eastAsia="宋体"/>
              </w:rPr>
              <w:t>10-yr cumulative rate</w:t>
            </w:r>
          </w:p>
        </w:tc>
        <w:tc>
          <w:tcPr>
            <w:tcW w:w="1898" w:type="dxa"/>
          </w:tcPr>
          <w:p>
            <w:pPr>
              <w:spacing w:line="360" w:lineRule="auto"/>
              <w:jc w:val="both"/>
              <w:rPr>
                <w:rFonts w:ascii="Book Antiqua" w:hAnsi="Book Antiqua" w:eastAsia="宋体"/>
              </w:rPr>
            </w:pPr>
            <w:r>
              <w:rPr>
                <w:rFonts w:hint="eastAsia" w:ascii="Book Antiqua" w:hAnsi="Book Antiqua" w:eastAsia="宋体"/>
              </w:rPr>
              <w:t>5</w:t>
            </w:r>
            <w:r>
              <w:rPr>
                <w:rFonts w:ascii="Book Antiqua" w:hAnsi="Book Antiqua" w:eastAsia="宋体"/>
              </w:rPr>
              <w:t>3.8%</w:t>
            </w:r>
          </w:p>
        </w:tc>
        <w:tc>
          <w:tcPr>
            <w:tcW w:w="1820" w:type="dxa"/>
          </w:tcPr>
          <w:p>
            <w:pPr>
              <w:spacing w:line="360" w:lineRule="auto"/>
              <w:jc w:val="both"/>
              <w:rPr>
                <w:rFonts w:ascii="Book Antiqua" w:hAnsi="Book Antiqua" w:eastAsia="宋体"/>
              </w:rPr>
            </w:pPr>
            <w:r>
              <w:rPr>
                <w:rFonts w:hint="eastAsia" w:ascii="Book Antiqua" w:hAnsi="Book Antiqua" w:eastAsia="宋体"/>
              </w:rPr>
              <w:t>6</w:t>
            </w:r>
            <w:r>
              <w:rPr>
                <w:rFonts w:ascii="Book Antiqua" w:hAnsi="Book Antiqua" w:eastAsia="宋体"/>
              </w:rPr>
              <w:t>1.1%</w:t>
            </w:r>
          </w:p>
        </w:tc>
        <w:tc>
          <w:tcPr>
            <w:tcW w:w="1960" w:type="dxa"/>
          </w:tcPr>
          <w:p>
            <w:pPr>
              <w:spacing w:line="360" w:lineRule="auto"/>
              <w:jc w:val="both"/>
              <w:rPr>
                <w:rFonts w:ascii="Book Antiqua" w:hAnsi="Book Antiqua" w:eastAsia="宋体"/>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423" w:hRule="atLeast"/>
        </w:trPr>
        <w:tc>
          <w:tcPr>
            <w:tcW w:w="360" w:type="dxa"/>
            <w:tcBorders>
              <w:bottom w:val="nil"/>
              <w:right w:val="nil"/>
            </w:tcBorders>
          </w:tcPr>
          <w:p>
            <w:pPr>
              <w:spacing w:line="360" w:lineRule="auto"/>
              <w:jc w:val="both"/>
              <w:rPr>
                <w:rFonts w:ascii="Book Antiqua" w:hAnsi="Book Antiqua" w:eastAsia="宋体"/>
              </w:rPr>
            </w:pPr>
          </w:p>
        </w:tc>
        <w:tc>
          <w:tcPr>
            <w:tcW w:w="3738" w:type="dxa"/>
            <w:gridSpan w:val="2"/>
            <w:tcBorders>
              <w:left w:val="nil"/>
              <w:bottom w:val="nil"/>
            </w:tcBorders>
          </w:tcPr>
          <w:p>
            <w:pPr>
              <w:spacing w:line="360" w:lineRule="auto"/>
              <w:jc w:val="both"/>
              <w:rPr>
                <w:rFonts w:ascii="Book Antiqua" w:hAnsi="Book Antiqua" w:eastAsia="宋体"/>
              </w:rPr>
            </w:pPr>
            <w:r>
              <w:rPr>
                <w:rFonts w:ascii="Book Antiqua" w:hAnsi="Book Antiqua" w:eastAsia="宋体"/>
              </w:rPr>
              <w:t>Use of biologics</w:t>
            </w:r>
          </w:p>
        </w:tc>
        <w:tc>
          <w:tcPr>
            <w:tcW w:w="1898" w:type="dxa"/>
          </w:tcPr>
          <w:p>
            <w:pPr>
              <w:spacing w:line="360" w:lineRule="auto"/>
              <w:jc w:val="both"/>
              <w:rPr>
                <w:rFonts w:ascii="Book Antiqua" w:hAnsi="Book Antiqua" w:eastAsia="宋体"/>
              </w:rPr>
            </w:pPr>
            <w:r>
              <w:rPr>
                <w:rFonts w:ascii="Book Antiqua" w:hAnsi="Book Antiqua" w:eastAsia="宋体"/>
              </w:rPr>
              <w:t>4 (16.7%)</w:t>
            </w:r>
          </w:p>
        </w:tc>
        <w:tc>
          <w:tcPr>
            <w:tcW w:w="1820" w:type="dxa"/>
          </w:tcPr>
          <w:p>
            <w:pPr>
              <w:spacing w:line="360" w:lineRule="auto"/>
              <w:jc w:val="both"/>
              <w:rPr>
                <w:rFonts w:ascii="Book Antiqua" w:hAnsi="Book Antiqua" w:eastAsia="宋体"/>
              </w:rPr>
            </w:pPr>
            <w:r>
              <w:rPr>
                <w:rFonts w:ascii="Book Antiqua" w:hAnsi="Book Antiqua" w:eastAsia="宋体"/>
              </w:rPr>
              <w:t>10 (13.9%)</w:t>
            </w:r>
          </w:p>
        </w:tc>
        <w:tc>
          <w:tcPr>
            <w:tcW w:w="1960" w:type="dxa"/>
          </w:tcPr>
          <w:p>
            <w:pPr>
              <w:spacing w:line="360" w:lineRule="auto"/>
              <w:jc w:val="both"/>
              <w:rPr>
                <w:rFonts w:ascii="Book Antiqua" w:hAnsi="Book Antiqua" w:eastAsia="宋体"/>
              </w:rPr>
            </w:pPr>
            <w:r>
              <w:rPr>
                <w:rFonts w:ascii="Book Antiqua" w:hAnsi="Book Antiqua" w:eastAsia="宋体"/>
              </w:rPr>
              <w:t>0.74</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410" w:hRule="atLeast"/>
        </w:trPr>
        <w:tc>
          <w:tcPr>
            <w:tcW w:w="360" w:type="dxa"/>
            <w:tcBorders>
              <w:bottom w:val="nil"/>
              <w:right w:val="nil"/>
            </w:tcBorders>
          </w:tcPr>
          <w:p>
            <w:pPr>
              <w:spacing w:line="360" w:lineRule="auto"/>
              <w:jc w:val="both"/>
              <w:rPr>
                <w:rFonts w:ascii="Book Antiqua" w:hAnsi="Book Antiqua" w:eastAsia="宋体"/>
              </w:rPr>
            </w:pPr>
          </w:p>
        </w:tc>
        <w:tc>
          <w:tcPr>
            <w:tcW w:w="354" w:type="dxa"/>
            <w:tcBorders>
              <w:left w:val="nil"/>
              <w:bottom w:val="nil"/>
              <w:right w:val="nil"/>
            </w:tcBorders>
          </w:tcPr>
          <w:p>
            <w:pPr>
              <w:spacing w:line="360" w:lineRule="auto"/>
              <w:jc w:val="both"/>
              <w:rPr>
                <w:rFonts w:ascii="Book Antiqua" w:hAnsi="Book Antiqua" w:eastAsia="宋体"/>
              </w:rPr>
            </w:pPr>
          </w:p>
        </w:tc>
        <w:tc>
          <w:tcPr>
            <w:tcW w:w="3384" w:type="dxa"/>
            <w:tcBorders>
              <w:left w:val="nil"/>
              <w:bottom w:val="nil"/>
            </w:tcBorders>
          </w:tcPr>
          <w:p>
            <w:pPr>
              <w:spacing w:line="360" w:lineRule="auto"/>
              <w:jc w:val="both"/>
              <w:rPr>
                <w:rFonts w:ascii="Book Antiqua" w:hAnsi="Book Antiqua" w:eastAsia="宋体"/>
              </w:rPr>
            </w:pPr>
            <w:r>
              <w:rPr>
                <w:rFonts w:ascii="Book Antiqua" w:hAnsi="Book Antiqua" w:eastAsia="宋体"/>
              </w:rPr>
              <w:t>Hospitalization</w:t>
            </w:r>
          </w:p>
        </w:tc>
        <w:tc>
          <w:tcPr>
            <w:tcW w:w="1898" w:type="dxa"/>
          </w:tcPr>
          <w:p>
            <w:pPr>
              <w:spacing w:line="360" w:lineRule="auto"/>
              <w:jc w:val="both"/>
              <w:rPr>
                <w:rFonts w:ascii="Book Antiqua" w:hAnsi="Book Antiqua" w:eastAsia="宋体"/>
              </w:rPr>
            </w:pPr>
            <w:r>
              <w:rPr>
                <w:rFonts w:ascii="Book Antiqua" w:hAnsi="Book Antiqua" w:eastAsia="宋体"/>
              </w:rPr>
              <w:t>4 (16.7%)</w:t>
            </w:r>
          </w:p>
        </w:tc>
        <w:tc>
          <w:tcPr>
            <w:tcW w:w="1820" w:type="dxa"/>
          </w:tcPr>
          <w:p>
            <w:pPr>
              <w:spacing w:line="360" w:lineRule="auto"/>
              <w:jc w:val="both"/>
              <w:rPr>
                <w:rFonts w:ascii="Book Antiqua" w:hAnsi="Book Antiqua" w:eastAsia="宋体"/>
              </w:rPr>
            </w:pPr>
            <w:r>
              <w:rPr>
                <w:rFonts w:ascii="Book Antiqua" w:hAnsi="Book Antiqua" w:eastAsia="宋体"/>
              </w:rPr>
              <w:t>16 (22.2%)</w:t>
            </w:r>
          </w:p>
        </w:tc>
        <w:tc>
          <w:tcPr>
            <w:tcW w:w="1960" w:type="dxa"/>
          </w:tcPr>
          <w:p>
            <w:pPr>
              <w:spacing w:line="360" w:lineRule="auto"/>
              <w:jc w:val="both"/>
              <w:rPr>
                <w:rFonts w:ascii="Book Antiqua" w:hAnsi="Book Antiqua" w:eastAsia="宋体"/>
              </w:rPr>
            </w:pPr>
            <w:r>
              <w:rPr>
                <w:rFonts w:ascii="Book Antiqua" w:hAnsi="Book Antiqua" w:eastAsia="宋体"/>
              </w:rPr>
              <w:t>0.77</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360" w:type="dxa"/>
            <w:tcBorders>
              <w:bottom w:val="single" w:color="auto" w:sz="4" w:space="0"/>
              <w:right w:val="nil"/>
            </w:tcBorders>
          </w:tcPr>
          <w:p>
            <w:pPr>
              <w:spacing w:line="360" w:lineRule="auto"/>
              <w:jc w:val="both"/>
              <w:rPr>
                <w:rFonts w:ascii="Book Antiqua" w:hAnsi="Book Antiqua" w:eastAsia="宋体"/>
              </w:rPr>
            </w:pPr>
          </w:p>
        </w:tc>
        <w:tc>
          <w:tcPr>
            <w:tcW w:w="354" w:type="dxa"/>
            <w:tcBorders>
              <w:left w:val="nil"/>
              <w:bottom w:val="single" w:color="auto" w:sz="4" w:space="0"/>
              <w:right w:val="nil"/>
            </w:tcBorders>
          </w:tcPr>
          <w:p>
            <w:pPr>
              <w:spacing w:line="360" w:lineRule="auto"/>
              <w:jc w:val="both"/>
              <w:rPr>
                <w:rFonts w:ascii="Book Antiqua" w:hAnsi="Book Antiqua" w:eastAsia="宋体"/>
              </w:rPr>
            </w:pPr>
          </w:p>
        </w:tc>
        <w:tc>
          <w:tcPr>
            <w:tcW w:w="3384" w:type="dxa"/>
            <w:tcBorders>
              <w:left w:val="nil"/>
              <w:bottom w:val="single" w:color="auto" w:sz="4" w:space="0"/>
            </w:tcBorders>
          </w:tcPr>
          <w:p>
            <w:pPr>
              <w:spacing w:line="360" w:lineRule="auto"/>
              <w:jc w:val="both"/>
              <w:rPr>
                <w:rFonts w:ascii="Book Antiqua" w:hAnsi="Book Antiqua" w:eastAsia="宋体"/>
              </w:rPr>
            </w:pPr>
            <w:r>
              <w:rPr>
                <w:rFonts w:ascii="Book Antiqua" w:hAnsi="Book Antiqua" w:eastAsia="宋体"/>
              </w:rPr>
              <w:t>Colectomy</w:t>
            </w:r>
          </w:p>
        </w:tc>
        <w:tc>
          <w:tcPr>
            <w:tcW w:w="1898" w:type="dxa"/>
          </w:tcPr>
          <w:p>
            <w:pPr>
              <w:spacing w:line="360" w:lineRule="auto"/>
              <w:jc w:val="both"/>
              <w:rPr>
                <w:rFonts w:ascii="Book Antiqua" w:hAnsi="Book Antiqua" w:eastAsia="宋体"/>
              </w:rPr>
            </w:pPr>
            <w:r>
              <w:rPr>
                <w:rFonts w:ascii="Book Antiqua" w:hAnsi="Book Antiqua" w:eastAsia="宋体"/>
              </w:rPr>
              <w:t>2 (8.3%)</w:t>
            </w:r>
          </w:p>
        </w:tc>
        <w:tc>
          <w:tcPr>
            <w:tcW w:w="1820" w:type="dxa"/>
          </w:tcPr>
          <w:p>
            <w:pPr>
              <w:spacing w:line="360" w:lineRule="auto"/>
              <w:jc w:val="both"/>
              <w:rPr>
                <w:rFonts w:ascii="Book Antiqua" w:hAnsi="Book Antiqua" w:eastAsia="宋体"/>
              </w:rPr>
            </w:pPr>
            <w:r>
              <w:rPr>
                <w:rFonts w:ascii="Book Antiqua" w:hAnsi="Book Antiqua" w:eastAsia="宋体"/>
              </w:rPr>
              <w:t>2 (2.8%)</w:t>
            </w:r>
          </w:p>
        </w:tc>
        <w:tc>
          <w:tcPr>
            <w:tcW w:w="1960" w:type="dxa"/>
          </w:tcPr>
          <w:p>
            <w:pPr>
              <w:spacing w:line="360" w:lineRule="auto"/>
              <w:jc w:val="both"/>
              <w:rPr>
                <w:rFonts w:ascii="Book Antiqua" w:hAnsi="Book Antiqua" w:eastAsia="宋体"/>
              </w:rPr>
            </w:pPr>
            <w:r>
              <w:rPr>
                <w:rFonts w:ascii="Book Antiqua" w:hAnsi="Book Antiqua" w:eastAsia="宋体"/>
              </w:rPr>
              <w:t>0.26</w:t>
            </w:r>
          </w:p>
        </w:tc>
      </w:tr>
    </w:tbl>
    <w:p>
      <w:pPr>
        <w:spacing w:line="360" w:lineRule="auto"/>
        <w:jc w:val="both"/>
        <w:rPr>
          <w:rFonts w:ascii="Book Antiqua" w:hAnsi="Book Antiqua"/>
          <w:b/>
          <w:bCs/>
        </w:rPr>
      </w:pPr>
      <w:r>
        <w:rPr>
          <w:rFonts w:hint="eastAsia" w:ascii="Book Antiqua" w:hAnsi="Book Antiqua"/>
          <w:lang w:eastAsia="zh-CN"/>
        </w:rPr>
        <w:t>U</w:t>
      </w:r>
      <w:r>
        <w:rPr>
          <w:rFonts w:ascii="Book Antiqua" w:hAnsi="Book Antiqua"/>
          <w:lang w:eastAsia="zh-CN"/>
        </w:rPr>
        <w:t xml:space="preserve">C: </w:t>
      </w:r>
      <w:r>
        <w:rPr>
          <w:rFonts w:ascii="Book Antiqua" w:hAnsi="Book Antiqua" w:eastAsia="Book Antiqua" w:cs="Book Antiqua"/>
          <w:color w:val="000000"/>
        </w:rPr>
        <w:t>Ulcerative colitis.</w:t>
      </w:r>
    </w:p>
    <w:p>
      <w:pPr>
        <w:spacing w:line="360" w:lineRule="auto"/>
        <w:jc w:val="both"/>
        <w:rPr>
          <w:rFonts w:ascii="Book Antiqua" w:hAnsi="Book Antiqua"/>
          <w:b/>
          <w:bCs/>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b/>
          <w:bCs/>
        </w:rPr>
        <w:br w:type="page"/>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2021 Baishideng Publishing Group Inc. All rights reserved.</w:t>
      </w:r>
    </w:p>
    <w:p>
      <w:pPr>
        <w:spacing w:line="360" w:lineRule="auto"/>
        <w:jc w:val="both"/>
        <w:rPr>
          <w:rFonts w:ascii="Book Antiqua" w:hAnsi="Book Antiqua"/>
          <w:b/>
          <w:bCs/>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49BE"/>
    <w:rsid w:val="000512A0"/>
    <w:rsid w:val="000B2AF2"/>
    <w:rsid w:val="0018238C"/>
    <w:rsid w:val="00182BFF"/>
    <w:rsid w:val="00212C24"/>
    <w:rsid w:val="00256010"/>
    <w:rsid w:val="002C28B1"/>
    <w:rsid w:val="00446AE0"/>
    <w:rsid w:val="004638B3"/>
    <w:rsid w:val="004D7C82"/>
    <w:rsid w:val="0058622C"/>
    <w:rsid w:val="00654B1C"/>
    <w:rsid w:val="00657A53"/>
    <w:rsid w:val="006D2ACA"/>
    <w:rsid w:val="0070309B"/>
    <w:rsid w:val="00731F31"/>
    <w:rsid w:val="007608FA"/>
    <w:rsid w:val="00797A4D"/>
    <w:rsid w:val="007D14D2"/>
    <w:rsid w:val="008B17D8"/>
    <w:rsid w:val="00975D58"/>
    <w:rsid w:val="009971EB"/>
    <w:rsid w:val="00A22136"/>
    <w:rsid w:val="00A41D8B"/>
    <w:rsid w:val="00A77B3E"/>
    <w:rsid w:val="00B421D2"/>
    <w:rsid w:val="00C42E8A"/>
    <w:rsid w:val="00CA2A55"/>
    <w:rsid w:val="00CC2040"/>
    <w:rsid w:val="00CC5A17"/>
    <w:rsid w:val="00D7566E"/>
    <w:rsid w:val="00DB6063"/>
    <w:rsid w:val="00DF6540"/>
    <w:rsid w:val="00E30FA8"/>
    <w:rsid w:val="00F06D94"/>
    <w:rsid w:val="00FA030B"/>
    <w:rsid w:val="00FC2DE0"/>
    <w:rsid w:val="00FC6061"/>
    <w:rsid w:val="0D6D6FFB"/>
    <w:rsid w:val="0DC47C79"/>
    <w:rsid w:val="1E3B1D89"/>
    <w:rsid w:val="2A521609"/>
    <w:rsid w:val="2C385783"/>
    <w:rsid w:val="2C7E38F1"/>
    <w:rsid w:val="2FA93BF9"/>
    <w:rsid w:val="33D54180"/>
    <w:rsid w:val="3BFB72BF"/>
    <w:rsid w:val="3C070546"/>
    <w:rsid w:val="49850762"/>
    <w:rsid w:val="4C8B4D09"/>
    <w:rsid w:val="4F623AFC"/>
    <w:rsid w:val="5849123C"/>
    <w:rsid w:val="6A835705"/>
    <w:rsid w:val="712F3993"/>
    <w:rsid w:val="77E10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footer"/>
    <w:basedOn w:val="1"/>
    <w:link w:val="12"/>
    <w:unhideWhenUsed/>
    <w:qFormat/>
    <w:uiPriority w:val="99"/>
    <w:pPr>
      <w:tabs>
        <w:tab w:val="center" w:pos="4153"/>
        <w:tab w:val="right" w:pos="8306"/>
      </w:tabs>
      <w:snapToGrid w:val="0"/>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
    <w:name w:val="Table Theme"/>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4"/>
    <w:qFormat/>
    <w:uiPriority w:val="0"/>
    <w:rPr>
      <w:sz w:val="18"/>
      <w:szCs w:val="18"/>
    </w:rPr>
  </w:style>
  <w:style w:type="character" w:customStyle="1" w:styleId="12">
    <w:name w:val="页脚 字符"/>
    <w:basedOn w:val="9"/>
    <w:link w:val="3"/>
    <w:qFormat/>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5"/>
    <w:semiHidden/>
    <w:qFormat/>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FBBFFF-30BE-4465-A0B3-99BC31B2EEFF}">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4685</Words>
  <Characters>26709</Characters>
  <Lines>222</Lines>
  <Paragraphs>62</Paragraphs>
  <TotalTime>0</TotalTime>
  <ScaleCrop>false</ScaleCrop>
  <LinksUpToDate>false</LinksUpToDate>
  <CharactersWithSpaces>31332</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2021-08-05T07:59:00Z</dcterms:created>
  <dc:creator>梅长苏</dc:creator>
  <cp:lastModifiedBy>晓晨</cp:lastModifiedBy>
  <dcterms:modified xsi:type="dcterms:W3CDTF">2021-09-10T08:25:54Z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4A22D49A1751482E87216F754155CFF9</vt:lpwstr>
  </property>
</Properties>
</file>