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A6BFE"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 xml:space="preserve">Name of Journal: </w:t>
      </w:r>
      <w:r w:rsidRPr="00732F3B">
        <w:rPr>
          <w:rFonts w:ascii="Book Antiqua" w:eastAsia="Book Antiqua" w:hAnsi="Book Antiqua" w:cs="Book Antiqua"/>
          <w:i/>
          <w:color w:val="000000"/>
        </w:rPr>
        <w:t>World Journal of Gastroenterology</w:t>
      </w:r>
    </w:p>
    <w:p w14:paraId="316DB974"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 xml:space="preserve">Manuscript NO: </w:t>
      </w:r>
      <w:r w:rsidRPr="00732F3B">
        <w:rPr>
          <w:rFonts w:ascii="Book Antiqua" w:eastAsia="Book Antiqua" w:hAnsi="Book Antiqua" w:cs="Book Antiqua"/>
          <w:color w:val="000000"/>
        </w:rPr>
        <w:t>59608</w:t>
      </w:r>
    </w:p>
    <w:p w14:paraId="59706A3C"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 xml:space="preserve">Manuscript Type: </w:t>
      </w:r>
      <w:r w:rsidRPr="00732F3B">
        <w:rPr>
          <w:rFonts w:ascii="Book Antiqua" w:eastAsia="Book Antiqua" w:hAnsi="Book Antiqua" w:cs="Book Antiqua"/>
          <w:color w:val="000000"/>
        </w:rPr>
        <w:t>ORIGINAL ARTICLE</w:t>
      </w:r>
    </w:p>
    <w:p w14:paraId="48A86A7F" w14:textId="77777777" w:rsidR="00A77B3E" w:rsidRPr="00732F3B" w:rsidRDefault="00A77B3E" w:rsidP="00732F3B">
      <w:pPr>
        <w:adjustRightInd w:val="0"/>
        <w:snapToGrid w:val="0"/>
        <w:spacing w:line="360" w:lineRule="auto"/>
        <w:jc w:val="both"/>
        <w:rPr>
          <w:rFonts w:ascii="Book Antiqua" w:hAnsi="Book Antiqua"/>
        </w:rPr>
      </w:pPr>
    </w:p>
    <w:p w14:paraId="000A56CB"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i/>
          <w:color w:val="000000"/>
        </w:rPr>
        <w:t>Observational Study</w:t>
      </w:r>
    </w:p>
    <w:p w14:paraId="27B05641" w14:textId="77777777" w:rsidR="00A77B3E" w:rsidRPr="00732F3B" w:rsidRDefault="00260EB5" w:rsidP="00732F3B">
      <w:pPr>
        <w:adjustRightInd w:val="0"/>
        <w:snapToGrid w:val="0"/>
        <w:spacing w:line="360" w:lineRule="auto"/>
        <w:jc w:val="both"/>
        <w:rPr>
          <w:rFonts w:ascii="Book Antiqua" w:hAnsi="Book Antiqua"/>
        </w:rPr>
      </w:pPr>
      <w:bookmarkStart w:id="0" w:name="OLE_LINK4"/>
      <w:bookmarkStart w:id="1" w:name="OLE_LINK5"/>
      <w:r w:rsidRPr="00732F3B">
        <w:rPr>
          <w:rFonts w:ascii="Book Antiqua" w:eastAsia="Book Antiqua" w:hAnsi="Book Antiqua" w:cs="Book Antiqua"/>
          <w:b/>
          <w:color w:val="000000"/>
        </w:rPr>
        <w:t>Prevalence and predictors of nonalcoholic fatty liver disease in South Asian women with polycystic ovary syndrome</w:t>
      </w:r>
    </w:p>
    <w:bookmarkEnd w:id="0"/>
    <w:bookmarkEnd w:id="1"/>
    <w:p w14:paraId="32E9D169" w14:textId="77777777" w:rsidR="00A77B3E" w:rsidRPr="00732F3B" w:rsidRDefault="00A77B3E" w:rsidP="00732F3B">
      <w:pPr>
        <w:adjustRightInd w:val="0"/>
        <w:snapToGrid w:val="0"/>
        <w:spacing w:line="360" w:lineRule="auto"/>
        <w:jc w:val="both"/>
        <w:rPr>
          <w:rFonts w:ascii="Book Antiqua" w:hAnsi="Book Antiqua"/>
        </w:rPr>
      </w:pPr>
    </w:p>
    <w:p w14:paraId="4F13696F" w14:textId="56AF872B" w:rsidR="00A77B3E" w:rsidRPr="00732F3B" w:rsidRDefault="00614AC7"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Shengir M </w:t>
      </w:r>
      <w:r w:rsidRPr="00732F3B">
        <w:rPr>
          <w:rFonts w:ascii="Book Antiqua" w:eastAsia="Book Antiqua" w:hAnsi="Book Antiqua" w:cs="Book Antiqua"/>
          <w:i/>
          <w:iCs/>
          <w:color w:val="000000"/>
        </w:rPr>
        <w:t>et al</w:t>
      </w:r>
      <w:r w:rsidRPr="00732F3B">
        <w:rPr>
          <w:rFonts w:ascii="Book Antiqua" w:eastAsia="Book Antiqua" w:hAnsi="Book Antiqua" w:cs="Book Antiqua"/>
          <w:color w:val="000000"/>
        </w:rPr>
        <w:t xml:space="preserve">. </w:t>
      </w:r>
      <w:bookmarkStart w:id="2" w:name="OLE_LINK9"/>
      <w:bookmarkStart w:id="3" w:name="OLE_LINK10"/>
      <w:r w:rsidR="00260EB5" w:rsidRPr="00732F3B">
        <w:rPr>
          <w:rFonts w:ascii="Book Antiqua" w:eastAsia="Book Antiqua" w:hAnsi="Book Antiqua" w:cs="Book Antiqua"/>
          <w:color w:val="000000"/>
        </w:rPr>
        <w:t>NAFLD in women with PCOS</w:t>
      </w:r>
    </w:p>
    <w:bookmarkEnd w:id="2"/>
    <w:bookmarkEnd w:id="3"/>
    <w:p w14:paraId="36C09B52" w14:textId="77777777" w:rsidR="00A77B3E" w:rsidRPr="00732F3B" w:rsidRDefault="00A77B3E" w:rsidP="00732F3B">
      <w:pPr>
        <w:adjustRightInd w:val="0"/>
        <w:snapToGrid w:val="0"/>
        <w:spacing w:line="360" w:lineRule="auto"/>
        <w:jc w:val="both"/>
        <w:rPr>
          <w:rFonts w:ascii="Book Antiqua" w:hAnsi="Book Antiqua"/>
        </w:rPr>
      </w:pPr>
    </w:p>
    <w:p w14:paraId="16136405"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Mohamed Shengir, Srinivasan Krishnamurthy, Peter Ghali, Marc Deschenes, Philip Wong, Tianyan Chen, Giada Sebastiani</w:t>
      </w:r>
    </w:p>
    <w:p w14:paraId="00F0D562" w14:textId="77777777" w:rsidR="00A77B3E" w:rsidRPr="00732F3B" w:rsidRDefault="00A77B3E" w:rsidP="00732F3B">
      <w:pPr>
        <w:adjustRightInd w:val="0"/>
        <w:snapToGrid w:val="0"/>
        <w:spacing w:line="360" w:lineRule="auto"/>
        <w:jc w:val="both"/>
        <w:rPr>
          <w:rFonts w:ascii="Book Antiqua" w:hAnsi="Book Antiqua"/>
        </w:rPr>
      </w:pPr>
    </w:p>
    <w:p w14:paraId="3236C19B" w14:textId="6E114D59"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Mohamed Shengir, </w:t>
      </w:r>
      <w:r w:rsidR="00612B7C" w:rsidRPr="00612B7C">
        <w:rPr>
          <w:rFonts w:ascii="Book Antiqua" w:eastAsia="Book Antiqua" w:hAnsi="Book Antiqua" w:cs="Book Antiqua"/>
          <w:bCs/>
          <w:color w:val="000000"/>
        </w:rPr>
        <w:t>Department of</w:t>
      </w:r>
      <w:r w:rsidR="00612B7C"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Experimental Medicine, McGill University, Montreal H4A3J1, Canada</w:t>
      </w:r>
    </w:p>
    <w:p w14:paraId="79AE2934" w14:textId="77777777" w:rsidR="00A77B3E" w:rsidRPr="00732F3B" w:rsidRDefault="00A77B3E" w:rsidP="00732F3B">
      <w:pPr>
        <w:adjustRightInd w:val="0"/>
        <w:snapToGrid w:val="0"/>
        <w:spacing w:line="360" w:lineRule="auto"/>
        <w:jc w:val="both"/>
        <w:rPr>
          <w:rFonts w:ascii="Book Antiqua" w:hAnsi="Book Antiqua"/>
        </w:rPr>
      </w:pPr>
    </w:p>
    <w:p w14:paraId="296FA9B0" w14:textId="4766B989" w:rsidR="00A77B3E" w:rsidRPr="00612B7C" w:rsidRDefault="00260EB5" w:rsidP="00612B7C">
      <w:pPr>
        <w:adjustRightInd w:val="0"/>
        <w:snapToGrid w:val="0"/>
        <w:spacing w:line="360" w:lineRule="auto"/>
        <w:jc w:val="both"/>
        <w:rPr>
          <w:rFonts w:ascii="Book Antiqua" w:eastAsia="Book Antiqua" w:hAnsi="Book Antiqua" w:cs="Book Antiqua"/>
          <w:b/>
          <w:bCs/>
          <w:color w:val="000000"/>
        </w:rPr>
      </w:pPr>
      <w:r w:rsidRPr="00732F3B">
        <w:rPr>
          <w:rFonts w:ascii="Book Antiqua" w:eastAsia="Book Antiqua" w:hAnsi="Book Antiqua" w:cs="Book Antiqua"/>
          <w:b/>
          <w:bCs/>
          <w:color w:val="000000"/>
        </w:rPr>
        <w:t xml:space="preserve">Srinivasan Krishnamurthy, </w:t>
      </w:r>
      <w:r w:rsidR="00612B7C" w:rsidRPr="00612B7C">
        <w:rPr>
          <w:rFonts w:ascii="Book Antiqua" w:eastAsia="Book Antiqua" w:hAnsi="Book Antiqua" w:cs="Book Antiqua"/>
          <w:bCs/>
          <w:color w:val="000000"/>
        </w:rPr>
        <w:t>Department of</w:t>
      </w:r>
      <w:r w:rsidR="00612B7C" w:rsidRPr="00612B7C">
        <w:rPr>
          <w:rFonts w:ascii="Book Antiqua" w:eastAsia="Book Antiqua" w:hAnsi="Book Antiqua" w:cs="Book Antiqua"/>
          <w:b/>
          <w:bCs/>
          <w:color w:val="000000"/>
        </w:rPr>
        <w:t xml:space="preserve"> </w:t>
      </w:r>
      <w:r w:rsidRPr="00732F3B">
        <w:rPr>
          <w:rFonts w:ascii="Book Antiqua" w:eastAsia="Book Antiqua" w:hAnsi="Book Antiqua" w:cs="Book Antiqua"/>
          <w:color w:val="000000"/>
        </w:rPr>
        <w:t>Obstetrics and Gynecology, McGill University Health Centre, Montreal H4A3J1, Canada</w:t>
      </w:r>
    </w:p>
    <w:p w14:paraId="3BCD957C" w14:textId="77777777" w:rsidR="00A77B3E" w:rsidRPr="00732F3B" w:rsidRDefault="00A77B3E" w:rsidP="00732F3B">
      <w:pPr>
        <w:adjustRightInd w:val="0"/>
        <w:snapToGrid w:val="0"/>
        <w:spacing w:line="360" w:lineRule="auto"/>
        <w:jc w:val="both"/>
        <w:rPr>
          <w:rFonts w:ascii="Book Antiqua" w:hAnsi="Book Antiqua"/>
        </w:rPr>
      </w:pPr>
    </w:p>
    <w:p w14:paraId="58EC9A00" w14:textId="006F31E6"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Peter Ghali, </w:t>
      </w:r>
      <w:r w:rsidR="004C6969" w:rsidRPr="00732F3B">
        <w:rPr>
          <w:rFonts w:ascii="Book Antiqua" w:eastAsia="Book Antiqua" w:hAnsi="Book Antiqua" w:cs="Book Antiqua"/>
          <w:b/>
          <w:bCs/>
          <w:color w:val="000000"/>
        </w:rPr>
        <w:t>Marc Deschenes, Philip Wong,</w:t>
      </w:r>
      <w:r w:rsidR="004C6969">
        <w:rPr>
          <w:rFonts w:ascii="Book Antiqua" w:eastAsia="Book Antiqua" w:hAnsi="Book Antiqua" w:cs="Book Antiqua"/>
          <w:b/>
          <w:bCs/>
          <w:color w:val="000000"/>
        </w:rPr>
        <w:t xml:space="preserve"> </w:t>
      </w:r>
      <w:r w:rsidRPr="00732F3B">
        <w:rPr>
          <w:rFonts w:ascii="Book Antiqua" w:eastAsia="Book Antiqua" w:hAnsi="Book Antiqua" w:cs="Book Antiqua"/>
          <w:b/>
          <w:bCs/>
          <w:color w:val="000000"/>
        </w:rPr>
        <w:t xml:space="preserve">Tianyan Chen, Giada Sebastiani, </w:t>
      </w:r>
      <w:r w:rsidR="00612B7C" w:rsidRPr="00612B7C">
        <w:rPr>
          <w:rFonts w:ascii="Book Antiqua" w:eastAsia="Book Antiqua" w:hAnsi="Book Antiqua" w:cs="Book Antiqua"/>
          <w:bCs/>
          <w:color w:val="000000"/>
        </w:rPr>
        <w:t>Department of</w:t>
      </w:r>
      <w:r w:rsidR="00612B7C"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Medicine, McGill University Health Centre, Montreal H4A3J1, Canada</w:t>
      </w:r>
    </w:p>
    <w:p w14:paraId="5C8CAE68" w14:textId="77777777" w:rsidR="00A77B3E" w:rsidRPr="00732F3B" w:rsidRDefault="00A77B3E" w:rsidP="00732F3B">
      <w:pPr>
        <w:adjustRightInd w:val="0"/>
        <w:snapToGrid w:val="0"/>
        <w:spacing w:line="360" w:lineRule="auto"/>
        <w:jc w:val="both"/>
        <w:rPr>
          <w:rFonts w:ascii="Book Antiqua" w:hAnsi="Book Antiqua"/>
        </w:rPr>
      </w:pPr>
    </w:p>
    <w:p w14:paraId="1C0BAED7" w14:textId="4A2C8225"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Author contributions: </w:t>
      </w:r>
      <w:bookmarkStart w:id="4" w:name="OLE_LINK11"/>
      <w:bookmarkStart w:id="5" w:name="OLE_LINK12"/>
      <w:r w:rsidRPr="00732F3B">
        <w:rPr>
          <w:rFonts w:ascii="Book Antiqua" w:eastAsia="Book Antiqua" w:hAnsi="Book Antiqua" w:cs="Book Antiqua"/>
          <w:color w:val="000000"/>
        </w:rPr>
        <w:t>Shengir M contributed to conception, study design, data, interpretation of the data; Krishnamurthy S and Chen T contributed to study design, data, interpretation of the data; Ghali P, Deschenes M and Wong P contributed to data and interpretation of data; Sebastiani G contributed to conception, study design, data and interpretation of the data, statistical analysis an</w:t>
      </w:r>
      <w:r w:rsidR="00101D47" w:rsidRPr="00732F3B">
        <w:rPr>
          <w:rFonts w:ascii="Book Antiqua" w:eastAsia="Book Antiqua" w:hAnsi="Book Antiqua" w:cs="Book Antiqua"/>
          <w:color w:val="000000"/>
        </w:rPr>
        <w:t>d first draft of the manuscript</w:t>
      </w:r>
      <w:r w:rsidR="00C85195">
        <w:rPr>
          <w:rFonts w:ascii="Book Antiqua" w:hAnsi="Book Antiqua" w:cs="Book Antiqua"/>
          <w:color w:val="000000"/>
          <w:lang w:eastAsia="zh-CN"/>
        </w:rPr>
        <w:t xml:space="preserve">; </w:t>
      </w:r>
      <w:r w:rsidR="00C85195" w:rsidRPr="00732F3B">
        <w:rPr>
          <w:rFonts w:ascii="Book Antiqua" w:eastAsia="Book Antiqua" w:hAnsi="Book Antiqua" w:cs="Book Antiqua"/>
          <w:color w:val="000000"/>
        </w:rPr>
        <w:t>a</w:t>
      </w:r>
      <w:r w:rsidRPr="00732F3B">
        <w:rPr>
          <w:rFonts w:ascii="Book Antiqua" w:eastAsia="Book Antiqua" w:hAnsi="Book Antiqua" w:cs="Book Antiqua"/>
          <w:color w:val="000000"/>
        </w:rPr>
        <w:t>ll approved the final manuscript.</w:t>
      </w:r>
    </w:p>
    <w:bookmarkEnd w:id="4"/>
    <w:bookmarkEnd w:id="5"/>
    <w:p w14:paraId="073F2688" w14:textId="77777777" w:rsidR="00A77B3E" w:rsidRPr="00732F3B" w:rsidRDefault="00A77B3E" w:rsidP="00732F3B">
      <w:pPr>
        <w:adjustRightInd w:val="0"/>
        <w:snapToGrid w:val="0"/>
        <w:spacing w:line="360" w:lineRule="auto"/>
        <w:jc w:val="both"/>
        <w:rPr>
          <w:rFonts w:ascii="Book Antiqua" w:hAnsi="Book Antiqua"/>
        </w:rPr>
      </w:pPr>
    </w:p>
    <w:p w14:paraId="1CB5DA45" w14:textId="289CAE9E"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Supported by</w:t>
      </w:r>
      <w:bookmarkStart w:id="6" w:name="OLE_LINK13"/>
      <w:bookmarkStart w:id="7" w:name="OLE_LINK16"/>
      <w:r w:rsidRPr="00732F3B">
        <w:rPr>
          <w:rFonts w:ascii="Book Antiqua" w:eastAsia="Book Antiqua" w:hAnsi="Book Antiqua" w:cs="Book Antiqua"/>
          <w:b/>
          <w:bCs/>
          <w:color w:val="000000"/>
        </w:rPr>
        <w:t xml:space="preserve"> </w:t>
      </w:r>
      <w:r w:rsidRPr="00732F3B">
        <w:rPr>
          <w:rFonts w:ascii="Book Antiqua" w:eastAsia="Book Antiqua" w:hAnsi="Book Antiqua" w:cs="Book Antiqua"/>
          <w:color w:val="000000"/>
        </w:rPr>
        <w:t>Libyan Ministry of Higher Education and Scientific Research sponsored through Canadian Bureau for International Education</w:t>
      </w:r>
      <w:r w:rsidR="00101D47" w:rsidRPr="00732F3B">
        <w:rPr>
          <w:rFonts w:ascii="Book Antiqua" w:eastAsia="Book Antiqua" w:hAnsi="Book Antiqua" w:cs="Book Antiqua"/>
          <w:color w:val="000000"/>
        </w:rPr>
        <w:t>, No</w:t>
      </w:r>
      <w:r w:rsidRPr="00732F3B">
        <w:rPr>
          <w:rFonts w:ascii="Book Antiqua" w:eastAsia="Book Antiqua" w:hAnsi="Book Antiqua" w:cs="Book Antiqua"/>
          <w:color w:val="000000"/>
        </w:rPr>
        <w:t>.</w:t>
      </w:r>
      <w:r w:rsidR="00101D47" w:rsidRPr="00732F3B">
        <w:rPr>
          <w:rFonts w:ascii="Book Antiqua" w:eastAsia="Book Antiqua" w:hAnsi="Book Antiqua" w:cs="Book Antiqua"/>
          <w:color w:val="000000"/>
        </w:rPr>
        <w:t xml:space="preserve"> 2979.</w:t>
      </w:r>
    </w:p>
    <w:bookmarkEnd w:id="6"/>
    <w:bookmarkEnd w:id="7"/>
    <w:p w14:paraId="078338A6" w14:textId="77777777" w:rsidR="00A77B3E" w:rsidRPr="00732F3B" w:rsidRDefault="00A77B3E" w:rsidP="00732F3B">
      <w:pPr>
        <w:adjustRightInd w:val="0"/>
        <w:snapToGrid w:val="0"/>
        <w:spacing w:line="360" w:lineRule="auto"/>
        <w:jc w:val="both"/>
        <w:rPr>
          <w:rFonts w:ascii="Book Antiqua" w:hAnsi="Book Antiqua"/>
        </w:rPr>
      </w:pPr>
    </w:p>
    <w:p w14:paraId="5020F8E4" w14:textId="3F7D0AE4"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Corresponding author: Giada Sebastiani, MD, Associate Professor, </w:t>
      </w:r>
      <w:r w:rsidR="0065528B" w:rsidRPr="00612B7C">
        <w:rPr>
          <w:rFonts w:ascii="Book Antiqua" w:eastAsia="Book Antiqua" w:hAnsi="Book Antiqua" w:cs="Book Antiqua"/>
          <w:bCs/>
          <w:color w:val="000000"/>
        </w:rPr>
        <w:t>Department of</w:t>
      </w:r>
      <w:r w:rsidR="0065528B"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Medicine, McGill University Health Centre, 1001 Blvd. Decarie, Montreal H4A3J1, Canada. giada.sebastiani@mcgill.ca</w:t>
      </w:r>
    </w:p>
    <w:p w14:paraId="1BF932B3" w14:textId="77777777" w:rsidR="00A77B3E" w:rsidRPr="00732F3B" w:rsidRDefault="00A77B3E" w:rsidP="00732F3B">
      <w:pPr>
        <w:adjustRightInd w:val="0"/>
        <w:snapToGrid w:val="0"/>
        <w:spacing w:line="360" w:lineRule="auto"/>
        <w:jc w:val="both"/>
        <w:rPr>
          <w:rFonts w:ascii="Book Antiqua" w:hAnsi="Book Antiqua"/>
        </w:rPr>
      </w:pPr>
    </w:p>
    <w:p w14:paraId="421AB7C5"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Received: </w:t>
      </w:r>
      <w:r w:rsidRPr="00732F3B">
        <w:rPr>
          <w:rFonts w:ascii="Book Antiqua" w:eastAsia="Book Antiqua" w:hAnsi="Book Antiqua" w:cs="Book Antiqua"/>
          <w:color w:val="000000"/>
        </w:rPr>
        <w:t>September 20, 2020</w:t>
      </w:r>
    </w:p>
    <w:p w14:paraId="1608E9FE"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Revised: </w:t>
      </w:r>
      <w:r w:rsidRPr="00732F3B">
        <w:rPr>
          <w:rFonts w:ascii="Book Antiqua" w:eastAsia="Book Antiqua" w:hAnsi="Book Antiqua" w:cs="Book Antiqua"/>
          <w:color w:val="000000"/>
        </w:rPr>
        <w:t>October 30, 2020</w:t>
      </w:r>
    </w:p>
    <w:p w14:paraId="6F057E8D" w14:textId="39A392F2"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Accepted:</w:t>
      </w:r>
      <w:r w:rsidR="00C457F2" w:rsidRPr="00C457F2">
        <w:t xml:space="preserve"> </w:t>
      </w:r>
      <w:r w:rsidR="00C457F2" w:rsidRPr="00C457F2">
        <w:rPr>
          <w:rFonts w:ascii="Book Antiqua" w:eastAsia="Book Antiqua" w:hAnsi="Book Antiqua" w:cs="Book Antiqua"/>
          <w:color w:val="000000"/>
        </w:rPr>
        <w:t>November 13, 2020</w:t>
      </w:r>
      <w:r w:rsidRPr="00C457F2">
        <w:rPr>
          <w:rFonts w:ascii="Book Antiqua" w:eastAsia="Book Antiqua" w:hAnsi="Book Antiqua" w:cs="Book Antiqua"/>
          <w:color w:val="000000"/>
        </w:rPr>
        <w:t xml:space="preserve"> </w:t>
      </w:r>
    </w:p>
    <w:p w14:paraId="40D4D9CA" w14:textId="2B158101"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Published online: </w:t>
      </w:r>
      <w:r w:rsidR="00875CCB" w:rsidRPr="00C457F2">
        <w:rPr>
          <w:rFonts w:ascii="Book Antiqua" w:eastAsia="Book Antiqua" w:hAnsi="Book Antiqua" w:cs="Book Antiqua"/>
          <w:color w:val="000000"/>
        </w:rPr>
        <w:t xml:space="preserve">November </w:t>
      </w:r>
      <w:r w:rsidR="00875CCB">
        <w:rPr>
          <w:rFonts w:ascii="Book Antiqua" w:hAnsi="Book Antiqua" w:cs="Book Antiqua" w:hint="eastAsia"/>
          <w:color w:val="000000"/>
          <w:lang w:eastAsia="zh-CN"/>
        </w:rPr>
        <w:t>28</w:t>
      </w:r>
      <w:r w:rsidR="00875CCB" w:rsidRPr="00C457F2">
        <w:rPr>
          <w:rFonts w:ascii="Book Antiqua" w:eastAsia="Book Antiqua" w:hAnsi="Book Antiqua" w:cs="Book Antiqua"/>
          <w:color w:val="000000"/>
        </w:rPr>
        <w:t>, 2020</w:t>
      </w:r>
    </w:p>
    <w:p w14:paraId="40B3E9E2" w14:textId="77777777" w:rsidR="00A77B3E" w:rsidRPr="00732F3B" w:rsidRDefault="00A77B3E" w:rsidP="00732F3B">
      <w:pPr>
        <w:adjustRightInd w:val="0"/>
        <w:snapToGrid w:val="0"/>
        <w:spacing w:line="360" w:lineRule="auto"/>
        <w:jc w:val="both"/>
        <w:rPr>
          <w:rFonts w:ascii="Book Antiqua" w:hAnsi="Book Antiqua"/>
        </w:rPr>
        <w:sectPr w:rsidR="00A77B3E" w:rsidRPr="00732F3B" w:rsidSect="00C65E0A">
          <w:footerReference w:type="default" r:id="rId8"/>
          <w:pgSz w:w="12240" w:h="15840"/>
          <w:pgMar w:top="1440" w:right="1800" w:bottom="1440" w:left="1800" w:header="720" w:footer="720" w:gutter="0"/>
          <w:cols w:space="720"/>
          <w:docGrid w:linePitch="360"/>
        </w:sectPr>
      </w:pPr>
    </w:p>
    <w:p w14:paraId="5120523A"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Abstract</w:t>
      </w:r>
    </w:p>
    <w:p w14:paraId="5FFF4DB7"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BACKGROUND</w:t>
      </w:r>
    </w:p>
    <w:p w14:paraId="60554CBB" w14:textId="77777777" w:rsidR="00A77B3E" w:rsidRPr="00732F3B" w:rsidRDefault="00260EB5" w:rsidP="00732F3B">
      <w:pPr>
        <w:adjustRightInd w:val="0"/>
        <w:snapToGrid w:val="0"/>
        <w:spacing w:line="360" w:lineRule="auto"/>
        <w:jc w:val="both"/>
        <w:rPr>
          <w:rFonts w:ascii="Book Antiqua" w:hAnsi="Book Antiqua"/>
        </w:rPr>
      </w:pPr>
      <w:bookmarkStart w:id="8" w:name="_Hlk55247185"/>
      <w:bookmarkStart w:id="9" w:name="OLE_LINK20"/>
      <w:bookmarkStart w:id="10" w:name="OLE_LINK21"/>
      <w:r w:rsidRPr="00732F3B">
        <w:rPr>
          <w:rFonts w:ascii="Book Antiqua" w:eastAsia="Book Antiqua" w:hAnsi="Book Antiqua" w:cs="Book Antiqua"/>
          <w:color w:val="000000"/>
        </w:rPr>
        <w:t>Polycystic ovary disease</w:t>
      </w:r>
      <w:bookmarkEnd w:id="8"/>
      <w:r w:rsidRPr="00732F3B">
        <w:rPr>
          <w:rFonts w:ascii="Book Antiqua" w:eastAsia="Book Antiqua" w:hAnsi="Book Antiqua" w:cs="Book Antiqua"/>
          <w:color w:val="000000"/>
        </w:rPr>
        <w:t xml:space="preserve"> (PCOS) may be a risk factor for nonalcoholic fatty liver disease (NAFLD) due to common pathogenetic pathways, including insulin resistance and obesity. Both PCOS and NAFLD are more severe in South Asian women. Data on NAFLD in South Asian women with PCOS are lacking.</w:t>
      </w:r>
    </w:p>
    <w:bookmarkEnd w:id="9"/>
    <w:bookmarkEnd w:id="10"/>
    <w:p w14:paraId="436D8750" w14:textId="77777777" w:rsidR="00A77B3E" w:rsidRPr="00732F3B" w:rsidRDefault="00A77B3E" w:rsidP="00732F3B">
      <w:pPr>
        <w:adjustRightInd w:val="0"/>
        <w:snapToGrid w:val="0"/>
        <w:spacing w:line="360" w:lineRule="auto"/>
        <w:jc w:val="both"/>
        <w:rPr>
          <w:rFonts w:ascii="Book Antiqua" w:hAnsi="Book Antiqua"/>
        </w:rPr>
      </w:pPr>
    </w:p>
    <w:p w14:paraId="5BECD8AF"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AIM</w:t>
      </w:r>
    </w:p>
    <w:p w14:paraId="28419C80" w14:textId="77777777" w:rsidR="00A77B3E" w:rsidRPr="00732F3B" w:rsidRDefault="00260EB5" w:rsidP="00732F3B">
      <w:pPr>
        <w:adjustRightInd w:val="0"/>
        <w:snapToGrid w:val="0"/>
        <w:spacing w:line="360" w:lineRule="auto"/>
        <w:jc w:val="both"/>
        <w:rPr>
          <w:rFonts w:ascii="Book Antiqua" w:hAnsi="Book Antiqua"/>
        </w:rPr>
      </w:pPr>
      <w:bookmarkStart w:id="11" w:name="OLE_LINK22"/>
      <w:bookmarkStart w:id="12" w:name="OLE_LINK23"/>
      <w:r w:rsidRPr="00732F3B">
        <w:rPr>
          <w:rFonts w:ascii="Book Antiqua" w:eastAsia="Book Antiqua" w:hAnsi="Book Antiqua" w:cs="Book Antiqua"/>
          <w:color w:val="000000"/>
        </w:rPr>
        <w:t>To investigate prevalence and predictors of NAFLD and liver fibrosis in PCOS patients from South Asia.</w:t>
      </w:r>
    </w:p>
    <w:bookmarkEnd w:id="11"/>
    <w:bookmarkEnd w:id="12"/>
    <w:p w14:paraId="781D95B1" w14:textId="77777777" w:rsidR="00A77B3E" w:rsidRPr="00732F3B" w:rsidRDefault="00A77B3E" w:rsidP="00732F3B">
      <w:pPr>
        <w:adjustRightInd w:val="0"/>
        <w:snapToGrid w:val="0"/>
        <w:spacing w:line="360" w:lineRule="auto"/>
        <w:jc w:val="both"/>
        <w:rPr>
          <w:rFonts w:ascii="Book Antiqua" w:hAnsi="Book Antiqua"/>
        </w:rPr>
      </w:pPr>
    </w:p>
    <w:p w14:paraId="2204942C"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METHODS</w:t>
      </w:r>
    </w:p>
    <w:p w14:paraId="24B532FA" w14:textId="6460FB76" w:rsidR="00A77B3E" w:rsidRPr="00732F3B" w:rsidRDefault="00260EB5" w:rsidP="00732F3B">
      <w:pPr>
        <w:adjustRightInd w:val="0"/>
        <w:snapToGrid w:val="0"/>
        <w:spacing w:line="360" w:lineRule="auto"/>
        <w:jc w:val="both"/>
        <w:rPr>
          <w:rFonts w:ascii="Book Antiqua" w:hAnsi="Book Antiqua"/>
        </w:rPr>
      </w:pPr>
      <w:bookmarkStart w:id="13" w:name="OLE_LINK24"/>
      <w:bookmarkStart w:id="14" w:name="OLE_LINK25"/>
      <w:r w:rsidRPr="00732F3B">
        <w:rPr>
          <w:rFonts w:ascii="Book Antiqua" w:eastAsia="Book Antiqua" w:hAnsi="Book Antiqua" w:cs="Book Antiqua"/>
          <w:color w:val="000000"/>
        </w:rPr>
        <w:t>We conducted an observational routine screening program by means of transient elastography (TE) with associated controlled attenuation parameter (CAP). NAFLD was defined as CAP </w:t>
      </w:r>
      <w:r w:rsidR="00614AC7" w:rsidRPr="00732F3B">
        <w:rPr>
          <w:rFonts w:ascii="Book Antiqua" w:hAnsi="Book Antiqua" w:cs="Book Antiqua"/>
          <w:color w:val="000000"/>
          <w:u w:color="000000"/>
          <w:lang w:eastAsia="zh-CN"/>
        </w:rPr>
        <w:t>≥</w:t>
      </w:r>
      <w:r w:rsidR="00614AC7"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 xml:space="preserve">288 </w:t>
      </w:r>
      <w:r w:rsidR="00292992" w:rsidRPr="00732F3B">
        <w:rPr>
          <w:rFonts w:ascii="Book Antiqua" w:eastAsia="Book Antiqua" w:hAnsi="Book Antiqua" w:cs="Book Antiqua"/>
          <w:color w:val="000000"/>
        </w:rPr>
        <w:t>decibels per meter</w:t>
      </w:r>
      <w:r w:rsidRPr="00732F3B">
        <w:rPr>
          <w:rFonts w:ascii="Book Antiqua" w:eastAsia="Book Antiqua" w:hAnsi="Book Antiqua" w:cs="Book Antiqua"/>
          <w:color w:val="000000"/>
        </w:rPr>
        <w:t>. Significant liver fibrosis (stage 2 and higher out of 4) was defined as TE measurement</w:t>
      </w:r>
      <w:r w:rsidR="00614AC7" w:rsidRPr="00732F3B">
        <w:rPr>
          <w:rFonts w:ascii="Book Antiqua" w:eastAsia="Book Antiqua" w:hAnsi="Book Antiqua" w:cs="Book Antiqua"/>
          <w:color w:val="000000"/>
        </w:rPr>
        <w:t> </w:t>
      </w:r>
      <w:r w:rsidR="00614AC7" w:rsidRPr="00732F3B">
        <w:rPr>
          <w:rFonts w:ascii="Book Antiqua" w:hAnsi="Book Antiqua" w:cs="Book Antiqua"/>
          <w:color w:val="000000"/>
          <w:u w:color="000000"/>
          <w:lang w:eastAsia="zh-CN"/>
        </w:rPr>
        <w:t xml:space="preserve">≥ </w:t>
      </w:r>
      <w:r w:rsidRPr="00732F3B">
        <w:rPr>
          <w:rFonts w:ascii="Book Antiqua" w:eastAsia="Book Antiqua" w:hAnsi="Book Antiqua" w:cs="Book Antiqua"/>
          <w:color w:val="000000"/>
        </w:rPr>
        <w:t xml:space="preserve">8.0 </w:t>
      </w:r>
      <w:r w:rsidR="002C7B15" w:rsidRPr="00732F3B">
        <w:rPr>
          <w:rFonts w:ascii="Book Antiqua" w:eastAsia="Book Antiqua" w:hAnsi="Book Antiqua" w:cs="Book Antiqua"/>
          <w:color w:val="000000"/>
        </w:rPr>
        <w:t>kilopascals</w:t>
      </w:r>
      <w:r w:rsidRPr="00732F3B">
        <w:rPr>
          <w:rFonts w:ascii="Book Antiqua" w:eastAsia="Book Antiqua" w:hAnsi="Book Antiqua" w:cs="Book Antiqua"/>
          <w:color w:val="000000"/>
        </w:rPr>
        <w:t xml:space="preserve">. Elevated </w:t>
      </w:r>
      <w:r w:rsidR="0075609B" w:rsidRPr="00732F3B">
        <w:rPr>
          <w:rFonts w:ascii="Book Antiqua" w:eastAsia="Book Antiqua" w:hAnsi="Book Antiqua" w:cs="Book Antiqua"/>
          <w:color w:val="000000"/>
        </w:rPr>
        <w:t>alanine transaminase (</w:t>
      </w:r>
      <w:r w:rsidRPr="00732F3B">
        <w:rPr>
          <w:rFonts w:ascii="Book Antiqua" w:eastAsia="Book Antiqua" w:hAnsi="Book Antiqua" w:cs="Book Antiqua"/>
          <w:color w:val="000000"/>
        </w:rPr>
        <w:t>ALT</w:t>
      </w:r>
      <w:r w:rsidR="0075609B"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was defined as ALT &gt;</w:t>
      </w:r>
      <w:r w:rsidR="00614AC7"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 xml:space="preserve">24 IU/L, as per upper limit of normal reported in South Asian women. </w:t>
      </w:r>
      <w:r w:rsidR="004159E4" w:rsidRPr="00732F3B">
        <w:rPr>
          <w:rFonts w:ascii="Book Antiqua" w:eastAsia="Book Antiqua" w:hAnsi="Book Antiqua" w:cs="Book Antiqua"/>
          <w:color w:val="000000"/>
        </w:rPr>
        <w:t>Biochemical h</w:t>
      </w:r>
      <w:r w:rsidRPr="00732F3B">
        <w:rPr>
          <w:rFonts w:ascii="Book Antiqua" w:eastAsia="Book Antiqua" w:hAnsi="Book Antiqua" w:cs="Book Antiqua"/>
          <w:color w:val="000000"/>
        </w:rPr>
        <w:t>yperandrogenism was defined as free androgen index &gt;</w:t>
      </w:r>
      <w:r w:rsidR="00614AC7"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5. Predictors of NAFLD were determined by logistic regression analysis.</w:t>
      </w:r>
    </w:p>
    <w:bookmarkEnd w:id="13"/>
    <w:bookmarkEnd w:id="14"/>
    <w:p w14:paraId="5671763D" w14:textId="77777777" w:rsidR="00A77B3E" w:rsidRPr="00732F3B" w:rsidRDefault="00A77B3E" w:rsidP="00732F3B">
      <w:pPr>
        <w:adjustRightInd w:val="0"/>
        <w:snapToGrid w:val="0"/>
        <w:spacing w:line="360" w:lineRule="auto"/>
        <w:jc w:val="both"/>
        <w:rPr>
          <w:rFonts w:ascii="Book Antiqua" w:hAnsi="Book Antiqua"/>
        </w:rPr>
      </w:pPr>
    </w:p>
    <w:p w14:paraId="59D1DEB2"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RESULTS</w:t>
      </w:r>
    </w:p>
    <w:p w14:paraId="63593904" w14:textId="35017CB8" w:rsidR="00A77B3E" w:rsidRPr="00732F3B" w:rsidRDefault="00260EB5" w:rsidP="00732F3B">
      <w:pPr>
        <w:adjustRightInd w:val="0"/>
        <w:snapToGrid w:val="0"/>
        <w:spacing w:line="360" w:lineRule="auto"/>
        <w:jc w:val="both"/>
        <w:rPr>
          <w:rFonts w:ascii="Book Antiqua" w:hAnsi="Book Antiqua"/>
        </w:rPr>
      </w:pPr>
      <w:bookmarkStart w:id="15" w:name="OLE_LINK26"/>
      <w:bookmarkStart w:id="16" w:name="OLE_LINK27"/>
      <w:r w:rsidRPr="00732F3B">
        <w:rPr>
          <w:rFonts w:ascii="Book Antiqua" w:eastAsia="Book Antiqua" w:hAnsi="Book Antiqua" w:cs="Book Antiqua"/>
          <w:color w:val="000000"/>
        </w:rPr>
        <w:t xml:space="preserve">101 PCOS patients (mean age 36.3 years) with no significant alcohol intake or viral hepatitis were included. Prevalence of NAFLD and significant liver fibrosis was 39.6% and 6.9%, respectively. Elevated ALT was observed in 40.0% and 11.5% of patients with and without NAFLD, respectively. After adjusting for duration of PCOS and insulin resistance measured by </w:t>
      </w:r>
      <w:r w:rsidR="008F73BE" w:rsidRPr="00732F3B">
        <w:rPr>
          <w:rFonts w:ascii="Book Antiqua" w:eastAsia="Book Antiqua" w:hAnsi="Book Antiqua" w:cs="Book Antiqua"/>
          <w:color w:val="000000"/>
        </w:rPr>
        <w:t>homeostasis model for assessment of insulin resistance</w:t>
      </w:r>
      <w:r w:rsidRPr="00732F3B">
        <w:rPr>
          <w:rFonts w:ascii="Book Antiqua" w:eastAsia="Book Antiqua" w:hAnsi="Book Antiqua" w:cs="Book Antiqua"/>
          <w:color w:val="000000"/>
        </w:rPr>
        <w:t xml:space="preserve">, independent predictors of NAFLD were higher </w:t>
      </w:r>
      <w:r w:rsidR="00EC329A" w:rsidRPr="00732F3B">
        <w:rPr>
          <w:rFonts w:ascii="Book Antiqua" w:eastAsia="Book Antiqua" w:hAnsi="Book Antiqua" w:cs="Book Antiqua"/>
          <w:color w:val="000000"/>
        </w:rPr>
        <w:t>body mass index</w:t>
      </w:r>
      <w:r w:rsidRPr="00732F3B">
        <w:rPr>
          <w:rFonts w:ascii="Book Antiqua" w:eastAsia="Book Antiqua" w:hAnsi="Book Antiqua" w:cs="Book Antiqua"/>
          <w:color w:val="000000"/>
        </w:rPr>
        <w:t xml:space="preserve"> </w:t>
      </w:r>
      <w:r w:rsidR="00614AC7"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adjusted odds ratio </w:t>
      </w:r>
      <w:r w:rsidR="00614AC7" w:rsidRPr="00732F3B">
        <w:rPr>
          <w:rFonts w:ascii="Book Antiqua" w:eastAsia="宋体" w:hAnsi="Book Antiqua" w:cs="宋体"/>
          <w:color w:val="000000"/>
          <w:lang w:eastAsia="zh-CN"/>
        </w:rPr>
        <w:t>(</w:t>
      </w:r>
      <w:r w:rsidRPr="00732F3B">
        <w:rPr>
          <w:rFonts w:ascii="Book Antiqua" w:eastAsia="Book Antiqua" w:hAnsi="Book Antiqua" w:cs="Book Antiqua"/>
          <w:color w:val="000000"/>
        </w:rPr>
        <w:t>aOR</w:t>
      </w:r>
      <w:r w:rsidR="00614AC7"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1.30, </w:t>
      </w:r>
      <w:r w:rsidR="008F73BE" w:rsidRPr="00732F3B">
        <w:rPr>
          <w:rFonts w:ascii="Book Antiqua" w:eastAsia="Book Antiqua" w:hAnsi="Book Antiqua" w:cs="Book Antiqua"/>
          <w:color w:val="000000"/>
        </w:rPr>
        <w:t>95% confidence interval (CI)</w:t>
      </w:r>
      <w:r w:rsidR="005B1955"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1.13-1.52</w:t>
      </w:r>
      <w:r w:rsidR="00614AC7" w:rsidRPr="00732F3B">
        <w:rPr>
          <w:rFonts w:ascii="Book Antiqua" w:eastAsia="Book Antiqua" w:hAnsi="Book Antiqua" w:cs="Book Antiqua"/>
          <w:color w:val="000000"/>
        </w:rPr>
        <w:t>]</w:t>
      </w:r>
      <w:r w:rsidRPr="00732F3B">
        <w:rPr>
          <w:rFonts w:ascii="Book Antiqua" w:eastAsia="Book Antiqua" w:hAnsi="Book Antiqua" w:cs="Book Antiqua"/>
          <w:color w:val="000000"/>
        </w:rPr>
        <w:t>, hyperandrogenism (aOR</w:t>
      </w:r>
      <w:r w:rsidR="003972E4">
        <w:rPr>
          <w:rFonts w:ascii="Book Antiqua" w:eastAsia="Book Antiqua" w:hAnsi="Book Antiqua" w:cs="Book Antiqua"/>
          <w:color w:val="000000"/>
        </w:rPr>
        <w:t>:</w:t>
      </w:r>
      <w:r w:rsidRPr="00732F3B">
        <w:rPr>
          <w:rFonts w:ascii="Book Antiqua" w:eastAsia="Book Antiqua" w:hAnsi="Book Antiqua" w:cs="Book Antiqua"/>
          <w:color w:val="000000"/>
        </w:rPr>
        <w:t xml:space="preserve"> 5.32, 95%CI</w:t>
      </w:r>
      <w:r w:rsidR="005B1955"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1.56-18.17) and elevated ALT (aOR</w:t>
      </w:r>
      <w:r w:rsidR="003972E4">
        <w:rPr>
          <w:rFonts w:ascii="Book Antiqua" w:eastAsia="Book Antiqua" w:hAnsi="Book Antiqua" w:cs="Book Antiqua"/>
          <w:color w:val="000000"/>
        </w:rPr>
        <w:t>:</w:t>
      </w:r>
      <w:r w:rsidRPr="00732F3B">
        <w:rPr>
          <w:rFonts w:ascii="Book Antiqua" w:eastAsia="Book Antiqua" w:hAnsi="Book Antiqua" w:cs="Book Antiqua"/>
          <w:color w:val="000000"/>
        </w:rPr>
        <w:t xml:space="preserve"> 3.54, </w:t>
      </w:r>
      <w:r w:rsidR="005B1955" w:rsidRPr="00732F3B">
        <w:rPr>
          <w:rFonts w:ascii="Book Antiqua" w:eastAsia="Book Antiqua" w:hAnsi="Book Antiqua" w:cs="Book Antiqua"/>
          <w:color w:val="000000"/>
        </w:rPr>
        <w:t>95%</w:t>
      </w:r>
      <w:r w:rsidR="00885F82" w:rsidRPr="00732F3B">
        <w:rPr>
          <w:rFonts w:ascii="Book Antiqua" w:eastAsia="Book Antiqua" w:hAnsi="Book Antiqua" w:cs="Book Antiqua"/>
          <w:color w:val="000000"/>
        </w:rPr>
        <w:t>CI</w:t>
      </w:r>
      <w:r w:rsidR="005B1955"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1.10-11.47). Lifetime cardiovascular risk was higher in patients with NAFLD compared to those without NAFLD (0.31</w:t>
      </w:r>
      <w:r w:rsidR="00ED113B" w:rsidRPr="00732F3B">
        <w:rPr>
          <w:rFonts w:ascii="Book Antiqua" w:eastAsia="Book Antiqua" w:hAnsi="Book Antiqua" w:cs="Book Antiqua"/>
          <w:color w:val="000000"/>
        </w:rPr>
        <w:t xml:space="preserve"> </w:t>
      </w:r>
      <w:r w:rsidR="00ED113B" w:rsidRPr="00732F3B">
        <w:rPr>
          <w:rFonts w:ascii="Book Antiqua" w:hAnsi="Book Antiqua" w:cs="Book Antiqua"/>
          <w:color w:val="000000"/>
          <w:lang w:eastAsia="zh-CN"/>
        </w:rPr>
        <w:t xml:space="preserve">± </w:t>
      </w:r>
      <w:r w:rsidRPr="00732F3B">
        <w:rPr>
          <w:rFonts w:ascii="Book Antiqua" w:eastAsia="Book Antiqua" w:hAnsi="Book Antiqua" w:cs="Book Antiqua"/>
          <w:color w:val="000000"/>
        </w:rPr>
        <w:t xml:space="preserve">0.11 </w:t>
      </w:r>
      <w:r w:rsidRPr="00732F3B">
        <w:rPr>
          <w:rFonts w:ascii="Book Antiqua" w:eastAsia="Book Antiqua" w:hAnsi="Book Antiqua" w:cs="Book Antiqua"/>
          <w:i/>
          <w:iCs/>
          <w:color w:val="000000"/>
        </w:rPr>
        <w:t>vs</w:t>
      </w:r>
      <w:r w:rsidRPr="00732F3B">
        <w:rPr>
          <w:rFonts w:ascii="Book Antiqua" w:eastAsia="Book Antiqua" w:hAnsi="Book Antiqua" w:cs="Book Antiqua"/>
          <w:color w:val="000000"/>
        </w:rPr>
        <w:t xml:space="preserve"> 0.26</w:t>
      </w:r>
      <w:r w:rsidR="00ED113B" w:rsidRPr="00732F3B">
        <w:rPr>
          <w:rFonts w:ascii="Book Antiqua" w:eastAsia="Book Antiqua" w:hAnsi="Book Antiqua" w:cs="Book Antiqua"/>
          <w:color w:val="000000"/>
        </w:rPr>
        <w:t xml:space="preserve"> </w:t>
      </w:r>
      <w:r w:rsidR="00ED113B" w:rsidRPr="00732F3B">
        <w:rPr>
          <w:rFonts w:ascii="Book Antiqua" w:hAnsi="Book Antiqua" w:cs="Book Antiqua"/>
          <w:color w:val="000000"/>
          <w:lang w:eastAsia="zh-CN"/>
        </w:rPr>
        <w:t xml:space="preserve">± </w:t>
      </w:r>
      <w:r w:rsidRPr="00732F3B">
        <w:rPr>
          <w:rFonts w:ascii="Book Antiqua" w:eastAsia="Book Antiqua" w:hAnsi="Book Antiqua" w:cs="Book Antiqua"/>
          <w:color w:val="000000"/>
        </w:rPr>
        <w:t>0.13).</w:t>
      </w:r>
    </w:p>
    <w:bookmarkEnd w:id="15"/>
    <w:bookmarkEnd w:id="16"/>
    <w:p w14:paraId="70ED2CEF" w14:textId="77777777" w:rsidR="00A77B3E" w:rsidRPr="00732F3B" w:rsidRDefault="00A77B3E" w:rsidP="00732F3B">
      <w:pPr>
        <w:adjustRightInd w:val="0"/>
        <w:snapToGrid w:val="0"/>
        <w:spacing w:line="360" w:lineRule="auto"/>
        <w:jc w:val="both"/>
        <w:rPr>
          <w:rFonts w:ascii="Book Antiqua" w:hAnsi="Book Antiqua"/>
        </w:rPr>
      </w:pPr>
    </w:p>
    <w:p w14:paraId="55E1CEE6"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CONCLUSION</w:t>
      </w:r>
    </w:p>
    <w:p w14:paraId="52CB33FB" w14:textId="60CA1657" w:rsidR="00A77B3E" w:rsidRPr="00732F3B" w:rsidRDefault="00260EB5" w:rsidP="00732F3B">
      <w:pPr>
        <w:adjustRightInd w:val="0"/>
        <w:snapToGrid w:val="0"/>
        <w:spacing w:line="360" w:lineRule="auto"/>
        <w:jc w:val="both"/>
        <w:rPr>
          <w:rFonts w:ascii="Book Antiqua" w:hAnsi="Book Antiqua"/>
        </w:rPr>
      </w:pPr>
      <w:bookmarkStart w:id="17" w:name="OLE_LINK28"/>
      <w:bookmarkStart w:id="18" w:name="OLE_LINK29"/>
      <w:r w:rsidRPr="00732F3B">
        <w:rPr>
          <w:rFonts w:ascii="Book Antiqua" w:eastAsia="Book Antiqua" w:hAnsi="Book Antiqua" w:cs="Book Antiqua"/>
          <w:color w:val="000000"/>
        </w:rPr>
        <w:t xml:space="preserve">Despite their young age, NAFLD diagnosed by TE with CAP is a frequent comorbidity in South Asian women with PCOS and is strongly associated with higher </w:t>
      </w:r>
      <w:r w:rsidR="005B1955" w:rsidRPr="00732F3B">
        <w:rPr>
          <w:rFonts w:ascii="Book Antiqua" w:hAnsi="Book Antiqua" w:cs="Arial"/>
          <w:shd w:val="clear" w:color="auto" w:fill="FFFFFF"/>
        </w:rPr>
        <w:t>b</w:t>
      </w:r>
      <w:r w:rsidR="00EC329A" w:rsidRPr="00732F3B">
        <w:rPr>
          <w:rFonts w:ascii="Book Antiqua" w:hAnsi="Book Antiqua" w:cs="Arial"/>
          <w:shd w:val="clear" w:color="auto" w:fill="FFFFFF"/>
        </w:rPr>
        <w:t xml:space="preserve">ody </w:t>
      </w:r>
      <w:r w:rsidR="005B1955" w:rsidRPr="00732F3B">
        <w:rPr>
          <w:rFonts w:ascii="Book Antiqua" w:hAnsi="Book Antiqua" w:cs="Arial"/>
          <w:shd w:val="clear" w:color="auto" w:fill="FFFFFF"/>
        </w:rPr>
        <w:t>m</w:t>
      </w:r>
      <w:r w:rsidR="00EC329A" w:rsidRPr="00732F3B">
        <w:rPr>
          <w:rFonts w:ascii="Book Antiqua" w:hAnsi="Book Antiqua" w:cs="Arial"/>
          <w:shd w:val="clear" w:color="auto" w:fill="FFFFFF"/>
        </w:rPr>
        <w:t xml:space="preserve">ass </w:t>
      </w:r>
      <w:r w:rsidR="005B1955" w:rsidRPr="00732F3B">
        <w:rPr>
          <w:rFonts w:ascii="Book Antiqua" w:hAnsi="Book Antiqua" w:cs="Arial"/>
          <w:shd w:val="clear" w:color="auto" w:fill="FFFFFF"/>
        </w:rPr>
        <w:t>i</w:t>
      </w:r>
      <w:r w:rsidR="00EC329A" w:rsidRPr="00732F3B">
        <w:rPr>
          <w:rFonts w:ascii="Book Antiqua" w:hAnsi="Book Antiqua" w:cs="Arial"/>
          <w:shd w:val="clear" w:color="auto" w:fill="FFFFFF"/>
        </w:rPr>
        <w:t>ndex</w:t>
      </w:r>
      <w:r w:rsidRPr="00732F3B">
        <w:rPr>
          <w:rFonts w:ascii="Book Antiqua" w:eastAsia="Book Antiqua" w:hAnsi="Book Antiqua" w:cs="Book Antiqua"/>
        </w:rPr>
        <w:t xml:space="preserve"> </w:t>
      </w:r>
      <w:r w:rsidRPr="00732F3B">
        <w:rPr>
          <w:rFonts w:ascii="Book Antiqua" w:eastAsia="Book Antiqua" w:hAnsi="Book Antiqua" w:cs="Book Antiqua"/>
          <w:color w:val="000000"/>
        </w:rPr>
        <w:t>and hyperandrogenism. Non-invasive screening strategies could help early diagnosis and initiation of interventions, including counselling on weight loss, cardiovascular risk stratification and linkage to hepatology care where appropriate.</w:t>
      </w:r>
    </w:p>
    <w:bookmarkEnd w:id="17"/>
    <w:bookmarkEnd w:id="18"/>
    <w:p w14:paraId="589609A3" w14:textId="77777777" w:rsidR="00A77B3E" w:rsidRPr="00732F3B" w:rsidRDefault="00A77B3E" w:rsidP="00732F3B">
      <w:pPr>
        <w:adjustRightInd w:val="0"/>
        <w:snapToGrid w:val="0"/>
        <w:spacing w:line="360" w:lineRule="auto"/>
        <w:jc w:val="both"/>
        <w:rPr>
          <w:rFonts w:ascii="Book Antiqua" w:hAnsi="Book Antiqua"/>
        </w:rPr>
      </w:pPr>
    </w:p>
    <w:p w14:paraId="0EFC89CF" w14:textId="3C46D08D"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Key Words: </w:t>
      </w:r>
      <w:bookmarkStart w:id="19" w:name="OLE_LINK14"/>
      <w:bookmarkStart w:id="20" w:name="OLE_LINK15"/>
      <w:bookmarkStart w:id="21" w:name="OLE_LINK17"/>
      <w:bookmarkStart w:id="22" w:name="OLE_LINK18"/>
      <w:r w:rsidR="00ED113B" w:rsidRPr="00732F3B">
        <w:rPr>
          <w:rFonts w:ascii="Book Antiqua" w:eastAsia="Book Antiqua" w:hAnsi="Book Antiqua" w:cs="Book Antiqua"/>
          <w:color w:val="000000"/>
          <w:shd w:val="clear" w:color="auto" w:fill="FFFFFF"/>
        </w:rPr>
        <w:t>Body mass index</w:t>
      </w:r>
      <w:bookmarkEnd w:id="19"/>
      <w:bookmarkEnd w:id="20"/>
      <w:r w:rsidRPr="00732F3B">
        <w:rPr>
          <w:rFonts w:ascii="Book Antiqua" w:eastAsia="Book Antiqua" w:hAnsi="Book Antiqua" w:cs="Book Antiqua"/>
          <w:color w:val="000000"/>
        </w:rPr>
        <w:t xml:space="preserve">; Transient elastography; Controlled attenuation parameter; Hyperadrogenism; </w:t>
      </w:r>
      <w:r w:rsidR="0075609B" w:rsidRPr="00732F3B">
        <w:rPr>
          <w:rFonts w:ascii="Book Antiqua" w:eastAsia="Book Antiqua" w:hAnsi="Book Antiqua" w:cs="Book Antiqua"/>
          <w:color w:val="000000"/>
        </w:rPr>
        <w:t>Alanine transaminase</w:t>
      </w:r>
      <w:r w:rsidRPr="00732F3B">
        <w:rPr>
          <w:rFonts w:ascii="Book Antiqua" w:eastAsia="Book Antiqua" w:hAnsi="Book Antiqua" w:cs="Book Antiqua"/>
          <w:color w:val="000000"/>
        </w:rPr>
        <w:t>; Lifetime cardiovascular risk</w:t>
      </w:r>
    </w:p>
    <w:bookmarkEnd w:id="21"/>
    <w:bookmarkEnd w:id="22"/>
    <w:p w14:paraId="093F8AA4" w14:textId="77777777" w:rsidR="00A77B3E" w:rsidRPr="00732F3B" w:rsidRDefault="00A77B3E" w:rsidP="00732F3B">
      <w:pPr>
        <w:adjustRightInd w:val="0"/>
        <w:snapToGrid w:val="0"/>
        <w:spacing w:line="360" w:lineRule="auto"/>
        <w:jc w:val="both"/>
        <w:rPr>
          <w:rFonts w:ascii="Book Antiqua" w:hAnsi="Book Antiqua"/>
        </w:rPr>
      </w:pPr>
    </w:p>
    <w:p w14:paraId="7F62F7A9" w14:textId="3D2677A6" w:rsidR="00842529" w:rsidRDefault="00842529" w:rsidP="00732F3B">
      <w:pPr>
        <w:adjustRightInd w:val="0"/>
        <w:snapToGrid w:val="0"/>
        <w:spacing w:line="360" w:lineRule="auto"/>
        <w:jc w:val="both"/>
        <w:rPr>
          <w:rFonts w:ascii="Book Antiqua" w:hAnsi="Book Antiqua" w:cs="Book Antiqua" w:hint="eastAsia"/>
          <w:color w:val="000000"/>
          <w:lang w:eastAsia="zh-CN"/>
        </w:rPr>
      </w:pPr>
      <w:bookmarkStart w:id="23" w:name="OLE_LINK6"/>
      <w:r w:rsidRPr="00842529">
        <w:rPr>
          <w:rFonts w:ascii="Book Antiqua" w:hAnsi="Book Antiqua" w:cs="Book Antiqua" w:hint="eastAsia"/>
          <w:b/>
          <w:color w:val="000000"/>
          <w:lang w:eastAsia="zh-CN"/>
        </w:rPr>
        <w:t xml:space="preserve">Citation: </w:t>
      </w:r>
      <w:r w:rsidR="00260EB5" w:rsidRPr="00732F3B">
        <w:rPr>
          <w:rFonts w:ascii="Book Antiqua" w:eastAsia="Book Antiqua" w:hAnsi="Book Antiqua" w:cs="Book Antiqua"/>
          <w:color w:val="000000"/>
        </w:rPr>
        <w:t xml:space="preserve">Shengir M, Krishnamurthy S, Ghali P, Deschenes M, Wong P, Chen T, Sebastiani G. Prevalence and predictors of nonalcoholic fatty liver disease in South Asian women with polycystic ovary syndrome. </w:t>
      </w:r>
      <w:r w:rsidR="00260EB5" w:rsidRPr="00732F3B">
        <w:rPr>
          <w:rFonts w:ascii="Book Antiqua" w:eastAsia="Book Antiqua" w:hAnsi="Book Antiqua" w:cs="Book Antiqua"/>
          <w:i/>
          <w:iCs/>
          <w:color w:val="000000"/>
        </w:rPr>
        <w:t>World J Gastroenterol</w:t>
      </w:r>
      <w:r w:rsidR="00260EB5" w:rsidRPr="00732F3B">
        <w:rPr>
          <w:rFonts w:ascii="Book Antiqua" w:eastAsia="Book Antiqua" w:hAnsi="Book Antiqua" w:cs="Book Antiqua"/>
          <w:color w:val="000000"/>
        </w:rPr>
        <w:t xml:space="preserve"> 2020; </w:t>
      </w:r>
      <w:r w:rsidR="00875CCB" w:rsidRPr="00875CCB">
        <w:rPr>
          <w:rFonts w:ascii="Book Antiqua" w:eastAsia="Book Antiqua" w:hAnsi="Book Antiqua" w:cs="Book Antiqua"/>
          <w:color w:val="000000"/>
        </w:rPr>
        <w:t xml:space="preserve">26(44): </w:t>
      </w:r>
      <w:r w:rsidR="00CB39E6" w:rsidRPr="00CB39E6">
        <w:rPr>
          <w:rFonts w:ascii="Book Antiqua" w:eastAsia="Book Antiqua" w:hAnsi="Book Antiqua" w:cs="Book Antiqua"/>
          <w:color w:val="000000"/>
        </w:rPr>
        <w:t>7046-7060</w:t>
      </w:r>
      <w:r w:rsidR="00875CCB" w:rsidRPr="00875CCB">
        <w:rPr>
          <w:rFonts w:ascii="Book Antiqua" w:eastAsia="Book Antiqua" w:hAnsi="Book Antiqua" w:cs="Book Antiqua"/>
          <w:color w:val="000000"/>
        </w:rPr>
        <w:t xml:space="preserve">  </w:t>
      </w:r>
    </w:p>
    <w:p w14:paraId="4862AFAE" w14:textId="12C40E60" w:rsidR="00842529" w:rsidRDefault="00875CCB" w:rsidP="00732F3B">
      <w:pPr>
        <w:adjustRightInd w:val="0"/>
        <w:snapToGrid w:val="0"/>
        <w:spacing w:line="360" w:lineRule="auto"/>
        <w:jc w:val="both"/>
        <w:rPr>
          <w:rFonts w:ascii="Book Antiqua" w:hAnsi="Book Antiqua" w:cs="Book Antiqua" w:hint="eastAsia"/>
          <w:color w:val="000000"/>
          <w:lang w:eastAsia="zh-CN"/>
        </w:rPr>
      </w:pPr>
      <w:r w:rsidRPr="00842529">
        <w:rPr>
          <w:rFonts w:ascii="Book Antiqua" w:eastAsia="Book Antiqua" w:hAnsi="Book Antiqua" w:cs="Book Antiqua"/>
          <w:b/>
          <w:color w:val="000000"/>
        </w:rPr>
        <w:t xml:space="preserve">URL: </w:t>
      </w:r>
      <w:r w:rsidRPr="00875CCB">
        <w:rPr>
          <w:rFonts w:ascii="Book Antiqua" w:eastAsia="Book Antiqua" w:hAnsi="Book Antiqua" w:cs="Book Antiqua"/>
          <w:color w:val="000000"/>
        </w:rPr>
        <w:t>https://www.wjgnet.com/1007-9327/full/v26/i44/</w:t>
      </w:r>
      <w:r w:rsidR="00CB39E6">
        <w:rPr>
          <w:rFonts w:ascii="Book Antiqua" w:hAnsi="Book Antiqua" w:cs="Book Antiqua" w:hint="eastAsia"/>
          <w:color w:val="000000"/>
          <w:lang w:eastAsia="zh-CN"/>
        </w:rPr>
        <w:t>7046</w:t>
      </w:r>
      <w:r w:rsidRPr="00875CCB">
        <w:rPr>
          <w:rFonts w:ascii="Book Antiqua" w:eastAsia="Book Antiqua" w:hAnsi="Book Antiqua" w:cs="Book Antiqua"/>
          <w:color w:val="000000"/>
        </w:rPr>
        <w:t xml:space="preserve">.htm  </w:t>
      </w:r>
    </w:p>
    <w:p w14:paraId="65B67125" w14:textId="0CFA74E4" w:rsidR="00A77B3E" w:rsidRPr="00217090" w:rsidRDefault="00875CCB" w:rsidP="00732F3B">
      <w:pPr>
        <w:adjustRightInd w:val="0"/>
        <w:snapToGrid w:val="0"/>
        <w:spacing w:line="360" w:lineRule="auto"/>
        <w:jc w:val="both"/>
        <w:rPr>
          <w:rFonts w:ascii="Book Antiqua" w:hAnsi="Book Antiqua" w:hint="eastAsia"/>
          <w:lang w:eastAsia="zh-CN"/>
        </w:rPr>
      </w:pPr>
      <w:r w:rsidRPr="00842529">
        <w:rPr>
          <w:rFonts w:ascii="Book Antiqua" w:eastAsia="Book Antiqua" w:hAnsi="Book Antiqua" w:cs="Book Antiqua"/>
          <w:b/>
          <w:color w:val="000000"/>
        </w:rPr>
        <w:t>DOI:</w:t>
      </w:r>
      <w:r w:rsidRPr="00875CCB">
        <w:rPr>
          <w:rFonts w:ascii="Book Antiqua" w:eastAsia="Book Antiqua" w:hAnsi="Book Antiqua" w:cs="Book Antiqua"/>
          <w:color w:val="000000"/>
        </w:rPr>
        <w:t xml:space="preserve"> https://dx.doi.org/10.3748/wjg.v26.i44.</w:t>
      </w:r>
      <w:r w:rsidR="00217090">
        <w:rPr>
          <w:rFonts w:ascii="Book Antiqua" w:hAnsi="Book Antiqua" w:cs="Book Antiqua" w:hint="eastAsia"/>
          <w:color w:val="000000"/>
          <w:lang w:eastAsia="zh-CN"/>
        </w:rPr>
        <w:t>7046</w:t>
      </w:r>
    </w:p>
    <w:bookmarkEnd w:id="23"/>
    <w:p w14:paraId="231F81CB" w14:textId="77777777" w:rsidR="00A77B3E" w:rsidRPr="00732F3B" w:rsidRDefault="00A77B3E" w:rsidP="00732F3B">
      <w:pPr>
        <w:adjustRightInd w:val="0"/>
        <w:snapToGrid w:val="0"/>
        <w:spacing w:line="360" w:lineRule="auto"/>
        <w:jc w:val="both"/>
        <w:rPr>
          <w:rFonts w:ascii="Book Antiqua" w:hAnsi="Book Antiqua"/>
        </w:rPr>
      </w:pPr>
    </w:p>
    <w:p w14:paraId="0AC30B10" w14:textId="779BD24D"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Core Tip: </w:t>
      </w:r>
      <w:bookmarkStart w:id="24" w:name="OLE_LINK7"/>
      <w:bookmarkStart w:id="25" w:name="OLE_LINK8"/>
      <w:bookmarkStart w:id="26" w:name="OLE_LINK19"/>
      <w:r w:rsidRPr="00732F3B">
        <w:rPr>
          <w:rFonts w:ascii="Book Antiqua" w:eastAsia="Book Antiqua" w:hAnsi="Book Antiqua" w:cs="Book Antiqua"/>
          <w:color w:val="000000"/>
        </w:rPr>
        <w:t>This is the first cohort study using transient elastography with controlled association parameter to investigate </w:t>
      </w:r>
      <w:r w:rsidR="00ED113B" w:rsidRPr="00732F3B">
        <w:rPr>
          <w:rFonts w:ascii="Book Antiqua" w:eastAsia="Book Antiqua" w:hAnsi="Book Antiqua" w:cs="Book Antiqua"/>
          <w:color w:val="000000"/>
        </w:rPr>
        <w:t>non-alcoholic fatty liver disease</w:t>
      </w:r>
      <w:r w:rsidRPr="00732F3B">
        <w:rPr>
          <w:rFonts w:ascii="Book Antiqua" w:eastAsia="Book Antiqua" w:hAnsi="Book Antiqua" w:cs="Book Antiqua"/>
          <w:color w:val="000000"/>
        </w:rPr>
        <w:t xml:space="preserve"> in patients with polycystic very syndrome. Despite their young age, South Asian women with </w:t>
      </w:r>
      <w:r w:rsidR="005B1955" w:rsidRPr="00732F3B">
        <w:rPr>
          <w:rFonts w:ascii="Book Antiqua" w:eastAsia="Book Antiqua" w:hAnsi="Book Antiqua" w:cs="Book Antiqua"/>
          <w:color w:val="000000"/>
        </w:rPr>
        <w:t>p</w:t>
      </w:r>
      <w:r w:rsidR="00ED113B" w:rsidRPr="00732F3B">
        <w:rPr>
          <w:rFonts w:ascii="Book Antiqua" w:eastAsia="Book Antiqua" w:hAnsi="Book Antiqua" w:cs="Book Antiqua"/>
          <w:color w:val="000000"/>
        </w:rPr>
        <w:t>olycystic ovary disease</w:t>
      </w:r>
      <w:r w:rsidRPr="00732F3B">
        <w:rPr>
          <w:rFonts w:ascii="Book Antiqua" w:eastAsia="Book Antiqua" w:hAnsi="Book Antiqua" w:cs="Book Antiqua"/>
          <w:color w:val="000000"/>
        </w:rPr>
        <w:t xml:space="preserve"> have high frequency of </w:t>
      </w:r>
      <w:r w:rsidR="00ED113B" w:rsidRPr="00732F3B">
        <w:rPr>
          <w:rFonts w:ascii="Book Antiqua" w:eastAsia="Book Antiqua" w:hAnsi="Book Antiqua" w:cs="Book Antiqua"/>
          <w:color w:val="000000"/>
        </w:rPr>
        <w:t>non-alcoholic fatty liver disease</w:t>
      </w:r>
      <w:r w:rsidRPr="00732F3B">
        <w:rPr>
          <w:rFonts w:ascii="Book Antiqua" w:eastAsia="Book Antiqua" w:hAnsi="Book Antiqua" w:cs="Book Antiqua"/>
          <w:color w:val="000000"/>
        </w:rPr>
        <w:t xml:space="preserve"> at </w:t>
      </w:r>
      <w:r w:rsidR="004159E4" w:rsidRPr="00732F3B">
        <w:rPr>
          <w:rFonts w:ascii="Book Antiqua" w:eastAsia="Book Antiqua" w:hAnsi="Book Antiqua" w:cs="Book Antiqua"/>
          <w:color w:val="000000"/>
        </w:rPr>
        <w:t>39.6</w:t>
      </w:r>
      <w:r w:rsidRPr="00732F3B">
        <w:rPr>
          <w:rFonts w:ascii="Book Antiqua" w:eastAsia="Book Antiqua" w:hAnsi="Book Antiqua" w:cs="Book Antiqua"/>
          <w:color w:val="000000"/>
        </w:rPr>
        <w:t>%, which could also result in liver fibrosis. Non-invasive screening strategies could help early diagnosis and initiation of interventions, including weight loss, correction of dyslipidemia and cardiovascular risk stratification to initiate statin.</w:t>
      </w:r>
    </w:p>
    <w:bookmarkEnd w:id="24"/>
    <w:bookmarkEnd w:id="25"/>
    <w:bookmarkEnd w:id="26"/>
    <w:p w14:paraId="778C0EC5" w14:textId="77777777" w:rsidR="00A77B3E" w:rsidRPr="00732F3B" w:rsidRDefault="00A77B3E" w:rsidP="00732F3B">
      <w:pPr>
        <w:adjustRightInd w:val="0"/>
        <w:snapToGrid w:val="0"/>
        <w:spacing w:line="360" w:lineRule="auto"/>
        <w:jc w:val="both"/>
        <w:rPr>
          <w:rFonts w:ascii="Book Antiqua" w:hAnsi="Book Antiqua"/>
        </w:rPr>
      </w:pPr>
    </w:p>
    <w:p w14:paraId="531F90FA" w14:textId="7A80A074" w:rsidR="00A77B3E" w:rsidRPr="00732F3B" w:rsidRDefault="00ED113B"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aps/>
          <w:color w:val="000000"/>
          <w:u w:val="single"/>
        </w:rPr>
        <w:br w:type="page"/>
      </w:r>
      <w:r w:rsidR="00260EB5" w:rsidRPr="00732F3B">
        <w:rPr>
          <w:rFonts w:ascii="Book Antiqua" w:eastAsia="Book Antiqua" w:hAnsi="Book Antiqua" w:cs="Book Antiqua"/>
          <w:b/>
          <w:caps/>
          <w:color w:val="000000"/>
          <w:u w:val="single"/>
        </w:rPr>
        <w:t>INTRODUCTION</w:t>
      </w:r>
    </w:p>
    <w:p w14:paraId="7D09B8EF" w14:textId="3A684240" w:rsidR="00A77B3E" w:rsidRPr="00732F3B" w:rsidRDefault="00260EB5" w:rsidP="00732F3B">
      <w:pPr>
        <w:adjustRightInd w:val="0"/>
        <w:snapToGrid w:val="0"/>
        <w:spacing w:line="360" w:lineRule="auto"/>
        <w:jc w:val="both"/>
        <w:rPr>
          <w:rFonts w:ascii="Book Antiqua" w:hAnsi="Book Antiqua"/>
        </w:rPr>
      </w:pPr>
      <w:bookmarkStart w:id="27" w:name="OLE_LINK30"/>
      <w:bookmarkStart w:id="28" w:name="OLE_LINK31"/>
      <w:r w:rsidRPr="00732F3B">
        <w:rPr>
          <w:rFonts w:ascii="Book Antiqua" w:eastAsia="Book Antiqua" w:hAnsi="Book Antiqua" w:cs="Book Antiqua"/>
          <w:color w:val="000000"/>
        </w:rPr>
        <w:t>Nonalcoholic fatty liver disease (NAFLD) is the most prevalent chronic liver disease, affecting 25% of the general adult population globally</w:t>
      </w:r>
      <w:r w:rsidRPr="00732F3B">
        <w:rPr>
          <w:rFonts w:ascii="Book Antiqua" w:eastAsia="Book Antiqua" w:hAnsi="Book Antiqua" w:cs="Book Antiqua"/>
          <w:color w:val="000000"/>
          <w:vertAlign w:val="superscript"/>
        </w:rPr>
        <w:t>[1,2]</w:t>
      </w:r>
      <w:r w:rsidRPr="00732F3B">
        <w:rPr>
          <w:rFonts w:ascii="Book Antiqua" w:eastAsia="Book Antiqua" w:hAnsi="Book Antiqua" w:cs="Book Antiqua"/>
          <w:color w:val="000000"/>
        </w:rPr>
        <w:t>. Nonalcoholic steatohepatitis (NASH), the progressive form of NAFLD leading to liver fibrosis and cirrhosis, currently represents the second indication for liver transplantation, with projections to become the leading indication in the next 10 years</w:t>
      </w:r>
      <w:r w:rsidRPr="00732F3B">
        <w:rPr>
          <w:rFonts w:ascii="Book Antiqua" w:eastAsia="Book Antiqua" w:hAnsi="Book Antiqua" w:cs="Book Antiqua"/>
          <w:color w:val="000000"/>
          <w:vertAlign w:val="superscript"/>
        </w:rPr>
        <w:t>[3]</w:t>
      </w:r>
      <w:r w:rsidRPr="00732F3B">
        <w:rPr>
          <w:rFonts w:ascii="Book Antiqua" w:eastAsia="Book Antiqua" w:hAnsi="Book Antiqua" w:cs="Book Antiqua"/>
          <w:color w:val="000000"/>
        </w:rPr>
        <w:t>. Importantly, NASH is already the leading indication for liver transplantation in women, with ethnic differences</w:t>
      </w:r>
      <w:r w:rsidRPr="00732F3B">
        <w:rPr>
          <w:rFonts w:ascii="Book Antiqua" w:eastAsia="Book Antiqua" w:hAnsi="Book Antiqua" w:cs="Book Antiqua"/>
          <w:color w:val="000000"/>
          <w:vertAlign w:val="superscript"/>
        </w:rPr>
        <w:t>[4]</w:t>
      </w:r>
      <w:r w:rsidRPr="00732F3B">
        <w:rPr>
          <w:rFonts w:ascii="Book Antiqua" w:eastAsia="Book Antiqua" w:hAnsi="Book Antiqua" w:cs="Book Antiqua"/>
          <w:color w:val="000000"/>
        </w:rPr>
        <w:t>. This alarming ascent would call for identification of higher risk groups, where screening strategies could be targeted more effectively, as recommended by several guidelines</w:t>
      </w:r>
      <w:r w:rsidRPr="00732F3B">
        <w:rPr>
          <w:rFonts w:ascii="Book Antiqua" w:eastAsia="Book Antiqua" w:hAnsi="Book Antiqua" w:cs="Book Antiqua"/>
          <w:color w:val="000000"/>
          <w:vertAlign w:val="superscript"/>
        </w:rPr>
        <w:t>[2,5,6]</w:t>
      </w:r>
      <w:r w:rsidRPr="00732F3B">
        <w:rPr>
          <w:rFonts w:ascii="Book Antiqua" w:eastAsia="Book Antiqua" w:hAnsi="Book Antiqua" w:cs="Book Antiqua"/>
          <w:color w:val="000000"/>
        </w:rPr>
        <w:t>. NAFLD is often associated with common extra-hepatic conditions, particularly cardiovascular disease which drives most of the mortality</w:t>
      </w:r>
      <w:r w:rsidRPr="00732F3B">
        <w:rPr>
          <w:rFonts w:ascii="Book Antiqua" w:eastAsia="Book Antiqua" w:hAnsi="Book Antiqua" w:cs="Book Antiqua"/>
          <w:color w:val="000000"/>
          <w:vertAlign w:val="superscript"/>
        </w:rPr>
        <w:t>[7]</w:t>
      </w:r>
      <w:r w:rsidRPr="00732F3B">
        <w:rPr>
          <w:rFonts w:ascii="Book Antiqua" w:eastAsia="Book Antiqua" w:hAnsi="Book Antiqua" w:cs="Book Antiqua"/>
          <w:color w:val="000000"/>
        </w:rPr>
        <w:t>.</w:t>
      </w:r>
    </w:p>
    <w:p w14:paraId="5A357B4A" w14:textId="6E0A28DC" w:rsidR="00A77B3E" w:rsidRPr="00732F3B" w:rsidRDefault="00260EB5" w:rsidP="00732F3B">
      <w:pPr>
        <w:adjustRightInd w:val="0"/>
        <w:snapToGrid w:val="0"/>
        <w:spacing w:line="360" w:lineRule="auto"/>
        <w:ind w:firstLineChars="100" w:firstLine="240"/>
        <w:jc w:val="both"/>
        <w:rPr>
          <w:rFonts w:ascii="Book Antiqua" w:hAnsi="Book Antiqua"/>
        </w:rPr>
      </w:pPr>
      <w:r w:rsidRPr="00732F3B">
        <w:rPr>
          <w:rFonts w:ascii="Book Antiqua" w:eastAsia="Book Antiqua" w:hAnsi="Book Antiqua" w:cs="Book Antiqua"/>
          <w:color w:val="000000"/>
        </w:rPr>
        <w:t>The prevalence of NAFLD may be higher in women with polycystic ovary syndrome (PCOS)</w:t>
      </w:r>
      <w:r w:rsidRPr="00732F3B">
        <w:rPr>
          <w:rFonts w:ascii="Book Antiqua" w:eastAsia="Book Antiqua" w:hAnsi="Book Antiqua" w:cs="Book Antiqua"/>
          <w:color w:val="000000"/>
          <w:vertAlign w:val="superscript"/>
        </w:rPr>
        <w:t>[8]</w:t>
      </w:r>
      <w:r w:rsidRPr="00732F3B">
        <w:rPr>
          <w:rFonts w:ascii="Book Antiqua" w:eastAsia="Book Antiqua" w:hAnsi="Book Antiqua" w:cs="Book Antiqua"/>
          <w:color w:val="000000"/>
        </w:rPr>
        <w:t>. PCOS represents the most frequent endocrinopathy in women of reproductive age. PCOS seems more frequent and severe in South Asian women</w:t>
      </w:r>
      <w:r w:rsidRPr="00732F3B">
        <w:rPr>
          <w:rFonts w:ascii="Book Antiqua" w:eastAsia="Book Antiqua" w:hAnsi="Book Antiqua" w:cs="Book Antiqua"/>
          <w:color w:val="000000"/>
          <w:vertAlign w:val="superscript"/>
        </w:rPr>
        <w:t>[9]</w:t>
      </w:r>
      <w:r w:rsidRPr="00732F3B">
        <w:rPr>
          <w:rFonts w:ascii="Book Antiqua" w:eastAsia="Book Antiqua" w:hAnsi="Book Antiqua" w:cs="Book Antiqua"/>
          <w:color w:val="000000"/>
        </w:rPr>
        <w:t xml:space="preserve">. Moreover, NAFLD is a major health issue in South Asian women, which is even </w:t>
      </w:r>
      <w:r w:rsidR="007176E2" w:rsidRPr="00732F3B">
        <w:rPr>
          <w:rFonts w:ascii="Book Antiqua" w:eastAsia="Book Antiqua" w:hAnsi="Book Antiqua" w:cs="Book Antiqua"/>
          <w:color w:val="000000"/>
        </w:rPr>
        <w:t>more frequent</w:t>
      </w:r>
      <w:r w:rsidRPr="00732F3B">
        <w:rPr>
          <w:rFonts w:ascii="Book Antiqua" w:eastAsia="Book Antiqua" w:hAnsi="Book Antiqua" w:cs="Book Antiqua"/>
          <w:color w:val="000000"/>
        </w:rPr>
        <w:t xml:space="preserve"> if they emigrate to Western countries</w:t>
      </w:r>
      <w:r w:rsidRPr="00732F3B">
        <w:rPr>
          <w:rFonts w:ascii="Book Antiqua" w:eastAsia="Book Antiqua" w:hAnsi="Book Antiqua" w:cs="Book Antiqua"/>
          <w:color w:val="000000"/>
          <w:vertAlign w:val="superscript"/>
        </w:rPr>
        <w:t>[10]</w:t>
      </w:r>
      <w:r w:rsidRPr="00732F3B">
        <w:rPr>
          <w:rFonts w:ascii="Book Antiqua" w:eastAsia="Book Antiqua" w:hAnsi="Book Antiqua" w:cs="Book Antiqua"/>
          <w:color w:val="000000"/>
        </w:rPr>
        <w:t xml:space="preserve">. Some studies have observed an overlap between NAFLD and PCOS: </w:t>
      </w:r>
      <w:r w:rsidR="00ED113B" w:rsidRPr="00732F3B">
        <w:rPr>
          <w:rFonts w:ascii="Book Antiqua" w:eastAsia="Book Antiqua" w:hAnsi="Book Antiqua" w:cs="Book Antiqua"/>
          <w:color w:val="000000"/>
        </w:rPr>
        <w:t>I</w:t>
      </w:r>
      <w:r w:rsidRPr="00732F3B">
        <w:rPr>
          <w:rFonts w:ascii="Book Antiqua" w:eastAsia="Book Antiqua" w:hAnsi="Book Antiqua" w:cs="Book Antiqua"/>
          <w:color w:val="000000"/>
        </w:rPr>
        <w:t>n both conditions, metabolic comorbidities are relevant pathogenetic drivers</w:t>
      </w:r>
      <w:r w:rsidRPr="00732F3B">
        <w:rPr>
          <w:rFonts w:ascii="Book Antiqua" w:eastAsia="Book Antiqua" w:hAnsi="Book Antiqua" w:cs="Book Antiqua"/>
          <w:color w:val="000000"/>
          <w:vertAlign w:val="superscript"/>
        </w:rPr>
        <w:t>[2]</w:t>
      </w:r>
      <w:r w:rsidRPr="00732F3B">
        <w:rPr>
          <w:rFonts w:ascii="Book Antiqua" w:eastAsia="Book Antiqua" w:hAnsi="Book Antiqua" w:cs="Book Antiqua"/>
          <w:color w:val="000000"/>
        </w:rPr>
        <w:t>. In the context of PCOS, a more complex pathogenesis may account for a relationship between the two diseases, particularly hyperandrogenism</w:t>
      </w:r>
      <w:r w:rsidRPr="00732F3B">
        <w:rPr>
          <w:rFonts w:ascii="Book Antiqua" w:eastAsia="Book Antiqua" w:hAnsi="Book Antiqua" w:cs="Book Antiqua"/>
          <w:color w:val="000000"/>
          <w:vertAlign w:val="superscript"/>
        </w:rPr>
        <w:t>[11]</w:t>
      </w:r>
      <w:r w:rsidRPr="00732F3B">
        <w:rPr>
          <w:rFonts w:ascii="Book Antiqua" w:eastAsia="Book Antiqua" w:hAnsi="Book Antiqua" w:cs="Book Antiqua"/>
          <w:color w:val="000000"/>
        </w:rPr>
        <w:t>. Despite these considerations, the prevalence of NAFLD in PCOS varies largely between 5.5% and 73.3% across studies</w:t>
      </w:r>
      <w:r w:rsidRPr="00732F3B">
        <w:rPr>
          <w:rFonts w:ascii="Book Antiqua" w:eastAsia="Book Antiqua" w:hAnsi="Book Antiqua" w:cs="Book Antiqua"/>
          <w:color w:val="000000"/>
          <w:vertAlign w:val="superscript"/>
        </w:rPr>
        <w:t>[12]</w:t>
      </w:r>
      <w:r w:rsidRPr="00732F3B">
        <w:rPr>
          <w:rFonts w:ascii="Book Antiqua" w:eastAsia="Book Antiqua" w:hAnsi="Book Antiqua" w:cs="Book Antiqua"/>
          <w:color w:val="000000"/>
        </w:rPr>
        <w:t>. This discrepancy may be attributed to retrospective study design leading to selection bias and to varying diagnostic methods and definitions adopted for NAFLD. The majority of studies employed ultrasonography as diagnostic tool for NAFLD, which presents with intrinsic limitations including</w:t>
      </w:r>
      <w:r w:rsidR="0054251B"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relatively low accuracy, inter-observer variation and inability of detecting hepatic steatosis involving less than 20</w:t>
      </w:r>
      <w:r w:rsidR="00E15EAC" w:rsidRPr="00732F3B">
        <w:rPr>
          <w:rFonts w:ascii="Book Antiqua" w:eastAsia="Book Antiqua" w:hAnsi="Book Antiqua" w:cs="Book Antiqua"/>
          <w:color w:val="000000"/>
        </w:rPr>
        <w:t>%</w:t>
      </w:r>
      <w:r w:rsidRPr="00732F3B">
        <w:rPr>
          <w:rFonts w:ascii="Book Antiqua" w:eastAsia="Book Antiqua" w:hAnsi="Book Antiqua" w:cs="Book Antiqua"/>
          <w:color w:val="000000"/>
        </w:rPr>
        <w:t>-30% of liver parenchyma</w:t>
      </w:r>
      <w:r w:rsidRPr="00732F3B">
        <w:rPr>
          <w:rFonts w:ascii="Book Antiqua" w:eastAsia="Book Antiqua" w:hAnsi="Book Antiqua" w:cs="Book Antiqua"/>
          <w:color w:val="000000"/>
          <w:vertAlign w:val="superscript"/>
        </w:rPr>
        <w:t>[13]</w:t>
      </w:r>
      <w:r w:rsidRPr="00732F3B">
        <w:rPr>
          <w:rFonts w:ascii="Book Antiqua" w:eastAsia="Book Antiqua" w:hAnsi="Book Antiqua" w:cs="Book Antiqua"/>
          <w:color w:val="000000"/>
        </w:rPr>
        <w:t>. Furthermore, there are limited data on the prevalence of significant liver fibrosis, which mirrors the spectrum of liver disease severity and provides a proxy for NASH prevalence.</w:t>
      </w:r>
    </w:p>
    <w:p w14:paraId="1694BEE1" w14:textId="25394F14" w:rsidR="00A77B3E" w:rsidRPr="00732F3B" w:rsidRDefault="00260EB5" w:rsidP="00732F3B">
      <w:pPr>
        <w:adjustRightInd w:val="0"/>
        <w:snapToGrid w:val="0"/>
        <w:spacing w:line="360" w:lineRule="auto"/>
        <w:ind w:firstLineChars="100" w:firstLine="240"/>
        <w:jc w:val="both"/>
        <w:rPr>
          <w:rFonts w:ascii="Book Antiqua" w:hAnsi="Book Antiqua"/>
        </w:rPr>
      </w:pPr>
      <w:r w:rsidRPr="00732F3B">
        <w:rPr>
          <w:rFonts w:ascii="Book Antiqua" w:eastAsia="Book Antiqua" w:hAnsi="Book Antiqua" w:cs="Book Antiqua"/>
          <w:color w:val="000000"/>
        </w:rPr>
        <w:t>Liver biopsy is still considered the gold standard for the diagnosis of NAFLD and associated liver fibrosis, but it is costly, invasive and with an intrinsic risk of sampling error, making it impracticable as</w:t>
      </w:r>
      <w:r w:rsidR="00444929" w:rsidRPr="00732F3B">
        <w:rPr>
          <w:rFonts w:ascii="Book Antiqua" w:eastAsia="Book Antiqua" w:hAnsi="Book Antiqua" w:cs="Book Antiqua"/>
          <w:color w:val="000000"/>
        </w:rPr>
        <w:t xml:space="preserve"> a</w:t>
      </w:r>
      <w:r w:rsidRPr="00732F3B">
        <w:rPr>
          <w:rFonts w:ascii="Book Antiqua" w:eastAsia="Book Antiqua" w:hAnsi="Book Antiqua" w:cs="Book Antiqua"/>
          <w:color w:val="000000"/>
        </w:rPr>
        <w:t xml:space="preserve"> screening tool</w:t>
      </w:r>
      <w:r w:rsidRPr="00732F3B">
        <w:rPr>
          <w:rFonts w:ascii="Book Antiqua" w:eastAsia="Book Antiqua" w:hAnsi="Book Antiqua" w:cs="Book Antiqua"/>
          <w:color w:val="000000"/>
          <w:vertAlign w:val="superscript"/>
        </w:rPr>
        <w:t>[14]</w:t>
      </w:r>
      <w:r w:rsidRPr="00732F3B">
        <w:rPr>
          <w:rFonts w:ascii="Book Antiqua" w:eastAsia="Book Antiqua" w:hAnsi="Book Antiqua" w:cs="Book Antiqua"/>
          <w:color w:val="000000"/>
        </w:rPr>
        <w:t>. Transient elastography (TE) is an ultrasonography-based non-invasive method using liver stiffness as a surrogate for histologic liver fibrosis</w:t>
      </w:r>
      <w:r w:rsidRPr="00732F3B">
        <w:rPr>
          <w:rFonts w:ascii="Book Antiqua" w:eastAsia="Book Antiqua" w:hAnsi="Book Antiqua" w:cs="Book Antiqua"/>
          <w:color w:val="000000"/>
          <w:vertAlign w:val="superscript"/>
        </w:rPr>
        <w:t>[15]</w:t>
      </w:r>
      <w:r w:rsidRPr="00732F3B">
        <w:rPr>
          <w:rFonts w:ascii="Book Antiqua" w:eastAsia="Book Antiqua" w:hAnsi="Book Antiqua" w:cs="Book Antiqua"/>
          <w:color w:val="000000"/>
        </w:rPr>
        <w:t>. The controlled attenuation parameter (CAP) measures the degree of hepatic attenuation by hepatic fat and is measured simultaneously with liver stiffness measurement (LSM). As such, CAP measurement is a surrogate for hepatic steatosis</w:t>
      </w:r>
      <w:r w:rsidRPr="00732F3B">
        <w:rPr>
          <w:rFonts w:ascii="Book Antiqua" w:eastAsia="Book Antiqua" w:hAnsi="Book Antiqua" w:cs="Book Antiqua"/>
          <w:color w:val="000000"/>
          <w:vertAlign w:val="superscript"/>
        </w:rPr>
        <w:t>[16]</w:t>
      </w:r>
      <w:r w:rsidRPr="00732F3B">
        <w:rPr>
          <w:rFonts w:ascii="Book Antiqua" w:eastAsia="Book Antiqua" w:hAnsi="Book Antiqua" w:cs="Book Antiqua"/>
          <w:color w:val="000000"/>
        </w:rPr>
        <w:t>. In various clinical settings, TE with CAP presents with a good performance compared to liver histology for the detection of hepatic fibrosis and steatosis</w:t>
      </w:r>
      <w:r w:rsidRPr="00732F3B">
        <w:rPr>
          <w:rFonts w:ascii="Book Antiqua" w:eastAsia="Book Antiqua" w:hAnsi="Book Antiqua" w:cs="Book Antiqua"/>
          <w:color w:val="000000"/>
          <w:vertAlign w:val="superscript"/>
        </w:rPr>
        <w:t>[16-19]</w:t>
      </w:r>
      <w:r w:rsidRPr="00732F3B">
        <w:rPr>
          <w:rFonts w:ascii="Book Antiqua" w:eastAsia="Book Antiqua" w:hAnsi="Book Antiqua" w:cs="Book Antiqua"/>
          <w:color w:val="000000"/>
        </w:rPr>
        <w:t>. Thus far, there has been no study employing TE with CAP to screen for NAFLD and associated liver fibrosis in a PCOS population.</w:t>
      </w:r>
    </w:p>
    <w:p w14:paraId="2EEB39BC" w14:textId="36DD7FD6" w:rsidR="00A77B3E" w:rsidRPr="00732F3B" w:rsidRDefault="00260EB5" w:rsidP="00732F3B">
      <w:pPr>
        <w:adjustRightInd w:val="0"/>
        <w:snapToGrid w:val="0"/>
        <w:spacing w:line="360" w:lineRule="auto"/>
        <w:ind w:firstLineChars="100" w:firstLine="240"/>
        <w:jc w:val="both"/>
        <w:rPr>
          <w:rFonts w:ascii="Book Antiqua" w:hAnsi="Book Antiqua"/>
        </w:rPr>
      </w:pPr>
      <w:r w:rsidRPr="00732F3B">
        <w:rPr>
          <w:rFonts w:ascii="Book Antiqua" w:eastAsia="Book Antiqua" w:hAnsi="Book Antiqua" w:cs="Book Antiqua"/>
          <w:color w:val="000000"/>
        </w:rPr>
        <w:t xml:space="preserve">We employed TE with CAP in consecutive PCOS patients from South Asia as a part of a routine screening program with the following aims: </w:t>
      </w:r>
      <w:r w:rsidR="002C7B15"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1) To assess prevalence and associated predictors of NAFLD; </w:t>
      </w:r>
      <w:r w:rsidR="002C7B15" w:rsidRPr="00732F3B">
        <w:rPr>
          <w:rFonts w:ascii="Book Antiqua" w:eastAsia="Book Antiqua" w:hAnsi="Book Antiqua" w:cs="Book Antiqua"/>
          <w:color w:val="000000"/>
        </w:rPr>
        <w:t>(</w:t>
      </w:r>
      <w:r w:rsidRPr="00732F3B">
        <w:rPr>
          <w:rFonts w:ascii="Book Antiqua" w:eastAsia="Book Antiqua" w:hAnsi="Book Antiqua" w:cs="Book Antiqua"/>
          <w:color w:val="000000"/>
        </w:rPr>
        <w:t>2) To determine prevalence of significant liver fibrosis. Secondary aims included evaluation of lifetime cardiovascular risk and of other comorbidities associated with NAFLD.</w:t>
      </w:r>
    </w:p>
    <w:bookmarkEnd w:id="27"/>
    <w:bookmarkEnd w:id="28"/>
    <w:p w14:paraId="1112BA8A" w14:textId="77777777" w:rsidR="00A77B3E" w:rsidRPr="00732F3B" w:rsidRDefault="00A77B3E" w:rsidP="00732F3B">
      <w:pPr>
        <w:adjustRightInd w:val="0"/>
        <w:snapToGrid w:val="0"/>
        <w:spacing w:line="360" w:lineRule="auto"/>
        <w:jc w:val="both"/>
        <w:rPr>
          <w:rFonts w:ascii="Book Antiqua" w:hAnsi="Book Antiqua"/>
        </w:rPr>
      </w:pPr>
    </w:p>
    <w:p w14:paraId="168B006D"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aps/>
          <w:color w:val="000000"/>
          <w:u w:val="single"/>
        </w:rPr>
        <w:t>MATERIALS AND METHODS</w:t>
      </w:r>
    </w:p>
    <w:p w14:paraId="6D9C033A" w14:textId="77777777" w:rsidR="00A77B3E" w:rsidRPr="00732F3B" w:rsidRDefault="00260EB5" w:rsidP="00732F3B">
      <w:pPr>
        <w:adjustRightInd w:val="0"/>
        <w:snapToGrid w:val="0"/>
        <w:spacing w:line="360" w:lineRule="auto"/>
        <w:jc w:val="both"/>
        <w:rPr>
          <w:rFonts w:ascii="Book Antiqua" w:hAnsi="Book Antiqua"/>
          <w:b/>
          <w:bCs/>
        </w:rPr>
      </w:pPr>
      <w:bookmarkStart w:id="29" w:name="OLE_LINK32"/>
      <w:bookmarkStart w:id="30" w:name="OLE_LINK33"/>
      <w:r w:rsidRPr="00732F3B">
        <w:rPr>
          <w:rFonts w:ascii="Book Antiqua" w:eastAsia="Book Antiqua" w:hAnsi="Book Antiqua" w:cs="Book Antiqua"/>
          <w:b/>
          <w:bCs/>
          <w:i/>
          <w:iCs/>
          <w:color w:val="000000"/>
        </w:rPr>
        <w:t>Study design and population</w:t>
      </w:r>
    </w:p>
    <w:p w14:paraId="1534B9AA" w14:textId="62818908"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We performed a cross-sectional cohort study at the Department of Obstetrics and Gynecology of McGill University Health Centr</w:t>
      </w:r>
      <w:r w:rsidR="00E15EAC" w:rsidRPr="00732F3B">
        <w:rPr>
          <w:rFonts w:ascii="Book Antiqua" w:eastAsia="Book Antiqua" w:hAnsi="Book Antiqua" w:cs="Book Antiqua"/>
          <w:color w:val="000000"/>
        </w:rPr>
        <w:t>e (MUHC), which follows about 1</w:t>
      </w:r>
      <w:r w:rsidRPr="00732F3B">
        <w:rPr>
          <w:rFonts w:ascii="Book Antiqua" w:eastAsia="Book Antiqua" w:hAnsi="Book Antiqua" w:cs="Book Antiqua"/>
          <w:color w:val="000000"/>
        </w:rPr>
        <w:t>000 active PCOS patients. At MUHC, there is a large population of South Asian women with PCOS. Between October 2018 and July 2019, consecutive South Asian adult patients with PCOS </w:t>
      </w:r>
      <w:r w:rsidRPr="00732F3B">
        <w:rPr>
          <w:rFonts w:ascii="Book Antiqua" w:eastAsia="Book Antiqua" w:hAnsi="Book Antiqua" w:cs="Book Antiqua"/>
          <w:color w:val="000000"/>
          <w:shd w:val="clear" w:color="auto" w:fill="FFFFFF"/>
        </w:rPr>
        <w:t>were invited to participate in the study </w:t>
      </w:r>
      <w:r w:rsidRPr="00732F3B">
        <w:rPr>
          <w:rFonts w:ascii="Book Antiqua" w:eastAsia="Book Antiqua" w:hAnsi="Book Antiqua" w:cs="Book Antiqua"/>
          <w:color w:val="000000"/>
        </w:rPr>
        <w:t xml:space="preserve">by undergoing a TE examination with CAP as part of a screening program for liver disease. We included patients with PCOS defined by the modified Rotterdam criteria, after excluding other endocrine disorders. All patients met at least two criteria among clinical (hirsutism and/or other signs and symptoms of hyperandrogenism, </w:t>
      </w:r>
      <w:r w:rsidRPr="00732F3B">
        <w:rPr>
          <w:rFonts w:ascii="Book Antiqua" w:eastAsia="Book Antiqua" w:hAnsi="Book Antiqua" w:cs="Book Antiqua"/>
          <w:i/>
          <w:iCs/>
          <w:color w:val="000000"/>
        </w:rPr>
        <w:t>i.e</w:t>
      </w:r>
      <w:r w:rsidR="00E15EAC" w:rsidRPr="00732F3B">
        <w:rPr>
          <w:rFonts w:ascii="Book Antiqua" w:eastAsia="Book Antiqua" w:hAnsi="Book Antiqua" w:cs="Book Antiqua"/>
          <w:i/>
          <w:iCs/>
          <w:color w:val="000000"/>
        </w:rPr>
        <w:t>.</w:t>
      </w:r>
      <w:r w:rsidR="00C64ACA" w:rsidRPr="00C64ACA">
        <w:rPr>
          <w:rFonts w:ascii="Book Antiqua" w:eastAsia="Book Antiqua" w:hAnsi="Book Antiqua" w:cs="Book Antiqua"/>
          <w:iCs/>
          <w:color w:val="000000"/>
        </w:rPr>
        <w:t>,</w:t>
      </w:r>
      <w:r w:rsidRPr="00732F3B">
        <w:rPr>
          <w:rFonts w:ascii="Book Antiqua" w:eastAsia="Book Antiqua" w:hAnsi="Book Antiqua" w:cs="Book Antiqua"/>
          <w:color w:val="000000"/>
        </w:rPr>
        <w:t xml:space="preserve"> acne/seborrhea and alopecia) and/or biochemical hyperandrogenism, ovulatory dysfunction and polycystic ovarian morphology</w:t>
      </w:r>
      <w:r w:rsidRPr="00732F3B">
        <w:rPr>
          <w:rFonts w:ascii="Book Antiqua" w:eastAsia="Book Antiqua" w:hAnsi="Book Antiqua" w:cs="Book Antiqua"/>
          <w:color w:val="000000"/>
          <w:vertAlign w:val="superscript"/>
        </w:rPr>
        <w:t>[20]</w:t>
      </w:r>
      <w:r w:rsidRPr="00732F3B">
        <w:rPr>
          <w:rFonts w:ascii="Book Antiqua" w:eastAsia="Book Antiqua" w:hAnsi="Book Antiqua" w:cs="Book Antiqua"/>
          <w:color w:val="000000"/>
        </w:rPr>
        <w:t>.</w:t>
      </w:r>
      <w:r w:rsidR="002C7B15"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Exclusion criteria were the following: (</w:t>
      </w:r>
      <w:r w:rsidR="00E15EAC" w:rsidRPr="00732F3B">
        <w:rPr>
          <w:rFonts w:ascii="Book Antiqua" w:eastAsia="Book Antiqua" w:hAnsi="Book Antiqua" w:cs="Book Antiqua"/>
          <w:color w:val="000000"/>
        </w:rPr>
        <w:t>1</w:t>
      </w:r>
      <w:r w:rsidRPr="00732F3B">
        <w:rPr>
          <w:rFonts w:ascii="Book Antiqua" w:eastAsia="Book Antiqua" w:hAnsi="Book Antiqua" w:cs="Book Antiqua"/>
          <w:color w:val="000000"/>
        </w:rPr>
        <w:t xml:space="preserve">) </w:t>
      </w:r>
      <w:r w:rsidR="002C7B15" w:rsidRPr="00732F3B">
        <w:rPr>
          <w:rFonts w:ascii="Book Antiqua" w:eastAsia="Book Antiqua" w:hAnsi="Book Antiqua" w:cs="Book Antiqua"/>
          <w:color w:val="000000"/>
        </w:rPr>
        <w:t>P</w:t>
      </w:r>
      <w:r w:rsidR="00E15EAC" w:rsidRPr="00732F3B">
        <w:rPr>
          <w:rFonts w:ascii="Book Antiqua" w:eastAsia="Book Antiqua" w:hAnsi="Book Antiqua" w:cs="Book Antiqua"/>
          <w:color w:val="000000"/>
        </w:rPr>
        <w:t>ositivity for hepatitis C virus</w:t>
      </w:r>
      <w:r w:rsidRPr="00732F3B">
        <w:rPr>
          <w:rFonts w:ascii="Book Antiqua" w:eastAsia="Book Antiqua" w:hAnsi="Book Antiqua" w:cs="Book Antiqua"/>
          <w:color w:val="000000"/>
        </w:rPr>
        <w:t xml:space="preserve"> antibody or hepatitis B virus (HBV) surface antigen; (</w:t>
      </w:r>
      <w:r w:rsidR="00E15EAC" w:rsidRPr="00732F3B">
        <w:rPr>
          <w:rFonts w:ascii="Book Antiqua" w:eastAsia="Book Antiqua" w:hAnsi="Book Antiqua" w:cs="Book Antiqua"/>
          <w:color w:val="000000"/>
        </w:rPr>
        <w:t>2</w:t>
      </w:r>
      <w:r w:rsidRPr="00732F3B">
        <w:rPr>
          <w:rFonts w:ascii="Book Antiqua" w:eastAsia="Book Antiqua" w:hAnsi="Book Antiqua" w:cs="Book Antiqua"/>
          <w:color w:val="000000"/>
        </w:rPr>
        <w:t xml:space="preserve">) </w:t>
      </w:r>
      <w:r w:rsidR="002C7B15" w:rsidRPr="00732F3B">
        <w:rPr>
          <w:rFonts w:ascii="Book Antiqua" w:eastAsia="Book Antiqua" w:hAnsi="Book Antiqua" w:cs="Book Antiqua"/>
          <w:color w:val="000000"/>
        </w:rPr>
        <w:t>H</w:t>
      </w:r>
      <w:r w:rsidRPr="00732F3B">
        <w:rPr>
          <w:rFonts w:ascii="Book Antiqua" w:eastAsia="Book Antiqua" w:hAnsi="Book Antiqua" w:cs="Book Antiqua"/>
          <w:color w:val="000000"/>
        </w:rPr>
        <w:t>istory of pre-existing liver disease or new diagnosis at the screening visit (auto-immune hepatitis, primary biliary cholangitis, primary sclerosing cholangitis, hemochromatosis, Wilson’s disease, alpha-1 anti-trypsin); (</w:t>
      </w:r>
      <w:r w:rsidR="00E15EAC" w:rsidRPr="00732F3B">
        <w:rPr>
          <w:rFonts w:ascii="Book Antiqua" w:eastAsia="Book Antiqua" w:hAnsi="Book Antiqua" w:cs="Book Antiqua"/>
          <w:color w:val="000000"/>
        </w:rPr>
        <w:t>3</w:t>
      </w:r>
      <w:r w:rsidRPr="00732F3B">
        <w:rPr>
          <w:rFonts w:ascii="Book Antiqua" w:eastAsia="Book Antiqua" w:hAnsi="Book Antiqua" w:cs="Book Antiqua"/>
          <w:color w:val="000000"/>
        </w:rPr>
        <w:t xml:space="preserve">) </w:t>
      </w:r>
      <w:r w:rsidR="002C7B15" w:rsidRPr="00732F3B">
        <w:rPr>
          <w:rFonts w:ascii="Book Antiqua" w:eastAsia="Book Antiqua" w:hAnsi="Book Antiqua" w:cs="Book Antiqua"/>
          <w:color w:val="000000"/>
        </w:rPr>
        <w:t>H</w:t>
      </w:r>
      <w:r w:rsidRPr="00732F3B">
        <w:rPr>
          <w:rFonts w:ascii="Book Antiqua" w:eastAsia="Book Antiqua" w:hAnsi="Book Antiqua" w:cs="Book Antiqua"/>
          <w:color w:val="000000"/>
        </w:rPr>
        <w:t>istory of hepatocellular carcinoma, liver transplantation or decompensated liver disease (ascites, hepatorenal syndrome, spontaneous bacterial peritonitis, hepatic encephalopathy, variceal hemorrhage); (</w:t>
      </w:r>
      <w:r w:rsidR="00E15EAC" w:rsidRPr="00732F3B">
        <w:rPr>
          <w:rFonts w:ascii="Book Antiqua" w:eastAsia="Book Antiqua" w:hAnsi="Book Antiqua" w:cs="Book Antiqua"/>
          <w:color w:val="000000"/>
        </w:rPr>
        <w:t>4</w:t>
      </w:r>
      <w:r w:rsidRPr="00732F3B">
        <w:rPr>
          <w:rFonts w:ascii="Book Antiqua" w:eastAsia="Book Antiqua" w:hAnsi="Book Antiqua" w:cs="Book Antiqua"/>
          <w:color w:val="000000"/>
        </w:rPr>
        <w:t xml:space="preserve">) </w:t>
      </w:r>
      <w:r w:rsidR="002C7B15" w:rsidRPr="00732F3B">
        <w:rPr>
          <w:rFonts w:ascii="Book Antiqua" w:eastAsia="Book Antiqua" w:hAnsi="Book Antiqua" w:cs="Book Antiqua"/>
          <w:color w:val="000000"/>
        </w:rPr>
        <w:t>H</w:t>
      </w:r>
      <w:r w:rsidRPr="00732F3B">
        <w:rPr>
          <w:rFonts w:ascii="Book Antiqua" w:eastAsia="Book Antiqua" w:hAnsi="Book Antiqua" w:cs="Book Antiqua"/>
          <w:color w:val="000000"/>
        </w:rPr>
        <w:t xml:space="preserve">azardous alcohol intake, as estimated by an Alcohol Use Disorders Identification Test (AUDIT-C) score </w:t>
      </w:r>
      <w:r w:rsidR="002C7B15" w:rsidRPr="00732F3B">
        <w:rPr>
          <w:rFonts w:ascii="Book Antiqua" w:hAnsi="Book Antiqua" w:cs="Book Antiqua"/>
          <w:color w:val="000000"/>
          <w:lang w:eastAsia="zh-CN"/>
        </w:rPr>
        <w:t>≥</w:t>
      </w:r>
      <w:r w:rsidR="002C7B15"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7</w:t>
      </w:r>
      <w:r w:rsidRPr="00732F3B">
        <w:rPr>
          <w:rFonts w:ascii="Book Antiqua" w:eastAsia="Book Antiqua" w:hAnsi="Book Antiqua" w:cs="Book Antiqua"/>
          <w:color w:val="000000"/>
          <w:vertAlign w:val="superscript"/>
        </w:rPr>
        <w:t>[21]</w:t>
      </w:r>
      <w:r w:rsidR="00E15EAC" w:rsidRPr="00732F3B">
        <w:rPr>
          <w:rFonts w:ascii="Book Antiqua" w:eastAsia="Book Antiqua" w:hAnsi="Book Antiqua" w:cs="Book Antiqua"/>
          <w:color w:val="000000"/>
        </w:rPr>
        <w:t>; (5</w:t>
      </w:r>
      <w:r w:rsidRPr="00732F3B">
        <w:rPr>
          <w:rFonts w:ascii="Book Antiqua" w:eastAsia="Book Antiqua" w:hAnsi="Book Antiqua" w:cs="Book Antiqua"/>
          <w:color w:val="000000"/>
        </w:rPr>
        <w:t xml:space="preserve">) </w:t>
      </w:r>
      <w:r w:rsidR="002C7B15" w:rsidRPr="00732F3B">
        <w:rPr>
          <w:rFonts w:ascii="Book Antiqua" w:eastAsia="Book Antiqua" w:hAnsi="Book Antiqua" w:cs="Book Antiqua"/>
          <w:color w:val="000000"/>
        </w:rPr>
        <w:t>P</w:t>
      </w:r>
      <w:r w:rsidRPr="00732F3B">
        <w:rPr>
          <w:rFonts w:ascii="Book Antiqua" w:eastAsia="Book Antiqua" w:hAnsi="Book Antiqua" w:cs="Book Antiqua"/>
          <w:color w:val="000000"/>
        </w:rPr>
        <w:t xml:space="preserve">regnancy at time of recruitment; </w:t>
      </w:r>
      <w:r w:rsidR="00E15EAC" w:rsidRPr="00732F3B">
        <w:rPr>
          <w:rFonts w:ascii="Book Antiqua" w:eastAsia="Book Antiqua" w:hAnsi="Book Antiqua" w:cs="Book Antiqua"/>
          <w:color w:val="000000"/>
        </w:rPr>
        <w:t xml:space="preserve">and </w:t>
      </w:r>
      <w:r w:rsidRPr="00732F3B">
        <w:rPr>
          <w:rFonts w:ascii="Book Antiqua" w:eastAsia="Book Antiqua" w:hAnsi="Book Antiqua" w:cs="Book Antiqua"/>
          <w:color w:val="000000"/>
        </w:rPr>
        <w:t>(</w:t>
      </w:r>
      <w:r w:rsidR="00E15EAC" w:rsidRPr="00732F3B">
        <w:rPr>
          <w:rFonts w:ascii="Book Antiqua" w:eastAsia="Book Antiqua" w:hAnsi="Book Antiqua" w:cs="Book Antiqua"/>
          <w:color w:val="000000"/>
        </w:rPr>
        <w:t>6</w:t>
      </w:r>
      <w:r w:rsidRPr="00732F3B">
        <w:rPr>
          <w:rFonts w:ascii="Book Antiqua" w:eastAsia="Book Antiqua" w:hAnsi="Book Antiqua" w:cs="Book Antiqua"/>
          <w:color w:val="000000"/>
        </w:rPr>
        <w:t xml:space="preserve">) </w:t>
      </w:r>
      <w:r w:rsidR="002C7B15" w:rsidRPr="00732F3B">
        <w:rPr>
          <w:rFonts w:ascii="Book Antiqua" w:eastAsia="Book Antiqua" w:hAnsi="Book Antiqua" w:cs="Book Antiqua"/>
          <w:color w:val="000000"/>
        </w:rPr>
        <w:t>F</w:t>
      </w:r>
      <w:r w:rsidRPr="00732F3B">
        <w:rPr>
          <w:rFonts w:ascii="Book Antiqua" w:eastAsia="Book Antiqua" w:hAnsi="Book Antiqua" w:cs="Book Antiqua"/>
          <w:color w:val="000000"/>
        </w:rPr>
        <w:t>ailure of TE examination or unreliable measurement. All patients provided written informed consent for participation into the study. In order to validate the TE examination with CAP measurement in our cohort, we also reported the CAP values from another routine screening program for liver fibrosis running at MUHC. As part of routine assessment at our centre, patients with chronic HBV undergo CAP quantification during TE examination for LSM. We included only female patients aged &lt;</w:t>
      </w:r>
      <w:r w:rsidR="002C7B15"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 xml:space="preserve">50 years old with chronic HBV, </w:t>
      </w:r>
      <w:r w:rsidR="000620E4" w:rsidRPr="00732F3B">
        <w:rPr>
          <w:rFonts w:ascii="Book Antiqua" w:eastAsia="Book Antiqua" w:hAnsi="Book Antiqua" w:cs="Book Antiqua"/>
          <w:color w:val="000000"/>
        </w:rPr>
        <w:t>as</w:t>
      </w:r>
      <w:r w:rsidRPr="00732F3B">
        <w:rPr>
          <w:rFonts w:ascii="Book Antiqua" w:eastAsia="Book Antiqua" w:hAnsi="Book Antiqua" w:cs="Book Antiqua"/>
          <w:color w:val="000000"/>
        </w:rPr>
        <w:t xml:space="preserve"> an appropriate comparator </w:t>
      </w:r>
      <w:r w:rsidR="000620E4" w:rsidRPr="00732F3B">
        <w:rPr>
          <w:rFonts w:ascii="Book Antiqua" w:eastAsia="Book Antiqua" w:hAnsi="Book Antiqua" w:cs="Book Antiqua"/>
          <w:color w:val="000000"/>
        </w:rPr>
        <w:t>to</w:t>
      </w:r>
      <w:r w:rsidRPr="00732F3B">
        <w:rPr>
          <w:rFonts w:ascii="Book Antiqua" w:eastAsia="Book Antiqua" w:hAnsi="Book Antiqua" w:cs="Book Antiqua"/>
          <w:color w:val="000000"/>
        </w:rPr>
        <w:t xml:space="preserve"> our PCOS population. We chose this validation group as young patients with chronic HBV have been reported to have low prevalence of NAFLD</w:t>
      </w:r>
      <w:r w:rsidRPr="00732F3B">
        <w:rPr>
          <w:rFonts w:ascii="Book Antiqua" w:eastAsia="Book Antiqua" w:hAnsi="Book Antiqua" w:cs="Book Antiqua"/>
          <w:color w:val="000000"/>
          <w:vertAlign w:val="superscript"/>
        </w:rPr>
        <w:t>[22,23]</w:t>
      </w:r>
      <w:r w:rsidRPr="00732F3B">
        <w:rPr>
          <w:rFonts w:ascii="Book Antiqua" w:eastAsia="Book Antiqua" w:hAnsi="Book Antiqua" w:cs="Book Antiqua"/>
          <w:color w:val="000000"/>
        </w:rPr>
        <w:t>. The Research Ethic</w:t>
      </w:r>
      <w:r w:rsidR="00AA7015" w:rsidRPr="00732F3B">
        <w:rPr>
          <w:rFonts w:ascii="Book Antiqua" w:eastAsia="Book Antiqua" w:hAnsi="Book Antiqua" w:cs="Book Antiqua"/>
          <w:color w:val="000000"/>
        </w:rPr>
        <w:t>s</w:t>
      </w:r>
      <w:r w:rsidRPr="00732F3B">
        <w:rPr>
          <w:rFonts w:ascii="Book Antiqua" w:eastAsia="Book Antiqua" w:hAnsi="Book Antiqua" w:cs="Book Antiqua"/>
          <w:color w:val="000000"/>
        </w:rPr>
        <w:t xml:space="preserve"> Board of the Research Institute of the MUHC approved the study (study code 2019-4584), which was conducted according to the Declaration of Helsinki.</w:t>
      </w:r>
    </w:p>
    <w:p w14:paraId="22C37052" w14:textId="77777777" w:rsidR="00A77B3E" w:rsidRPr="00732F3B" w:rsidRDefault="00A77B3E" w:rsidP="00732F3B">
      <w:pPr>
        <w:adjustRightInd w:val="0"/>
        <w:snapToGrid w:val="0"/>
        <w:spacing w:line="360" w:lineRule="auto"/>
        <w:jc w:val="both"/>
        <w:rPr>
          <w:rFonts w:ascii="Book Antiqua" w:hAnsi="Book Antiqua"/>
        </w:rPr>
      </w:pPr>
    </w:p>
    <w:p w14:paraId="3EB8D128" w14:textId="77777777" w:rsidR="00A77B3E" w:rsidRPr="00732F3B" w:rsidRDefault="00260EB5" w:rsidP="00732F3B">
      <w:pPr>
        <w:adjustRightInd w:val="0"/>
        <w:snapToGrid w:val="0"/>
        <w:spacing w:line="360" w:lineRule="auto"/>
        <w:jc w:val="both"/>
        <w:rPr>
          <w:rFonts w:ascii="Book Antiqua" w:hAnsi="Book Antiqua"/>
          <w:b/>
          <w:bCs/>
        </w:rPr>
      </w:pPr>
      <w:r w:rsidRPr="00732F3B">
        <w:rPr>
          <w:rFonts w:ascii="Book Antiqua" w:eastAsia="Book Antiqua" w:hAnsi="Book Antiqua" w:cs="Book Antiqua"/>
          <w:b/>
          <w:bCs/>
          <w:i/>
          <w:iCs/>
          <w:color w:val="000000"/>
        </w:rPr>
        <w:t>Outcome measures</w:t>
      </w:r>
    </w:p>
    <w:p w14:paraId="533CBD6D" w14:textId="0CE399AF"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The primary outcomes of the study were: </w:t>
      </w:r>
      <w:r w:rsidR="00C74AF2" w:rsidRPr="00732F3B">
        <w:rPr>
          <w:rFonts w:ascii="Book Antiqua" w:eastAsia="Book Antiqua" w:hAnsi="Book Antiqua" w:cs="Book Antiqua"/>
          <w:color w:val="000000"/>
        </w:rPr>
        <w:t>(</w:t>
      </w:r>
      <w:r w:rsidR="00E15EAC" w:rsidRPr="00732F3B">
        <w:rPr>
          <w:rFonts w:ascii="Book Antiqua" w:eastAsia="Book Antiqua" w:hAnsi="Book Antiqua" w:cs="Book Antiqua"/>
          <w:color w:val="000000"/>
        </w:rPr>
        <w:t>1</w:t>
      </w:r>
      <w:r w:rsidRPr="00732F3B">
        <w:rPr>
          <w:rFonts w:ascii="Book Antiqua" w:eastAsia="Book Antiqua" w:hAnsi="Book Antiqua" w:cs="Book Antiqua"/>
          <w:color w:val="000000"/>
        </w:rPr>
        <w:t xml:space="preserve">) prevalence and associated predictors of NAFLD; </w:t>
      </w:r>
      <w:r w:rsidR="00C74AF2" w:rsidRPr="00732F3B">
        <w:rPr>
          <w:rFonts w:ascii="Book Antiqua" w:eastAsia="Book Antiqua" w:hAnsi="Book Antiqua" w:cs="Book Antiqua"/>
          <w:color w:val="000000"/>
        </w:rPr>
        <w:t>(</w:t>
      </w:r>
      <w:r w:rsidR="00E15EAC" w:rsidRPr="00732F3B">
        <w:rPr>
          <w:rFonts w:ascii="Book Antiqua" w:eastAsia="Book Antiqua" w:hAnsi="Book Antiqua" w:cs="Book Antiqua"/>
          <w:color w:val="000000"/>
        </w:rPr>
        <w:t>2</w:t>
      </w:r>
      <w:r w:rsidRPr="00732F3B">
        <w:rPr>
          <w:rFonts w:ascii="Book Antiqua" w:eastAsia="Book Antiqua" w:hAnsi="Book Antiqua" w:cs="Book Antiqua"/>
          <w:color w:val="000000"/>
        </w:rPr>
        <w:t>) prevalence of significant liver fibrosis. Any grade NAFLD (&gt;</w:t>
      </w:r>
      <w:r w:rsidR="002C7B15"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5% of hepatocytes) was defined as CAP ≥</w:t>
      </w:r>
      <w:r w:rsidR="002C7B15"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288 decibels per meter (dB/m)</w:t>
      </w:r>
      <w:r w:rsidRPr="00732F3B">
        <w:rPr>
          <w:rFonts w:ascii="Book Antiqua" w:eastAsia="Book Antiqua" w:hAnsi="Book Antiqua" w:cs="Book Antiqua"/>
          <w:color w:val="000000"/>
          <w:vertAlign w:val="superscript"/>
        </w:rPr>
        <w:t>[19]</w:t>
      </w:r>
      <w:r w:rsidRPr="00732F3B">
        <w:rPr>
          <w:rFonts w:ascii="Book Antiqua" w:eastAsia="Book Antiqua" w:hAnsi="Book Antiqua" w:cs="Book Antiqua"/>
          <w:color w:val="000000"/>
        </w:rPr>
        <w:t>, and significant liver fibrosis (stage</w:t>
      </w:r>
      <w:r w:rsidR="002C7B15" w:rsidRPr="00732F3B">
        <w:rPr>
          <w:rFonts w:ascii="Book Antiqua" w:eastAsia="Book Antiqua" w:hAnsi="Book Antiqua" w:cs="Book Antiqua"/>
          <w:color w:val="000000"/>
        </w:rPr>
        <w:t xml:space="preserve"> ≥ </w:t>
      </w:r>
      <w:r w:rsidRPr="00732F3B">
        <w:rPr>
          <w:rFonts w:ascii="Book Antiqua" w:eastAsia="Book Antiqua" w:hAnsi="Book Antiqua" w:cs="Book Antiqua"/>
          <w:color w:val="000000"/>
        </w:rPr>
        <w:t>F2 out of 4) as TE measurement </w:t>
      </w:r>
      <w:r w:rsidR="002C7B15"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8.0</w:t>
      </w:r>
      <w:r w:rsidR="00292992" w:rsidRPr="00732F3B">
        <w:rPr>
          <w:rFonts w:ascii="Book Antiqua" w:eastAsia="Book Antiqua" w:hAnsi="Book Antiqua" w:cs="Book Antiqua"/>
          <w:color w:val="000000"/>
        </w:rPr>
        <w:t xml:space="preserve"> kilopascals</w:t>
      </w:r>
      <w:r w:rsidRPr="00732F3B">
        <w:rPr>
          <w:rFonts w:ascii="Book Antiqua" w:eastAsia="Book Antiqua" w:hAnsi="Book Antiqua" w:cs="Book Antiqua"/>
          <w:color w:val="000000"/>
          <w:vertAlign w:val="superscript"/>
        </w:rPr>
        <w:t>[24-26]</w:t>
      </w:r>
      <w:r w:rsidRPr="00732F3B">
        <w:rPr>
          <w:rFonts w:ascii="Book Antiqua" w:eastAsia="Book Antiqua" w:hAnsi="Book Antiqua" w:cs="Book Antiqua"/>
          <w:color w:val="000000"/>
        </w:rPr>
        <w:t>. We also explored the use of the recently proposed cut-off of 302 dB/m to diagnose any grade NAFLD</w:t>
      </w:r>
      <w:r w:rsidRPr="00732F3B">
        <w:rPr>
          <w:rFonts w:ascii="Book Antiqua" w:eastAsia="Book Antiqua" w:hAnsi="Book Antiqua" w:cs="Book Antiqua"/>
          <w:color w:val="000000"/>
          <w:vertAlign w:val="superscript"/>
        </w:rPr>
        <w:t>[18]</w:t>
      </w:r>
      <w:r w:rsidRPr="00732F3B">
        <w:rPr>
          <w:rFonts w:ascii="Book Antiqua" w:eastAsia="Book Antiqua" w:hAnsi="Book Antiqua" w:cs="Book Antiqua"/>
          <w:color w:val="000000"/>
        </w:rPr>
        <w:t>.</w:t>
      </w:r>
    </w:p>
    <w:p w14:paraId="5C3BECE4" w14:textId="25EEA5ED" w:rsidR="00A77B3E" w:rsidRPr="00732F3B" w:rsidRDefault="00260EB5" w:rsidP="00732F3B">
      <w:pPr>
        <w:adjustRightInd w:val="0"/>
        <w:snapToGrid w:val="0"/>
        <w:spacing w:line="360" w:lineRule="auto"/>
        <w:ind w:firstLineChars="100" w:firstLine="240"/>
        <w:jc w:val="both"/>
        <w:rPr>
          <w:rFonts w:ascii="Book Antiqua" w:hAnsi="Book Antiqua"/>
        </w:rPr>
      </w:pPr>
      <w:r w:rsidRPr="00732F3B">
        <w:rPr>
          <w:rFonts w:ascii="Book Antiqua" w:eastAsia="Book Antiqua" w:hAnsi="Book Antiqua" w:cs="Book Antiqua"/>
          <w:color w:val="000000"/>
        </w:rPr>
        <w:t>Secondary outcomes were evaluation of t</w:t>
      </w:r>
      <w:r w:rsidRPr="00732F3B">
        <w:rPr>
          <w:rFonts w:ascii="Book Antiqua" w:eastAsia="Book Antiqua" w:hAnsi="Book Antiqua" w:cs="Book Antiqua"/>
          <w:color w:val="000000"/>
          <w:shd w:val="clear" w:color="auto" w:fill="FFFFFF"/>
        </w:rPr>
        <w:t>he </w:t>
      </w:r>
      <w:r w:rsidRPr="00732F3B">
        <w:rPr>
          <w:rFonts w:ascii="Book Antiqua" w:eastAsia="Book Antiqua" w:hAnsi="Book Antiqua" w:cs="Book Antiqua"/>
          <w:color w:val="000000"/>
        </w:rPr>
        <w:t>lifetime cardiovascular risk through the</w:t>
      </w:r>
      <w:r w:rsidRPr="00732F3B">
        <w:rPr>
          <w:rFonts w:ascii="Book Antiqua" w:eastAsia="Book Antiqua" w:hAnsi="Book Antiqua" w:cs="Book Antiqua"/>
          <w:color w:val="000000"/>
          <w:shd w:val="clear" w:color="auto" w:fill="FFFFFF"/>
        </w:rPr>
        <w:t> atherosclerotic cardiovascular</w:t>
      </w:r>
      <w:r w:rsidR="00056E5B" w:rsidRPr="00732F3B">
        <w:rPr>
          <w:rFonts w:ascii="Book Antiqua" w:eastAsia="Book Antiqua" w:hAnsi="Book Antiqua" w:cs="Book Antiqua"/>
          <w:color w:val="000000"/>
          <w:shd w:val="clear" w:color="auto" w:fill="FFFFFF"/>
        </w:rPr>
        <w:t xml:space="preserve"> </w:t>
      </w:r>
      <w:r w:rsidRPr="00732F3B">
        <w:rPr>
          <w:rFonts w:ascii="Book Antiqua" w:eastAsia="Book Antiqua" w:hAnsi="Book Antiqua" w:cs="Book Antiqua"/>
          <w:color w:val="000000"/>
        </w:rPr>
        <w:t>risk equation, according to American College of Cardiology/American Heart Association guidelines</w:t>
      </w:r>
      <w:r w:rsidRPr="00732F3B">
        <w:rPr>
          <w:rFonts w:ascii="Book Antiqua" w:eastAsia="Book Antiqua" w:hAnsi="Book Antiqua" w:cs="Book Antiqua"/>
          <w:color w:val="000000"/>
          <w:vertAlign w:val="superscript"/>
        </w:rPr>
        <w:t>[27]</w:t>
      </w:r>
      <w:r w:rsidRPr="00732F3B">
        <w:rPr>
          <w:rFonts w:ascii="Book Antiqua" w:eastAsia="Book Antiqua" w:hAnsi="Book Antiqua" w:cs="Book Antiqua"/>
          <w:color w:val="000000"/>
        </w:rPr>
        <w:t> and extra-hepatic diseases linked to NAFLD. Sleep apnea and hypothyroidism were diagnosed on the basis of clinical history. Chronic kidney disease (CKD) was defined as estimated glomerular filtration rate</w:t>
      </w:r>
      <w:r w:rsidR="00056E5B"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&lt; 60 mL/min/1.73</w:t>
      </w:r>
      <w:r w:rsidR="00E15EAC"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m</w:t>
      </w:r>
      <w:r w:rsidRPr="00732F3B">
        <w:rPr>
          <w:rFonts w:ascii="Book Antiqua" w:eastAsia="Book Antiqua" w:hAnsi="Book Antiqua" w:cs="Book Antiqua"/>
          <w:color w:val="000000"/>
          <w:vertAlign w:val="superscript"/>
        </w:rPr>
        <w:t>2</w:t>
      </w:r>
      <w:r w:rsidRPr="00732F3B">
        <w:rPr>
          <w:rFonts w:ascii="Book Antiqua" w:eastAsia="Book Antiqua" w:hAnsi="Book Antiqua" w:cs="Book Antiqua"/>
          <w:color w:val="000000"/>
        </w:rPr>
        <w:t>, calculated using the CKD-Epi formula, as per KDIGO guidelines</w:t>
      </w:r>
      <w:r w:rsidRPr="00732F3B">
        <w:rPr>
          <w:rFonts w:ascii="Book Antiqua" w:eastAsia="Book Antiqua" w:hAnsi="Book Antiqua" w:cs="Book Antiqua"/>
          <w:color w:val="000000"/>
          <w:vertAlign w:val="superscript"/>
        </w:rPr>
        <w:t>[28,29]</w:t>
      </w:r>
      <w:r w:rsidRPr="00732F3B">
        <w:rPr>
          <w:rFonts w:ascii="Book Antiqua" w:eastAsia="Book Antiqua" w:hAnsi="Book Antiqua" w:cs="Book Antiqua"/>
          <w:color w:val="000000"/>
        </w:rPr>
        <w:t>.</w:t>
      </w:r>
    </w:p>
    <w:p w14:paraId="01FBCF0F" w14:textId="77777777" w:rsidR="00A77B3E" w:rsidRPr="00732F3B" w:rsidRDefault="00A77B3E" w:rsidP="00732F3B">
      <w:pPr>
        <w:adjustRightInd w:val="0"/>
        <w:snapToGrid w:val="0"/>
        <w:spacing w:line="360" w:lineRule="auto"/>
        <w:jc w:val="both"/>
        <w:rPr>
          <w:rFonts w:ascii="Book Antiqua" w:hAnsi="Book Antiqua"/>
        </w:rPr>
      </w:pPr>
    </w:p>
    <w:p w14:paraId="344318F7" w14:textId="77777777" w:rsidR="00A77B3E" w:rsidRPr="00732F3B" w:rsidRDefault="00260EB5" w:rsidP="00732F3B">
      <w:pPr>
        <w:adjustRightInd w:val="0"/>
        <w:snapToGrid w:val="0"/>
        <w:spacing w:line="360" w:lineRule="auto"/>
        <w:jc w:val="both"/>
        <w:rPr>
          <w:rFonts w:ascii="Book Antiqua" w:hAnsi="Book Antiqua"/>
          <w:b/>
          <w:bCs/>
        </w:rPr>
      </w:pPr>
      <w:r w:rsidRPr="00732F3B">
        <w:rPr>
          <w:rFonts w:ascii="Book Antiqua" w:eastAsia="Book Antiqua" w:hAnsi="Book Antiqua" w:cs="Book Antiqua"/>
          <w:b/>
          <w:bCs/>
          <w:i/>
          <w:iCs/>
          <w:color w:val="000000"/>
        </w:rPr>
        <w:t>TE examination </w:t>
      </w:r>
    </w:p>
    <w:p w14:paraId="0D217D26" w14:textId="4F603982"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TE examin</w:t>
      </w:r>
      <w:r w:rsidR="00E15EAC" w:rsidRPr="00732F3B">
        <w:rPr>
          <w:rFonts w:ascii="Book Antiqua" w:eastAsia="Book Antiqua" w:hAnsi="Book Antiqua" w:cs="Book Antiqua"/>
          <w:color w:val="000000"/>
        </w:rPr>
        <w:t>ation was performed on a 4-h</w:t>
      </w:r>
      <w:r w:rsidRPr="00732F3B">
        <w:rPr>
          <w:rFonts w:ascii="Book Antiqua" w:eastAsia="Book Antiqua" w:hAnsi="Book Antiqua" w:cs="Book Antiqua"/>
          <w:color w:val="000000"/>
        </w:rPr>
        <w:t xml:space="preserve"> fasting patient by two experienced operators. The standard M probe was first used in all patients. The XL probe was </w:t>
      </w:r>
      <w:r w:rsidR="00A41222" w:rsidRPr="00732F3B">
        <w:rPr>
          <w:rFonts w:ascii="Book Antiqua" w:eastAsia="Book Antiqua" w:hAnsi="Book Antiqua" w:cs="Book Antiqua"/>
          <w:color w:val="000000"/>
        </w:rPr>
        <w:t>used</w:t>
      </w:r>
      <w:r w:rsidRPr="00732F3B">
        <w:rPr>
          <w:rFonts w:ascii="Book Antiqua" w:eastAsia="Book Antiqua" w:hAnsi="Book Antiqua" w:cs="Book Antiqua"/>
          <w:color w:val="000000"/>
        </w:rPr>
        <w:t xml:space="preserve"> in case of failure with M probe. Examinations were considered valid if the operator was able to obtain at least 10 validated measures and the interquartile range of those measures was &lt;</w:t>
      </w:r>
      <w:r w:rsidR="00056E5B"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30% of the median</w:t>
      </w:r>
      <w:r w:rsidRPr="00732F3B">
        <w:rPr>
          <w:rFonts w:ascii="Book Antiqua" w:eastAsia="Book Antiqua" w:hAnsi="Book Antiqua" w:cs="Book Antiqua"/>
          <w:color w:val="000000"/>
          <w:vertAlign w:val="superscript"/>
        </w:rPr>
        <w:t>[17,30]</w:t>
      </w:r>
      <w:r w:rsidRPr="00732F3B">
        <w:rPr>
          <w:rFonts w:ascii="Book Antiqua" w:eastAsia="Book Antiqua" w:hAnsi="Book Antiqua" w:cs="Book Antiqua"/>
          <w:color w:val="000000"/>
        </w:rPr>
        <w:t>. Given recent data on the lack of effect of probe type and steatosis on LSM, we did not use adjusted cut-off values</w:t>
      </w:r>
      <w:r w:rsidRPr="00732F3B">
        <w:rPr>
          <w:rFonts w:ascii="Book Antiqua" w:eastAsia="Book Antiqua" w:hAnsi="Book Antiqua" w:cs="Book Antiqua"/>
          <w:color w:val="000000"/>
          <w:vertAlign w:val="superscript"/>
        </w:rPr>
        <w:t>[18]</w:t>
      </w:r>
      <w:r w:rsidRPr="00732F3B">
        <w:rPr>
          <w:rFonts w:ascii="Book Antiqua" w:eastAsia="Book Antiqua" w:hAnsi="Book Antiqua" w:cs="Book Antiqua"/>
          <w:color w:val="000000"/>
        </w:rPr>
        <w:t>.</w:t>
      </w:r>
    </w:p>
    <w:p w14:paraId="58CAD4DF" w14:textId="77777777" w:rsidR="00A77B3E" w:rsidRPr="00732F3B" w:rsidRDefault="00A77B3E" w:rsidP="00732F3B">
      <w:pPr>
        <w:adjustRightInd w:val="0"/>
        <w:snapToGrid w:val="0"/>
        <w:spacing w:line="360" w:lineRule="auto"/>
        <w:jc w:val="both"/>
        <w:rPr>
          <w:rFonts w:ascii="Book Antiqua" w:hAnsi="Book Antiqua"/>
        </w:rPr>
      </w:pPr>
    </w:p>
    <w:p w14:paraId="78556672" w14:textId="77777777" w:rsidR="00A77B3E" w:rsidRPr="00732F3B" w:rsidRDefault="00260EB5" w:rsidP="00732F3B">
      <w:pPr>
        <w:adjustRightInd w:val="0"/>
        <w:snapToGrid w:val="0"/>
        <w:spacing w:line="360" w:lineRule="auto"/>
        <w:jc w:val="both"/>
        <w:rPr>
          <w:rFonts w:ascii="Book Antiqua" w:hAnsi="Book Antiqua"/>
          <w:b/>
          <w:bCs/>
        </w:rPr>
      </w:pPr>
      <w:r w:rsidRPr="00732F3B">
        <w:rPr>
          <w:rFonts w:ascii="Book Antiqua" w:eastAsia="Book Antiqua" w:hAnsi="Book Antiqua" w:cs="Book Antiqua"/>
          <w:b/>
          <w:bCs/>
          <w:i/>
          <w:iCs/>
          <w:color w:val="000000"/>
        </w:rPr>
        <w:t>Serum biomarkers</w:t>
      </w:r>
    </w:p>
    <w:p w14:paraId="7F4811C8" w14:textId="1A572FE3"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The simple biomarker hepatic steatosis index (HSI) was calculated and the standard cut-off value of 36 was used to diagnose NAFLD</w:t>
      </w:r>
      <w:r w:rsidRPr="00732F3B">
        <w:rPr>
          <w:rFonts w:ascii="Book Antiqua" w:eastAsia="Book Antiqua" w:hAnsi="Book Antiqua" w:cs="Book Antiqua"/>
          <w:color w:val="000000"/>
          <w:vertAlign w:val="superscript"/>
        </w:rPr>
        <w:t>[31,32]</w:t>
      </w:r>
      <w:r w:rsidRPr="00732F3B">
        <w:rPr>
          <w:rFonts w:ascii="Book Antiqua" w:eastAsia="Book Antiqua" w:hAnsi="Book Antiqua" w:cs="Book Antiqua"/>
          <w:color w:val="000000"/>
        </w:rPr>
        <w:t>. The simple fibrosis biomarkers fibrosis-4 (FIB-4), aspartate aminotransferase-to-Platelets Ratio Index (APRI) and NAFLD fibrosis score were computed, as previously described</w:t>
      </w:r>
      <w:r w:rsidRPr="00732F3B">
        <w:rPr>
          <w:rFonts w:ascii="Book Antiqua" w:eastAsia="Book Antiqua" w:hAnsi="Book Antiqua" w:cs="Book Antiqua"/>
          <w:color w:val="000000"/>
          <w:vertAlign w:val="superscript"/>
        </w:rPr>
        <w:t>[33-35]</w:t>
      </w:r>
      <w:r w:rsidRPr="00732F3B">
        <w:rPr>
          <w:rFonts w:ascii="Book Antiqua" w:eastAsia="Book Antiqua" w:hAnsi="Book Antiqua" w:cs="Book Antiqua"/>
          <w:color w:val="000000"/>
        </w:rPr>
        <w:t>.</w:t>
      </w:r>
    </w:p>
    <w:p w14:paraId="0ADF14EE" w14:textId="77777777" w:rsidR="00A77B3E" w:rsidRPr="00732F3B" w:rsidRDefault="00A77B3E" w:rsidP="00732F3B">
      <w:pPr>
        <w:adjustRightInd w:val="0"/>
        <w:snapToGrid w:val="0"/>
        <w:spacing w:line="360" w:lineRule="auto"/>
        <w:jc w:val="both"/>
        <w:rPr>
          <w:rFonts w:ascii="Book Antiqua" w:hAnsi="Book Antiqua"/>
        </w:rPr>
      </w:pPr>
    </w:p>
    <w:p w14:paraId="2B3297E6" w14:textId="77777777" w:rsidR="00A77B3E" w:rsidRPr="00732F3B" w:rsidRDefault="00260EB5" w:rsidP="00732F3B">
      <w:pPr>
        <w:adjustRightInd w:val="0"/>
        <w:snapToGrid w:val="0"/>
        <w:spacing w:line="360" w:lineRule="auto"/>
        <w:jc w:val="both"/>
        <w:rPr>
          <w:rFonts w:ascii="Book Antiqua" w:hAnsi="Book Antiqua"/>
          <w:b/>
          <w:bCs/>
        </w:rPr>
      </w:pPr>
      <w:r w:rsidRPr="00732F3B">
        <w:rPr>
          <w:rFonts w:ascii="Book Antiqua" w:eastAsia="Book Antiqua" w:hAnsi="Book Antiqua" w:cs="Book Antiqua"/>
          <w:b/>
          <w:bCs/>
          <w:i/>
          <w:iCs/>
          <w:color w:val="000000"/>
        </w:rPr>
        <w:t>Clinical and biological parameters</w:t>
      </w:r>
    </w:p>
    <w:p w14:paraId="4EFA1730" w14:textId="2F3BDF06"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Anthropometric, clinical, and biochemical measurements and data were collected at recruitment. Family history of liver and cardiovascular diseases was also recorded. Regular physical exercise was defined as at least 150 min of moderate aerobic exercise</w:t>
      </w:r>
      <w:r w:rsidRPr="00732F3B">
        <w:rPr>
          <w:rFonts w:ascii="Book Antiqua" w:eastAsia="Book Antiqua" w:hAnsi="Book Antiqua" w:cs="Book Antiqua"/>
          <w:color w:val="000000"/>
          <w:vertAlign w:val="superscript"/>
        </w:rPr>
        <w:t>[5]</w:t>
      </w:r>
      <w:r w:rsidRPr="00732F3B">
        <w:rPr>
          <w:rFonts w:ascii="Book Antiqua" w:eastAsia="Book Antiqua" w:hAnsi="Book Antiqua" w:cs="Book Antiqua"/>
          <w:color w:val="000000"/>
        </w:rPr>
        <w:t>. The diagnosis of diabetes was based on treatment with antidiabetic drugs or the International Diabetes Federation definition</w:t>
      </w:r>
      <w:r w:rsidRPr="00732F3B">
        <w:rPr>
          <w:rFonts w:ascii="Book Antiqua" w:eastAsia="Book Antiqua" w:hAnsi="Book Antiqua" w:cs="Book Antiqua"/>
          <w:color w:val="000000"/>
          <w:vertAlign w:val="superscript"/>
        </w:rPr>
        <w:t>[36]</w:t>
      </w:r>
      <w:r w:rsidRPr="00732F3B">
        <w:rPr>
          <w:rFonts w:ascii="Book Antiqua" w:eastAsia="Book Antiqua" w:hAnsi="Book Antiqua" w:cs="Book Antiqua"/>
          <w:color w:val="000000"/>
        </w:rPr>
        <w:t>. Any alcohol intake was defined as a score </w:t>
      </w:r>
      <w:r w:rsidR="00056E5B" w:rsidRPr="00732F3B">
        <w:rPr>
          <w:rFonts w:ascii="Book Antiqua" w:hAnsi="Book Antiqua" w:cs="Book Antiqua"/>
          <w:color w:val="000000"/>
          <w:lang w:eastAsia="zh-CN"/>
        </w:rPr>
        <w:t>≥</w:t>
      </w:r>
      <w:r w:rsidR="00056E5B"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5 by the AUDIT-C</w:t>
      </w:r>
      <w:r w:rsidR="008E7B18" w:rsidRPr="00732F3B">
        <w:rPr>
          <w:rFonts w:ascii="Book Antiqua" w:eastAsia="Book Antiqua" w:hAnsi="Book Antiqua" w:cs="Book Antiqua"/>
          <w:color w:val="000000"/>
        </w:rPr>
        <w:t xml:space="preserve"> questionnaire</w:t>
      </w:r>
      <w:r w:rsidRPr="00732F3B">
        <w:rPr>
          <w:rFonts w:ascii="Book Antiqua" w:eastAsia="Book Antiqua" w:hAnsi="Book Antiqua" w:cs="Book Antiqua"/>
          <w:color w:val="000000"/>
        </w:rPr>
        <w:t xml:space="preserve">. Biological parameters, collected at time of recruitment, included: AST, </w:t>
      </w:r>
      <w:r w:rsidR="0075609B" w:rsidRPr="00732F3B">
        <w:rPr>
          <w:rFonts w:ascii="Book Antiqua" w:eastAsia="Book Antiqua" w:hAnsi="Book Antiqua" w:cs="Book Antiqua"/>
          <w:color w:val="000000"/>
        </w:rPr>
        <w:t>Elevated alanine transaminase (ALT)</w:t>
      </w:r>
      <w:r w:rsidRPr="00732F3B">
        <w:rPr>
          <w:rFonts w:ascii="Book Antiqua" w:eastAsia="Book Antiqua" w:hAnsi="Book Antiqua" w:cs="Book Antiqua"/>
          <w:color w:val="000000"/>
        </w:rPr>
        <w:t>, gamma-glutamyl transferase, platelets, bilirubin, albumin, total cholesterol, high-density lipoprotein cholesterol, low-density lipoprot</w:t>
      </w:r>
      <w:r w:rsidR="00E15EAC" w:rsidRPr="00732F3B">
        <w:rPr>
          <w:rFonts w:ascii="Book Antiqua" w:eastAsia="Book Antiqua" w:hAnsi="Book Antiqua" w:cs="Book Antiqua"/>
          <w:color w:val="000000"/>
        </w:rPr>
        <w:t xml:space="preserve">ein cholesterol, triglycerides, insulin and </w:t>
      </w:r>
      <w:r w:rsidRPr="00732F3B">
        <w:rPr>
          <w:rFonts w:ascii="Book Antiqua" w:eastAsia="Book Antiqua" w:hAnsi="Book Antiqua" w:cs="Book Antiqua"/>
          <w:color w:val="000000"/>
        </w:rPr>
        <w:t xml:space="preserve">glycosylated hemoglobin, C-reactive protein. All patients were screened for pre-existing liver disease with the following: HBV and </w:t>
      </w:r>
      <w:r w:rsidR="00E15EAC" w:rsidRPr="00732F3B">
        <w:rPr>
          <w:rFonts w:ascii="Book Antiqua" w:eastAsia="Book Antiqua" w:hAnsi="Book Antiqua" w:cs="Book Antiqua"/>
          <w:color w:val="000000"/>
        </w:rPr>
        <w:t>hepatitis C virus</w:t>
      </w:r>
      <w:r w:rsidRPr="00732F3B">
        <w:rPr>
          <w:rFonts w:ascii="Book Antiqua" w:eastAsia="Book Antiqua" w:hAnsi="Book Antiqua" w:cs="Book Antiqua"/>
          <w:color w:val="000000"/>
        </w:rPr>
        <w:t xml:space="preserve"> serologies, anti-nuclear antibody, anti-mitochondrial antibody, anti-smooth muscle antibody, ferritin, ceruloplasmin, alpha-1-antitrypsin. Elevated ALT was defined as ALT &gt; upper limit of normal (ULN) of 24 IU/L, as previously described for South Asian women</w:t>
      </w:r>
      <w:r w:rsidRPr="00732F3B">
        <w:rPr>
          <w:rFonts w:ascii="Book Antiqua" w:eastAsia="Book Antiqua" w:hAnsi="Book Antiqua" w:cs="Book Antiqua"/>
          <w:color w:val="000000"/>
          <w:vertAlign w:val="superscript"/>
        </w:rPr>
        <w:t>[37]</w:t>
      </w:r>
      <w:r w:rsidRPr="00732F3B">
        <w:rPr>
          <w:rFonts w:ascii="Book Antiqua" w:eastAsia="Book Antiqua" w:hAnsi="Book Antiqua" w:cs="Book Antiqua"/>
          <w:color w:val="000000"/>
        </w:rPr>
        <w:t>. </w:t>
      </w:r>
      <w:r w:rsidRPr="00732F3B">
        <w:rPr>
          <w:rFonts w:ascii="Book Antiqua" w:eastAsia="Book Antiqua" w:hAnsi="Book Antiqua" w:cs="Book Antiqua"/>
          <w:color w:val="000000"/>
          <w:shd w:val="clear" w:color="auto" w:fill="FFFFFF"/>
        </w:rPr>
        <w:t xml:space="preserve">Patients were classified into </w:t>
      </w:r>
      <w:r w:rsidR="00171365" w:rsidRPr="00732F3B">
        <w:rPr>
          <w:rFonts w:ascii="Book Antiqua" w:eastAsia="Book Antiqua" w:hAnsi="Book Antiqua" w:cs="Book Antiqua"/>
          <w:color w:val="000000"/>
          <w:shd w:val="clear" w:color="auto" w:fill="FFFFFF"/>
        </w:rPr>
        <w:t>three</w:t>
      </w:r>
      <w:r w:rsidRPr="00732F3B">
        <w:rPr>
          <w:rFonts w:ascii="Book Antiqua" w:eastAsia="Book Antiqua" w:hAnsi="Book Antiqua" w:cs="Book Antiqua"/>
          <w:color w:val="000000"/>
          <w:shd w:val="clear" w:color="auto" w:fill="FFFFFF"/>
        </w:rPr>
        <w:t xml:space="preserve"> groups according to their measured body mass index values, and cut-off values from Asian guidelines were used for this categorisation; lean &lt;</w:t>
      </w:r>
      <w:r w:rsidR="008F73BE" w:rsidRPr="00732F3B">
        <w:rPr>
          <w:rFonts w:ascii="Book Antiqua" w:eastAsia="Book Antiqua" w:hAnsi="Book Antiqua" w:cs="Book Antiqua"/>
          <w:color w:val="000000"/>
          <w:shd w:val="clear" w:color="auto" w:fill="FFFFFF"/>
        </w:rPr>
        <w:t xml:space="preserve"> </w:t>
      </w:r>
      <w:r w:rsidRPr="00732F3B">
        <w:rPr>
          <w:rFonts w:ascii="Book Antiqua" w:eastAsia="Book Antiqua" w:hAnsi="Book Antiqua" w:cs="Book Antiqua"/>
          <w:color w:val="000000"/>
          <w:shd w:val="clear" w:color="auto" w:fill="FFFFFF"/>
        </w:rPr>
        <w:t>23 kg/m</w:t>
      </w:r>
      <w:r w:rsidRPr="00732F3B">
        <w:rPr>
          <w:rFonts w:ascii="Book Antiqua" w:eastAsia="Book Antiqua" w:hAnsi="Book Antiqua" w:cs="Book Antiqua"/>
          <w:color w:val="000000"/>
          <w:vertAlign w:val="superscript"/>
        </w:rPr>
        <w:t>2</w:t>
      </w:r>
      <w:r w:rsidRPr="00732F3B">
        <w:rPr>
          <w:rFonts w:ascii="Book Antiqua" w:eastAsia="Book Antiqua" w:hAnsi="Book Antiqua" w:cs="Book Antiqua"/>
          <w:color w:val="000000"/>
          <w:shd w:val="clear" w:color="auto" w:fill="FFFFFF"/>
        </w:rPr>
        <w:t>, overweight 23</w:t>
      </w:r>
      <w:r w:rsidR="00C64ACA">
        <w:rPr>
          <w:rFonts w:ascii="Book Antiqua" w:eastAsia="Book Antiqua" w:hAnsi="Book Antiqua" w:cs="Book Antiqua"/>
          <w:color w:val="000000"/>
          <w:shd w:val="clear" w:color="auto" w:fill="FFFFFF"/>
        </w:rPr>
        <w:t>-</w:t>
      </w:r>
      <w:r w:rsidRPr="00732F3B">
        <w:rPr>
          <w:rFonts w:ascii="Book Antiqua" w:eastAsia="Book Antiqua" w:hAnsi="Book Antiqua" w:cs="Book Antiqua"/>
          <w:color w:val="000000"/>
          <w:shd w:val="clear" w:color="auto" w:fill="FFFFFF"/>
        </w:rPr>
        <w:t>25 kg/m</w:t>
      </w:r>
      <w:r w:rsidRPr="00732F3B">
        <w:rPr>
          <w:rFonts w:ascii="Book Antiqua" w:eastAsia="Book Antiqua" w:hAnsi="Book Antiqua" w:cs="Book Antiqua"/>
          <w:color w:val="000000"/>
          <w:vertAlign w:val="superscript"/>
        </w:rPr>
        <w:t>2</w:t>
      </w:r>
      <w:r w:rsidRPr="00732F3B">
        <w:rPr>
          <w:rFonts w:ascii="Book Antiqua" w:eastAsia="Book Antiqua" w:hAnsi="Book Antiqua" w:cs="Book Antiqua"/>
          <w:color w:val="000000"/>
          <w:shd w:val="clear" w:color="auto" w:fill="FFFFFF"/>
        </w:rPr>
        <w:t>, obese &gt;</w:t>
      </w:r>
      <w:r w:rsidR="008F73BE" w:rsidRPr="00732F3B">
        <w:rPr>
          <w:rFonts w:ascii="Book Antiqua" w:eastAsia="Book Antiqua" w:hAnsi="Book Antiqua" w:cs="Book Antiqua"/>
          <w:color w:val="000000"/>
          <w:shd w:val="clear" w:color="auto" w:fill="FFFFFF"/>
        </w:rPr>
        <w:t xml:space="preserve"> </w:t>
      </w:r>
      <w:r w:rsidRPr="00732F3B">
        <w:rPr>
          <w:rFonts w:ascii="Book Antiqua" w:eastAsia="Book Antiqua" w:hAnsi="Book Antiqua" w:cs="Book Antiqua"/>
          <w:color w:val="000000"/>
          <w:shd w:val="clear" w:color="auto" w:fill="FFFFFF"/>
        </w:rPr>
        <w:t>25 kg/m</w:t>
      </w:r>
      <w:r w:rsidRPr="00732F3B">
        <w:rPr>
          <w:rFonts w:ascii="Book Antiqua" w:eastAsia="Book Antiqua" w:hAnsi="Book Antiqua" w:cs="Book Antiqua"/>
          <w:color w:val="000000"/>
          <w:vertAlign w:val="superscript"/>
        </w:rPr>
        <w:t>2</w:t>
      </w:r>
      <w:r w:rsidRPr="00732F3B">
        <w:rPr>
          <w:rFonts w:ascii="Book Antiqua" w:eastAsia="Book Antiqua" w:hAnsi="Book Antiqua" w:cs="Book Antiqua"/>
          <w:color w:val="000000"/>
          <w:shd w:val="clear" w:color="auto" w:fill="FFFFFF"/>
        </w:rPr>
        <w:t>. Waist circumference values exceeding 80 cm was used as the cut-off value for central obesity</w:t>
      </w:r>
      <w:r w:rsidRPr="00732F3B">
        <w:rPr>
          <w:rFonts w:ascii="Book Antiqua" w:eastAsia="Book Antiqua" w:hAnsi="Book Antiqua" w:cs="Book Antiqua"/>
          <w:color w:val="000000"/>
          <w:shd w:val="clear" w:color="auto" w:fill="FFFFFF"/>
          <w:vertAlign w:val="superscript"/>
        </w:rPr>
        <w:t>[38]</w:t>
      </w:r>
      <w:r w:rsidRPr="00732F3B">
        <w:rPr>
          <w:rFonts w:ascii="Book Antiqua" w:eastAsia="Book Antiqua" w:hAnsi="Book Antiqua" w:cs="Book Antiqua"/>
          <w:color w:val="000000"/>
          <w:shd w:val="clear" w:color="auto" w:fill="FFFFFF"/>
        </w:rPr>
        <w:t>. </w:t>
      </w:r>
      <w:r w:rsidRPr="00732F3B">
        <w:rPr>
          <w:rFonts w:ascii="Book Antiqua" w:eastAsia="Book Antiqua" w:hAnsi="Book Antiqua" w:cs="Book Antiqua"/>
          <w:color w:val="000000"/>
        </w:rPr>
        <w:t>Insulin was used to compute the homeostasis model for assessment of insulin resistance (HOMA-IR) index (fasting insulin (mIU/L) X fasting glucose (mmol/L)/22.5)</w:t>
      </w:r>
      <w:r w:rsidRPr="00732F3B">
        <w:rPr>
          <w:rFonts w:ascii="Book Antiqua" w:eastAsia="Book Antiqua" w:hAnsi="Book Antiqua" w:cs="Book Antiqua"/>
          <w:color w:val="000000"/>
          <w:vertAlign w:val="superscript"/>
        </w:rPr>
        <w:t>[39]</w:t>
      </w:r>
      <w:r w:rsidRPr="00732F3B">
        <w:rPr>
          <w:rFonts w:ascii="Book Antiqua" w:eastAsia="Book Antiqua" w:hAnsi="Book Antiqua" w:cs="Book Antiqua"/>
          <w:color w:val="000000"/>
        </w:rPr>
        <w:t>. HOMA-IR &gt;</w:t>
      </w:r>
      <w:r w:rsidR="008F73BE"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 xml:space="preserve">1.9 was considered indicative of insulin resistance. A patient was defined as metabolically abnormal in presence of </w:t>
      </w:r>
      <w:r w:rsidR="001B5597" w:rsidRPr="00732F3B">
        <w:rPr>
          <w:rFonts w:ascii="Book Antiqua" w:eastAsia="Book Antiqua" w:hAnsi="Book Antiqua" w:cs="Book Antiqua"/>
          <w:color w:val="000000"/>
        </w:rPr>
        <w:t xml:space="preserve">any among </w:t>
      </w:r>
      <w:r w:rsidRPr="00732F3B">
        <w:rPr>
          <w:rFonts w:ascii="Book Antiqua" w:eastAsia="Book Antiqua" w:hAnsi="Book Antiqua" w:cs="Book Antiqua"/>
          <w:color w:val="000000"/>
        </w:rPr>
        <w:t>diabetes, hypertension or hyperlipidemia (triglycerides ≥</w:t>
      </w:r>
      <w:r w:rsidR="008F73BE"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1.7 mmol/L and/or</w:t>
      </w:r>
      <w:r w:rsidR="00056E5B" w:rsidRPr="00732F3B">
        <w:rPr>
          <w:rFonts w:ascii="Book Antiqua" w:eastAsia="Book Antiqua" w:hAnsi="Book Antiqua" w:cs="Book Antiqua"/>
          <w:color w:val="000000"/>
        </w:rPr>
        <w:t xml:space="preserve"> high-density lipoprotein</w:t>
      </w:r>
      <w:r w:rsidRPr="00732F3B">
        <w:rPr>
          <w:rFonts w:ascii="Book Antiqua" w:eastAsia="Book Antiqua" w:hAnsi="Book Antiqua" w:cs="Book Antiqua"/>
          <w:color w:val="000000"/>
        </w:rPr>
        <w:t xml:space="preserve"> &lt;</w:t>
      </w:r>
      <w:r w:rsidR="00056E5B"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 xml:space="preserve">1.3 mmol/L), while the absence of all three conditions defined a metabolically normal patient. The following hormonal parameters were evaluated for the diagnosis of biochemical hyperandrogenism: total testosterone, bioavailable testosterone and sex hormone-binding globulin. Free androgen index (FAI) was calculated as the ratio of total testosterone levels in nmol/L to </w:t>
      </w:r>
      <w:r w:rsidR="008F73BE" w:rsidRPr="00732F3B">
        <w:rPr>
          <w:rFonts w:ascii="Book Antiqua" w:eastAsia="Book Antiqua" w:hAnsi="Book Antiqua" w:cs="Book Antiqua"/>
          <w:color w:val="000000"/>
        </w:rPr>
        <w:t>sex hormone-binding globulin</w:t>
      </w:r>
      <w:r w:rsidRPr="00732F3B">
        <w:rPr>
          <w:rFonts w:ascii="Book Antiqua" w:eastAsia="Book Antiqua" w:hAnsi="Book Antiqua" w:cs="Book Antiqua"/>
          <w:color w:val="000000"/>
        </w:rPr>
        <w:t xml:space="preserve"> levels in nmol/L </w:t>
      </w:r>
      <w:r w:rsidR="00E15EAC"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100 (%)</w:t>
      </w:r>
      <w:r w:rsidRPr="00732F3B">
        <w:rPr>
          <w:rFonts w:ascii="Book Antiqua" w:eastAsia="Book Antiqua" w:hAnsi="Book Antiqua" w:cs="Book Antiqua"/>
          <w:color w:val="000000"/>
          <w:vertAlign w:val="superscript"/>
        </w:rPr>
        <w:t>[40]</w:t>
      </w:r>
      <w:r w:rsidRPr="00732F3B">
        <w:rPr>
          <w:rFonts w:ascii="Book Antiqua" w:eastAsia="Book Antiqua" w:hAnsi="Book Antiqua" w:cs="Book Antiqua"/>
          <w:color w:val="000000"/>
        </w:rPr>
        <w:t>. A FAI &gt;</w:t>
      </w:r>
      <w:r w:rsidR="008F73BE"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5 was considered indicative of hyperandrogenism.</w:t>
      </w:r>
    </w:p>
    <w:p w14:paraId="6B5874F6" w14:textId="77777777" w:rsidR="00A77B3E" w:rsidRPr="00732F3B" w:rsidRDefault="00A77B3E" w:rsidP="00732F3B">
      <w:pPr>
        <w:adjustRightInd w:val="0"/>
        <w:snapToGrid w:val="0"/>
        <w:spacing w:line="360" w:lineRule="auto"/>
        <w:jc w:val="both"/>
        <w:rPr>
          <w:rFonts w:ascii="Book Antiqua" w:hAnsi="Book Antiqua"/>
        </w:rPr>
      </w:pPr>
    </w:p>
    <w:p w14:paraId="3B8BEA1E" w14:textId="77777777" w:rsidR="00A77B3E" w:rsidRPr="00732F3B" w:rsidRDefault="00260EB5" w:rsidP="00732F3B">
      <w:pPr>
        <w:adjustRightInd w:val="0"/>
        <w:snapToGrid w:val="0"/>
        <w:spacing w:line="360" w:lineRule="auto"/>
        <w:jc w:val="both"/>
        <w:rPr>
          <w:rFonts w:ascii="Book Antiqua" w:hAnsi="Book Antiqua"/>
          <w:b/>
          <w:bCs/>
        </w:rPr>
      </w:pPr>
      <w:r w:rsidRPr="00732F3B">
        <w:rPr>
          <w:rFonts w:ascii="Book Antiqua" w:eastAsia="Book Antiqua" w:hAnsi="Book Antiqua" w:cs="Book Antiqua"/>
          <w:b/>
          <w:bCs/>
          <w:i/>
          <w:iCs/>
          <w:color w:val="000000"/>
        </w:rPr>
        <w:t>Statistical analysis</w:t>
      </w:r>
    </w:p>
    <w:p w14:paraId="01A15858" w14:textId="5397B019"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We compared characteristics of study subjects by NAFLD status using Student’s </w:t>
      </w:r>
      <w:r w:rsidRPr="00732F3B">
        <w:rPr>
          <w:rFonts w:ascii="Book Antiqua" w:eastAsia="Book Antiqua" w:hAnsi="Book Antiqua" w:cs="Book Antiqua"/>
          <w:i/>
          <w:color w:val="000000"/>
        </w:rPr>
        <w:t>t</w:t>
      </w:r>
      <w:r w:rsidRPr="00732F3B">
        <w:rPr>
          <w:rFonts w:ascii="Book Antiqua" w:eastAsia="Book Antiqua" w:hAnsi="Book Antiqua" w:cs="Book Antiqua"/>
          <w:color w:val="000000"/>
        </w:rPr>
        <w:t xml:space="preserve">-test for continuous variables and Pearson’s </w:t>
      </w:r>
      <w:r w:rsidRPr="00732F3B">
        <w:rPr>
          <w:rFonts w:ascii="Book Antiqua" w:eastAsia="Book Antiqua" w:hAnsi="Book Antiqua" w:cs="Book Antiqua"/>
          <w:i/>
          <w:color w:val="000000"/>
        </w:rPr>
        <w:t>χ</w:t>
      </w:r>
      <w:r w:rsidRPr="00732F3B">
        <w:rPr>
          <w:rFonts w:ascii="Book Antiqua" w:eastAsia="Book Antiqua" w:hAnsi="Book Antiqua" w:cs="Book Antiqua"/>
          <w:color w:val="000000"/>
        </w:rPr>
        <w:t>² or Fisher's exact test for categorical variables. Multivariable logistic regression modelling was employed to identify factors predictive of NAFLD. Results were reported as adjusted odds ratio (aOR) with 95% confidence interval (CI). Covariates were included </w:t>
      </w:r>
      <w:r w:rsidRPr="00732F3B">
        <w:rPr>
          <w:rFonts w:ascii="Book Antiqua" w:eastAsia="Book Antiqua" w:hAnsi="Book Antiqua" w:cs="Book Antiqua"/>
          <w:i/>
          <w:iCs/>
          <w:color w:val="000000"/>
        </w:rPr>
        <w:t>a priori</w:t>
      </w:r>
      <w:r w:rsidRPr="00732F3B">
        <w:rPr>
          <w:rFonts w:ascii="Book Antiqua" w:eastAsia="Book Antiqua" w:hAnsi="Book Antiqua" w:cs="Book Antiqua"/>
          <w:color w:val="000000"/>
        </w:rPr>
        <w:t> based on their clinical relevance or on their significance in univariate analysis (</w:t>
      </w:r>
      <w:r w:rsidR="008F73BE" w:rsidRPr="00732F3B">
        <w:rPr>
          <w:rFonts w:ascii="Book Antiqua" w:eastAsia="Book Antiqua" w:hAnsi="Book Antiqua" w:cs="Book Antiqua"/>
          <w:i/>
          <w:color w:val="000000"/>
        </w:rPr>
        <w:t>P</w:t>
      </w:r>
      <w:r w:rsidR="008F73BE"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&lt;</w:t>
      </w:r>
      <w:r w:rsidR="008F73BE"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 xml:space="preserve">0.10). Final models were adjusted for duration of PCOS, </w:t>
      </w:r>
      <w:r w:rsidR="00EC329A" w:rsidRPr="00732F3B">
        <w:rPr>
          <w:rFonts w:ascii="Book Antiqua" w:eastAsia="Book Antiqua" w:hAnsi="Book Antiqua" w:cs="Book Antiqua"/>
          <w:color w:val="000000"/>
        </w:rPr>
        <w:t>body mass index</w:t>
      </w:r>
      <w:r w:rsidRPr="00732F3B">
        <w:rPr>
          <w:rFonts w:ascii="Book Antiqua" w:eastAsia="Book Antiqua" w:hAnsi="Book Antiqua" w:cs="Book Antiqua"/>
          <w:color w:val="000000"/>
        </w:rPr>
        <w:t>, HOMA-IR, FAI</w:t>
      </w:r>
      <w:r w:rsidR="008F73BE"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&gt;</w:t>
      </w:r>
      <w:r w:rsidR="008F73BE"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5 and ALT</w:t>
      </w:r>
      <w:r w:rsidR="008F73BE"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&gt;</w:t>
      </w:r>
      <w:r w:rsidR="008F73BE"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 xml:space="preserve">24 IU/L. The corrected Akaike information criteria (AIC) and the Bayesian information criteria (BIC) were calculated and compared among the models to determine which one had the best goodness-of-fit measure. A lower AIC and/or BIC was indicative of a better fit. The performance of </w:t>
      </w:r>
      <w:r w:rsidR="00EC329A" w:rsidRPr="00732F3B">
        <w:rPr>
          <w:rFonts w:ascii="Book Antiqua" w:eastAsia="Book Antiqua" w:hAnsi="Book Antiqua" w:cs="Book Antiqua"/>
          <w:color w:val="000000"/>
        </w:rPr>
        <w:t>body mass index</w:t>
      </w:r>
      <w:r w:rsidRPr="00732F3B">
        <w:rPr>
          <w:rFonts w:ascii="Book Antiqua" w:eastAsia="Book Antiqua" w:hAnsi="Book Antiqua" w:cs="Book Antiqua"/>
          <w:color w:val="000000"/>
        </w:rPr>
        <w:t>, ALT and FAI to predict NAFLD was measured as area under the receiver operating characteristic curve (</w:t>
      </w:r>
      <w:bookmarkStart w:id="31" w:name="OLE_LINK2"/>
      <w:bookmarkStart w:id="32" w:name="OLE_LINK3"/>
      <w:r w:rsidRPr="00732F3B">
        <w:rPr>
          <w:rFonts w:ascii="Book Antiqua" w:eastAsia="Book Antiqua" w:hAnsi="Book Antiqua" w:cs="Book Antiqua"/>
          <w:color w:val="000000"/>
        </w:rPr>
        <w:t>AUC</w:t>
      </w:r>
      <w:bookmarkEnd w:id="31"/>
      <w:bookmarkEnd w:id="32"/>
      <w:r w:rsidRPr="00732F3B">
        <w:rPr>
          <w:rFonts w:ascii="Book Antiqua" w:eastAsia="Book Antiqua" w:hAnsi="Book Antiqua" w:cs="Book Antiqua"/>
          <w:color w:val="000000"/>
        </w:rPr>
        <w:t>). Standard errors of AUC were calculated by DeLong method. A concordance analysis between CAP and HSI was carried out using the kappa score, with results interpreted as follows: less than 0, less than chance agreement; 0.01–0.20, slight agreement; 0.21–0.40, fair agreement; 0.41–0.60, moderate agreement; 0.61–0.80, substantial agreement and 0.81–0.99, almost perfect agreement</w:t>
      </w:r>
      <w:r w:rsidRPr="00732F3B">
        <w:rPr>
          <w:rFonts w:ascii="Book Antiqua" w:eastAsia="Book Antiqua" w:hAnsi="Book Antiqua" w:cs="Book Antiqua"/>
          <w:color w:val="000000"/>
          <w:vertAlign w:val="superscript"/>
        </w:rPr>
        <w:t>[41]</w:t>
      </w:r>
      <w:r w:rsidRPr="00732F3B">
        <w:rPr>
          <w:rFonts w:ascii="Book Antiqua" w:eastAsia="Book Antiqua" w:hAnsi="Book Antiqua" w:cs="Book Antiqua"/>
          <w:color w:val="000000"/>
        </w:rPr>
        <w:t>. Pairwise correlation was employed to test</w:t>
      </w:r>
      <w:r w:rsidR="00294832" w:rsidRPr="00732F3B">
        <w:rPr>
          <w:rFonts w:ascii="Book Antiqua" w:eastAsia="Book Antiqua" w:hAnsi="Book Antiqua" w:cs="Book Antiqua"/>
          <w:color w:val="000000"/>
        </w:rPr>
        <w:t xml:space="preserve"> the</w:t>
      </w:r>
      <w:r w:rsidRPr="00732F3B">
        <w:rPr>
          <w:rFonts w:ascii="Book Antiqua" w:eastAsia="Book Antiqua" w:hAnsi="Book Antiqua" w:cs="Book Antiqua"/>
          <w:color w:val="000000"/>
        </w:rPr>
        <w:t xml:space="preserve"> association of serum fibrosis biomarkers (FIB-4, APRI and NAFLD fibrosis score) with LSM. All tests were two-tailed and with a significance level of α</w:t>
      </w:r>
      <w:r w:rsidR="00A6243C"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w:t>
      </w:r>
      <w:r w:rsidR="00A6243C"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0.05. Statistical analyses were performed using STATA 13.1 (STATA Corp. LP, College Station, T</w:t>
      </w:r>
      <w:r w:rsidR="00D76D0F" w:rsidRPr="00732F3B">
        <w:rPr>
          <w:rFonts w:ascii="Book Antiqua" w:eastAsia="Book Antiqua" w:hAnsi="Book Antiqua" w:cs="Book Antiqua"/>
          <w:color w:val="000000"/>
        </w:rPr>
        <w:t>X</w:t>
      </w:r>
      <w:r w:rsidRPr="00732F3B">
        <w:rPr>
          <w:rFonts w:ascii="Book Antiqua" w:eastAsia="Book Antiqua" w:hAnsi="Book Antiqua" w:cs="Book Antiqua"/>
          <w:color w:val="000000"/>
        </w:rPr>
        <w:t xml:space="preserve">, </w:t>
      </w:r>
      <w:r w:rsidR="00D76D0F" w:rsidRPr="00732F3B">
        <w:rPr>
          <w:rFonts w:ascii="Book Antiqua" w:eastAsia="Book Antiqua" w:hAnsi="Book Antiqua" w:cs="Book Antiqua"/>
          <w:color w:val="000000"/>
        </w:rPr>
        <w:t>United States</w:t>
      </w:r>
      <w:r w:rsidRPr="00732F3B">
        <w:rPr>
          <w:rFonts w:ascii="Book Antiqua" w:eastAsia="Book Antiqua" w:hAnsi="Book Antiqua" w:cs="Book Antiqua"/>
          <w:color w:val="000000"/>
        </w:rPr>
        <w:t>).</w:t>
      </w:r>
    </w:p>
    <w:bookmarkEnd w:id="29"/>
    <w:bookmarkEnd w:id="30"/>
    <w:p w14:paraId="25C6DA79" w14:textId="77777777" w:rsidR="00A77B3E" w:rsidRPr="00732F3B" w:rsidRDefault="00A77B3E" w:rsidP="00732F3B">
      <w:pPr>
        <w:adjustRightInd w:val="0"/>
        <w:snapToGrid w:val="0"/>
        <w:spacing w:line="360" w:lineRule="auto"/>
        <w:jc w:val="both"/>
        <w:rPr>
          <w:rFonts w:ascii="Book Antiqua" w:hAnsi="Book Antiqua"/>
        </w:rPr>
      </w:pPr>
    </w:p>
    <w:p w14:paraId="58B817C4"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aps/>
          <w:color w:val="000000"/>
          <w:u w:val="single"/>
        </w:rPr>
        <w:t>RESULTS</w:t>
      </w:r>
    </w:p>
    <w:p w14:paraId="2974AE4E" w14:textId="4FCC0C52" w:rsidR="00A77B3E" w:rsidRPr="00732F3B" w:rsidRDefault="00260EB5" w:rsidP="00732F3B">
      <w:pPr>
        <w:adjustRightInd w:val="0"/>
        <w:snapToGrid w:val="0"/>
        <w:spacing w:line="360" w:lineRule="auto"/>
        <w:jc w:val="both"/>
        <w:rPr>
          <w:rFonts w:ascii="Book Antiqua" w:hAnsi="Book Antiqua"/>
        </w:rPr>
      </w:pPr>
      <w:bookmarkStart w:id="33" w:name="OLE_LINK34"/>
      <w:bookmarkStart w:id="34" w:name="OLE_LINK35"/>
      <w:r w:rsidRPr="00732F3B">
        <w:rPr>
          <w:rFonts w:ascii="Book Antiqua" w:eastAsia="Book Antiqua" w:hAnsi="Book Antiqua" w:cs="Book Antiqua"/>
          <w:color w:val="000000"/>
        </w:rPr>
        <w:t>After applying exclusion criteria (Figure 1), 101 patients were included into the present study.</w:t>
      </w:r>
      <w:r w:rsidR="0054251B"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The XL probe was employed in 19 (18.8%) cases, while the standard M probe was used in all other patients. The failure rate of TE examination (1%) was similar to previous studies</w:t>
      </w:r>
      <w:r w:rsidRPr="00732F3B">
        <w:rPr>
          <w:rFonts w:ascii="Book Antiqua" w:eastAsia="Book Antiqua" w:hAnsi="Book Antiqua" w:cs="Book Antiqua"/>
          <w:color w:val="000000"/>
          <w:vertAlign w:val="superscript"/>
        </w:rPr>
        <w:t>[17]</w:t>
      </w:r>
      <w:r w:rsidRPr="00732F3B">
        <w:rPr>
          <w:rFonts w:ascii="Book Antiqua" w:eastAsia="Book Antiqua" w:hAnsi="Book Antiqua" w:cs="Book Antiqua"/>
          <w:color w:val="000000"/>
        </w:rPr>
        <w:t>. The characteristics of the study population are reported in Table 1. Only 2 out of 101 included patients reported any alcohol intake. Twelve (1</w:t>
      </w:r>
      <w:r w:rsidR="00FC297D" w:rsidRPr="00732F3B">
        <w:rPr>
          <w:rFonts w:ascii="Book Antiqua" w:eastAsia="Book Antiqua" w:hAnsi="Book Antiqua" w:cs="Book Antiqua"/>
          <w:color w:val="000000"/>
        </w:rPr>
        <w:t>1.9%) patients were overweight [Body mass index (</w:t>
      </w:r>
      <w:r w:rsidRPr="00732F3B">
        <w:rPr>
          <w:rFonts w:ascii="Book Antiqua" w:eastAsia="Book Antiqua" w:hAnsi="Book Antiqua" w:cs="Book Antiqua"/>
          <w:color w:val="000000"/>
        </w:rPr>
        <w:t>BMI</w:t>
      </w:r>
      <w:r w:rsidR="00FC297D" w:rsidRPr="00732F3B">
        <w:rPr>
          <w:rFonts w:ascii="Book Antiqua" w:eastAsia="Book Antiqua" w:hAnsi="Book Antiqua" w:cs="Book Antiqua"/>
          <w:color w:val="000000"/>
        </w:rPr>
        <w:t>)</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23–25 kg/m</w:t>
      </w:r>
      <w:r w:rsidRPr="00732F3B">
        <w:rPr>
          <w:rFonts w:ascii="Book Antiqua" w:eastAsia="Book Antiqua" w:hAnsi="Book Antiqua" w:cs="Book Antiqua"/>
          <w:color w:val="000000"/>
          <w:vertAlign w:val="superscript"/>
        </w:rPr>
        <w:t>2</w:t>
      </w:r>
      <w:r w:rsidR="00FC297D"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and 72 (71.3%) were obese (BMI</w:t>
      </w:r>
      <w:r w:rsidR="00A6243C"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&gt;</w:t>
      </w:r>
      <w:r w:rsidR="00A6243C"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25 kg/m</w:t>
      </w:r>
      <w:r w:rsidRPr="00732F3B">
        <w:rPr>
          <w:rFonts w:ascii="Book Antiqua" w:eastAsia="Book Antiqua" w:hAnsi="Book Antiqua" w:cs="Book Antiqua"/>
          <w:color w:val="000000"/>
          <w:vertAlign w:val="superscript"/>
        </w:rPr>
        <w:t>2</w:t>
      </w:r>
      <w:r w:rsidRPr="00732F3B">
        <w:rPr>
          <w:rFonts w:ascii="Book Antiqua" w:eastAsia="Book Antiqua" w:hAnsi="Book Antiqua" w:cs="Book Antiqua"/>
          <w:color w:val="000000"/>
        </w:rPr>
        <w:t>). Central obesity was present in 97 (96%) cases. Elevated ALT was observed in 23 (22.8%) patients.</w:t>
      </w:r>
    </w:p>
    <w:p w14:paraId="7C4FBE4C" w14:textId="77777777" w:rsidR="00A77B3E" w:rsidRPr="00732F3B" w:rsidRDefault="00A77B3E" w:rsidP="00732F3B">
      <w:pPr>
        <w:adjustRightInd w:val="0"/>
        <w:snapToGrid w:val="0"/>
        <w:spacing w:line="360" w:lineRule="auto"/>
        <w:jc w:val="both"/>
        <w:rPr>
          <w:rFonts w:ascii="Book Antiqua" w:hAnsi="Book Antiqua"/>
        </w:rPr>
      </w:pPr>
    </w:p>
    <w:p w14:paraId="1A447341" w14:textId="77777777" w:rsidR="00A77B3E" w:rsidRPr="00732F3B" w:rsidRDefault="00260EB5" w:rsidP="00732F3B">
      <w:pPr>
        <w:adjustRightInd w:val="0"/>
        <w:snapToGrid w:val="0"/>
        <w:spacing w:line="360" w:lineRule="auto"/>
        <w:jc w:val="both"/>
        <w:rPr>
          <w:rFonts w:ascii="Book Antiqua" w:hAnsi="Book Antiqua"/>
          <w:b/>
          <w:bCs/>
        </w:rPr>
      </w:pPr>
      <w:r w:rsidRPr="00732F3B">
        <w:rPr>
          <w:rFonts w:ascii="Book Antiqua" w:eastAsia="Book Antiqua" w:hAnsi="Book Antiqua" w:cs="Book Antiqua"/>
          <w:b/>
          <w:bCs/>
          <w:i/>
          <w:iCs/>
          <w:color w:val="000000"/>
        </w:rPr>
        <w:t>Prevalence of NAFLD and significant liver fibrosis</w:t>
      </w:r>
    </w:p>
    <w:p w14:paraId="4F065203" w14:textId="4148AC4C"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The mean CAP value in the study population was 266.9 dB/m (standard deviation 63.0). In our validation group of 125 female patients with chronic HBV aged &lt;</w:t>
      </w:r>
      <w:r w:rsidR="00A6243C"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 xml:space="preserve">50 years, we found a much lower mean CAP value of 214 dB/m (standard deviation 55.5). Prevalence of NAFLD was 39.6% in the study population of PCOS women, </w:t>
      </w:r>
      <w:r w:rsidR="00B4432F" w:rsidRPr="00732F3B">
        <w:rPr>
          <w:rFonts w:ascii="Book Antiqua" w:eastAsia="Book Antiqua" w:hAnsi="Book Antiqua" w:cs="Book Antiqua"/>
          <w:color w:val="000000"/>
        </w:rPr>
        <w:t>compared to</w:t>
      </w:r>
      <w:r w:rsidRPr="00732F3B">
        <w:rPr>
          <w:rFonts w:ascii="Book Antiqua" w:eastAsia="Book Antiqua" w:hAnsi="Book Antiqua" w:cs="Book Antiqua"/>
          <w:color w:val="000000"/>
        </w:rPr>
        <w:t xml:space="preserve"> only 8% in the validation group of female patients with chronic HBV. By employing the cut-off of 302 dB/m, the prevalence of NAFLD in PCOS women was 29.7%. Table 1 depicts the characteristics of patients with and without NAFLD, with relative univariate analysis. All patients with NAFLD were metabolically abnormal (Figure 2). By HSI, prevalence of NAFLD was 39.6%. The number of observed agreements between HSI and CAP was 66 (65.3%) for the 288 dB/m and 60 (59.4%) for the 302 dB/m cut-off, respectively. The kappa-value was 0.34 (standard error: 0.08; 95%CI</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0.17-0.50) and 0.25 (standard error: 0.08; </w:t>
      </w:r>
      <w:r w:rsidR="00D76D0F" w:rsidRPr="00732F3B">
        <w:rPr>
          <w:rFonts w:ascii="Book Antiqua" w:eastAsia="Book Antiqua" w:hAnsi="Book Antiqua" w:cs="Book Antiqua"/>
          <w:color w:val="000000"/>
        </w:rPr>
        <w:t>95%</w:t>
      </w:r>
      <w:r w:rsidR="00885F82" w:rsidRPr="00732F3B">
        <w:rPr>
          <w:rFonts w:ascii="Book Antiqua" w:eastAsia="Book Antiqua" w:hAnsi="Book Antiqua" w:cs="Book Antiqua"/>
          <w:color w:val="000000"/>
        </w:rPr>
        <w:t>CI</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0.10–0.40), compatible with a </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fair</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strength of agreement. Prevalence of significant liver fibrosis in the cohort was 6.9%. In patients with NAFLD, the prevalence of significant liver fibrosis was 15%, compared to only 1.6% among those without NAFLD. Table 2 depicts the main characteristics of patients with significant liver fibrosis. The prevalence of NAFLD and significant liver fibrosis was higher in obese patients compared to those overweight or lean (Figure 3</w:t>
      </w:r>
      <w:r w:rsidR="00885F82" w:rsidRPr="00732F3B">
        <w:rPr>
          <w:rFonts w:ascii="Book Antiqua" w:eastAsia="Book Antiqua" w:hAnsi="Book Antiqua" w:cs="Book Antiqua"/>
          <w:color w:val="000000"/>
        </w:rPr>
        <w:t>A</w:t>
      </w:r>
      <w:r w:rsidRPr="00732F3B">
        <w:rPr>
          <w:rFonts w:ascii="Book Antiqua" w:eastAsia="Book Antiqua" w:hAnsi="Book Antiqua" w:cs="Book Antiqua"/>
          <w:color w:val="000000"/>
        </w:rPr>
        <w:t>). As showed in Figure 3</w:t>
      </w:r>
      <w:r w:rsidR="00D76D0F" w:rsidRPr="00732F3B">
        <w:rPr>
          <w:rFonts w:ascii="Book Antiqua" w:eastAsia="Book Antiqua" w:hAnsi="Book Antiqua" w:cs="Book Antiqua"/>
          <w:color w:val="000000"/>
        </w:rPr>
        <w:t>B</w:t>
      </w:r>
      <w:r w:rsidRPr="00732F3B">
        <w:rPr>
          <w:rFonts w:ascii="Book Antiqua" w:eastAsia="Book Antiqua" w:hAnsi="Book Antiqua" w:cs="Book Antiqua"/>
          <w:color w:val="000000"/>
        </w:rPr>
        <w:t>, the prevalence of NAFLD was significantly higher in patients with hyperandrogenism (</w:t>
      </w:r>
      <w:r w:rsidRPr="00732F3B">
        <w:rPr>
          <w:rFonts w:ascii="Book Antiqua" w:eastAsia="Book Antiqua" w:hAnsi="Book Antiqua" w:cs="Book Antiqua"/>
          <w:i/>
          <w:iCs/>
          <w:color w:val="000000"/>
        </w:rPr>
        <w:t>P</w:t>
      </w:r>
      <w:r w:rsidRPr="00732F3B">
        <w:rPr>
          <w:rFonts w:ascii="Book Antiqua" w:eastAsia="Book Antiqua" w:hAnsi="Book Antiqua" w:cs="Book Antiqua"/>
          <w:color w:val="000000"/>
        </w:rPr>
        <w:t xml:space="preserve"> = 0.007), insulin resistance (</w:t>
      </w:r>
      <w:r w:rsidR="00885F82" w:rsidRPr="00732F3B">
        <w:rPr>
          <w:rFonts w:ascii="Book Antiqua" w:eastAsia="Book Antiqua" w:hAnsi="Book Antiqua" w:cs="Book Antiqua"/>
          <w:i/>
          <w:iCs/>
          <w:color w:val="000000"/>
        </w:rPr>
        <w:t xml:space="preserve">P </w:t>
      </w:r>
      <w:r w:rsidRPr="00732F3B">
        <w:rPr>
          <w:rFonts w:ascii="Book Antiqua" w:eastAsia="Book Antiqua" w:hAnsi="Book Antiqua" w:cs="Book Antiqua"/>
          <w:color w:val="000000"/>
        </w:rPr>
        <w:t>&lt;</w:t>
      </w:r>
      <w:r w:rsidR="00885F82"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0.001) and elevated ALT (</w:t>
      </w:r>
      <w:r w:rsidRPr="00732F3B">
        <w:rPr>
          <w:rFonts w:ascii="Book Antiqua" w:eastAsia="Book Antiqua" w:hAnsi="Book Antiqua" w:cs="Book Antiqua"/>
          <w:i/>
          <w:iCs/>
          <w:color w:val="000000"/>
        </w:rPr>
        <w:t>P</w:t>
      </w:r>
      <w:r w:rsidRPr="00732F3B">
        <w:rPr>
          <w:rFonts w:ascii="Book Antiqua" w:eastAsia="Book Antiqua" w:hAnsi="Book Antiqua" w:cs="Book Antiqua"/>
          <w:color w:val="000000"/>
        </w:rPr>
        <w:t xml:space="preserve"> = 0.001).</w:t>
      </w:r>
      <w:r w:rsidR="0054251B"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Given the known association between false positive results of LSM and elevated ALT, we conducted a sensitivity analysis by excluding patients with elevated ALT</w:t>
      </w:r>
      <w:r w:rsidRPr="00732F3B">
        <w:rPr>
          <w:rFonts w:ascii="Book Antiqua" w:eastAsia="Book Antiqua" w:hAnsi="Book Antiqua" w:cs="Book Antiqua"/>
          <w:color w:val="000000"/>
          <w:vertAlign w:val="superscript"/>
        </w:rPr>
        <w:t>[42]</w:t>
      </w:r>
      <w:r w:rsidRPr="00732F3B">
        <w:rPr>
          <w:rFonts w:ascii="Book Antiqua" w:eastAsia="Book Antiqua" w:hAnsi="Book Antiqua" w:cs="Book Antiqua"/>
          <w:color w:val="000000"/>
        </w:rPr>
        <w:t>. First, no patient had ALT &gt;</w:t>
      </w:r>
      <w:r w:rsidR="00885F82"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10 times the ULN. Second, among the 9 patients with ALT &gt;</w:t>
      </w:r>
      <w:r w:rsidR="00885F82"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2 times the ULN, 3 had significant liver fibrosis. If we would exclude these patients from the analysis, the prevalence of significant liver fibrosis would be 4.3%. Among the serum fibrosis biomarkers, APRI was the only one showing a significant correlation with LSM (Figure 4).</w:t>
      </w:r>
    </w:p>
    <w:p w14:paraId="40852F48" w14:textId="77777777" w:rsidR="00A77B3E" w:rsidRPr="00732F3B" w:rsidRDefault="00A77B3E" w:rsidP="00732F3B">
      <w:pPr>
        <w:adjustRightInd w:val="0"/>
        <w:snapToGrid w:val="0"/>
        <w:spacing w:line="360" w:lineRule="auto"/>
        <w:jc w:val="both"/>
        <w:rPr>
          <w:rFonts w:ascii="Book Antiqua" w:hAnsi="Book Antiqua"/>
        </w:rPr>
      </w:pPr>
    </w:p>
    <w:p w14:paraId="5073B01A" w14:textId="77777777" w:rsidR="00A77B3E" w:rsidRPr="00732F3B" w:rsidRDefault="00260EB5" w:rsidP="00732F3B">
      <w:pPr>
        <w:adjustRightInd w:val="0"/>
        <w:snapToGrid w:val="0"/>
        <w:spacing w:line="360" w:lineRule="auto"/>
        <w:jc w:val="both"/>
        <w:rPr>
          <w:rFonts w:ascii="Book Antiqua" w:hAnsi="Book Antiqua"/>
          <w:b/>
          <w:bCs/>
        </w:rPr>
      </w:pPr>
      <w:r w:rsidRPr="00732F3B">
        <w:rPr>
          <w:rFonts w:ascii="Book Antiqua" w:eastAsia="Book Antiqua" w:hAnsi="Book Antiqua" w:cs="Book Antiqua"/>
          <w:b/>
          <w:bCs/>
          <w:i/>
          <w:iCs/>
          <w:color w:val="000000"/>
        </w:rPr>
        <w:t>Predictors of NAFLD by multivariate analysis</w:t>
      </w:r>
    </w:p>
    <w:p w14:paraId="0137B236" w14:textId="485E89F3"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Table 3 illustrates the multivariate analyses for predictors of NAFLD by CAP cut-offs of 288 and 302 dB/m. After adjustments, independent predictors of NAFLD were higher BMI (</w:t>
      </w:r>
      <w:r w:rsidR="008C06A5" w:rsidRPr="00732F3B">
        <w:rPr>
          <w:rFonts w:ascii="Book Antiqua" w:eastAsia="Book Antiqua" w:hAnsi="Book Antiqua" w:cs="Book Antiqua"/>
          <w:color w:val="000000"/>
        </w:rPr>
        <w:t>aOR</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1.30, </w:t>
      </w:r>
      <w:r w:rsidR="00D76D0F" w:rsidRPr="00732F3B">
        <w:rPr>
          <w:rFonts w:ascii="Book Antiqua" w:eastAsia="Book Antiqua" w:hAnsi="Book Antiqua" w:cs="Book Antiqua"/>
          <w:color w:val="000000"/>
        </w:rPr>
        <w:t>95%</w:t>
      </w:r>
      <w:r w:rsidR="00885F82" w:rsidRPr="00732F3B">
        <w:rPr>
          <w:rFonts w:ascii="Book Antiqua" w:eastAsia="Book Antiqua" w:hAnsi="Book Antiqua" w:cs="Book Antiqua"/>
          <w:color w:val="000000"/>
        </w:rPr>
        <w:t>CI</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1.13-1.52; </w:t>
      </w:r>
      <w:r w:rsidR="00885F82" w:rsidRPr="00732F3B">
        <w:rPr>
          <w:rFonts w:ascii="Book Antiqua" w:eastAsia="Book Antiqua" w:hAnsi="Book Antiqua" w:cs="Book Antiqua"/>
          <w:i/>
          <w:iCs/>
          <w:color w:val="000000"/>
        </w:rPr>
        <w:t>P</w:t>
      </w:r>
      <w:r w:rsidR="00885F82"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&lt;</w:t>
      </w:r>
      <w:r w:rsidR="00885F82"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0.001), hyperandrogenism (aOR</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5.32, </w:t>
      </w:r>
      <w:r w:rsidR="00D76D0F" w:rsidRPr="00732F3B">
        <w:rPr>
          <w:rFonts w:ascii="Book Antiqua" w:eastAsia="Book Antiqua" w:hAnsi="Book Antiqua" w:cs="Book Antiqua"/>
          <w:color w:val="000000"/>
        </w:rPr>
        <w:t>95%</w:t>
      </w:r>
      <w:r w:rsidR="00885F82" w:rsidRPr="00732F3B">
        <w:rPr>
          <w:rFonts w:ascii="Book Antiqua" w:eastAsia="Book Antiqua" w:hAnsi="Book Antiqua" w:cs="Book Antiqua"/>
          <w:color w:val="000000"/>
        </w:rPr>
        <w:t>CI</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1.56-18.17; </w:t>
      </w:r>
      <w:r w:rsidRPr="00732F3B">
        <w:rPr>
          <w:rFonts w:ascii="Book Antiqua" w:eastAsia="Book Antiqua" w:hAnsi="Book Antiqua" w:cs="Book Antiqua"/>
          <w:i/>
          <w:iCs/>
          <w:color w:val="000000"/>
        </w:rPr>
        <w:t>P</w:t>
      </w:r>
      <w:r w:rsidRPr="00732F3B">
        <w:rPr>
          <w:rFonts w:ascii="Book Antiqua" w:eastAsia="Book Antiqua" w:hAnsi="Book Antiqua" w:cs="Book Antiqua"/>
          <w:color w:val="000000"/>
        </w:rPr>
        <w:t xml:space="preserve"> = 0.008) and elevated ALT (aOR</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3.54, </w:t>
      </w:r>
      <w:r w:rsidR="00D76D0F" w:rsidRPr="00732F3B">
        <w:rPr>
          <w:rFonts w:ascii="Book Antiqua" w:eastAsia="Book Antiqua" w:hAnsi="Book Antiqua" w:cs="Book Antiqua"/>
          <w:color w:val="000000"/>
        </w:rPr>
        <w:t>95%</w:t>
      </w:r>
      <w:r w:rsidR="00885F82" w:rsidRPr="00732F3B">
        <w:rPr>
          <w:rFonts w:ascii="Book Antiqua" w:eastAsia="Book Antiqua" w:hAnsi="Book Antiqua" w:cs="Book Antiqua"/>
          <w:color w:val="000000"/>
        </w:rPr>
        <w:t>CI</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1.10-11.47; </w:t>
      </w:r>
      <w:r w:rsidRPr="00732F3B">
        <w:rPr>
          <w:rFonts w:ascii="Book Antiqua" w:eastAsia="Book Antiqua" w:hAnsi="Book Antiqua" w:cs="Book Antiqua"/>
          <w:i/>
          <w:iCs/>
          <w:color w:val="000000"/>
        </w:rPr>
        <w:t>P</w:t>
      </w:r>
      <w:r w:rsidRPr="00732F3B">
        <w:rPr>
          <w:rFonts w:ascii="Book Antiqua" w:eastAsia="Book Antiqua" w:hAnsi="Book Antiqua" w:cs="Book Antiqua"/>
          <w:color w:val="000000"/>
        </w:rPr>
        <w:t xml:space="preserve"> = 0.035). When the cut-off of 302 dB/m was applied, higher BMI (aOR</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1.33, </w:t>
      </w:r>
      <w:r w:rsidR="00D76D0F" w:rsidRPr="00732F3B">
        <w:rPr>
          <w:rFonts w:ascii="Book Antiqua" w:eastAsia="Book Antiqua" w:hAnsi="Book Antiqua" w:cs="Book Antiqua"/>
          <w:color w:val="000000"/>
        </w:rPr>
        <w:t>95%</w:t>
      </w:r>
      <w:r w:rsidR="00885F82" w:rsidRPr="00732F3B">
        <w:rPr>
          <w:rFonts w:ascii="Book Antiqua" w:eastAsia="Book Antiqua" w:hAnsi="Book Antiqua" w:cs="Book Antiqua"/>
          <w:color w:val="000000"/>
        </w:rPr>
        <w:t>CI</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1.14-1.55; </w:t>
      </w:r>
      <w:r w:rsidR="00885F82" w:rsidRPr="00732F3B">
        <w:rPr>
          <w:rFonts w:ascii="Book Antiqua" w:eastAsia="Book Antiqua" w:hAnsi="Book Antiqua" w:cs="Book Antiqua"/>
          <w:i/>
          <w:iCs/>
          <w:color w:val="000000"/>
        </w:rPr>
        <w:t>P</w:t>
      </w:r>
      <w:r w:rsidR="00885F82"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&lt;</w:t>
      </w:r>
      <w:r w:rsidR="00885F82"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0.001) and hyperandrogenism (aOR</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3.54, </w:t>
      </w:r>
      <w:r w:rsidR="00D76D0F" w:rsidRPr="00732F3B">
        <w:rPr>
          <w:rFonts w:ascii="Book Antiqua" w:eastAsia="Book Antiqua" w:hAnsi="Book Antiqua" w:cs="Book Antiqua"/>
          <w:color w:val="000000"/>
        </w:rPr>
        <w:t>95%</w:t>
      </w:r>
      <w:r w:rsidR="00885F82" w:rsidRPr="00732F3B">
        <w:rPr>
          <w:rFonts w:ascii="Book Antiqua" w:eastAsia="Book Antiqua" w:hAnsi="Book Antiqua" w:cs="Book Antiqua"/>
          <w:color w:val="000000"/>
        </w:rPr>
        <w:t>CI</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1.00-12.57; </w:t>
      </w:r>
      <w:r w:rsidRPr="00732F3B">
        <w:rPr>
          <w:rFonts w:ascii="Book Antiqua" w:eastAsia="Book Antiqua" w:hAnsi="Book Antiqua" w:cs="Book Antiqua"/>
          <w:i/>
          <w:iCs/>
          <w:color w:val="000000"/>
        </w:rPr>
        <w:t>P</w:t>
      </w:r>
      <w:r w:rsidRPr="00732F3B">
        <w:rPr>
          <w:rFonts w:ascii="Book Antiqua" w:eastAsia="Book Antiqua" w:hAnsi="Book Antiqua" w:cs="Book Antiqua"/>
          <w:color w:val="000000"/>
        </w:rPr>
        <w:t xml:space="preserve"> = 0.049) were independently associated with NAFLD. These models had lower AIC and BIC values than others, hence providing support for their use. The performance of BMI, FAI and ALT to predict NAFLD is reported in Figure 5. There was no difference in performance among the three predictors: AUC was 0.808 (standard error: 0.045; </w:t>
      </w:r>
      <w:r w:rsidR="00D76D0F" w:rsidRPr="00732F3B">
        <w:rPr>
          <w:rFonts w:ascii="Book Antiqua" w:eastAsia="Book Antiqua" w:hAnsi="Book Antiqua" w:cs="Book Antiqua"/>
          <w:color w:val="000000"/>
        </w:rPr>
        <w:t>95%</w:t>
      </w:r>
      <w:r w:rsidR="00885F82" w:rsidRPr="00732F3B">
        <w:rPr>
          <w:rFonts w:ascii="Book Antiqua" w:eastAsia="Book Antiqua" w:hAnsi="Book Antiqua" w:cs="Book Antiqua"/>
          <w:color w:val="000000"/>
        </w:rPr>
        <w:t>CI</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0.719-0.897) for BMI, 0.761 (standard error: 0.049; </w:t>
      </w:r>
      <w:r w:rsidR="00D76D0F" w:rsidRPr="00732F3B">
        <w:rPr>
          <w:rFonts w:ascii="Book Antiqua" w:eastAsia="Book Antiqua" w:hAnsi="Book Antiqua" w:cs="Book Antiqua"/>
          <w:color w:val="000000"/>
        </w:rPr>
        <w:t>95%</w:t>
      </w:r>
      <w:r w:rsidR="00885F82" w:rsidRPr="00732F3B">
        <w:rPr>
          <w:rFonts w:ascii="Book Antiqua" w:eastAsia="Book Antiqua" w:hAnsi="Book Antiqua" w:cs="Book Antiqua"/>
          <w:color w:val="000000"/>
        </w:rPr>
        <w:t>CI</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0.665-0.858) for FAI, and 0.722 (standard error: 0.054; </w:t>
      </w:r>
      <w:r w:rsidR="00D76D0F" w:rsidRPr="00732F3B">
        <w:rPr>
          <w:rFonts w:ascii="Book Antiqua" w:eastAsia="Book Antiqua" w:hAnsi="Book Antiqua" w:cs="Book Antiqua"/>
          <w:color w:val="000000"/>
        </w:rPr>
        <w:t>95%</w:t>
      </w:r>
      <w:r w:rsidR="00885F82" w:rsidRPr="00732F3B">
        <w:rPr>
          <w:rFonts w:ascii="Book Antiqua" w:eastAsia="Book Antiqua" w:hAnsi="Book Antiqua" w:cs="Book Antiqua"/>
          <w:color w:val="000000"/>
        </w:rPr>
        <w:t>CI</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0.615-0.828) for ALT.</w:t>
      </w:r>
    </w:p>
    <w:p w14:paraId="50BC7026" w14:textId="77777777" w:rsidR="00A77B3E" w:rsidRPr="00732F3B" w:rsidRDefault="00A77B3E" w:rsidP="00732F3B">
      <w:pPr>
        <w:adjustRightInd w:val="0"/>
        <w:snapToGrid w:val="0"/>
        <w:spacing w:line="360" w:lineRule="auto"/>
        <w:jc w:val="both"/>
        <w:rPr>
          <w:rFonts w:ascii="Book Antiqua" w:hAnsi="Book Antiqua"/>
        </w:rPr>
      </w:pPr>
    </w:p>
    <w:p w14:paraId="682733ED" w14:textId="77777777" w:rsidR="00A77B3E" w:rsidRPr="00732F3B" w:rsidRDefault="00260EB5" w:rsidP="00732F3B">
      <w:pPr>
        <w:adjustRightInd w:val="0"/>
        <w:snapToGrid w:val="0"/>
        <w:spacing w:line="360" w:lineRule="auto"/>
        <w:jc w:val="both"/>
        <w:rPr>
          <w:rFonts w:ascii="Book Antiqua" w:hAnsi="Book Antiqua"/>
          <w:b/>
          <w:bCs/>
        </w:rPr>
      </w:pPr>
      <w:r w:rsidRPr="00732F3B">
        <w:rPr>
          <w:rFonts w:ascii="Book Antiqua" w:eastAsia="Book Antiqua" w:hAnsi="Book Antiqua" w:cs="Book Antiqua"/>
          <w:b/>
          <w:bCs/>
          <w:i/>
          <w:iCs/>
          <w:color w:val="000000"/>
        </w:rPr>
        <w:t>Cardiovascular risk and other extra-hepatic complications</w:t>
      </w:r>
    </w:p>
    <w:p w14:paraId="42FFF366" w14:textId="266BBD1C"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The </w:t>
      </w:r>
      <w:r w:rsidR="00056E5B" w:rsidRPr="00732F3B">
        <w:rPr>
          <w:rFonts w:ascii="Book Antiqua" w:eastAsia="Book Antiqua" w:hAnsi="Book Antiqua" w:cs="Book Antiqua"/>
          <w:color w:val="000000"/>
          <w:shd w:val="clear" w:color="auto" w:fill="FFFFFF"/>
        </w:rPr>
        <w:t>atherosclerotic cardiovascular</w:t>
      </w:r>
      <w:r w:rsidR="00056E5B"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 xml:space="preserve">risk was higher in patients with NAFLD (Table 1). Only 12.5% of patients with NAFLD were on statin treatment. There was no difference in </w:t>
      </w:r>
      <w:r w:rsidR="00E6484D" w:rsidRPr="00732F3B">
        <w:rPr>
          <w:rFonts w:ascii="Book Antiqua" w:eastAsia="Book Antiqua" w:hAnsi="Book Antiqua" w:cs="Book Antiqua"/>
          <w:color w:val="000000"/>
        </w:rPr>
        <w:t xml:space="preserve">the </w:t>
      </w:r>
      <w:r w:rsidRPr="00732F3B">
        <w:rPr>
          <w:rFonts w:ascii="Book Antiqua" w:eastAsia="Book Antiqua" w:hAnsi="Book Antiqua" w:cs="Book Antiqua"/>
          <w:color w:val="000000"/>
        </w:rPr>
        <w:t>prevalence of hypothyroidism among patients with NAFLD (25.0%) and those without NAFLD (31.1%). There was one case of sleep apnea (1.6%) and one case of CKD (1.6%) among patients with NAFLD.</w:t>
      </w:r>
    </w:p>
    <w:bookmarkEnd w:id="33"/>
    <w:bookmarkEnd w:id="34"/>
    <w:p w14:paraId="702963E6" w14:textId="77777777" w:rsidR="00A77B3E" w:rsidRPr="00732F3B" w:rsidRDefault="00A77B3E" w:rsidP="00732F3B">
      <w:pPr>
        <w:adjustRightInd w:val="0"/>
        <w:snapToGrid w:val="0"/>
        <w:spacing w:line="360" w:lineRule="auto"/>
        <w:jc w:val="both"/>
        <w:rPr>
          <w:rFonts w:ascii="Book Antiqua" w:hAnsi="Book Antiqua"/>
        </w:rPr>
      </w:pPr>
    </w:p>
    <w:p w14:paraId="7EEA5235"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aps/>
          <w:color w:val="000000"/>
          <w:u w:val="single"/>
        </w:rPr>
        <w:t>DISCUSSION</w:t>
      </w:r>
    </w:p>
    <w:p w14:paraId="436963F4" w14:textId="6DDF1182" w:rsidR="00F939A2" w:rsidRPr="00732F3B" w:rsidRDefault="00260EB5" w:rsidP="00732F3B">
      <w:pPr>
        <w:adjustRightInd w:val="0"/>
        <w:snapToGrid w:val="0"/>
        <w:spacing w:line="360" w:lineRule="auto"/>
        <w:jc w:val="both"/>
        <w:rPr>
          <w:rFonts w:ascii="Book Antiqua" w:hAnsi="Book Antiqua"/>
        </w:rPr>
      </w:pPr>
      <w:bookmarkStart w:id="35" w:name="OLE_LINK36"/>
      <w:bookmarkStart w:id="36" w:name="OLE_LINK37"/>
      <w:r w:rsidRPr="00732F3B">
        <w:rPr>
          <w:rFonts w:ascii="Book Antiqua" w:eastAsia="Book Antiqua" w:hAnsi="Book Antiqua" w:cs="Book Antiqua"/>
          <w:color w:val="000000"/>
        </w:rPr>
        <w:t>This study, performed in a cohort of consecutive South Asian women with PCOS undergoing a routine screening program for liver disease, showed that NAFLD is a frequent comorbidity. To our knowledge, this is the first study to adopt TE with CAP to investigate NAFLD in PCOS women. TE with CAP is already commonly used in other at</w:t>
      </w:r>
      <w:r w:rsidR="00EB7F70" w:rsidRPr="00732F3B">
        <w:rPr>
          <w:rFonts w:ascii="Book Antiqua" w:eastAsia="Book Antiqua" w:hAnsi="Book Antiqua" w:cs="Book Antiqua"/>
          <w:color w:val="000000"/>
        </w:rPr>
        <w:t>-</w:t>
      </w:r>
      <w:r w:rsidRPr="00732F3B">
        <w:rPr>
          <w:rFonts w:ascii="Book Antiqua" w:eastAsia="Book Antiqua" w:hAnsi="Book Antiqua" w:cs="Book Antiqua"/>
          <w:color w:val="000000"/>
        </w:rPr>
        <w:t>risk populations</w:t>
      </w:r>
      <w:r w:rsidRPr="00732F3B">
        <w:rPr>
          <w:rFonts w:ascii="Book Antiqua" w:eastAsia="Book Antiqua" w:hAnsi="Book Antiqua" w:cs="Book Antiqua"/>
          <w:color w:val="000000"/>
          <w:vertAlign w:val="superscript"/>
        </w:rPr>
        <w:t>[43-45]</w:t>
      </w:r>
      <w:r w:rsidRPr="00732F3B">
        <w:rPr>
          <w:rFonts w:ascii="Book Antiqua" w:eastAsia="Book Antiqua" w:hAnsi="Book Antiqua" w:cs="Book Antiqua"/>
          <w:color w:val="000000"/>
        </w:rPr>
        <w:t>. We also showed that, despite their young age, women with PCOS and NAFLD could have significant liver fibrosis, possibly indicating the coexistence of</w:t>
      </w:r>
      <w:r w:rsidR="00F939A2"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NASH, the progressive counterpart of NAFLD. Finally, PCOS patients with NAFLD had higher cardiovascular risk score, which should be taken into account for overall risk stratification.</w:t>
      </w:r>
    </w:p>
    <w:p w14:paraId="4D2B4BDD" w14:textId="4F889D4A" w:rsidR="00A77B3E" w:rsidRPr="00732F3B" w:rsidRDefault="00260EB5" w:rsidP="00732F3B">
      <w:pPr>
        <w:adjustRightInd w:val="0"/>
        <w:snapToGrid w:val="0"/>
        <w:spacing w:line="360" w:lineRule="auto"/>
        <w:ind w:firstLineChars="100" w:firstLine="240"/>
        <w:jc w:val="both"/>
        <w:rPr>
          <w:rFonts w:ascii="Book Antiqua" w:hAnsi="Book Antiqua"/>
        </w:rPr>
      </w:pPr>
      <w:r w:rsidRPr="00732F3B">
        <w:rPr>
          <w:rFonts w:ascii="Book Antiqua" w:eastAsia="Book Antiqua" w:hAnsi="Book Antiqua" w:cs="Book Antiqua"/>
          <w:color w:val="000000"/>
        </w:rPr>
        <w:t>NAFLD affects one quarter of the general population globally</w:t>
      </w:r>
      <w:r w:rsidRPr="00732F3B">
        <w:rPr>
          <w:rFonts w:ascii="Book Antiqua" w:eastAsia="Book Antiqua" w:hAnsi="Book Antiqua" w:cs="Book Antiqua"/>
          <w:color w:val="000000"/>
          <w:vertAlign w:val="superscript"/>
        </w:rPr>
        <w:t>[1,2]</w:t>
      </w:r>
      <w:r w:rsidRPr="00732F3B">
        <w:rPr>
          <w:rFonts w:ascii="Book Antiqua" w:eastAsia="Book Antiqua" w:hAnsi="Book Antiqua" w:cs="Book Antiqua"/>
          <w:color w:val="000000"/>
        </w:rPr>
        <w:t>.</w:t>
      </w:r>
      <w:r w:rsidR="0054251B"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NASH is now the second indication for liver transplantation in North America, predicted to become the leading indication within the next 10 years</w:t>
      </w:r>
      <w:r w:rsidRPr="00732F3B">
        <w:rPr>
          <w:rFonts w:ascii="Book Antiqua" w:eastAsia="Book Antiqua" w:hAnsi="Book Antiqua" w:cs="Book Antiqua"/>
          <w:color w:val="000000"/>
          <w:vertAlign w:val="superscript"/>
        </w:rPr>
        <w:t>[46]</w:t>
      </w:r>
      <w:r w:rsidRPr="00732F3B">
        <w:rPr>
          <w:rFonts w:ascii="Book Antiqua" w:eastAsia="Book Antiqua" w:hAnsi="Book Antiqua" w:cs="Book Antiqua"/>
          <w:color w:val="000000"/>
        </w:rPr>
        <w:t>. This will soon impact on the physiognomy of liver transplant waiting lists and on organ supply</w:t>
      </w:r>
      <w:r w:rsidRPr="00732F3B">
        <w:rPr>
          <w:rFonts w:ascii="Book Antiqua" w:eastAsia="Book Antiqua" w:hAnsi="Book Antiqua" w:cs="Book Antiqua"/>
          <w:color w:val="000000"/>
          <w:vertAlign w:val="superscript"/>
        </w:rPr>
        <w:t>[47]</w:t>
      </w:r>
      <w:r w:rsidRPr="00732F3B">
        <w:rPr>
          <w:rFonts w:ascii="Book Antiqua" w:eastAsia="Book Antiqua" w:hAnsi="Book Antiqua" w:cs="Book Antiqua"/>
          <w:color w:val="000000"/>
        </w:rPr>
        <w:t>. As such, there is an urgent need for diagnostic and treatment strategies. The prevalence of NAFLD increases in populations at risk, including those with type 2 diabetes and obesity</w:t>
      </w:r>
      <w:r w:rsidRPr="00732F3B">
        <w:rPr>
          <w:rFonts w:ascii="Book Antiqua" w:eastAsia="Book Antiqua" w:hAnsi="Book Antiqua" w:cs="Book Antiqua"/>
          <w:color w:val="000000"/>
          <w:vertAlign w:val="superscript"/>
        </w:rPr>
        <w:t>[2]</w:t>
      </w:r>
      <w:r w:rsidRPr="00732F3B">
        <w:rPr>
          <w:rFonts w:ascii="Book Antiqua" w:eastAsia="Book Antiqua" w:hAnsi="Book Antiqua" w:cs="Book Antiqua"/>
          <w:color w:val="000000"/>
        </w:rPr>
        <w:t>. NAFLD is often a clinically silent disease until end-stage complications arise. Early identification and risk stratification for those at higher risk for fibrosis progression could help institute interventions to prevent NAFLD progression, and ultimately reduce liver-related morbidity and mortality.</w:t>
      </w:r>
    </w:p>
    <w:p w14:paraId="4E39CC15" w14:textId="634353B4" w:rsidR="00A77B3E" w:rsidRPr="00732F3B" w:rsidRDefault="00260EB5" w:rsidP="00732F3B">
      <w:pPr>
        <w:adjustRightInd w:val="0"/>
        <w:snapToGrid w:val="0"/>
        <w:spacing w:line="360" w:lineRule="auto"/>
        <w:ind w:firstLineChars="100" w:firstLine="240"/>
        <w:jc w:val="both"/>
        <w:rPr>
          <w:rFonts w:ascii="Book Antiqua" w:hAnsi="Book Antiqua"/>
        </w:rPr>
      </w:pPr>
      <w:r w:rsidRPr="00732F3B">
        <w:rPr>
          <w:rFonts w:ascii="Book Antiqua" w:eastAsia="Book Antiqua" w:hAnsi="Book Antiqua" w:cs="Book Antiqua"/>
          <w:color w:val="000000"/>
        </w:rPr>
        <w:t>NAFLD is frequent in women with PCOS. Patients with PCOS may be at higher risk for NAFLD due shared pathophysiological features with NAFLD, including insulin resistance, chronic inflammation, dyslipidemia</w:t>
      </w:r>
      <w:r w:rsidRPr="00732F3B">
        <w:rPr>
          <w:rFonts w:ascii="Book Antiqua" w:eastAsia="Book Antiqua" w:hAnsi="Book Antiqua" w:cs="Book Antiqua"/>
          <w:color w:val="000000"/>
          <w:vertAlign w:val="superscript"/>
        </w:rPr>
        <w:t>[48]</w:t>
      </w:r>
      <w:r w:rsidRPr="00732F3B">
        <w:rPr>
          <w:rFonts w:ascii="Book Antiqua" w:eastAsia="Book Antiqua" w:hAnsi="Book Antiqua" w:cs="Book Antiqua"/>
          <w:color w:val="000000"/>
        </w:rPr>
        <w:t>. Moreover, hyperandrogenism likely represents a unique and independent risk factor for NAFLD in this population</w:t>
      </w:r>
      <w:r w:rsidRPr="00732F3B">
        <w:rPr>
          <w:rFonts w:ascii="Book Antiqua" w:eastAsia="Book Antiqua" w:hAnsi="Book Antiqua" w:cs="Book Antiqua"/>
          <w:color w:val="000000"/>
          <w:vertAlign w:val="superscript"/>
        </w:rPr>
        <w:t>[11]</w:t>
      </w:r>
      <w:r w:rsidRPr="00732F3B">
        <w:rPr>
          <w:rFonts w:ascii="Book Antiqua" w:eastAsia="Book Antiqua" w:hAnsi="Book Antiqua" w:cs="Book Antiqua"/>
          <w:color w:val="000000"/>
        </w:rPr>
        <w:t>. Finally, alteration in gut microbiota has been linked to disease severity in both PCOS and NAFLD, thus acting as an additional potential pathogenic bridge between the two conditions</w:t>
      </w:r>
      <w:r w:rsidRPr="00732F3B">
        <w:rPr>
          <w:rFonts w:ascii="Book Antiqua" w:eastAsia="Book Antiqua" w:hAnsi="Book Antiqua" w:cs="Book Antiqua"/>
          <w:color w:val="000000"/>
          <w:vertAlign w:val="superscript"/>
        </w:rPr>
        <w:t>[49,50]</w:t>
      </w:r>
      <w:r w:rsidRPr="00732F3B">
        <w:rPr>
          <w:rFonts w:ascii="Book Antiqua" w:eastAsia="Book Antiqua" w:hAnsi="Book Antiqua" w:cs="Book Antiqua"/>
          <w:color w:val="000000"/>
        </w:rPr>
        <w:t>. In our routine screening program for liver disease, we reported a prevalence of NAFLD at 39.6% and such diagnosis was confirmed in many cases by another non-invasive method, namely the biomarker HSI. Th</w:t>
      </w:r>
      <w:r w:rsidR="00B35821" w:rsidRPr="00732F3B">
        <w:rPr>
          <w:rFonts w:ascii="Book Antiqua" w:eastAsia="Book Antiqua" w:hAnsi="Book Antiqua" w:cs="Book Antiqua"/>
          <w:color w:val="000000"/>
        </w:rPr>
        <w:t>is</w:t>
      </w:r>
      <w:r w:rsidRPr="00732F3B">
        <w:rPr>
          <w:rFonts w:ascii="Book Antiqua" w:eastAsia="Book Antiqua" w:hAnsi="Book Antiqua" w:cs="Book Antiqua"/>
          <w:color w:val="000000"/>
        </w:rPr>
        <w:t xml:space="preserve"> figure </w:t>
      </w:r>
      <w:r w:rsidR="00B35821" w:rsidRPr="00732F3B">
        <w:rPr>
          <w:rFonts w:ascii="Book Antiqua" w:eastAsia="Book Antiqua" w:hAnsi="Book Antiqua" w:cs="Book Antiqua"/>
          <w:color w:val="000000"/>
        </w:rPr>
        <w:t>is</w:t>
      </w:r>
      <w:r w:rsidRPr="00732F3B">
        <w:rPr>
          <w:rFonts w:ascii="Book Antiqua" w:eastAsia="Book Antiqua" w:hAnsi="Book Antiqua" w:cs="Book Antiqua"/>
          <w:color w:val="000000"/>
        </w:rPr>
        <w:t xml:space="preserve"> higher than th</w:t>
      </w:r>
      <w:r w:rsidR="001C352F" w:rsidRPr="00732F3B">
        <w:rPr>
          <w:rFonts w:ascii="Book Antiqua" w:eastAsia="Book Antiqua" w:hAnsi="Book Antiqua" w:cs="Book Antiqua"/>
          <w:color w:val="000000"/>
        </w:rPr>
        <w:t>at</w:t>
      </w:r>
      <w:r w:rsidRPr="00732F3B">
        <w:rPr>
          <w:rFonts w:ascii="Book Antiqua" w:eastAsia="Book Antiqua" w:hAnsi="Book Antiqua" w:cs="Book Antiqua"/>
          <w:color w:val="000000"/>
        </w:rPr>
        <w:t xml:space="preserve"> reported for the general population, where the prevalence of NAFLD is 25%</w:t>
      </w:r>
      <w:r w:rsidRPr="00732F3B">
        <w:rPr>
          <w:rFonts w:ascii="Book Antiqua" w:eastAsia="Book Antiqua" w:hAnsi="Book Antiqua" w:cs="Book Antiqua"/>
          <w:color w:val="000000"/>
          <w:vertAlign w:val="superscript"/>
        </w:rPr>
        <w:t>[51,52]</w:t>
      </w:r>
      <w:r w:rsidRPr="00732F3B">
        <w:rPr>
          <w:rFonts w:ascii="Book Antiqua" w:eastAsia="Book Antiqua" w:hAnsi="Book Antiqua" w:cs="Book Antiqua"/>
          <w:color w:val="000000"/>
        </w:rPr>
        <w:t>. Previous estimates of NAFLD prevalence among PCOS patients ranged widely, between 5.5% and 73.3% across studies</w:t>
      </w:r>
      <w:r w:rsidRPr="00732F3B">
        <w:rPr>
          <w:rFonts w:ascii="Book Antiqua" w:eastAsia="Book Antiqua" w:hAnsi="Book Antiqua" w:cs="Book Antiqua"/>
          <w:color w:val="000000"/>
          <w:vertAlign w:val="superscript"/>
        </w:rPr>
        <w:t>[12]</w:t>
      </w:r>
      <w:r w:rsidRPr="00732F3B">
        <w:rPr>
          <w:rFonts w:ascii="Book Antiqua" w:eastAsia="Book Antiqua" w:hAnsi="Book Antiqua" w:cs="Book Antiqua"/>
          <w:color w:val="000000"/>
        </w:rPr>
        <w:t>. In the present study, we have included a homogeneous population of South Asian women, as both PCOS and NAFLD prevalence vary across ethnicities</w:t>
      </w:r>
      <w:r w:rsidRPr="00732F3B">
        <w:rPr>
          <w:rFonts w:ascii="Book Antiqua" w:eastAsia="Book Antiqua" w:hAnsi="Book Antiqua" w:cs="Book Antiqua"/>
          <w:color w:val="000000"/>
          <w:vertAlign w:val="superscript"/>
        </w:rPr>
        <w:t>[53]</w:t>
      </w:r>
      <w:r w:rsidRPr="00732F3B">
        <w:rPr>
          <w:rFonts w:ascii="Book Antiqua" w:eastAsia="Book Antiqua" w:hAnsi="Book Antiqua" w:cs="Book Antiqua"/>
          <w:color w:val="000000"/>
        </w:rPr>
        <w:t>. South Asian women have been reported to have more severe PCOS symptoms at younger age, with greater insulin resistance than Caucasians</w:t>
      </w:r>
      <w:r w:rsidRPr="00732F3B">
        <w:rPr>
          <w:rFonts w:ascii="Book Antiqua" w:eastAsia="Book Antiqua" w:hAnsi="Book Antiqua" w:cs="Book Antiqua"/>
          <w:color w:val="000000"/>
          <w:vertAlign w:val="superscript"/>
        </w:rPr>
        <w:t>[54]</w:t>
      </w:r>
      <w:r w:rsidRPr="00732F3B">
        <w:rPr>
          <w:rFonts w:ascii="Book Antiqua" w:eastAsia="Book Antiqua" w:hAnsi="Book Antiqua" w:cs="Book Antiqua"/>
          <w:color w:val="000000"/>
        </w:rPr>
        <w:t>. Moreover, NAFLD seems a major health issue in South Asian women, with high rates of advanced liver fibrosis, particularly if they emigrate to Western countries</w:t>
      </w:r>
      <w:r w:rsidRPr="00732F3B">
        <w:rPr>
          <w:rFonts w:ascii="Book Antiqua" w:eastAsia="Book Antiqua" w:hAnsi="Book Antiqua" w:cs="Book Antiqua"/>
          <w:color w:val="000000"/>
          <w:vertAlign w:val="superscript"/>
        </w:rPr>
        <w:t>[10]</w:t>
      </w:r>
      <w:r w:rsidRPr="00732F3B">
        <w:rPr>
          <w:rFonts w:ascii="Book Antiqua" w:eastAsia="Book Antiqua" w:hAnsi="Book Antiqua" w:cs="Book Antiqua"/>
          <w:color w:val="000000"/>
        </w:rPr>
        <w:t>. Previous studies were either of retrospective nature or have employed less accurate diagnostic tools, such as ultrasound or simple serum biomarkers</w:t>
      </w:r>
      <w:r w:rsidRPr="00732F3B">
        <w:rPr>
          <w:rFonts w:ascii="Book Antiqua" w:eastAsia="Book Antiqua" w:hAnsi="Book Antiqua" w:cs="Book Antiqua"/>
          <w:color w:val="000000"/>
          <w:vertAlign w:val="superscript"/>
        </w:rPr>
        <w:t>[13,32,55]</w:t>
      </w:r>
      <w:r w:rsidRPr="00732F3B">
        <w:rPr>
          <w:rFonts w:ascii="Book Antiqua" w:eastAsia="Book Antiqua" w:hAnsi="Book Antiqua" w:cs="Book Antiqua"/>
          <w:color w:val="000000"/>
        </w:rPr>
        <w:t>. In the present study, we employed TE with CAP to investigate the prevalence of both NAFLD and significant liver fibrosis. We have adopted a cut-off value reported as optimal to detect any grade steatosis</w:t>
      </w:r>
      <w:r w:rsidRPr="00732F3B">
        <w:rPr>
          <w:rFonts w:ascii="Book Antiqua" w:eastAsia="Book Antiqua" w:hAnsi="Book Antiqua" w:cs="Book Antiqua"/>
          <w:color w:val="000000"/>
          <w:vertAlign w:val="superscript"/>
        </w:rPr>
        <w:t>[19]</w:t>
      </w:r>
      <w:r w:rsidRPr="00732F3B">
        <w:rPr>
          <w:rFonts w:ascii="Book Antiqua" w:eastAsia="Book Antiqua" w:hAnsi="Book Antiqua" w:cs="Book Antiqua"/>
          <w:color w:val="000000"/>
        </w:rPr>
        <w:t> and we have also applied a recently reported higher cut-off</w:t>
      </w:r>
      <w:r w:rsidRPr="00732F3B">
        <w:rPr>
          <w:rFonts w:ascii="Book Antiqua" w:eastAsia="Book Antiqua" w:hAnsi="Book Antiqua" w:cs="Book Antiqua"/>
          <w:color w:val="000000"/>
          <w:vertAlign w:val="superscript"/>
        </w:rPr>
        <w:t>[18]</w:t>
      </w:r>
      <w:r w:rsidRPr="00732F3B">
        <w:rPr>
          <w:rFonts w:ascii="Book Antiqua" w:eastAsia="Book Antiqua" w:hAnsi="Book Antiqua" w:cs="Book Antiqua"/>
          <w:color w:val="000000"/>
        </w:rPr>
        <w:t>. Significant liver fibrosis affected 6.9% of our cohort, which suggests the co-existence of a progressive disease, namely NASH</w:t>
      </w:r>
      <w:r w:rsidRPr="00732F3B">
        <w:rPr>
          <w:rFonts w:ascii="Book Antiqua" w:eastAsia="Book Antiqua" w:hAnsi="Book Antiqua" w:cs="Book Antiqua"/>
          <w:color w:val="000000"/>
          <w:vertAlign w:val="superscript"/>
        </w:rPr>
        <w:t>[2]</w:t>
      </w:r>
      <w:r w:rsidRPr="00732F3B">
        <w:rPr>
          <w:rFonts w:ascii="Book Antiqua" w:eastAsia="Book Antiqua" w:hAnsi="Book Antiqua" w:cs="Book Antiqua"/>
          <w:color w:val="000000"/>
        </w:rPr>
        <w:t xml:space="preserve">. Of note, there was a poor correlation between LSM and NAFLD fibrosis score or FIB-4, likely because these two biomarkers incorporate age in their formula, while our study population was young. Conversely, APRI, which does not include age in its formula, had a significant correlation with LSM. Our data suggest that the simple fibrosis biomarker APRI may be preferable to FIB-4 </w:t>
      </w:r>
      <w:r w:rsidR="00047C30" w:rsidRPr="00732F3B">
        <w:rPr>
          <w:rFonts w:ascii="Book Antiqua" w:eastAsia="Book Antiqua" w:hAnsi="Book Antiqua" w:cs="Book Antiqua"/>
          <w:color w:val="000000"/>
        </w:rPr>
        <w:t>and</w:t>
      </w:r>
      <w:r w:rsidRPr="00732F3B">
        <w:rPr>
          <w:rFonts w:ascii="Book Antiqua" w:eastAsia="Book Antiqua" w:hAnsi="Book Antiqua" w:cs="Book Antiqua"/>
          <w:color w:val="000000"/>
        </w:rPr>
        <w:t xml:space="preserve"> NAFLD fibrosis score in young PCOS patients.</w:t>
      </w:r>
    </w:p>
    <w:p w14:paraId="1D356034" w14:textId="411586FC" w:rsidR="00A77B3E" w:rsidRPr="00732F3B" w:rsidRDefault="00260EB5" w:rsidP="00732F3B">
      <w:pPr>
        <w:adjustRightInd w:val="0"/>
        <w:snapToGrid w:val="0"/>
        <w:spacing w:line="360" w:lineRule="auto"/>
        <w:ind w:firstLineChars="100" w:firstLine="240"/>
        <w:jc w:val="both"/>
        <w:rPr>
          <w:rFonts w:ascii="Book Antiqua" w:hAnsi="Book Antiqua"/>
        </w:rPr>
      </w:pPr>
      <w:r w:rsidRPr="00732F3B">
        <w:rPr>
          <w:rFonts w:ascii="Book Antiqua" w:eastAsia="Book Antiqua" w:hAnsi="Book Antiqua" w:cs="Book Antiqua"/>
          <w:color w:val="000000"/>
        </w:rPr>
        <w:t>We found that BMI, hyperandrogenism and ALT were independent predictors of NAFLD. Among them, BMI had the highest AUC to predict NAFLD. This finding underlines the relevance of obesity and associated metabolic conditions. Indeed, in our study population all patients with NAFLD were metabolically abnormal. </w:t>
      </w:r>
      <w:r w:rsidRPr="00732F3B">
        <w:rPr>
          <w:rFonts w:ascii="Book Antiqua" w:eastAsia="Book Antiqua" w:hAnsi="Book Antiqua" w:cs="Book Antiqua"/>
          <w:color w:val="000000"/>
          <w:shd w:val="clear" w:color="auto" w:fill="FFFFFF"/>
        </w:rPr>
        <w:t>South Asians have a higher proportion of visceral fat distribution and are more likely to have dyslipidemia than Western patients</w:t>
      </w:r>
      <w:r w:rsidRPr="00732F3B">
        <w:rPr>
          <w:rFonts w:ascii="Book Antiqua" w:eastAsia="Book Antiqua" w:hAnsi="Book Antiqua" w:cs="Book Antiqua"/>
          <w:color w:val="000000"/>
          <w:shd w:val="clear" w:color="auto" w:fill="FFFFFF"/>
          <w:vertAlign w:val="superscript"/>
        </w:rPr>
        <w:t>[56]</w:t>
      </w:r>
      <w:r w:rsidRPr="00732F3B">
        <w:rPr>
          <w:rFonts w:ascii="Book Antiqua" w:eastAsia="Book Antiqua" w:hAnsi="Book Antiqua" w:cs="Book Antiqua"/>
          <w:color w:val="000000"/>
          <w:shd w:val="clear" w:color="auto" w:fill="FFFFFF"/>
        </w:rPr>
        <w:t>.</w:t>
      </w:r>
      <w:r w:rsidRPr="00732F3B">
        <w:rPr>
          <w:rFonts w:ascii="Book Antiqua" w:eastAsia="Book Antiqua" w:hAnsi="Book Antiqua" w:cs="Book Antiqua"/>
          <w:color w:val="000000"/>
        </w:rPr>
        <w:t> However, </w:t>
      </w:r>
      <w:r w:rsidRPr="00732F3B">
        <w:rPr>
          <w:rFonts w:ascii="Book Antiqua" w:eastAsia="Book Antiqua" w:hAnsi="Book Antiqua" w:cs="Book Antiqua"/>
          <w:color w:val="000000"/>
          <w:shd w:val="clear" w:color="auto" w:fill="FFFFFF"/>
        </w:rPr>
        <w:t>South Asian patients with NAFLD have an overall lower BMI compared to Caucasians</w:t>
      </w:r>
      <w:r w:rsidRPr="00732F3B">
        <w:rPr>
          <w:rFonts w:ascii="Book Antiqua" w:eastAsia="Book Antiqua" w:hAnsi="Book Antiqua" w:cs="Book Antiqua"/>
          <w:color w:val="000000"/>
          <w:shd w:val="clear" w:color="auto" w:fill="FFFFFF"/>
          <w:vertAlign w:val="superscript"/>
        </w:rPr>
        <w:t>[57]</w:t>
      </w:r>
      <w:r w:rsidRPr="00732F3B">
        <w:rPr>
          <w:rFonts w:ascii="Book Antiqua" w:eastAsia="Book Antiqua" w:hAnsi="Book Antiqua" w:cs="Book Antiqua"/>
          <w:color w:val="000000"/>
          <w:shd w:val="clear" w:color="auto" w:fill="FFFFFF"/>
        </w:rPr>
        <w:t>. Other factors contributing to NAFLD in this ethnic group may include </w:t>
      </w:r>
      <w:r w:rsidRPr="00732F3B">
        <w:rPr>
          <w:rFonts w:ascii="Book Antiqua" w:eastAsia="Book Antiqua" w:hAnsi="Book Antiqua" w:cs="Book Antiqua"/>
          <w:color w:val="000000"/>
        </w:rPr>
        <w:t>genetic variants of the </w:t>
      </w:r>
      <w:r w:rsidRPr="00732F3B">
        <w:rPr>
          <w:rFonts w:ascii="Book Antiqua" w:eastAsia="Book Antiqua" w:hAnsi="Book Antiqua" w:cs="Book Antiqua"/>
          <w:color w:val="000000"/>
          <w:shd w:val="clear" w:color="auto" w:fill="FFFFFF"/>
        </w:rPr>
        <w:t>patatin-like phospholipase domain-containing 3</w:t>
      </w:r>
      <w:r w:rsidR="00F939A2" w:rsidRPr="00732F3B">
        <w:rPr>
          <w:rFonts w:ascii="Book Antiqua" w:eastAsia="Book Antiqua" w:hAnsi="Book Antiqua" w:cs="Book Antiqua"/>
          <w:color w:val="000000"/>
          <w:shd w:val="clear" w:color="auto" w:fill="FFFFFF"/>
        </w:rPr>
        <w:t xml:space="preserve"> </w:t>
      </w:r>
      <w:r w:rsidRPr="00732F3B">
        <w:rPr>
          <w:rFonts w:ascii="Book Antiqua" w:eastAsia="Book Antiqua" w:hAnsi="Book Antiqua" w:cs="Book Antiqua"/>
          <w:color w:val="000000"/>
          <w:shd w:val="clear" w:color="auto" w:fill="FFFFFF"/>
        </w:rPr>
        <w:t>protein, physical inactivity, reduced disease awareness, late diagnosis, as well as sociocultural factors in comparison with Western patient populations</w:t>
      </w:r>
      <w:r w:rsidRPr="00732F3B">
        <w:rPr>
          <w:rFonts w:ascii="Book Antiqua" w:eastAsia="Book Antiqua" w:hAnsi="Book Antiqua" w:cs="Book Antiqua"/>
          <w:color w:val="000000"/>
          <w:shd w:val="clear" w:color="auto" w:fill="FFFFFF"/>
          <w:vertAlign w:val="superscript"/>
        </w:rPr>
        <w:t>[56]</w:t>
      </w:r>
      <w:r w:rsidRPr="00732F3B">
        <w:rPr>
          <w:rFonts w:ascii="Book Antiqua" w:eastAsia="Book Antiqua" w:hAnsi="Book Antiqua" w:cs="Book Antiqua"/>
          <w:color w:val="000000"/>
          <w:shd w:val="clear" w:color="auto" w:fill="FFFFFF"/>
        </w:rPr>
        <w:t>. Indeed, in our cohort of young women, only 19.8% were practicing regular physical exercise.</w:t>
      </w:r>
      <w:r w:rsidR="00F939A2" w:rsidRPr="00732F3B">
        <w:rPr>
          <w:rFonts w:ascii="Book Antiqua" w:eastAsia="Book Antiqua" w:hAnsi="Book Antiqua" w:cs="Book Antiqua"/>
          <w:color w:val="000000"/>
          <w:shd w:val="clear" w:color="auto" w:fill="FFFFFF"/>
        </w:rPr>
        <w:t xml:space="preserve"> </w:t>
      </w:r>
      <w:r w:rsidRPr="00732F3B">
        <w:rPr>
          <w:rFonts w:ascii="Book Antiqua" w:eastAsia="Book Antiqua" w:hAnsi="Book Antiqua" w:cs="Book Antiqua"/>
          <w:color w:val="000000"/>
        </w:rPr>
        <w:t>Hyperandrogenism measured by FAI was also an independent predictor of NAFLD. Our finding confirms previous data that high FAI correlates with liver disease markers and is a PCOS-specific feature that further increases the risk of NAFLD</w:t>
      </w:r>
      <w:r w:rsidRPr="00732F3B">
        <w:rPr>
          <w:rFonts w:ascii="Book Antiqua" w:eastAsia="Book Antiqua" w:hAnsi="Book Antiqua" w:cs="Book Antiqua"/>
          <w:color w:val="000000"/>
          <w:vertAlign w:val="superscript"/>
        </w:rPr>
        <w:t>[12]</w:t>
      </w:r>
      <w:r w:rsidRPr="00732F3B">
        <w:rPr>
          <w:rFonts w:ascii="Book Antiqua" w:eastAsia="Book Antiqua" w:hAnsi="Book Antiqua" w:cs="Book Antiqua"/>
          <w:color w:val="000000"/>
        </w:rPr>
        <w:t xml:space="preserve">. Elevated ALT was also an independent predictor of NAFLD on multivariable analysis. Although only 22.8% of patients had elevated ALT, this finding indicates that liver enzyme abnormalities in patients with PCOS and no known pre-existing liver disease should prompt further investigations, including tests for etiologies of chronic liver disease and subsequent referral for TE examination to evaluate the degree of liver fibrosis. Indeed, </w:t>
      </w:r>
      <w:r w:rsidR="007D2531" w:rsidRPr="00732F3B">
        <w:rPr>
          <w:rFonts w:ascii="Book Antiqua" w:eastAsia="Book Antiqua" w:hAnsi="Book Antiqua" w:cs="Book Antiqua"/>
          <w:color w:val="000000"/>
        </w:rPr>
        <w:t xml:space="preserve">in our cohort </w:t>
      </w:r>
      <w:r w:rsidRPr="00732F3B">
        <w:rPr>
          <w:rFonts w:ascii="Book Antiqua" w:eastAsia="Book Antiqua" w:hAnsi="Book Antiqua" w:cs="Book Antiqua"/>
          <w:color w:val="000000"/>
        </w:rPr>
        <w:t>21.7% of patients with elevated ALT had significant liver fibrosis on TE examination, compared to only 2.6% of patients with normal ALT. On the other hand, 60% of the patients with NAFLD had normal ALT. These figures are in line with data from the general population and suggests the development of NAFLD may be occult</w:t>
      </w:r>
      <w:r w:rsidRPr="00732F3B">
        <w:rPr>
          <w:rFonts w:ascii="Book Antiqua" w:eastAsia="Book Antiqua" w:hAnsi="Book Antiqua" w:cs="Book Antiqua"/>
          <w:color w:val="000000"/>
          <w:vertAlign w:val="superscript"/>
        </w:rPr>
        <w:t>[58,59]</w:t>
      </w:r>
      <w:r w:rsidRPr="00732F3B">
        <w:rPr>
          <w:rFonts w:ascii="Book Antiqua" w:eastAsia="Book Antiqua" w:hAnsi="Book Antiqua" w:cs="Book Antiqua"/>
          <w:color w:val="000000"/>
        </w:rPr>
        <w:t>. This finding emphasizes the need for sensitive diagnostic tools in this at-risk population. Currently, guidelines recommend routine screening strategies for NAFLD in at-risk individuals, such as those with type 2 diabetes and metabolic comorbidities, particularly in case of elevated ALT</w:t>
      </w:r>
      <w:r w:rsidRPr="00732F3B">
        <w:rPr>
          <w:rFonts w:ascii="Book Antiqua" w:eastAsia="Book Antiqua" w:hAnsi="Book Antiqua" w:cs="Book Antiqua"/>
          <w:color w:val="000000"/>
          <w:vertAlign w:val="superscript"/>
        </w:rPr>
        <w:t>[5,6]</w:t>
      </w:r>
      <w:r w:rsidRPr="00732F3B">
        <w:rPr>
          <w:rFonts w:ascii="Book Antiqua" w:eastAsia="Book Antiqua" w:hAnsi="Book Antiqua" w:cs="Book Antiqua"/>
          <w:color w:val="000000"/>
        </w:rPr>
        <w:t>. It is further recommended that at-risk populations should be looked for liver fibrosis using non-invasive markers (serology-based or TE) to quantify the risk of progression to liver cirrhosis</w:t>
      </w:r>
      <w:r w:rsidRPr="00732F3B">
        <w:rPr>
          <w:rFonts w:ascii="Book Antiqua" w:eastAsia="Book Antiqua" w:hAnsi="Book Antiqua" w:cs="Book Antiqua"/>
          <w:color w:val="000000"/>
          <w:vertAlign w:val="superscript"/>
        </w:rPr>
        <w:t>[2]</w:t>
      </w:r>
      <w:r w:rsidRPr="00732F3B">
        <w:rPr>
          <w:rFonts w:ascii="Book Antiqua" w:eastAsia="Book Antiqua" w:hAnsi="Book Antiqua" w:cs="Book Antiqua"/>
          <w:color w:val="000000"/>
        </w:rPr>
        <w:t>. A similar strategy may be applicable in patients with PCOS, whereby those with obesity, elevated ALT or hyperandrogenism should undergo liver fibrosis assessment.</w:t>
      </w:r>
    </w:p>
    <w:p w14:paraId="76EE80F1" w14:textId="75B45C10" w:rsidR="00A77B3E" w:rsidRPr="00732F3B" w:rsidRDefault="00260EB5" w:rsidP="00732F3B">
      <w:pPr>
        <w:adjustRightInd w:val="0"/>
        <w:snapToGrid w:val="0"/>
        <w:spacing w:line="360" w:lineRule="auto"/>
        <w:ind w:firstLineChars="100" w:firstLine="240"/>
        <w:jc w:val="both"/>
        <w:rPr>
          <w:rFonts w:ascii="Book Antiqua" w:hAnsi="Book Antiqua"/>
        </w:rPr>
      </w:pPr>
      <w:r w:rsidRPr="00732F3B">
        <w:rPr>
          <w:rFonts w:ascii="Book Antiqua" w:eastAsia="Book Antiqua" w:hAnsi="Book Antiqua" w:cs="Book Antiqua"/>
          <w:color w:val="000000"/>
        </w:rPr>
        <w:t>We found that young South Asian patients with PCOS and NAFLD have an increased lifetime risk of atherosclerotic cardiovascular risk. Emerging data support the concept that </w:t>
      </w:r>
      <w:r w:rsidRPr="00732F3B">
        <w:rPr>
          <w:rFonts w:ascii="Book Antiqua" w:eastAsia="Book Antiqua" w:hAnsi="Book Antiqua" w:cs="Book Antiqua"/>
          <w:color w:val="000000"/>
          <w:shd w:val="clear" w:color="auto" w:fill="FFFFFF"/>
        </w:rPr>
        <w:t>NAFLD is a multisystem disease affecting a variety of extra-hepatic organ systems. R</w:t>
      </w:r>
      <w:r w:rsidRPr="00732F3B">
        <w:rPr>
          <w:rFonts w:ascii="Book Antiqua" w:eastAsia="Book Antiqua" w:hAnsi="Book Antiqua" w:cs="Book Antiqua"/>
          <w:color w:val="000000"/>
        </w:rPr>
        <w:t>ecent evidences indicate an increased risk of all-cause mortality and a strong link between NAFLD and extra-hepatic disease</w:t>
      </w:r>
      <w:r w:rsidR="000346C2" w:rsidRPr="00732F3B">
        <w:rPr>
          <w:rFonts w:ascii="Book Antiqua" w:eastAsia="Book Antiqua" w:hAnsi="Book Antiqua" w:cs="Book Antiqua"/>
          <w:color w:val="000000"/>
        </w:rPr>
        <w:t>s</w:t>
      </w:r>
      <w:r w:rsidRPr="00732F3B">
        <w:rPr>
          <w:rFonts w:ascii="Book Antiqua" w:eastAsia="Book Antiqua" w:hAnsi="Book Antiqua" w:cs="Book Antiqua"/>
          <w:color w:val="000000"/>
        </w:rPr>
        <w:t>, such as cardiovascular disease, hypothyroidism and sleep apnea</w:t>
      </w:r>
      <w:r w:rsidRPr="00732F3B">
        <w:rPr>
          <w:rFonts w:ascii="Book Antiqua" w:eastAsia="Book Antiqua" w:hAnsi="Book Antiqua" w:cs="Book Antiqua"/>
          <w:color w:val="000000"/>
          <w:vertAlign w:val="superscript"/>
        </w:rPr>
        <w:t>[60]</w:t>
      </w:r>
      <w:r w:rsidRPr="00732F3B">
        <w:rPr>
          <w:rFonts w:ascii="Book Antiqua" w:eastAsia="Book Antiqua" w:hAnsi="Book Antiqua" w:cs="Book Antiqua"/>
          <w:color w:val="000000"/>
        </w:rPr>
        <w:t>. Cardiovascular disease risk prediction in younger female patients has been more challenging than in older or male patients. Decisions to implement primary prevention measures are often consequently hindered in this patient population. Our study shed</w:t>
      </w:r>
      <w:r w:rsidR="00B04E51" w:rsidRPr="00732F3B">
        <w:rPr>
          <w:rFonts w:ascii="Book Antiqua" w:eastAsia="Book Antiqua" w:hAnsi="Book Antiqua" w:cs="Book Antiqua"/>
          <w:color w:val="000000"/>
        </w:rPr>
        <w:t>s a</w:t>
      </w:r>
      <w:r w:rsidRPr="00732F3B">
        <w:rPr>
          <w:rFonts w:ascii="Book Antiqua" w:eastAsia="Book Antiqua" w:hAnsi="Book Antiqua" w:cs="Book Antiqua"/>
          <w:color w:val="000000"/>
        </w:rPr>
        <w:t xml:space="preserve"> new insights in the understanding of cardiovascular risk profile in young female population from NAFLD perspective. Our findings should be taken into consideration for risk stratification, especially after transition of women with PCOS to menopause, and for consideration of statin therapy.</w:t>
      </w:r>
    </w:p>
    <w:p w14:paraId="3A6B39CC" w14:textId="263A15BC" w:rsidR="00A77B3E" w:rsidRPr="00732F3B" w:rsidRDefault="00260EB5" w:rsidP="00732F3B">
      <w:pPr>
        <w:adjustRightInd w:val="0"/>
        <w:snapToGrid w:val="0"/>
        <w:spacing w:line="360" w:lineRule="auto"/>
        <w:ind w:firstLineChars="100" w:firstLine="240"/>
        <w:jc w:val="both"/>
        <w:rPr>
          <w:rFonts w:ascii="Book Antiqua" w:hAnsi="Book Antiqua"/>
        </w:rPr>
      </w:pPr>
      <w:r w:rsidRPr="00732F3B">
        <w:rPr>
          <w:rFonts w:ascii="Book Antiqua" w:eastAsia="Book Antiqua" w:hAnsi="Book Antiqua" w:cs="Book Antiqua"/>
          <w:color w:val="000000"/>
        </w:rPr>
        <w:t>Our study presents with several strengths, including the well-characterized homogeneous population and the use of a validated and accurate diagnostic method. The enrollment of consecutive patients minimizes the risk of selection bias. Some limitations of our study should be acknowledged. First, the cross-sectional study design did not allow us to capture the dynamics and associated factors of the disease in a longitudinal fashion. Second, the unavailability of genetic variants of the</w:t>
      </w:r>
      <w:r w:rsidR="00F939A2" w:rsidRPr="00732F3B">
        <w:rPr>
          <w:rFonts w:ascii="Book Antiqua" w:eastAsia="Book Antiqua" w:hAnsi="Book Antiqua" w:cs="Book Antiqua"/>
          <w:color w:val="000000"/>
          <w:shd w:val="clear" w:color="auto" w:fill="FFFFFF"/>
        </w:rPr>
        <w:t xml:space="preserve"> patatin-like phospholipase domain-containing 3</w:t>
      </w:r>
      <w:r w:rsidRPr="00732F3B">
        <w:rPr>
          <w:rFonts w:ascii="Book Antiqua" w:eastAsia="Book Antiqua" w:hAnsi="Book Antiqua" w:cs="Book Antiqua"/>
          <w:color w:val="000000"/>
        </w:rPr>
        <w:t xml:space="preserve"> and other polymorphisms linked to hepatic steatosis prevented us from understanding their contribution to the pathogenesis of NAFLD in PCOS. Third, we included only South Asian women, so we cannot speculate on applicability of our findings to other ethnicities. Fourth, we did not include a group of age-matched patients without PCOS to act as control group. Finally, our study was carried out at a tertiary care centre, which may limit generalizability of our findings.</w:t>
      </w:r>
    </w:p>
    <w:bookmarkEnd w:id="35"/>
    <w:bookmarkEnd w:id="36"/>
    <w:p w14:paraId="3E95187B" w14:textId="77777777" w:rsidR="00A77B3E" w:rsidRPr="00732F3B" w:rsidRDefault="00A77B3E" w:rsidP="00732F3B">
      <w:pPr>
        <w:adjustRightInd w:val="0"/>
        <w:snapToGrid w:val="0"/>
        <w:spacing w:line="360" w:lineRule="auto"/>
        <w:jc w:val="both"/>
        <w:rPr>
          <w:rFonts w:ascii="Book Antiqua" w:hAnsi="Book Antiqua"/>
        </w:rPr>
      </w:pPr>
    </w:p>
    <w:p w14:paraId="78D90A8F"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aps/>
          <w:color w:val="000000"/>
          <w:u w:val="single"/>
        </w:rPr>
        <w:t>CONCLUSION</w:t>
      </w:r>
    </w:p>
    <w:p w14:paraId="39771506" w14:textId="77777777" w:rsidR="00A77B3E" w:rsidRPr="00732F3B" w:rsidRDefault="00260EB5" w:rsidP="00732F3B">
      <w:pPr>
        <w:adjustRightInd w:val="0"/>
        <w:snapToGrid w:val="0"/>
        <w:spacing w:line="360" w:lineRule="auto"/>
        <w:jc w:val="both"/>
        <w:rPr>
          <w:rFonts w:ascii="Book Antiqua" w:hAnsi="Book Antiqua"/>
        </w:rPr>
      </w:pPr>
      <w:bookmarkStart w:id="37" w:name="OLE_LINK38"/>
      <w:bookmarkStart w:id="38" w:name="OLE_LINK39"/>
      <w:r w:rsidRPr="00732F3B">
        <w:rPr>
          <w:rFonts w:ascii="Book Antiqua" w:eastAsia="Book Antiqua" w:hAnsi="Book Antiqua" w:cs="Book Antiqua"/>
          <w:color w:val="000000"/>
        </w:rPr>
        <w:t xml:space="preserve">In conclusion, NAFLD diagnosed by TE with CAP is a frequent comorbidity in young South Asian women with PCOS without known liver disease. Obesity and hyperandrogenism seem the main associated factors. NAFLD can also progress to significant liver fibrosis, pointing towards the coexistence of NASH. Considering the young age of this population, these data suggest that monitoring for liver disease should be proposed in South Asian women with PCOS in case of obesity, elevated ALT, or hyperandrogenism. Early diagnosis of NAFLD </w:t>
      </w:r>
      <w:r w:rsidRPr="00732F3B">
        <w:rPr>
          <w:rFonts w:ascii="Book Antiqua" w:eastAsia="Book Antiqua" w:hAnsi="Book Antiqua" w:cs="Book Antiqua"/>
          <w:i/>
          <w:iCs/>
          <w:color w:val="000000"/>
        </w:rPr>
        <w:t>via</w:t>
      </w:r>
      <w:r w:rsidRPr="00732F3B">
        <w:rPr>
          <w:rFonts w:ascii="Book Antiqua" w:eastAsia="Book Antiqua" w:hAnsi="Book Antiqua" w:cs="Book Antiqua"/>
          <w:color w:val="000000"/>
        </w:rPr>
        <w:t xml:space="preserve"> non-invasive screening tools may help prompt initiation of interventions, including life-style modification, hepatology specialized care and cardiovascular risk stratification. Future longitudinal studies should assess the effect of early diagnosis and interventions on long-term outcomes.</w:t>
      </w:r>
    </w:p>
    <w:bookmarkEnd w:id="37"/>
    <w:bookmarkEnd w:id="38"/>
    <w:p w14:paraId="286E516F" w14:textId="77777777" w:rsidR="00A77B3E" w:rsidRPr="00732F3B" w:rsidRDefault="00A77B3E" w:rsidP="00732F3B">
      <w:pPr>
        <w:adjustRightInd w:val="0"/>
        <w:snapToGrid w:val="0"/>
        <w:spacing w:line="360" w:lineRule="auto"/>
        <w:jc w:val="both"/>
        <w:rPr>
          <w:rFonts w:ascii="Book Antiqua" w:hAnsi="Book Antiqua"/>
        </w:rPr>
      </w:pPr>
    </w:p>
    <w:p w14:paraId="2B36E964"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aps/>
          <w:color w:val="000000"/>
          <w:u w:val="single"/>
        </w:rPr>
        <w:t>ARTICLE HIGHLIGHTS</w:t>
      </w:r>
    </w:p>
    <w:p w14:paraId="74A4618A"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i/>
          <w:color w:val="000000"/>
        </w:rPr>
        <w:t>Research background</w:t>
      </w:r>
    </w:p>
    <w:p w14:paraId="613EDE85"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Nonalcoholic fatty liver disease (NAFLD) is the most frequent liver disease worldwide. It is essential toidentify higher risk groups, where screening strategies could be targeted. Women with polycystic ovary syndrome (PCOS) may be at higher risk for NAFLD.</w:t>
      </w:r>
    </w:p>
    <w:p w14:paraId="43EB8A07" w14:textId="77777777" w:rsidR="00A77B3E" w:rsidRPr="00732F3B" w:rsidRDefault="00A77B3E" w:rsidP="00732F3B">
      <w:pPr>
        <w:adjustRightInd w:val="0"/>
        <w:snapToGrid w:val="0"/>
        <w:spacing w:line="360" w:lineRule="auto"/>
        <w:jc w:val="both"/>
        <w:rPr>
          <w:rFonts w:ascii="Book Antiqua" w:hAnsi="Book Antiqua"/>
        </w:rPr>
      </w:pPr>
    </w:p>
    <w:p w14:paraId="3E1B1618"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i/>
          <w:color w:val="000000"/>
        </w:rPr>
        <w:t>Research motivation</w:t>
      </w:r>
    </w:p>
    <w:p w14:paraId="302B719C"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To date, no study has employed transient elastography (TE) with associated controlled attenuation parameter (CAP) to screen women with PCOS for NAFLD</w:t>
      </w:r>
      <w:r w:rsidRPr="00732F3B">
        <w:rPr>
          <w:rStyle w:val="apple-converted-space"/>
          <w:rFonts w:ascii="Book Antiqua" w:eastAsia="Book Antiqua" w:hAnsi="Book Antiqua" w:cs="Book Antiqua"/>
          <w:color w:val="000000"/>
        </w:rPr>
        <w:t>. </w:t>
      </w:r>
    </w:p>
    <w:p w14:paraId="0DB22DD0" w14:textId="77777777" w:rsidR="00A77B3E" w:rsidRPr="00732F3B" w:rsidRDefault="00A77B3E" w:rsidP="00732F3B">
      <w:pPr>
        <w:adjustRightInd w:val="0"/>
        <w:snapToGrid w:val="0"/>
        <w:spacing w:line="360" w:lineRule="auto"/>
        <w:jc w:val="both"/>
        <w:rPr>
          <w:rFonts w:ascii="Book Antiqua" w:hAnsi="Book Antiqua"/>
        </w:rPr>
      </w:pPr>
    </w:p>
    <w:p w14:paraId="07944AA0"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i/>
          <w:color w:val="000000"/>
        </w:rPr>
        <w:t>Research objectives</w:t>
      </w:r>
    </w:p>
    <w:p w14:paraId="5EFF893B"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This work aims to determine prevalence and associated predictors of NAFLD and prevalence of significant liver fibrosis in South Asian women with PCOS.</w:t>
      </w:r>
    </w:p>
    <w:p w14:paraId="0C40839D" w14:textId="77777777" w:rsidR="00A77B3E" w:rsidRPr="00732F3B" w:rsidRDefault="00A77B3E" w:rsidP="00732F3B">
      <w:pPr>
        <w:adjustRightInd w:val="0"/>
        <w:snapToGrid w:val="0"/>
        <w:spacing w:line="360" w:lineRule="auto"/>
        <w:jc w:val="both"/>
        <w:rPr>
          <w:rFonts w:ascii="Book Antiqua" w:hAnsi="Book Antiqua"/>
        </w:rPr>
      </w:pPr>
    </w:p>
    <w:p w14:paraId="2205D615"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i/>
          <w:color w:val="000000"/>
        </w:rPr>
        <w:t>Research methods</w:t>
      </w:r>
    </w:p>
    <w:p w14:paraId="54F2B85F" w14:textId="6D858F82" w:rsidR="00A77B3E" w:rsidRPr="00732F3B" w:rsidRDefault="00260EB5" w:rsidP="00732F3B">
      <w:pPr>
        <w:adjustRightInd w:val="0"/>
        <w:snapToGrid w:val="0"/>
        <w:spacing w:line="360" w:lineRule="auto"/>
        <w:jc w:val="both"/>
        <w:rPr>
          <w:rFonts w:ascii="Book Antiqua" w:hAnsi="Book Antiqua"/>
        </w:rPr>
      </w:pPr>
      <w:bookmarkStart w:id="39" w:name="OLE_LINK40"/>
      <w:bookmarkStart w:id="40" w:name="OLE_LINK41"/>
      <w:r w:rsidRPr="00732F3B">
        <w:rPr>
          <w:rFonts w:ascii="Book Antiqua" w:eastAsia="Book Antiqua" w:hAnsi="Book Antiqua" w:cs="Book Antiqua"/>
          <w:color w:val="000000"/>
        </w:rPr>
        <w:t>A routine screening program through TE with CAP was conducted at a single centre. NAFLD was defined as CAP</w:t>
      </w:r>
      <w:r w:rsidR="00F939A2" w:rsidRPr="00732F3B">
        <w:rPr>
          <w:rFonts w:ascii="Book Antiqua" w:eastAsia="Book Antiqua" w:hAnsi="Book Antiqua" w:cs="Book Antiqua"/>
          <w:color w:val="000000"/>
        </w:rPr>
        <w:t xml:space="preserve"> </w:t>
      </w:r>
      <w:r w:rsidR="00F939A2" w:rsidRPr="00732F3B">
        <w:rPr>
          <w:rFonts w:ascii="Book Antiqua" w:hAnsi="Book Antiqua" w:cs="Book Antiqua"/>
          <w:color w:val="000000"/>
          <w:u w:color="000000"/>
          <w:lang w:eastAsia="zh-CN"/>
        </w:rPr>
        <w:t xml:space="preserve">≥ </w:t>
      </w:r>
      <w:r w:rsidRPr="00732F3B">
        <w:rPr>
          <w:rFonts w:ascii="Book Antiqua" w:eastAsia="Book Antiqua" w:hAnsi="Book Antiqua" w:cs="Book Antiqua"/>
          <w:color w:val="000000"/>
        </w:rPr>
        <w:t xml:space="preserve">288 </w:t>
      </w:r>
      <w:r w:rsidR="00292992" w:rsidRPr="00732F3B">
        <w:rPr>
          <w:rFonts w:ascii="Book Antiqua" w:eastAsia="Book Antiqua" w:hAnsi="Book Antiqua" w:cs="Book Antiqua"/>
          <w:color w:val="000000"/>
        </w:rPr>
        <w:t>decibels per meter</w:t>
      </w:r>
      <w:r w:rsidRPr="00732F3B">
        <w:rPr>
          <w:rFonts w:ascii="Book Antiqua" w:eastAsia="Book Antiqua" w:hAnsi="Book Antiqua" w:cs="Book Antiqua"/>
          <w:color w:val="000000"/>
        </w:rPr>
        <w:t>. Significant liver fibrosis was defined as TE measurement </w:t>
      </w:r>
      <w:r w:rsidR="00F939A2" w:rsidRPr="00732F3B">
        <w:rPr>
          <w:rFonts w:ascii="Book Antiqua" w:hAnsi="Book Antiqua" w:cs="Book Antiqua"/>
          <w:color w:val="000000"/>
          <w:u w:color="000000"/>
          <w:lang w:eastAsia="zh-CN"/>
        </w:rPr>
        <w:t xml:space="preserve">≥ </w:t>
      </w:r>
      <w:r w:rsidRPr="00732F3B">
        <w:rPr>
          <w:rFonts w:ascii="Book Antiqua" w:eastAsia="Book Antiqua" w:hAnsi="Book Antiqua" w:cs="Book Antiqua"/>
          <w:color w:val="000000"/>
        </w:rPr>
        <w:t xml:space="preserve">8.0 </w:t>
      </w:r>
      <w:r w:rsidR="00292992" w:rsidRPr="00732F3B">
        <w:rPr>
          <w:rFonts w:ascii="Book Antiqua" w:eastAsia="Book Antiqua" w:hAnsi="Book Antiqua" w:cs="Book Antiqua"/>
          <w:color w:val="000000"/>
        </w:rPr>
        <w:t>kilopascals</w:t>
      </w:r>
      <w:r w:rsidRPr="00732F3B">
        <w:rPr>
          <w:rFonts w:ascii="Book Antiqua" w:eastAsia="Book Antiqua" w:hAnsi="Book Antiqua" w:cs="Book Antiqua"/>
          <w:color w:val="000000"/>
        </w:rPr>
        <w:t>. Predictors of NAFLD were determined by logistic regression analysis.</w:t>
      </w:r>
    </w:p>
    <w:bookmarkEnd w:id="39"/>
    <w:bookmarkEnd w:id="40"/>
    <w:p w14:paraId="7E97FF0E" w14:textId="77777777" w:rsidR="00A77B3E" w:rsidRPr="00732F3B" w:rsidRDefault="00A77B3E" w:rsidP="00732F3B">
      <w:pPr>
        <w:adjustRightInd w:val="0"/>
        <w:snapToGrid w:val="0"/>
        <w:spacing w:line="360" w:lineRule="auto"/>
        <w:jc w:val="both"/>
        <w:rPr>
          <w:rFonts w:ascii="Book Antiqua" w:hAnsi="Book Antiqua"/>
        </w:rPr>
      </w:pPr>
    </w:p>
    <w:p w14:paraId="2820C787"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i/>
          <w:color w:val="000000"/>
        </w:rPr>
        <w:t>Research results</w:t>
      </w:r>
    </w:p>
    <w:p w14:paraId="0C93613C" w14:textId="4098A675"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Prevalence of NAFLD and significant liver fibrosis was 39.6% and 6.9%, respectively. Independent predictors of NAFLD were higher body mass index, hyperandrogenism and elevated alanine aminotra</w:t>
      </w:r>
      <w:r w:rsidR="00584E1F" w:rsidRPr="00732F3B">
        <w:rPr>
          <w:rFonts w:ascii="Book Antiqua" w:eastAsia="Book Antiqua" w:hAnsi="Book Antiqua" w:cs="Book Antiqua"/>
          <w:color w:val="000000"/>
        </w:rPr>
        <w:t>n</w:t>
      </w:r>
      <w:r w:rsidRPr="00732F3B">
        <w:rPr>
          <w:rFonts w:ascii="Book Antiqua" w:eastAsia="Book Antiqua" w:hAnsi="Book Antiqua" w:cs="Book Antiqua"/>
          <w:color w:val="000000"/>
        </w:rPr>
        <w:t>sferase.</w:t>
      </w:r>
    </w:p>
    <w:p w14:paraId="0D05F073" w14:textId="77777777" w:rsidR="00A77B3E" w:rsidRPr="00732F3B" w:rsidRDefault="00A77B3E" w:rsidP="00732F3B">
      <w:pPr>
        <w:adjustRightInd w:val="0"/>
        <w:snapToGrid w:val="0"/>
        <w:spacing w:line="360" w:lineRule="auto"/>
        <w:jc w:val="both"/>
        <w:rPr>
          <w:rFonts w:ascii="Book Antiqua" w:hAnsi="Book Antiqua"/>
        </w:rPr>
      </w:pPr>
    </w:p>
    <w:p w14:paraId="37E6215A"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i/>
          <w:color w:val="000000"/>
        </w:rPr>
        <w:t>Research conclusions</w:t>
      </w:r>
    </w:p>
    <w:p w14:paraId="129A4EAB"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NAFLD diagnosed by TE with CAP is a frequent comorbidity in South Asian women with PCOS, who can also develop liver fibrosis despite their young age.</w:t>
      </w:r>
    </w:p>
    <w:p w14:paraId="44C8A8D9" w14:textId="77777777" w:rsidR="00A77B3E" w:rsidRPr="00732F3B" w:rsidRDefault="00A77B3E" w:rsidP="00732F3B">
      <w:pPr>
        <w:adjustRightInd w:val="0"/>
        <w:snapToGrid w:val="0"/>
        <w:spacing w:line="360" w:lineRule="auto"/>
        <w:jc w:val="both"/>
        <w:rPr>
          <w:rFonts w:ascii="Book Antiqua" w:hAnsi="Book Antiqua"/>
        </w:rPr>
      </w:pPr>
    </w:p>
    <w:p w14:paraId="6102658C"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i/>
          <w:color w:val="000000"/>
        </w:rPr>
        <w:t>Research perspectives</w:t>
      </w:r>
    </w:p>
    <w:p w14:paraId="33FE8819"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To reduce the burden and complications of NAFLD, non-invasive screening strategies should be considered in South Asian women with PCOS.</w:t>
      </w:r>
    </w:p>
    <w:p w14:paraId="46B7F190" w14:textId="77777777" w:rsidR="00A77B3E" w:rsidRPr="00732F3B" w:rsidRDefault="00A77B3E" w:rsidP="00732F3B">
      <w:pPr>
        <w:adjustRightInd w:val="0"/>
        <w:snapToGrid w:val="0"/>
        <w:spacing w:line="360" w:lineRule="auto"/>
        <w:jc w:val="both"/>
        <w:rPr>
          <w:rFonts w:ascii="Book Antiqua" w:hAnsi="Book Antiqua"/>
        </w:rPr>
      </w:pPr>
    </w:p>
    <w:p w14:paraId="19BAE9EC"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aps/>
          <w:color w:val="000000"/>
          <w:u w:val="single"/>
        </w:rPr>
        <w:t>ACKNOWLEDGEMENTS</w:t>
      </w:r>
    </w:p>
    <w:p w14:paraId="32ACB696" w14:textId="00DBAEC0" w:rsidR="00A77B3E" w:rsidRPr="00732F3B" w:rsidRDefault="00260EB5" w:rsidP="00732F3B">
      <w:pPr>
        <w:adjustRightInd w:val="0"/>
        <w:snapToGrid w:val="0"/>
        <w:spacing w:line="360" w:lineRule="auto"/>
        <w:jc w:val="both"/>
        <w:rPr>
          <w:rFonts w:ascii="Book Antiqua" w:hAnsi="Book Antiqua"/>
        </w:rPr>
      </w:pPr>
      <w:bookmarkStart w:id="41" w:name="OLE_LINK42"/>
      <w:bookmarkStart w:id="42" w:name="OLE_LINK43"/>
      <w:r w:rsidRPr="00732F3B">
        <w:rPr>
          <w:rFonts w:ascii="Book Antiqua" w:eastAsia="Book Antiqua" w:hAnsi="Book Antiqua" w:cs="Book Antiqua"/>
          <w:color w:val="000000"/>
        </w:rPr>
        <w:t xml:space="preserve">Part of this work has been presented at the Liver Meeting of the American Association for the Study of Liver Diseases 2019 (Boston, </w:t>
      </w:r>
      <w:r w:rsidR="00064F55">
        <w:rPr>
          <w:rFonts w:ascii="Book Antiqua" w:eastAsia="Book Antiqua" w:hAnsi="Book Antiqua" w:cs="Book Antiqua"/>
          <w:color w:val="000000"/>
        </w:rPr>
        <w:t>United States</w:t>
      </w:r>
      <w:r w:rsidRPr="00732F3B">
        <w:rPr>
          <w:rFonts w:ascii="Book Antiqua" w:eastAsia="Book Antiqua" w:hAnsi="Book Antiqua" w:cs="Book Antiqua"/>
          <w:color w:val="000000"/>
        </w:rPr>
        <w:t>).</w:t>
      </w:r>
    </w:p>
    <w:bookmarkEnd w:id="41"/>
    <w:bookmarkEnd w:id="42"/>
    <w:p w14:paraId="26E566A5" w14:textId="77777777" w:rsidR="00A77B3E" w:rsidRPr="00732F3B" w:rsidRDefault="00A77B3E" w:rsidP="00732F3B">
      <w:pPr>
        <w:adjustRightInd w:val="0"/>
        <w:snapToGrid w:val="0"/>
        <w:spacing w:line="360" w:lineRule="auto"/>
        <w:jc w:val="both"/>
        <w:rPr>
          <w:rFonts w:ascii="Book Antiqua" w:hAnsi="Book Antiqua"/>
        </w:rPr>
      </w:pPr>
    </w:p>
    <w:p w14:paraId="499F8CBA"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REFERENCES</w:t>
      </w:r>
    </w:p>
    <w:p w14:paraId="08E68BAC"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1 </w:t>
      </w:r>
      <w:r w:rsidRPr="00732F3B">
        <w:rPr>
          <w:rFonts w:ascii="Book Antiqua" w:eastAsia="Book Antiqua" w:hAnsi="Book Antiqua" w:cs="Book Antiqua"/>
          <w:b/>
          <w:bCs/>
          <w:color w:val="000000"/>
        </w:rPr>
        <w:t>Younossi ZM</w:t>
      </w:r>
      <w:r w:rsidRPr="00732F3B">
        <w:rPr>
          <w:rFonts w:ascii="Book Antiqua" w:eastAsia="Book Antiqua" w:hAnsi="Book Antiqua" w:cs="Book Antiqua"/>
          <w:color w:val="000000"/>
        </w:rPr>
        <w:t xml:space="preserve">. Non-alcoholic fatty liver disease - A global public health perspective. </w:t>
      </w:r>
      <w:r w:rsidRPr="00732F3B">
        <w:rPr>
          <w:rFonts w:ascii="Book Antiqua" w:eastAsia="Book Antiqua" w:hAnsi="Book Antiqua" w:cs="Book Antiqua"/>
          <w:i/>
          <w:iCs/>
          <w:color w:val="000000"/>
        </w:rPr>
        <w:t>J Hepatol</w:t>
      </w:r>
      <w:r w:rsidRPr="00732F3B">
        <w:rPr>
          <w:rFonts w:ascii="Book Antiqua" w:eastAsia="Book Antiqua" w:hAnsi="Book Antiqua" w:cs="Book Antiqua"/>
          <w:color w:val="000000"/>
        </w:rPr>
        <w:t xml:space="preserve"> 2019; </w:t>
      </w:r>
      <w:r w:rsidRPr="00732F3B">
        <w:rPr>
          <w:rFonts w:ascii="Book Antiqua" w:eastAsia="Book Antiqua" w:hAnsi="Book Antiqua" w:cs="Book Antiqua"/>
          <w:b/>
          <w:bCs/>
          <w:color w:val="000000"/>
        </w:rPr>
        <w:t>70</w:t>
      </w:r>
      <w:r w:rsidRPr="00732F3B">
        <w:rPr>
          <w:rFonts w:ascii="Book Antiqua" w:eastAsia="Book Antiqua" w:hAnsi="Book Antiqua" w:cs="Book Antiqua"/>
          <w:color w:val="000000"/>
        </w:rPr>
        <w:t>: 531-544 [PMID: 30414863 DOI: 10.1016/j.jhep.2018.10.033]</w:t>
      </w:r>
    </w:p>
    <w:p w14:paraId="0F88FFA2"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2 </w:t>
      </w:r>
      <w:r w:rsidRPr="00732F3B">
        <w:rPr>
          <w:rFonts w:ascii="Book Antiqua" w:eastAsia="Book Antiqua" w:hAnsi="Book Antiqua" w:cs="Book Antiqua"/>
          <w:b/>
          <w:bCs/>
          <w:color w:val="000000"/>
        </w:rPr>
        <w:t>Chalasani N</w:t>
      </w:r>
      <w:r w:rsidRPr="00732F3B">
        <w:rPr>
          <w:rFonts w:ascii="Book Antiqua" w:eastAsia="Book Antiqua" w:hAnsi="Book Antiqua" w:cs="Book Antiqua"/>
          <w:color w:val="000000"/>
        </w:rPr>
        <w:t xml:space="preserve">, Younossi Z, Lavine JE, Charlton M, Cusi K, Rinella M, Harrison SA, Brunt EM, Sanyal AJ. The diagnosis and management of nonalcoholic fatty liver disease: Practice guidance from the American Association for the Study of Liver Diseases. </w:t>
      </w:r>
      <w:r w:rsidRPr="00732F3B">
        <w:rPr>
          <w:rFonts w:ascii="Book Antiqua" w:eastAsia="Book Antiqua" w:hAnsi="Book Antiqua" w:cs="Book Antiqua"/>
          <w:i/>
          <w:iCs/>
          <w:color w:val="000000"/>
        </w:rPr>
        <w:t>Hepatology</w:t>
      </w:r>
      <w:r w:rsidRPr="00732F3B">
        <w:rPr>
          <w:rFonts w:ascii="Book Antiqua" w:eastAsia="Book Antiqua" w:hAnsi="Book Antiqua" w:cs="Book Antiqua"/>
          <w:color w:val="000000"/>
        </w:rPr>
        <w:t xml:space="preserve"> 2018; </w:t>
      </w:r>
      <w:r w:rsidRPr="00732F3B">
        <w:rPr>
          <w:rFonts w:ascii="Book Antiqua" w:eastAsia="Book Antiqua" w:hAnsi="Book Antiqua" w:cs="Book Antiqua"/>
          <w:b/>
          <w:bCs/>
          <w:color w:val="000000"/>
        </w:rPr>
        <w:t>67</w:t>
      </w:r>
      <w:r w:rsidRPr="00732F3B">
        <w:rPr>
          <w:rFonts w:ascii="Book Antiqua" w:eastAsia="Book Antiqua" w:hAnsi="Book Antiqua" w:cs="Book Antiqua"/>
          <w:color w:val="000000"/>
        </w:rPr>
        <w:t>: 328-357 [PMID: 28714183 DOI: 10.1002/hep.29367]</w:t>
      </w:r>
    </w:p>
    <w:p w14:paraId="15C39B88"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3 </w:t>
      </w:r>
      <w:r w:rsidRPr="00732F3B">
        <w:rPr>
          <w:rFonts w:ascii="Book Antiqua" w:eastAsia="Book Antiqua" w:hAnsi="Book Antiqua" w:cs="Book Antiqua"/>
          <w:b/>
          <w:bCs/>
          <w:color w:val="000000"/>
        </w:rPr>
        <w:t>Charlton MR</w:t>
      </w:r>
      <w:r w:rsidRPr="00732F3B">
        <w:rPr>
          <w:rFonts w:ascii="Book Antiqua" w:eastAsia="Book Antiqua" w:hAnsi="Book Antiqua" w:cs="Book Antiqua"/>
          <w:color w:val="000000"/>
        </w:rPr>
        <w:t xml:space="preserve">, Burns JM, Pedersen RA, Watt KD, Heimbach JK, Dierkhising RA. Frequency and outcomes of liver transplantation for nonalcoholic steatohepatitis in the United States. </w:t>
      </w:r>
      <w:r w:rsidRPr="00732F3B">
        <w:rPr>
          <w:rFonts w:ascii="Book Antiqua" w:eastAsia="Book Antiqua" w:hAnsi="Book Antiqua" w:cs="Book Antiqua"/>
          <w:i/>
          <w:iCs/>
          <w:color w:val="000000"/>
        </w:rPr>
        <w:t>Gastroenterology</w:t>
      </w:r>
      <w:r w:rsidRPr="00732F3B">
        <w:rPr>
          <w:rFonts w:ascii="Book Antiqua" w:eastAsia="Book Antiqua" w:hAnsi="Book Antiqua" w:cs="Book Antiqua"/>
          <w:color w:val="000000"/>
        </w:rPr>
        <w:t xml:space="preserve"> 2011; </w:t>
      </w:r>
      <w:r w:rsidRPr="00732F3B">
        <w:rPr>
          <w:rFonts w:ascii="Book Antiqua" w:eastAsia="Book Antiqua" w:hAnsi="Book Antiqua" w:cs="Book Antiqua"/>
          <w:b/>
          <w:bCs/>
          <w:color w:val="000000"/>
        </w:rPr>
        <w:t>141</w:t>
      </w:r>
      <w:r w:rsidRPr="00732F3B">
        <w:rPr>
          <w:rFonts w:ascii="Book Antiqua" w:eastAsia="Book Antiqua" w:hAnsi="Book Antiqua" w:cs="Book Antiqua"/>
          <w:color w:val="000000"/>
        </w:rPr>
        <w:t>: 1249-1253 [PMID: 21726509 DOI: 10.1053/j.gastro.2011.06.061]</w:t>
      </w:r>
    </w:p>
    <w:p w14:paraId="0C32744B"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4 </w:t>
      </w:r>
      <w:r w:rsidRPr="00732F3B">
        <w:rPr>
          <w:rFonts w:ascii="Book Antiqua" w:eastAsia="Book Antiqua" w:hAnsi="Book Antiqua" w:cs="Book Antiqua"/>
          <w:b/>
          <w:bCs/>
          <w:color w:val="000000"/>
        </w:rPr>
        <w:t>Noureddin M</w:t>
      </w:r>
      <w:r w:rsidRPr="00732F3B">
        <w:rPr>
          <w:rFonts w:ascii="Book Antiqua" w:eastAsia="Book Antiqua" w:hAnsi="Book Antiqua" w:cs="Book Antiqua"/>
          <w:color w:val="000000"/>
        </w:rPr>
        <w:t xml:space="preserve">, Vipani A, Bresee C, Todo T, Kim IK, Alkhouri N, Setiawan VW, Tran T, Ayoub WS, Lu SC, Klein AS, Sundaram V, Nissen NN. NASH Leading Cause of Liver Transplant in Women: Updated Analysis of Indications For Liver Transplant and Ethnic and Gender Variances. </w:t>
      </w:r>
      <w:r w:rsidRPr="00732F3B">
        <w:rPr>
          <w:rFonts w:ascii="Book Antiqua" w:eastAsia="Book Antiqua" w:hAnsi="Book Antiqua" w:cs="Book Antiqua"/>
          <w:i/>
          <w:iCs/>
          <w:color w:val="000000"/>
        </w:rPr>
        <w:t>Am J Gastroenterol</w:t>
      </w:r>
      <w:r w:rsidRPr="00732F3B">
        <w:rPr>
          <w:rFonts w:ascii="Book Antiqua" w:eastAsia="Book Antiqua" w:hAnsi="Book Antiqua" w:cs="Book Antiqua"/>
          <w:color w:val="000000"/>
        </w:rPr>
        <w:t xml:space="preserve"> 2018; </w:t>
      </w:r>
      <w:r w:rsidRPr="00732F3B">
        <w:rPr>
          <w:rFonts w:ascii="Book Antiqua" w:eastAsia="Book Antiqua" w:hAnsi="Book Antiqua" w:cs="Book Antiqua"/>
          <w:b/>
          <w:bCs/>
          <w:color w:val="000000"/>
        </w:rPr>
        <w:t>113</w:t>
      </w:r>
      <w:r w:rsidRPr="00732F3B">
        <w:rPr>
          <w:rFonts w:ascii="Book Antiqua" w:eastAsia="Book Antiqua" w:hAnsi="Book Antiqua" w:cs="Book Antiqua"/>
          <w:color w:val="000000"/>
        </w:rPr>
        <w:t>: 1649-1659 [PMID: 29880964 DOI: 10.1038/s41395-018-0088-6]</w:t>
      </w:r>
    </w:p>
    <w:p w14:paraId="06A42A74" w14:textId="60BD9E1B"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5 </w:t>
      </w:r>
      <w:r w:rsidRPr="00732F3B">
        <w:rPr>
          <w:rFonts w:ascii="Book Antiqua" w:eastAsia="Book Antiqua" w:hAnsi="Book Antiqua" w:cs="Book Antiqua"/>
          <w:b/>
          <w:bCs/>
          <w:color w:val="000000"/>
        </w:rPr>
        <w:t>European Association for the Study of the Liver (EASL)</w:t>
      </w:r>
      <w:r w:rsidR="00132916" w:rsidRPr="00132916">
        <w:rPr>
          <w:rFonts w:ascii="Book Antiqua" w:eastAsia="Book Antiqua" w:hAnsi="Book Antiqua" w:cs="Book Antiqua"/>
          <w:bCs/>
          <w:color w:val="000000"/>
        </w:rPr>
        <w:t>;</w:t>
      </w:r>
      <w:r w:rsidRPr="00732F3B">
        <w:rPr>
          <w:rFonts w:ascii="Book Antiqua" w:eastAsia="Book Antiqua" w:hAnsi="Book Antiqua" w:cs="Book Antiqua"/>
          <w:color w:val="000000"/>
        </w:rPr>
        <w:t xml:space="preserve"> European Association for the Study of Diabetes (EASD); European Association for the Study of Obesity (EASO). EASL-EASD-EASO Clinical Practice Guidelines for the management of non-alcoholic fatty liver disease. </w:t>
      </w:r>
      <w:r w:rsidRPr="00732F3B">
        <w:rPr>
          <w:rFonts w:ascii="Book Antiqua" w:eastAsia="Book Antiqua" w:hAnsi="Book Antiqua" w:cs="Book Antiqua"/>
          <w:i/>
          <w:iCs/>
          <w:color w:val="000000"/>
        </w:rPr>
        <w:t>J Hepatol</w:t>
      </w:r>
      <w:r w:rsidRPr="00732F3B">
        <w:rPr>
          <w:rFonts w:ascii="Book Antiqua" w:eastAsia="Book Antiqua" w:hAnsi="Book Antiqua" w:cs="Book Antiqua"/>
          <w:color w:val="000000"/>
        </w:rPr>
        <w:t xml:space="preserve"> 2016; </w:t>
      </w:r>
      <w:r w:rsidRPr="00732F3B">
        <w:rPr>
          <w:rFonts w:ascii="Book Antiqua" w:eastAsia="Book Antiqua" w:hAnsi="Book Antiqua" w:cs="Book Antiqua"/>
          <w:b/>
          <w:bCs/>
          <w:color w:val="000000"/>
        </w:rPr>
        <w:t>64</w:t>
      </w:r>
      <w:r w:rsidRPr="00732F3B">
        <w:rPr>
          <w:rFonts w:ascii="Book Antiqua" w:eastAsia="Book Antiqua" w:hAnsi="Book Antiqua" w:cs="Book Antiqua"/>
          <w:color w:val="000000"/>
        </w:rPr>
        <w:t>: 1388-1402 [PMID: 27062661 DOI: 10.1016/j.jhep.2015.11.004]</w:t>
      </w:r>
    </w:p>
    <w:p w14:paraId="62FD695F" w14:textId="229F4073" w:rsidR="00A77B3E" w:rsidRPr="00732F3B" w:rsidRDefault="00D76D0F"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6 </w:t>
      </w:r>
      <w:r w:rsidR="00260EB5" w:rsidRPr="00732F3B">
        <w:rPr>
          <w:rFonts w:ascii="Book Antiqua" w:eastAsia="Book Antiqua" w:hAnsi="Book Antiqua" w:cs="Book Antiqua"/>
          <w:color w:val="000000"/>
        </w:rPr>
        <w:t xml:space="preserve">Introduction: </w:t>
      </w:r>
      <w:r w:rsidR="00260EB5" w:rsidRPr="00732F3B">
        <w:rPr>
          <w:rFonts w:ascii="Book Antiqua" w:eastAsia="Book Antiqua" w:hAnsi="Book Antiqua" w:cs="Book Antiqua"/>
          <w:i/>
          <w:iCs/>
          <w:color w:val="000000"/>
        </w:rPr>
        <w:t>Standards of Medical Care in Diabetes-2019</w:t>
      </w:r>
      <w:r w:rsidR="00260EB5" w:rsidRPr="00732F3B">
        <w:rPr>
          <w:rFonts w:ascii="Book Antiqua" w:eastAsia="Book Antiqua" w:hAnsi="Book Antiqua" w:cs="Book Antiqua"/>
          <w:color w:val="000000"/>
        </w:rPr>
        <w:t xml:space="preserve">. </w:t>
      </w:r>
      <w:r w:rsidR="00260EB5" w:rsidRPr="00732F3B">
        <w:rPr>
          <w:rFonts w:ascii="Book Antiqua" w:eastAsia="Book Antiqua" w:hAnsi="Book Antiqua" w:cs="Book Antiqua"/>
          <w:i/>
          <w:iCs/>
          <w:color w:val="000000"/>
        </w:rPr>
        <w:t>Diabetes Care</w:t>
      </w:r>
      <w:r w:rsidR="00260EB5" w:rsidRPr="00732F3B">
        <w:rPr>
          <w:rFonts w:ascii="Book Antiqua" w:eastAsia="Book Antiqua" w:hAnsi="Book Antiqua" w:cs="Book Antiqua"/>
          <w:color w:val="000000"/>
        </w:rPr>
        <w:t xml:space="preserve"> 2019; </w:t>
      </w:r>
      <w:r w:rsidR="00260EB5" w:rsidRPr="00732F3B">
        <w:rPr>
          <w:rFonts w:ascii="Book Antiqua" w:eastAsia="Book Antiqua" w:hAnsi="Book Antiqua" w:cs="Book Antiqua"/>
          <w:b/>
          <w:bCs/>
          <w:color w:val="000000"/>
        </w:rPr>
        <w:t>42</w:t>
      </w:r>
      <w:r w:rsidR="00260EB5" w:rsidRPr="00732F3B">
        <w:rPr>
          <w:rFonts w:ascii="Book Antiqua" w:eastAsia="Book Antiqua" w:hAnsi="Book Antiqua" w:cs="Book Antiqua"/>
          <w:color w:val="000000"/>
        </w:rPr>
        <w:t>: S1-S2 [PMID: 30559224 DOI: 10.2337/dc19-Sint01]</w:t>
      </w:r>
    </w:p>
    <w:p w14:paraId="2EC05B6C" w14:textId="3FA08F29"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7 </w:t>
      </w:r>
      <w:r w:rsidRPr="00732F3B">
        <w:rPr>
          <w:rFonts w:ascii="Book Antiqua" w:eastAsia="Book Antiqua" w:hAnsi="Book Antiqua" w:cs="Book Antiqua"/>
          <w:b/>
          <w:bCs/>
          <w:color w:val="000000"/>
        </w:rPr>
        <w:t>Taylor RS</w:t>
      </w:r>
      <w:r w:rsidRPr="00732F3B">
        <w:rPr>
          <w:rFonts w:ascii="Book Antiqua" w:eastAsia="Book Antiqua" w:hAnsi="Book Antiqua" w:cs="Book Antiqua"/>
          <w:color w:val="000000"/>
        </w:rPr>
        <w:t xml:space="preserve">, Taylor RJ, Bayliss S, Hagström H, Nasr P, Schattenberg JM, Ishigami M, Toyoda H, Wai-Sun Wong V, Peleg N, Shlomai A, Sebastiani G, Seko Y, Bhala N, Younossi ZM, Anstee QM, McPherson S, Newsome PN. Association </w:t>
      </w:r>
      <w:r w:rsidR="00B71500" w:rsidRPr="00732F3B">
        <w:rPr>
          <w:rFonts w:ascii="Book Antiqua" w:eastAsia="Book Antiqua" w:hAnsi="Book Antiqua" w:cs="Book Antiqua"/>
          <w:color w:val="000000"/>
        </w:rPr>
        <w:t>b</w:t>
      </w:r>
      <w:r w:rsidRPr="00732F3B">
        <w:rPr>
          <w:rFonts w:ascii="Book Antiqua" w:eastAsia="Book Antiqua" w:hAnsi="Book Antiqua" w:cs="Book Antiqua"/>
          <w:color w:val="000000"/>
        </w:rPr>
        <w:t xml:space="preserve">etween Fibrosis Stage and Outcomes of Patients With Nonalcoholic Fatty Liver Disease: A Systematic Review and Meta-Analysis. </w:t>
      </w:r>
      <w:r w:rsidRPr="00732F3B">
        <w:rPr>
          <w:rFonts w:ascii="Book Antiqua" w:eastAsia="Book Antiqua" w:hAnsi="Book Antiqua" w:cs="Book Antiqua"/>
          <w:i/>
          <w:iCs/>
          <w:color w:val="000000"/>
        </w:rPr>
        <w:t>Gastroenterology</w:t>
      </w:r>
      <w:r w:rsidRPr="00732F3B">
        <w:rPr>
          <w:rFonts w:ascii="Book Antiqua" w:eastAsia="Book Antiqua" w:hAnsi="Book Antiqua" w:cs="Book Antiqua"/>
          <w:color w:val="000000"/>
        </w:rPr>
        <w:t xml:space="preserve"> 2020; </w:t>
      </w:r>
      <w:r w:rsidRPr="00732F3B">
        <w:rPr>
          <w:rFonts w:ascii="Book Antiqua" w:eastAsia="Book Antiqua" w:hAnsi="Book Antiqua" w:cs="Book Antiqua"/>
          <w:b/>
          <w:bCs/>
          <w:color w:val="000000"/>
        </w:rPr>
        <w:t>158</w:t>
      </w:r>
      <w:r w:rsidRPr="00732F3B">
        <w:rPr>
          <w:rFonts w:ascii="Book Antiqua" w:eastAsia="Book Antiqua" w:hAnsi="Book Antiqua" w:cs="Book Antiqua"/>
          <w:color w:val="000000"/>
        </w:rPr>
        <w:t>: 1611-1625.e12 [PMID: 32027911 DOI: 10.1053/j.gastro.2020.01.043]</w:t>
      </w:r>
    </w:p>
    <w:p w14:paraId="24800605" w14:textId="5793A3E8"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8 </w:t>
      </w:r>
      <w:r w:rsidRPr="00732F3B">
        <w:rPr>
          <w:rFonts w:ascii="Book Antiqua" w:eastAsia="Book Antiqua" w:hAnsi="Book Antiqua" w:cs="Book Antiqua"/>
          <w:b/>
          <w:bCs/>
          <w:color w:val="000000"/>
        </w:rPr>
        <w:t>Gutierrez-Grobe Y</w:t>
      </w:r>
      <w:r w:rsidRPr="00732F3B">
        <w:rPr>
          <w:rFonts w:ascii="Book Antiqua" w:eastAsia="Book Antiqua" w:hAnsi="Book Antiqua" w:cs="Book Antiqua"/>
          <w:color w:val="000000"/>
        </w:rPr>
        <w:t>, Ponciano-Rodríguez G, Ramos MH, Uribe M, Ménd</w:t>
      </w:r>
      <w:r w:rsidR="00D76D0F" w:rsidRPr="00732F3B">
        <w:rPr>
          <w:rFonts w:ascii="Book Antiqua" w:eastAsia="Book Antiqua" w:hAnsi="Book Antiqua" w:cs="Book Antiqua"/>
          <w:color w:val="000000"/>
        </w:rPr>
        <w:t>ez-Sánchez N. Prevalence of non-</w:t>
      </w:r>
      <w:r w:rsidRPr="00732F3B">
        <w:rPr>
          <w:rFonts w:ascii="Book Antiqua" w:eastAsia="Book Antiqua" w:hAnsi="Book Antiqua" w:cs="Book Antiqua"/>
          <w:color w:val="000000"/>
        </w:rPr>
        <w:t xml:space="preserve">alcoholic fatty liver disease in premenopausal, posmenopausal and polycystic ovary syndrome women. The role of estrogens. </w:t>
      </w:r>
      <w:r w:rsidRPr="00732F3B">
        <w:rPr>
          <w:rFonts w:ascii="Book Antiqua" w:eastAsia="Book Antiqua" w:hAnsi="Book Antiqua" w:cs="Book Antiqua"/>
          <w:i/>
          <w:iCs/>
          <w:color w:val="000000"/>
        </w:rPr>
        <w:t>Ann Hepatol</w:t>
      </w:r>
      <w:r w:rsidRPr="00732F3B">
        <w:rPr>
          <w:rFonts w:ascii="Book Antiqua" w:eastAsia="Book Antiqua" w:hAnsi="Book Antiqua" w:cs="Book Antiqua"/>
          <w:color w:val="000000"/>
        </w:rPr>
        <w:t xml:space="preserve"> 2010; </w:t>
      </w:r>
      <w:r w:rsidRPr="00732F3B">
        <w:rPr>
          <w:rFonts w:ascii="Book Antiqua" w:eastAsia="Book Antiqua" w:hAnsi="Book Antiqua" w:cs="Book Antiqua"/>
          <w:b/>
          <w:bCs/>
          <w:color w:val="000000"/>
        </w:rPr>
        <w:t>9</w:t>
      </w:r>
      <w:r w:rsidRPr="00732F3B">
        <w:rPr>
          <w:rFonts w:ascii="Book Antiqua" w:eastAsia="Book Antiqua" w:hAnsi="Book Antiqua" w:cs="Book Antiqua"/>
          <w:color w:val="000000"/>
        </w:rPr>
        <w:t>: 402-409 [PMID: 21057159]</w:t>
      </w:r>
    </w:p>
    <w:p w14:paraId="5E73A1BD"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9 </w:t>
      </w:r>
      <w:r w:rsidRPr="00732F3B">
        <w:rPr>
          <w:rFonts w:ascii="Book Antiqua" w:eastAsia="Book Antiqua" w:hAnsi="Book Antiqua" w:cs="Book Antiqua"/>
          <w:b/>
          <w:bCs/>
          <w:color w:val="000000"/>
        </w:rPr>
        <w:t>Macut D</w:t>
      </w:r>
      <w:r w:rsidRPr="00732F3B">
        <w:rPr>
          <w:rFonts w:ascii="Book Antiqua" w:eastAsia="Book Antiqua" w:hAnsi="Book Antiqua" w:cs="Book Antiqua"/>
          <w:color w:val="000000"/>
        </w:rPr>
        <w:t xml:space="preserve">, Božić-Antić I, Bjekić-Macut J, Tziomalos K. MANAGEMENT OF ENDOCRINE DISEASE: Polycystic ovary syndrome and nonalcoholic fatty liver disease. </w:t>
      </w:r>
      <w:r w:rsidRPr="00732F3B">
        <w:rPr>
          <w:rFonts w:ascii="Book Antiqua" w:eastAsia="Book Antiqua" w:hAnsi="Book Antiqua" w:cs="Book Antiqua"/>
          <w:i/>
          <w:iCs/>
          <w:color w:val="000000"/>
        </w:rPr>
        <w:t>Eur J Endocrinol</w:t>
      </w:r>
      <w:r w:rsidRPr="00732F3B">
        <w:rPr>
          <w:rFonts w:ascii="Book Antiqua" w:eastAsia="Book Antiqua" w:hAnsi="Book Antiqua" w:cs="Book Antiqua"/>
          <w:color w:val="000000"/>
        </w:rPr>
        <w:t xml:space="preserve"> 2017; </w:t>
      </w:r>
      <w:r w:rsidRPr="00732F3B">
        <w:rPr>
          <w:rFonts w:ascii="Book Antiqua" w:eastAsia="Book Antiqua" w:hAnsi="Book Antiqua" w:cs="Book Antiqua"/>
          <w:b/>
          <w:bCs/>
          <w:color w:val="000000"/>
        </w:rPr>
        <w:t>177</w:t>
      </w:r>
      <w:r w:rsidRPr="00732F3B">
        <w:rPr>
          <w:rFonts w:ascii="Book Antiqua" w:eastAsia="Book Antiqua" w:hAnsi="Book Antiqua" w:cs="Book Antiqua"/>
          <w:color w:val="000000"/>
        </w:rPr>
        <w:t>: R145-R158 [PMID: 28694246 DOI: 10.1530/EJE-16-1063]</w:t>
      </w:r>
    </w:p>
    <w:p w14:paraId="1510CB25" w14:textId="6EEA95DD"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10 </w:t>
      </w:r>
      <w:r w:rsidR="00F31A54" w:rsidRPr="00732F3B">
        <w:rPr>
          <w:rFonts w:ascii="Book Antiqua" w:eastAsia="Book Antiqua" w:hAnsi="Book Antiqua" w:cs="Book Antiqua"/>
          <w:b/>
          <w:bCs/>
          <w:color w:val="000000"/>
        </w:rPr>
        <w:t>Neukam K</w:t>
      </w:r>
      <w:r w:rsidRPr="00732F3B">
        <w:rPr>
          <w:rFonts w:ascii="Book Antiqua" w:eastAsia="Book Antiqua" w:hAnsi="Book Antiqua" w:cs="Book Antiqua"/>
          <w:b/>
          <w:bCs/>
          <w:color w:val="000000"/>
        </w:rPr>
        <w:t>,</w:t>
      </w:r>
      <w:r w:rsidRPr="00732F3B">
        <w:rPr>
          <w:rFonts w:ascii="Book Antiqua" w:eastAsia="Book Antiqua" w:hAnsi="Book Antiqua" w:cs="Book Antiqua"/>
          <w:color w:val="000000"/>
        </w:rPr>
        <w:t xml:space="preserve"> </w:t>
      </w:r>
      <w:r w:rsidR="00F31A54" w:rsidRPr="00732F3B">
        <w:rPr>
          <w:rFonts w:ascii="Book Antiqua" w:eastAsia="Book Antiqua" w:hAnsi="Book Antiqua" w:cs="Book Antiqua"/>
          <w:color w:val="000000"/>
        </w:rPr>
        <w:t>Bhagani S, Rodger A,</w:t>
      </w:r>
      <w:r w:rsidRPr="00732F3B">
        <w:rPr>
          <w:rFonts w:ascii="Book Antiqua" w:eastAsia="Book Antiqua" w:hAnsi="Book Antiqua" w:cs="Book Antiqua"/>
          <w:color w:val="000000"/>
        </w:rPr>
        <w:t xml:space="preserve"> Obe</w:t>
      </w:r>
      <w:r w:rsidR="00F31A54" w:rsidRPr="00732F3B">
        <w:rPr>
          <w:rFonts w:ascii="Book Antiqua" w:eastAsia="Book Antiqua" w:hAnsi="Book Antiqua" w:cs="Book Antiqua"/>
          <w:color w:val="000000"/>
        </w:rPr>
        <w:t>n J, Nirmal D, Jain A, Nair D</w:t>
      </w:r>
      <w:r w:rsidRPr="00732F3B">
        <w:rPr>
          <w:rFonts w:ascii="Book Antiqua" w:eastAsia="Book Antiqua" w:hAnsi="Book Antiqua" w:cs="Book Antiqua"/>
          <w:color w:val="000000"/>
        </w:rPr>
        <w:t xml:space="preserve">R. </w:t>
      </w:r>
      <w:bookmarkStart w:id="43" w:name="OLE_LINK1"/>
      <w:r w:rsidRPr="00732F3B">
        <w:rPr>
          <w:rFonts w:ascii="Book Antiqua" w:eastAsia="Book Antiqua" w:hAnsi="Book Antiqua" w:cs="Book Antiqua"/>
          <w:color w:val="000000"/>
        </w:rPr>
        <w:t>High prevalence of non-alcoholic fatty liver disease (NAFLD) among Gujarati Indians in North London: a population-based study</w:t>
      </w:r>
      <w:bookmarkEnd w:id="43"/>
      <w:r w:rsidRPr="00732F3B">
        <w:rPr>
          <w:rFonts w:ascii="Book Antiqua" w:eastAsia="Book Antiqua" w:hAnsi="Book Antiqua" w:cs="Book Antiqua"/>
          <w:color w:val="000000"/>
        </w:rPr>
        <w:t xml:space="preserve">. </w:t>
      </w:r>
      <w:r w:rsidRPr="00732F3B">
        <w:rPr>
          <w:rFonts w:ascii="Book Antiqua" w:eastAsia="Book Antiqua" w:hAnsi="Book Antiqua" w:cs="Book Antiqua"/>
          <w:i/>
          <w:color w:val="000000"/>
        </w:rPr>
        <w:t>Clin</w:t>
      </w:r>
      <w:r w:rsidR="00457D00">
        <w:rPr>
          <w:rFonts w:ascii="Book Antiqua" w:eastAsia="Book Antiqua" w:hAnsi="Book Antiqua" w:cs="Book Antiqua"/>
          <w:i/>
          <w:color w:val="000000"/>
        </w:rPr>
        <w:t xml:space="preserve"> </w:t>
      </w:r>
      <w:r w:rsidRPr="00732F3B">
        <w:rPr>
          <w:rFonts w:ascii="Book Antiqua" w:eastAsia="Book Antiqua" w:hAnsi="Book Antiqua" w:cs="Book Antiqua"/>
          <w:i/>
          <w:color w:val="000000"/>
        </w:rPr>
        <w:t>Lipidiol</w:t>
      </w:r>
      <w:r w:rsidR="00457D00">
        <w:rPr>
          <w:rFonts w:ascii="Book Antiqua" w:eastAsia="Book Antiqua" w:hAnsi="Book Antiqua" w:cs="Book Antiqua"/>
          <w:i/>
          <w:color w:val="000000"/>
        </w:rPr>
        <w:t xml:space="preserve"> </w:t>
      </w:r>
      <w:r w:rsidRPr="00732F3B">
        <w:rPr>
          <w:rFonts w:ascii="Book Antiqua" w:eastAsia="Book Antiqua" w:hAnsi="Book Antiqua" w:cs="Book Antiqua"/>
          <w:color w:val="000000"/>
        </w:rPr>
        <w:t xml:space="preserve">2017; </w:t>
      </w:r>
      <w:r w:rsidRPr="00732F3B">
        <w:rPr>
          <w:rFonts w:ascii="Book Antiqua" w:eastAsia="Book Antiqua" w:hAnsi="Book Antiqua" w:cs="Book Antiqua"/>
          <w:b/>
          <w:color w:val="000000"/>
        </w:rPr>
        <w:t>12:</w:t>
      </w:r>
      <w:r w:rsidRPr="00732F3B">
        <w:rPr>
          <w:rFonts w:ascii="Book Antiqua" w:eastAsia="Book Antiqua" w:hAnsi="Book Antiqua" w:cs="Book Antiqua"/>
          <w:color w:val="000000"/>
        </w:rPr>
        <w:t xml:space="preserve"> 33-39</w:t>
      </w:r>
    </w:p>
    <w:p w14:paraId="404E0B1B"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11 </w:t>
      </w:r>
      <w:r w:rsidRPr="00732F3B">
        <w:rPr>
          <w:rFonts w:ascii="Book Antiqua" w:eastAsia="Book Antiqua" w:hAnsi="Book Antiqua" w:cs="Book Antiqua"/>
          <w:b/>
          <w:bCs/>
          <w:color w:val="000000"/>
        </w:rPr>
        <w:t>Kim JJ</w:t>
      </w:r>
      <w:r w:rsidRPr="00732F3B">
        <w:rPr>
          <w:rFonts w:ascii="Book Antiqua" w:eastAsia="Book Antiqua" w:hAnsi="Book Antiqua" w:cs="Book Antiqua"/>
          <w:color w:val="000000"/>
        </w:rPr>
        <w:t xml:space="preserve">, Kim D, Yim JY, Kang JH, Han KH, Kim SM, Hwang KR, Ku SY, Suh CS, Kim SH, Choi YM. Polycystic ovary syndrome with hyperandrogenism as a risk factor for non-obese non-alcoholic fatty liver disease. </w:t>
      </w:r>
      <w:r w:rsidRPr="00732F3B">
        <w:rPr>
          <w:rFonts w:ascii="Book Antiqua" w:eastAsia="Book Antiqua" w:hAnsi="Book Antiqua" w:cs="Book Antiqua"/>
          <w:i/>
          <w:iCs/>
          <w:color w:val="000000"/>
        </w:rPr>
        <w:t>Aliment Pharmacol Ther</w:t>
      </w:r>
      <w:r w:rsidRPr="00732F3B">
        <w:rPr>
          <w:rFonts w:ascii="Book Antiqua" w:eastAsia="Book Antiqua" w:hAnsi="Book Antiqua" w:cs="Book Antiqua"/>
          <w:color w:val="000000"/>
        </w:rPr>
        <w:t xml:space="preserve"> 2017; </w:t>
      </w:r>
      <w:r w:rsidRPr="00732F3B">
        <w:rPr>
          <w:rFonts w:ascii="Book Antiqua" w:eastAsia="Book Antiqua" w:hAnsi="Book Antiqua" w:cs="Book Antiqua"/>
          <w:b/>
          <w:bCs/>
          <w:color w:val="000000"/>
        </w:rPr>
        <w:t>45</w:t>
      </w:r>
      <w:r w:rsidRPr="00732F3B">
        <w:rPr>
          <w:rFonts w:ascii="Book Antiqua" w:eastAsia="Book Antiqua" w:hAnsi="Book Antiqua" w:cs="Book Antiqua"/>
          <w:color w:val="000000"/>
        </w:rPr>
        <w:t>: 1403-1412 [PMID: 28370150 DOI: 10.1111/apt.14058]</w:t>
      </w:r>
    </w:p>
    <w:p w14:paraId="0D0CDB49"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12 </w:t>
      </w:r>
      <w:r w:rsidRPr="00732F3B">
        <w:rPr>
          <w:rFonts w:ascii="Book Antiqua" w:eastAsia="Book Antiqua" w:hAnsi="Book Antiqua" w:cs="Book Antiqua"/>
          <w:b/>
          <w:bCs/>
          <w:color w:val="000000"/>
        </w:rPr>
        <w:t>Rocha ALL</w:t>
      </w:r>
      <w:r w:rsidRPr="00732F3B">
        <w:rPr>
          <w:rFonts w:ascii="Book Antiqua" w:eastAsia="Book Antiqua" w:hAnsi="Book Antiqua" w:cs="Book Antiqua"/>
          <w:color w:val="000000"/>
        </w:rPr>
        <w:t xml:space="preserve">, Faria LC, Guimarães TCM, Moreira GV, Cândido AL, Couto CA, Reis FM. Non-alcoholic fatty liver disease in women with polycystic ovary syndrome: systematic review and meta-analysis. </w:t>
      </w:r>
      <w:r w:rsidRPr="00732F3B">
        <w:rPr>
          <w:rFonts w:ascii="Book Antiqua" w:eastAsia="Book Antiqua" w:hAnsi="Book Antiqua" w:cs="Book Antiqua"/>
          <w:i/>
          <w:iCs/>
          <w:color w:val="000000"/>
        </w:rPr>
        <w:t>J Endocrinol Invest</w:t>
      </w:r>
      <w:r w:rsidRPr="00732F3B">
        <w:rPr>
          <w:rFonts w:ascii="Book Antiqua" w:eastAsia="Book Antiqua" w:hAnsi="Book Antiqua" w:cs="Book Antiqua"/>
          <w:color w:val="000000"/>
        </w:rPr>
        <w:t xml:space="preserve"> 2017; </w:t>
      </w:r>
      <w:r w:rsidRPr="00732F3B">
        <w:rPr>
          <w:rFonts w:ascii="Book Antiqua" w:eastAsia="Book Antiqua" w:hAnsi="Book Antiqua" w:cs="Book Antiqua"/>
          <w:b/>
          <w:bCs/>
          <w:color w:val="000000"/>
        </w:rPr>
        <w:t>40</w:t>
      </w:r>
      <w:r w:rsidRPr="00732F3B">
        <w:rPr>
          <w:rFonts w:ascii="Book Antiqua" w:eastAsia="Book Antiqua" w:hAnsi="Book Antiqua" w:cs="Book Antiqua"/>
          <w:color w:val="000000"/>
        </w:rPr>
        <w:t>: 1279-1288 [PMID: 28612285 DOI: 10.1007/s40618-017-0708-9]</w:t>
      </w:r>
    </w:p>
    <w:p w14:paraId="41453624"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13 </w:t>
      </w:r>
      <w:r w:rsidRPr="00732F3B">
        <w:rPr>
          <w:rFonts w:ascii="Book Antiqua" w:eastAsia="Book Antiqua" w:hAnsi="Book Antiqua" w:cs="Book Antiqua"/>
          <w:b/>
          <w:bCs/>
          <w:color w:val="000000"/>
        </w:rPr>
        <w:t>Dowman JK</w:t>
      </w:r>
      <w:r w:rsidRPr="00732F3B">
        <w:rPr>
          <w:rFonts w:ascii="Book Antiqua" w:eastAsia="Book Antiqua" w:hAnsi="Book Antiqua" w:cs="Book Antiqua"/>
          <w:color w:val="000000"/>
        </w:rPr>
        <w:t xml:space="preserve">, Tomlinson JW, Newsome PN. Systematic review: the diagnosis and staging of non-alcoholic fatty liver disease and non-alcoholic steatohepatitis. </w:t>
      </w:r>
      <w:r w:rsidRPr="00732F3B">
        <w:rPr>
          <w:rFonts w:ascii="Book Antiqua" w:eastAsia="Book Antiqua" w:hAnsi="Book Antiqua" w:cs="Book Antiqua"/>
          <w:i/>
          <w:iCs/>
          <w:color w:val="000000"/>
        </w:rPr>
        <w:t>Aliment Pharmacol Ther</w:t>
      </w:r>
      <w:r w:rsidRPr="00732F3B">
        <w:rPr>
          <w:rFonts w:ascii="Book Antiqua" w:eastAsia="Book Antiqua" w:hAnsi="Book Antiqua" w:cs="Book Antiqua"/>
          <w:color w:val="000000"/>
        </w:rPr>
        <w:t xml:space="preserve"> 2011; </w:t>
      </w:r>
      <w:r w:rsidRPr="00732F3B">
        <w:rPr>
          <w:rFonts w:ascii="Book Antiqua" w:eastAsia="Book Antiqua" w:hAnsi="Book Antiqua" w:cs="Book Antiqua"/>
          <w:b/>
          <w:bCs/>
          <w:color w:val="000000"/>
        </w:rPr>
        <w:t>33</w:t>
      </w:r>
      <w:r w:rsidRPr="00732F3B">
        <w:rPr>
          <w:rFonts w:ascii="Book Antiqua" w:eastAsia="Book Antiqua" w:hAnsi="Book Antiqua" w:cs="Book Antiqua"/>
          <w:color w:val="000000"/>
        </w:rPr>
        <w:t>: 525-540 [PMID: 21198708 DOI: 10.1111/j.1365-2036.2010.04556.x]</w:t>
      </w:r>
    </w:p>
    <w:p w14:paraId="173AECE1"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14 </w:t>
      </w:r>
      <w:r w:rsidRPr="00732F3B">
        <w:rPr>
          <w:rFonts w:ascii="Book Antiqua" w:eastAsia="Book Antiqua" w:hAnsi="Book Antiqua" w:cs="Book Antiqua"/>
          <w:b/>
          <w:bCs/>
          <w:color w:val="000000"/>
        </w:rPr>
        <w:t>Lai M</w:t>
      </w:r>
      <w:r w:rsidRPr="00732F3B">
        <w:rPr>
          <w:rFonts w:ascii="Book Antiqua" w:eastAsia="Book Antiqua" w:hAnsi="Book Antiqua" w:cs="Book Antiqua"/>
          <w:color w:val="000000"/>
        </w:rPr>
        <w:t xml:space="preserve">, Afdhal NH. Liver Fibrosis Determination. </w:t>
      </w:r>
      <w:r w:rsidRPr="00732F3B">
        <w:rPr>
          <w:rFonts w:ascii="Book Antiqua" w:eastAsia="Book Antiqua" w:hAnsi="Book Antiqua" w:cs="Book Antiqua"/>
          <w:i/>
          <w:iCs/>
          <w:color w:val="000000"/>
        </w:rPr>
        <w:t>Gastroenterol Clin North Am</w:t>
      </w:r>
      <w:r w:rsidRPr="00732F3B">
        <w:rPr>
          <w:rFonts w:ascii="Book Antiqua" w:eastAsia="Book Antiqua" w:hAnsi="Book Antiqua" w:cs="Book Antiqua"/>
          <w:color w:val="000000"/>
        </w:rPr>
        <w:t xml:space="preserve"> 2019; </w:t>
      </w:r>
      <w:r w:rsidRPr="00732F3B">
        <w:rPr>
          <w:rFonts w:ascii="Book Antiqua" w:eastAsia="Book Antiqua" w:hAnsi="Book Antiqua" w:cs="Book Antiqua"/>
          <w:b/>
          <w:bCs/>
          <w:color w:val="000000"/>
        </w:rPr>
        <w:t>48</w:t>
      </w:r>
      <w:r w:rsidRPr="00732F3B">
        <w:rPr>
          <w:rFonts w:ascii="Book Antiqua" w:eastAsia="Book Antiqua" w:hAnsi="Book Antiqua" w:cs="Book Antiqua"/>
          <w:color w:val="000000"/>
        </w:rPr>
        <w:t>: 281-289 [PMID: 31046975 DOI: 10.1016/j.gtc.2019.02.002]</w:t>
      </w:r>
    </w:p>
    <w:p w14:paraId="4A9E397F" w14:textId="31B415F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15 </w:t>
      </w:r>
      <w:r w:rsidRPr="00732F3B">
        <w:rPr>
          <w:rFonts w:ascii="Book Antiqua" w:eastAsia="Book Antiqua" w:hAnsi="Book Antiqua" w:cs="Book Antiqua"/>
          <w:b/>
          <w:bCs/>
          <w:color w:val="000000"/>
        </w:rPr>
        <w:t>Castera L</w:t>
      </w:r>
      <w:r w:rsidRPr="00732F3B">
        <w:rPr>
          <w:rFonts w:ascii="Book Antiqua" w:eastAsia="Book Antiqua" w:hAnsi="Book Antiqua" w:cs="Book Antiqua"/>
          <w:color w:val="000000"/>
        </w:rPr>
        <w:t xml:space="preserve">, Friedrich-Rust M, Loomba R. Noninvasive Assessment of Liver Disease in Patients </w:t>
      </w:r>
      <w:r w:rsidR="00F31A54" w:rsidRPr="00732F3B">
        <w:rPr>
          <w:rFonts w:ascii="Book Antiqua" w:eastAsia="Book Antiqua" w:hAnsi="Book Antiqua" w:cs="Book Antiqua"/>
          <w:color w:val="000000"/>
        </w:rPr>
        <w:t>w</w:t>
      </w:r>
      <w:r w:rsidRPr="00732F3B">
        <w:rPr>
          <w:rFonts w:ascii="Book Antiqua" w:eastAsia="Book Antiqua" w:hAnsi="Book Antiqua" w:cs="Book Antiqua"/>
          <w:color w:val="000000"/>
        </w:rPr>
        <w:t xml:space="preserve">ith Nonalcoholic Fatty Liver Disease. </w:t>
      </w:r>
      <w:r w:rsidRPr="00732F3B">
        <w:rPr>
          <w:rFonts w:ascii="Book Antiqua" w:eastAsia="Book Antiqua" w:hAnsi="Book Antiqua" w:cs="Book Antiqua"/>
          <w:i/>
          <w:iCs/>
          <w:color w:val="000000"/>
        </w:rPr>
        <w:t>Gastroenterology</w:t>
      </w:r>
      <w:r w:rsidRPr="00732F3B">
        <w:rPr>
          <w:rFonts w:ascii="Book Antiqua" w:eastAsia="Book Antiqua" w:hAnsi="Book Antiqua" w:cs="Book Antiqua"/>
          <w:color w:val="000000"/>
        </w:rPr>
        <w:t xml:space="preserve"> 2019; </w:t>
      </w:r>
      <w:r w:rsidRPr="00732F3B">
        <w:rPr>
          <w:rFonts w:ascii="Book Antiqua" w:eastAsia="Book Antiqua" w:hAnsi="Book Antiqua" w:cs="Book Antiqua"/>
          <w:b/>
          <w:bCs/>
          <w:color w:val="000000"/>
        </w:rPr>
        <w:t>156</w:t>
      </w:r>
      <w:r w:rsidRPr="00732F3B">
        <w:rPr>
          <w:rFonts w:ascii="Book Antiqua" w:eastAsia="Book Antiqua" w:hAnsi="Book Antiqua" w:cs="Book Antiqua"/>
          <w:color w:val="000000"/>
        </w:rPr>
        <w:t>: 1264-1281.e4 [PMID: 30660725 DOI: 10.1053/j.gastro.2018.12.036]</w:t>
      </w:r>
    </w:p>
    <w:p w14:paraId="33109B19"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16 </w:t>
      </w:r>
      <w:r w:rsidRPr="00732F3B">
        <w:rPr>
          <w:rFonts w:ascii="Book Antiqua" w:eastAsia="Book Antiqua" w:hAnsi="Book Antiqua" w:cs="Book Antiqua"/>
          <w:b/>
          <w:bCs/>
          <w:color w:val="000000"/>
        </w:rPr>
        <w:t>Karlas T</w:t>
      </w:r>
      <w:r w:rsidRPr="00732F3B">
        <w:rPr>
          <w:rFonts w:ascii="Book Antiqua" w:eastAsia="Book Antiqua" w:hAnsi="Book Antiqua" w:cs="Book Antiqua"/>
          <w:color w:val="000000"/>
        </w:rPr>
        <w:t xml:space="preserve">, Petroff D, Sasso M, Fan JG, Mi YQ, de Lédinghen V, Kumar M, Lupsor-Platon M, Han KH, Cardoso AC, Ferraioli G, Chan WK, Wong VW, Myers RP, Chayama K, Friedrich-Rust M, Beaugrand M, Shen F, Hiriart JB, Sarin SK, Badea R, Jung KS, Marcellin P, Filice C, Mahadeva S, Wong GL, Crotty P, Masaki K, Bojunga J, Bedossa P, Keim V, Wiegand J. Individual patient data meta-analysis of controlled attenuation parameter (CAP) technology for assessing steatosis. </w:t>
      </w:r>
      <w:r w:rsidRPr="00732F3B">
        <w:rPr>
          <w:rFonts w:ascii="Book Antiqua" w:eastAsia="Book Antiqua" w:hAnsi="Book Antiqua" w:cs="Book Antiqua"/>
          <w:i/>
          <w:iCs/>
          <w:color w:val="000000"/>
        </w:rPr>
        <w:t>J Hepatol</w:t>
      </w:r>
      <w:r w:rsidRPr="00732F3B">
        <w:rPr>
          <w:rFonts w:ascii="Book Antiqua" w:eastAsia="Book Antiqua" w:hAnsi="Book Antiqua" w:cs="Book Antiqua"/>
          <w:color w:val="000000"/>
        </w:rPr>
        <w:t xml:space="preserve"> 2017; </w:t>
      </w:r>
      <w:r w:rsidRPr="00732F3B">
        <w:rPr>
          <w:rFonts w:ascii="Book Antiqua" w:eastAsia="Book Antiqua" w:hAnsi="Book Antiqua" w:cs="Book Antiqua"/>
          <w:b/>
          <w:bCs/>
          <w:color w:val="000000"/>
        </w:rPr>
        <w:t>66</w:t>
      </w:r>
      <w:r w:rsidRPr="00732F3B">
        <w:rPr>
          <w:rFonts w:ascii="Book Antiqua" w:eastAsia="Book Antiqua" w:hAnsi="Book Antiqua" w:cs="Book Antiqua"/>
          <w:color w:val="000000"/>
        </w:rPr>
        <w:t>: 1022-1030 [PMID: 28039099 DOI: 10.1016/j.jhep.2016.12.022]</w:t>
      </w:r>
    </w:p>
    <w:p w14:paraId="1F1ADF62" w14:textId="32DC7942"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17 </w:t>
      </w:r>
      <w:r w:rsidRPr="00732F3B">
        <w:rPr>
          <w:rFonts w:ascii="Book Antiqua" w:eastAsia="Book Antiqua" w:hAnsi="Book Antiqua" w:cs="Book Antiqua"/>
          <w:b/>
          <w:bCs/>
          <w:color w:val="000000"/>
        </w:rPr>
        <w:t>European Association for Study of Liver</w:t>
      </w:r>
      <w:r w:rsidRPr="00732F3B">
        <w:rPr>
          <w:rFonts w:ascii="Book Antiqua" w:eastAsia="Book Antiqua" w:hAnsi="Book Antiqua" w:cs="Book Antiqua"/>
          <w:color w:val="000000"/>
        </w:rPr>
        <w:t xml:space="preserve">; Asociacion Latinoamericana para el Estudio </w:t>
      </w:r>
      <w:r w:rsidR="00F31A54" w:rsidRPr="00732F3B">
        <w:rPr>
          <w:rFonts w:ascii="Book Antiqua" w:eastAsia="Book Antiqua" w:hAnsi="Book Antiqua" w:cs="Book Antiqua"/>
          <w:color w:val="000000"/>
        </w:rPr>
        <w:t>d</w:t>
      </w:r>
      <w:r w:rsidRPr="00732F3B">
        <w:rPr>
          <w:rFonts w:ascii="Book Antiqua" w:eastAsia="Book Antiqua" w:hAnsi="Book Antiqua" w:cs="Book Antiqua"/>
          <w:color w:val="000000"/>
        </w:rPr>
        <w:t xml:space="preserve">el Higado. EASL-ALEH Clinical Practice Guidelines: Non-invasive tests for evaluation of liver disease severity and prognosis. </w:t>
      </w:r>
      <w:r w:rsidRPr="00732F3B">
        <w:rPr>
          <w:rFonts w:ascii="Book Antiqua" w:eastAsia="Book Antiqua" w:hAnsi="Book Antiqua" w:cs="Book Antiqua"/>
          <w:i/>
          <w:iCs/>
          <w:color w:val="000000"/>
        </w:rPr>
        <w:t>J Hepatol</w:t>
      </w:r>
      <w:r w:rsidRPr="00732F3B">
        <w:rPr>
          <w:rFonts w:ascii="Book Antiqua" w:eastAsia="Book Antiqua" w:hAnsi="Book Antiqua" w:cs="Book Antiqua"/>
          <w:color w:val="000000"/>
        </w:rPr>
        <w:t xml:space="preserve"> 2015; </w:t>
      </w:r>
      <w:r w:rsidRPr="00732F3B">
        <w:rPr>
          <w:rFonts w:ascii="Book Antiqua" w:eastAsia="Book Antiqua" w:hAnsi="Book Antiqua" w:cs="Book Antiqua"/>
          <w:b/>
          <w:bCs/>
          <w:color w:val="000000"/>
        </w:rPr>
        <w:t>63</w:t>
      </w:r>
      <w:r w:rsidRPr="00732F3B">
        <w:rPr>
          <w:rFonts w:ascii="Book Antiqua" w:eastAsia="Book Antiqua" w:hAnsi="Book Antiqua" w:cs="Book Antiqua"/>
          <w:color w:val="000000"/>
        </w:rPr>
        <w:t>: 237-264 [PMID: 25911335 DOI: 10.1016/j.jhep.2015.04.006]</w:t>
      </w:r>
    </w:p>
    <w:p w14:paraId="64F86926"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18 </w:t>
      </w:r>
      <w:r w:rsidRPr="00732F3B">
        <w:rPr>
          <w:rFonts w:ascii="Book Antiqua" w:eastAsia="Book Antiqua" w:hAnsi="Book Antiqua" w:cs="Book Antiqua"/>
          <w:b/>
          <w:bCs/>
          <w:color w:val="000000"/>
        </w:rPr>
        <w:t>Eddowes PJ</w:t>
      </w:r>
      <w:r w:rsidRPr="00732F3B">
        <w:rPr>
          <w:rFonts w:ascii="Book Antiqua" w:eastAsia="Book Antiqua" w:hAnsi="Book Antiqua" w:cs="Book Antiqua"/>
          <w:color w:val="000000"/>
        </w:rPr>
        <w:t xml:space="preserve">, Sasso M, Allison M, Tsochatzis E, Anstee QM, Sheridan D, Guha IN, Cobbold JF, Deeks JJ, Paradis V, Bedossa P, Newsome PN. Accuracy of FibroScan Controlled Attenuation Parameter and Liver Stiffness Measurement in Assessing Steatosis and Fibrosis in Patients With Nonalcoholic Fatty Liver Disease. </w:t>
      </w:r>
      <w:r w:rsidRPr="00732F3B">
        <w:rPr>
          <w:rFonts w:ascii="Book Antiqua" w:eastAsia="Book Antiqua" w:hAnsi="Book Antiqua" w:cs="Book Antiqua"/>
          <w:i/>
          <w:iCs/>
          <w:color w:val="000000"/>
        </w:rPr>
        <w:t>Gastroenterology</w:t>
      </w:r>
      <w:r w:rsidRPr="00732F3B">
        <w:rPr>
          <w:rFonts w:ascii="Book Antiqua" w:eastAsia="Book Antiqua" w:hAnsi="Book Antiqua" w:cs="Book Antiqua"/>
          <w:color w:val="000000"/>
        </w:rPr>
        <w:t xml:space="preserve"> 2019; </w:t>
      </w:r>
      <w:r w:rsidRPr="00732F3B">
        <w:rPr>
          <w:rFonts w:ascii="Book Antiqua" w:eastAsia="Book Antiqua" w:hAnsi="Book Antiqua" w:cs="Book Antiqua"/>
          <w:b/>
          <w:bCs/>
          <w:color w:val="000000"/>
        </w:rPr>
        <w:t>156</w:t>
      </w:r>
      <w:r w:rsidRPr="00732F3B">
        <w:rPr>
          <w:rFonts w:ascii="Book Antiqua" w:eastAsia="Book Antiqua" w:hAnsi="Book Antiqua" w:cs="Book Antiqua"/>
          <w:color w:val="000000"/>
        </w:rPr>
        <w:t>: 1717-1730 [PMID: 30689971 DOI: 10.1053/j.gastro.2019.01.042]</w:t>
      </w:r>
    </w:p>
    <w:p w14:paraId="28E6B9A3"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19 </w:t>
      </w:r>
      <w:r w:rsidRPr="00732F3B">
        <w:rPr>
          <w:rFonts w:ascii="Book Antiqua" w:eastAsia="Book Antiqua" w:hAnsi="Book Antiqua" w:cs="Book Antiqua"/>
          <w:b/>
          <w:bCs/>
          <w:color w:val="000000"/>
        </w:rPr>
        <w:t>Caussy C</w:t>
      </w:r>
      <w:r w:rsidRPr="00732F3B">
        <w:rPr>
          <w:rFonts w:ascii="Book Antiqua" w:eastAsia="Book Antiqua" w:hAnsi="Book Antiqua" w:cs="Book Antiqua"/>
          <w:color w:val="000000"/>
        </w:rPr>
        <w:t xml:space="preserve">, Alquiraish MH, Nguyen P, Hernandez C, Cepin S, Fortney LE, Ajmera V, Bettencourt R, Collier S, Hooker J, Sy E, Rizo E, Richards L, Sirlin CB, Loomba R. Optimal threshold of controlled attenuation parameter with MRI-PDFF as the gold standard for the detection of hepatic steatosis. </w:t>
      </w:r>
      <w:r w:rsidRPr="00732F3B">
        <w:rPr>
          <w:rFonts w:ascii="Book Antiqua" w:eastAsia="Book Antiqua" w:hAnsi="Book Antiqua" w:cs="Book Antiqua"/>
          <w:i/>
          <w:iCs/>
          <w:color w:val="000000"/>
        </w:rPr>
        <w:t>Hepatology</w:t>
      </w:r>
      <w:r w:rsidRPr="00732F3B">
        <w:rPr>
          <w:rFonts w:ascii="Book Antiqua" w:eastAsia="Book Antiqua" w:hAnsi="Book Antiqua" w:cs="Book Antiqua"/>
          <w:color w:val="000000"/>
        </w:rPr>
        <w:t xml:space="preserve"> 2018; </w:t>
      </w:r>
      <w:r w:rsidRPr="00732F3B">
        <w:rPr>
          <w:rFonts w:ascii="Book Antiqua" w:eastAsia="Book Antiqua" w:hAnsi="Book Antiqua" w:cs="Book Antiqua"/>
          <w:b/>
          <w:bCs/>
          <w:color w:val="000000"/>
        </w:rPr>
        <w:t>67</w:t>
      </w:r>
      <w:r w:rsidRPr="00732F3B">
        <w:rPr>
          <w:rFonts w:ascii="Book Antiqua" w:eastAsia="Book Antiqua" w:hAnsi="Book Antiqua" w:cs="Book Antiqua"/>
          <w:color w:val="000000"/>
        </w:rPr>
        <w:t>: 1348-1359 [PMID: 29108123 DOI: 10.1002/hep.29639]</w:t>
      </w:r>
    </w:p>
    <w:p w14:paraId="366C6C18" w14:textId="5603EFDE"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20 </w:t>
      </w:r>
      <w:r w:rsidRPr="00732F3B">
        <w:rPr>
          <w:rFonts w:ascii="Book Antiqua" w:eastAsia="Book Antiqua" w:hAnsi="Book Antiqua" w:cs="Book Antiqua"/>
          <w:b/>
          <w:bCs/>
          <w:color w:val="000000"/>
        </w:rPr>
        <w:t>Rotterdam ESHRE/ASRM-Sponsored PCOS consensus workshop group.</w:t>
      </w:r>
      <w:r w:rsidRPr="00732F3B">
        <w:rPr>
          <w:rFonts w:ascii="Book Antiqua" w:eastAsia="Book Antiqua" w:hAnsi="Book Antiqua" w:cs="Book Antiqua"/>
          <w:color w:val="000000"/>
        </w:rPr>
        <w:t xml:space="preserve"> Revised 2003 consensus on diagnostic criteria and long-term health risks related to polycystic ovary syndrome (PCOS). </w:t>
      </w:r>
      <w:r w:rsidRPr="00732F3B">
        <w:rPr>
          <w:rFonts w:ascii="Book Antiqua" w:eastAsia="Book Antiqua" w:hAnsi="Book Antiqua" w:cs="Book Antiqua"/>
          <w:i/>
          <w:iCs/>
          <w:color w:val="000000"/>
        </w:rPr>
        <w:t>Hum Reprod</w:t>
      </w:r>
      <w:r w:rsidRPr="00732F3B">
        <w:rPr>
          <w:rFonts w:ascii="Book Antiqua" w:eastAsia="Book Antiqua" w:hAnsi="Book Antiqua" w:cs="Book Antiqua"/>
          <w:color w:val="000000"/>
        </w:rPr>
        <w:t xml:space="preserve"> 2004; </w:t>
      </w:r>
      <w:r w:rsidRPr="00732F3B">
        <w:rPr>
          <w:rFonts w:ascii="Book Antiqua" w:eastAsia="Book Antiqua" w:hAnsi="Book Antiqua" w:cs="Book Antiqua"/>
          <w:b/>
          <w:bCs/>
          <w:color w:val="000000"/>
        </w:rPr>
        <w:t>19</w:t>
      </w:r>
      <w:r w:rsidRPr="00732F3B">
        <w:rPr>
          <w:rFonts w:ascii="Book Antiqua" w:eastAsia="Book Antiqua" w:hAnsi="Book Antiqua" w:cs="Book Antiqua"/>
          <w:color w:val="000000"/>
        </w:rPr>
        <w:t>: 41-47 [PMID: 14688154 DOI: 10.1093/humrep/deh098]</w:t>
      </w:r>
    </w:p>
    <w:p w14:paraId="787BB24D"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21 </w:t>
      </w:r>
      <w:r w:rsidRPr="00732F3B">
        <w:rPr>
          <w:rFonts w:ascii="Book Antiqua" w:eastAsia="Book Antiqua" w:hAnsi="Book Antiqua" w:cs="Book Antiqua"/>
          <w:b/>
          <w:bCs/>
          <w:color w:val="000000"/>
        </w:rPr>
        <w:t>Bradley KA</w:t>
      </w:r>
      <w:r w:rsidRPr="00732F3B">
        <w:rPr>
          <w:rFonts w:ascii="Book Antiqua" w:eastAsia="Book Antiqua" w:hAnsi="Book Antiqua" w:cs="Book Antiqua"/>
          <w:color w:val="000000"/>
        </w:rPr>
        <w:t xml:space="preserve">, DeBenedetti AF, Volk RJ, Williams EC, Frank D, Kivlahan DR. AUDIT-C as a brief screen for alcohol misuse in primary care. </w:t>
      </w:r>
      <w:r w:rsidRPr="00732F3B">
        <w:rPr>
          <w:rFonts w:ascii="Book Antiqua" w:eastAsia="Book Antiqua" w:hAnsi="Book Antiqua" w:cs="Book Antiqua"/>
          <w:i/>
          <w:iCs/>
          <w:color w:val="000000"/>
        </w:rPr>
        <w:t>Alcohol Clin Exp Res</w:t>
      </w:r>
      <w:r w:rsidRPr="00732F3B">
        <w:rPr>
          <w:rFonts w:ascii="Book Antiqua" w:eastAsia="Book Antiqua" w:hAnsi="Book Antiqua" w:cs="Book Antiqua"/>
          <w:color w:val="000000"/>
        </w:rPr>
        <w:t xml:space="preserve"> 2007; </w:t>
      </w:r>
      <w:r w:rsidRPr="00732F3B">
        <w:rPr>
          <w:rFonts w:ascii="Book Antiqua" w:eastAsia="Book Antiqua" w:hAnsi="Book Antiqua" w:cs="Book Antiqua"/>
          <w:b/>
          <w:bCs/>
          <w:color w:val="000000"/>
        </w:rPr>
        <w:t>31</w:t>
      </w:r>
      <w:r w:rsidRPr="00732F3B">
        <w:rPr>
          <w:rFonts w:ascii="Book Antiqua" w:eastAsia="Book Antiqua" w:hAnsi="Book Antiqua" w:cs="Book Antiqua"/>
          <w:color w:val="000000"/>
        </w:rPr>
        <w:t>: 1208-1217 [PMID: 17451397 DOI: 10.1111/j.1530-0277.2007.00403.x]</w:t>
      </w:r>
    </w:p>
    <w:p w14:paraId="3C742F28"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22 </w:t>
      </w:r>
      <w:r w:rsidRPr="00732F3B">
        <w:rPr>
          <w:rFonts w:ascii="Book Antiqua" w:eastAsia="Book Antiqua" w:hAnsi="Book Antiqua" w:cs="Book Antiqua"/>
          <w:b/>
          <w:bCs/>
          <w:color w:val="000000"/>
        </w:rPr>
        <w:t>Joo EJ</w:t>
      </w:r>
      <w:r w:rsidRPr="00732F3B">
        <w:rPr>
          <w:rFonts w:ascii="Book Antiqua" w:eastAsia="Book Antiqua" w:hAnsi="Book Antiqua" w:cs="Book Antiqua"/>
          <w:color w:val="000000"/>
        </w:rPr>
        <w:t xml:space="preserve">, Chang Y, Yeom JS, Ryu S. Hepatitis B virus infection and decreased risk of nonalcoholic fatty liver disease: A cohort study. </w:t>
      </w:r>
      <w:r w:rsidRPr="00732F3B">
        <w:rPr>
          <w:rFonts w:ascii="Book Antiqua" w:eastAsia="Book Antiqua" w:hAnsi="Book Antiqua" w:cs="Book Antiqua"/>
          <w:i/>
          <w:iCs/>
          <w:color w:val="000000"/>
        </w:rPr>
        <w:t>Hepatology</w:t>
      </w:r>
      <w:r w:rsidRPr="00732F3B">
        <w:rPr>
          <w:rFonts w:ascii="Book Antiqua" w:eastAsia="Book Antiqua" w:hAnsi="Book Antiqua" w:cs="Book Antiqua"/>
          <w:color w:val="000000"/>
        </w:rPr>
        <w:t xml:space="preserve"> 2017; </w:t>
      </w:r>
      <w:r w:rsidRPr="00732F3B">
        <w:rPr>
          <w:rFonts w:ascii="Book Antiqua" w:eastAsia="Book Antiqua" w:hAnsi="Book Antiqua" w:cs="Book Antiqua"/>
          <w:b/>
          <w:bCs/>
          <w:color w:val="000000"/>
        </w:rPr>
        <w:t>65</w:t>
      </w:r>
      <w:r w:rsidRPr="00732F3B">
        <w:rPr>
          <w:rFonts w:ascii="Book Antiqua" w:eastAsia="Book Antiqua" w:hAnsi="Book Antiqua" w:cs="Book Antiqua"/>
          <w:color w:val="000000"/>
        </w:rPr>
        <w:t>: 828-835 [PMID: 28035771 DOI: 10.1002/hep.28917]</w:t>
      </w:r>
    </w:p>
    <w:p w14:paraId="5041DCAF"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23 </w:t>
      </w:r>
      <w:r w:rsidRPr="00732F3B">
        <w:rPr>
          <w:rFonts w:ascii="Book Antiqua" w:eastAsia="Book Antiqua" w:hAnsi="Book Antiqua" w:cs="Book Antiqua"/>
          <w:b/>
          <w:bCs/>
          <w:color w:val="000000"/>
        </w:rPr>
        <w:t>Wang B</w:t>
      </w:r>
      <w:r w:rsidRPr="00732F3B">
        <w:rPr>
          <w:rFonts w:ascii="Book Antiqua" w:eastAsia="Book Antiqua" w:hAnsi="Book Antiqua" w:cs="Book Antiqua"/>
          <w:color w:val="000000"/>
        </w:rPr>
        <w:t xml:space="preserve">, Li W, Fang H, Zhou H. Hepatitis B virus infection is not associated with fatty liver disease: Evidence from a cohort study and functional analysis. </w:t>
      </w:r>
      <w:r w:rsidRPr="00732F3B">
        <w:rPr>
          <w:rFonts w:ascii="Book Antiqua" w:eastAsia="Book Antiqua" w:hAnsi="Book Antiqua" w:cs="Book Antiqua"/>
          <w:i/>
          <w:iCs/>
          <w:color w:val="000000"/>
        </w:rPr>
        <w:t>Mol Med Rep</w:t>
      </w:r>
      <w:r w:rsidRPr="00732F3B">
        <w:rPr>
          <w:rFonts w:ascii="Book Antiqua" w:eastAsia="Book Antiqua" w:hAnsi="Book Antiqua" w:cs="Book Antiqua"/>
          <w:color w:val="000000"/>
        </w:rPr>
        <w:t xml:space="preserve"> 2019; </w:t>
      </w:r>
      <w:r w:rsidRPr="00732F3B">
        <w:rPr>
          <w:rFonts w:ascii="Book Antiqua" w:eastAsia="Book Antiqua" w:hAnsi="Book Antiqua" w:cs="Book Antiqua"/>
          <w:b/>
          <w:bCs/>
          <w:color w:val="000000"/>
        </w:rPr>
        <w:t>19</w:t>
      </w:r>
      <w:r w:rsidRPr="00732F3B">
        <w:rPr>
          <w:rFonts w:ascii="Book Antiqua" w:eastAsia="Book Antiqua" w:hAnsi="Book Antiqua" w:cs="Book Antiqua"/>
          <w:color w:val="000000"/>
        </w:rPr>
        <w:t>: 320-326 [PMID: 30387826 DOI: 10.3892/mmr.2018.9619]</w:t>
      </w:r>
    </w:p>
    <w:p w14:paraId="09BC0689"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24 </w:t>
      </w:r>
      <w:r w:rsidRPr="00732F3B">
        <w:rPr>
          <w:rFonts w:ascii="Book Antiqua" w:eastAsia="Book Antiqua" w:hAnsi="Book Antiqua" w:cs="Book Antiqua"/>
          <w:b/>
          <w:bCs/>
          <w:color w:val="000000"/>
        </w:rPr>
        <w:t>Roulot D</w:t>
      </w:r>
      <w:r w:rsidRPr="00732F3B">
        <w:rPr>
          <w:rFonts w:ascii="Book Antiqua" w:eastAsia="Book Antiqua" w:hAnsi="Book Antiqua" w:cs="Book Antiqua"/>
          <w:color w:val="000000"/>
        </w:rPr>
        <w:t xml:space="preserve">, Costes JL, Buyck JF, Warzocha U, Gambier N, Czernichow S, Le Clesiau H, Beaugrand M. Transient elastography as a screening tool for liver fibrosis and cirrhosis in a community-based population aged over 45 years. </w:t>
      </w:r>
      <w:r w:rsidRPr="00732F3B">
        <w:rPr>
          <w:rFonts w:ascii="Book Antiqua" w:eastAsia="Book Antiqua" w:hAnsi="Book Antiqua" w:cs="Book Antiqua"/>
          <w:i/>
          <w:iCs/>
          <w:color w:val="000000"/>
        </w:rPr>
        <w:t>Gut</w:t>
      </w:r>
      <w:r w:rsidRPr="00732F3B">
        <w:rPr>
          <w:rFonts w:ascii="Book Antiqua" w:eastAsia="Book Antiqua" w:hAnsi="Book Antiqua" w:cs="Book Antiqua"/>
          <w:color w:val="000000"/>
        </w:rPr>
        <w:t xml:space="preserve"> 2011; </w:t>
      </w:r>
      <w:r w:rsidRPr="00732F3B">
        <w:rPr>
          <w:rFonts w:ascii="Book Antiqua" w:eastAsia="Book Antiqua" w:hAnsi="Book Antiqua" w:cs="Book Antiqua"/>
          <w:b/>
          <w:bCs/>
          <w:color w:val="000000"/>
        </w:rPr>
        <w:t>60</w:t>
      </w:r>
      <w:r w:rsidRPr="00732F3B">
        <w:rPr>
          <w:rFonts w:ascii="Book Antiqua" w:eastAsia="Book Antiqua" w:hAnsi="Book Antiqua" w:cs="Book Antiqua"/>
          <w:color w:val="000000"/>
        </w:rPr>
        <w:t>: 977-984 [PMID: 21068129 DOI: 10.1136/gut.2010.221382]</w:t>
      </w:r>
    </w:p>
    <w:p w14:paraId="0D536AE6"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25 </w:t>
      </w:r>
      <w:r w:rsidRPr="00732F3B">
        <w:rPr>
          <w:rFonts w:ascii="Book Antiqua" w:eastAsia="Book Antiqua" w:hAnsi="Book Antiqua" w:cs="Book Antiqua"/>
          <w:b/>
          <w:bCs/>
          <w:color w:val="000000"/>
        </w:rPr>
        <w:t>Wong VW</w:t>
      </w:r>
      <w:r w:rsidRPr="00732F3B">
        <w:rPr>
          <w:rFonts w:ascii="Book Antiqua" w:eastAsia="Book Antiqua" w:hAnsi="Book Antiqua" w:cs="Book Antiqua"/>
          <w:color w:val="000000"/>
        </w:rPr>
        <w:t xml:space="preserve">, Vergniol J, Wong GL, Foucher J, Chan HL, Le Bail B, Choi PC, Kowo M, Chan AW, Merrouche W, Sung JJ, de Lédinghen V. Diagnosis of fibrosis and cirrhosis using liver stiffness measurement in nonalcoholic fatty liver disease. </w:t>
      </w:r>
      <w:r w:rsidRPr="00732F3B">
        <w:rPr>
          <w:rFonts w:ascii="Book Antiqua" w:eastAsia="Book Antiqua" w:hAnsi="Book Antiqua" w:cs="Book Antiqua"/>
          <w:i/>
          <w:iCs/>
          <w:color w:val="000000"/>
        </w:rPr>
        <w:t>Hepatology</w:t>
      </w:r>
      <w:r w:rsidRPr="00732F3B">
        <w:rPr>
          <w:rFonts w:ascii="Book Antiqua" w:eastAsia="Book Antiqua" w:hAnsi="Book Antiqua" w:cs="Book Antiqua"/>
          <w:color w:val="000000"/>
        </w:rPr>
        <w:t xml:space="preserve"> 2010; </w:t>
      </w:r>
      <w:r w:rsidRPr="00732F3B">
        <w:rPr>
          <w:rFonts w:ascii="Book Antiqua" w:eastAsia="Book Antiqua" w:hAnsi="Book Antiqua" w:cs="Book Antiqua"/>
          <w:b/>
          <w:bCs/>
          <w:color w:val="000000"/>
        </w:rPr>
        <w:t>51</w:t>
      </w:r>
      <w:r w:rsidRPr="00732F3B">
        <w:rPr>
          <w:rFonts w:ascii="Book Antiqua" w:eastAsia="Book Antiqua" w:hAnsi="Book Antiqua" w:cs="Book Antiqua"/>
          <w:color w:val="000000"/>
        </w:rPr>
        <w:t>: 454-462 [PMID: 20101745 DOI: 10.1002/hep.23312]</w:t>
      </w:r>
    </w:p>
    <w:p w14:paraId="5438A4B6"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26 </w:t>
      </w:r>
      <w:r w:rsidRPr="00732F3B">
        <w:rPr>
          <w:rFonts w:ascii="Book Antiqua" w:eastAsia="Book Antiqua" w:hAnsi="Book Antiqua" w:cs="Book Antiqua"/>
          <w:b/>
          <w:bCs/>
          <w:color w:val="000000"/>
        </w:rPr>
        <w:t>Wong VW</w:t>
      </w:r>
      <w:r w:rsidRPr="00732F3B">
        <w:rPr>
          <w:rFonts w:ascii="Book Antiqua" w:eastAsia="Book Antiqua" w:hAnsi="Book Antiqua" w:cs="Book Antiqua"/>
          <w:color w:val="000000"/>
        </w:rPr>
        <w:t xml:space="preserve">, Vergniol J, Wong GL, Foucher J, Chan AW, Chermak F, Choi PC, Merrouche W, Chu SH, Pesque S, Chan HL, de Lédinghen V. Liver stiffness measurement using XL probe in patients with nonalcoholic fatty liver disease. </w:t>
      </w:r>
      <w:r w:rsidRPr="00732F3B">
        <w:rPr>
          <w:rFonts w:ascii="Book Antiqua" w:eastAsia="Book Antiqua" w:hAnsi="Book Antiqua" w:cs="Book Antiqua"/>
          <w:i/>
          <w:iCs/>
          <w:color w:val="000000"/>
        </w:rPr>
        <w:t>Am J Gastroenterol</w:t>
      </w:r>
      <w:r w:rsidRPr="00732F3B">
        <w:rPr>
          <w:rFonts w:ascii="Book Antiqua" w:eastAsia="Book Antiqua" w:hAnsi="Book Antiqua" w:cs="Book Antiqua"/>
          <w:color w:val="000000"/>
        </w:rPr>
        <w:t xml:space="preserve"> 2012; </w:t>
      </w:r>
      <w:r w:rsidRPr="00732F3B">
        <w:rPr>
          <w:rFonts w:ascii="Book Antiqua" w:eastAsia="Book Antiqua" w:hAnsi="Book Antiqua" w:cs="Book Antiqua"/>
          <w:b/>
          <w:bCs/>
          <w:color w:val="000000"/>
        </w:rPr>
        <w:t>107</w:t>
      </w:r>
      <w:r w:rsidRPr="00732F3B">
        <w:rPr>
          <w:rFonts w:ascii="Book Antiqua" w:eastAsia="Book Antiqua" w:hAnsi="Book Antiqua" w:cs="Book Antiqua"/>
          <w:color w:val="000000"/>
        </w:rPr>
        <w:t>: 1862-1871 [PMID: 23032979 DOI: 10.1038/ajg.2012.331]</w:t>
      </w:r>
    </w:p>
    <w:p w14:paraId="1C13CBF0"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27 </w:t>
      </w:r>
      <w:r w:rsidRPr="00732F3B">
        <w:rPr>
          <w:rFonts w:ascii="Book Antiqua" w:eastAsia="Book Antiqua" w:hAnsi="Book Antiqua" w:cs="Book Antiqua"/>
          <w:b/>
          <w:bCs/>
          <w:color w:val="000000"/>
        </w:rPr>
        <w:t>Goff DC Jr</w:t>
      </w:r>
      <w:r w:rsidRPr="00732F3B">
        <w:rPr>
          <w:rFonts w:ascii="Book Antiqua" w:eastAsia="Book Antiqua" w:hAnsi="Book Antiqua" w:cs="Book Antiqua"/>
          <w:color w:val="000000"/>
        </w:rPr>
        <w:t xml:space="preserve">, Lloyd-Jones DM, Bennett G, Coady S, D'Agostino RB, Gibbons R, Greenland P, Lackland DT, Levy D, O'Donnell CJ, Robinson JG, Schwartz JS, Shero ST, Smith SC Jr, Sorlie P, Stone NJ, Wilson PW, Jordan HS, Nevo L, Wnek J, Anderson JL, Halperin JL, Albert NM, Bozkurt B, Brindis RG, Curtis LH, DeMets D, Hochman JS, Kovacs RJ, Ohman EM, Pressler SJ, Sellke FW, Shen WK, Smith SC Jr, Tomaselli GF; American College of Cardiology/American Heart Association Task Force on Practice Guidelines. 2013 ACC/AHA guideline on the assessment of cardiovascular risk: a report of the American College of Cardiology/American Heart Association Task Force on Practice Guidelines. </w:t>
      </w:r>
      <w:r w:rsidRPr="00732F3B">
        <w:rPr>
          <w:rFonts w:ascii="Book Antiqua" w:eastAsia="Book Antiqua" w:hAnsi="Book Antiqua" w:cs="Book Antiqua"/>
          <w:i/>
          <w:iCs/>
          <w:color w:val="000000"/>
        </w:rPr>
        <w:t>Circulation</w:t>
      </w:r>
      <w:r w:rsidRPr="00732F3B">
        <w:rPr>
          <w:rFonts w:ascii="Book Antiqua" w:eastAsia="Book Antiqua" w:hAnsi="Book Antiqua" w:cs="Book Antiqua"/>
          <w:color w:val="000000"/>
        </w:rPr>
        <w:t xml:space="preserve"> 2014; </w:t>
      </w:r>
      <w:r w:rsidRPr="00732F3B">
        <w:rPr>
          <w:rFonts w:ascii="Book Antiqua" w:eastAsia="Book Antiqua" w:hAnsi="Book Antiqua" w:cs="Book Antiqua"/>
          <w:b/>
          <w:bCs/>
          <w:color w:val="000000"/>
        </w:rPr>
        <w:t>129</w:t>
      </w:r>
      <w:r w:rsidRPr="00732F3B">
        <w:rPr>
          <w:rFonts w:ascii="Book Antiqua" w:eastAsia="Book Antiqua" w:hAnsi="Book Antiqua" w:cs="Book Antiqua"/>
          <w:color w:val="000000"/>
        </w:rPr>
        <w:t>: S49-S73 [PMID: 24222018 DOI: 10.1161/01.cir.0000437741.48606.98]</w:t>
      </w:r>
    </w:p>
    <w:p w14:paraId="3E83664B"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28 </w:t>
      </w:r>
      <w:r w:rsidRPr="00732F3B">
        <w:rPr>
          <w:rFonts w:ascii="Book Antiqua" w:eastAsia="Book Antiqua" w:hAnsi="Book Antiqua" w:cs="Book Antiqua"/>
          <w:b/>
          <w:bCs/>
          <w:color w:val="000000"/>
        </w:rPr>
        <w:t>Stevens PE</w:t>
      </w:r>
      <w:r w:rsidRPr="00732F3B">
        <w:rPr>
          <w:rFonts w:ascii="Book Antiqua" w:eastAsia="Book Antiqua" w:hAnsi="Book Antiqua" w:cs="Book Antiqua"/>
          <w:color w:val="000000"/>
        </w:rPr>
        <w:t xml:space="preserve">, Levin A; Kidney Disease: Improving Global Outcomes Chronic Kidney Disease Guideline Development Work Group Members. Evaluation and management of chronic kidney disease: synopsis of the kidney disease: improving global outcomes 2012 clinical practice guideline. </w:t>
      </w:r>
      <w:r w:rsidRPr="00732F3B">
        <w:rPr>
          <w:rFonts w:ascii="Book Antiqua" w:eastAsia="Book Antiqua" w:hAnsi="Book Antiqua" w:cs="Book Antiqua"/>
          <w:i/>
          <w:iCs/>
          <w:color w:val="000000"/>
        </w:rPr>
        <w:t>Ann Intern Med</w:t>
      </w:r>
      <w:r w:rsidRPr="00732F3B">
        <w:rPr>
          <w:rFonts w:ascii="Book Antiqua" w:eastAsia="Book Antiqua" w:hAnsi="Book Antiqua" w:cs="Book Antiqua"/>
          <w:color w:val="000000"/>
        </w:rPr>
        <w:t xml:space="preserve"> 2013; </w:t>
      </w:r>
      <w:r w:rsidRPr="00732F3B">
        <w:rPr>
          <w:rFonts w:ascii="Book Antiqua" w:eastAsia="Book Antiqua" w:hAnsi="Book Antiqua" w:cs="Book Antiqua"/>
          <w:b/>
          <w:bCs/>
          <w:color w:val="000000"/>
        </w:rPr>
        <w:t>158</w:t>
      </w:r>
      <w:r w:rsidRPr="00732F3B">
        <w:rPr>
          <w:rFonts w:ascii="Book Antiqua" w:eastAsia="Book Antiqua" w:hAnsi="Book Antiqua" w:cs="Book Antiqua"/>
          <w:color w:val="000000"/>
        </w:rPr>
        <w:t>: 825-830 [PMID: 23732715 DOI: 10.7326/0003-4819-158-11-201306040-00007]</w:t>
      </w:r>
    </w:p>
    <w:p w14:paraId="51F81640"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29 </w:t>
      </w:r>
      <w:r w:rsidRPr="00732F3B">
        <w:rPr>
          <w:rFonts w:ascii="Book Antiqua" w:eastAsia="Book Antiqua" w:hAnsi="Book Antiqua" w:cs="Book Antiqua"/>
          <w:b/>
          <w:bCs/>
          <w:color w:val="000000"/>
        </w:rPr>
        <w:t>Lopez-Giacoman S</w:t>
      </w:r>
      <w:r w:rsidRPr="00732F3B">
        <w:rPr>
          <w:rFonts w:ascii="Book Antiqua" w:eastAsia="Book Antiqua" w:hAnsi="Book Antiqua" w:cs="Book Antiqua"/>
          <w:color w:val="000000"/>
        </w:rPr>
        <w:t xml:space="preserve">, Madero M. Biomarkers in chronic kidney disease, from kidney function to kidney damage. </w:t>
      </w:r>
      <w:r w:rsidRPr="00732F3B">
        <w:rPr>
          <w:rFonts w:ascii="Book Antiqua" w:eastAsia="Book Antiqua" w:hAnsi="Book Antiqua" w:cs="Book Antiqua"/>
          <w:i/>
          <w:iCs/>
          <w:color w:val="000000"/>
        </w:rPr>
        <w:t>World J Nephrol</w:t>
      </w:r>
      <w:r w:rsidRPr="00732F3B">
        <w:rPr>
          <w:rFonts w:ascii="Book Antiqua" w:eastAsia="Book Antiqua" w:hAnsi="Book Antiqua" w:cs="Book Antiqua"/>
          <w:color w:val="000000"/>
        </w:rPr>
        <w:t xml:space="preserve"> 2015; </w:t>
      </w:r>
      <w:r w:rsidRPr="00732F3B">
        <w:rPr>
          <w:rFonts w:ascii="Book Antiqua" w:eastAsia="Book Antiqua" w:hAnsi="Book Antiqua" w:cs="Book Antiqua"/>
          <w:b/>
          <w:bCs/>
          <w:color w:val="000000"/>
        </w:rPr>
        <w:t>4</w:t>
      </w:r>
      <w:r w:rsidRPr="00732F3B">
        <w:rPr>
          <w:rFonts w:ascii="Book Antiqua" w:eastAsia="Book Antiqua" w:hAnsi="Book Antiqua" w:cs="Book Antiqua"/>
          <w:color w:val="000000"/>
        </w:rPr>
        <w:t>: 57-73 [PMID: 25664247 DOI: 10.5527/wjn.v4.i1.57]</w:t>
      </w:r>
    </w:p>
    <w:p w14:paraId="357A6846"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30 </w:t>
      </w:r>
      <w:r w:rsidRPr="00732F3B">
        <w:rPr>
          <w:rFonts w:ascii="Book Antiqua" w:eastAsia="Book Antiqua" w:hAnsi="Book Antiqua" w:cs="Book Antiqua"/>
          <w:b/>
          <w:bCs/>
          <w:color w:val="000000"/>
        </w:rPr>
        <w:t>Sandrin L</w:t>
      </w:r>
      <w:r w:rsidRPr="00732F3B">
        <w:rPr>
          <w:rFonts w:ascii="Book Antiqua" w:eastAsia="Book Antiqua" w:hAnsi="Book Antiqua" w:cs="Book Antiqua"/>
          <w:color w:val="000000"/>
        </w:rPr>
        <w:t xml:space="preserve">, Fourquet B, Hasquenoph JM, Yon S, Fournier C, Mal F, Christidis C, Ziol M, Poulet B, Kazemi F, Beaugrand M, Palau R. Transient elastography: a new noninvasive method for assessment of hepatic fibrosis. </w:t>
      </w:r>
      <w:r w:rsidRPr="00732F3B">
        <w:rPr>
          <w:rFonts w:ascii="Book Antiqua" w:eastAsia="Book Antiqua" w:hAnsi="Book Antiqua" w:cs="Book Antiqua"/>
          <w:i/>
          <w:iCs/>
          <w:color w:val="000000"/>
        </w:rPr>
        <w:t>Ultrasound Med Biol</w:t>
      </w:r>
      <w:r w:rsidRPr="00732F3B">
        <w:rPr>
          <w:rFonts w:ascii="Book Antiqua" w:eastAsia="Book Antiqua" w:hAnsi="Book Antiqua" w:cs="Book Antiqua"/>
          <w:color w:val="000000"/>
        </w:rPr>
        <w:t xml:space="preserve"> 2003; </w:t>
      </w:r>
      <w:r w:rsidRPr="00732F3B">
        <w:rPr>
          <w:rFonts w:ascii="Book Antiqua" w:eastAsia="Book Antiqua" w:hAnsi="Book Antiqua" w:cs="Book Antiqua"/>
          <w:b/>
          <w:bCs/>
          <w:color w:val="000000"/>
        </w:rPr>
        <w:t>29</w:t>
      </w:r>
      <w:r w:rsidRPr="00732F3B">
        <w:rPr>
          <w:rFonts w:ascii="Book Antiqua" w:eastAsia="Book Antiqua" w:hAnsi="Book Antiqua" w:cs="Book Antiqua"/>
          <w:color w:val="000000"/>
        </w:rPr>
        <w:t>: 1705-1713 [PMID: 14698338 DOI: 10.1016/j.ultrasmedbio.2003.07.001]</w:t>
      </w:r>
    </w:p>
    <w:p w14:paraId="33FF02CC"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31 </w:t>
      </w:r>
      <w:r w:rsidRPr="00732F3B">
        <w:rPr>
          <w:rFonts w:ascii="Book Antiqua" w:eastAsia="Book Antiqua" w:hAnsi="Book Antiqua" w:cs="Book Antiqua"/>
          <w:b/>
          <w:bCs/>
          <w:color w:val="000000"/>
        </w:rPr>
        <w:t>Lee JH</w:t>
      </w:r>
      <w:r w:rsidRPr="00732F3B">
        <w:rPr>
          <w:rFonts w:ascii="Book Antiqua" w:eastAsia="Book Antiqua" w:hAnsi="Book Antiqua" w:cs="Book Antiqua"/>
          <w:color w:val="000000"/>
        </w:rPr>
        <w:t xml:space="preserve">, Kim D, Kim HJ, Lee CH, Yang JI, Kim W, Kim YJ, Yoon JH, Cho SH, Sung MW, Lee HS. Hepatic steatosis index: a simple screening tool reflecting nonalcoholic fatty liver disease. </w:t>
      </w:r>
      <w:r w:rsidRPr="00732F3B">
        <w:rPr>
          <w:rFonts w:ascii="Book Antiqua" w:eastAsia="Book Antiqua" w:hAnsi="Book Antiqua" w:cs="Book Antiqua"/>
          <w:i/>
          <w:iCs/>
          <w:color w:val="000000"/>
        </w:rPr>
        <w:t>Dig Liver Dis</w:t>
      </w:r>
      <w:r w:rsidRPr="00732F3B">
        <w:rPr>
          <w:rFonts w:ascii="Book Antiqua" w:eastAsia="Book Antiqua" w:hAnsi="Book Antiqua" w:cs="Book Antiqua"/>
          <w:color w:val="000000"/>
        </w:rPr>
        <w:t xml:space="preserve"> 2010; </w:t>
      </w:r>
      <w:r w:rsidRPr="00732F3B">
        <w:rPr>
          <w:rFonts w:ascii="Book Antiqua" w:eastAsia="Book Antiqua" w:hAnsi="Book Antiqua" w:cs="Book Antiqua"/>
          <w:b/>
          <w:bCs/>
          <w:color w:val="000000"/>
        </w:rPr>
        <w:t>42</w:t>
      </w:r>
      <w:r w:rsidRPr="00732F3B">
        <w:rPr>
          <w:rFonts w:ascii="Book Antiqua" w:eastAsia="Book Antiqua" w:hAnsi="Book Antiqua" w:cs="Book Antiqua"/>
          <w:color w:val="000000"/>
        </w:rPr>
        <w:t>: 503-508 [PMID: 19766548 DOI: 10.1016/j.dld.2009.08.002]</w:t>
      </w:r>
    </w:p>
    <w:p w14:paraId="591B1CE2"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32 </w:t>
      </w:r>
      <w:r w:rsidRPr="00732F3B">
        <w:rPr>
          <w:rFonts w:ascii="Book Antiqua" w:eastAsia="Book Antiqua" w:hAnsi="Book Antiqua" w:cs="Book Antiqua"/>
          <w:b/>
          <w:bCs/>
          <w:color w:val="000000"/>
        </w:rPr>
        <w:t>Petta S</w:t>
      </w:r>
      <w:r w:rsidRPr="00732F3B">
        <w:rPr>
          <w:rFonts w:ascii="Book Antiqua" w:eastAsia="Book Antiqua" w:hAnsi="Book Antiqua" w:cs="Book Antiqua"/>
          <w:color w:val="000000"/>
        </w:rPr>
        <w:t xml:space="preserve">, Ciresi A, Bianco J, Geraci V, Boemi R, Galvano L, Magliozzo F, Merlino G, Craxì A, Giordano C. Insulin resistance and hyperandrogenism drive steatosis and fibrosis risk in young females with PCOS. </w:t>
      </w:r>
      <w:r w:rsidRPr="00732F3B">
        <w:rPr>
          <w:rFonts w:ascii="Book Antiqua" w:eastAsia="Book Antiqua" w:hAnsi="Book Antiqua" w:cs="Book Antiqua"/>
          <w:i/>
          <w:iCs/>
          <w:color w:val="000000"/>
        </w:rPr>
        <w:t>PLoS One</w:t>
      </w:r>
      <w:r w:rsidRPr="00732F3B">
        <w:rPr>
          <w:rFonts w:ascii="Book Antiqua" w:eastAsia="Book Antiqua" w:hAnsi="Book Antiqua" w:cs="Book Antiqua"/>
          <w:color w:val="000000"/>
        </w:rPr>
        <w:t xml:space="preserve"> 2017; </w:t>
      </w:r>
      <w:r w:rsidRPr="00732F3B">
        <w:rPr>
          <w:rFonts w:ascii="Book Antiqua" w:eastAsia="Book Antiqua" w:hAnsi="Book Antiqua" w:cs="Book Antiqua"/>
          <w:b/>
          <w:bCs/>
          <w:color w:val="000000"/>
        </w:rPr>
        <w:t>12</w:t>
      </w:r>
      <w:r w:rsidRPr="00732F3B">
        <w:rPr>
          <w:rFonts w:ascii="Book Antiqua" w:eastAsia="Book Antiqua" w:hAnsi="Book Antiqua" w:cs="Book Antiqua"/>
          <w:color w:val="000000"/>
        </w:rPr>
        <w:t>: e0186136 [PMID: 29161258 DOI: 10.1371/journal.pone.0186136]</w:t>
      </w:r>
    </w:p>
    <w:p w14:paraId="002FDC9A" w14:textId="1369AE93"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33 </w:t>
      </w:r>
      <w:r w:rsidRPr="00732F3B">
        <w:rPr>
          <w:rFonts w:ascii="Book Antiqua" w:eastAsia="Book Antiqua" w:hAnsi="Book Antiqua" w:cs="Book Antiqua"/>
          <w:b/>
          <w:bCs/>
          <w:color w:val="000000"/>
        </w:rPr>
        <w:t>Vallet-Pichard A</w:t>
      </w:r>
      <w:r w:rsidRPr="00732F3B">
        <w:rPr>
          <w:rFonts w:ascii="Book Antiqua" w:eastAsia="Book Antiqua" w:hAnsi="Book Antiqua" w:cs="Book Antiqua"/>
          <w:color w:val="000000"/>
        </w:rPr>
        <w:t xml:space="preserve">, Mallet V, Nalpas B, Verkarre V, Nalpas A, Dhalluin-Venier V, Fontaine H, Pol S. FIB-4: an inexpensive and accurate marker of fibrosis in HCV infection. </w:t>
      </w:r>
      <w:r w:rsidR="00F31A54" w:rsidRPr="00732F3B">
        <w:rPr>
          <w:rFonts w:ascii="Book Antiqua" w:eastAsia="Book Antiqua" w:hAnsi="Book Antiqua" w:cs="Book Antiqua"/>
          <w:color w:val="000000"/>
        </w:rPr>
        <w:t>C</w:t>
      </w:r>
      <w:r w:rsidRPr="00732F3B">
        <w:rPr>
          <w:rFonts w:ascii="Book Antiqua" w:eastAsia="Book Antiqua" w:hAnsi="Book Antiqua" w:cs="Book Antiqua"/>
          <w:color w:val="000000"/>
        </w:rPr>
        <w:t xml:space="preserve">omparison with liver biopsy and fibrotest. </w:t>
      </w:r>
      <w:r w:rsidRPr="00732F3B">
        <w:rPr>
          <w:rFonts w:ascii="Book Antiqua" w:eastAsia="Book Antiqua" w:hAnsi="Book Antiqua" w:cs="Book Antiqua"/>
          <w:i/>
          <w:iCs/>
          <w:color w:val="000000"/>
        </w:rPr>
        <w:t>Hepatology</w:t>
      </w:r>
      <w:r w:rsidRPr="00732F3B">
        <w:rPr>
          <w:rFonts w:ascii="Book Antiqua" w:eastAsia="Book Antiqua" w:hAnsi="Book Antiqua" w:cs="Book Antiqua"/>
          <w:color w:val="000000"/>
        </w:rPr>
        <w:t xml:space="preserve"> 2007; </w:t>
      </w:r>
      <w:r w:rsidRPr="00732F3B">
        <w:rPr>
          <w:rFonts w:ascii="Book Antiqua" w:eastAsia="Book Antiqua" w:hAnsi="Book Antiqua" w:cs="Book Antiqua"/>
          <w:b/>
          <w:bCs/>
          <w:color w:val="000000"/>
        </w:rPr>
        <w:t>46</w:t>
      </w:r>
      <w:r w:rsidRPr="00732F3B">
        <w:rPr>
          <w:rFonts w:ascii="Book Antiqua" w:eastAsia="Book Antiqua" w:hAnsi="Book Antiqua" w:cs="Book Antiqua"/>
          <w:color w:val="000000"/>
        </w:rPr>
        <w:t>: 32-36 [PMID: 17567829 DOI: 10.1002/hep.21669]</w:t>
      </w:r>
    </w:p>
    <w:p w14:paraId="472EB2E5"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34 </w:t>
      </w:r>
      <w:r w:rsidRPr="00732F3B">
        <w:rPr>
          <w:rFonts w:ascii="Book Antiqua" w:eastAsia="Book Antiqua" w:hAnsi="Book Antiqua" w:cs="Book Antiqua"/>
          <w:b/>
          <w:bCs/>
          <w:color w:val="000000"/>
        </w:rPr>
        <w:t>Angulo P</w:t>
      </w:r>
      <w:r w:rsidRPr="00732F3B">
        <w:rPr>
          <w:rFonts w:ascii="Book Antiqua" w:eastAsia="Book Antiqua" w:hAnsi="Book Antiqua" w:cs="Book Antiqua"/>
          <w:color w:val="000000"/>
        </w:rPr>
        <w:t xml:space="preserve">, Hui JM, Marchesini G, Bugianesi E, George J, Farrell GC, Enders F, Saksena S, Burt AD, Bida JP, Lindor K, Sanderson SO, Lenzi M, Adams LA, Kench J, Therneau TM, Day CP. The NAFLD fibrosis score: a noninvasive system that identifies liver fibrosis in patients with NAFLD. </w:t>
      </w:r>
      <w:r w:rsidRPr="00732F3B">
        <w:rPr>
          <w:rFonts w:ascii="Book Antiqua" w:eastAsia="Book Antiqua" w:hAnsi="Book Antiqua" w:cs="Book Antiqua"/>
          <w:i/>
          <w:iCs/>
          <w:color w:val="000000"/>
        </w:rPr>
        <w:t>Hepatology</w:t>
      </w:r>
      <w:r w:rsidRPr="00732F3B">
        <w:rPr>
          <w:rFonts w:ascii="Book Antiqua" w:eastAsia="Book Antiqua" w:hAnsi="Book Antiqua" w:cs="Book Antiqua"/>
          <w:color w:val="000000"/>
        </w:rPr>
        <w:t xml:space="preserve"> 2007; </w:t>
      </w:r>
      <w:r w:rsidRPr="00732F3B">
        <w:rPr>
          <w:rFonts w:ascii="Book Antiqua" w:eastAsia="Book Antiqua" w:hAnsi="Book Antiqua" w:cs="Book Antiqua"/>
          <w:b/>
          <w:bCs/>
          <w:color w:val="000000"/>
        </w:rPr>
        <w:t>45</w:t>
      </w:r>
      <w:r w:rsidRPr="00732F3B">
        <w:rPr>
          <w:rFonts w:ascii="Book Antiqua" w:eastAsia="Book Antiqua" w:hAnsi="Book Antiqua" w:cs="Book Antiqua"/>
          <w:color w:val="000000"/>
        </w:rPr>
        <w:t>: 846-854 [PMID: 17393509 DOI: 10.1002/hep.21496]</w:t>
      </w:r>
    </w:p>
    <w:p w14:paraId="6591E8D0"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35 </w:t>
      </w:r>
      <w:r w:rsidRPr="00732F3B">
        <w:rPr>
          <w:rFonts w:ascii="Book Antiqua" w:eastAsia="Book Antiqua" w:hAnsi="Book Antiqua" w:cs="Book Antiqua"/>
          <w:b/>
          <w:bCs/>
          <w:color w:val="000000"/>
        </w:rPr>
        <w:t>Wai CT</w:t>
      </w:r>
      <w:r w:rsidRPr="00732F3B">
        <w:rPr>
          <w:rFonts w:ascii="Book Antiqua" w:eastAsia="Book Antiqua" w:hAnsi="Book Antiqua" w:cs="Book Antiqua"/>
          <w:color w:val="000000"/>
        </w:rPr>
        <w:t xml:space="preserve">, Greenson JK, Fontana RJ, Kalbfleisch JD, Marrero JA, Conjeevaram HS, Lok AS. A simple noninvasive index can predict both significant fibrosis and cirrhosis in patients with chronic hepatitis C. </w:t>
      </w:r>
      <w:r w:rsidRPr="00732F3B">
        <w:rPr>
          <w:rFonts w:ascii="Book Antiqua" w:eastAsia="Book Antiqua" w:hAnsi="Book Antiqua" w:cs="Book Antiqua"/>
          <w:i/>
          <w:iCs/>
          <w:color w:val="000000"/>
        </w:rPr>
        <w:t>Hepatology</w:t>
      </w:r>
      <w:r w:rsidRPr="00732F3B">
        <w:rPr>
          <w:rFonts w:ascii="Book Antiqua" w:eastAsia="Book Antiqua" w:hAnsi="Book Antiqua" w:cs="Book Antiqua"/>
          <w:color w:val="000000"/>
        </w:rPr>
        <w:t xml:space="preserve"> 2003; </w:t>
      </w:r>
      <w:r w:rsidRPr="00732F3B">
        <w:rPr>
          <w:rFonts w:ascii="Book Antiqua" w:eastAsia="Book Antiqua" w:hAnsi="Book Antiqua" w:cs="Book Antiqua"/>
          <w:b/>
          <w:bCs/>
          <w:color w:val="000000"/>
        </w:rPr>
        <w:t>38</w:t>
      </w:r>
      <w:r w:rsidRPr="00732F3B">
        <w:rPr>
          <w:rFonts w:ascii="Book Antiqua" w:eastAsia="Book Antiqua" w:hAnsi="Book Antiqua" w:cs="Book Antiqua"/>
          <w:color w:val="000000"/>
        </w:rPr>
        <w:t>: 518-526 [PMID: 12883497 DOI: 10.1053/jhep.2003.50346]</w:t>
      </w:r>
    </w:p>
    <w:p w14:paraId="299D51D3" w14:textId="701609C3"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36 </w:t>
      </w:r>
      <w:r w:rsidRPr="00732F3B">
        <w:rPr>
          <w:rFonts w:ascii="Book Antiqua" w:eastAsia="Book Antiqua" w:hAnsi="Book Antiqua" w:cs="Book Antiqua"/>
          <w:b/>
          <w:bCs/>
          <w:color w:val="000000"/>
        </w:rPr>
        <w:t>International Diabetes Federation Guideline Development Group.</w:t>
      </w:r>
      <w:r w:rsidRPr="00732F3B">
        <w:rPr>
          <w:rFonts w:ascii="Book Antiqua" w:eastAsia="Book Antiqua" w:hAnsi="Book Antiqua" w:cs="Book Antiqua"/>
          <w:color w:val="000000"/>
        </w:rPr>
        <w:t xml:space="preserve"> Global guideline for type 2 diabetes. </w:t>
      </w:r>
      <w:r w:rsidRPr="00732F3B">
        <w:rPr>
          <w:rFonts w:ascii="Book Antiqua" w:eastAsia="Book Antiqua" w:hAnsi="Book Antiqua" w:cs="Book Antiqua"/>
          <w:i/>
          <w:iCs/>
          <w:color w:val="000000"/>
        </w:rPr>
        <w:t>Diabetes Res Clin Pract</w:t>
      </w:r>
      <w:r w:rsidRPr="00732F3B">
        <w:rPr>
          <w:rFonts w:ascii="Book Antiqua" w:eastAsia="Book Antiqua" w:hAnsi="Book Antiqua" w:cs="Book Antiqua"/>
          <w:color w:val="000000"/>
        </w:rPr>
        <w:t xml:space="preserve"> 2014; </w:t>
      </w:r>
      <w:r w:rsidRPr="00732F3B">
        <w:rPr>
          <w:rFonts w:ascii="Book Antiqua" w:eastAsia="Book Antiqua" w:hAnsi="Book Antiqua" w:cs="Book Antiqua"/>
          <w:b/>
          <w:bCs/>
          <w:color w:val="000000"/>
        </w:rPr>
        <w:t>104</w:t>
      </w:r>
      <w:r w:rsidRPr="00732F3B">
        <w:rPr>
          <w:rFonts w:ascii="Book Antiqua" w:eastAsia="Book Antiqua" w:hAnsi="Book Antiqua" w:cs="Book Antiqua"/>
          <w:color w:val="000000"/>
        </w:rPr>
        <w:t>: 1-52 [PMID: 24508150 DOI: 10.1016/j.diabres.2012.10.001]</w:t>
      </w:r>
    </w:p>
    <w:p w14:paraId="1358D276"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37 </w:t>
      </w:r>
      <w:r w:rsidRPr="00732F3B">
        <w:rPr>
          <w:rFonts w:ascii="Book Antiqua" w:eastAsia="Book Antiqua" w:hAnsi="Book Antiqua" w:cs="Book Antiqua"/>
          <w:b/>
          <w:bCs/>
          <w:color w:val="000000"/>
        </w:rPr>
        <w:t>Mohan P</w:t>
      </w:r>
      <w:r w:rsidRPr="00732F3B">
        <w:rPr>
          <w:rFonts w:ascii="Book Antiqua" w:eastAsia="Book Antiqua" w:hAnsi="Book Antiqua" w:cs="Book Antiqua"/>
          <w:color w:val="000000"/>
        </w:rPr>
        <w:t xml:space="preserve">, Sundar V, Bhaskar E, Anthony S. Estimation of Upper Limit of Normal for Serum Alanine Transaminase in Healthy South Indian Population. </w:t>
      </w:r>
      <w:r w:rsidRPr="00732F3B">
        <w:rPr>
          <w:rFonts w:ascii="Book Antiqua" w:eastAsia="Book Antiqua" w:hAnsi="Book Antiqua" w:cs="Book Antiqua"/>
          <w:i/>
          <w:iCs/>
          <w:color w:val="000000"/>
        </w:rPr>
        <w:t>Indian J Clin Biochem</w:t>
      </w:r>
      <w:r w:rsidRPr="00732F3B">
        <w:rPr>
          <w:rFonts w:ascii="Book Antiqua" w:eastAsia="Book Antiqua" w:hAnsi="Book Antiqua" w:cs="Book Antiqua"/>
          <w:color w:val="000000"/>
        </w:rPr>
        <w:t xml:space="preserve"> 2017; </w:t>
      </w:r>
      <w:r w:rsidRPr="00732F3B">
        <w:rPr>
          <w:rFonts w:ascii="Book Antiqua" w:eastAsia="Book Antiqua" w:hAnsi="Book Antiqua" w:cs="Book Antiqua"/>
          <w:b/>
          <w:bCs/>
          <w:color w:val="000000"/>
        </w:rPr>
        <w:t>32</w:t>
      </w:r>
      <w:r w:rsidRPr="00732F3B">
        <w:rPr>
          <w:rFonts w:ascii="Book Antiqua" w:eastAsia="Book Antiqua" w:hAnsi="Book Antiqua" w:cs="Book Antiqua"/>
          <w:color w:val="000000"/>
        </w:rPr>
        <w:t>: 337-342 [PMID: 28811694 DOI: 10.1007/s12291-016-0616-3]</w:t>
      </w:r>
    </w:p>
    <w:p w14:paraId="518EC54B"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38 </w:t>
      </w:r>
      <w:r w:rsidRPr="00732F3B">
        <w:rPr>
          <w:rFonts w:ascii="Book Antiqua" w:eastAsia="Book Antiqua" w:hAnsi="Book Antiqua" w:cs="Book Antiqua"/>
          <w:b/>
          <w:bCs/>
          <w:color w:val="000000"/>
        </w:rPr>
        <w:t>Aziz N</w:t>
      </w:r>
      <w:r w:rsidRPr="00732F3B">
        <w:rPr>
          <w:rFonts w:ascii="Book Antiqua" w:eastAsia="Book Antiqua" w:hAnsi="Book Antiqua" w:cs="Book Antiqua"/>
          <w:color w:val="000000"/>
        </w:rPr>
        <w:t xml:space="preserve">, Kallur SD, Nirmalan PK. Implications of the revised consensus body mass indices for asian indians on clinical obstetric practice. </w:t>
      </w:r>
      <w:r w:rsidRPr="00732F3B">
        <w:rPr>
          <w:rFonts w:ascii="Book Antiqua" w:eastAsia="Book Antiqua" w:hAnsi="Book Antiqua" w:cs="Book Antiqua"/>
          <w:i/>
          <w:iCs/>
          <w:color w:val="000000"/>
        </w:rPr>
        <w:t>J Clin Diagn Res</w:t>
      </w:r>
      <w:r w:rsidRPr="00732F3B">
        <w:rPr>
          <w:rFonts w:ascii="Book Antiqua" w:eastAsia="Book Antiqua" w:hAnsi="Book Antiqua" w:cs="Book Antiqua"/>
          <w:color w:val="000000"/>
        </w:rPr>
        <w:t xml:space="preserve"> 2014; </w:t>
      </w:r>
      <w:r w:rsidRPr="00732F3B">
        <w:rPr>
          <w:rFonts w:ascii="Book Antiqua" w:eastAsia="Book Antiqua" w:hAnsi="Book Antiqua" w:cs="Book Antiqua"/>
          <w:b/>
          <w:bCs/>
          <w:color w:val="000000"/>
        </w:rPr>
        <w:t>8</w:t>
      </w:r>
      <w:r w:rsidRPr="00732F3B">
        <w:rPr>
          <w:rFonts w:ascii="Book Antiqua" w:eastAsia="Book Antiqua" w:hAnsi="Book Antiqua" w:cs="Book Antiqua"/>
          <w:color w:val="000000"/>
        </w:rPr>
        <w:t>: OC01-OC03 [PMID: 24995216 DOI: 10.7860/JCDR/2014/8062.4212]</w:t>
      </w:r>
    </w:p>
    <w:p w14:paraId="6D33B293"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39 </w:t>
      </w:r>
      <w:r w:rsidRPr="00732F3B">
        <w:rPr>
          <w:rFonts w:ascii="Book Antiqua" w:eastAsia="Book Antiqua" w:hAnsi="Book Antiqua" w:cs="Book Antiqua"/>
          <w:b/>
          <w:bCs/>
          <w:color w:val="000000"/>
        </w:rPr>
        <w:t>Matthews DR</w:t>
      </w:r>
      <w:r w:rsidRPr="00732F3B">
        <w:rPr>
          <w:rFonts w:ascii="Book Antiqua" w:eastAsia="Book Antiqua" w:hAnsi="Book Antiqua" w:cs="Book Antiqua"/>
          <w:color w:val="000000"/>
        </w:rPr>
        <w:t xml:space="preserve">, Hosker JP, Rudenski AS, Naylor BA, Treacher DF, Turner RC. Homeostasis model assessment: insulin resistance and beta-cell function from fasting plasma glucose and insulin concentrations in man. </w:t>
      </w:r>
      <w:r w:rsidRPr="00732F3B">
        <w:rPr>
          <w:rFonts w:ascii="Book Antiqua" w:eastAsia="Book Antiqua" w:hAnsi="Book Antiqua" w:cs="Book Antiqua"/>
          <w:i/>
          <w:iCs/>
          <w:color w:val="000000"/>
        </w:rPr>
        <w:t>Diabetologia</w:t>
      </w:r>
      <w:r w:rsidRPr="00732F3B">
        <w:rPr>
          <w:rFonts w:ascii="Book Antiqua" w:eastAsia="Book Antiqua" w:hAnsi="Book Antiqua" w:cs="Book Antiqua"/>
          <w:color w:val="000000"/>
        </w:rPr>
        <w:t xml:space="preserve"> 1985; </w:t>
      </w:r>
      <w:r w:rsidRPr="00732F3B">
        <w:rPr>
          <w:rFonts w:ascii="Book Antiqua" w:eastAsia="Book Antiqua" w:hAnsi="Book Antiqua" w:cs="Book Antiqua"/>
          <w:b/>
          <w:bCs/>
          <w:color w:val="000000"/>
        </w:rPr>
        <w:t>28</w:t>
      </w:r>
      <w:r w:rsidRPr="00732F3B">
        <w:rPr>
          <w:rFonts w:ascii="Book Antiqua" w:eastAsia="Book Antiqua" w:hAnsi="Book Antiqua" w:cs="Book Antiqua"/>
          <w:color w:val="000000"/>
        </w:rPr>
        <w:t>: 412-419 [PMID: 3899825 DOI: 10.1007/BF00280883]</w:t>
      </w:r>
    </w:p>
    <w:p w14:paraId="7356938E"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40 </w:t>
      </w:r>
      <w:r w:rsidRPr="00732F3B">
        <w:rPr>
          <w:rFonts w:ascii="Book Antiqua" w:eastAsia="Book Antiqua" w:hAnsi="Book Antiqua" w:cs="Book Antiqua"/>
          <w:b/>
          <w:bCs/>
          <w:color w:val="000000"/>
        </w:rPr>
        <w:t>Vermeulen A</w:t>
      </w:r>
      <w:r w:rsidRPr="00732F3B">
        <w:rPr>
          <w:rFonts w:ascii="Book Antiqua" w:eastAsia="Book Antiqua" w:hAnsi="Book Antiqua" w:cs="Book Antiqua"/>
          <w:color w:val="000000"/>
        </w:rPr>
        <w:t xml:space="preserve">, Verdonck L, Kaufman JM. A critical evaluation of simple methods for the estimation of free testosterone in serum. </w:t>
      </w:r>
      <w:r w:rsidRPr="00732F3B">
        <w:rPr>
          <w:rFonts w:ascii="Book Antiqua" w:eastAsia="Book Antiqua" w:hAnsi="Book Antiqua" w:cs="Book Antiqua"/>
          <w:i/>
          <w:iCs/>
          <w:color w:val="000000"/>
        </w:rPr>
        <w:t>J Clin Endocrinol Metab</w:t>
      </w:r>
      <w:r w:rsidRPr="00732F3B">
        <w:rPr>
          <w:rFonts w:ascii="Book Antiqua" w:eastAsia="Book Antiqua" w:hAnsi="Book Antiqua" w:cs="Book Antiqua"/>
          <w:color w:val="000000"/>
        </w:rPr>
        <w:t xml:space="preserve"> 1999; </w:t>
      </w:r>
      <w:r w:rsidRPr="00732F3B">
        <w:rPr>
          <w:rFonts w:ascii="Book Antiqua" w:eastAsia="Book Antiqua" w:hAnsi="Book Antiqua" w:cs="Book Antiqua"/>
          <w:b/>
          <w:bCs/>
          <w:color w:val="000000"/>
        </w:rPr>
        <w:t>84</w:t>
      </w:r>
      <w:r w:rsidRPr="00732F3B">
        <w:rPr>
          <w:rFonts w:ascii="Book Antiqua" w:eastAsia="Book Antiqua" w:hAnsi="Book Antiqua" w:cs="Book Antiqua"/>
          <w:color w:val="000000"/>
        </w:rPr>
        <w:t>: 3666-3672 [PMID: 10523012 DOI: 10.1210/jcem.84.10.6079]</w:t>
      </w:r>
    </w:p>
    <w:p w14:paraId="5B67ACFD"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41 </w:t>
      </w:r>
      <w:r w:rsidRPr="00732F3B">
        <w:rPr>
          <w:rFonts w:ascii="Book Antiqua" w:eastAsia="Book Antiqua" w:hAnsi="Book Antiqua" w:cs="Book Antiqua"/>
          <w:b/>
          <w:bCs/>
          <w:color w:val="000000"/>
        </w:rPr>
        <w:t>Cohen J</w:t>
      </w:r>
      <w:r w:rsidRPr="00732F3B">
        <w:rPr>
          <w:rFonts w:ascii="Book Antiqua" w:eastAsia="Book Antiqua" w:hAnsi="Book Antiqua" w:cs="Book Antiqua"/>
          <w:color w:val="000000"/>
        </w:rPr>
        <w:t xml:space="preserve">. Weighted kappa: nominal scale agreement with provision for scaled disagreement or partial credit. </w:t>
      </w:r>
      <w:r w:rsidRPr="00732F3B">
        <w:rPr>
          <w:rFonts w:ascii="Book Antiqua" w:eastAsia="Book Antiqua" w:hAnsi="Book Antiqua" w:cs="Book Antiqua"/>
          <w:i/>
          <w:iCs/>
          <w:color w:val="000000"/>
        </w:rPr>
        <w:t>Psychol Bull</w:t>
      </w:r>
      <w:r w:rsidRPr="00732F3B">
        <w:rPr>
          <w:rFonts w:ascii="Book Antiqua" w:eastAsia="Book Antiqua" w:hAnsi="Book Antiqua" w:cs="Book Antiqua"/>
          <w:color w:val="000000"/>
        </w:rPr>
        <w:t xml:space="preserve"> 1968; </w:t>
      </w:r>
      <w:r w:rsidRPr="00732F3B">
        <w:rPr>
          <w:rFonts w:ascii="Book Antiqua" w:eastAsia="Book Antiqua" w:hAnsi="Book Antiqua" w:cs="Book Antiqua"/>
          <w:b/>
          <w:bCs/>
          <w:color w:val="000000"/>
        </w:rPr>
        <w:t>70</w:t>
      </w:r>
      <w:r w:rsidRPr="00732F3B">
        <w:rPr>
          <w:rFonts w:ascii="Book Antiqua" w:eastAsia="Book Antiqua" w:hAnsi="Book Antiqua" w:cs="Book Antiqua"/>
          <w:color w:val="000000"/>
        </w:rPr>
        <w:t>: 213-220 [PMID: 19673146 DOI: 10.1037/h0026256]</w:t>
      </w:r>
    </w:p>
    <w:p w14:paraId="3364503C"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42 </w:t>
      </w:r>
      <w:r w:rsidRPr="00732F3B">
        <w:rPr>
          <w:rFonts w:ascii="Book Antiqua" w:eastAsia="Book Antiqua" w:hAnsi="Book Antiqua" w:cs="Book Antiqua"/>
          <w:b/>
          <w:bCs/>
          <w:color w:val="000000"/>
        </w:rPr>
        <w:t>Perazzo H</w:t>
      </w:r>
      <w:r w:rsidRPr="00732F3B">
        <w:rPr>
          <w:rFonts w:ascii="Book Antiqua" w:eastAsia="Book Antiqua" w:hAnsi="Book Antiqua" w:cs="Book Antiqua"/>
          <w:color w:val="000000"/>
        </w:rPr>
        <w:t xml:space="preserve">, Veloso VG, Grinsztejn B, Hyde C, Castro R. Factors That Could Impact on Liver Fibrosis Staging by Transient Elastography. </w:t>
      </w:r>
      <w:r w:rsidRPr="00732F3B">
        <w:rPr>
          <w:rFonts w:ascii="Book Antiqua" w:eastAsia="Book Antiqua" w:hAnsi="Book Antiqua" w:cs="Book Antiqua"/>
          <w:i/>
          <w:iCs/>
          <w:color w:val="000000"/>
        </w:rPr>
        <w:t>Int J Hepatol</w:t>
      </w:r>
      <w:r w:rsidRPr="00732F3B">
        <w:rPr>
          <w:rFonts w:ascii="Book Antiqua" w:eastAsia="Book Antiqua" w:hAnsi="Book Antiqua" w:cs="Book Antiqua"/>
          <w:color w:val="000000"/>
        </w:rPr>
        <w:t xml:space="preserve"> 2015; </w:t>
      </w:r>
      <w:r w:rsidRPr="00732F3B">
        <w:rPr>
          <w:rFonts w:ascii="Book Antiqua" w:eastAsia="Book Antiqua" w:hAnsi="Book Antiqua" w:cs="Book Antiqua"/>
          <w:b/>
          <w:bCs/>
          <w:color w:val="000000"/>
        </w:rPr>
        <w:t>2015</w:t>
      </w:r>
      <w:r w:rsidRPr="00732F3B">
        <w:rPr>
          <w:rFonts w:ascii="Book Antiqua" w:eastAsia="Book Antiqua" w:hAnsi="Book Antiqua" w:cs="Book Antiqua"/>
          <w:color w:val="000000"/>
        </w:rPr>
        <w:t>: 624596 [PMID: 26770833 DOI: 10.1155/2015/624596]</w:t>
      </w:r>
    </w:p>
    <w:p w14:paraId="2A66DDF9"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43 </w:t>
      </w:r>
      <w:r w:rsidRPr="00732F3B">
        <w:rPr>
          <w:rFonts w:ascii="Book Antiqua" w:eastAsia="Book Antiqua" w:hAnsi="Book Antiqua" w:cs="Book Antiqua"/>
          <w:b/>
          <w:bCs/>
          <w:color w:val="000000"/>
        </w:rPr>
        <w:t>Benmassaoud A</w:t>
      </w:r>
      <w:r w:rsidRPr="00732F3B">
        <w:rPr>
          <w:rFonts w:ascii="Book Antiqua" w:eastAsia="Book Antiqua" w:hAnsi="Book Antiqua" w:cs="Book Antiqua"/>
          <w:color w:val="000000"/>
        </w:rPr>
        <w:t xml:space="preserve">, Ghali P, Cox J, Wong P, Szabo J, Deschenes M, Osikowicz M, Lebouche B, Klein MB, Sebastiani G. Screening for nonalcoholic steatohepatitis by using cytokeratin 18 and transient elastography in HIV mono-infection. </w:t>
      </w:r>
      <w:r w:rsidRPr="00732F3B">
        <w:rPr>
          <w:rFonts w:ascii="Book Antiqua" w:eastAsia="Book Antiqua" w:hAnsi="Book Antiqua" w:cs="Book Antiqua"/>
          <w:i/>
          <w:iCs/>
          <w:color w:val="000000"/>
        </w:rPr>
        <w:t>PLoS One</w:t>
      </w:r>
      <w:r w:rsidRPr="00732F3B">
        <w:rPr>
          <w:rFonts w:ascii="Book Antiqua" w:eastAsia="Book Antiqua" w:hAnsi="Book Antiqua" w:cs="Book Antiqua"/>
          <w:color w:val="000000"/>
        </w:rPr>
        <w:t xml:space="preserve"> 2018; </w:t>
      </w:r>
      <w:r w:rsidRPr="00732F3B">
        <w:rPr>
          <w:rFonts w:ascii="Book Antiqua" w:eastAsia="Book Antiqua" w:hAnsi="Book Antiqua" w:cs="Book Antiqua"/>
          <w:b/>
          <w:bCs/>
          <w:color w:val="000000"/>
        </w:rPr>
        <w:t>13</w:t>
      </w:r>
      <w:r w:rsidRPr="00732F3B">
        <w:rPr>
          <w:rFonts w:ascii="Book Antiqua" w:eastAsia="Book Antiqua" w:hAnsi="Book Antiqua" w:cs="Book Antiqua"/>
          <w:color w:val="000000"/>
        </w:rPr>
        <w:t>: e0191985 [PMID: 29381754 DOI: 10.1371/journal.pone.0191985]</w:t>
      </w:r>
    </w:p>
    <w:p w14:paraId="475E5A92"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44 </w:t>
      </w:r>
      <w:r w:rsidRPr="00732F3B">
        <w:rPr>
          <w:rFonts w:ascii="Book Antiqua" w:eastAsia="Book Antiqua" w:hAnsi="Book Antiqua" w:cs="Book Antiqua"/>
          <w:b/>
          <w:bCs/>
          <w:color w:val="000000"/>
        </w:rPr>
        <w:t>Saroli Palumbo C</w:t>
      </w:r>
      <w:r w:rsidRPr="00732F3B">
        <w:rPr>
          <w:rFonts w:ascii="Book Antiqua" w:eastAsia="Book Antiqua" w:hAnsi="Book Antiqua" w:cs="Book Antiqua"/>
          <w:color w:val="000000"/>
        </w:rPr>
        <w:t xml:space="preserve">, Restellini S, Chao CY, Aruljothy A, Lemieux C, Wild G, Afif W, Lakatos PL, Bitton A, Cocciolillo S, Ghali P, Bessissow T, Sebastiani G. Screening for Nonalcoholic Fatty Liver Disease in Inflammatory Bowel Diseases: A Cohort Study Using Transient Elastography. </w:t>
      </w:r>
      <w:r w:rsidRPr="00732F3B">
        <w:rPr>
          <w:rFonts w:ascii="Book Antiqua" w:eastAsia="Book Antiqua" w:hAnsi="Book Antiqua" w:cs="Book Antiqua"/>
          <w:i/>
          <w:iCs/>
          <w:color w:val="000000"/>
        </w:rPr>
        <w:t>Inflamm Bowel Dis</w:t>
      </w:r>
      <w:r w:rsidRPr="00732F3B">
        <w:rPr>
          <w:rFonts w:ascii="Book Antiqua" w:eastAsia="Book Antiqua" w:hAnsi="Book Antiqua" w:cs="Book Antiqua"/>
          <w:color w:val="000000"/>
        </w:rPr>
        <w:t xml:space="preserve"> 2019; </w:t>
      </w:r>
      <w:r w:rsidRPr="00732F3B">
        <w:rPr>
          <w:rFonts w:ascii="Book Antiqua" w:eastAsia="Book Antiqua" w:hAnsi="Book Antiqua" w:cs="Book Antiqua"/>
          <w:b/>
          <w:bCs/>
          <w:color w:val="000000"/>
        </w:rPr>
        <w:t>25</w:t>
      </w:r>
      <w:r w:rsidRPr="00732F3B">
        <w:rPr>
          <w:rFonts w:ascii="Book Antiqua" w:eastAsia="Book Antiqua" w:hAnsi="Book Antiqua" w:cs="Book Antiqua"/>
          <w:color w:val="000000"/>
        </w:rPr>
        <w:t>: 124-133 [PMID: 29889226 DOI: 10.1093/ibd/izy200]</w:t>
      </w:r>
    </w:p>
    <w:p w14:paraId="09C566F6"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45 </w:t>
      </w:r>
      <w:r w:rsidRPr="00732F3B">
        <w:rPr>
          <w:rFonts w:ascii="Book Antiqua" w:eastAsia="Book Antiqua" w:hAnsi="Book Antiqua" w:cs="Book Antiqua"/>
          <w:b/>
          <w:bCs/>
          <w:color w:val="000000"/>
        </w:rPr>
        <w:t>Kwok R</w:t>
      </w:r>
      <w:r w:rsidRPr="00732F3B">
        <w:rPr>
          <w:rFonts w:ascii="Book Antiqua" w:eastAsia="Book Antiqua" w:hAnsi="Book Antiqua" w:cs="Book Antiqua"/>
          <w:color w:val="000000"/>
        </w:rPr>
        <w:t xml:space="preserve">, Choi KC, Wong GL, Zhang Y, Chan HL, Luk AO, Shu SS, Chan AW, Yeung MW, Chan JC, Kong AP, Wong VW. Screening diabetic patients for non-alcoholic fatty liver disease with controlled attenuation parameter and liver stiffness measurements: a prospective cohort study. </w:t>
      </w:r>
      <w:r w:rsidRPr="00732F3B">
        <w:rPr>
          <w:rFonts w:ascii="Book Antiqua" w:eastAsia="Book Antiqua" w:hAnsi="Book Antiqua" w:cs="Book Antiqua"/>
          <w:i/>
          <w:iCs/>
          <w:color w:val="000000"/>
        </w:rPr>
        <w:t>Gut</w:t>
      </w:r>
      <w:r w:rsidRPr="00732F3B">
        <w:rPr>
          <w:rFonts w:ascii="Book Antiqua" w:eastAsia="Book Antiqua" w:hAnsi="Book Antiqua" w:cs="Book Antiqua"/>
          <w:color w:val="000000"/>
        </w:rPr>
        <w:t xml:space="preserve"> 2016; </w:t>
      </w:r>
      <w:r w:rsidRPr="00732F3B">
        <w:rPr>
          <w:rFonts w:ascii="Book Antiqua" w:eastAsia="Book Antiqua" w:hAnsi="Book Antiqua" w:cs="Book Antiqua"/>
          <w:b/>
          <w:bCs/>
          <w:color w:val="000000"/>
        </w:rPr>
        <w:t>65</w:t>
      </w:r>
      <w:r w:rsidRPr="00732F3B">
        <w:rPr>
          <w:rFonts w:ascii="Book Antiqua" w:eastAsia="Book Antiqua" w:hAnsi="Book Antiqua" w:cs="Book Antiqua"/>
          <w:color w:val="000000"/>
        </w:rPr>
        <w:t>: 1359-1368 [PMID: 25873639 DOI: 10.1136/gutjnl-2015-309265]</w:t>
      </w:r>
    </w:p>
    <w:p w14:paraId="750BAFA0"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46 </w:t>
      </w:r>
      <w:r w:rsidRPr="00732F3B">
        <w:rPr>
          <w:rFonts w:ascii="Book Antiqua" w:eastAsia="Book Antiqua" w:hAnsi="Book Antiqua" w:cs="Book Antiqua"/>
          <w:b/>
          <w:bCs/>
          <w:color w:val="000000"/>
        </w:rPr>
        <w:t>Wong RJ</w:t>
      </w:r>
      <w:r w:rsidRPr="00732F3B">
        <w:rPr>
          <w:rFonts w:ascii="Book Antiqua" w:eastAsia="Book Antiqua" w:hAnsi="Book Antiqua" w:cs="Book Antiqua"/>
          <w:color w:val="000000"/>
        </w:rPr>
        <w:t xml:space="preserve">, Aguilar M, Cheung R, Perumpail RB, Harrison SA, Younossi ZM, Ahmed A. Nonalcoholic steatohepatitis is the second leading etiology of liver disease among adults awaiting liver transplantation in the United States. </w:t>
      </w:r>
      <w:r w:rsidRPr="00732F3B">
        <w:rPr>
          <w:rFonts w:ascii="Book Antiqua" w:eastAsia="Book Antiqua" w:hAnsi="Book Antiqua" w:cs="Book Antiqua"/>
          <w:i/>
          <w:iCs/>
          <w:color w:val="000000"/>
        </w:rPr>
        <w:t>Gastroenterology</w:t>
      </w:r>
      <w:r w:rsidRPr="00732F3B">
        <w:rPr>
          <w:rFonts w:ascii="Book Antiqua" w:eastAsia="Book Antiqua" w:hAnsi="Book Antiqua" w:cs="Book Antiqua"/>
          <w:color w:val="000000"/>
        </w:rPr>
        <w:t xml:space="preserve"> 2015; </w:t>
      </w:r>
      <w:r w:rsidRPr="00732F3B">
        <w:rPr>
          <w:rFonts w:ascii="Book Antiqua" w:eastAsia="Book Antiqua" w:hAnsi="Book Antiqua" w:cs="Book Antiqua"/>
          <w:b/>
          <w:bCs/>
          <w:color w:val="000000"/>
        </w:rPr>
        <w:t>148</w:t>
      </w:r>
      <w:r w:rsidRPr="00732F3B">
        <w:rPr>
          <w:rFonts w:ascii="Book Antiqua" w:eastAsia="Book Antiqua" w:hAnsi="Book Antiqua" w:cs="Book Antiqua"/>
          <w:color w:val="000000"/>
        </w:rPr>
        <w:t>: 547-555 [PMID: 25461851 DOI: 10.1053/j.gastro.2014.11.039]</w:t>
      </w:r>
    </w:p>
    <w:p w14:paraId="5C5D792C"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47 </w:t>
      </w:r>
      <w:r w:rsidRPr="00732F3B">
        <w:rPr>
          <w:rFonts w:ascii="Book Antiqua" w:eastAsia="Book Antiqua" w:hAnsi="Book Antiqua" w:cs="Book Antiqua"/>
          <w:b/>
          <w:bCs/>
          <w:color w:val="000000"/>
        </w:rPr>
        <w:t>Heimbach J</w:t>
      </w:r>
      <w:r w:rsidRPr="00732F3B">
        <w:rPr>
          <w:rFonts w:ascii="Book Antiqua" w:eastAsia="Book Antiqua" w:hAnsi="Book Antiqua" w:cs="Book Antiqua"/>
          <w:color w:val="000000"/>
        </w:rPr>
        <w:t xml:space="preserve">. Debate: A bridge too far--liver transplantation for nonalcoholic steatohepatitis will overwhelm the organ supply. </w:t>
      </w:r>
      <w:r w:rsidRPr="00732F3B">
        <w:rPr>
          <w:rFonts w:ascii="Book Antiqua" w:eastAsia="Book Antiqua" w:hAnsi="Book Antiqua" w:cs="Book Antiqua"/>
          <w:i/>
          <w:iCs/>
          <w:color w:val="000000"/>
        </w:rPr>
        <w:t>Liver Transpl</w:t>
      </w:r>
      <w:r w:rsidRPr="00732F3B">
        <w:rPr>
          <w:rFonts w:ascii="Book Antiqua" w:eastAsia="Book Antiqua" w:hAnsi="Book Antiqua" w:cs="Book Antiqua"/>
          <w:color w:val="000000"/>
        </w:rPr>
        <w:t xml:space="preserve"> 2014; </w:t>
      </w:r>
      <w:r w:rsidRPr="00732F3B">
        <w:rPr>
          <w:rFonts w:ascii="Book Antiqua" w:eastAsia="Book Antiqua" w:hAnsi="Book Antiqua" w:cs="Book Antiqua"/>
          <w:b/>
          <w:bCs/>
          <w:color w:val="000000"/>
        </w:rPr>
        <w:t>20 Suppl 2</w:t>
      </w:r>
      <w:r w:rsidRPr="00732F3B">
        <w:rPr>
          <w:rFonts w:ascii="Book Antiqua" w:eastAsia="Book Antiqua" w:hAnsi="Book Antiqua" w:cs="Book Antiqua"/>
          <w:color w:val="000000"/>
        </w:rPr>
        <w:t>: S32-S37 [PMID: 25155244 DOI: 10.1002/Lt.23980]</w:t>
      </w:r>
    </w:p>
    <w:p w14:paraId="08FE6421"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48 </w:t>
      </w:r>
      <w:r w:rsidRPr="00732F3B">
        <w:rPr>
          <w:rFonts w:ascii="Book Antiqua" w:eastAsia="Book Antiqua" w:hAnsi="Book Antiqua" w:cs="Book Antiqua"/>
          <w:b/>
          <w:bCs/>
          <w:color w:val="000000"/>
        </w:rPr>
        <w:t>Vassilatou E</w:t>
      </w:r>
      <w:r w:rsidRPr="00732F3B">
        <w:rPr>
          <w:rFonts w:ascii="Book Antiqua" w:eastAsia="Book Antiqua" w:hAnsi="Book Antiqua" w:cs="Book Antiqua"/>
          <w:color w:val="000000"/>
        </w:rPr>
        <w:t xml:space="preserve">. Nonalcoholic fatty liver disease and polycystic ovary syndrome. </w:t>
      </w:r>
      <w:r w:rsidRPr="00732F3B">
        <w:rPr>
          <w:rFonts w:ascii="Book Antiqua" w:eastAsia="Book Antiqua" w:hAnsi="Book Antiqua" w:cs="Book Antiqua"/>
          <w:i/>
          <w:iCs/>
          <w:color w:val="000000"/>
        </w:rPr>
        <w:t>World J Gastroenterol</w:t>
      </w:r>
      <w:r w:rsidRPr="00732F3B">
        <w:rPr>
          <w:rFonts w:ascii="Book Antiqua" w:eastAsia="Book Antiqua" w:hAnsi="Book Antiqua" w:cs="Book Antiqua"/>
          <w:color w:val="000000"/>
        </w:rPr>
        <w:t xml:space="preserve"> 2014; </w:t>
      </w:r>
      <w:r w:rsidRPr="00732F3B">
        <w:rPr>
          <w:rFonts w:ascii="Book Antiqua" w:eastAsia="Book Antiqua" w:hAnsi="Book Antiqua" w:cs="Book Antiqua"/>
          <w:b/>
          <w:bCs/>
          <w:color w:val="000000"/>
        </w:rPr>
        <w:t>20</w:t>
      </w:r>
      <w:r w:rsidRPr="00732F3B">
        <w:rPr>
          <w:rFonts w:ascii="Book Antiqua" w:eastAsia="Book Antiqua" w:hAnsi="Book Antiqua" w:cs="Book Antiqua"/>
          <w:color w:val="000000"/>
        </w:rPr>
        <w:t>: 8351-8363 [PMID: 25024594 DOI: 10.3748/wjg.v20.i26.8351]</w:t>
      </w:r>
    </w:p>
    <w:p w14:paraId="225402FB" w14:textId="77777777" w:rsidR="00A77B3E" w:rsidRPr="001156C8"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49 </w:t>
      </w:r>
      <w:r w:rsidRPr="00732F3B">
        <w:rPr>
          <w:rFonts w:ascii="Book Antiqua" w:eastAsia="Book Antiqua" w:hAnsi="Book Antiqua" w:cs="Book Antiqua"/>
          <w:b/>
          <w:bCs/>
          <w:color w:val="000000"/>
        </w:rPr>
        <w:t>Boursier J</w:t>
      </w:r>
      <w:r w:rsidRPr="00732F3B">
        <w:rPr>
          <w:rFonts w:ascii="Book Antiqua" w:eastAsia="Book Antiqua" w:hAnsi="Book Antiqua" w:cs="Book Antiqua"/>
          <w:color w:val="000000"/>
        </w:rPr>
        <w:t>, Mueller O, Barret M, Machado M, Fizanne L, Araujo-Perez F, Guy CD, Seed PC, Rawls JF, David LA, Hunault G, Oberti F, Calès P, Diehl AM. The severity of nonalcoholic fatty liver disease is associated with gut dysbiosis and shift in the m</w:t>
      </w:r>
      <w:r w:rsidRPr="001156C8">
        <w:rPr>
          <w:rFonts w:ascii="Book Antiqua" w:eastAsia="Book Antiqua" w:hAnsi="Book Antiqua" w:cs="Book Antiqua"/>
          <w:color w:val="000000"/>
        </w:rPr>
        <w:t xml:space="preserve">etabolic function of the gut microbiota. </w:t>
      </w:r>
      <w:r w:rsidRPr="001156C8">
        <w:rPr>
          <w:rFonts w:ascii="Book Antiqua" w:eastAsia="Book Antiqua" w:hAnsi="Book Antiqua" w:cs="Book Antiqua"/>
          <w:i/>
          <w:iCs/>
          <w:color w:val="000000"/>
        </w:rPr>
        <w:t>Hepatology</w:t>
      </w:r>
      <w:r w:rsidRPr="001156C8">
        <w:rPr>
          <w:rFonts w:ascii="Book Antiqua" w:eastAsia="Book Antiqua" w:hAnsi="Book Antiqua" w:cs="Book Antiqua"/>
          <w:color w:val="000000"/>
        </w:rPr>
        <w:t xml:space="preserve"> 2016; </w:t>
      </w:r>
      <w:r w:rsidRPr="001156C8">
        <w:rPr>
          <w:rFonts w:ascii="Book Antiqua" w:eastAsia="Book Antiqua" w:hAnsi="Book Antiqua" w:cs="Book Antiqua"/>
          <w:b/>
          <w:bCs/>
          <w:color w:val="000000"/>
        </w:rPr>
        <w:t>63</w:t>
      </w:r>
      <w:r w:rsidRPr="001156C8">
        <w:rPr>
          <w:rFonts w:ascii="Book Antiqua" w:eastAsia="Book Antiqua" w:hAnsi="Book Antiqua" w:cs="Book Antiqua"/>
          <w:color w:val="000000"/>
        </w:rPr>
        <w:t>: 764-775 [PMID: 26600078 DOI: 10.1002/hep.28356]</w:t>
      </w:r>
    </w:p>
    <w:p w14:paraId="0C032B7B" w14:textId="77777777" w:rsidR="00A77B3E" w:rsidRPr="001156C8" w:rsidRDefault="00260EB5" w:rsidP="00732F3B">
      <w:pPr>
        <w:adjustRightInd w:val="0"/>
        <w:snapToGrid w:val="0"/>
        <w:spacing w:line="360" w:lineRule="auto"/>
        <w:jc w:val="both"/>
        <w:rPr>
          <w:rFonts w:ascii="Book Antiqua" w:hAnsi="Book Antiqua"/>
        </w:rPr>
      </w:pPr>
      <w:r w:rsidRPr="001156C8">
        <w:rPr>
          <w:rFonts w:ascii="Book Antiqua" w:eastAsia="Book Antiqua" w:hAnsi="Book Antiqua" w:cs="Book Antiqua"/>
          <w:color w:val="000000"/>
        </w:rPr>
        <w:t xml:space="preserve">50 </w:t>
      </w:r>
      <w:r w:rsidRPr="001156C8">
        <w:rPr>
          <w:rFonts w:ascii="Book Antiqua" w:eastAsia="Book Antiqua" w:hAnsi="Book Antiqua" w:cs="Book Antiqua"/>
          <w:b/>
          <w:bCs/>
          <w:color w:val="000000"/>
        </w:rPr>
        <w:t>Yurtdaş G</w:t>
      </w:r>
      <w:r w:rsidRPr="001156C8">
        <w:rPr>
          <w:rFonts w:ascii="Book Antiqua" w:eastAsia="Book Antiqua" w:hAnsi="Book Antiqua" w:cs="Book Antiqua"/>
          <w:color w:val="000000"/>
        </w:rPr>
        <w:t xml:space="preserve">, Akdevelioğlu Y. A New Approach to Polycystic Ovary Syndrome: The Gut Microbiota. </w:t>
      </w:r>
      <w:r w:rsidRPr="001156C8">
        <w:rPr>
          <w:rFonts w:ascii="Book Antiqua" w:eastAsia="Book Antiqua" w:hAnsi="Book Antiqua" w:cs="Book Antiqua"/>
          <w:i/>
          <w:iCs/>
          <w:color w:val="000000"/>
        </w:rPr>
        <w:t>J Am Coll Nutr</w:t>
      </w:r>
      <w:r w:rsidRPr="001156C8">
        <w:rPr>
          <w:rFonts w:ascii="Book Antiqua" w:eastAsia="Book Antiqua" w:hAnsi="Book Antiqua" w:cs="Book Antiqua"/>
          <w:color w:val="000000"/>
        </w:rPr>
        <w:t xml:space="preserve"> 2020; </w:t>
      </w:r>
      <w:r w:rsidRPr="001156C8">
        <w:rPr>
          <w:rFonts w:ascii="Book Antiqua" w:eastAsia="Book Antiqua" w:hAnsi="Book Antiqua" w:cs="Book Antiqua"/>
          <w:b/>
          <w:bCs/>
          <w:color w:val="000000"/>
        </w:rPr>
        <w:t>39</w:t>
      </w:r>
      <w:r w:rsidRPr="001156C8">
        <w:rPr>
          <w:rFonts w:ascii="Book Antiqua" w:eastAsia="Book Antiqua" w:hAnsi="Book Antiqua" w:cs="Book Antiqua"/>
          <w:color w:val="000000"/>
        </w:rPr>
        <w:t>: 371-382 [PMID: 31513473 DOI: 10.1080/07315724.2019.1657515]</w:t>
      </w:r>
    </w:p>
    <w:p w14:paraId="70A7CE6B" w14:textId="7082677D" w:rsidR="00A77B3E" w:rsidRPr="001156C8" w:rsidRDefault="00260EB5" w:rsidP="00732F3B">
      <w:pPr>
        <w:adjustRightInd w:val="0"/>
        <w:snapToGrid w:val="0"/>
        <w:spacing w:line="360" w:lineRule="auto"/>
        <w:jc w:val="both"/>
        <w:rPr>
          <w:rFonts w:ascii="Book Antiqua" w:hAnsi="Book Antiqua"/>
        </w:rPr>
      </w:pPr>
      <w:r w:rsidRPr="001156C8">
        <w:rPr>
          <w:rFonts w:ascii="Book Antiqua" w:eastAsia="Book Antiqua" w:hAnsi="Book Antiqua" w:cs="Book Antiqua"/>
          <w:color w:val="000000"/>
        </w:rPr>
        <w:t xml:space="preserve">51 </w:t>
      </w:r>
      <w:r w:rsidRPr="001156C8">
        <w:rPr>
          <w:rFonts w:ascii="Book Antiqua" w:eastAsia="Book Antiqua" w:hAnsi="Book Antiqua" w:cs="Book Antiqua"/>
          <w:b/>
          <w:color w:val="000000"/>
        </w:rPr>
        <w:t>Canada PHAo.</w:t>
      </w:r>
      <w:r w:rsidRPr="001156C8">
        <w:rPr>
          <w:rFonts w:ascii="Book Antiqua" w:eastAsia="Book Antiqua" w:hAnsi="Book Antiqua" w:cs="Book Antiqua"/>
          <w:color w:val="000000"/>
        </w:rPr>
        <w:t xml:space="preserve"> Obesity in Canada: a joint report from the public health agency of Canada a</w:t>
      </w:r>
      <w:r w:rsidR="00732F3B" w:rsidRPr="001156C8">
        <w:rPr>
          <w:rFonts w:ascii="Book Antiqua" w:eastAsia="Book Antiqua" w:hAnsi="Book Antiqua" w:cs="Book Antiqua"/>
          <w:color w:val="000000"/>
        </w:rPr>
        <w:t>n</w:t>
      </w:r>
      <w:r w:rsidRPr="001156C8">
        <w:rPr>
          <w:rFonts w:ascii="Book Antiqua" w:eastAsia="Book Antiqua" w:hAnsi="Book Antiqua" w:cs="Book Antiqua"/>
          <w:color w:val="000000"/>
        </w:rPr>
        <w:t xml:space="preserve">d the Canadian Institute for Health Information. </w:t>
      </w:r>
      <w:r w:rsidR="002E61CD" w:rsidRPr="001156C8">
        <w:rPr>
          <w:rFonts w:ascii="Book Antiqua" w:hAnsi="Book Antiqua"/>
        </w:rPr>
        <w:t xml:space="preserve">Available from: </w:t>
      </w:r>
      <w:r w:rsidRPr="001156C8">
        <w:rPr>
          <w:rFonts w:ascii="Book Antiqua" w:eastAsia="Book Antiqua" w:hAnsi="Book Antiqua" w:cs="Book Antiqua"/>
          <w:color w:val="000000"/>
        </w:rPr>
        <w:t>https://securecihica/free_products/Obesity_in_canada_2011_enpdf 2011</w:t>
      </w:r>
    </w:p>
    <w:p w14:paraId="70A6DCAC" w14:textId="77777777" w:rsidR="00A77B3E" w:rsidRPr="001156C8" w:rsidRDefault="00260EB5" w:rsidP="00732F3B">
      <w:pPr>
        <w:adjustRightInd w:val="0"/>
        <w:snapToGrid w:val="0"/>
        <w:spacing w:line="360" w:lineRule="auto"/>
        <w:jc w:val="both"/>
        <w:rPr>
          <w:rFonts w:ascii="Book Antiqua" w:hAnsi="Book Antiqua"/>
        </w:rPr>
      </w:pPr>
      <w:r w:rsidRPr="001156C8">
        <w:rPr>
          <w:rFonts w:ascii="Book Antiqua" w:eastAsia="Book Antiqua" w:hAnsi="Book Antiqua" w:cs="Book Antiqua"/>
          <w:color w:val="000000"/>
        </w:rPr>
        <w:t xml:space="preserve">52 </w:t>
      </w:r>
      <w:r w:rsidRPr="001156C8">
        <w:rPr>
          <w:rFonts w:ascii="Book Antiqua" w:eastAsia="Book Antiqua" w:hAnsi="Book Antiqua" w:cs="Book Antiqua"/>
          <w:b/>
          <w:bCs/>
          <w:color w:val="000000"/>
        </w:rPr>
        <w:t>Rinella M</w:t>
      </w:r>
      <w:r w:rsidRPr="001156C8">
        <w:rPr>
          <w:rFonts w:ascii="Book Antiqua" w:eastAsia="Book Antiqua" w:hAnsi="Book Antiqua" w:cs="Book Antiqua"/>
          <w:color w:val="000000"/>
        </w:rPr>
        <w:t xml:space="preserve">, Charlton M. The globalization of nonalcoholic fatty liver disease: Prevalence and impact on world health. </w:t>
      </w:r>
      <w:r w:rsidRPr="001156C8">
        <w:rPr>
          <w:rFonts w:ascii="Book Antiqua" w:eastAsia="Book Antiqua" w:hAnsi="Book Antiqua" w:cs="Book Antiqua"/>
          <w:i/>
          <w:iCs/>
          <w:color w:val="000000"/>
        </w:rPr>
        <w:t>Hepatology</w:t>
      </w:r>
      <w:r w:rsidRPr="001156C8">
        <w:rPr>
          <w:rFonts w:ascii="Book Antiqua" w:eastAsia="Book Antiqua" w:hAnsi="Book Antiqua" w:cs="Book Antiqua"/>
          <w:color w:val="000000"/>
        </w:rPr>
        <w:t xml:space="preserve"> 2016; </w:t>
      </w:r>
      <w:r w:rsidRPr="001156C8">
        <w:rPr>
          <w:rFonts w:ascii="Book Antiqua" w:eastAsia="Book Antiqua" w:hAnsi="Book Antiqua" w:cs="Book Antiqua"/>
          <w:b/>
          <w:bCs/>
          <w:color w:val="000000"/>
        </w:rPr>
        <w:t>64</w:t>
      </w:r>
      <w:r w:rsidRPr="001156C8">
        <w:rPr>
          <w:rFonts w:ascii="Book Antiqua" w:eastAsia="Book Antiqua" w:hAnsi="Book Antiqua" w:cs="Book Antiqua"/>
          <w:color w:val="000000"/>
        </w:rPr>
        <w:t>: 19-22 [PMID: 26926530 DOI: 10.1002/hep.28524]</w:t>
      </w:r>
    </w:p>
    <w:p w14:paraId="4C6CB1CA" w14:textId="77777777" w:rsidR="00A77B3E" w:rsidRPr="00732F3B" w:rsidRDefault="00260EB5" w:rsidP="00732F3B">
      <w:pPr>
        <w:adjustRightInd w:val="0"/>
        <w:snapToGrid w:val="0"/>
        <w:spacing w:line="360" w:lineRule="auto"/>
        <w:jc w:val="both"/>
        <w:rPr>
          <w:rFonts w:ascii="Book Antiqua" w:hAnsi="Book Antiqua"/>
        </w:rPr>
      </w:pPr>
      <w:r w:rsidRPr="001156C8">
        <w:rPr>
          <w:rFonts w:ascii="Book Antiqua" w:eastAsia="Book Antiqua" w:hAnsi="Book Antiqua" w:cs="Book Antiqua"/>
          <w:color w:val="000000"/>
        </w:rPr>
        <w:t xml:space="preserve">53 </w:t>
      </w:r>
      <w:r w:rsidRPr="001156C8">
        <w:rPr>
          <w:rFonts w:ascii="Book Antiqua" w:eastAsia="Book Antiqua" w:hAnsi="Book Antiqua" w:cs="Book Antiqua"/>
          <w:b/>
          <w:bCs/>
          <w:color w:val="000000"/>
        </w:rPr>
        <w:t>Browning JD</w:t>
      </w:r>
      <w:r w:rsidRPr="001156C8">
        <w:rPr>
          <w:rFonts w:ascii="Book Antiqua" w:eastAsia="Book Antiqua" w:hAnsi="Book Antiqua" w:cs="Book Antiqua"/>
          <w:color w:val="000000"/>
        </w:rPr>
        <w:t xml:space="preserve">, Szczepaniak LS, Dobbins R, Nuremberg P, Horton JD, Cohen JC, Grundy SM, Hobbs HH. Prevalence of hepatic steatosis in an urban population in the United States: impact of ethnicity. </w:t>
      </w:r>
      <w:r w:rsidRPr="001156C8">
        <w:rPr>
          <w:rFonts w:ascii="Book Antiqua" w:eastAsia="Book Antiqua" w:hAnsi="Book Antiqua" w:cs="Book Antiqua"/>
          <w:i/>
          <w:iCs/>
          <w:color w:val="000000"/>
        </w:rPr>
        <w:t>Hepatology</w:t>
      </w:r>
      <w:r w:rsidRPr="001156C8">
        <w:rPr>
          <w:rFonts w:ascii="Book Antiqua" w:eastAsia="Book Antiqua" w:hAnsi="Book Antiqua" w:cs="Book Antiqua"/>
          <w:color w:val="000000"/>
        </w:rPr>
        <w:t xml:space="preserve"> 2004; </w:t>
      </w:r>
      <w:r w:rsidRPr="001156C8">
        <w:rPr>
          <w:rFonts w:ascii="Book Antiqua" w:eastAsia="Book Antiqua" w:hAnsi="Book Antiqua" w:cs="Book Antiqua"/>
          <w:b/>
          <w:bCs/>
          <w:color w:val="000000"/>
        </w:rPr>
        <w:t>40</w:t>
      </w:r>
      <w:r w:rsidRPr="001156C8">
        <w:rPr>
          <w:rFonts w:ascii="Book Antiqua" w:eastAsia="Book Antiqua" w:hAnsi="Book Antiqua" w:cs="Book Antiqua"/>
          <w:color w:val="000000"/>
        </w:rPr>
        <w:t>: 1387-1395 [PMID: 15565570 DOI: 10.</w:t>
      </w:r>
      <w:bookmarkStart w:id="44" w:name="_GoBack"/>
      <w:bookmarkEnd w:id="44"/>
      <w:r w:rsidRPr="00732F3B">
        <w:rPr>
          <w:rFonts w:ascii="Book Antiqua" w:eastAsia="Book Antiqua" w:hAnsi="Book Antiqua" w:cs="Book Antiqua"/>
          <w:color w:val="000000"/>
        </w:rPr>
        <w:t>1002/hep.20466]</w:t>
      </w:r>
    </w:p>
    <w:p w14:paraId="00ED5D3E"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54 </w:t>
      </w:r>
      <w:r w:rsidRPr="00732F3B">
        <w:rPr>
          <w:rFonts w:ascii="Book Antiqua" w:eastAsia="Book Antiqua" w:hAnsi="Book Antiqua" w:cs="Book Antiqua"/>
          <w:b/>
          <w:bCs/>
          <w:color w:val="000000"/>
        </w:rPr>
        <w:t>Wijeyaratne CN</w:t>
      </w:r>
      <w:r w:rsidRPr="00732F3B">
        <w:rPr>
          <w:rFonts w:ascii="Book Antiqua" w:eastAsia="Book Antiqua" w:hAnsi="Book Antiqua" w:cs="Book Antiqua"/>
          <w:color w:val="000000"/>
        </w:rPr>
        <w:t xml:space="preserve">, Seneviratne Rde A, Dahanayake S, Kumarapeli V, Palipane E, Kuruppu N, Yapa C, Seneviratne Rde A, Balen AH. Phenotype and metabolic profile of South Asian women with polycystic ovary syndrome (PCOS): results of a large database from a specialist Endocrine Clinic. </w:t>
      </w:r>
      <w:r w:rsidRPr="00732F3B">
        <w:rPr>
          <w:rFonts w:ascii="Book Antiqua" w:eastAsia="Book Antiqua" w:hAnsi="Book Antiqua" w:cs="Book Antiqua"/>
          <w:i/>
          <w:iCs/>
          <w:color w:val="000000"/>
        </w:rPr>
        <w:t>Hum Reprod</w:t>
      </w:r>
      <w:r w:rsidRPr="00732F3B">
        <w:rPr>
          <w:rFonts w:ascii="Book Antiqua" w:eastAsia="Book Antiqua" w:hAnsi="Book Antiqua" w:cs="Book Antiqua"/>
          <w:color w:val="000000"/>
        </w:rPr>
        <w:t xml:space="preserve"> 2011; </w:t>
      </w:r>
      <w:r w:rsidRPr="00732F3B">
        <w:rPr>
          <w:rFonts w:ascii="Book Antiqua" w:eastAsia="Book Antiqua" w:hAnsi="Book Antiqua" w:cs="Book Antiqua"/>
          <w:b/>
          <w:bCs/>
          <w:color w:val="000000"/>
        </w:rPr>
        <w:t>26</w:t>
      </w:r>
      <w:r w:rsidRPr="00732F3B">
        <w:rPr>
          <w:rFonts w:ascii="Book Antiqua" w:eastAsia="Book Antiqua" w:hAnsi="Book Antiqua" w:cs="Book Antiqua"/>
          <w:color w:val="000000"/>
        </w:rPr>
        <w:t>: 202-213 [PMID: 21098627 DOI: 10.1093/humrep/deq310]</w:t>
      </w:r>
    </w:p>
    <w:p w14:paraId="2D1EB23F"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55 </w:t>
      </w:r>
      <w:r w:rsidRPr="00732F3B">
        <w:rPr>
          <w:rFonts w:ascii="Book Antiqua" w:eastAsia="Book Antiqua" w:hAnsi="Book Antiqua" w:cs="Book Antiqua"/>
          <w:b/>
          <w:bCs/>
          <w:color w:val="000000"/>
        </w:rPr>
        <w:t>Kumarendran B</w:t>
      </w:r>
      <w:r w:rsidRPr="00732F3B">
        <w:rPr>
          <w:rFonts w:ascii="Book Antiqua" w:eastAsia="Book Antiqua" w:hAnsi="Book Antiqua" w:cs="Book Antiqua"/>
          <w:color w:val="000000"/>
        </w:rPr>
        <w:t xml:space="preserve">, O'Reilly MW, Manolopoulos KN, Toulis KA, Gokhale KM, Sitch AJ, Wijeyaratne CN, Coomarasamy A, Arlt W, Nirantharakumar K. Polycystic ovary syndrome, androgen excess, and the risk of nonalcoholic fatty liver disease in women: A longitudinal study based on a United Kingdom primary care database. </w:t>
      </w:r>
      <w:r w:rsidRPr="00732F3B">
        <w:rPr>
          <w:rFonts w:ascii="Book Antiqua" w:eastAsia="Book Antiqua" w:hAnsi="Book Antiqua" w:cs="Book Antiqua"/>
          <w:i/>
          <w:iCs/>
          <w:color w:val="000000"/>
        </w:rPr>
        <w:t>PLoS Med</w:t>
      </w:r>
      <w:r w:rsidRPr="00732F3B">
        <w:rPr>
          <w:rFonts w:ascii="Book Antiqua" w:eastAsia="Book Antiqua" w:hAnsi="Book Antiqua" w:cs="Book Antiqua"/>
          <w:color w:val="000000"/>
        </w:rPr>
        <w:t xml:space="preserve"> 2018; </w:t>
      </w:r>
      <w:r w:rsidRPr="00732F3B">
        <w:rPr>
          <w:rFonts w:ascii="Book Antiqua" w:eastAsia="Book Antiqua" w:hAnsi="Book Antiqua" w:cs="Book Antiqua"/>
          <w:b/>
          <w:bCs/>
          <w:color w:val="000000"/>
        </w:rPr>
        <w:t>15</w:t>
      </w:r>
      <w:r w:rsidRPr="00732F3B">
        <w:rPr>
          <w:rFonts w:ascii="Book Antiqua" w:eastAsia="Book Antiqua" w:hAnsi="Book Antiqua" w:cs="Book Antiqua"/>
          <w:color w:val="000000"/>
        </w:rPr>
        <w:t>: e1002542 [PMID: 29590099 DOI: 10.1371/journal.pmed.1002542]</w:t>
      </w:r>
    </w:p>
    <w:p w14:paraId="0DA8E080"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56 </w:t>
      </w:r>
      <w:r w:rsidRPr="00732F3B">
        <w:rPr>
          <w:rFonts w:ascii="Book Antiqua" w:eastAsia="Book Antiqua" w:hAnsi="Book Antiqua" w:cs="Book Antiqua"/>
          <w:b/>
          <w:bCs/>
          <w:color w:val="000000"/>
        </w:rPr>
        <w:t>Szanto KB</w:t>
      </w:r>
      <w:r w:rsidRPr="00732F3B">
        <w:rPr>
          <w:rFonts w:ascii="Book Antiqua" w:eastAsia="Book Antiqua" w:hAnsi="Book Antiqua" w:cs="Book Antiqua"/>
          <w:color w:val="000000"/>
        </w:rPr>
        <w:t xml:space="preserve">, Li J, Cordero P, Oben JA. Ethnic differences and heterogeneity in genetic and metabolic makeup contributing to nonalcoholic fatty liver disease. </w:t>
      </w:r>
      <w:r w:rsidRPr="00732F3B">
        <w:rPr>
          <w:rFonts w:ascii="Book Antiqua" w:eastAsia="Book Antiqua" w:hAnsi="Book Antiqua" w:cs="Book Antiqua"/>
          <w:i/>
          <w:iCs/>
          <w:color w:val="000000"/>
        </w:rPr>
        <w:t>Diabetes Metab Syndr Obes</w:t>
      </w:r>
      <w:r w:rsidRPr="00732F3B">
        <w:rPr>
          <w:rFonts w:ascii="Book Antiqua" w:eastAsia="Book Antiqua" w:hAnsi="Book Antiqua" w:cs="Book Antiqua"/>
          <w:color w:val="000000"/>
        </w:rPr>
        <w:t xml:space="preserve"> 2019; </w:t>
      </w:r>
      <w:r w:rsidRPr="00732F3B">
        <w:rPr>
          <w:rFonts w:ascii="Book Antiqua" w:eastAsia="Book Antiqua" w:hAnsi="Book Antiqua" w:cs="Book Antiqua"/>
          <w:b/>
          <w:bCs/>
          <w:color w:val="000000"/>
        </w:rPr>
        <w:t>12</w:t>
      </w:r>
      <w:r w:rsidRPr="00732F3B">
        <w:rPr>
          <w:rFonts w:ascii="Book Antiqua" w:eastAsia="Book Antiqua" w:hAnsi="Book Antiqua" w:cs="Book Antiqua"/>
          <w:color w:val="000000"/>
        </w:rPr>
        <w:t>: 357-367 [PMID: 30936733 DOI: 10.2147/DMSO.S182331]</w:t>
      </w:r>
    </w:p>
    <w:p w14:paraId="22B943AA"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57 </w:t>
      </w:r>
      <w:r w:rsidRPr="00732F3B">
        <w:rPr>
          <w:rFonts w:ascii="Book Antiqua" w:eastAsia="Book Antiqua" w:hAnsi="Book Antiqua" w:cs="Book Antiqua"/>
          <w:b/>
          <w:bCs/>
          <w:color w:val="000000"/>
        </w:rPr>
        <w:t>Singh S</w:t>
      </w:r>
      <w:r w:rsidRPr="00732F3B">
        <w:rPr>
          <w:rFonts w:ascii="Book Antiqua" w:eastAsia="Book Antiqua" w:hAnsi="Book Antiqua" w:cs="Book Antiqua"/>
          <w:color w:val="000000"/>
        </w:rPr>
        <w:t xml:space="preserve">, Kuftinec GN, Sarkar S. Non-alcoholic Fatty Liver Disease in South Asians: A Review of the Literature. </w:t>
      </w:r>
      <w:r w:rsidRPr="00732F3B">
        <w:rPr>
          <w:rFonts w:ascii="Book Antiqua" w:eastAsia="Book Antiqua" w:hAnsi="Book Antiqua" w:cs="Book Antiqua"/>
          <w:i/>
          <w:iCs/>
          <w:color w:val="000000"/>
        </w:rPr>
        <w:t>J Clin Transl Hepatol</w:t>
      </w:r>
      <w:r w:rsidRPr="00732F3B">
        <w:rPr>
          <w:rFonts w:ascii="Book Antiqua" w:eastAsia="Book Antiqua" w:hAnsi="Book Antiqua" w:cs="Book Antiqua"/>
          <w:color w:val="000000"/>
        </w:rPr>
        <w:t xml:space="preserve"> 2017; </w:t>
      </w:r>
      <w:r w:rsidRPr="00732F3B">
        <w:rPr>
          <w:rFonts w:ascii="Book Antiqua" w:eastAsia="Book Antiqua" w:hAnsi="Book Antiqua" w:cs="Book Antiqua"/>
          <w:b/>
          <w:bCs/>
          <w:color w:val="000000"/>
        </w:rPr>
        <w:t>5</w:t>
      </w:r>
      <w:r w:rsidRPr="00732F3B">
        <w:rPr>
          <w:rFonts w:ascii="Book Antiqua" w:eastAsia="Book Antiqua" w:hAnsi="Book Antiqua" w:cs="Book Antiqua"/>
          <w:color w:val="000000"/>
        </w:rPr>
        <w:t>: 76-81 [PMID: 28507930 DOI: 10.14218/JCTH.2016.00045]</w:t>
      </w:r>
    </w:p>
    <w:p w14:paraId="38659295"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58 </w:t>
      </w:r>
      <w:r w:rsidRPr="00732F3B">
        <w:rPr>
          <w:rFonts w:ascii="Book Antiqua" w:eastAsia="Book Antiqua" w:hAnsi="Book Antiqua" w:cs="Book Antiqua"/>
          <w:b/>
          <w:bCs/>
          <w:color w:val="000000"/>
        </w:rPr>
        <w:t>Mofrad P</w:t>
      </w:r>
      <w:r w:rsidRPr="00732F3B">
        <w:rPr>
          <w:rFonts w:ascii="Book Antiqua" w:eastAsia="Book Antiqua" w:hAnsi="Book Antiqua" w:cs="Book Antiqua"/>
          <w:color w:val="000000"/>
        </w:rPr>
        <w:t xml:space="preserve">, Contos MJ, Haque M, Sargeant C, Fisher RA, Luketic VA, Sterling RK, Shiffman ML, Stravitz RT, Sanyal AJ. Clinical and histologic spectrum of nonalcoholic fatty liver disease associated with normal ALT values. </w:t>
      </w:r>
      <w:r w:rsidRPr="00732F3B">
        <w:rPr>
          <w:rFonts w:ascii="Book Antiqua" w:eastAsia="Book Antiqua" w:hAnsi="Book Antiqua" w:cs="Book Antiqua"/>
          <w:i/>
          <w:iCs/>
          <w:color w:val="000000"/>
        </w:rPr>
        <w:t>Hepatology</w:t>
      </w:r>
      <w:r w:rsidRPr="00732F3B">
        <w:rPr>
          <w:rFonts w:ascii="Book Antiqua" w:eastAsia="Book Antiqua" w:hAnsi="Book Antiqua" w:cs="Book Antiqua"/>
          <w:color w:val="000000"/>
        </w:rPr>
        <w:t xml:space="preserve"> 2003; </w:t>
      </w:r>
      <w:r w:rsidRPr="00732F3B">
        <w:rPr>
          <w:rFonts w:ascii="Book Antiqua" w:eastAsia="Book Antiqua" w:hAnsi="Book Antiqua" w:cs="Book Antiqua"/>
          <w:b/>
          <w:bCs/>
          <w:color w:val="000000"/>
        </w:rPr>
        <w:t>37</w:t>
      </w:r>
      <w:r w:rsidRPr="00732F3B">
        <w:rPr>
          <w:rFonts w:ascii="Book Antiqua" w:eastAsia="Book Antiqua" w:hAnsi="Book Antiqua" w:cs="Book Antiqua"/>
          <w:color w:val="000000"/>
        </w:rPr>
        <w:t>: 1286-1292 [PMID: 12774006 DOI: 10.1053/jhep.2003.50229]</w:t>
      </w:r>
    </w:p>
    <w:p w14:paraId="2BB53AB4"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59 </w:t>
      </w:r>
      <w:r w:rsidRPr="00732F3B">
        <w:rPr>
          <w:rFonts w:ascii="Book Antiqua" w:eastAsia="Book Antiqua" w:hAnsi="Book Antiqua" w:cs="Book Antiqua"/>
          <w:b/>
          <w:bCs/>
          <w:color w:val="000000"/>
        </w:rPr>
        <w:t>Ma X</w:t>
      </w:r>
      <w:r w:rsidRPr="00732F3B">
        <w:rPr>
          <w:rFonts w:ascii="Book Antiqua" w:eastAsia="Book Antiqua" w:hAnsi="Book Antiqua" w:cs="Book Antiqua"/>
          <w:color w:val="000000"/>
        </w:rPr>
        <w:t xml:space="preserve">, Liu S, Zhang J, Dong M, Wang Y, Wang M, Xin Y. Proportion of NAFLD patients with normal ALT value in overall NAFLD patients: a systematic review and meta-analysis. </w:t>
      </w:r>
      <w:r w:rsidRPr="00732F3B">
        <w:rPr>
          <w:rFonts w:ascii="Book Antiqua" w:eastAsia="Book Antiqua" w:hAnsi="Book Antiqua" w:cs="Book Antiqua"/>
          <w:i/>
          <w:iCs/>
          <w:color w:val="000000"/>
        </w:rPr>
        <w:t>BMC Gastroenterol</w:t>
      </w:r>
      <w:r w:rsidRPr="00732F3B">
        <w:rPr>
          <w:rFonts w:ascii="Book Antiqua" w:eastAsia="Book Antiqua" w:hAnsi="Book Antiqua" w:cs="Book Antiqua"/>
          <w:color w:val="000000"/>
        </w:rPr>
        <w:t xml:space="preserve"> 2020; </w:t>
      </w:r>
      <w:r w:rsidRPr="00732F3B">
        <w:rPr>
          <w:rFonts w:ascii="Book Antiqua" w:eastAsia="Book Antiqua" w:hAnsi="Book Antiqua" w:cs="Book Antiqua"/>
          <w:b/>
          <w:bCs/>
          <w:color w:val="000000"/>
        </w:rPr>
        <w:t>20</w:t>
      </w:r>
      <w:r w:rsidRPr="00732F3B">
        <w:rPr>
          <w:rFonts w:ascii="Book Antiqua" w:eastAsia="Book Antiqua" w:hAnsi="Book Antiqua" w:cs="Book Antiqua"/>
          <w:color w:val="000000"/>
        </w:rPr>
        <w:t>: 10 [PMID: 31937252 DOI: 10.1186/s12876-020-1165-z]</w:t>
      </w:r>
    </w:p>
    <w:p w14:paraId="6299E202"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60 </w:t>
      </w:r>
      <w:r w:rsidRPr="00732F3B">
        <w:rPr>
          <w:rFonts w:ascii="Book Antiqua" w:eastAsia="Book Antiqua" w:hAnsi="Book Antiqua" w:cs="Book Antiqua"/>
          <w:b/>
          <w:bCs/>
          <w:color w:val="000000"/>
        </w:rPr>
        <w:t>VanWagner LB</w:t>
      </w:r>
      <w:r w:rsidRPr="00732F3B">
        <w:rPr>
          <w:rFonts w:ascii="Book Antiqua" w:eastAsia="Book Antiqua" w:hAnsi="Book Antiqua" w:cs="Book Antiqua"/>
          <w:color w:val="000000"/>
        </w:rPr>
        <w:t xml:space="preserve">, Rinella ME. Extrahepatic Manifestations of Nonalcoholic Fatty Liver Disease. </w:t>
      </w:r>
      <w:r w:rsidRPr="00732F3B">
        <w:rPr>
          <w:rFonts w:ascii="Book Antiqua" w:eastAsia="Book Antiqua" w:hAnsi="Book Antiqua" w:cs="Book Antiqua"/>
          <w:i/>
          <w:iCs/>
          <w:color w:val="000000"/>
        </w:rPr>
        <w:t>Curr Hepatol Rep</w:t>
      </w:r>
      <w:r w:rsidRPr="00732F3B">
        <w:rPr>
          <w:rFonts w:ascii="Book Antiqua" w:eastAsia="Book Antiqua" w:hAnsi="Book Antiqua" w:cs="Book Antiqua"/>
          <w:color w:val="000000"/>
        </w:rPr>
        <w:t xml:space="preserve"> 2016; </w:t>
      </w:r>
      <w:r w:rsidRPr="00732F3B">
        <w:rPr>
          <w:rFonts w:ascii="Book Antiqua" w:eastAsia="Book Antiqua" w:hAnsi="Book Antiqua" w:cs="Book Antiqua"/>
          <w:b/>
          <w:bCs/>
          <w:color w:val="000000"/>
        </w:rPr>
        <w:t>15</w:t>
      </w:r>
      <w:r w:rsidRPr="00732F3B">
        <w:rPr>
          <w:rFonts w:ascii="Book Antiqua" w:eastAsia="Book Antiqua" w:hAnsi="Book Antiqua" w:cs="Book Antiqua"/>
          <w:color w:val="000000"/>
        </w:rPr>
        <w:t>: 75-85 [PMID: 27218012 DOI: 10.1007/s11901-016-0295-9]</w:t>
      </w:r>
    </w:p>
    <w:p w14:paraId="44803FAB" w14:textId="77777777" w:rsidR="00A77B3E" w:rsidRPr="00732F3B" w:rsidRDefault="00A77B3E" w:rsidP="00732F3B">
      <w:pPr>
        <w:adjustRightInd w:val="0"/>
        <w:snapToGrid w:val="0"/>
        <w:spacing w:line="360" w:lineRule="auto"/>
        <w:jc w:val="both"/>
        <w:rPr>
          <w:rFonts w:ascii="Book Antiqua" w:hAnsi="Book Antiqua"/>
        </w:rPr>
        <w:sectPr w:rsidR="00A77B3E" w:rsidRPr="00732F3B" w:rsidSect="00C65E0A">
          <w:pgSz w:w="12240" w:h="15840"/>
          <w:pgMar w:top="1440" w:right="1800" w:bottom="1440" w:left="1800" w:header="720" w:footer="720" w:gutter="0"/>
          <w:cols w:space="720"/>
          <w:docGrid w:linePitch="360"/>
        </w:sectPr>
      </w:pPr>
    </w:p>
    <w:p w14:paraId="07174DE7"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Footnotes</w:t>
      </w:r>
    </w:p>
    <w:p w14:paraId="24145509" w14:textId="25D93B0F"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Institutional review board statement: </w:t>
      </w:r>
      <w:r w:rsidRPr="00732F3B">
        <w:rPr>
          <w:rFonts w:ascii="Book Antiqua" w:eastAsia="Book Antiqua" w:hAnsi="Book Antiqua" w:cs="Book Antiqua"/>
          <w:color w:val="000000"/>
        </w:rPr>
        <w:t>The study was approved by</w:t>
      </w:r>
      <w:r w:rsidRPr="00732F3B">
        <w:rPr>
          <w:rFonts w:ascii="Book Antiqua" w:eastAsia="Book Antiqua" w:hAnsi="Book Antiqua" w:cs="Book Antiqua"/>
          <w:b/>
          <w:bCs/>
          <w:color w:val="000000"/>
        </w:rPr>
        <w:t> </w:t>
      </w:r>
      <w:r w:rsidRPr="00732F3B">
        <w:rPr>
          <w:rFonts w:ascii="Book Antiqua" w:eastAsia="Book Antiqua" w:hAnsi="Book Antiqua" w:cs="Book Antiqua"/>
          <w:color w:val="000000"/>
        </w:rPr>
        <w:t>the Research Ethic</w:t>
      </w:r>
      <w:r w:rsidR="009F4004" w:rsidRPr="00732F3B">
        <w:rPr>
          <w:rFonts w:ascii="Book Antiqua" w:eastAsia="Book Antiqua" w:hAnsi="Book Antiqua" w:cs="Book Antiqua"/>
          <w:color w:val="000000"/>
        </w:rPr>
        <w:t>s</w:t>
      </w:r>
      <w:r w:rsidRPr="00732F3B">
        <w:rPr>
          <w:rFonts w:ascii="Book Antiqua" w:eastAsia="Book Antiqua" w:hAnsi="Book Antiqua" w:cs="Book Antiqua"/>
          <w:color w:val="000000"/>
        </w:rPr>
        <w:t xml:space="preserve"> Board of the Research Institute of the MUHC (study code 2019-4584).</w:t>
      </w:r>
    </w:p>
    <w:p w14:paraId="3B0F0400" w14:textId="77777777" w:rsidR="00A77B3E" w:rsidRPr="00732F3B" w:rsidRDefault="00A77B3E" w:rsidP="00732F3B">
      <w:pPr>
        <w:adjustRightInd w:val="0"/>
        <w:snapToGrid w:val="0"/>
        <w:spacing w:line="360" w:lineRule="auto"/>
        <w:jc w:val="both"/>
        <w:rPr>
          <w:rFonts w:ascii="Book Antiqua" w:hAnsi="Book Antiqua"/>
        </w:rPr>
      </w:pPr>
    </w:p>
    <w:p w14:paraId="4A1943A6"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Informed consent statement: </w:t>
      </w:r>
      <w:r w:rsidRPr="00732F3B">
        <w:rPr>
          <w:rFonts w:ascii="Book Antiqua" w:eastAsia="Book Antiqua" w:hAnsi="Book Antiqua" w:cs="Book Antiqua"/>
          <w:color w:val="000000"/>
          <w:shd w:val="clear" w:color="auto" w:fill="FFFFFF"/>
        </w:rPr>
        <w:t>All study participants provided informed written consent prior to study enrollment.</w:t>
      </w:r>
    </w:p>
    <w:p w14:paraId="4645145E" w14:textId="77777777" w:rsidR="00A77B3E" w:rsidRPr="00732F3B" w:rsidRDefault="00A77B3E" w:rsidP="00732F3B">
      <w:pPr>
        <w:adjustRightInd w:val="0"/>
        <w:snapToGrid w:val="0"/>
        <w:spacing w:line="360" w:lineRule="auto"/>
        <w:jc w:val="both"/>
        <w:rPr>
          <w:rFonts w:ascii="Book Antiqua" w:hAnsi="Book Antiqua"/>
        </w:rPr>
      </w:pPr>
    </w:p>
    <w:p w14:paraId="632B248D" w14:textId="075B574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Conflict-of-interest statement: </w:t>
      </w:r>
      <w:bookmarkStart w:id="45" w:name="OLE_LINK44"/>
      <w:bookmarkStart w:id="46" w:name="OLE_LINK45"/>
      <w:r w:rsidRPr="00732F3B">
        <w:rPr>
          <w:rFonts w:ascii="Book Antiqua" w:eastAsia="Book Antiqua" w:hAnsi="Book Antiqua" w:cs="Book Antiqua"/>
          <w:color w:val="000000"/>
        </w:rPr>
        <w:t>Ghali P has acted as consultant for Merck and Gilead. Deschenes M has served as an advisory board me</w:t>
      </w:r>
      <w:r w:rsidR="00B71500" w:rsidRPr="00732F3B">
        <w:rPr>
          <w:rFonts w:ascii="Book Antiqua" w:eastAsia="Book Antiqua" w:hAnsi="Book Antiqua" w:cs="Book Antiqua"/>
          <w:color w:val="000000"/>
        </w:rPr>
        <w:t>mber for Merck, Janssen, Gilead;</w:t>
      </w:r>
      <w:r w:rsidRPr="00732F3B">
        <w:rPr>
          <w:rFonts w:ascii="Book Antiqua" w:eastAsia="Book Antiqua" w:hAnsi="Book Antiqua" w:cs="Book Antiqua"/>
          <w:color w:val="000000"/>
        </w:rPr>
        <w:t xml:space="preserve"> Wong P has acted as consultant f</w:t>
      </w:r>
      <w:r w:rsidR="00B71500" w:rsidRPr="00732F3B">
        <w:rPr>
          <w:rFonts w:ascii="Book Antiqua" w:eastAsia="Book Antiqua" w:hAnsi="Book Antiqua" w:cs="Book Antiqua"/>
          <w:color w:val="000000"/>
        </w:rPr>
        <w:t>or BMS, Gilead, Merck, Novartis;</w:t>
      </w:r>
      <w:r w:rsidRPr="00732F3B">
        <w:rPr>
          <w:rFonts w:ascii="Book Antiqua" w:eastAsia="Book Antiqua" w:hAnsi="Book Antiqua" w:cs="Book Antiqua"/>
          <w:color w:val="000000"/>
        </w:rPr>
        <w:t> Sebastiani G has acted as speaker for Merck, Gilead, Abbvie, Novonordisk, Novartis, Pfizer, served as an advisory board member for Merck, Intercept, Novartis, Gilead, Allergan and has received research funding from Merck and Theratec Inc. Shengir M, Krishnamurthy S and Chen T have no conflicts of interest to declare.</w:t>
      </w:r>
    </w:p>
    <w:bookmarkEnd w:id="45"/>
    <w:bookmarkEnd w:id="46"/>
    <w:p w14:paraId="09261D3A" w14:textId="77777777" w:rsidR="00A77B3E" w:rsidRPr="00732F3B" w:rsidRDefault="00A77B3E" w:rsidP="00732F3B">
      <w:pPr>
        <w:adjustRightInd w:val="0"/>
        <w:snapToGrid w:val="0"/>
        <w:spacing w:line="360" w:lineRule="auto"/>
        <w:jc w:val="both"/>
        <w:rPr>
          <w:rFonts w:ascii="Book Antiqua" w:hAnsi="Book Antiqua"/>
        </w:rPr>
      </w:pPr>
    </w:p>
    <w:p w14:paraId="163BF20B"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Data sharing statement: </w:t>
      </w:r>
      <w:bookmarkStart w:id="47" w:name="OLE_LINK46"/>
      <w:bookmarkStart w:id="48" w:name="OLE_LINK47"/>
      <w:r w:rsidRPr="00732F3B">
        <w:rPr>
          <w:rFonts w:ascii="Book Antiqua" w:eastAsia="Book Antiqua" w:hAnsi="Book Antiqua" w:cs="Book Antiqua"/>
          <w:color w:val="000000"/>
        </w:rPr>
        <w:t>According to stipulations of the patient consent form signed by all study participants, ethical restrictions imposed by our Institutional Ethics review boards (Institutional Ethics Review Board Biomedical B Research Ethics Board of the McGill University Health Centre), and legal restrictions imposed by Canadian law regarding clinical trials, anonymized data are available upon reasonable request. Please send data access requests to Sheldon Levy, Biomedical B (BMB) Research Ethics Board (REB) Coordinator Centre for Applied Ethics, </w:t>
      </w:r>
      <w:r w:rsidRPr="00732F3B">
        <w:rPr>
          <w:rFonts w:ascii="Book Antiqua" w:eastAsia="Book Antiqua" w:hAnsi="Book Antiqua" w:cs="Book Antiqua"/>
          <w:color w:val="000000"/>
          <w:shd w:val="clear" w:color="auto" w:fill="FFFFFF"/>
        </w:rPr>
        <w:t>5100, boul. de Maisonneuve Ouest, 5th floor, Office 576, Montréal, Québec, H4A 3T2, Canada.</w:t>
      </w:r>
    </w:p>
    <w:bookmarkEnd w:id="47"/>
    <w:bookmarkEnd w:id="48"/>
    <w:p w14:paraId="14C15DC6" w14:textId="77777777" w:rsidR="00A77B3E" w:rsidRPr="00732F3B" w:rsidRDefault="00A77B3E" w:rsidP="00732F3B">
      <w:pPr>
        <w:adjustRightInd w:val="0"/>
        <w:snapToGrid w:val="0"/>
        <w:spacing w:line="360" w:lineRule="auto"/>
        <w:jc w:val="both"/>
        <w:rPr>
          <w:rFonts w:ascii="Book Antiqua" w:hAnsi="Book Antiqua"/>
        </w:rPr>
      </w:pPr>
    </w:p>
    <w:p w14:paraId="59373D3C"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STROBE statement: </w:t>
      </w:r>
      <w:r w:rsidRPr="00732F3B">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7350B80" w14:textId="77777777" w:rsidR="00A77B3E" w:rsidRPr="00732F3B" w:rsidRDefault="00A77B3E" w:rsidP="00732F3B">
      <w:pPr>
        <w:adjustRightInd w:val="0"/>
        <w:snapToGrid w:val="0"/>
        <w:spacing w:line="360" w:lineRule="auto"/>
        <w:jc w:val="both"/>
        <w:rPr>
          <w:rFonts w:ascii="Book Antiqua" w:hAnsi="Book Antiqua"/>
        </w:rPr>
      </w:pPr>
    </w:p>
    <w:p w14:paraId="09070C23"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Open-Access: </w:t>
      </w:r>
      <w:r w:rsidRPr="00732F3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695DFF" w14:textId="77777777" w:rsidR="00A77B3E" w:rsidRPr="00732F3B" w:rsidRDefault="00A77B3E" w:rsidP="00732F3B">
      <w:pPr>
        <w:adjustRightInd w:val="0"/>
        <w:snapToGrid w:val="0"/>
        <w:spacing w:line="360" w:lineRule="auto"/>
        <w:jc w:val="both"/>
        <w:rPr>
          <w:rFonts w:ascii="Book Antiqua" w:hAnsi="Book Antiqua"/>
        </w:rPr>
      </w:pPr>
    </w:p>
    <w:p w14:paraId="5B48042F" w14:textId="3DE6DC7B" w:rsidR="00A77B3E" w:rsidRPr="00732F3B" w:rsidRDefault="00260EB5" w:rsidP="00732F3B">
      <w:pPr>
        <w:adjustRightInd w:val="0"/>
        <w:snapToGrid w:val="0"/>
        <w:spacing w:line="360" w:lineRule="auto"/>
        <w:jc w:val="both"/>
        <w:rPr>
          <w:rFonts w:ascii="Book Antiqua" w:eastAsia="Book Antiqua" w:hAnsi="Book Antiqua" w:cs="Book Antiqua"/>
          <w:color w:val="000000"/>
        </w:rPr>
      </w:pPr>
      <w:r w:rsidRPr="00732F3B">
        <w:rPr>
          <w:rFonts w:ascii="Book Antiqua" w:eastAsia="Book Antiqua" w:hAnsi="Book Antiqua" w:cs="Book Antiqua"/>
          <w:b/>
          <w:color w:val="000000"/>
        </w:rPr>
        <w:t xml:space="preserve">Manuscript source: </w:t>
      </w:r>
      <w:r w:rsidRPr="00732F3B">
        <w:rPr>
          <w:rFonts w:ascii="Book Antiqua" w:eastAsia="Book Antiqua" w:hAnsi="Book Antiqua" w:cs="Book Antiqua"/>
          <w:color w:val="000000"/>
        </w:rPr>
        <w:t xml:space="preserve">Unsolicited </w:t>
      </w:r>
      <w:r w:rsidR="00D76D0F" w:rsidRPr="00732F3B">
        <w:rPr>
          <w:rFonts w:ascii="Book Antiqua" w:eastAsia="Book Antiqua" w:hAnsi="Book Antiqua" w:cs="Book Antiqua"/>
          <w:color w:val="000000"/>
        </w:rPr>
        <w:t>m</w:t>
      </w:r>
      <w:r w:rsidRPr="00732F3B">
        <w:rPr>
          <w:rFonts w:ascii="Book Antiqua" w:eastAsia="Book Antiqua" w:hAnsi="Book Antiqua" w:cs="Book Antiqua"/>
          <w:color w:val="000000"/>
        </w:rPr>
        <w:t>anuscript</w:t>
      </w:r>
    </w:p>
    <w:p w14:paraId="1881702F" w14:textId="77777777" w:rsidR="00D76D0F" w:rsidRPr="00732F3B" w:rsidRDefault="00D76D0F" w:rsidP="00732F3B">
      <w:pPr>
        <w:adjustRightInd w:val="0"/>
        <w:snapToGrid w:val="0"/>
        <w:spacing w:line="360" w:lineRule="auto"/>
        <w:jc w:val="both"/>
        <w:rPr>
          <w:rFonts w:ascii="Book Antiqua" w:hAnsi="Book Antiqua"/>
        </w:rPr>
      </w:pPr>
    </w:p>
    <w:p w14:paraId="74D56559" w14:textId="2565F08F"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 xml:space="preserve">Corresponding Author's Membership in Professional Societies: </w:t>
      </w:r>
      <w:r w:rsidRPr="00732F3B">
        <w:rPr>
          <w:rFonts w:ascii="Book Antiqua" w:eastAsia="Book Antiqua" w:hAnsi="Book Antiqua" w:cs="Book Antiqua"/>
          <w:color w:val="000000"/>
        </w:rPr>
        <w:t>American Association f</w:t>
      </w:r>
      <w:r w:rsidR="00D76D0F" w:rsidRPr="00732F3B">
        <w:rPr>
          <w:rFonts w:ascii="Book Antiqua" w:eastAsia="Book Antiqua" w:hAnsi="Book Antiqua" w:cs="Book Antiqua"/>
          <w:color w:val="000000"/>
        </w:rPr>
        <w:t>or the Study of Liver Diseases</w:t>
      </w:r>
      <w:r w:rsidRPr="00732F3B">
        <w:rPr>
          <w:rFonts w:ascii="Book Antiqua" w:eastAsia="Book Antiqua" w:hAnsi="Book Antiqua" w:cs="Book Antiqua"/>
          <w:color w:val="000000"/>
        </w:rPr>
        <w:t>.</w:t>
      </w:r>
    </w:p>
    <w:p w14:paraId="399E0536" w14:textId="77777777" w:rsidR="00A77B3E" w:rsidRPr="00732F3B" w:rsidRDefault="00A77B3E" w:rsidP="00732F3B">
      <w:pPr>
        <w:adjustRightInd w:val="0"/>
        <w:snapToGrid w:val="0"/>
        <w:spacing w:line="360" w:lineRule="auto"/>
        <w:jc w:val="both"/>
        <w:rPr>
          <w:rFonts w:ascii="Book Antiqua" w:hAnsi="Book Antiqua"/>
        </w:rPr>
      </w:pPr>
    </w:p>
    <w:p w14:paraId="7E3AC872"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 xml:space="preserve">Peer-review started: </w:t>
      </w:r>
      <w:r w:rsidRPr="00732F3B">
        <w:rPr>
          <w:rFonts w:ascii="Book Antiqua" w:eastAsia="Book Antiqua" w:hAnsi="Book Antiqua" w:cs="Book Antiqua"/>
          <w:color w:val="000000"/>
        </w:rPr>
        <w:t>September 20, 2020</w:t>
      </w:r>
    </w:p>
    <w:p w14:paraId="3028C9D5"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 xml:space="preserve">First decision: </w:t>
      </w:r>
      <w:r w:rsidRPr="00732F3B">
        <w:rPr>
          <w:rFonts w:ascii="Book Antiqua" w:eastAsia="Book Antiqua" w:hAnsi="Book Antiqua" w:cs="Book Antiqua"/>
          <w:color w:val="000000"/>
        </w:rPr>
        <w:t>October 17, 2020</w:t>
      </w:r>
    </w:p>
    <w:p w14:paraId="27D3B324" w14:textId="7229767E"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 xml:space="preserve">Article in press: </w:t>
      </w:r>
      <w:r w:rsidR="00875CCB" w:rsidRPr="00C457F2">
        <w:rPr>
          <w:rFonts w:ascii="Book Antiqua" w:eastAsia="Book Antiqua" w:hAnsi="Book Antiqua" w:cs="Book Antiqua"/>
          <w:color w:val="000000"/>
        </w:rPr>
        <w:t>November 13, 2020</w:t>
      </w:r>
    </w:p>
    <w:p w14:paraId="7F8C3FD8" w14:textId="77777777" w:rsidR="00A77B3E" w:rsidRPr="00732F3B" w:rsidRDefault="00A77B3E" w:rsidP="00732F3B">
      <w:pPr>
        <w:adjustRightInd w:val="0"/>
        <w:snapToGrid w:val="0"/>
        <w:spacing w:line="360" w:lineRule="auto"/>
        <w:jc w:val="both"/>
        <w:rPr>
          <w:rFonts w:ascii="Book Antiqua" w:hAnsi="Book Antiqua"/>
        </w:rPr>
      </w:pPr>
    </w:p>
    <w:p w14:paraId="427A4485" w14:textId="3BA49A9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 xml:space="preserve">Specialty type: </w:t>
      </w:r>
      <w:r w:rsidRPr="00732F3B">
        <w:rPr>
          <w:rFonts w:ascii="Book Antiqua" w:eastAsia="Book Antiqua" w:hAnsi="Book Antiqua" w:cs="Book Antiqua"/>
          <w:color w:val="000000"/>
        </w:rPr>
        <w:t xml:space="preserve">Gastroenterology and </w:t>
      </w:r>
      <w:r w:rsidR="00D76D0F" w:rsidRPr="00732F3B">
        <w:rPr>
          <w:rFonts w:ascii="Book Antiqua" w:eastAsia="Book Antiqua" w:hAnsi="Book Antiqua" w:cs="Book Antiqua"/>
          <w:color w:val="000000"/>
        </w:rPr>
        <w:t>h</w:t>
      </w:r>
      <w:r w:rsidRPr="00732F3B">
        <w:rPr>
          <w:rFonts w:ascii="Book Antiqua" w:eastAsia="Book Antiqua" w:hAnsi="Book Antiqua" w:cs="Book Antiqua"/>
          <w:color w:val="000000"/>
        </w:rPr>
        <w:t>epatology</w:t>
      </w:r>
    </w:p>
    <w:p w14:paraId="67A37051"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 xml:space="preserve">Country/Territory of origin: </w:t>
      </w:r>
      <w:r w:rsidRPr="00732F3B">
        <w:rPr>
          <w:rFonts w:ascii="Book Antiqua" w:eastAsia="Book Antiqua" w:hAnsi="Book Antiqua" w:cs="Book Antiqua"/>
          <w:color w:val="000000"/>
        </w:rPr>
        <w:t>Canada</w:t>
      </w:r>
    </w:p>
    <w:p w14:paraId="0418B0A4"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Peer-review report’s scientific quality classification</w:t>
      </w:r>
    </w:p>
    <w:p w14:paraId="423D358E"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Grade A (Excellent): 0</w:t>
      </w:r>
    </w:p>
    <w:p w14:paraId="413C6858"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Grade B (Very good): 0</w:t>
      </w:r>
    </w:p>
    <w:p w14:paraId="457BD70E"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Grade C (Good): C, C</w:t>
      </w:r>
    </w:p>
    <w:p w14:paraId="3AF5FAD2"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Grade D (Fair): 0</w:t>
      </w:r>
    </w:p>
    <w:p w14:paraId="09A40FC0"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Grade E (Poor): 0</w:t>
      </w:r>
    </w:p>
    <w:p w14:paraId="75FCFAD5" w14:textId="77777777" w:rsidR="00A77B3E" w:rsidRPr="00732F3B" w:rsidRDefault="00A77B3E" w:rsidP="00732F3B">
      <w:pPr>
        <w:adjustRightInd w:val="0"/>
        <w:snapToGrid w:val="0"/>
        <w:spacing w:line="360" w:lineRule="auto"/>
        <w:jc w:val="both"/>
        <w:rPr>
          <w:rFonts w:ascii="Book Antiqua" w:hAnsi="Book Antiqua"/>
        </w:rPr>
      </w:pPr>
    </w:p>
    <w:p w14:paraId="052FC587" w14:textId="77A20F41" w:rsidR="00A77B3E" w:rsidRPr="00875CCB" w:rsidRDefault="00260EB5" w:rsidP="00732F3B">
      <w:pPr>
        <w:adjustRightInd w:val="0"/>
        <w:snapToGrid w:val="0"/>
        <w:spacing w:line="360" w:lineRule="auto"/>
        <w:jc w:val="both"/>
        <w:rPr>
          <w:rFonts w:ascii="Book Antiqua" w:hAnsi="Book Antiqua" w:cs="Book Antiqua"/>
          <w:color w:val="000000"/>
          <w:lang w:eastAsia="zh-CN"/>
        </w:rPr>
      </w:pPr>
      <w:r w:rsidRPr="00732F3B">
        <w:rPr>
          <w:rFonts w:ascii="Book Antiqua" w:eastAsia="Book Antiqua" w:hAnsi="Book Antiqua" w:cs="Book Antiqua"/>
          <w:b/>
          <w:color w:val="000000"/>
        </w:rPr>
        <w:t xml:space="preserve">P-Reviewer: </w:t>
      </w:r>
      <w:r w:rsidRPr="00732F3B">
        <w:rPr>
          <w:rFonts w:ascii="Book Antiqua" w:eastAsia="Book Antiqua" w:hAnsi="Book Antiqua" w:cs="Book Antiqua"/>
          <w:color w:val="000000"/>
        </w:rPr>
        <w:t>Fan JG, Malnick SD</w:t>
      </w:r>
      <w:r w:rsidRPr="00732F3B">
        <w:rPr>
          <w:rFonts w:ascii="Book Antiqua" w:eastAsia="Book Antiqua" w:hAnsi="Book Antiqua" w:cs="Book Antiqua"/>
          <w:b/>
          <w:color w:val="000000"/>
        </w:rPr>
        <w:t xml:space="preserve"> S-Editor: </w:t>
      </w:r>
      <w:r w:rsidRPr="00732F3B">
        <w:rPr>
          <w:rFonts w:ascii="Book Antiqua" w:eastAsia="Book Antiqua" w:hAnsi="Book Antiqua" w:cs="Book Antiqua"/>
          <w:color w:val="000000"/>
        </w:rPr>
        <w:t>Zhang L</w:t>
      </w:r>
      <w:r w:rsidRPr="00732F3B">
        <w:rPr>
          <w:rFonts w:ascii="Book Antiqua" w:eastAsia="Book Antiqua" w:hAnsi="Book Antiqua" w:cs="Book Antiqua"/>
          <w:b/>
          <w:color w:val="000000"/>
        </w:rPr>
        <w:t xml:space="preserve"> L-Editor:</w:t>
      </w:r>
      <w:r w:rsidR="00875CCB">
        <w:rPr>
          <w:rFonts w:ascii="Book Antiqua" w:hAnsi="Book Antiqua" w:cs="Book Antiqua" w:hint="eastAsia"/>
          <w:b/>
          <w:color w:val="000000"/>
          <w:lang w:eastAsia="zh-CN"/>
        </w:rPr>
        <w:t xml:space="preserve"> A </w:t>
      </w:r>
      <w:r w:rsidR="0054251B" w:rsidRPr="00732F3B">
        <w:rPr>
          <w:rFonts w:ascii="Book Antiqua" w:eastAsia="Book Antiqua" w:hAnsi="Book Antiqua" w:cs="Book Antiqua"/>
          <w:b/>
          <w:color w:val="000000"/>
        </w:rPr>
        <w:t xml:space="preserve"> </w:t>
      </w:r>
      <w:r w:rsidRPr="00732F3B">
        <w:rPr>
          <w:rFonts w:ascii="Book Antiqua" w:eastAsia="Book Antiqua" w:hAnsi="Book Antiqua" w:cs="Book Antiqua"/>
          <w:b/>
          <w:color w:val="000000"/>
        </w:rPr>
        <w:t xml:space="preserve">P-Editor: </w:t>
      </w:r>
      <w:r w:rsidR="00875CCB" w:rsidRPr="00875CCB">
        <w:rPr>
          <w:rFonts w:ascii="Book Antiqua" w:hAnsi="Book Antiqua" w:cs="Book Antiqua" w:hint="eastAsia"/>
          <w:color w:val="000000"/>
          <w:lang w:eastAsia="zh-CN"/>
        </w:rPr>
        <w:t>Ma YJ</w:t>
      </w:r>
    </w:p>
    <w:p w14:paraId="34CB6FB1" w14:textId="77777777" w:rsidR="00D76D0F" w:rsidRPr="00732F3B" w:rsidRDefault="00D76D0F" w:rsidP="00732F3B">
      <w:pPr>
        <w:adjustRightInd w:val="0"/>
        <w:snapToGrid w:val="0"/>
        <w:spacing w:line="360" w:lineRule="auto"/>
        <w:jc w:val="both"/>
        <w:rPr>
          <w:rFonts w:ascii="Book Antiqua" w:hAnsi="Book Antiqua"/>
        </w:rPr>
        <w:sectPr w:rsidR="00D76D0F" w:rsidRPr="00732F3B" w:rsidSect="00C65E0A">
          <w:pgSz w:w="12240" w:h="15840"/>
          <w:pgMar w:top="1440" w:right="1800" w:bottom="1440" w:left="1800" w:header="720" w:footer="720" w:gutter="0"/>
          <w:cols w:space="720"/>
          <w:docGrid w:linePitch="360"/>
        </w:sectPr>
      </w:pPr>
    </w:p>
    <w:p w14:paraId="14B9812C" w14:textId="4C8DDFAF" w:rsidR="00A77B3E" w:rsidRPr="00732F3B" w:rsidRDefault="00260EB5" w:rsidP="00732F3B">
      <w:pPr>
        <w:adjustRightInd w:val="0"/>
        <w:snapToGrid w:val="0"/>
        <w:spacing w:line="360" w:lineRule="auto"/>
        <w:jc w:val="both"/>
        <w:rPr>
          <w:rFonts w:ascii="Book Antiqua" w:eastAsia="Book Antiqua" w:hAnsi="Book Antiqua" w:cs="Book Antiqua"/>
          <w:b/>
          <w:color w:val="000000"/>
        </w:rPr>
      </w:pPr>
      <w:r w:rsidRPr="00732F3B">
        <w:rPr>
          <w:rFonts w:ascii="Book Antiqua" w:eastAsia="Book Antiqua" w:hAnsi="Book Antiqua" w:cs="Book Antiqua"/>
          <w:b/>
          <w:color w:val="000000"/>
        </w:rPr>
        <w:t>Figure Legends</w:t>
      </w:r>
    </w:p>
    <w:p w14:paraId="79CB0793" w14:textId="46DD8F6F" w:rsidR="00EC329A" w:rsidRPr="00732F3B" w:rsidRDefault="00CE7CD5" w:rsidP="00732F3B">
      <w:pPr>
        <w:adjustRightInd w:val="0"/>
        <w:snapToGrid w:val="0"/>
        <w:spacing w:line="360" w:lineRule="auto"/>
        <w:jc w:val="both"/>
        <w:rPr>
          <w:rFonts w:ascii="Book Antiqua" w:hAnsi="Book Antiqua"/>
        </w:rPr>
      </w:pPr>
      <w:r w:rsidRPr="00732F3B">
        <w:rPr>
          <w:rFonts w:ascii="Book Antiqua" w:hAnsi="Book Antiqua"/>
          <w:noProof/>
          <w:lang w:eastAsia="zh-CN"/>
        </w:rPr>
        <w:drawing>
          <wp:inline distT="0" distB="0" distL="0" distR="0" wp14:anchorId="3CD4735C" wp14:editId="4D97578D">
            <wp:extent cx="5426516" cy="3625794"/>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5533" cy="3631819"/>
                    </a:xfrm>
                    <a:prstGeom prst="rect">
                      <a:avLst/>
                    </a:prstGeom>
                  </pic:spPr>
                </pic:pic>
              </a:graphicData>
            </a:graphic>
          </wp:inline>
        </w:drawing>
      </w:r>
    </w:p>
    <w:p w14:paraId="2B9D2025" w14:textId="62CB89AC" w:rsidR="00A77B3E" w:rsidRPr="00732F3B" w:rsidRDefault="00260EB5" w:rsidP="00732F3B">
      <w:pPr>
        <w:adjustRightInd w:val="0"/>
        <w:snapToGrid w:val="0"/>
        <w:spacing w:line="360" w:lineRule="auto"/>
        <w:jc w:val="both"/>
        <w:rPr>
          <w:rFonts w:ascii="Book Antiqua" w:hAnsi="Book Antiqua"/>
          <w:color w:val="000000" w:themeColor="text1"/>
        </w:rPr>
      </w:pPr>
      <w:bookmarkStart w:id="49" w:name="OLE_LINK48"/>
      <w:bookmarkStart w:id="50" w:name="OLE_LINK49"/>
      <w:r w:rsidRPr="00732F3B">
        <w:rPr>
          <w:rFonts w:ascii="Book Antiqua" w:eastAsia="Book Antiqua" w:hAnsi="Book Antiqua" w:cs="Book Antiqua"/>
          <w:b/>
          <w:bCs/>
          <w:color w:val="000000"/>
        </w:rPr>
        <w:t>Figure 1</w:t>
      </w:r>
      <w:r w:rsidR="00063ABA" w:rsidRPr="00732F3B">
        <w:rPr>
          <w:rFonts w:ascii="Book Antiqua" w:eastAsia="Book Antiqua" w:hAnsi="Book Antiqua" w:cs="Book Antiqua"/>
          <w:b/>
          <w:bCs/>
          <w:color w:val="000000"/>
        </w:rPr>
        <w:t xml:space="preserve"> </w:t>
      </w:r>
      <w:r w:rsidRPr="00732F3B">
        <w:rPr>
          <w:rFonts w:ascii="Book Antiqua" w:eastAsia="Book Antiqua" w:hAnsi="Book Antiqua" w:cs="Book Antiqua"/>
          <w:b/>
          <w:bCs/>
          <w:color w:val="000000"/>
        </w:rPr>
        <w:t>Flow chart displaying the selection of participants in the study cohort</w:t>
      </w:r>
      <w:r w:rsidRPr="00732F3B">
        <w:rPr>
          <w:rFonts w:ascii="Book Antiqua" w:eastAsia="Book Antiqua" w:hAnsi="Book Antiqua" w:cs="Book Antiqua"/>
          <w:color w:val="000000"/>
        </w:rPr>
        <w:t>.</w:t>
      </w:r>
      <w:r w:rsidR="00F31A54" w:rsidRPr="00732F3B">
        <w:rPr>
          <w:rFonts w:ascii="Book Antiqua" w:eastAsia="Book Antiqua" w:hAnsi="Book Antiqua" w:cs="Book Antiqua"/>
          <w:color w:val="000000"/>
        </w:rPr>
        <w:t xml:space="preserve"> </w:t>
      </w:r>
      <w:r w:rsidR="00F31A54" w:rsidRPr="00732F3B">
        <w:rPr>
          <w:rFonts w:ascii="Book Antiqua" w:hAnsi="Book Antiqua"/>
          <w:color w:val="000000" w:themeColor="text1"/>
        </w:rPr>
        <w:t>PCOS: Polycystic ovary syndrome</w:t>
      </w:r>
      <w:r w:rsidR="009F22FF" w:rsidRPr="00732F3B">
        <w:rPr>
          <w:rFonts w:ascii="Book Antiqua" w:hAnsi="Book Antiqua"/>
          <w:color w:val="000000" w:themeColor="text1"/>
        </w:rPr>
        <w:t>; TE: Transient elastography</w:t>
      </w:r>
      <w:r w:rsidR="00F31A54" w:rsidRPr="00732F3B">
        <w:rPr>
          <w:rFonts w:ascii="Book Antiqua" w:hAnsi="Book Antiqua" w:cs="AdvEPSTIM"/>
          <w:color w:val="000000" w:themeColor="text1"/>
        </w:rPr>
        <w:t>.</w:t>
      </w:r>
    </w:p>
    <w:bookmarkEnd w:id="49"/>
    <w:bookmarkEnd w:id="50"/>
    <w:p w14:paraId="45E6F6E5" w14:textId="1977FD3C" w:rsidR="00A77B3E" w:rsidRPr="00732F3B" w:rsidRDefault="00063ABA" w:rsidP="00732F3B">
      <w:pPr>
        <w:adjustRightInd w:val="0"/>
        <w:snapToGrid w:val="0"/>
        <w:spacing w:line="360" w:lineRule="auto"/>
        <w:jc w:val="both"/>
        <w:rPr>
          <w:rFonts w:ascii="Book Antiqua" w:hAnsi="Book Antiqua"/>
          <w:b/>
          <w:bCs/>
        </w:rPr>
      </w:pPr>
      <w:r w:rsidRPr="00732F3B">
        <w:rPr>
          <w:rFonts w:ascii="Book Antiqua" w:eastAsia="Book Antiqua" w:hAnsi="Book Antiqua" w:cs="Book Antiqua"/>
          <w:b/>
          <w:bCs/>
          <w:color w:val="000000"/>
        </w:rPr>
        <w:br w:type="page"/>
      </w:r>
      <w:r w:rsidR="00CE7CD5" w:rsidRPr="00732F3B">
        <w:rPr>
          <w:rFonts w:ascii="Book Antiqua" w:eastAsia="Book Antiqua" w:hAnsi="Book Antiqua" w:cs="Book Antiqua"/>
          <w:b/>
          <w:bCs/>
          <w:noProof/>
          <w:color w:val="000000"/>
          <w:lang w:eastAsia="zh-CN"/>
        </w:rPr>
        <w:drawing>
          <wp:inline distT="0" distB="0" distL="0" distR="0" wp14:anchorId="5C400BFF" wp14:editId="5C3C46CE">
            <wp:extent cx="5943600" cy="40970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097020"/>
                    </a:xfrm>
                    <a:prstGeom prst="rect">
                      <a:avLst/>
                    </a:prstGeom>
                  </pic:spPr>
                </pic:pic>
              </a:graphicData>
            </a:graphic>
          </wp:inline>
        </w:drawing>
      </w:r>
      <w:r w:rsidR="00260EB5" w:rsidRPr="00732F3B">
        <w:rPr>
          <w:rFonts w:ascii="Book Antiqua" w:eastAsia="Book Antiqua" w:hAnsi="Book Antiqua" w:cs="Book Antiqua"/>
          <w:b/>
          <w:bCs/>
          <w:color w:val="000000"/>
        </w:rPr>
        <w:t>Figure 2 Distribution of metabolically normal and abnormal patients by nonalcoholic fatty liver disease category.</w:t>
      </w:r>
      <w:r w:rsidR="00F31A54" w:rsidRPr="00732F3B">
        <w:rPr>
          <w:rFonts w:ascii="Book Antiqua" w:eastAsia="Book Antiqua" w:hAnsi="Book Antiqua" w:cs="Book Antiqua"/>
          <w:b/>
          <w:bCs/>
          <w:color w:val="000000"/>
        </w:rPr>
        <w:t xml:space="preserve"> </w:t>
      </w:r>
      <w:r w:rsidR="00F31A54" w:rsidRPr="00732F3B">
        <w:rPr>
          <w:rFonts w:ascii="Book Antiqua" w:eastAsia="Book Antiqua" w:hAnsi="Book Antiqua" w:cs="Book Antiqua"/>
          <w:bCs/>
          <w:color w:val="000000"/>
        </w:rPr>
        <w:t>NAFLD:</w:t>
      </w:r>
      <w:r w:rsidR="00F31A54" w:rsidRPr="00732F3B">
        <w:rPr>
          <w:rFonts w:ascii="Book Antiqua" w:eastAsia="Book Antiqua" w:hAnsi="Book Antiqua" w:cs="Book Antiqua"/>
          <w:b/>
          <w:bCs/>
          <w:color w:val="000000"/>
        </w:rPr>
        <w:t xml:space="preserve"> </w:t>
      </w:r>
      <w:r w:rsidR="00F31A54" w:rsidRPr="00732F3B">
        <w:rPr>
          <w:rFonts w:ascii="Book Antiqua" w:eastAsia="Book Antiqua" w:hAnsi="Book Antiqua" w:cs="Book Antiqua"/>
          <w:color w:val="000000"/>
        </w:rPr>
        <w:t>Nonalcoholic fatty liver disease.</w:t>
      </w:r>
    </w:p>
    <w:p w14:paraId="51DD85EC" w14:textId="01235701" w:rsidR="00F31A54" w:rsidRPr="00732F3B" w:rsidRDefault="00EC329A" w:rsidP="00732F3B">
      <w:pPr>
        <w:adjustRightInd w:val="0"/>
        <w:snapToGrid w:val="0"/>
        <w:spacing w:line="360" w:lineRule="auto"/>
        <w:jc w:val="both"/>
        <w:rPr>
          <w:rFonts w:ascii="Book Antiqua" w:hAnsi="Book Antiqua"/>
          <w:b/>
          <w:bCs/>
        </w:rPr>
      </w:pPr>
      <w:r w:rsidRPr="00732F3B">
        <w:rPr>
          <w:rFonts w:ascii="Book Antiqua" w:eastAsia="Book Antiqua" w:hAnsi="Book Antiqua" w:cs="Book Antiqua"/>
          <w:b/>
          <w:bCs/>
          <w:color w:val="000000"/>
        </w:rPr>
        <w:br w:type="page"/>
      </w:r>
      <w:r w:rsidR="00A95741" w:rsidRPr="00732F3B">
        <w:rPr>
          <w:rFonts w:ascii="Book Antiqua" w:eastAsia="Book Antiqua" w:hAnsi="Book Antiqua" w:cs="Book Antiqua"/>
          <w:b/>
          <w:bCs/>
          <w:noProof/>
          <w:color w:val="000000"/>
          <w:lang w:eastAsia="zh-CN"/>
        </w:rPr>
        <w:drawing>
          <wp:inline distT="0" distB="0" distL="0" distR="0" wp14:anchorId="7635BD27" wp14:editId="76385C0F">
            <wp:extent cx="5469362" cy="255236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75725" cy="2555338"/>
                    </a:xfrm>
                    <a:prstGeom prst="rect">
                      <a:avLst/>
                    </a:prstGeom>
                  </pic:spPr>
                </pic:pic>
              </a:graphicData>
            </a:graphic>
          </wp:inline>
        </w:drawing>
      </w:r>
      <w:r w:rsidR="00260EB5" w:rsidRPr="00732F3B">
        <w:rPr>
          <w:rFonts w:ascii="Book Antiqua" w:eastAsia="Book Antiqua" w:hAnsi="Book Antiqua" w:cs="Book Antiqua"/>
          <w:b/>
          <w:bCs/>
          <w:color w:val="000000"/>
        </w:rPr>
        <w:t>Figure 3</w:t>
      </w:r>
      <w:r w:rsidR="00063ABA" w:rsidRPr="00732F3B">
        <w:rPr>
          <w:rFonts w:ascii="Book Antiqua" w:eastAsia="Book Antiqua" w:hAnsi="Book Antiqua" w:cs="Book Antiqua"/>
          <w:color w:val="000000"/>
        </w:rPr>
        <w:t xml:space="preserve"> </w:t>
      </w:r>
      <w:r w:rsidR="00C93CF4" w:rsidRPr="00732F3B">
        <w:rPr>
          <w:rFonts w:ascii="Book Antiqua" w:eastAsia="Book Antiqua" w:hAnsi="Book Antiqua" w:cs="Book Antiqua"/>
          <w:b/>
          <w:bCs/>
          <w:iCs/>
          <w:color w:val="000000"/>
        </w:rPr>
        <w:t xml:space="preserve">Prevalence of </w:t>
      </w:r>
      <w:r w:rsidR="00C93CF4" w:rsidRPr="00732F3B">
        <w:rPr>
          <w:rFonts w:ascii="Book Antiqua" w:eastAsia="Book Antiqua" w:hAnsi="Book Antiqua" w:cs="Book Antiqua"/>
          <w:b/>
          <w:color w:val="000000"/>
        </w:rPr>
        <w:t>nonalcoholic fatty liver disease</w:t>
      </w:r>
      <w:r w:rsidR="00C93CF4" w:rsidRPr="00732F3B">
        <w:rPr>
          <w:rFonts w:ascii="Book Antiqua" w:eastAsia="Book Antiqua" w:hAnsi="Book Antiqua" w:cs="Book Antiqua"/>
          <w:b/>
          <w:bCs/>
          <w:iCs/>
          <w:color w:val="000000"/>
        </w:rPr>
        <w:t xml:space="preserve"> and significant liver fibrosis.</w:t>
      </w:r>
      <w:r w:rsidR="00C93CF4" w:rsidRPr="00732F3B">
        <w:rPr>
          <w:rFonts w:ascii="Book Antiqua" w:hAnsi="Book Antiqua"/>
          <w:b/>
          <w:bCs/>
          <w:lang w:eastAsia="zh-CN"/>
        </w:rPr>
        <w:t xml:space="preserve"> </w:t>
      </w:r>
      <w:r w:rsidR="00063ABA" w:rsidRPr="00732F3B">
        <w:rPr>
          <w:rFonts w:ascii="Book Antiqua" w:eastAsia="Book Antiqua" w:hAnsi="Book Antiqua" w:cs="Book Antiqua"/>
          <w:color w:val="000000"/>
        </w:rPr>
        <w:t xml:space="preserve">A: </w:t>
      </w:r>
      <w:r w:rsidR="00260EB5" w:rsidRPr="00732F3B">
        <w:rPr>
          <w:rFonts w:ascii="Book Antiqua" w:eastAsia="Book Antiqua" w:hAnsi="Book Antiqua" w:cs="Book Antiqua"/>
          <w:color w:val="000000"/>
        </w:rPr>
        <w:t xml:space="preserve">Prevalence of </w:t>
      </w:r>
      <w:r w:rsidR="00063ABA" w:rsidRPr="00732F3B">
        <w:rPr>
          <w:rFonts w:ascii="Book Antiqua" w:eastAsia="Book Antiqua" w:hAnsi="Book Antiqua" w:cs="Book Antiqua"/>
          <w:color w:val="000000"/>
        </w:rPr>
        <w:t>nonalcoholic fatty liver disease (NAFLD)</w:t>
      </w:r>
      <w:r w:rsidR="00260EB5" w:rsidRPr="00732F3B">
        <w:rPr>
          <w:rFonts w:ascii="Book Antiqua" w:eastAsia="Book Antiqua" w:hAnsi="Book Antiqua" w:cs="Book Antiqua"/>
          <w:color w:val="000000"/>
        </w:rPr>
        <w:t>, severe NAFLD and significant liver fibrosis according to body mass index</w:t>
      </w:r>
      <w:r w:rsidRPr="00732F3B">
        <w:rPr>
          <w:rFonts w:ascii="Book Antiqua" w:eastAsia="Book Antiqua" w:hAnsi="Book Antiqua" w:cs="Book Antiqua"/>
          <w:color w:val="000000"/>
        </w:rPr>
        <w:t xml:space="preserve"> </w:t>
      </w:r>
      <w:r w:rsidR="00260EB5" w:rsidRPr="00732F3B">
        <w:rPr>
          <w:rFonts w:ascii="Book Antiqua" w:eastAsia="Book Antiqua" w:hAnsi="Book Antiqua" w:cs="Book Antiqua"/>
          <w:color w:val="000000"/>
        </w:rPr>
        <w:t xml:space="preserve">category; </w:t>
      </w:r>
      <w:r w:rsidR="00063ABA" w:rsidRPr="00732F3B">
        <w:rPr>
          <w:rFonts w:ascii="Book Antiqua" w:eastAsia="Book Antiqua" w:hAnsi="Book Antiqua" w:cs="Book Antiqua"/>
          <w:color w:val="000000"/>
        </w:rPr>
        <w:t xml:space="preserve">and B: </w:t>
      </w:r>
      <w:r w:rsidR="00260EB5" w:rsidRPr="00732F3B">
        <w:rPr>
          <w:rFonts w:ascii="Book Antiqua" w:eastAsia="Book Antiqua" w:hAnsi="Book Antiqua" w:cs="Book Antiqua"/>
          <w:color w:val="000000"/>
        </w:rPr>
        <w:t>Prevalence of NAFLD according to patients’ characteristics.</w:t>
      </w:r>
      <w:r w:rsidR="00F31A54" w:rsidRPr="00732F3B">
        <w:rPr>
          <w:rFonts w:ascii="Book Antiqua" w:eastAsia="Book Antiqua" w:hAnsi="Book Antiqua" w:cs="Book Antiqua"/>
          <w:color w:val="000000"/>
        </w:rPr>
        <w:t xml:space="preserve"> </w:t>
      </w:r>
      <w:r w:rsidR="00F31A54" w:rsidRPr="00732F3B">
        <w:rPr>
          <w:rFonts w:ascii="Book Antiqua" w:eastAsia="Book Antiqua" w:hAnsi="Book Antiqua" w:cs="Book Antiqua"/>
          <w:bCs/>
          <w:color w:val="000000"/>
        </w:rPr>
        <w:t>NAFLD:</w:t>
      </w:r>
      <w:r w:rsidR="00F31A54" w:rsidRPr="00732F3B">
        <w:rPr>
          <w:rFonts w:ascii="Book Antiqua" w:eastAsia="Book Antiqua" w:hAnsi="Book Antiqua" w:cs="Book Antiqua"/>
          <w:b/>
          <w:bCs/>
          <w:color w:val="000000"/>
        </w:rPr>
        <w:t xml:space="preserve"> </w:t>
      </w:r>
      <w:r w:rsidR="00F31A54" w:rsidRPr="00732F3B">
        <w:rPr>
          <w:rFonts w:ascii="Book Antiqua" w:eastAsia="Book Antiqua" w:hAnsi="Book Antiqua" w:cs="Book Antiqua"/>
          <w:color w:val="000000"/>
        </w:rPr>
        <w:t>Nonalcoholic fatty liver disease; ALT: Alanine transaminase; HOMA-IR: Homeostasis model for assessment of insulin resistance.</w:t>
      </w:r>
    </w:p>
    <w:p w14:paraId="489A85A9" w14:textId="6278DDB0" w:rsidR="00A77B3E" w:rsidRPr="00732F3B" w:rsidRDefault="00A77B3E" w:rsidP="00732F3B">
      <w:pPr>
        <w:adjustRightInd w:val="0"/>
        <w:snapToGrid w:val="0"/>
        <w:spacing w:line="360" w:lineRule="auto"/>
        <w:jc w:val="both"/>
        <w:rPr>
          <w:rFonts w:ascii="Book Antiqua" w:hAnsi="Book Antiqua"/>
        </w:rPr>
      </w:pPr>
    </w:p>
    <w:p w14:paraId="6B066F65" w14:textId="7135647A" w:rsidR="00A77B3E" w:rsidRPr="00732F3B" w:rsidRDefault="00EC329A"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br w:type="page"/>
      </w:r>
      <w:r w:rsidR="00A95741" w:rsidRPr="00732F3B">
        <w:rPr>
          <w:rFonts w:ascii="Book Antiqua" w:eastAsia="Book Antiqua" w:hAnsi="Book Antiqua" w:cs="Book Antiqua"/>
          <w:b/>
          <w:bCs/>
          <w:noProof/>
          <w:color w:val="000000"/>
          <w:lang w:eastAsia="zh-CN"/>
        </w:rPr>
        <w:drawing>
          <wp:inline distT="0" distB="0" distL="0" distR="0" wp14:anchorId="0B42D2F6" wp14:editId="7CF60AB9">
            <wp:extent cx="5414838" cy="1423709"/>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26206" cy="1426698"/>
                    </a:xfrm>
                    <a:prstGeom prst="rect">
                      <a:avLst/>
                    </a:prstGeom>
                  </pic:spPr>
                </pic:pic>
              </a:graphicData>
            </a:graphic>
          </wp:inline>
        </w:drawing>
      </w:r>
      <w:r w:rsidR="00260EB5" w:rsidRPr="00732F3B">
        <w:rPr>
          <w:rFonts w:ascii="Book Antiqua" w:eastAsia="Book Antiqua" w:hAnsi="Book Antiqua" w:cs="Book Antiqua"/>
          <w:b/>
          <w:bCs/>
          <w:color w:val="000000"/>
        </w:rPr>
        <w:t>Figure 4 Scatterplot depicting the correlation between liver stiffness measurement</w:t>
      </w:r>
      <w:r w:rsidR="006F19D1" w:rsidRPr="00732F3B">
        <w:rPr>
          <w:rFonts w:ascii="Book Antiqua" w:eastAsia="Book Antiqua" w:hAnsi="Book Antiqua" w:cs="Book Antiqua"/>
          <w:b/>
          <w:bCs/>
          <w:color w:val="000000"/>
        </w:rPr>
        <w:t>.</w:t>
      </w:r>
      <w:r w:rsidR="00FC297D" w:rsidRPr="00732F3B">
        <w:rPr>
          <w:rFonts w:ascii="Book Antiqua" w:eastAsia="Book Antiqua" w:hAnsi="Book Antiqua" w:cs="Book Antiqua"/>
          <w:b/>
          <w:bCs/>
          <w:color w:val="000000"/>
        </w:rPr>
        <w:t xml:space="preserve"> </w:t>
      </w:r>
      <w:r w:rsidR="00063ABA" w:rsidRPr="00732F3B">
        <w:rPr>
          <w:rFonts w:ascii="Book Antiqua" w:eastAsia="Book Antiqua" w:hAnsi="Book Antiqua" w:cs="Book Antiqua"/>
          <w:color w:val="000000"/>
        </w:rPr>
        <w:t>A:</w:t>
      </w:r>
      <w:r w:rsidR="00260EB5" w:rsidRPr="00732F3B">
        <w:rPr>
          <w:rFonts w:ascii="Book Antiqua" w:eastAsia="Book Antiqua" w:hAnsi="Book Antiqua" w:cs="Book Antiqua"/>
          <w:color w:val="000000"/>
        </w:rPr>
        <w:t xml:space="preserve"> </w:t>
      </w:r>
      <w:r w:rsidR="00FC297D" w:rsidRPr="00732F3B">
        <w:rPr>
          <w:rFonts w:ascii="Book Antiqua" w:eastAsia="Book Antiqua" w:hAnsi="Book Antiqua" w:cs="Book Antiqua"/>
          <w:color w:val="000000"/>
        </w:rPr>
        <w:t>A</w:t>
      </w:r>
      <w:r w:rsidRPr="00732F3B">
        <w:rPr>
          <w:rFonts w:ascii="Book Antiqua" w:eastAsia="Book Antiqua" w:hAnsi="Book Antiqua" w:cs="Book Antiqua"/>
          <w:color w:val="000000"/>
        </w:rPr>
        <w:t>spartate aminotransferase-to-Platelets Ratio Index</w:t>
      </w:r>
      <w:r w:rsidR="00260EB5" w:rsidRPr="00732F3B">
        <w:rPr>
          <w:rFonts w:ascii="Book Antiqua" w:eastAsia="Book Antiqua" w:hAnsi="Book Antiqua" w:cs="Book Antiqua"/>
          <w:color w:val="000000"/>
        </w:rPr>
        <w:t xml:space="preserve">; </w:t>
      </w:r>
      <w:r w:rsidR="00063ABA" w:rsidRPr="00732F3B">
        <w:rPr>
          <w:rFonts w:ascii="Book Antiqua" w:eastAsia="Book Antiqua" w:hAnsi="Book Antiqua" w:cs="Book Antiqua"/>
          <w:color w:val="000000"/>
        </w:rPr>
        <w:t>B:</w:t>
      </w:r>
      <w:r w:rsidR="00260EB5" w:rsidRPr="00732F3B">
        <w:rPr>
          <w:rFonts w:ascii="Book Antiqua" w:eastAsia="Book Antiqua" w:hAnsi="Book Antiqua" w:cs="Book Antiqua"/>
          <w:color w:val="000000"/>
        </w:rPr>
        <w:t xml:space="preserve"> </w:t>
      </w:r>
      <w:r w:rsidR="00FC297D" w:rsidRPr="00732F3B">
        <w:rPr>
          <w:rFonts w:ascii="Book Antiqua" w:eastAsia="Book Antiqua" w:hAnsi="Book Antiqua" w:cs="Book Antiqua"/>
          <w:color w:val="000000"/>
        </w:rPr>
        <w:t>F</w:t>
      </w:r>
      <w:r w:rsidRPr="00732F3B">
        <w:rPr>
          <w:rFonts w:ascii="Book Antiqua" w:eastAsia="Book Antiqua" w:hAnsi="Book Antiqua" w:cs="Book Antiqua"/>
          <w:color w:val="000000"/>
        </w:rPr>
        <w:t>ibrosis-4</w:t>
      </w:r>
      <w:r w:rsidR="00260EB5" w:rsidRPr="00732F3B">
        <w:rPr>
          <w:rFonts w:ascii="Book Antiqua" w:eastAsia="Book Antiqua" w:hAnsi="Book Antiqua" w:cs="Book Antiqua"/>
          <w:color w:val="000000"/>
        </w:rPr>
        <w:t xml:space="preserve">; </w:t>
      </w:r>
      <w:r w:rsidR="00063ABA" w:rsidRPr="00732F3B">
        <w:rPr>
          <w:rFonts w:ascii="Book Antiqua" w:eastAsia="Book Antiqua" w:hAnsi="Book Antiqua" w:cs="Book Antiqua"/>
          <w:color w:val="000000"/>
        </w:rPr>
        <w:t>and C:</w:t>
      </w:r>
      <w:r w:rsidR="00260EB5" w:rsidRPr="00732F3B">
        <w:rPr>
          <w:rFonts w:ascii="Book Antiqua" w:eastAsia="Book Antiqua" w:hAnsi="Book Antiqua" w:cs="Book Antiqua"/>
          <w:color w:val="000000"/>
        </w:rPr>
        <w:t xml:space="preserve"> </w:t>
      </w:r>
      <w:r w:rsidR="00FC297D" w:rsidRPr="00732F3B">
        <w:rPr>
          <w:rFonts w:ascii="Book Antiqua" w:eastAsia="Book Antiqua" w:hAnsi="Book Antiqua" w:cs="Book Antiqua"/>
          <w:color w:val="000000"/>
        </w:rPr>
        <w:t>N</w:t>
      </w:r>
      <w:r w:rsidRPr="00732F3B">
        <w:rPr>
          <w:rFonts w:ascii="Book Antiqua" w:eastAsia="Book Antiqua" w:hAnsi="Book Antiqua" w:cs="Book Antiqua"/>
          <w:color w:val="000000"/>
        </w:rPr>
        <w:t>onalcoholic fatty liver disease</w:t>
      </w:r>
      <w:r w:rsidR="00260EB5" w:rsidRPr="00732F3B">
        <w:rPr>
          <w:rFonts w:ascii="Book Antiqua" w:eastAsia="Book Antiqua" w:hAnsi="Book Antiqua" w:cs="Book Antiqua"/>
          <w:color w:val="000000"/>
        </w:rPr>
        <w:t xml:space="preserve"> fibrosis score.</w:t>
      </w:r>
      <w:r w:rsidR="00FC297D" w:rsidRPr="00732F3B">
        <w:rPr>
          <w:rFonts w:ascii="Book Antiqua" w:eastAsia="Book Antiqua" w:hAnsi="Book Antiqua" w:cs="Book Antiqua"/>
          <w:color w:val="000000"/>
        </w:rPr>
        <w:t xml:space="preserve"> </w:t>
      </w:r>
      <w:r w:rsidR="00FC297D" w:rsidRPr="00732F3B">
        <w:rPr>
          <w:rFonts w:ascii="Book Antiqua" w:eastAsia="Book Antiqua" w:hAnsi="Book Antiqua" w:cs="Book Antiqua"/>
          <w:bCs/>
          <w:color w:val="000000"/>
        </w:rPr>
        <w:t>NAFLD:</w:t>
      </w:r>
      <w:r w:rsidR="00FC297D" w:rsidRPr="00732F3B">
        <w:rPr>
          <w:rFonts w:ascii="Book Antiqua" w:eastAsia="Book Antiqua" w:hAnsi="Book Antiqua" w:cs="Book Antiqua"/>
          <w:b/>
          <w:bCs/>
          <w:color w:val="000000"/>
        </w:rPr>
        <w:t xml:space="preserve"> </w:t>
      </w:r>
      <w:r w:rsidR="00FC297D" w:rsidRPr="00732F3B">
        <w:rPr>
          <w:rFonts w:ascii="Book Antiqua" w:eastAsia="Book Antiqua" w:hAnsi="Book Antiqua" w:cs="Book Antiqua"/>
          <w:color w:val="000000"/>
        </w:rPr>
        <w:t>Nonalcoholic fatty liver disease; APRI: aminotransferase-to-Platelets Ratio Index; FIB-4: Fibrosis-4.</w:t>
      </w:r>
    </w:p>
    <w:p w14:paraId="1D624AF9" w14:textId="77777777" w:rsidR="00FC297D" w:rsidRPr="00732F3B" w:rsidRDefault="00EC329A" w:rsidP="00732F3B">
      <w:pPr>
        <w:adjustRightInd w:val="0"/>
        <w:snapToGrid w:val="0"/>
        <w:spacing w:line="360" w:lineRule="auto"/>
        <w:jc w:val="both"/>
        <w:rPr>
          <w:rFonts w:ascii="Book Antiqua" w:eastAsia="Book Antiqua" w:hAnsi="Book Antiqua" w:cs="Book Antiqua"/>
          <w:color w:val="000000"/>
        </w:rPr>
      </w:pPr>
      <w:r w:rsidRPr="00732F3B">
        <w:rPr>
          <w:rFonts w:ascii="Book Antiqua" w:eastAsia="Book Antiqua" w:hAnsi="Book Antiqua" w:cs="Book Antiqua"/>
          <w:color w:val="000000"/>
        </w:rPr>
        <w:br w:type="page"/>
      </w:r>
      <w:r w:rsidR="00A95741" w:rsidRPr="00732F3B">
        <w:rPr>
          <w:rFonts w:ascii="Book Antiqua" w:eastAsia="Book Antiqua" w:hAnsi="Book Antiqua" w:cs="Book Antiqua"/>
          <w:b/>
          <w:bCs/>
          <w:noProof/>
          <w:color w:val="000000"/>
          <w:lang w:eastAsia="zh-CN"/>
        </w:rPr>
        <w:drawing>
          <wp:inline distT="0" distB="0" distL="0" distR="0" wp14:anchorId="058A7A6E" wp14:editId="7A8D64D5">
            <wp:extent cx="4579620" cy="329184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3">
                      <a:extLst>
                        <a:ext uri="{28A0092B-C50C-407E-A947-70E740481C1C}">
                          <a14:useLocalDpi xmlns:a14="http://schemas.microsoft.com/office/drawing/2010/main" val="0"/>
                        </a:ext>
                      </a:extLst>
                    </a:blip>
                    <a:stretch>
                      <a:fillRect/>
                    </a:stretch>
                  </pic:blipFill>
                  <pic:spPr>
                    <a:xfrm>
                      <a:off x="0" y="0"/>
                      <a:ext cx="4585300" cy="3295930"/>
                    </a:xfrm>
                    <a:prstGeom prst="rect">
                      <a:avLst/>
                    </a:prstGeom>
                  </pic:spPr>
                </pic:pic>
              </a:graphicData>
            </a:graphic>
          </wp:inline>
        </w:drawing>
      </w:r>
    </w:p>
    <w:p w14:paraId="70EC6F13" w14:textId="5DEED97F" w:rsidR="00A95741" w:rsidRPr="00732F3B" w:rsidRDefault="00260EB5" w:rsidP="00732F3B">
      <w:pPr>
        <w:adjustRightInd w:val="0"/>
        <w:snapToGrid w:val="0"/>
        <w:spacing w:line="360" w:lineRule="auto"/>
        <w:jc w:val="both"/>
        <w:rPr>
          <w:rFonts w:ascii="Book Antiqua" w:eastAsia="Book Antiqua" w:hAnsi="Book Antiqua" w:cs="Book Antiqua"/>
          <w:bCs/>
          <w:color w:val="000000"/>
        </w:rPr>
      </w:pPr>
      <w:r w:rsidRPr="00732F3B">
        <w:rPr>
          <w:rFonts w:ascii="Book Antiqua" w:eastAsia="Book Antiqua" w:hAnsi="Book Antiqua" w:cs="Book Antiqua"/>
          <w:b/>
          <w:bCs/>
          <w:color w:val="000000"/>
        </w:rPr>
        <w:t>Figure 5 Area under the curve</w:t>
      </w:r>
      <w:r w:rsidR="00EC329A" w:rsidRPr="00732F3B">
        <w:rPr>
          <w:rFonts w:ascii="Book Antiqua" w:eastAsia="Book Antiqua" w:hAnsi="Book Antiqua" w:cs="Book Antiqua"/>
          <w:b/>
          <w:bCs/>
          <w:color w:val="000000"/>
        </w:rPr>
        <w:t xml:space="preserve"> </w:t>
      </w:r>
      <w:r w:rsidRPr="00732F3B">
        <w:rPr>
          <w:rFonts w:ascii="Book Antiqua" w:eastAsia="Book Antiqua" w:hAnsi="Book Antiqua" w:cs="Book Antiqua"/>
          <w:b/>
          <w:bCs/>
          <w:color w:val="000000"/>
        </w:rPr>
        <w:t xml:space="preserve">of </w:t>
      </w:r>
      <w:r w:rsidR="00EC329A" w:rsidRPr="00732F3B">
        <w:rPr>
          <w:rFonts w:ascii="Book Antiqua" w:eastAsia="Book Antiqua" w:hAnsi="Book Antiqua" w:cs="Book Antiqua"/>
          <w:b/>
          <w:bCs/>
          <w:color w:val="000000"/>
        </w:rPr>
        <w:t>body mass index</w:t>
      </w:r>
      <w:r w:rsidRPr="00732F3B">
        <w:rPr>
          <w:rFonts w:ascii="Book Antiqua" w:eastAsia="Book Antiqua" w:hAnsi="Book Antiqua" w:cs="Book Antiqua"/>
          <w:b/>
          <w:bCs/>
          <w:color w:val="000000"/>
        </w:rPr>
        <w:t xml:space="preserve">, free androgen index and alanine aminotransferase for prediction of </w:t>
      </w:r>
      <w:r w:rsidR="00EC329A" w:rsidRPr="00732F3B">
        <w:rPr>
          <w:rFonts w:ascii="Book Antiqua" w:eastAsia="Book Antiqua" w:hAnsi="Book Antiqua" w:cs="Book Antiqua"/>
          <w:b/>
          <w:bCs/>
          <w:color w:val="000000"/>
        </w:rPr>
        <w:t>nonalcoholic fatty liver disease</w:t>
      </w:r>
      <w:r w:rsidRPr="00732F3B">
        <w:rPr>
          <w:rFonts w:ascii="Book Antiqua" w:eastAsia="Book Antiqua" w:hAnsi="Book Antiqua" w:cs="Book Antiqua"/>
          <w:b/>
          <w:bCs/>
          <w:color w:val="000000"/>
        </w:rPr>
        <w:t>.</w:t>
      </w:r>
      <w:r w:rsidR="00FC297D" w:rsidRPr="00732F3B">
        <w:rPr>
          <w:rFonts w:ascii="Book Antiqua" w:eastAsia="Book Antiqua" w:hAnsi="Book Antiqua" w:cs="Book Antiqua"/>
          <w:b/>
          <w:bCs/>
          <w:color w:val="000000"/>
        </w:rPr>
        <w:t xml:space="preserve"> </w:t>
      </w:r>
      <w:r w:rsidR="00FC297D" w:rsidRPr="00732F3B">
        <w:rPr>
          <w:rFonts w:ascii="Book Antiqua" w:eastAsia="Book Antiqua" w:hAnsi="Book Antiqua" w:cs="Book Antiqua"/>
          <w:bCs/>
          <w:color w:val="000000"/>
        </w:rPr>
        <w:t xml:space="preserve">BMI: </w:t>
      </w:r>
      <w:r w:rsidR="00FC297D" w:rsidRPr="00732F3B">
        <w:rPr>
          <w:rFonts w:ascii="Book Antiqua" w:hAnsi="Book Antiqua"/>
          <w:color w:val="000000" w:themeColor="text1"/>
        </w:rPr>
        <w:t xml:space="preserve">Body mass index; ALT: </w:t>
      </w:r>
      <w:r w:rsidR="00FC297D" w:rsidRPr="00732F3B">
        <w:rPr>
          <w:rFonts w:ascii="Book Antiqua" w:eastAsia="Book Antiqua" w:hAnsi="Book Antiqua" w:cs="Book Antiqua"/>
          <w:color w:val="000000"/>
        </w:rPr>
        <w:t>Alanine transaminase; AUC: Area under curve; FAI: Free androgen index.</w:t>
      </w:r>
    </w:p>
    <w:p w14:paraId="155B92BC" w14:textId="12789DEB" w:rsidR="00A95741" w:rsidRPr="00732F3B" w:rsidRDefault="00A95741" w:rsidP="00732F3B">
      <w:pPr>
        <w:adjustRightInd w:val="0"/>
        <w:snapToGrid w:val="0"/>
        <w:spacing w:line="360" w:lineRule="auto"/>
        <w:jc w:val="both"/>
        <w:rPr>
          <w:rFonts w:ascii="Book Antiqua" w:hAnsi="Book Antiqua"/>
          <w:b/>
          <w:bCs/>
          <w:color w:val="000000" w:themeColor="text1"/>
        </w:rPr>
      </w:pPr>
      <w:r w:rsidRPr="00732F3B">
        <w:rPr>
          <w:rFonts w:ascii="Book Antiqua" w:eastAsia="Book Antiqua" w:hAnsi="Book Antiqua" w:cs="Book Antiqua"/>
          <w:b/>
          <w:bCs/>
          <w:color w:val="000000"/>
        </w:rPr>
        <w:br w:type="page"/>
      </w:r>
      <w:r w:rsidRPr="00732F3B">
        <w:rPr>
          <w:rFonts w:ascii="Book Antiqua" w:hAnsi="Book Antiqua"/>
          <w:b/>
          <w:color w:val="000000" w:themeColor="text1"/>
        </w:rPr>
        <w:t>Table 1</w:t>
      </w:r>
      <w:r w:rsidRPr="00732F3B">
        <w:rPr>
          <w:rFonts w:ascii="Book Antiqua" w:hAnsi="Book Antiqua"/>
          <w:color w:val="000000" w:themeColor="text1"/>
        </w:rPr>
        <w:t xml:space="preserve"> </w:t>
      </w:r>
      <w:r w:rsidRPr="00732F3B">
        <w:rPr>
          <w:rFonts w:ascii="Book Antiqua" w:hAnsi="Book Antiqua"/>
          <w:b/>
          <w:bCs/>
          <w:color w:val="000000" w:themeColor="text1"/>
        </w:rPr>
        <w:t>Demographic, clinical, biochemical, and pharmacological characteristics of the study population (</w:t>
      </w:r>
      <w:r w:rsidRPr="00732F3B">
        <w:rPr>
          <w:rFonts w:ascii="Book Antiqua" w:hAnsi="Book Antiqua"/>
          <w:b/>
          <w:bCs/>
          <w:i/>
          <w:iCs/>
          <w:color w:val="000000" w:themeColor="text1"/>
        </w:rPr>
        <w:t xml:space="preserve">n </w:t>
      </w:r>
      <w:r w:rsidRPr="00732F3B">
        <w:rPr>
          <w:rFonts w:ascii="Book Antiqua" w:hAnsi="Book Antiqua"/>
          <w:b/>
          <w:bCs/>
          <w:color w:val="000000" w:themeColor="text1"/>
        </w:rPr>
        <w:t>= 101) and univariable analyses by outcome status, that is presence of nonalcoholic fatty liver disease</w:t>
      </w:r>
    </w:p>
    <w:tbl>
      <w:tblPr>
        <w:tblStyle w:val="a3"/>
        <w:tblW w:w="499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2008"/>
        <w:gridCol w:w="2008"/>
        <w:gridCol w:w="2006"/>
      </w:tblGrid>
      <w:tr w:rsidR="00A95741" w:rsidRPr="00732F3B" w14:paraId="4715844E" w14:textId="77777777" w:rsidTr="00BB1453">
        <w:trPr>
          <w:trHeight w:val="1134"/>
        </w:trPr>
        <w:tc>
          <w:tcPr>
            <w:tcW w:w="1599" w:type="pct"/>
            <w:tcBorders>
              <w:top w:val="single" w:sz="4" w:space="0" w:color="auto"/>
              <w:bottom w:val="single" w:sz="4" w:space="0" w:color="auto"/>
            </w:tcBorders>
            <w:vAlign w:val="center"/>
          </w:tcPr>
          <w:p w14:paraId="7518E02E" w14:textId="77777777" w:rsidR="00A95741" w:rsidRPr="00732F3B" w:rsidRDefault="00A95741" w:rsidP="00732F3B">
            <w:pPr>
              <w:adjustRightInd w:val="0"/>
              <w:snapToGrid w:val="0"/>
              <w:spacing w:line="360" w:lineRule="auto"/>
              <w:jc w:val="both"/>
              <w:rPr>
                <w:rFonts w:ascii="Book Antiqua" w:hAnsi="Book Antiqua"/>
                <w:b/>
                <w:color w:val="000000" w:themeColor="text1"/>
              </w:rPr>
            </w:pPr>
            <w:r w:rsidRPr="00732F3B">
              <w:rPr>
                <w:rFonts w:ascii="Book Antiqua" w:hAnsi="Book Antiqua"/>
                <w:b/>
                <w:color w:val="000000" w:themeColor="text1"/>
              </w:rPr>
              <w:t>Variable</w:t>
            </w:r>
          </w:p>
        </w:tc>
        <w:tc>
          <w:tcPr>
            <w:tcW w:w="1134" w:type="pct"/>
            <w:tcBorders>
              <w:top w:val="single" w:sz="4" w:space="0" w:color="auto"/>
              <w:bottom w:val="single" w:sz="4" w:space="0" w:color="auto"/>
            </w:tcBorders>
            <w:vAlign w:val="center"/>
          </w:tcPr>
          <w:p w14:paraId="5080557B" w14:textId="313D6BB9" w:rsidR="00A95741" w:rsidRPr="00732F3B" w:rsidRDefault="00A95741" w:rsidP="00732F3B">
            <w:pPr>
              <w:adjustRightInd w:val="0"/>
              <w:snapToGrid w:val="0"/>
              <w:spacing w:line="360" w:lineRule="auto"/>
              <w:jc w:val="both"/>
              <w:rPr>
                <w:rFonts w:ascii="Book Antiqua" w:hAnsi="Book Antiqua"/>
                <w:b/>
                <w:color w:val="000000" w:themeColor="text1"/>
              </w:rPr>
            </w:pPr>
            <w:r w:rsidRPr="00732F3B">
              <w:rPr>
                <w:rFonts w:ascii="Book Antiqua" w:hAnsi="Book Antiqua"/>
                <w:b/>
                <w:color w:val="000000" w:themeColor="text1"/>
              </w:rPr>
              <w:t>Total cohort</w:t>
            </w:r>
            <w:r w:rsidR="00FC297D" w:rsidRPr="00732F3B">
              <w:rPr>
                <w:rFonts w:ascii="Book Antiqua" w:hAnsi="Book Antiqua"/>
                <w:b/>
                <w:color w:val="000000" w:themeColor="text1"/>
                <w:lang w:eastAsia="zh-CN"/>
              </w:rPr>
              <w:t xml:space="preserve"> </w:t>
            </w:r>
            <w:r w:rsidRPr="00732F3B">
              <w:rPr>
                <w:rFonts w:ascii="Book Antiqua" w:hAnsi="Book Antiqua"/>
                <w:b/>
                <w:color w:val="000000" w:themeColor="text1"/>
              </w:rPr>
              <w:t>(</w:t>
            </w:r>
            <w:r w:rsidRPr="00732F3B">
              <w:rPr>
                <w:rFonts w:ascii="Book Antiqua" w:hAnsi="Book Antiqua"/>
                <w:b/>
                <w:i/>
                <w:iCs/>
                <w:color w:val="000000" w:themeColor="text1"/>
              </w:rPr>
              <w:t>n</w:t>
            </w:r>
            <w:r w:rsidRPr="00732F3B">
              <w:rPr>
                <w:rFonts w:ascii="Book Antiqua" w:hAnsi="Book Antiqua"/>
                <w:b/>
                <w:color w:val="000000" w:themeColor="text1"/>
              </w:rPr>
              <w:t xml:space="preserve"> = 101)</w:t>
            </w:r>
          </w:p>
        </w:tc>
        <w:tc>
          <w:tcPr>
            <w:tcW w:w="1134" w:type="pct"/>
            <w:tcBorders>
              <w:top w:val="single" w:sz="4" w:space="0" w:color="auto"/>
              <w:bottom w:val="single" w:sz="4" w:space="0" w:color="auto"/>
            </w:tcBorders>
            <w:vAlign w:val="center"/>
          </w:tcPr>
          <w:p w14:paraId="779AF7E5" w14:textId="5368F874" w:rsidR="00A95741" w:rsidRPr="00732F3B" w:rsidRDefault="00A95741" w:rsidP="00732F3B">
            <w:pPr>
              <w:adjustRightInd w:val="0"/>
              <w:snapToGrid w:val="0"/>
              <w:spacing w:line="360" w:lineRule="auto"/>
              <w:jc w:val="both"/>
              <w:rPr>
                <w:rFonts w:ascii="Book Antiqua" w:hAnsi="Book Antiqua"/>
                <w:b/>
                <w:color w:val="000000" w:themeColor="text1"/>
              </w:rPr>
            </w:pPr>
            <w:r w:rsidRPr="00732F3B">
              <w:rPr>
                <w:rFonts w:ascii="Book Antiqua" w:hAnsi="Book Antiqua"/>
                <w:b/>
                <w:color w:val="000000" w:themeColor="text1"/>
              </w:rPr>
              <w:t>NAFLD</w:t>
            </w:r>
            <w:r w:rsidR="00FC297D" w:rsidRPr="00732F3B">
              <w:rPr>
                <w:rFonts w:ascii="Book Antiqua" w:hAnsi="Book Antiqua"/>
                <w:b/>
                <w:color w:val="000000" w:themeColor="text1"/>
                <w:lang w:eastAsia="zh-CN"/>
              </w:rPr>
              <w:t xml:space="preserve"> </w:t>
            </w:r>
            <w:r w:rsidRPr="00732F3B">
              <w:rPr>
                <w:rFonts w:ascii="Book Antiqua" w:hAnsi="Book Antiqua"/>
                <w:b/>
                <w:color w:val="000000" w:themeColor="text1"/>
              </w:rPr>
              <w:t>(</w:t>
            </w:r>
            <w:r w:rsidRPr="00732F3B">
              <w:rPr>
                <w:rFonts w:ascii="Book Antiqua" w:hAnsi="Book Antiqua"/>
                <w:b/>
                <w:i/>
                <w:iCs/>
                <w:color w:val="000000" w:themeColor="text1"/>
              </w:rPr>
              <w:t>n</w:t>
            </w:r>
            <w:r w:rsidRPr="00732F3B">
              <w:rPr>
                <w:rFonts w:ascii="Book Antiqua" w:hAnsi="Book Antiqua"/>
                <w:b/>
                <w:color w:val="000000" w:themeColor="text1"/>
              </w:rPr>
              <w:t xml:space="preserve"> = 40)</w:t>
            </w:r>
          </w:p>
        </w:tc>
        <w:tc>
          <w:tcPr>
            <w:tcW w:w="1132" w:type="pct"/>
            <w:tcBorders>
              <w:top w:val="single" w:sz="4" w:space="0" w:color="auto"/>
              <w:bottom w:val="single" w:sz="4" w:space="0" w:color="auto"/>
            </w:tcBorders>
            <w:vAlign w:val="center"/>
          </w:tcPr>
          <w:p w14:paraId="17F2578D" w14:textId="7A130C14" w:rsidR="00A95741" w:rsidRPr="00732F3B" w:rsidRDefault="00A95741" w:rsidP="00732F3B">
            <w:pPr>
              <w:adjustRightInd w:val="0"/>
              <w:snapToGrid w:val="0"/>
              <w:spacing w:line="360" w:lineRule="auto"/>
              <w:jc w:val="both"/>
              <w:rPr>
                <w:rFonts w:ascii="Book Antiqua" w:hAnsi="Book Antiqua"/>
                <w:b/>
                <w:color w:val="000000" w:themeColor="text1"/>
              </w:rPr>
            </w:pPr>
            <w:r w:rsidRPr="00732F3B">
              <w:rPr>
                <w:rFonts w:ascii="Book Antiqua" w:hAnsi="Book Antiqua"/>
                <w:b/>
                <w:color w:val="000000" w:themeColor="text1"/>
              </w:rPr>
              <w:t>No NAFLD</w:t>
            </w:r>
            <w:r w:rsidR="00FC297D" w:rsidRPr="00732F3B">
              <w:rPr>
                <w:rFonts w:ascii="Book Antiqua" w:hAnsi="Book Antiqua"/>
                <w:b/>
                <w:color w:val="000000" w:themeColor="text1"/>
                <w:lang w:eastAsia="zh-CN"/>
              </w:rPr>
              <w:t xml:space="preserve"> </w:t>
            </w:r>
            <w:r w:rsidRPr="00732F3B">
              <w:rPr>
                <w:rFonts w:ascii="Book Antiqua" w:hAnsi="Book Antiqua"/>
                <w:b/>
                <w:color w:val="000000" w:themeColor="text1"/>
              </w:rPr>
              <w:t>(</w:t>
            </w:r>
            <w:r w:rsidRPr="00732F3B">
              <w:rPr>
                <w:rFonts w:ascii="Book Antiqua" w:hAnsi="Book Antiqua"/>
                <w:b/>
                <w:i/>
                <w:iCs/>
                <w:color w:val="000000" w:themeColor="text1"/>
              </w:rPr>
              <w:t xml:space="preserve">n </w:t>
            </w:r>
            <w:r w:rsidRPr="00732F3B">
              <w:rPr>
                <w:rFonts w:ascii="Book Antiqua" w:hAnsi="Book Antiqua"/>
                <w:b/>
                <w:color w:val="000000" w:themeColor="text1"/>
              </w:rPr>
              <w:t>= 61)</w:t>
            </w:r>
          </w:p>
        </w:tc>
      </w:tr>
      <w:tr w:rsidR="00A95741" w:rsidRPr="00732F3B" w14:paraId="0EBFB125" w14:textId="77777777" w:rsidTr="00BB1453">
        <w:trPr>
          <w:trHeight w:val="567"/>
        </w:trPr>
        <w:tc>
          <w:tcPr>
            <w:tcW w:w="1599" w:type="pct"/>
            <w:tcBorders>
              <w:top w:val="single" w:sz="4" w:space="0" w:color="auto"/>
            </w:tcBorders>
            <w:vAlign w:val="center"/>
          </w:tcPr>
          <w:p w14:paraId="1F817423"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Age (yr)</w:t>
            </w:r>
          </w:p>
        </w:tc>
        <w:tc>
          <w:tcPr>
            <w:tcW w:w="1134" w:type="pct"/>
            <w:tcBorders>
              <w:top w:val="single" w:sz="4" w:space="0" w:color="auto"/>
            </w:tcBorders>
            <w:vAlign w:val="center"/>
          </w:tcPr>
          <w:p w14:paraId="4451275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36.3 (4.8)</w:t>
            </w:r>
          </w:p>
        </w:tc>
        <w:tc>
          <w:tcPr>
            <w:tcW w:w="1134" w:type="pct"/>
            <w:tcBorders>
              <w:top w:val="single" w:sz="4" w:space="0" w:color="auto"/>
            </w:tcBorders>
            <w:vAlign w:val="center"/>
          </w:tcPr>
          <w:p w14:paraId="785F69DB"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36.1 (5.6)</w:t>
            </w:r>
          </w:p>
        </w:tc>
        <w:tc>
          <w:tcPr>
            <w:tcW w:w="1132" w:type="pct"/>
            <w:tcBorders>
              <w:top w:val="single" w:sz="4" w:space="0" w:color="auto"/>
            </w:tcBorders>
            <w:vAlign w:val="center"/>
          </w:tcPr>
          <w:p w14:paraId="7F6CDF4E"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36.4 (4.3)</w:t>
            </w:r>
          </w:p>
        </w:tc>
      </w:tr>
      <w:tr w:rsidR="00A95741" w:rsidRPr="00732F3B" w14:paraId="34DFD1E8" w14:textId="77777777" w:rsidTr="00BB1453">
        <w:trPr>
          <w:trHeight w:val="567"/>
        </w:trPr>
        <w:tc>
          <w:tcPr>
            <w:tcW w:w="1599" w:type="pct"/>
            <w:vAlign w:val="center"/>
          </w:tcPr>
          <w:p w14:paraId="6AFB8B04"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PCOS duration (yr)</w:t>
            </w:r>
          </w:p>
        </w:tc>
        <w:tc>
          <w:tcPr>
            <w:tcW w:w="1134" w:type="pct"/>
            <w:vAlign w:val="center"/>
          </w:tcPr>
          <w:p w14:paraId="4F11099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7.0 (4.1)</w:t>
            </w:r>
          </w:p>
        </w:tc>
        <w:tc>
          <w:tcPr>
            <w:tcW w:w="1134" w:type="pct"/>
            <w:vAlign w:val="center"/>
          </w:tcPr>
          <w:p w14:paraId="5BA9F0D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7.4 (4.4)</w:t>
            </w:r>
          </w:p>
        </w:tc>
        <w:tc>
          <w:tcPr>
            <w:tcW w:w="1132" w:type="pct"/>
            <w:vAlign w:val="center"/>
          </w:tcPr>
          <w:p w14:paraId="21898C80"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6.8 (3.9)</w:t>
            </w:r>
          </w:p>
        </w:tc>
      </w:tr>
      <w:tr w:rsidR="00A95741" w:rsidRPr="00732F3B" w14:paraId="742FF28F" w14:textId="77777777" w:rsidTr="00BB1453">
        <w:trPr>
          <w:trHeight w:val="567"/>
        </w:trPr>
        <w:tc>
          <w:tcPr>
            <w:tcW w:w="1599" w:type="pct"/>
            <w:vAlign w:val="center"/>
          </w:tcPr>
          <w:p w14:paraId="09848F1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Regular physical exercise (%)</w:t>
            </w:r>
          </w:p>
        </w:tc>
        <w:tc>
          <w:tcPr>
            <w:tcW w:w="1134" w:type="pct"/>
            <w:vAlign w:val="center"/>
          </w:tcPr>
          <w:p w14:paraId="3D724F14"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20 (19.8)</w:t>
            </w:r>
          </w:p>
        </w:tc>
        <w:tc>
          <w:tcPr>
            <w:tcW w:w="1134" w:type="pct"/>
            <w:vAlign w:val="center"/>
          </w:tcPr>
          <w:p w14:paraId="6550976B"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8 (20.0)</w:t>
            </w:r>
          </w:p>
        </w:tc>
        <w:tc>
          <w:tcPr>
            <w:tcW w:w="1132" w:type="pct"/>
            <w:vAlign w:val="center"/>
          </w:tcPr>
          <w:p w14:paraId="5FCDC5F3"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12 (19.7)</w:t>
            </w:r>
          </w:p>
        </w:tc>
      </w:tr>
      <w:tr w:rsidR="00A95741" w:rsidRPr="00732F3B" w14:paraId="1D19BA1B" w14:textId="77777777" w:rsidTr="00BB1453">
        <w:trPr>
          <w:trHeight w:val="567"/>
        </w:trPr>
        <w:tc>
          <w:tcPr>
            <w:tcW w:w="1599" w:type="pct"/>
            <w:vAlign w:val="center"/>
          </w:tcPr>
          <w:p w14:paraId="6E795EBE"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ASCVD risk (lifetime)</w:t>
            </w:r>
          </w:p>
        </w:tc>
        <w:tc>
          <w:tcPr>
            <w:tcW w:w="1134" w:type="pct"/>
            <w:vAlign w:val="center"/>
          </w:tcPr>
          <w:p w14:paraId="4134968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0.28 (0.12)</w:t>
            </w:r>
          </w:p>
        </w:tc>
        <w:tc>
          <w:tcPr>
            <w:tcW w:w="1134" w:type="pct"/>
            <w:vAlign w:val="center"/>
          </w:tcPr>
          <w:p w14:paraId="197FD4D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0.31 (0.11)</w:t>
            </w:r>
            <w:r w:rsidRPr="00732F3B">
              <w:rPr>
                <w:rFonts w:ascii="Book Antiqua" w:hAnsi="Book Antiqua"/>
                <w:bCs/>
                <w:color w:val="000000" w:themeColor="text1"/>
                <w:vertAlign w:val="superscript"/>
              </w:rPr>
              <w:t>a</w:t>
            </w:r>
          </w:p>
        </w:tc>
        <w:tc>
          <w:tcPr>
            <w:tcW w:w="1132" w:type="pct"/>
            <w:vAlign w:val="center"/>
          </w:tcPr>
          <w:p w14:paraId="581447F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0.26 (0.13)</w:t>
            </w:r>
            <w:r w:rsidRPr="00732F3B">
              <w:rPr>
                <w:rFonts w:ascii="Book Antiqua" w:hAnsi="Book Antiqua"/>
                <w:bCs/>
                <w:color w:val="000000" w:themeColor="text1"/>
                <w:vertAlign w:val="superscript"/>
              </w:rPr>
              <w:t>a</w:t>
            </w:r>
          </w:p>
        </w:tc>
      </w:tr>
      <w:tr w:rsidR="00A95741" w:rsidRPr="00732F3B" w14:paraId="0BB87BED" w14:textId="77777777" w:rsidTr="00BB1453">
        <w:trPr>
          <w:trHeight w:val="567"/>
        </w:trPr>
        <w:tc>
          <w:tcPr>
            <w:tcW w:w="5000" w:type="pct"/>
            <w:gridSpan w:val="4"/>
            <w:vAlign w:val="center"/>
          </w:tcPr>
          <w:p w14:paraId="7F055C7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Metabolic factors</w:t>
            </w:r>
          </w:p>
        </w:tc>
      </w:tr>
      <w:tr w:rsidR="00A95741" w:rsidRPr="00732F3B" w14:paraId="7604F6C1" w14:textId="77777777" w:rsidTr="00BB1453">
        <w:trPr>
          <w:trHeight w:val="567"/>
        </w:trPr>
        <w:tc>
          <w:tcPr>
            <w:tcW w:w="1599" w:type="pct"/>
            <w:vAlign w:val="center"/>
          </w:tcPr>
          <w:p w14:paraId="3F76E5F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Diabetes (%)</w:t>
            </w:r>
          </w:p>
        </w:tc>
        <w:tc>
          <w:tcPr>
            <w:tcW w:w="1134" w:type="pct"/>
            <w:vAlign w:val="center"/>
          </w:tcPr>
          <w:p w14:paraId="4F61681C"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18 (17.8)</w:t>
            </w:r>
          </w:p>
        </w:tc>
        <w:tc>
          <w:tcPr>
            <w:tcW w:w="1134" w:type="pct"/>
            <w:vAlign w:val="center"/>
          </w:tcPr>
          <w:p w14:paraId="66E3CE2A"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12 (30.0)</w:t>
            </w:r>
            <w:r w:rsidRPr="00732F3B">
              <w:rPr>
                <w:rFonts w:ascii="Book Antiqua" w:hAnsi="Book Antiqua"/>
                <w:bCs/>
                <w:color w:val="000000" w:themeColor="text1"/>
                <w:vertAlign w:val="superscript"/>
              </w:rPr>
              <w:t>a</w:t>
            </w:r>
          </w:p>
        </w:tc>
        <w:tc>
          <w:tcPr>
            <w:tcW w:w="1132" w:type="pct"/>
            <w:vAlign w:val="center"/>
          </w:tcPr>
          <w:p w14:paraId="4C6912D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6 (9.8)</w:t>
            </w:r>
            <w:r w:rsidRPr="00732F3B">
              <w:rPr>
                <w:rFonts w:ascii="Book Antiqua" w:hAnsi="Book Antiqua"/>
                <w:bCs/>
                <w:color w:val="000000" w:themeColor="text1"/>
                <w:vertAlign w:val="superscript"/>
              </w:rPr>
              <w:t>a</w:t>
            </w:r>
          </w:p>
        </w:tc>
      </w:tr>
      <w:tr w:rsidR="00A95741" w:rsidRPr="00732F3B" w14:paraId="3D5F6F0E" w14:textId="77777777" w:rsidTr="00BB1453">
        <w:trPr>
          <w:trHeight w:val="567"/>
        </w:trPr>
        <w:tc>
          <w:tcPr>
            <w:tcW w:w="1599" w:type="pct"/>
            <w:vAlign w:val="center"/>
          </w:tcPr>
          <w:p w14:paraId="377B47D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Hypertension (%)</w:t>
            </w:r>
          </w:p>
        </w:tc>
        <w:tc>
          <w:tcPr>
            <w:tcW w:w="1134" w:type="pct"/>
            <w:vAlign w:val="center"/>
          </w:tcPr>
          <w:p w14:paraId="0F7FFB85"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6 (5.9)</w:t>
            </w:r>
          </w:p>
        </w:tc>
        <w:tc>
          <w:tcPr>
            <w:tcW w:w="1134" w:type="pct"/>
            <w:vAlign w:val="center"/>
          </w:tcPr>
          <w:p w14:paraId="3BE0CCD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 (2.5)</w:t>
            </w:r>
          </w:p>
        </w:tc>
        <w:tc>
          <w:tcPr>
            <w:tcW w:w="1132" w:type="pct"/>
            <w:vAlign w:val="center"/>
          </w:tcPr>
          <w:p w14:paraId="3A1E7446"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 (8.2)</w:t>
            </w:r>
          </w:p>
        </w:tc>
      </w:tr>
      <w:tr w:rsidR="00A95741" w:rsidRPr="00732F3B" w14:paraId="02112623" w14:textId="77777777" w:rsidTr="00BB1453">
        <w:trPr>
          <w:trHeight w:val="567"/>
        </w:trPr>
        <w:tc>
          <w:tcPr>
            <w:tcW w:w="1599" w:type="pct"/>
            <w:vAlign w:val="center"/>
          </w:tcPr>
          <w:p w14:paraId="11344CD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Waist circumference (cm)</w:t>
            </w:r>
          </w:p>
        </w:tc>
        <w:tc>
          <w:tcPr>
            <w:tcW w:w="1134" w:type="pct"/>
            <w:vAlign w:val="center"/>
          </w:tcPr>
          <w:p w14:paraId="1E73DAE0"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101.1 (12.3)</w:t>
            </w:r>
          </w:p>
        </w:tc>
        <w:tc>
          <w:tcPr>
            <w:tcW w:w="1134" w:type="pct"/>
            <w:vAlign w:val="center"/>
          </w:tcPr>
          <w:p w14:paraId="5DA07AE5"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107.8 (11.1)</w:t>
            </w:r>
            <w:r w:rsidRPr="00732F3B">
              <w:rPr>
                <w:rFonts w:ascii="Book Antiqua" w:hAnsi="Book Antiqua"/>
                <w:bCs/>
                <w:color w:val="000000" w:themeColor="text1"/>
                <w:vertAlign w:val="superscript"/>
              </w:rPr>
              <w:t>b</w:t>
            </w:r>
          </w:p>
        </w:tc>
        <w:tc>
          <w:tcPr>
            <w:tcW w:w="1132" w:type="pct"/>
            <w:vAlign w:val="center"/>
          </w:tcPr>
          <w:p w14:paraId="709793E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96.7 (11.1)</w:t>
            </w:r>
            <w:r w:rsidRPr="00732F3B">
              <w:rPr>
                <w:rFonts w:ascii="Book Antiqua" w:hAnsi="Book Antiqua"/>
                <w:bCs/>
                <w:color w:val="000000" w:themeColor="text1"/>
                <w:vertAlign w:val="superscript"/>
              </w:rPr>
              <w:t>b</w:t>
            </w:r>
          </w:p>
        </w:tc>
      </w:tr>
      <w:tr w:rsidR="00A95741" w:rsidRPr="00732F3B" w14:paraId="7E2780EF" w14:textId="77777777" w:rsidTr="00BB1453">
        <w:trPr>
          <w:trHeight w:val="567"/>
        </w:trPr>
        <w:tc>
          <w:tcPr>
            <w:tcW w:w="1599" w:type="pct"/>
            <w:vAlign w:val="center"/>
          </w:tcPr>
          <w:p w14:paraId="66F0C8E1"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BMI (Kg/m</w:t>
            </w:r>
            <w:r w:rsidRPr="00732F3B">
              <w:rPr>
                <w:rFonts w:ascii="Book Antiqua" w:hAnsi="Book Antiqua"/>
                <w:bCs/>
                <w:color w:val="000000" w:themeColor="text1"/>
                <w:vertAlign w:val="superscript"/>
              </w:rPr>
              <w:t>2</w:t>
            </w:r>
            <w:r w:rsidRPr="00732F3B">
              <w:rPr>
                <w:rFonts w:ascii="Book Antiqua" w:hAnsi="Book Antiqua"/>
                <w:bCs/>
                <w:color w:val="000000" w:themeColor="text1"/>
              </w:rPr>
              <w:t>)</w:t>
            </w:r>
          </w:p>
        </w:tc>
        <w:tc>
          <w:tcPr>
            <w:tcW w:w="1134" w:type="pct"/>
            <w:vAlign w:val="center"/>
          </w:tcPr>
          <w:p w14:paraId="3E575A7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27.6 (5.0)</w:t>
            </w:r>
          </w:p>
        </w:tc>
        <w:tc>
          <w:tcPr>
            <w:tcW w:w="1134" w:type="pct"/>
            <w:vAlign w:val="center"/>
          </w:tcPr>
          <w:p w14:paraId="3836B2AB"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30.6 (4.5)</w:t>
            </w:r>
            <w:r w:rsidRPr="00732F3B">
              <w:rPr>
                <w:rFonts w:ascii="Book Antiqua" w:hAnsi="Book Antiqua"/>
                <w:bCs/>
                <w:color w:val="000000" w:themeColor="text1"/>
                <w:vertAlign w:val="superscript"/>
              </w:rPr>
              <w:t>b</w:t>
            </w:r>
          </w:p>
        </w:tc>
        <w:tc>
          <w:tcPr>
            <w:tcW w:w="1132" w:type="pct"/>
            <w:vAlign w:val="center"/>
          </w:tcPr>
          <w:p w14:paraId="25711461"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25.7 (4.4)</w:t>
            </w:r>
            <w:r w:rsidRPr="00732F3B">
              <w:rPr>
                <w:rFonts w:ascii="Book Antiqua" w:hAnsi="Book Antiqua"/>
                <w:bCs/>
                <w:color w:val="000000" w:themeColor="text1"/>
                <w:vertAlign w:val="superscript"/>
              </w:rPr>
              <w:t>b</w:t>
            </w:r>
          </w:p>
        </w:tc>
      </w:tr>
      <w:tr w:rsidR="00A95741" w:rsidRPr="00732F3B" w14:paraId="733BF54D" w14:textId="77777777" w:rsidTr="00BB1453">
        <w:trPr>
          <w:trHeight w:val="567"/>
        </w:trPr>
        <w:tc>
          <w:tcPr>
            <w:tcW w:w="5000" w:type="pct"/>
            <w:gridSpan w:val="4"/>
            <w:vAlign w:val="center"/>
          </w:tcPr>
          <w:p w14:paraId="4C8A5DC4"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Medications</w:t>
            </w:r>
          </w:p>
        </w:tc>
      </w:tr>
      <w:tr w:rsidR="00A95741" w:rsidRPr="00732F3B" w14:paraId="37FB7F2B" w14:textId="77777777" w:rsidTr="00BB1453">
        <w:trPr>
          <w:trHeight w:val="567"/>
        </w:trPr>
        <w:tc>
          <w:tcPr>
            <w:tcW w:w="1599" w:type="pct"/>
            <w:vAlign w:val="center"/>
          </w:tcPr>
          <w:p w14:paraId="5E3E87A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Metformin (%)</w:t>
            </w:r>
          </w:p>
        </w:tc>
        <w:tc>
          <w:tcPr>
            <w:tcW w:w="1134" w:type="pct"/>
            <w:vAlign w:val="center"/>
          </w:tcPr>
          <w:p w14:paraId="1FE6F51A"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32 (31.7)</w:t>
            </w:r>
          </w:p>
        </w:tc>
        <w:tc>
          <w:tcPr>
            <w:tcW w:w="1134" w:type="pct"/>
            <w:vAlign w:val="center"/>
          </w:tcPr>
          <w:p w14:paraId="7A559B5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20 (50.0)</w:t>
            </w:r>
            <w:r w:rsidRPr="00732F3B">
              <w:rPr>
                <w:rFonts w:ascii="Book Antiqua" w:hAnsi="Book Antiqua"/>
                <w:bCs/>
                <w:color w:val="000000" w:themeColor="text1"/>
                <w:vertAlign w:val="superscript"/>
              </w:rPr>
              <w:t>a</w:t>
            </w:r>
          </w:p>
        </w:tc>
        <w:tc>
          <w:tcPr>
            <w:tcW w:w="1132" w:type="pct"/>
            <w:vAlign w:val="center"/>
          </w:tcPr>
          <w:p w14:paraId="413561F3"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12 (19.7)</w:t>
            </w:r>
            <w:r w:rsidRPr="00732F3B">
              <w:rPr>
                <w:rFonts w:ascii="Book Antiqua" w:hAnsi="Book Antiqua"/>
                <w:bCs/>
                <w:color w:val="000000" w:themeColor="text1"/>
                <w:vertAlign w:val="superscript"/>
              </w:rPr>
              <w:t>a</w:t>
            </w:r>
          </w:p>
        </w:tc>
      </w:tr>
      <w:tr w:rsidR="00A95741" w:rsidRPr="00732F3B" w14:paraId="6A05BA35" w14:textId="77777777" w:rsidTr="00BB1453">
        <w:trPr>
          <w:trHeight w:val="567"/>
        </w:trPr>
        <w:tc>
          <w:tcPr>
            <w:tcW w:w="1599" w:type="pct"/>
            <w:vAlign w:val="center"/>
          </w:tcPr>
          <w:p w14:paraId="464A70E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Steroids contraceptive (%)</w:t>
            </w:r>
          </w:p>
        </w:tc>
        <w:tc>
          <w:tcPr>
            <w:tcW w:w="1134" w:type="pct"/>
            <w:vAlign w:val="center"/>
          </w:tcPr>
          <w:p w14:paraId="30DB5246"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 (4.9)</w:t>
            </w:r>
          </w:p>
        </w:tc>
        <w:tc>
          <w:tcPr>
            <w:tcW w:w="1134" w:type="pct"/>
            <w:vAlign w:val="center"/>
          </w:tcPr>
          <w:p w14:paraId="68F00BE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 (5.0)</w:t>
            </w:r>
          </w:p>
        </w:tc>
        <w:tc>
          <w:tcPr>
            <w:tcW w:w="1132" w:type="pct"/>
            <w:vAlign w:val="center"/>
          </w:tcPr>
          <w:p w14:paraId="5C05EA9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 (4.9)</w:t>
            </w:r>
          </w:p>
        </w:tc>
      </w:tr>
      <w:tr w:rsidR="00A95741" w:rsidRPr="00732F3B" w14:paraId="0B8083C4" w14:textId="77777777" w:rsidTr="00BB1453">
        <w:trPr>
          <w:trHeight w:val="567"/>
        </w:trPr>
        <w:tc>
          <w:tcPr>
            <w:tcW w:w="1599" w:type="pct"/>
            <w:vAlign w:val="center"/>
          </w:tcPr>
          <w:p w14:paraId="78C5802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Statin (%)</w:t>
            </w:r>
          </w:p>
        </w:tc>
        <w:tc>
          <w:tcPr>
            <w:tcW w:w="1134" w:type="pct"/>
            <w:vAlign w:val="center"/>
          </w:tcPr>
          <w:p w14:paraId="4BD276DE"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 (4.9)</w:t>
            </w:r>
          </w:p>
        </w:tc>
        <w:tc>
          <w:tcPr>
            <w:tcW w:w="1134" w:type="pct"/>
            <w:vAlign w:val="center"/>
          </w:tcPr>
          <w:p w14:paraId="6426F1B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 (12.5)</w:t>
            </w:r>
          </w:p>
        </w:tc>
        <w:tc>
          <w:tcPr>
            <w:tcW w:w="1132" w:type="pct"/>
            <w:vAlign w:val="center"/>
          </w:tcPr>
          <w:p w14:paraId="45132BB4"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0</w:t>
            </w:r>
          </w:p>
        </w:tc>
      </w:tr>
      <w:tr w:rsidR="00A95741" w:rsidRPr="00732F3B" w14:paraId="5F65969D" w14:textId="77777777" w:rsidTr="00BB1453">
        <w:trPr>
          <w:trHeight w:val="567"/>
        </w:trPr>
        <w:tc>
          <w:tcPr>
            <w:tcW w:w="5000" w:type="pct"/>
            <w:gridSpan w:val="4"/>
            <w:vAlign w:val="center"/>
          </w:tcPr>
          <w:p w14:paraId="5C4BB4D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Biochemical parameters</w:t>
            </w:r>
          </w:p>
        </w:tc>
      </w:tr>
      <w:tr w:rsidR="00A95741" w:rsidRPr="00732F3B" w14:paraId="1B8DD141" w14:textId="77777777" w:rsidTr="00BB1453">
        <w:trPr>
          <w:trHeight w:val="567"/>
        </w:trPr>
        <w:tc>
          <w:tcPr>
            <w:tcW w:w="1599" w:type="pct"/>
            <w:vAlign w:val="center"/>
          </w:tcPr>
          <w:p w14:paraId="574FDE33" w14:textId="77777777" w:rsidR="00A95741" w:rsidRPr="00732F3B" w:rsidRDefault="00A95741" w:rsidP="00732F3B">
            <w:pPr>
              <w:pStyle w:val="p1"/>
              <w:adjustRightInd w:val="0"/>
              <w:snapToGrid w:val="0"/>
              <w:spacing w:line="360" w:lineRule="auto"/>
              <w:jc w:val="both"/>
              <w:rPr>
                <w:rFonts w:ascii="Book Antiqua" w:hAnsi="Book Antiqua"/>
                <w:bCs/>
                <w:color w:val="000000" w:themeColor="text1"/>
                <w:sz w:val="24"/>
                <w:szCs w:val="24"/>
                <w:lang w:val="en-US" w:eastAsia="en-US"/>
              </w:rPr>
            </w:pPr>
            <w:r w:rsidRPr="00732F3B">
              <w:rPr>
                <w:rFonts w:ascii="Book Antiqua" w:hAnsi="Book Antiqua"/>
                <w:bCs/>
                <w:color w:val="000000" w:themeColor="text1"/>
                <w:sz w:val="24"/>
                <w:szCs w:val="24"/>
                <w:lang w:val="en-US"/>
              </w:rPr>
              <w:t xml:space="preserve">Platelet count </w:t>
            </w:r>
            <w:r w:rsidRPr="00732F3B">
              <w:rPr>
                <w:rFonts w:ascii="Book Antiqua" w:hAnsi="Book Antiqua"/>
                <w:bCs/>
                <w:color w:val="000000" w:themeColor="text1"/>
                <w:sz w:val="24"/>
                <w:szCs w:val="24"/>
                <w:lang w:val="en-US" w:eastAsia="en-US"/>
              </w:rPr>
              <w:t>(10</w:t>
            </w:r>
            <w:r w:rsidRPr="00732F3B">
              <w:rPr>
                <w:rFonts w:ascii="Book Antiqua" w:hAnsi="Book Antiqua"/>
                <w:bCs/>
                <w:color w:val="000000" w:themeColor="text1"/>
                <w:sz w:val="24"/>
                <w:szCs w:val="24"/>
                <w:vertAlign w:val="superscript"/>
                <w:lang w:val="en-US" w:eastAsia="en-US"/>
              </w:rPr>
              <w:t>9</w:t>
            </w:r>
            <w:r w:rsidRPr="00732F3B">
              <w:rPr>
                <w:rFonts w:ascii="Book Antiqua" w:hAnsi="Book Antiqua"/>
                <w:bCs/>
                <w:color w:val="000000" w:themeColor="text1"/>
                <w:sz w:val="24"/>
                <w:szCs w:val="24"/>
                <w:lang w:val="en-US" w:eastAsia="en-US"/>
              </w:rPr>
              <w:t>/L)</w:t>
            </w:r>
          </w:p>
        </w:tc>
        <w:tc>
          <w:tcPr>
            <w:tcW w:w="1134" w:type="pct"/>
            <w:vAlign w:val="center"/>
          </w:tcPr>
          <w:p w14:paraId="2E0C2A36"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271.9 (59.5)</w:t>
            </w:r>
          </w:p>
        </w:tc>
        <w:tc>
          <w:tcPr>
            <w:tcW w:w="1134" w:type="pct"/>
            <w:vAlign w:val="center"/>
          </w:tcPr>
          <w:p w14:paraId="23BC31BC"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271.9 (54.7)</w:t>
            </w:r>
          </w:p>
        </w:tc>
        <w:tc>
          <w:tcPr>
            <w:tcW w:w="1132" w:type="pct"/>
            <w:vAlign w:val="center"/>
          </w:tcPr>
          <w:p w14:paraId="05CCC42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271.9 (62.9)</w:t>
            </w:r>
          </w:p>
        </w:tc>
      </w:tr>
      <w:tr w:rsidR="00A95741" w:rsidRPr="00732F3B" w14:paraId="1558F7C6" w14:textId="77777777" w:rsidTr="00BB1453">
        <w:trPr>
          <w:trHeight w:val="567"/>
        </w:trPr>
        <w:tc>
          <w:tcPr>
            <w:tcW w:w="1599" w:type="pct"/>
            <w:vAlign w:val="center"/>
          </w:tcPr>
          <w:p w14:paraId="2AA1703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AST (IU/L)</w:t>
            </w:r>
          </w:p>
        </w:tc>
        <w:tc>
          <w:tcPr>
            <w:tcW w:w="1134" w:type="pct"/>
            <w:vAlign w:val="center"/>
          </w:tcPr>
          <w:p w14:paraId="0E5B0ABC"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18.6 (11.8)</w:t>
            </w:r>
          </w:p>
        </w:tc>
        <w:tc>
          <w:tcPr>
            <w:tcW w:w="1134" w:type="pct"/>
            <w:vAlign w:val="center"/>
          </w:tcPr>
          <w:p w14:paraId="55B7817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23.5 (17.2)</w:t>
            </w:r>
            <w:r w:rsidRPr="00732F3B">
              <w:rPr>
                <w:rFonts w:ascii="Book Antiqua" w:hAnsi="Book Antiqua"/>
                <w:bCs/>
                <w:color w:val="000000" w:themeColor="text1"/>
                <w:vertAlign w:val="superscript"/>
              </w:rPr>
              <w:t>b</w:t>
            </w:r>
          </w:p>
        </w:tc>
        <w:tc>
          <w:tcPr>
            <w:tcW w:w="1132" w:type="pct"/>
            <w:vAlign w:val="center"/>
          </w:tcPr>
          <w:p w14:paraId="7BEEDB1E"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15.3 (3.9)</w:t>
            </w:r>
            <w:r w:rsidRPr="00732F3B">
              <w:rPr>
                <w:rFonts w:ascii="Book Antiqua" w:hAnsi="Book Antiqua"/>
                <w:bCs/>
                <w:color w:val="000000" w:themeColor="text1"/>
                <w:vertAlign w:val="superscript"/>
              </w:rPr>
              <w:t>b</w:t>
            </w:r>
          </w:p>
        </w:tc>
      </w:tr>
      <w:tr w:rsidR="00A95741" w:rsidRPr="00732F3B" w14:paraId="766C1BC9" w14:textId="77777777" w:rsidTr="00BB1453">
        <w:trPr>
          <w:trHeight w:val="567"/>
        </w:trPr>
        <w:tc>
          <w:tcPr>
            <w:tcW w:w="1599" w:type="pct"/>
            <w:vAlign w:val="center"/>
          </w:tcPr>
          <w:p w14:paraId="112633BC"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ALT (IU/L)</w:t>
            </w:r>
          </w:p>
        </w:tc>
        <w:tc>
          <w:tcPr>
            <w:tcW w:w="1134" w:type="pct"/>
            <w:vAlign w:val="center"/>
          </w:tcPr>
          <w:p w14:paraId="019B6DB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21.7 (18.7)</w:t>
            </w:r>
          </w:p>
        </w:tc>
        <w:tc>
          <w:tcPr>
            <w:tcW w:w="1134" w:type="pct"/>
            <w:vAlign w:val="center"/>
          </w:tcPr>
          <w:p w14:paraId="42CDDF93"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30.9 (25.7)</w:t>
            </w:r>
            <w:r w:rsidRPr="00732F3B">
              <w:rPr>
                <w:rFonts w:ascii="Book Antiqua" w:hAnsi="Book Antiqua"/>
                <w:bCs/>
                <w:color w:val="000000" w:themeColor="text1"/>
                <w:vertAlign w:val="superscript"/>
              </w:rPr>
              <w:t>b</w:t>
            </w:r>
          </w:p>
        </w:tc>
        <w:tc>
          <w:tcPr>
            <w:tcW w:w="1132" w:type="pct"/>
            <w:vAlign w:val="center"/>
          </w:tcPr>
          <w:p w14:paraId="6F06E42A"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15.7 (8.0)</w:t>
            </w:r>
            <w:r w:rsidRPr="00732F3B">
              <w:rPr>
                <w:rFonts w:ascii="Book Antiqua" w:hAnsi="Book Antiqua"/>
                <w:bCs/>
                <w:color w:val="000000" w:themeColor="text1"/>
                <w:vertAlign w:val="superscript"/>
              </w:rPr>
              <w:t>b</w:t>
            </w:r>
          </w:p>
        </w:tc>
      </w:tr>
      <w:tr w:rsidR="00A95741" w:rsidRPr="00732F3B" w14:paraId="73BEEDC5" w14:textId="77777777" w:rsidTr="00BB1453">
        <w:trPr>
          <w:trHeight w:val="567"/>
        </w:trPr>
        <w:tc>
          <w:tcPr>
            <w:tcW w:w="1599" w:type="pct"/>
            <w:vAlign w:val="center"/>
          </w:tcPr>
          <w:p w14:paraId="2C72EA0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GGT (IU/L)</w:t>
            </w:r>
          </w:p>
        </w:tc>
        <w:tc>
          <w:tcPr>
            <w:tcW w:w="1134" w:type="pct"/>
            <w:vAlign w:val="center"/>
          </w:tcPr>
          <w:p w14:paraId="4F88D9B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21.4 (19.1)</w:t>
            </w:r>
          </w:p>
        </w:tc>
        <w:tc>
          <w:tcPr>
            <w:tcW w:w="1134" w:type="pct"/>
            <w:vAlign w:val="center"/>
          </w:tcPr>
          <w:p w14:paraId="5014629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24.8 (16.8)</w:t>
            </w:r>
          </w:p>
        </w:tc>
        <w:tc>
          <w:tcPr>
            <w:tcW w:w="1132" w:type="pct"/>
            <w:vAlign w:val="center"/>
          </w:tcPr>
          <w:p w14:paraId="39184940"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19.3 (20.4)</w:t>
            </w:r>
          </w:p>
        </w:tc>
      </w:tr>
      <w:tr w:rsidR="00A95741" w:rsidRPr="00732F3B" w14:paraId="69BF43A5" w14:textId="77777777" w:rsidTr="00BB1453">
        <w:trPr>
          <w:trHeight w:val="567"/>
        </w:trPr>
        <w:tc>
          <w:tcPr>
            <w:tcW w:w="1599" w:type="pct"/>
            <w:vAlign w:val="center"/>
          </w:tcPr>
          <w:p w14:paraId="7EB49061" w14:textId="77777777" w:rsidR="00A95741" w:rsidRPr="00732F3B" w:rsidRDefault="00A95741" w:rsidP="00732F3B">
            <w:pPr>
              <w:adjustRightInd w:val="0"/>
              <w:snapToGrid w:val="0"/>
              <w:spacing w:line="360" w:lineRule="auto"/>
              <w:jc w:val="both"/>
              <w:rPr>
                <w:rFonts w:ascii="Book Antiqua" w:hAnsi="Book Antiqua" w:cstheme="majorBidi"/>
                <w:bCs/>
                <w:color w:val="000000" w:themeColor="text1"/>
              </w:rPr>
            </w:pPr>
            <w:r w:rsidRPr="00732F3B">
              <w:rPr>
                <w:rFonts w:ascii="Book Antiqua" w:hAnsi="Book Antiqua" w:cstheme="majorBidi"/>
                <w:bCs/>
                <w:color w:val="000000" w:themeColor="text1"/>
              </w:rPr>
              <w:t>Total bilirubin (</w:t>
            </w:r>
            <w:r w:rsidRPr="00732F3B">
              <w:rPr>
                <w:rFonts w:ascii="Book Antiqua" w:hAnsi="Book Antiqua" w:cstheme="majorBidi"/>
                <w:bCs/>
                <w:color w:val="000000" w:themeColor="text1"/>
                <w:shd w:val="clear" w:color="auto" w:fill="FFFFFF"/>
              </w:rPr>
              <w:t>µmol/L)</w:t>
            </w:r>
          </w:p>
        </w:tc>
        <w:tc>
          <w:tcPr>
            <w:tcW w:w="1134" w:type="pct"/>
            <w:vAlign w:val="center"/>
          </w:tcPr>
          <w:p w14:paraId="7013D624" w14:textId="77777777" w:rsidR="00A95741" w:rsidRPr="00732F3B" w:rsidRDefault="00A95741" w:rsidP="00732F3B">
            <w:pPr>
              <w:adjustRightInd w:val="0"/>
              <w:snapToGrid w:val="0"/>
              <w:spacing w:line="360" w:lineRule="auto"/>
              <w:jc w:val="both"/>
              <w:rPr>
                <w:rFonts w:ascii="Book Antiqua" w:hAnsi="Book Antiqua" w:cstheme="majorBidi"/>
                <w:bCs/>
                <w:color w:val="000000" w:themeColor="text1"/>
              </w:rPr>
            </w:pPr>
            <w:r w:rsidRPr="00732F3B">
              <w:rPr>
                <w:rFonts w:ascii="Book Antiqua" w:hAnsi="Book Antiqua" w:cstheme="majorBidi"/>
                <w:bCs/>
                <w:color w:val="000000" w:themeColor="text1"/>
              </w:rPr>
              <w:t>9 (2.9)</w:t>
            </w:r>
          </w:p>
        </w:tc>
        <w:tc>
          <w:tcPr>
            <w:tcW w:w="1134" w:type="pct"/>
            <w:vAlign w:val="center"/>
          </w:tcPr>
          <w:p w14:paraId="440B1B7D" w14:textId="77777777" w:rsidR="00A95741" w:rsidRPr="00732F3B" w:rsidRDefault="00A95741" w:rsidP="00732F3B">
            <w:pPr>
              <w:adjustRightInd w:val="0"/>
              <w:snapToGrid w:val="0"/>
              <w:spacing w:line="360" w:lineRule="auto"/>
              <w:jc w:val="both"/>
              <w:rPr>
                <w:rFonts w:ascii="Book Antiqua" w:hAnsi="Book Antiqua" w:cstheme="majorBidi"/>
                <w:bCs/>
                <w:color w:val="000000" w:themeColor="text1"/>
              </w:rPr>
            </w:pPr>
            <w:r w:rsidRPr="00732F3B">
              <w:rPr>
                <w:rFonts w:ascii="Book Antiqua" w:hAnsi="Book Antiqua" w:cstheme="majorBidi"/>
                <w:bCs/>
                <w:color w:val="000000" w:themeColor="text1"/>
              </w:rPr>
              <w:t>9.8 (3.6)</w:t>
            </w:r>
            <w:r w:rsidRPr="00732F3B">
              <w:rPr>
                <w:rFonts w:ascii="Book Antiqua" w:hAnsi="Book Antiqua" w:cstheme="majorBidi"/>
                <w:bCs/>
                <w:color w:val="000000" w:themeColor="text1"/>
                <w:vertAlign w:val="superscript"/>
              </w:rPr>
              <w:t>a</w:t>
            </w:r>
          </w:p>
        </w:tc>
        <w:tc>
          <w:tcPr>
            <w:tcW w:w="1132" w:type="pct"/>
            <w:vAlign w:val="center"/>
          </w:tcPr>
          <w:p w14:paraId="792A605A" w14:textId="77777777" w:rsidR="00A95741" w:rsidRPr="00732F3B" w:rsidRDefault="00A95741" w:rsidP="00732F3B">
            <w:pPr>
              <w:adjustRightInd w:val="0"/>
              <w:snapToGrid w:val="0"/>
              <w:spacing w:line="360" w:lineRule="auto"/>
              <w:jc w:val="both"/>
              <w:rPr>
                <w:rFonts w:ascii="Book Antiqua" w:hAnsi="Book Antiqua" w:cstheme="majorBidi"/>
                <w:bCs/>
                <w:color w:val="000000" w:themeColor="text1"/>
              </w:rPr>
            </w:pPr>
            <w:r w:rsidRPr="00732F3B">
              <w:rPr>
                <w:rFonts w:ascii="Book Antiqua" w:hAnsi="Book Antiqua" w:cstheme="majorBidi"/>
                <w:bCs/>
                <w:color w:val="000000" w:themeColor="text1"/>
              </w:rPr>
              <w:t>8.5 (2.2)</w:t>
            </w:r>
            <w:r w:rsidRPr="00732F3B">
              <w:rPr>
                <w:rFonts w:ascii="Book Antiqua" w:hAnsi="Book Antiqua" w:cstheme="majorBidi"/>
                <w:bCs/>
                <w:color w:val="000000" w:themeColor="text1"/>
                <w:vertAlign w:val="superscript"/>
              </w:rPr>
              <w:t>a</w:t>
            </w:r>
          </w:p>
        </w:tc>
      </w:tr>
      <w:tr w:rsidR="00A95741" w:rsidRPr="00732F3B" w14:paraId="14B57934" w14:textId="77777777" w:rsidTr="00BB1453">
        <w:trPr>
          <w:trHeight w:val="567"/>
        </w:trPr>
        <w:tc>
          <w:tcPr>
            <w:tcW w:w="1599" w:type="pct"/>
            <w:vAlign w:val="center"/>
          </w:tcPr>
          <w:p w14:paraId="699300F5"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Albumin (mg/L)</w:t>
            </w:r>
          </w:p>
        </w:tc>
        <w:tc>
          <w:tcPr>
            <w:tcW w:w="1134" w:type="pct"/>
            <w:vAlign w:val="center"/>
          </w:tcPr>
          <w:p w14:paraId="4798A60C"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43.0 (2.9)</w:t>
            </w:r>
          </w:p>
        </w:tc>
        <w:tc>
          <w:tcPr>
            <w:tcW w:w="1134" w:type="pct"/>
            <w:vAlign w:val="center"/>
          </w:tcPr>
          <w:p w14:paraId="4626FB8B"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42.9 (3.0)</w:t>
            </w:r>
          </w:p>
        </w:tc>
        <w:tc>
          <w:tcPr>
            <w:tcW w:w="1132" w:type="pct"/>
            <w:vAlign w:val="center"/>
          </w:tcPr>
          <w:p w14:paraId="608CCD86"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43.0 (2.8)</w:t>
            </w:r>
          </w:p>
        </w:tc>
      </w:tr>
      <w:tr w:rsidR="00A95741" w:rsidRPr="00732F3B" w14:paraId="20FE250E" w14:textId="77777777" w:rsidTr="00BB1453">
        <w:trPr>
          <w:trHeight w:val="567"/>
        </w:trPr>
        <w:tc>
          <w:tcPr>
            <w:tcW w:w="1599" w:type="pct"/>
            <w:vAlign w:val="center"/>
          </w:tcPr>
          <w:p w14:paraId="10F78C78" w14:textId="77777777" w:rsidR="00A95741" w:rsidRPr="00732F3B" w:rsidRDefault="00A95741" w:rsidP="00732F3B">
            <w:pPr>
              <w:pStyle w:val="p1"/>
              <w:adjustRightInd w:val="0"/>
              <w:snapToGrid w:val="0"/>
              <w:spacing w:line="360" w:lineRule="auto"/>
              <w:jc w:val="both"/>
              <w:rPr>
                <w:rFonts w:ascii="Book Antiqua" w:eastAsia="Times New Roman" w:hAnsi="Book Antiqua"/>
                <w:bCs/>
                <w:color w:val="000000" w:themeColor="text1"/>
                <w:sz w:val="24"/>
                <w:szCs w:val="24"/>
                <w:lang w:val="en-US"/>
              </w:rPr>
            </w:pPr>
            <w:r w:rsidRPr="00732F3B">
              <w:rPr>
                <w:rFonts w:ascii="Book Antiqua" w:eastAsia="Times New Roman" w:hAnsi="Book Antiqua"/>
                <w:bCs/>
                <w:color w:val="000000" w:themeColor="text1"/>
                <w:sz w:val="24"/>
                <w:szCs w:val="24"/>
                <w:lang w:val="en-US"/>
              </w:rPr>
              <w:t>HOMA-IR</w:t>
            </w:r>
          </w:p>
        </w:tc>
        <w:tc>
          <w:tcPr>
            <w:tcW w:w="1134" w:type="pct"/>
            <w:vAlign w:val="center"/>
          </w:tcPr>
          <w:p w14:paraId="03D4A380"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3.2 (2.9)</w:t>
            </w:r>
          </w:p>
        </w:tc>
        <w:tc>
          <w:tcPr>
            <w:tcW w:w="1134" w:type="pct"/>
            <w:vAlign w:val="center"/>
          </w:tcPr>
          <w:p w14:paraId="0F91190E"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4.5 (3.3)</w:t>
            </w:r>
            <w:r w:rsidRPr="00732F3B">
              <w:rPr>
                <w:rFonts w:ascii="Book Antiqua" w:hAnsi="Book Antiqua"/>
                <w:bCs/>
                <w:color w:val="000000" w:themeColor="text1"/>
                <w:vertAlign w:val="superscript"/>
              </w:rPr>
              <w:t>b</w:t>
            </w:r>
          </w:p>
        </w:tc>
        <w:tc>
          <w:tcPr>
            <w:tcW w:w="1132" w:type="pct"/>
            <w:vAlign w:val="center"/>
          </w:tcPr>
          <w:p w14:paraId="4C7AE05D"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2.4 (2.2)</w:t>
            </w:r>
            <w:r w:rsidRPr="00732F3B">
              <w:rPr>
                <w:rFonts w:ascii="Book Antiqua" w:hAnsi="Book Antiqua"/>
                <w:bCs/>
                <w:color w:val="000000" w:themeColor="text1"/>
                <w:vertAlign w:val="superscript"/>
              </w:rPr>
              <w:t>b</w:t>
            </w:r>
          </w:p>
        </w:tc>
      </w:tr>
      <w:tr w:rsidR="00A95741" w:rsidRPr="00732F3B" w14:paraId="399C0CD6" w14:textId="77777777" w:rsidTr="00BB1453">
        <w:trPr>
          <w:trHeight w:val="567"/>
        </w:trPr>
        <w:tc>
          <w:tcPr>
            <w:tcW w:w="1599" w:type="pct"/>
            <w:vAlign w:val="center"/>
          </w:tcPr>
          <w:p w14:paraId="50E058AF" w14:textId="77777777" w:rsidR="00A95741" w:rsidRPr="00732F3B" w:rsidRDefault="00A95741" w:rsidP="00732F3B">
            <w:pPr>
              <w:pStyle w:val="p1"/>
              <w:adjustRightInd w:val="0"/>
              <w:snapToGrid w:val="0"/>
              <w:spacing w:line="360" w:lineRule="auto"/>
              <w:jc w:val="both"/>
              <w:rPr>
                <w:rFonts w:ascii="Book Antiqua" w:hAnsi="Book Antiqua"/>
                <w:bCs/>
                <w:color w:val="000000" w:themeColor="text1"/>
                <w:sz w:val="24"/>
                <w:szCs w:val="24"/>
                <w:lang w:val="en-US"/>
              </w:rPr>
            </w:pPr>
            <w:r w:rsidRPr="00732F3B">
              <w:rPr>
                <w:rFonts w:ascii="Book Antiqua" w:eastAsia="Times New Roman" w:hAnsi="Book Antiqua"/>
                <w:bCs/>
                <w:color w:val="000000" w:themeColor="text1"/>
                <w:sz w:val="24"/>
                <w:szCs w:val="24"/>
                <w:lang w:val="en-US"/>
              </w:rPr>
              <w:t>HbA1c (%)</w:t>
            </w:r>
          </w:p>
        </w:tc>
        <w:tc>
          <w:tcPr>
            <w:tcW w:w="1134" w:type="pct"/>
            <w:vAlign w:val="center"/>
          </w:tcPr>
          <w:p w14:paraId="49B7202B"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6.4 (1.8)</w:t>
            </w:r>
          </w:p>
        </w:tc>
        <w:tc>
          <w:tcPr>
            <w:tcW w:w="1134" w:type="pct"/>
            <w:vAlign w:val="center"/>
          </w:tcPr>
          <w:p w14:paraId="1159EF5C"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6.9 (2.1)</w:t>
            </w:r>
            <w:r w:rsidRPr="00732F3B">
              <w:rPr>
                <w:rFonts w:ascii="Book Antiqua" w:hAnsi="Book Antiqua"/>
                <w:bCs/>
                <w:color w:val="000000" w:themeColor="text1"/>
                <w:vertAlign w:val="superscript"/>
              </w:rPr>
              <w:t>b</w:t>
            </w:r>
          </w:p>
        </w:tc>
        <w:tc>
          <w:tcPr>
            <w:tcW w:w="1132" w:type="pct"/>
            <w:vAlign w:val="center"/>
          </w:tcPr>
          <w:p w14:paraId="424058D0"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5.6 (0.6)</w:t>
            </w:r>
            <w:r w:rsidRPr="00732F3B">
              <w:rPr>
                <w:rFonts w:ascii="Book Antiqua" w:hAnsi="Book Antiqua"/>
                <w:bCs/>
                <w:color w:val="000000" w:themeColor="text1"/>
                <w:vertAlign w:val="superscript"/>
              </w:rPr>
              <w:t>b</w:t>
            </w:r>
          </w:p>
        </w:tc>
      </w:tr>
      <w:tr w:rsidR="00A95741" w:rsidRPr="00732F3B" w14:paraId="66290816" w14:textId="77777777" w:rsidTr="00BB1453">
        <w:trPr>
          <w:trHeight w:val="567"/>
        </w:trPr>
        <w:tc>
          <w:tcPr>
            <w:tcW w:w="1599" w:type="pct"/>
            <w:vAlign w:val="center"/>
          </w:tcPr>
          <w:p w14:paraId="32A54F73" w14:textId="77777777" w:rsidR="00A95741" w:rsidRPr="00732F3B" w:rsidRDefault="00A95741" w:rsidP="00732F3B">
            <w:pPr>
              <w:pStyle w:val="p1"/>
              <w:adjustRightInd w:val="0"/>
              <w:snapToGrid w:val="0"/>
              <w:spacing w:line="360" w:lineRule="auto"/>
              <w:jc w:val="both"/>
              <w:rPr>
                <w:rFonts w:ascii="Book Antiqua" w:hAnsi="Book Antiqua"/>
                <w:bCs/>
                <w:color w:val="000000" w:themeColor="text1"/>
                <w:sz w:val="24"/>
                <w:szCs w:val="24"/>
                <w:lang w:val="en-US" w:eastAsia="en-US"/>
              </w:rPr>
            </w:pPr>
            <w:r w:rsidRPr="00732F3B">
              <w:rPr>
                <w:rFonts w:ascii="Book Antiqua" w:hAnsi="Book Antiqua"/>
                <w:bCs/>
                <w:color w:val="000000" w:themeColor="text1"/>
                <w:sz w:val="24"/>
                <w:szCs w:val="24"/>
                <w:lang w:val="en-US"/>
              </w:rPr>
              <w:t>Total cholesterol (</w:t>
            </w:r>
            <w:r w:rsidRPr="00732F3B">
              <w:rPr>
                <w:rFonts w:ascii="Book Antiqua" w:hAnsi="Book Antiqua"/>
                <w:bCs/>
                <w:color w:val="000000" w:themeColor="text1"/>
                <w:sz w:val="24"/>
                <w:szCs w:val="24"/>
                <w:lang w:val="en-US" w:eastAsia="en-US"/>
              </w:rPr>
              <w:t>mmol/L)</w:t>
            </w:r>
          </w:p>
        </w:tc>
        <w:tc>
          <w:tcPr>
            <w:tcW w:w="1134" w:type="pct"/>
            <w:vAlign w:val="center"/>
          </w:tcPr>
          <w:p w14:paraId="0AE5C33A"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4.5 (1.0)</w:t>
            </w:r>
          </w:p>
        </w:tc>
        <w:tc>
          <w:tcPr>
            <w:tcW w:w="1134" w:type="pct"/>
            <w:vAlign w:val="center"/>
          </w:tcPr>
          <w:p w14:paraId="2B7F306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4.5 (1.0)</w:t>
            </w:r>
          </w:p>
        </w:tc>
        <w:tc>
          <w:tcPr>
            <w:tcW w:w="1132" w:type="pct"/>
            <w:vAlign w:val="center"/>
          </w:tcPr>
          <w:p w14:paraId="496FEECD"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4.5 (0.9)</w:t>
            </w:r>
          </w:p>
        </w:tc>
      </w:tr>
      <w:tr w:rsidR="00A95741" w:rsidRPr="00732F3B" w14:paraId="30A09E59" w14:textId="77777777" w:rsidTr="00BB1453">
        <w:trPr>
          <w:trHeight w:val="567"/>
        </w:trPr>
        <w:tc>
          <w:tcPr>
            <w:tcW w:w="1599" w:type="pct"/>
            <w:vAlign w:val="center"/>
          </w:tcPr>
          <w:p w14:paraId="4F28171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HDL cholesterol (mmol/L)</w:t>
            </w:r>
          </w:p>
        </w:tc>
        <w:tc>
          <w:tcPr>
            <w:tcW w:w="1134" w:type="pct"/>
            <w:vAlign w:val="center"/>
          </w:tcPr>
          <w:p w14:paraId="500BE604"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1.1 (0.3)</w:t>
            </w:r>
          </w:p>
        </w:tc>
        <w:tc>
          <w:tcPr>
            <w:tcW w:w="1134" w:type="pct"/>
            <w:vAlign w:val="center"/>
          </w:tcPr>
          <w:p w14:paraId="7383F48D"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1.1 (0.3)</w:t>
            </w:r>
            <w:r w:rsidRPr="00732F3B">
              <w:rPr>
                <w:rFonts w:ascii="Book Antiqua" w:hAnsi="Book Antiqua"/>
                <w:bCs/>
                <w:color w:val="000000" w:themeColor="text1"/>
                <w:vertAlign w:val="superscript"/>
              </w:rPr>
              <w:t>a</w:t>
            </w:r>
          </w:p>
        </w:tc>
        <w:tc>
          <w:tcPr>
            <w:tcW w:w="1132" w:type="pct"/>
            <w:vAlign w:val="center"/>
          </w:tcPr>
          <w:p w14:paraId="2849C1E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1.2 (0.3)</w:t>
            </w:r>
            <w:r w:rsidRPr="00732F3B">
              <w:rPr>
                <w:rFonts w:ascii="Book Antiqua" w:hAnsi="Book Antiqua"/>
                <w:bCs/>
                <w:color w:val="000000" w:themeColor="text1"/>
                <w:vertAlign w:val="superscript"/>
              </w:rPr>
              <w:t>a</w:t>
            </w:r>
          </w:p>
        </w:tc>
      </w:tr>
      <w:tr w:rsidR="00A95741" w:rsidRPr="00732F3B" w14:paraId="604198A1" w14:textId="77777777" w:rsidTr="00BB1453">
        <w:trPr>
          <w:trHeight w:val="567"/>
        </w:trPr>
        <w:tc>
          <w:tcPr>
            <w:tcW w:w="1599" w:type="pct"/>
            <w:vAlign w:val="center"/>
          </w:tcPr>
          <w:p w14:paraId="1CE7979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LDL cholesterol (mmol/L)</w:t>
            </w:r>
          </w:p>
        </w:tc>
        <w:tc>
          <w:tcPr>
            <w:tcW w:w="1134" w:type="pct"/>
            <w:vAlign w:val="center"/>
          </w:tcPr>
          <w:p w14:paraId="7BAF853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2.7 (0.8)</w:t>
            </w:r>
          </w:p>
        </w:tc>
        <w:tc>
          <w:tcPr>
            <w:tcW w:w="1134" w:type="pct"/>
            <w:vAlign w:val="center"/>
          </w:tcPr>
          <w:p w14:paraId="1795CD5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2.6 (0.9)</w:t>
            </w:r>
          </w:p>
        </w:tc>
        <w:tc>
          <w:tcPr>
            <w:tcW w:w="1132" w:type="pct"/>
            <w:vAlign w:val="center"/>
          </w:tcPr>
          <w:p w14:paraId="68F37E4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2.7 (0.7)</w:t>
            </w:r>
          </w:p>
        </w:tc>
      </w:tr>
      <w:tr w:rsidR="00A95741" w:rsidRPr="00732F3B" w14:paraId="5690F531" w14:textId="77777777" w:rsidTr="00BB1453">
        <w:trPr>
          <w:trHeight w:val="567"/>
        </w:trPr>
        <w:tc>
          <w:tcPr>
            <w:tcW w:w="1599" w:type="pct"/>
            <w:vAlign w:val="center"/>
          </w:tcPr>
          <w:p w14:paraId="4F8942F6"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Triglycerides (mmol/L)</w:t>
            </w:r>
          </w:p>
        </w:tc>
        <w:tc>
          <w:tcPr>
            <w:tcW w:w="1134" w:type="pct"/>
            <w:vAlign w:val="center"/>
          </w:tcPr>
          <w:p w14:paraId="5FDAB57A"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1.5 (1.2)</w:t>
            </w:r>
          </w:p>
        </w:tc>
        <w:tc>
          <w:tcPr>
            <w:tcW w:w="1134" w:type="pct"/>
            <w:vAlign w:val="center"/>
          </w:tcPr>
          <w:p w14:paraId="6470E88D"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1.8 (1.0)</w:t>
            </w:r>
          </w:p>
        </w:tc>
        <w:tc>
          <w:tcPr>
            <w:tcW w:w="1132" w:type="pct"/>
            <w:vAlign w:val="center"/>
          </w:tcPr>
          <w:p w14:paraId="5A966441"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1.4 (1.3)</w:t>
            </w:r>
          </w:p>
        </w:tc>
      </w:tr>
      <w:tr w:rsidR="00A95741" w:rsidRPr="00732F3B" w14:paraId="2F35194F" w14:textId="77777777" w:rsidTr="00BB1453">
        <w:trPr>
          <w:trHeight w:val="567"/>
        </w:trPr>
        <w:tc>
          <w:tcPr>
            <w:tcW w:w="1599" w:type="pct"/>
            <w:vAlign w:val="center"/>
          </w:tcPr>
          <w:p w14:paraId="121B4201"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Creatinine (mmol/L)</w:t>
            </w:r>
          </w:p>
        </w:tc>
        <w:tc>
          <w:tcPr>
            <w:tcW w:w="1134" w:type="pct"/>
            <w:vAlign w:val="center"/>
          </w:tcPr>
          <w:p w14:paraId="3ABFD4BD"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56.8 (10.1)</w:t>
            </w:r>
          </w:p>
        </w:tc>
        <w:tc>
          <w:tcPr>
            <w:tcW w:w="1134" w:type="pct"/>
            <w:vAlign w:val="center"/>
          </w:tcPr>
          <w:p w14:paraId="6C512F3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55.2 (8.9)</w:t>
            </w:r>
          </w:p>
        </w:tc>
        <w:tc>
          <w:tcPr>
            <w:tcW w:w="1132" w:type="pct"/>
            <w:vAlign w:val="center"/>
          </w:tcPr>
          <w:p w14:paraId="018D9260"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57.9 (10.8)</w:t>
            </w:r>
          </w:p>
        </w:tc>
      </w:tr>
      <w:tr w:rsidR="00A95741" w:rsidRPr="00732F3B" w14:paraId="112E865C" w14:textId="77777777" w:rsidTr="00BB1453">
        <w:trPr>
          <w:trHeight w:val="567"/>
        </w:trPr>
        <w:tc>
          <w:tcPr>
            <w:tcW w:w="1599" w:type="pct"/>
            <w:vAlign w:val="center"/>
          </w:tcPr>
          <w:p w14:paraId="2318BA8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TSH</w:t>
            </w:r>
          </w:p>
        </w:tc>
        <w:tc>
          <w:tcPr>
            <w:tcW w:w="1134" w:type="pct"/>
            <w:vAlign w:val="center"/>
          </w:tcPr>
          <w:p w14:paraId="06B88F5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2.6 (2.7)</w:t>
            </w:r>
          </w:p>
        </w:tc>
        <w:tc>
          <w:tcPr>
            <w:tcW w:w="1134" w:type="pct"/>
            <w:vAlign w:val="center"/>
          </w:tcPr>
          <w:p w14:paraId="715EF67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2.6 (2.5)</w:t>
            </w:r>
          </w:p>
        </w:tc>
        <w:tc>
          <w:tcPr>
            <w:tcW w:w="1132" w:type="pct"/>
            <w:vAlign w:val="center"/>
          </w:tcPr>
          <w:p w14:paraId="632157B4"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2.5 (2.8)</w:t>
            </w:r>
          </w:p>
        </w:tc>
      </w:tr>
      <w:tr w:rsidR="00A95741" w:rsidRPr="00732F3B" w14:paraId="56057D80" w14:textId="77777777" w:rsidTr="00BB1453">
        <w:trPr>
          <w:trHeight w:val="567"/>
        </w:trPr>
        <w:tc>
          <w:tcPr>
            <w:tcW w:w="1599" w:type="pct"/>
            <w:vAlign w:val="center"/>
          </w:tcPr>
          <w:p w14:paraId="40E53576"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Total testosterone (nmol/L)</w:t>
            </w:r>
          </w:p>
        </w:tc>
        <w:tc>
          <w:tcPr>
            <w:tcW w:w="1134" w:type="pct"/>
            <w:vAlign w:val="center"/>
          </w:tcPr>
          <w:p w14:paraId="3440D8FE"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1.6 (0.7)</w:t>
            </w:r>
          </w:p>
        </w:tc>
        <w:tc>
          <w:tcPr>
            <w:tcW w:w="1134" w:type="pct"/>
            <w:vAlign w:val="center"/>
          </w:tcPr>
          <w:p w14:paraId="36D15C0B"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1.8 (0.8)</w:t>
            </w:r>
          </w:p>
        </w:tc>
        <w:tc>
          <w:tcPr>
            <w:tcW w:w="1132" w:type="pct"/>
            <w:vAlign w:val="center"/>
          </w:tcPr>
          <w:p w14:paraId="18C4EEA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1.6 (0.6)</w:t>
            </w:r>
          </w:p>
        </w:tc>
      </w:tr>
      <w:tr w:rsidR="00A95741" w:rsidRPr="00732F3B" w14:paraId="69EE7603" w14:textId="77777777" w:rsidTr="00BB1453">
        <w:trPr>
          <w:trHeight w:val="567"/>
        </w:trPr>
        <w:tc>
          <w:tcPr>
            <w:tcW w:w="1599" w:type="pct"/>
            <w:vAlign w:val="center"/>
          </w:tcPr>
          <w:p w14:paraId="2BAC6DBE"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SHBG (nmol/L)</w:t>
            </w:r>
          </w:p>
        </w:tc>
        <w:tc>
          <w:tcPr>
            <w:tcW w:w="1134" w:type="pct"/>
            <w:vAlign w:val="center"/>
          </w:tcPr>
          <w:p w14:paraId="10FAEE7D"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32.2 (20.6)</w:t>
            </w:r>
          </w:p>
        </w:tc>
        <w:tc>
          <w:tcPr>
            <w:tcW w:w="1134" w:type="pct"/>
            <w:vAlign w:val="center"/>
          </w:tcPr>
          <w:p w14:paraId="059BEA6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22.4 (9.7)</w:t>
            </w:r>
            <w:r w:rsidRPr="00732F3B">
              <w:rPr>
                <w:rFonts w:ascii="Book Antiqua" w:hAnsi="Book Antiqua"/>
                <w:bCs/>
                <w:color w:val="000000" w:themeColor="text1"/>
                <w:vertAlign w:val="superscript"/>
              </w:rPr>
              <w:t>b</w:t>
            </w:r>
          </w:p>
        </w:tc>
        <w:tc>
          <w:tcPr>
            <w:tcW w:w="1132" w:type="pct"/>
            <w:vAlign w:val="center"/>
          </w:tcPr>
          <w:p w14:paraId="497D6091"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39.1 (23.3)</w:t>
            </w:r>
            <w:r w:rsidRPr="00732F3B">
              <w:rPr>
                <w:rFonts w:ascii="Book Antiqua" w:hAnsi="Book Antiqua"/>
                <w:bCs/>
                <w:color w:val="000000" w:themeColor="text1"/>
                <w:vertAlign w:val="superscript"/>
              </w:rPr>
              <w:t>b</w:t>
            </w:r>
          </w:p>
        </w:tc>
      </w:tr>
      <w:tr w:rsidR="00A95741" w:rsidRPr="00732F3B" w14:paraId="58AA673A" w14:textId="77777777" w:rsidTr="00BB1453">
        <w:trPr>
          <w:trHeight w:val="567"/>
        </w:trPr>
        <w:tc>
          <w:tcPr>
            <w:tcW w:w="1599" w:type="pct"/>
            <w:vAlign w:val="center"/>
          </w:tcPr>
          <w:p w14:paraId="7C323B09" w14:textId="7C00754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FAI</w:t>
            </w:r>
          </w:p>
        </w:tc>
        <w:tc>
          <w:tcPr>
            <w:tcW w:w="1134" w:type="pct"/>
            <w:vAlign w:val="center"/>
          </w:tcPr>
          <w:p w14:paraId="2E0FC254"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3.6 (3.7)</w:t>
            </w:r>
          </w:p>
        </w:tc>
        <w:tc>
          <w:tcPr>
            <w:tcW w:w="1134" w:type="pct"/>
            <w:vAlign w:val="center"/>
          </w:tcPr>
          <w:p w14:paraId="2D9EE64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5.4 (4.6)</w:t>
            </w:r>
            <w:r w:rsidRPr="00732F3B">
              <w:rPr>
                <w:rFonts w:ascii="Book Antiqua" w:hAnsi="Book Antiqua"/>
                <w:bCs/>
                <w:color w:val="000000" w:themeColor="text1"/>
                <w:vertAlign w:val="superscript"/>
              </w:rPr>
              <w:t>b</w:t>
            </w:r>
          </w:p>
        </w:tc>
        <w:tc>
          <w:tcPr>
            <w:tcW w:w="1132" w:type="pct"/>
            <w:vAlign w:val="center"/>
          </w:tcPr>
          <w:p w14:paraId="43F63DB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2.4 (2.1)</w:t>
            </w:r>
            <w:r w:rsidRPr="00732F3B">
              <w:rPr>
                <w:rFonts w:ascii="Book Antiqua" w:hAnsi="Book Antiqua"/>
                <w:bCs/>
                <w:color w:val="000000" w:themeColor="text1"/>
                <w:vertAlign w:val="superscript"/>
              </w:rPr>
              <w:t>b</w:t>
            </w:r>
          </w:p>
        </w:tc>
      </w:tr>
      <w:tr w:rsidR="00A95741" w:rsidRPr="00732F3B" w14:paraId="0D7D021A" w14:textId="77777777" w:rsidTr="00BB1453">
        <w:trPr>
          <w:trHeight w:val="567"/>
        </w:trPr>
        <w:tc>
          <w:tcPr>
            <w:tcW w:w="1599" w:type="pct"/>
            <w:vAlign w:val="center"/>
          </w:tcPr>
          <w:p w14:paraId="1C46FC6E"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CRP (</w:t>
            </w:r>
            <w:r w:rsidRPr="00732F3B">
              <w:rPr>
                <w:rFonts w:ascii="Book Antiqua" w:hAnsi="Book Antiqua"/>
                <w:bCs/>
                <w:color w:val="000000" w:themeColor="text1"/>
                <w:shd w:val="clear" w:color="auto" w:fill="FFFFFF"/>
              </w:rPr>
              <w:t>mg/L</w:t>
            </w:r>
            <w:r w:rsidRPr="00732F3B">
              <w:rPr>
                <w:rFonts w:ascii="Book Antiqua" w:hAnsi="Book Antiqua"/>
                <w:bCs/>
                <w:color w:val="000000" w:themeColor="text1"/>
              </w:rPr>
              <w:t>)</w:t>
            </w:r>
          </w:p>
        </w:tc>
        <w:tc>
          <w:tcPr>
            <w:tcW w:w="1134" w:type="pct"/>
            <w:vAlign w:val="center"/>
          </w:tcPr>
          <w:p w14:paraId="6A4ED210"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5.3 (4.9)</w:t>
            </w:r>
          </w:p>
        </w:tc>
        <w:tc>
          <w:tcPr>
            <w:tcW w:w="1134" w:type="pct"/>
            <w:vAlign w:val="center"/>
          </w:tcPr>
          <w:p w14:paraId="6CDDA24D"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6.9 (6.2)</w:t>
            </w:r>
            <w:r w:rsidRPr="00732F3B">
              <w:rPr>
                <w:rFonts w:ascii="Book Antiqua" w:hAnsi="Book Antiqua"/>
                <w:bCs/>
                <w:color w:val="000000" w:themeColor="text1"/>
                <w:vertAlign w:val="superscript"/>
              </w:rPr>
              <w:t>a</w:t>
            </w:r>
          </w:p>
        </w:tc>
        <w:tc>
          <w:tcPr>
            <w:tcW w:w="1132" w:type="pct"/>
            <w:vAlign w:val="center"/>
          </w:tcPr>
          <w:p w14:paraId="0DA852CC"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4.3 (3.5)</w:t>
            </w:r>
            <w:r w:rsidRPr="00732F3B">
              <w:rPr>
                <w:rFonts w:ascii="Book Antiqua" w:hAnsi="Book Antiqua"/>
                <w:bCs/>
                <w:color w:val="000000" w:themeColor="text1"/>
                <w:vertAlign w:val="superscript"/>
              </w:rPr>
              <w:t>a</w:t>
            </w:r>
          </w:p>
        </w:tc>
      </w:tr>
      <w:tr w:rsidR="00A95741" w:rsidRPr="00732F3B" w14:paraId="46EF1354" w14:textId="77777777" w:rsidTr="00BB1453">
        <w:trPr>
          <w:trHeight w:val="567"/>
        </w:trPr>
        <w:tc>
          <w:tcPr>
            <w:tcW w:w="5000" w:type="pct"/>
            <w:gridSpan w:val="4"/>
            <w:vAlign w:val="center"/>
          </w:tcPr>
          <w:p w14:paraId="0FC6567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Non-invasive tests for NAFLD and liver fibrosis</w:t>
            </w:r>
          </w:p>
        </w:tc>
      </w:tr>
      <w:tr w:rsidR="00A95741" w:rsidRPr="00732F3B" w14:paraId="16FC28A1" w14:textId="77777777" w:rsidTr="00BB1453">
        <w:trPr>
          <w:trHeight w:val="567"/>
        </w:trPr>
        <w:tc>
          <w:tcPr>
            <w:tcW w:w="1599" w:type="pct"/>
            <w:vAlign w:val="center"/>
          </w:tcPr>
          <w:p w14:paraId="5CC5550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CAP (dB/m)</w:t>
            </w:r>
          </w:p>
        </w:tc>
        <w:tc>
          <w:tcPr>
            <w:tcW w:w="1134" w:type="pct"/>
            <w:vAlign w:val="center"/>
          </w:tcPr>
          <w:p w14:paraId="195BF3BE"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266.9 (63.0)</w:t>
            </w:r>
          </w:p>
        </w:tc>
        <w:tc>
          <w:tcPr>
            <w:tcW w:w="1134" w:type="pct"/>
            <w:vAlign w:val="center"/>
          </w:tcPr>
          <w:p w14:paraId="77A27FB6"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326.9 (30.5)</w:t>
            </w:r>
          </w:p>
        </w:tc>
        <w:tc>
          <w:tcPr>
            <w:tcW w:w="1132" w:type="pct"/>
            <w:vAlign w:val="center"/>
          </w:tcPr>
          <w:p w14:paraId="300A521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227.5 (45.1)</w:t>
            </w:r>
          </w:p>
        </w:tc>
      </w:tr>
      <w:tr w:rsidR="00A95741" w:rsidRPr="00732F3B" w14:paraId="1F4F4406" w14:textId="77777777" w:rsidTr="00BB1453">
        <w:trPr>
          <w:trHeight w:val="567"/>
        </w:trPr>
        <w:tc>
          <w:tcPr>
            <w:tcW w:w="1599" w:type="pct"/>
            <w:vAlign w:val="center"/>
          </w:tcPr>
          <w:p w14:paraId="62AF6E05"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LSM (kPa)</w:t>
            </w:r>
          </w:p>
        </w:tc>
        <w:tc>
          <w:tcPr>
            <w:tcW w:w="1134" w:type="pct"/>
            <w:vAlign w:val="center"/>
          </w:tcPr>
          <w:p w14:paraId="7F1CA53B"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4.9 (1.9)</w:t>
            </w:r>
          </w:p>
        </w:tc>
        <w:tc>
          <w:tcPr>
            <w:tcW w:w="1134" w:type="pct"/>
            <w:vAlign w:val="center"/>
          </w:tcPr>
          <w:p w14:paraId="08FBCC76"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5.7 (2.2)</w:t>
            </w:r>
            <w:r w:rsidRPr="00732F3B">
              <w:rPr>
                <w:rFonts w:ascii="Book Antiqua" w:hAnsi="Book Antiqua"/>
                <w:bCs/>
                <w:color w:val="000000" w:themeColor="text1"/>
                <w:vertAlign w:val="superscript"/>
              </w:rPr>
              <w:t>b</w:t>
            </w:r>
          </w:p>
        </w:tc>
        <w:tc>
          <w:tcPr>
            <w:tcW w:w="1132" w:type="pct"/>
            <w:vAlign w:val="center"/>
          </w:tcPr>
          <w:p w14:paraId="3EDF8071"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4.4 (1.4)</w:t>
            </w:r>
            <w:r w:rsidRPr="00732F3B">
              <w:rPr>
                <w:rFonts w:ascii="Book Antiqua" w:hAnsi="Book Antiqua"/>
                <w:bCs/>
                <w:color w:val="000000" w:themeColor="text1"/>
                <w:vertAlign w:val="superscript"/>
              </w:rPr>
              <w:t>b</w:t>
            </w:r>
          </w:p>
        </w:tc>
      </w:tr>
      <w:tr w:rsidR="00A95741" w:rsidRPr="00732F3B" w14:paraId="204AE32B" w14:textId="77777777" w:rsidTr="00BB1453">
        <w:trPr>
          <w:trHeight w:val="567"/>
        </w:trPr>
        <w:tc>
          <w:tcPr>
            <w:tcW w:w="1599" w:type="pct"/>
            <w:vAlign w:val="center"/>
          </w:tcPr>
          <w:p w14:paraId="3EF14CE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APRI</w:t>
            </w:r>
          </w:p>
        </w:tc>
        <w:tc>
          <w:tcPr>
            <w:tcW w:w="1134" w:type="pct"/>
            <w:vAlign w:val="center"/>
          </w:tcPr>
          <w:p w14:paraId="4A2038F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0.18 (0.15)</w:t>
            </w:r>
          </w:p>
        </w:tc>
        <w:tc>
          <w:tcPr>
            <w:tcW w:w="1134" w:type="pct"/>
            <w:vAlign w:val="center"/>
          </w:tcPr>
          <w:p w14:paraId="51376AD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0.23 (0.21)</w:t>
            </w:r>
            <w:r w:rsidRPr="00732F3B">
              <w:rPr>
                <w:rFonts w:ascii="Book Antiqua" w:hAnsi="Book Antiqua"/>
                <w:bCs/>
                <w:color w:val="000000" w:themeColor="text1"/>
                <w:vertAlign w:val="superscript"/>
              </w:rPr>
              <w:t>a</w:t>
            </w:r>
          </w:p>
        </w:tc>
        <w:tc>
          <w:tcPr>
            <w:tcW w:w="1132" w:type="pct"/>
            <w:vAlign w:val="center"/>
          </w:tcPr>
          <w:p w14:paraId="560BDDDA"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0.15 (0.07)</w:t>
            </w:r>
            <w:r w:rsidRPr="00732F3B">
              <w:rPr>
                <w:rFonts w:ascii="Book Antiqua" w:hAnsi="Book Antiqua"/>
                <w:bCs/>
                <w:color w:val="000000" w:themeColor="text1"/>
                <w:vertAlign w:val="superscript"/>
              </w:rPr>
              <w:t>a</w:t>
            </w:r>
          </w:p>
        </w:tc>
      </w:tr>
      <w:tr w:rsidR="00A95741" w:rsidRPr="00732F3B" w14:paraId="33F56CD8" w14:textId="77777777" w:rsidTr="00BB1453">
        <w:trPr>
          <w:trHeight w:val="567"/>
        </w:trPr>
        <w:tc>
          <w:tcPr>
            <w:tcW w:w="1599" w:type="pct"/>
            <w:vAlign w:val="center"/>
          </w:tcPr>
          <w:p w14:paraId="73F99C7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FIB-4</w:t>
            </w:r>
          </w:p>
        </w:tc>
        <w:tc>
          <w:tcPr>
            <w:tcW w:w="1134" w:type="pct"/>
            <w:vAlign w:val="center"/>
          </w:tcPr>
          <w:p w14:paraId="49F49C1B"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0.6 (0.2)</w:t>
            </w:r>
          </w:p>
        </w:tc>
        <w:tc>
          <w:tcPr>
            <w:tcW w:w="1134" w:type="pct"/>
            <w:vAlign w:val="center"/>
          </w:tcPr>
          <w:p w14:paraId="4815A30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0.60 (0.3)</w:t>
            </w:r>
          </w:p>
        </w:tc>
        <w:tc>
          <w:tcPr>
            <w:tcW w:w="1132" w:type="pct"/>
            <w:vAlign w:val="center"/>
          </w:tcPr>
          <w:p w14:paraId="011C40FA"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0.6 (0.2)</w:t>
            </w:r>
          </w:p>
        </w:tc>
      </w:tr>
      <w:tr w:rsidR="00A95741" w:rsidRPr="00732F3B" w14:paraId="4C415C41" w14:textId="77777777" w:rsidTr="00BB1453">
        <w:trPr>
          <w:trHeight w:val="567"/>
        </w:trPr>
        <w:tc>
          <w:tcPr>
            <w:tcW w:w="1599" w:type="pct"/>
            <w:vAlign w:val="center"/>
          </w:tcPr>
          <w:p w14:paraId="695D72E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NAFLD Fibrosis Score</w:t>
            </w:r>
          </w:p>
        </w:tc>
        <w:tc>
          <w:tcPr>
            <w:tcW w:w="1134" w:type="pct"/>
            <w:vAlign w:val="center"/>
          </w:tcPr>
          <w:p w14:paraId="410D3A54"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-2.9 (1.2)</w:t>
            </w:r>
          </w:p>
        </w:tc>
        <w:tc>
          <w:tcPr>
            <w:tcW w:w="1134" w:type="pct"/>
            <w:vAlign w:val="center"/>
          </w:tcPr>
          <w:p w14:paraId="3383922A"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-2.5 (1.3)</w:t>
            </w:r>
            <w:r w:rsidRPr="00732F3B">
              <w:rPr>
                <w:rFonts w:ascii="Book Antiqua" w:hAnsi="Book Antiqua"/>
                <w:bCs/>
                <w:color w:val="000000" w:themeColor="text1"/>
                <w:vertAlign w:val="superscript"/>
              </w:rPr>
              <w:t>a</w:t>
            </w:r>
          </w:p>
        </w:tc>
        <w:tc>
          <w:tcPr>
            <w:tcW w:w="1132" w:type="pct"/>
            <w:vAlign w:val="center"/>
          </w:tcPr>
          <w:p w14:paraId="598B3371"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-3.1 (1.1)</w:t>
            </w:r>
            <w:r w:rsidRPr="00732F3B">
              <w:rPr>
                <w:rFonts w:ascii="Book Antiqua" w:hAnsi="Book Antiqua"/>
                <w:bCs/>
                <w:color w:val="000000" w:themeColor="text1"/>
                <w:vertAlign w:val="superscript"/>
              </w:rPr>
              <w:t>a</w:t>
            </w:r>
          </w:p>
        </w:tc>
      </w:tr>
      <w:tr w:rsidR="00A95741" w:rsidRPr="00732F3B" w14:paraId="4AD1F2F2" w14:textId="77777777" w:rsidTr="00BB1453">
        <w:trPr>
          <w:trHeight w:val="567"/>
        </w:trPr>
        <w:tc>
          <w:tcPr>
            <w:tcW w:w="1599" w:type="pct"/>
            <w:vAlign w:val="center"/>
          </w:tcPr>
          <w:p w14:paraId="027CFA2A"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HSI</w:t>
            </w:r>
          </w:p>
        </w:tc>
        <w:tc>
          <w:tcPr>
            <w:tcW w:w="1134" w:type="pct"/>
            <w:vAlign w:val="center"/>
          </w:tcPr>
          <w:p w14:paraId="0F95DADA"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38.3 (5.7)</w:t>
            </w:r>
          </w:p>
        </w:tc>
        <w:tc>
          <w:tcPr>
            <w:tcW w:w="1134" w:type="pct"/>
            <w:vAlign w:val="center"/>
          </w:tcPr>
          <w:p w14:paraId="02F99C84"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40.8 (6.7)</w:t>
            </w:r>
            <w:r w:rsidRPr="00732F3B">
              <w:rPr>
                <w:rFonts w:ascii="Book Antiqua" w:hAnsi="Book Antiqua"/>
                <w:bCs/>
                <w:color w:val="000000" w:themeColor="text1"/>
                <w:vertAlign w:val="superscript"/>
              </w:rPr>
              <w:t>b</w:t>
            </w:r>
          </w:p>
        </w:tc>
        <w:tc>
          <w:tcPr>
            <w:tcW w:w="1132" w:type="pct"/>
            <w:vAlign w:val="center"/>
          </w:tcPr>
          <w:p w14:paraId="3CF62ABA"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36.6 (4.2)</w:t>
            </w:r>
            <w:r w:rsidRPr="00732F3B">
              <w:rPr>
                <w:rFonts w:ascii="Book Antiqua" w:hAnsi="Book Antiqua"/>
                <w:bCs/>
                <w:color w:val="000000" w:themeColor="text1"/>
                <w:vertAlign w:val="superscript"/>
              </w:rPr>
              <w:t>b</w:t>
            </w:r>
          </w:p>
        </w:tc>
      </w:tr>
    </w:tbl>
    <w:p w14:paraId="6C371D8D" w14:textId="77777777" w:rsidR="006F3770" w:rsidRDefault="00A95741" w:rsidP="00732F3B">
      <w:pPr>
        <w:pStyle w:val="p1"/>
        <w:adjustRightInd w:val="0"/>
        <w:snapToGrid w:val="0"/>
        <w:spacing w:line="360" w:lineRule="auto"/>
        <w:jc w:val="both"/>
        <w:rPr>
          <w:rFonts w:ascii="Book Antiqua" w:eastAsiaTheme="minorEastAsia" w:hAnsi="Book Antiqua"/>
          <w:color w:val="000000" w:themeColor="text1"/>
          <w:sz w:val="24"/>
          <w:szCs w:val="24"/>
          <w:lang w:val="en-US" w:eastAsia="zh-CN"/>
        </w:rPr>
      </w:pPr>
      <w:r w:rsidRPr="00732F3B">
        <w:rPr>
          <w:rFonts w:ascii="Book Antiqua" w:hAnsi="Book Antiqua"/>
          <w:color w:val="000000" w:themeColor="text1"/>
          <w:sz w:val="24"/>
          <w:szCs w:val="24"/>
          <w:lang w:val="en-US" w:eastAsia="en-US"/>
        </w:rPr>
        <w:t xml:space="preserve">Continuous variables are expressed as mean (standard deviation) and categorical variables as numbers (%). </w:t>
      </w:r>
    </w:p>
    <w:p w14:paraId="3675A9A8" w14:textId="77777777" w:rsidR="006F3770" w:rsidRDefault="00A95741" w:rsidP="00732F3B">
      <w:pPr>
        <w:pStyle w:val="p1"/>
        <w:adjustRightInd w:val="0"/>
        <w:snapToGrid w:val="0"/>
        <w:spacing w:line="360" w:lineRule="auto"/>
        <w:jc w:val="both"/>
        <w:rPr>
          <w:rFonts w:ascii="Book Antiqua" w:eastAsiaTheme="minorEastAsia" w:hAnsi="Book Antiqua"/>
          <w:color w:val="000000" w:themeColor="text1"/>
          <w:sz w:val="24"/>
          <w:szCs w:val="24"/>
          <w:lang w:val="en-US" w:eastAsia="zh-CN"/>
        </w:rPr>
      </w:pPr>
      <w:r w:rsidRPr="00732F3B">
        <w:rPr>
          <w:rFonts w:ascii="Book Antiqua" w:hAnsi="Book Antiqua"/>
          <w:color w:val="000000" w:themeColor="text1"/>
          <w:sz w:val="24"/>
          <w:szCs w:val="24"/>
          <w:vertAlign w:val="superscript"/>
          <w:lang w:val="en-US" w:eastAsia="en-US"/>
        </w:rPr>
        <w:t>a</w:t>
      </w:r>
      <w:r w:rsidRPr="00732F3B">
        <w:rPr>
          <w:rFonts w:ascii="Book Antiqua" w:hAnsi="Book Antiqua"/>
          <w:bCs/>
          <w:i/>
          <w:iCs/>
          <w:color w:val="000000" w:themeColor="text1"/>
          <w:sz w:val="24"/>
          <w:szCs w:val="24"/>
          <w:lang w:val="en-US" w:eastAsia="en-US"/>
        </w:rPr>
        <w:t>P</w:t>
      </w:r>
      <w:r w:rsidRPr="00732F3B">
        <w:rPr>
          <w:rFonts w:ascii="Book Antiqua" w:hAnsi="Book Antiqua"/>
          <w:b/>
          <w:bCs/>
          <w:color w:val="000000" w:themeColor="text1"/>
          <w:sz w:val="24"/>
          <w:szCs w:val="24"/>
          <w:lang w:val="en-US" w:eastAsia="en-US"/>
        </w:rPr>
        <w:t xml:space="preserve"> &lt; </w:t>
      </w:r>
      <w:r w:rsidRPr="00732F3B">
        <w:rPr>
          <w:rFonts w:ascii="Book Antiqua" w:hAnsi="Book Antiqua"/>
          <w:color w:val="000000" w:themeColor="text1"/>
          <w:sz w:val="24"/>
          <w:szCs w:val="24"/>
          <w:lang w:val="en-US" w:eastAsia="en-US"/>
        </w:rPr>
        <w:t>0.05</w:t>
      </w:r>
      <w:r w:rsidR="006F3770">
        <w:rPr>
          <w:rFonts w:ascii="Book Antiqua" w:eastAsiaTheme="minorEastAsia" w:hAnsi="Book Antiqua" w:hint="eastAsia"/>
          <w:color w:val="000000" w:themeColor="text1"/>
          <w:sz w:val="24"/>
          <w:szCs w:val="24"/>
          <w:lang w:val="en-US" w:eastAsia="zh-CN"/>
        </w:rPr>
        <w:t>.</w:t>
      </w:r>
      <w:r w:rsidRPr="00732F3B">
        <w:rPr>
          <w:rFonts w:ascii="Book Antiqua" w:hAnsi="Book Antiqua"/>
          <w:color w:val="000000" w:themeColor="text1"/>
          <w:sz w:val="24"/>
          <w:szCs w:val="24"/>
          <w:lang w:val="en-US" w:eastAsia="en-US"/>
        </w:rPr>
        <w:t xml:space="preserve"> </w:t>
      </w:r>
    </w:p>
    <w:p w14:paraId="53E97D1B" w14:textId="77777777" w:rsidR="006F3770" w:rsidRDefault="00A95741" w:rsidP="00732F3B">
      <w:pPr>
        <w:pStyle w:val="p1"/>
        <w:adjustRightInd w:val="0"/>
        <w:snapToGrid w:val="0"/>
        <w:spacing w:line="360" w:lineRule="auto"/>
        <w:jc w:val="both"/>
        <w:rPr>
          <w:rFonts w:ascii="Book Antiqua" w:eastAsiaTheme="minorEastAsia" w:hAnsi="Book Antiqua"/>
          <w:color w:val="000000" w:themeColor="text1"/>
          <w:sz w:val="24"/>
          <w:szCs w:val="24"/>
          <w:lang w:val="en-US" w:eastAsia="zh-CN"/>
        </w:rPr>
      </w:pPr>
      <w:r w:rsidRPr="00732F3B">
        <w:rPr>
          <w:rFonts w:ascii="Book Antiqua" w:hAnsi="Book Antiqua"/>
          <w:color w:val="000000" w:themeColor="text1"/>
          <w:sz w:val="24"/>
          <w:szCs w:val="24"/>
          <w:vertAlign w:val="superscript"/>
          <w:lang w:val="en-US" w:eastAsia="en-US"/>
        </w:rPr>
        <w:t>b</w:t>
      </w:r>
      <w:r w:rsidRPr="00732F3B">
        <w:rPr>
          <w:rFonts w:ascii="Book Antiqua" w:hAnsi="Book Antiqua"/>
          <w:bCs/>
          <w:i/>
          <w:iCs/>
          <w:color w:val="000000" w:themeColor="text1"/>
          <w:sz w:val="24"/>
          <w:szCs w:val="24"/>
          <w:lang w:val="en-US" w:eastAsia="en-US"/>
        </w:rPr>
        <w:t>P</w:t>
      </w:r>
      <w:r w:rsidRPr="00732F3B">
        <w:rPr>
          <w:rFonts w:ascii="Book Antiqua" w:hAnsi="Book Antiqua"/>
          <w:bCs/>
          <w:color w:val="000000" w:themeColor="text1"/>
          <w:sz w:val="24"/>
          <w:szCs w:val="24"/>
          <w:lang w:val="en-US" w:eastAsia="en-US"/>
        </w:rPr>
        <w:t xml:space="preserve"> </w:t>
      </w:r>
      <w:r w:rsidRPr="00732F3B">
        <w:rPr>
          <w:rFonts w:ascii="Book Antiqua" w:hAnsi="Book Antiqua"/>
          <w:b/>
          <w:bCs/>
          <w:color w:val="000000" w:themeColor="text1"/>
          <w:sz w:val="24"/>
          <w:szCs w:val="24"/>
          <w:lang w:val="en-US" w:eastAsia="en-US"/>
        </w:rPr>
        <w:t xml:space="preserve">&lt; </w:t>
      </w:r>
      <w:r w:rsidRPr="00732F3B">
        <w:rPr>
          <w:rFonts w:ascii="Book Antiqua" w:hAnsi="Book Antiqua"/>
          <w:color w:val="000000" w:themeColor="text1"/>
          <w:sz w:val="24"/>
          <w:szCs w:val="24"/>
          <w:lang w:val="en-US" w:eastAsia="en-US"/>
        </w:rPr>
        <w:t xml:space="preserve">0.001. </w:t>
      </w:r>
    </w:p>
    <w:p w14:paraId="120431F8" w14:textId="61B7AD8A" w:rsidR="00A95741" w:rsidRPr="00732F3B" w:rsidRDefault="00A95741" w:rsidP="00732F3B">
      <w:pPr>
        <w:pStyle w:val="p1"/>
        <w:adjustRightInd w:val="0"/>
        <w:snapToGrid w:val="0"/>
        <w:spacing w:line="360" w:lineRule="auto"/>
        <w:jc w:val="both"/>
        <w:rPr>
          <w:rFonts w:ascii="Book Antiqua" w:hAnsi="Book Antiqua"/>
          <w:color w:val="000000" w:themeColor="text1"/>
          <w:sz w:val="24"/>
          <w:szCs w:val="24"/>
          <w:lang w:val="en-US" w:eastAsia="en-US"/>
        </w:rPr>
      </w:pPr>
      <w:r w:rsidRPr="00732F3B">
        <w:rPr>
          <w:rFonts w:ascii="Book Antiqua" w:hAnsi="Book Antiqua"/>
          <w:color w:val="000000" w:themeColor="text1"/>
          <w:sz w:val="24"/>
          <w:szCs w:val="24"/>
          <w:lang w:val="en-US" w:eastAsia="en-US"/>
        </w:rPr>
        <w:t xml:space="preserve">The </w:t>
      </w:r>
      <w:r w:rsidRPr="00732F3B">
        <w:rPr>
          <w:rFonts w:ascii="Book Antiqua" w:hAnsi="Book Antiqua"/>
          <w:bCs/>
          <w:i/>
          <w:iCs/>
          <w:color w:val="000000" w:themeColor="text1"/>
          <w:sz w:val="24"/>
          <w:szCs w:val="24"/>
          <w:lang w:val="en-US" w:eastAsia="en-US"/>
        </w:rPr>
        <w:t>P</w:t>
      </w:r>
      <w:r w:rsidR="00FC297D" w:rsidRPr="00732F3B">
        <w:rPr>
          <w:rFonts w:ascii="Book Antiqua" w:hAnsi="Book Antiqua"/>
          <w:color w:val="000000" w:themeColor="text1"/>
          <w:sz w:val="24"/>
          <w:szCs w:val="24"/>
          <w:lang w:val="en-US" w:eastAsia="en-US"/>
        </w:rPr>
        <w:t xml:space="preserve"> </w:t>
      </w:r>
      <w:r w:rsidRPr="00732F3B">
        <w:rPr>
          <w:rFonts w:ascii="Book Antiqua" w:hAnsi="Book Antiqua"/>
          <w:color w:val="000000" w:themeColor="text1"/>
          <w:sz w:val="24"/>
          <w:szCs w:val="24"/>
          <w:lang w:val="en-US" w:eastAsia="en-US"/>
        </w:rPr>
        <w:t xml:space="preserve">values refer to </w:t>
      </w:r>
      <w:r w:rsidRPr="00732F3B">
        <w:rPr>
          <w:rFonts w:ascii="Book Antiqua" w:hAnsi="Book Antiqua"/>
          <w:i/>
          <w:color w:val="000000" w:themeColor="text1"/>
          <w:sz w:val="24"/>
          <w:szCs w:val="24"/>
          <w:lang w:val="en-US" w:eastAsia="en-US"/>
        </w:rPr>
        <w:t>t</w:t>
      </w:r>
      <w:r w:rsidRPr="00732F3B">
        <w:rPr>
          <w:rFonts w:ascii="Book Antiqua" w:hAnsi="Book Antiqua"/>
          <w:color w:val="000000" w:themeColor="text1"/>
          <w:sz w:val="24"/>
          <w:szCs w:val="24"/>
          <w:lang w:val="en-US" w:eastAsia="en-US"/>
        </w:rPr>
        <w:t xml:space="preserve"> test or</w:t>
      </w:r>
      <w:r w:rsidR="006F3770" w:rsidRPr="006F3770">
        <w:rPr>
          <w:rFonts w:ascii="Book Antiqua" w:hAnsi="Book Antiqua" w:hint="eastAsia"/>
          <w:i/>
          <w:color w:val="000000" w:themeColor="text1"/>
          <w:sz w:val="24"/>
          <w:szCs w:val="24"/>
          <w:lang w:val="en-US" w:eastAsia="en-US"/>
        </w:rPr>
        <w:t>χ</w:t>
      </w:r>
      <w:r w:rsidRPr="00732F3B">
        <w:rPr>
          <w:rFonts w:ascii="Book Antiqua" w:hAnsi="Book Antiqua"/>
          <w:color w:val="000000" w:themeColor="text1"/>
          <w:sz w:val="24"/>
          <w:szCs w:val="24"/>
          <w:vertAlign w:val="superscript"/>
          <w:lang w:val="en-US" w:eastAsia="en-US"/>
        </w:rPr>
        <w:t>2</w:t>
      </w:r>
      <w:r w:rsidRPr="00732F3B">
        <w:rPr>
          <w:rFonts w:ascii="Book Antiqua" w:hAnsi="Book Antiqua"/>
          <w:color w:val="000000" w:themeColor="text1"/>
          <w:sz w:val="24"/>
          <w:szCs w:val="24"/>
          <w:lang w:val="en-US" w:eastAsia="en-US"/>
        </w:rPr>
        <w:t xml:space="preserve"> test between patients with the outcome (</w:t>
      </w:r>
      <w:r w:rsidR="000760A6" w:rsidRPr="00732F3B">
        <w:rPr>
          <w:rFonts w:ascii="Book Antiqua" w:hAnsi="Book Antiqua"/>
          <w:color w:val="000000" w:themeColor="text1"/>
          <w:sz w:val="24"/>
          <w:szCs w:val="24"/>
        </w:rPr>
        <w:t>nonalcoholic fatty liver disease</w:t>
      </w:r>
      <w:r w:rsidRPr="00732F3B">
        <w:rPr>
          <w:rFonts w:ascii="Book Antiqua" w:hAnsi="Book Antiqua"/>
          <w:color w:val="000000" w:themeColor="text1"/>
          <w:sz w:val="24"/>
          <w:szCs w:val="24"/>
          <w:lang w:val="en-US" w:eastAsia="en-US"/>
        </w:rPr>
        <w:t xml:space="preserve"> or significant liver fibrosis) and those without the outcome. </w:t>
      </w:r>
      <w:r w:rsidRPr="00732F3B">
        <w:rPr>
          <w:rFonts w:ascii="Book Antiqua" w:hAnsi="Book Antiqua"/>
          <w:color w:val="000000" w:themeColor="text1"/>
          <w:sz w:val="24"/>
          <w:szCs w:val="24"/>
        </w:rPr>
        <w:t>ALT: Alanine aminotransferase; APRI: Aspartate aminotransferase-to-platelet ratio index; ASCVD: Atherosclerotic cardiovascular disease; AST: Aspartate aminotransferase; BMI: Body mass index; dB/m: Decibels per meter; CAP: Controlled association parameter; CRP: C-reactive protein; FAI: Free androgen index; FIB-4: Fibrosis-4 score;</w:t>
      </w:r>
      <w:r w:rsidRPr="00732F3B">
        <w:rPr>
          <w:rFonts w:ascii="Book Antiqua" w:hAnsi="Book Antiqua"/>
          <w:b/>
          <w:bCs/>
          <w:color w:val="000000" w:themeColor="text1"/>
          <w:sz w:val="24"/>
          <w:szCs w:val="24"/>
        </w:rPr>
        <w:t xml:space="preserve"> </w:t>
      </w:r>
      <w:r w:rsidRPr="00732F3B">
        <w:rPr>
          <w:rFonts w:ascii="Book Antiqua" w:hAnsi="Book Antiqua"/>
          <w:color w:val="000000" w:themeColor="text1"/>
          <w:sz w:val="24"/>
          <w:szCs w:val="24"/>
        </w:rPr>
        <w:t xml:space="preserve">GGT: Gamma-glutamyl transpeptidase; HbA1c: </w:t>
      </w:r>
      <w:r w:rsidR="009B19CB" w:rsidRPr="00732F3B">
        <w:rPr>
          <w:rFonts w:ascii="Book Antiqua" w:hAnsi="Book Antiqua"/>
          <w:color w:val="000000" w:themeColor="text1"/>
          <w:sz w:val="24"/>
          <w:szCs w:val="24"/>
        </w:rPr>
        <w:t>G</w:t>
      </w:r>
      <w:r w:rsidRPr="00732F3B">
        <w:rPr>
          <w:rFonts w:ascii="Book Antiqua" w:hAnsi="Book Antiqua"/>
          <w:color w:val="000000" w:themeColor="text1"/>
          <w:sz w:val="24"/>
          <w:szCs w:val="24"/>
        </w:rPr>
        <w:t>lycosylated</w:t>
      </w:r>
      <w:r w:rsidR="009B19CB" w:rsidRPr="00732F3B">
        <w:rPr>
          <w:rFonts w:ascii="Book Antiqua" w:hAnsi="Book Antiqua"/>
          <w:color w:val="000000" w:themeColor="text1"/>
          <w:sz w:val="24"/>
          <w:szCs w:val="24"/>
        </w:rPr>
        <w:t xml:space="preserve"> hemoglobin</w:t>
      </w:r>
      <w:r w:rsidRPr="00732F3B">
        <w:rPr>
          <w:rFonts w:ascii="Book Antiqua" w:hAnsi="Book Antiqua"/>
          <w:color w:val="000000" w:themeColor="text1"/>
          <w:sz w:val="24"/>
          <w:szCs w:val="24"/>
        </w:rPr>
        <w:t xml:space="preserve">; HDL: High-density lipoprotein; HOMA-IR: Homeostasis model for assessment of insulin resistance; HSI: Hepatic steatosis index; IU: International unit; LDL: Low-density lipoprotein; LSM: Liver stiffness measurement; NAFLD: </w:t>
      </w:r>
      <w:bookmarkStart w:id="51" w:name="_Hlk55243562"/>
      <w:r w:rsidRPr="00732F3B">
        <w:rPr>
          <w:rFonts w:ascii="Book Antiqua" w:hAnsi="Book Antiqua"/>
          <w:color w:val="000000" w:themeColor="text1"/>
          <w:sz w:val="24"/>
          <w:szCs w:val="24"/>
        </w:rPr>
        <w:t>Nonalcoholic fatty liver disease</w:t>
      </w:r>
      <w:bookmarkEnd w:id="51"/>
      <w:r w:rsidRPr="00732F3B">
        <w:rPr>
          <w:rFonts w:ascii="Book Antiqua" w:hAnsi="Book Antiqua"/>
          <w:color w:val="000000" w:themeColor="text1"/>
          <w:sz w:val="24"/>
          <w:szCs w:val="24"/>
        </w:rPr>
        <w:t>; TSH: Thyroid-stimulating hormone.</w:t>
      </w:r>
    </w:p>
    <w:p w14:paraId="3311CBD8" w14:textId="2D86CFFB" w:rsidR="00A95741" w:rsidRPr="00732F3B" w:rsidRDefault="00A95741" w:rsidP="00732F3B">
      <w:pPr>
        <w:adjustRightInd w:val="0"/>
        <w:snapToGrid w:val="0"/>
        <w:spacing w:line="360" w:lineRule="auto"/>
        <w:jc w:val="both"/>
        <w:rPr>
          <w:rFonts w:ascii="Book Antiqua" w:hAnsi="Book Antiqua"/>
          <w:b/>
          <w:color w:val="000000" w:themeColor="text1"/>
        </w:rPr>
      </w:pPr>
      <w:r w:rsidRPr="00732F3B">
        <w:rPr>
          <w:rFonts w:ascii="Book Antiqua" w:hAnsi="Book Antiqua"/>
          <w:b/>
          <w:color w:val="000000" w:themeColor="text1"/>
        </w:rPr>
        <w:br w:type="page"/>
        <w:t>Table 2 Demographic, clinical, biochemical and pharmacological characteristics of patients with significant liver fibrosis (</w:t>
      </w:r>
      <w:r w:rsidRPr="00732F3B">
        <w:rPr>
          <w:rFonts w:ascii="Book Antiqua" w:hAnsi="Book Antiqua"/>
          <w:b/>
          <w:i/>
          <w:iCs/>
          <w:color w:val="000000" w:themeColor="text1"/>
        </w:rPr>
        <w:t xml:space="preserve">n </w:t>
      </w:r>
      <w:r w:rsidRPr="00732F3B">
        <w:rPr>
          <w:rFonts w:ascii="Book Antiqua" w:hAnsi="Book Antiqua"/>
          <w:b/>
          <w:color w:val="000000" w:themeColor="text1"/>
        </w:rPr>
        <w:t>= 7)</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1179"/>
        <w:gridCol w:w="1136"/>
        <w:gridCol w:w="1061"/>
        <w:gridCol w:w="928"/>
        <w:gridCol w:w="1670"/>
        <w:gridCol w:w="753"/>
        <w:gridCol w:w="967"/>
      </w:tblGrid>
      <w:tr w:rsidR="00A95741" w:rsidRPr="00732F3B" w14:paraId="62A8B4A9" w14:textId="77777777" w:rsidTr="005C0497">
        <w:tc>
          <w:tcPr>
            <w:tcW w:w="946" w:type="dxa"/>
            <w:tcBorders>
              <w:top w:val="single" w:sz="4" w:space="0" w:color="auto"/>
              <w:bottom w:val="single" w:sz="4" w:space="0" w:color="auto"/>
            </w:tcBorders>
          </w:tcPr>
          <w:p w14:paraId="4CC5F8F5" w14:textId="77777777" w:rsidR="00A95741" w:rsidRPr="00732F3B" w:rsidRDefault="00A95741" w:rsidP="00732F3B">
            <w:pPr>
              <w:adjustRightInd w:val="0"/>
              <w:snapToGrid w:val="0"/>
              <w:spacing w:line="360" w:lineRule="auto"/>
              <w:jc w:val="both"/>
              <w:rPr>
                <w:rFonts w:ascii="Book Antiqua" w:hAnsi="Book Antiqua"/>
                <w:b/>
                <w:bCs/>
                <w:color w:val="000000" w:themeColor="text1"/>
              </w:rPr>
            </w:pPr>
          </w:p>
        </w:tc>
        <w:tc>
          <w:tcPr>
            <w:tcW w:w="1179" w:type="dxa"/>
            <w:tcBorders>
              <w:top w:val="single" w:sz="4" w:space="0" w:color="auto"/>
              <w:bottom w:val="single" w:sz="4" w:space="0" w:color="auto"/>
            </w:tcBorders>
          </w:tcPr>
          <w:p w14:paraId="61ECA086" w14:textId="77777777" w:rsidR="00A95741" w:rsidRPr="00732F3B" w:rsidRDefault="00A95741" w:rsidP="00732F3B">
            <w:pPr>
              <w:adjustRightInd w:val="0"/>
              <w:snapToGrid w:val="0"/>
              <w:spacing w:line="360" w:lineRule="auto"/>
              <w:jc w:val="both"/>
              <w:rPr>
                <w:rFonts w:ascii="Book Antiqua" w:hAnsi="Book Antiqua"/>
                <w:b/>
                <w:bCs/>
                <w:color w:val="000000" w:themeColor="text1"/>
              </w:rPr>
            </w:pPr>
            <w:r w:rsidRPr="00732F3B">
              <w:rPr>
                <w:rFonts w:ascii="Book Antiqua" w:hAnsi="Book Antiqua"/>
                <w:b/>
                <w:bCs/>
                <w:color w:val="000000" w:themeColor="text1"/>
              </w:rPr>
              <w:t>PCOS duration (yr)</w:t>
            </w:r>
          </w:p>
        </w:tc>
        <w:tc>
          <w:tcPr>
            <w:tcW w:w="1136" w:type="dxa"/>
            <w:tcBorders>
              <w:top w:val="single" w:sz="4" w:space="0" w:color="auto"/>
              <w:bottom w:val="single" w:sz="4" w:space="0" w:color="auto"/>
            </w:tcBorders>
          </w:tcPr>
          <w:p w14:paraId="4DD7267F" w14:textId="77777777" w:rsidR="00A95741" w:rsidRPr="00732F3B" w:rsidRDefault="00A95741" w:rsidP="00732F3B">
            <w:pPr>
              <w:adjustRightInd w:val="0"/>
              <w:snapToGrid w:val="0"/>
              <w:spacing w:line="360" w:lineRule="auto"/>
              <w:jc w:val="both"/>
              <w:rPr>
                <w:rFonts w:ascii="Book Antiqua" w:hAnsi="Book Antiqua"/>
                <w:b/>
                <w:bCs/>
                <w:color w:val="000000" w:themeColor="text1"/>
              </w:rPr>
            </w:pPr>
            <w:r w:rsidRPr="00732F3B">
              <w:rPr>
                <w:rFonts w:ascii="Book Antiqua" w:hAnsi="Book Antiqua"/>
                <w:b/>
                <w:bCs/>
                <w:color w:val="000000" w:themeColor="text1"/>
              </w:rPr>
              <w:t>HOMA-IR</w:t>
            </w:r>
          </w:p>
        </w:tc>
        <w:tc>
          <w:tcPr>
            <w:tcW w:w="1061" w:type="dxa"/>
            <w:tcBorders>
              <w:top w:val="single" w:sz="4" w:space="0" w:color="auto"/>
              <w:bottom w:val="single" w:sz="4" w:space="0" w:color="auto"/>
            </w:tcBorders>
          </w:tcPr>
          <w:p w14:paraId="51ECAC9A" w14:textId="77777777" w:rsidR="00A95741" w:rsidRPr="00732F3B" w:rsidRDefault="00A95741" w:rsidP="00732F3B">
            <w:pPr>
              <w:adjustRightInd w:val="0"/>
              <w:snapToGrid w:val="0"/>
              <w:spacing w:line="360" w:lineRule="auto"/>
              <w:jc w:val="both"/>
              <w:rPr>
                <w:rFonts w:ascii="Book Antiqua" w:hAnsi="Book Antiqua"/>
                <w:b/>
                <w:bCs/>
                <w:color w:val="000000" w:themeColor="text1"/>
              </w:rPr>
            </w:pPr>
            <w:r w:rsidRPr="00732F3B">
              <w:rPr>
                <w:rFonts w:ascii="Book Antiqua" w:hAnsi="Book Antiqua"/>
                <w:b/>
                <w:bCs/>
                <w:color w:val="000000" w:themeColor="text1"/>
              </w:rPr>
              <w:t>BMI (Kg/m</w:t>
            </w:r>
            <w:r w:rsidRPr="00732F3B">
              <w:rPr>
                <w:rFonts w:ascii="Book Antiqua" w:hAnsi="Book Antiqua"/>
                <w:b/>
                <w:bCs/>
                <w:color w:val="000000" w:themeColor="text1"/>
                <w:vertAlign w:val="superscript"/>
              </w:rPr>
              <w:t>2</w:t>
            </w:r>
            <w:r w:rsidRPr="00732F3B">
              <w:rPr>
                <w:rFonts w:ascii="Book Antiqua" w:hAnsi="Book Antiqua"/>
                <w:b/>
                <w:bCs/>
                <w:color w:val="000000" w:themeColor="text1"/>
              </w:rPr>
              <w:t>)</w:t>
            </w:r>
          </w:p>
        </w:tc>
        <w:tc>
          <w:tcPr>
            <w:tcW w:w="928" w:type="dxa"/>
            <w:tcBorders>
              <w:top w:val="single" w:sz="4" w:space="0" w:color="auto"/>
              <w:bottom w:val="single" w:sz="4" w:space="0" w:color="auto"/>
            </w:tcBorders>
          </w:tcPr>
          <w:p w14:paraId="7FA6814F" w14:textId="77777777" w:rsidR="00A95741" w:rsidRPr="00732F3B" w:rsidRDefault="00A95741" w:rsidP="00732F3B">
            <w:pPr>
              <w:adjustRightInd w:val="0"/>
              <w:snapToGrid w:val="0"/>
              <w:spacing w:line="360" w:lineRule="auto"/>
              <w:jc w:val="both"/>
              <w:rPr>
                <w:rFonts w:ascii="Book Antiqua" w:hAnsi="Book Antiqua"/>
                <w:b/>
                <w:bCs/>
                <w:color w:val="000000" w:themeColor="text1"/>
              </w:rPr>
            </w:pPr>
            <w:r w:rsidRPr="00732F3B">
              <w:rPr>
                <w:rFonts w:ascii="Book Antiqua" w:hAnsi="Book Antiqua"/>
                <w:b/>
                <w:bCs/>
                <w:color w:val="000000" w:themeColor="text1"/>
              </w:rPr>
              <w:t>ALT (IU/L)</w:t>
            </w:r>
          </w:p>
        </w:tc>
        <w:tc>
          <w:tcPr>
            <w:tcW w:w="1670" w:type="dxa"/>
            <w:tcBorders>
              <w:top w:val="single" w:sz="4" w:space="0" w:color="auto"/>
              <w:bottom w:val="single" w:sz="4" w:space="0" w:color="auto"/>
            </w:tcBorders>
          </w:tcPr>
          <w:p w14:paraId="31BBAD16" w14:textId="77777777" w:rsidR="00A95741" w:rsidRPr="00732F3B" w:rsidRDefault="00A95741" w:rsidP="00732F3B">
            <w:pPr>
              <w:adjustRightInd w:val="0"/>
              <w:snapToGrid w:val="0"/>
              <w:spacing w:line="360" w:lineRule="auto"/>
              <w:jc w:val="both"/>
              <w:rPr>
                <w:rFonts w:ascii="Book Antiqua" w:hAnsi="Book Antiqua"/>
                <w:b/>
                <w:bCs/>
                <w:color w:val="000000" w:themeColor="text1"/>
              </w:rPr>
            </w:pPr>
            <w:r w:rsidRPr="00732F3B">
              <w:rPr>
                <w:rFonts w:ascii="Book Antiqua" w:hAnsi="Book Antiqua"/>
                <w:b/>
                <w:bCs/>
                <w:color w:val="000000" w:themeColor="text1"/>
              </w:rPr>
              <w:t>Triglycerides (mmol/L)</w:t>
            </w:r>
          </w:p>
        </w:tc>
        <w:tc>
          <w:tcPr>
            <w:tcW w:w="753" w:type="dxa"/>
            <w:tcBorders>
              <w:top w:val="single" w:sz="4" w:space="0" w:color="auto"/>
              <w:bottom w:val="single" w:sz="4" w:space="0" w:color="auto"/>
            </w:tcBorders>
          </w:tcPr>
          <w:p w14:paraId="07EBE25D" w14:textId="0FA3B881" w:rsidR="008238FB" w:rsidRPr="00732F3B" w:rsidRDefault="00A95741" w:rsidP="00732F3B">
            <w:pPr>
              <w:adjustRightInd w:val="0"/>
              <w:snapToGrid w:val="0"/>
              <w:spacing w:line="360" w:lineRule="auto"/>
              <w:jc w:val="both"/>
              <w:rPr>
                <w:rFonts w:ascii="Book Antiqua" w:hAnsi="Book Antiqua"/>
                <w:b/>
                <w:bCs/>
                <w:color w:val="000000" w:themeColor="text1"/>
              </w:rPr>
            </w:pPr>
            <w:r w:rsidRPr="00732F3B">
              <w:rPr>
                <w:rFonts w:ascii="Book Antiqua" w:hAnsi="Book Antiqua"/>
                <w:b/>
                <w:bCs/>
                <w:color w:val="000000" w:themeColor="text1"/>
              </w:rPr>
              <w:t>FAI</w:t>
            </w:r>
          </w:p>
        </w:tc>
        <w:tc>
          <w:tcPr>
            <w:tcW w:w="967" w:type="dxa"/>
            <w:tcBorders>
              <w:top w:val="single" w:sz="4" w:space="0" w:color="auto"/>
              <w:bottom w:val="single" w:sz="4" w:space="0" w:color="auto"/>
            </w:tcBorders>
          </w:tcPr>
          <w:p w14:paraId="7F57B431" w14:textId="77777777" w:rsidR="00A95741" w:rsidRPr="00732F3B" w:rsidRDefault="00A95741" w:rsidP="00732F3B">
            <w:pPr>
              <w:adjustRightInd w:val="0"/>
              <w:snapToGrid w:val="0"/>
              <w:spacing w:line="360" w:lineRule="auto"/>
              <w:jc w:val="both"/>
              <w:rPr>
                <w:rFonts w:ascii="Book Antiqua" w:hAnsi="Book Antiqua"/>
                <w:b/>
                <w:bCs/>
                <w:color w:val="000000" w:themeColor="text1"/>
              </w:rPr>
            </w:pPr>
            <w:r w:rsidRPr="00732F3B">
              <w:rPr>
                <w:rFonts w:ascii="Book Antiqua" w:hAnsi="Book Antiqua"/>
                <w:b/>
                <w:bCs/>
                <w:color w:val="000000" w:themeColor="text1"/>
              </w:rPr>
              <w:t>CAP (dB/m)</w:t>
            </w:r>
          </w:p>
        </w:tc>
      </w:tr>
      <w:tr w:rsidR="00A95741" w:rsidRPr="00732F3B" w14:paraId="6CD5E51D" w14:textId="77777777" w:rsidTr="005C0497">
        <w:tc>
          <w:tcPr>
            <w:tcW w:w="946" w:type="dxa"/>
            <w:tcBorders>
              <w:top w:val="single" w:sz="4" w:space="0" w:color="auto"/>
            </w:tcBorders>
          </w:tcPr>
          <w:p w14:paraId="7D2790C8"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Patient 1</w:t>
            </w:r>
          </w:p>
        </w:tc>
        <w:tc>
          <w:tcPr>
            <w:tcW w:w="1179" w:type="dxa"/>
            <w:tcBorders>
              <w:top w:val="single" w:sz="4" w:space="0" w:color="auto"/>
            </w:tcBorders>
          </w:tcPr>
          <w:p w14:paraId="71EA3D3E"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10</w:t>
            </w:r>
          </w:p>
        </w:tc>
        <w:tc>
          <w:tcPr>
            <w:tcW w:w="1136" w:type="dxa"/>
            <w:tcBorders>
              <w:top w:val="single" w:sz="4" w:space="0" w:color="auto"/>
            </w:tcBorders>
          </w:tcPr>
          <w:p w14:paraId="423C65A4"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3.2</w:t>
            </w:r>
          </w:p>
        </w:tc>
        <w:tc>
          <w:tcPr>
            <w:tcW w:w="1061" w:type="dxa"/>
            <w:tcBorders>
              <w:top w:val="single" w:sz="4" w:space="0" w:color="auto"/>
            </w:tcBorders>
          </w:tcPr>
          <w:p w14:paraId="221410A2"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31.8</w:t>
            </w:r>
          </w:p>
        </w:tc>
        <w:tc>
          <w:tcPr>
            <w:tcW w:w="928" w:type="dxa"/>
            <w:tcBorders>
              <w:top w:val="single" w:sz="4" w:space="0" w:color="auto"/>
            </w:tcBorders>
          </w:tcPr>
          <w:p w14:paraId="76CED856"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62</w:t>
            </w:r>
          </w:p>
        </w:tc>
        <w:tc>
          <w:tcPr>
            <w:tcW w:w="1670" w:type="dxa"/>
            <w:tcBorders>
              <w:top w:val="single" w:sz="4" w:space="0" w:color="auto"/>
            </w:tcBorders>
          </w:tcPr>
          <w:p w14:paraId="784E5200"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0.93</w:t>
            </w:r>
          </w:p>
        </w:tc>
        <w:tc>
          <w:tcPr>
            <w:tcW w:w="753" w:type="dxa"/>
            <w:tcBorders>
              <w:top w:val="single" w:sz="4" w:space="0" w:color="auto"/>
            </w:tcBorders>
          </w:tcPr>
          <w:p w14:paraId="6FACC674"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3.1</w:t>
            </w:r>
          </w:p>
        </w:tc>
        <w:tc>
          <w:tcPr>
            <w:tcW w:w="967" w:type="dxa"/>
            <w:tcBorders>
              <w:top w:val="single" w:sz="4" w:space="0" w:color="auto"/>
            </w:tcBorders>
          </w:tcPr>
          <w:p w14:paraId="5246451A"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317</w:t>
            </w:r>
          </w:p>
        </w:tc>
      </w:tr>
      <w:tr w:rsidR="00A95741" w:rsidRPr="00732F3B" w14:paraId="21C36C7D" w14:textId="77777777" w:rsidTr="005C0497">
        <w:tc>
          <w:tcPr>
            <w:tcW w:w="946" w:type="dxa"/>
          </w:tcPr>
          <w:p w14:paraId="64C36E3D"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Patient 2</w:t>
            </w:r>
          </w:p>
        </w:tc>
        <w:tc>
          <w:tcPr>
            <w:tcW w:w="1179" w:type="dxa"/>
          </w:tcPr>
          <w:p w14:paraId="3868F8CC"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4</w:t>
            </w:r>
          </w:p>
        </w:tc>
        <w:tc>
          <w:tcPr>
            <w:tcW w:w="1136" w:type="dxa"/>
          </w:tcPr>
          <w:p w14:paraId="2E1D6D65"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1.4</w:t>
            </w:r>
          </w:p>
        </w:tc>
        <w:tc>
          <w:tcPr>
            <w:tcW w:w="1061" w:type="dxa"/>
          </w:tcPr>
          <w:p w14:paraId="39FA99E1"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26.2</w:t>
            </w:r>
          </w:p>
        </w:tc>
        <w:tc>
          <w:tcPr>
            <w:tcW w:w="928" w:type="dxa"/>
          </w:tcPr>
          <w:p w14:paraId="5DEE0C93"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12</w:t>
            </w:r>
          </w:p>
        </w:tc>
        <w:tc>
          <w:tcPr>
            <w:tcW w:w="1670" w:type="dxa"/>
          </w:tcPr>
          <w:p w14:paraId="10655A51"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0.91</w:t>
            </w:r>
          </w:p>
        </w:tc>
        <w:tc>
          <w:tcPr>
            <w:tcW w:w="753" w:type="dxa"/>
          </w:tcPr>
          <w:p w14:paraId="1B469305"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3.0</w:t>
            </w:r>
          </w:p>
        </w:tc>
        <w:tc>
          <w:tcPr>
            <w:tcW w:w="967" w:type="dxa"/>
          </w:tcPr>
          <w:p w14:paraId="7D82E621"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186</w:t>
            </w:r>
          </w:p>
        </w:tc>
      </w:tr>
      <w:tr w:rsidR="00A95741" w:rsidRPr="00732F3B" w14:paraId="4028F637" w14:textId="77777777" w:rsidTr="005C0497">
        <w:tc>
          <w:tcPr>
            <w:tcW w:w="946" w:type="dxa"/>
          </w:tcPr>
          <w:p w14:paraId="6125AB7C"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Patient 3</w:t>
            </w:r>
          </w:p>
        </w:tc>
        <w:tc>
          <w:tcPr>
            <w:tcW w:w="1179" w:type="dxa"/>
          </w:tcPr>
          <w:p w14:paraId="7D309719"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6</w:t>
            </w:r>
          </w:p>
        </w:tc>
        <w:tc>
          <w:tcPr>
            <w:tcW w:w="1136" w:type="dxa"/>
          </w:tcPr>
          <w:p w14:paraId="4C219F3B"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10.9</w:t>
            </w:r>
          </w:p>
        </w:tc>
        <w:tc>
          <w:tcPr>
            <w:tcW w:w="1061" w:type="dxa"/>
          </w:tcPr>
          <w:p w14:paraId="40E66BBB"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30.1</w:t>
            </w:r>
          </w:p>
        </w:tc>
        <w:tc>
          <w:tcPr>
            <w:tcW w:w="928" w:type="dxa"/>
          </w:tcPr>
          <w:p w14:paraId="62BFC1D8"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88</w:t>
            </w:r>
          </w:p>
        </w:tc>
        <w:tc>
          <w:tcPr>
            <w:tcW w:w="1670" w:type="dxa"/>
          </w:tcPr>
          <w:p w14:paraId="717C5E4C"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1.36</w:t>
            </w:r>
          </w:p>
        </w:tc>
        <w:tc>
          <w:tcPr>
            <w:tcW w:w="753" w:type="dxa"/>
          </w:tcPr>
          <w:p w14:paraId="4B3A79DA"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5.9</w:t>
            </w:r>
          </w:p>
        </w:tc>
        <w:tc>
          <w:tcPr>
            <w:tcW w:w="967" w:type="dxa"/>
          </w:tcPr>
          <w:p w14:paraId="1D617DEF"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372</w:t>
            </w:r>
          </w:p>
        </w:tc>
      </w:tr>
      <w:tr w:rsidR="00A95741" w:rsidRPr="00732F3B" w14:paraId="4B3AF7D9" w14:textId="77777777" w:rsidTr="005C0497">
        <w:tc>
          <w:tcPr>
            <w:tcW w:w="946" w:type="dxa"/>
          </w:tcPr>
          <w:p w14:paraId="7E7A8540"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Patient 4</w:t>
            </w:r>
          </w:p>
        </w:tc>
        <w:tc>
          <w:tcPr>
            <w:tcW w:w="1179" w:type="dxa"/>
          </w:tcPr>
          <w:p w14:paraId="3D56F052"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13</w:t>
            </w:r>
          </w:p>
        </w:tc>
        <w:tc>
          <w:tcPr>
            <w:tcW w:w="1136" w:type="dxa"/>
          </w:tcPr>
          <w:p w14:paraId="4B4E4E3C"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2.8</w:t>
            </w:r>
          </w:p>
        </w:tc>
        <w:tc>
          <w:tcPr>
            <w:tcW w:w="1061" w:type="dxa"/>
          </w:tcPr>
          <w:p w14:paraId="161C2279"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28.2</w:t>
            </w:r>
          </w:p>
        </w:tc>
        <w:tc>
          <w:tcPr>
            <w:tcW w:w="928" w:type="dxa"/>
          </w:tcPr>
          <w:p w14:paraId="50634B28"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20</w:t>
            </w:r>
          </w:p>
        </w:tc>
        <w:tc>
          <w:tcPr>
            <w:tcW w:w="1670" w:type="dxa"/>
          </w:tcPr>
          <w:p w14:paraId="0C471726"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0.91</w:t>
            </w:r>
          </w:p>
        </w:tc>
        <w:tc>
          <w:tcPr>
            <w:tcW w:w="753" w:type="dxa"/>
          </w:tcPr>
          <w:p w14:paraId="1E4FC993"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6.3</w:t>
            </w:r>
          </w:p>
        </w:tc>
        <w:tc>
          <w:tcPr>
            <w:tcW w:w="967" w:type="dxa"/>
          </w:tcPr>
          <w:p w14:paraId="75F4CBCA"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298</w:t>
            </w:r>
          </w:p>
        </w:tc>
      </w:tr>
      <w:tr w:rsidR="00A95741" w:rsidRPr="00732F3B" w14:paraId="5500F996" w14:textId="77777777" w:rsidTr="005C0497">
        <w:tc>
          <w:tcPr>
            <w:tcW w:w="946" w:type="dxa"/>
          </w:tcPr>
          <w:p w14:paraId="3043163A"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Patient 5</w:t>
            </w:r>
          </w:p>
        </w:tc>
        <w:tc>
          <w:tcPr>
            <w:tcW w:w="1179" w:type="dxa"/>
          </w:tcPr>
          <w:p w14:paraId="18B8731C"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6</w:t>
            </w:r>
          </w:p>
        </w:tc>
        <w:tc>
          <w:tcPr>
            <w:tcW w:w="1136" w:type="dxa"/>
          </w:tcPr>
          <w:p w14:paraId="7724A9F2"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5.9</w:t>
            </w:r>
          </w:p>
        </w:tc>
        <w:tc>
          <w:tcPr>
            <w:tcW w:w="1061" w:type="dxa"/>
          </w:tcPr>
          <w:p w14:paraId="5498B2A2"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31.2</w:t>
            </w:r>
          </w:p>
        </w:tc>
        <w:tc>
          <w:tcPr>
            <w:tcW w:w="928" w:type="dxa"/>
          </w:tcPr>
          <w:p w14:paraId="0109C54D"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78</w:t>
            </w:r>
          </w:p>
        </w:tc>
        <w:tc>
          <w:tcPr>
            <w:tcW w:w="1670" w:type="dxa"/>
          </w:tcPr>
          <w:p w14:paraId="6EE2C348"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1.66</w:t>
            </w:r>
          </w:p>
        </w:tc>
        <w:tc>
          <w:tcPr>
            <w:tcW w:w="753" w:type="dxa"/>
          </w:tcPr>
          <w:p w14:paraId="0C6A96B9"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8.0</w:t>
            </w:r>
          </w:p>
        </w:tc>
        <w:tc>
          <w:tcPr>
            <w:tcW w:w="967" w:type="dxa"/>
          </w:tcPr>
          <w:p w14:paraId="7024F612"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346</w:t>
            </w:r>
          </w:p>
        </w:tc>
      </w:tr>
      <w:tr w:rsidR="00A95741" w:rsidRPr="00732F3B" w14:paraId="1710910D" w14:textId="77777777" w:rsidTr="005C0497">
        <w:tc>
          <w:tcPr>
            <w:tcW w:w="946" w:type="dxa"/>
          </w:tcPr>
          <w:p w14:paraId="2173E2CF"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Patient 6</w:t>
            </w:r>
          </w:p>
        </w:tc>
        <w:tc>
          <w:tcPr>
            <w:tcW w:w="1179" w:type="dxa"/>
          </w:tcPr>
          <w:p w14:paraId="75D0E794"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8</w:t>
            </w:r>
          </w:p>
        </w:tc>
        <w:tc>
          <w:tcPr>
            <w:tcW w:w="1136" w:type="dxa"/>
          </w:tcPr>
          <w:p w14:paraId="6A51046F"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7.9</w:t>
            </w:r>
          </w:p>
        </w:tc>
        <w:tc>
          <w:tcPr>
            <w:tcW w:w="1061" w:type="dxa"/>
          </w:tcPr>
          <w:p w14:paraId="41241747"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36.4</w:t>
            </w:r>
          </w:p>
        </w:tc>
        <w:tc>
          <w:tcPr>
            <w:tcW w:w="928" w:type="dxa"/>
          </w:tcPr>
          <w:p w14:paraId="209DC96C"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101</w:t>
            </w:r>
          </w:p>
        </w:tc>
        <w:tc>
          <w:tcPr>
            <w:tcW w:w="1670" w:type="dxa"/>
          </w:tcPr>
          <w:p w14:paraId="60450AC6"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1.37</w:t>
            </w:r>
          </w:p>
        </w:tc>
        <w:tc>
          <w:tcPr>
            <w:tcW w:w="753" w:type="dxa"/>
          </w:tcPr>
          <w:p w14:paraId="53BB4643"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3.1</w:t>
            </w:r>
          </w:p>
        </w:tc>
        <w:tc>
          <w:tcPr>
            <w:tcW w:w="967" w:type="dxa"/>
          </w:tcPr>
          <w:p w14:paraId="52836D9A"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386</w:t>
            </w:r>
          </w:p>
        </w:tc>
      </w:tr>
      <w:tr w:rsidR="00A95741" w:rsidRPr="00732F3B" w14:paraId="17A8F8E0" w14:textId="77777777" w:rsidTr="005C0497">
        <w:tc>
          <w:tcPr>
            <w:tcW w:w="946" w:type="dxa"/>
          </w:tcPr>
          <w:p w14:paraId="71996CF9"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Patient 7</w:t>
            </w:r>
          </w:p>
        </w:tc>
        <w:tc>
          <w:tcPr>
            <w:tcW w:w="1179" w:type="dxa"/>
          </w:tcPr>
          <w:p w14:paraId="25F670B7"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13</w:t>
            </w:r>
          </w:p>
        </w:tc>
        <w:tc>
          <w:tcPr>
            <w:tcW w:w="1136" w:type="dxa"/>
          </w:tcPr>
          <w:p w14:paraId="7A4ED174"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5.6</w:t>
            </w:r>
          </w:p>
        </w:tc>
        <w:tc>
          <w:tcPr>
            <w:tcW w:w="1061" w:type="dxa"/>
          </w:tcPr>
          <w:p w14:paraId="3CC63917"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20.2</w:t>
            </w:r>
          </w:p>
        </w:tc>
        <w:tc>
          <w:tcPr>
            <w:tcW w:w="928" w:type="dxa"/>
          </w:tcPr>
          <w:p w14:paraId="1B88FB34"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31</w:t>
            </w:r>
          </w:p>
        </w:tc>
        <w:tc>
          <w:tcPr>
            <w:tcW w:w="1670" w:type="dxa"/>
          </w:tcPr>
          <w:p w14:paraId="7119B72E"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2.4</w:t>
            </w:r>
          </w:p>
        </w:tc>
        <w:tc>
          <w:tcPr>
            <w:tcW w:w="753" w:type="dxa"/>
          </w:tcPr>
          <w:p w14:paraId="02954FE2"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13.9</w:t>
            </w:r>
          </w:p>
        </w:tc>
        <w:tc>
          <w:tcPr>
            <w:tcW w:w="967" w:type="dxa"/>
          </w:tcPr>
          <w:p w14:paraId="3526416E"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325</w:t>
            </w:r>
          </w:p>
        </w:tc>
      </w:tr>
    </w:tbl>
    <w:p w14:paraId="34698246" w14:textId="54FECACB"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 xml:space="preserve">ALT: Alanine aminotransferase; BMI: Body mass index; </w:t>
      </w:r>
      <w:r w:rsidR="0043179C" w:rsidRPr="00732F3B">
        <w:rPr>
          <w:rFonts w:ascii="Book Antiqua" w:hAnsi="Book Antiqua"/>
          <w:color w:val="000000" w:themeColor="text1"/>
        </w:rPr>
        <w:t>dB/m:</w:t>
      </w:r>
      <w:r w:rsidRPr="00732F3B">
        <w:rPr>
          <w:rFonts w:ascii="Book Antiqua" w:hAnsi="Book Antiqua"/>
          <w:color w:val="000000" w:themeColor="text1"/>
        </w:rPr>
        <w:t xml:space="preserve"> Decibels per meter; CAP: Controlled association parameter; FAI: Free androgen index; HOMA-IR: Homeostasis model for assessment of insulin resistance; PCOS</w:t>
      </w:r>
      <w:r w:rsidRPr="00732F3B">
        <w:rPr>
          <w:rFonts w:ascii="Book Antiqua" w:eastAsia="宋体" w:hAnsi="Book Antiqua" w:cs="宋体"/>
          <w:color w:val="000000" w:themeColor="text1"/>
          <w:lang w:eastAsia="zh-CN"/>
        </w:rPr>
        <w:t>:</w:t>
      </w:r>
      <w:r w:rsidRPr="00732F3B">
        <w:rPr>
          <w:rFonts w:ascii="Book Antiqua" w:hAnsi="Book Antiqua"/>
          <w:color w:val="000000" w:themeColor="text1"/>
        </w:rPr>
        <w:t xml:space="preserve"> Polycystic ovary syndrome.</w:t>
      </w:r>
    </w:p>
    <w:p w14:paraId="707B5632" w14:textId="6D5B3A16" w:rsidR="00A95741" w:rsidRPr="00732F3B" w:rsidRDefault="00A95741" w:rsidP="00732F3B">
      <w:pPr>
        <w:adjustRightInd w:val="0"/>
        <w:snapToGrid w:val="0"/>
        <w:spacing w:line="360" w:lineRule="auto"/>
        <w:jc w:val="both"/>
        <w:rPr>
          <w:rFonts w:ascii="Book Antiqua" w:hAnsi="Book Antiqua"/>
          <w:b/>
          <w:color w:val="000000" w:themeColor="text1"/>
        </w:rPr>
      </w:pPr>
      <w:r w:rsidRPr="00732F3B">
        <w:rPr>
          <w:rFonts w:ascii="Book Antiqua" w:hAnsi="Book Antiqua"/>
          <w:b/>
          <w:color w:val="000000" w:themeColor="text1"/>
        </w:rPr>
        <w:br w:type="page"/>
        <w:t xml:space="preserve">Table 3 Multivariable analysis of factors associated with </w:t>
      </w:r>
      <w:r w:rsidR="00E95920" w:rsidRPr="00732F3B">
        <w:rPr>
          <w:rFonts w:ascii="Book Antiqua" w:hAnsi="Book Antiqua"/>
          <w:b/>
          <w:color w:val="000000" w:themeColor="text1"/>
        </w:rPr>
        <w:t>non-alcoholic fatty liver disease</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3505"/>
        <w:gridCol w:w="2704"/>
        <w:gridCol w:w="2431"/>
      </w:tblGrid>
      <w:tr w:rsidR="00A95741" w:rsidRPr="00732F3B" w14:paraId="054D5735" w14:textId="77777777" w:rsidTr="0043179C">
        <w:trPr>
          <w:trHeight w:val="651"/>
        </w:trPr>
        <w:tc>
          <w:tcPr>
            <w:tcW w:w="5000" w:type="pct"/>
            <w:gridSpan w:val="3"/>
            <w:tcBorders>
              <w:top w:val="single" w:sz="4" w:space="0" w:color="auto"/>
              <w:bottom w:val="single" w:sz="4" w:space="0" w:color="auto"/>
            </w:tcBorders>
            <w:shd w:val="clear" w:color="auto" w:fill="auto"/>
            <w:vAlign w:val="bottom"/>
          </w:tcPr>
          <w:p w14:paraId="46A6BA7E" w14:textId="77777777" w:rsidR="00A95741" w:rsidRPr="00732F3B" w:rsidRDefault="00A95741" w:rsidP="00732F3B">
            <w:pPr>
              <w:adjustRightInd w:val="0"/>
              <w:snapToGrid w:val="0"/>
              <w:spacing w:line="360" w:lineRule="auto"/>
              <w:jc w:val="both"/>
              <w:rPr>
                <w:rFonts w:ascii="Book Antiqua" w:hAnsi="Book Antiqua"/>
                <w:b/>
                <w:color w:val="000000" w:themeColor="text1"/>
              </w:rPr>
            </w:pPr>
            <w:r w:rsidRPr="00732F3B">
              <w:rPr>
                <w:rFonts w:ascii="Book Antiqua" w:hAnsi="Book Antiqua"/>
                <w:b/>
                <w:color w:val="000000" w:themeColor="text1"/>
              </w:rPr>
              <w:t>CAP cut-off 288 dB/m</w:t>
            </w:r>
          </w:p>
        </w:tc>
      </w:tr>
      <w:tr w:rsidR="00A95741" w:rsidRPr="00732F3B" w14:paraId="19369D1C" w14:textId="77777777" w:rsidTr="0043179C">
        <w:trPr>
          <w:trHeight w:val="651"/>
        </w:trPr>
        <w:tc>
          <w:tcPr>
            <w:tcW w:w="2028" w:type="pct"/>
            <w:tcBorders>
              <w:top w:val="single" w:sz="4" w:space="0" w:color="auto"/>
            </w:tcBorders>
            <w:shd w:val="clear" w:color="auto" w:fill="auto"/>
            <w:vAlign w:val="bottom"/>
          </w:tcPr>
          <w:p w14:paraId="0317412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Variable</w:t>
            </w:r>
          </w:p>
        </w:tc>
        <w:tc>
          <w:tcPr>
            <w:tcW w:w="1565" w:type="pct"/>
            <w:tcBorders>
              <w:top w:val="single" w:sz="4" w:space="0" w:color="auto"/>
            </w:tcBorders>
            <w:vAlign w:val="center"/>
          </w:tcPr>
          <w:p w14:paraId="2E2B5826"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Unadjusted OR</w:t>
            </w:r>
          </w:p>
        </w:tc>
        <w:tc>
          <w:tcPr>
            <w:tcW w:w="1407" w:type="pct"/>
            <w:tcBorders>
              <w:top w:val="single" w:sz="4" w:space="0" w:color="auto"/>
            </w:tcBorders>
            <w:vAlign w:val="center"/>
          </w:tcPr>
          <w:p w14:paraId="4FE1819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aOR</w:t>
            </w:r>
          </w:p>
        </w:tc>
      </w:tr>
      <w:tr w:rsidR="00A95741" w:rsidRPr="00732F3B" w14:paraId="1D0F3892" w14:textId="77777777" w:rsidTr="0043179C">
        <w:trPr>
          <w:trHeight w:val="651"/>
        </w:trPr>
        <w:tc>
          <w:tcPr>
            <w:tcW w:w="2028" w:type="pct"/>
            <w:shd w:val="clear" w:color="auto" w:fill="auto"/>
            <w:vAlign w:val="bottom"/>
          </w:tcPr>
          <w:p w14:paraId="5F3607AC"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PCOS duration (per yr)</w:t>
            </w:r>
          </w:p>
        </w:tc>
        <w:tc>
          <w:tcPr>
            <w:tcW w:w="1565" w:type="pct"/>
            <w:vAlign w:val="center"/>
          </w:tcPr>
          <w:p w14:paraId="36D13CC8" w14:textId="77777777" w:rsidR="00A95741" w:rsidRPr="00732F3B" w:rsidRDefault="00A95741" w:rsidP="00732F3B">
            <w:pPr>
              <w:adjustRightInd w:val="0"/>
              <w:snapToGrid w:val="0"/>
              <w:spacing w:line="360" w:lineRule="auto"/>
              <w:jc w:val="both"/>
              <w:rPr>
                <w:rFonts w:ascii="Book Antiqua" w:hAnsi="Book Antiqua"/>
                <w:bCs/>
                <w:color w:val="000000" w:themeColor="text1"/>
                <w:lang w:val="it-IT"/>
              </w:rPr>
            </w:pPr>
            <w:r w:rsidRPr="00732F3B">
              <w:rPr>
                <w:rFonts w:ascii="Book Antiqua" w:hAnsi="Book Antiqua"/>
                <w:bCs/>
                <w:color w:val="000000" w:themeColor="text1"/>
                <w:lang w:val="it-IT"/>
              </w:rPr>
              <w:t>1.03 (0.94-1.14)</w:t>
            </w:r>
          </w:p>
        </w:tc>
        <w:tc>
          <w:tcPr>
            <w:tcW w:w="1407" w:type="pct"/>
            <w:vAlign w:val="center"/>
          </w:tcPr>
          <w:p w14:paraId="1415A2B2" w14:textId="77777777" w:rsidR="00A95741" w:rsidRPr="00732F3B" w:rsidRDefault="00A95741" w:rsidP="00732F3B">
            <w:pPr>
              <w:adjustRightInd w:val="0"/>
              <w:snapToGrid w:val="0"/>
              <w:spacing w:line="360" w:lineRule="auto"/>
              <w:jc w:val="both"/>
              <w:rPr>
                <w:rFonts w:ascii="Book Antiqua" w:hAnsi="Book Antiqua"/>
                <w:bCs/>
                <w:color w:val="000000" w:themeColor="text1"/>
                <w:lang w:val="it-IT"/>
              </w:rPr>
            </w:pPr>
            <w:r w:rsidRPr="00732F3B">
              <w:rPr>
                <w:rFonts w:ascii="Book Antiqua" w:hAnsi="Book Antiqua"/>
                <w:bCs/>
                <w:color w:val="000000" w:themeColor="text1"/>
                <w:lang w:val="it-IT"/>
              </w:rPr>
              <w:t>1.04 (0.92-1.17)</w:t>
            </w:r>
          </w:p>
        </w:tc>
      </w:tr>
      <w:tr w:rsidR="00A95741" w:rsidRPr="00732F3B" w14:paraId="2575976B" w14:textId="77777777" w:rsidTr="0043179C">
        <w:trPr>
          <w:trHeight w:val="651"/>
        </w:trPr>
        <w:tc>
          <w:tcPr>
            <w:tcW w:w="2028" w:type="pct"/>
            <w:shd w:val="clear" w:color="auto" w:fill="auto"/>
            <w:vAlign w:val="bottom"/>
          </w:tcPr>
          <w:p w14:paraId="6BF9EB77" w14:textId="77777777" w:rsidR="00A95741" w:rsidRPr="00732F3B" w:rsidRDefault="00A95741" w:rsidP="00732F3B">
            <w:pPr>
              <w:adjustRightInd w:val="0"/>
              <w:snapToGrid w:val="0"/>
              <w:spacing w:line="360" w:lineRule="auto"/>
              <w:jc w:val="both"/>
              <w:rPr>
                <w:rFonts w:ascii="Book Antiqua" w:hAnsi="Book Antiqua"/>
                <w:bCs/>
                <w:color w:val="000000" w:themeColor="text1"/>
                <w:lang w:val="it-IT"/>
              </w:rPr>
            </w:pPr>
            <w:r w:rsidRPr="00732F3B">
              <w:rPr>
                <w:rFonts w:ascii="Book Antiqua" w:hAnsi="Book Antiqua"/>
                <w:bCs/>
                <w:color w:val="000000" w:themeColor="text1"/>
                <w:lang w:val="it-IT"/>
              </w:rPr>
              <w:t>BMI (per Kg/m</w:t>
            </w:r>
            <w:r w:rsidRPr="00732F3B">
              <w:rPr>
                <w:rFonts w:ascii="Book Antiqua" w:hAnsi="Book Antiqua"/>
                <w:bCs/>
                <w:color w:val="000000" w:themeColor="text1"/>
                <w:vertAlign w:val="superscript"/>
                <w:lang w:val="it-IT"/>
              </w:rPr>
              <w:t>2</w:t>
            </w:r>
            <w:r w:rsidRPr="00732F3B">
              <w:rPr>
                <w:rFonts w:ascii="Book Antiqua" w:hAnsi="Book Antiqua"/>
                <w:bCs/>
                <w:color w:val="000000" w:themeColor="text1"/>
                <w:lang w:val="it-IT"/>
              </w:rPr>
              <w:t>)</w:t>
            </w:r>
          </w:p>
        </w:tc>
        <w:tc>
          <w:tcPr>
            <w:tcW w:w="1565" w:type="pct"/>
            <w:vAlign w:val="center"/>
          </w:tcPr>
          <w:p w14:paraId="6DCB176F" w14:textId="77777777" w:rsidR="00A95741" w:rsidRPr="00732F3B" w:rsidRDefault="00A95741" w:rsidP="00732F3B">
            <w:pPr>
              <w:adjustRightInd w:val="0"/>
              <w:snapToGrid w:val="0"/>
              <w:spacing w:line="360" w:lineRule="auto"/>
              <w:jc w:val="both"/>
              <w:rPr>
                <w:rFonts w:ascii="Book Antiqua" w:hAnsi="Book Antiqua"/>
                <w:bCs/>
                <w:color w:val="000000" w:themeColor="text1"/>
                <w:lang w:val="it-IT"/>
              </w:rPr>
            </w:pPr>
            <w:r w:rsidRPr="00732F3B">
              <w:rPr>
                <w:rFonts w:ascii="Book Antiqua" w:hAnsi="Book Antiqua"/>
                <w:bCs/>
                <w:color w:val="000000" w:themeColor="text1"/>
                <w:lang w:val="it-IT"/>
              </w:rPr>
              <w:t>1.31 (1.16-1.48)</w:t>
            </w:r>
            <w:r w:rsidRPr="00732F3B">
              <w:rPr>
                <w:rFonts w:ascii="Book Antiqua" w:hAnsi="Book Antiqua"/>
                <w:bCs/>
                <w:color w:val="000000" w:themeColor="text1"/>
                <w:vertAlign w:val="superscript"/>
                <w:lang w:val="it-IT"/>
              </w:rPr>
              <w:t>b</w:t>
            </w:r>
          </w:p>
        </w:tc>
        <w:tc>
          <w:tcPr>
            <w:tcW w:w="1407" w:type="pct"/>
            <w:vAlign w:val="center"/>
          </w:tcPr>
          <w:p w14:paraId="234EEA0C" w14:textId="77777777" w:rsidR="00A95741" w:rsidRPr="00732F3B" w:rsidRDefault="00A95741" w:rsidP="00732F3B">
            <w:pPr>
              <w:adjustRightInd w:val="0"/>
              <w:snapToGrid w:val="0"/>
              <w:spacing w:line="360" w:lineRule="auto"/>
              <w:jc w:val="both"/>
              <w:rPr>
                <w:rFonts w:ascii="Book Antiqua" w:hAnsi="Book Antiqua"/>
                <w:bCs/>
                <w:color w:val="000000" w:themeColor="text1"/>
                <w:lang w:val="it-IT"/>
              </w:rPr>
            </w:pPr>
            <w:r w:rsidRPr="00732F3B">
              <w:rPr>
                <w:rFonts w:ascii="Book Antiqua" w:hAnsi="Book Antiqua"/>
                <w:bCs/>
                <w:color w:val="000000" w:themeColor="text1"/>
                <w:lang w:val="it-IT"/>
              </w:rPr>
              <w:t>1.31 (1.13-1.52)</w:t>
            </w:r>
            <w:r w:rsidRPr="00732F3B">
              <w:rPr>
                <w:rFonts w:ascii="Book Antiqua" w:hAnsi="Book Antiqua"/>
                <w:bCs/>
                <w:color w:val="000000" w:themeColor="text1"/>
                <w:vertAlign w:val="superscript"/>
                <w:lang w:val="it-IT"/>
              </w:rPr>
              <w:t>b</w:t>
            </w:r>
          </w:p>
        </w:tc>
      </w:tr>
      <w:tr w:rsidR="00A95741" w:rsidRPr="00732F3B" w14:paraId="2732B2AE" w14:textId="77777777" w:rsidTr="0043179C">
        <w:trPr>
          <w:trHeight w:val="651"/>
        </w:trPr>
        <w:tc>
          <w:tcPr>
            <w:tcW w:w="2028" w:type="pct"/>
            <w:shd w:val="clear" w:color="auto" w:fill="auto"/>
            <w:vAlign w:val="bottom"/>
          </w:tcPr>
          <w:p w14:paraId="2B3E9B2B" w14:textId="77777777" w:rsidR="00A95741" w:rsidRPr="00732F3B" w:rsidRDefault="00A95741" w:rsidP="00732F3B">
            <w:pPr>
              <w:adjustRightInd w:val="0"/>
              <w:snapToGrid w:val="0"/>
              <w:spacing w:line="360" w:lineRule="auto"/>
              <w:jc w:val="both"/>
              <w:rPr>
                <w:rFonts w:ascii="Book Antiqua" w:hAnsi="Book Antiqua"/>
                <w:bCs/>
                <w:color w:val="000000" w:themeColor="text1"/>
                <w:lang w:val="it-IT"/>
              </w:rPr>
            </w:pPr>
            <w:r w:rsidRPr="00732F3B">
              <w:rPr>
                <w:rFonts w:ascii="Book Antiqua" w:hAnsi="Book Antiqua"/>
                <w:bCs/>
                <w:color w:val="000000" w:themeColor="text1"/>
                <w:lang w:val="it-IT"/>
              </w:rPr>
              <w:t xml:space="preserve">HOMA-IR (per </w:t>
            </w:r>
            <w:r w:rsidRPr="00732F3B">
              <w:rPr>
                <w:rFonts w:ascii="Book Antiqua" w:hAnsi="Book Antiqua"/>
                <w:bCs/>
                <w:color w:val="000000" w:themeColor="text1"/>
              </w:rPr>
              <w:t>unit</w:t>
            </w:r>
            <w:r w:rsidRPr="00732F3B">
              <w:rPr>
                <w:rFonts w:ascii="Book Antiqua" w:hAnsi="Book Antiqua"/>
                <w:bCs/>
                <w:color w:val="000000" w:themeColor="text1"/>
                <w:lang w:val="it-IT"/>
              </w:rPr>
              <w:t>)</w:t>
            </w:r>
          </w:p>
        </w:tc>
        <w:tc>
          <w:tcPr>
            <w:tcW w:w="1565" w:type="pct"/>
            <w:vAlign w:val="center"/>
          </w:tcPr>
          <w:p w14:paraId="1BD39C69" w14:textId="77777777" w:rsidR="00A95741" w:rsidRPr="00732F3B" w:rsidRDefault="00A95741" w:rsidP="00732F3B">
            <w:pPr>
              <w:adjustRightInd w:val="0"/>
              <w:snapToGrid w:val="0"/>
              <w:spacing w:line="360" w:lineRule="auto"/>
              <w:jc w:val="both"/>
              <w:rPr>
                <w:rFonts w:ascii="Book Antiqua" w:hAnsi="Book Antiqua"/>
                <w:bCs/>
                <w:color w:val="000000" w:themeColor="text1"/>
                <w:lang w:val="it-IT"/>
              </w:rPr>
            </w:pPr>
            <w:r w:rsidRPr="00732F3B">
              <w:rPr>
                <w:rFonts w:ascii="Book Antiqua" w:hAnsi="Book Antiqua"/>
                <w:bCs/>
                <w:color w:val="000000" w:themeColor="text1"/>
                <w:lang w:val="it-IT"/>
              </w:rPr>
              <w:t>1.42 (1.14-1.78)</w:t>
            </w:r>
            <w:r w:rsidRPr="00732F3B">
              <w:rPr>
                <w:rFonts w:ascii="Book Antiqua" w:hAnsi="Book Antiqua"/>
                <w:bCs/>
                <w:color w:val="000000" w:themeColor="text1"/>
                <w:vertAlign w:val="superscript"/>
                <w:lang w:val="it-IT"/>
              </w:rPr>
              <w:t>a</w:t>
            </w:r>
          </w:p>
        </w:tc>
        <w:tc>
          <w:tcPr>
            <w:tcW w:w="1407" w:type="pct"/>
            <w:vAlign w:val="center"/>
          </w:tcPr>
          <w:p w14:paraId="20242F2E" w14:textId="77777777" w:rsidR="00A95741" w:rsidRPr="00732F3B" w:rsidRDefault="00A95741" w:rsidP="00732F3B">
            <w:pPr>
              <w:adjustRightInd w:val="0"/>
              <w:snapToGrid w:val="0"/>
              <w:spacing w:line="360" w:lineRule="auto"/>
              <w:jc w:val="both"/>
              <w:rPr>
                <w:rFonts w:ascii="Book Antiqua" w:hAnsi="Book Antiqua"/>
                <w:bCs/>
                <w:color w:val="000000" w:themeColor="text1"/>
                <w:lang w:val="it-IT"/>
              </w:rPr>
            </w:pPr>
            <w:r w:rsidRPr="00732F3B">
              <w:rPr>
                <w:rFonts w:ascii="Book Antiqua" w:hAnsi="Book Antiqua"/>
                <w:bCs/>
                <w:color w:val="000000" w:themeColor="text1"/>
                <w:lang w:val="it-IT"/>
              </w:rPr>
              <w:t>1.13 (0.90-1.41)</w:t>
            </w:r>
          </w:p>
        </w:tc>
      </w:tr>
      <w:tr w:rsidR="00A95741" w:rsidRPr="00732F3B" w14:paraId="186681CA" w14:textId="77777777" w:rsidTr="0043179C">
        <w:trPr>
          <w:trHeight w:val="651"/>
        </w:trPr>
        <w:tc>
          <w:tcPr>
            <w:tcW w:w="2028" w:type="pct"/>
            <w:shd w:val="clear" w:color="auto" w:fill="auto"/>
            <w:vAlign w:val="bottom"/>
          </w:tcPr>
          <w:p w14:paraId="5EFD952D" w14:textId="77777777" w:rsidR="00A95741" w:rsidRPr="00732F3B" w:rsidRDefault="00A95741" w:rsidP="00732F3B">
            <w:pPr>
              <w:adjustRightInd w:val="0"/>
              <w:snapToGrid w:val="0"/>
              <w:spacing w:line="360" w:lineRule="auto"/>
              <w:jc w:val="both"/>
              <w:rPr>
                <w:rFonts w:ascii="Book Antiqua" w:hAnsi="Book Antiqua"/>
                <w:bCs/>
                <w:color w:val="000000" w:themeColor="text1"/>
                <w:lang w:val="it-IT"/>
              </w:rPr>
            </w:pPr>
            <w:r w:rsidRPr="00732F3B">
              <w:rPr>
                <w:rFonts w:ascii="Book Antiqua" w:hAnsi="Book Antiqua"/>
                <w:bCs/>
                <w:color w:val="000000" w:themeColor="text1"/>
              </w:rPr>
              <w:t xml:space="preserve">Hyperandrogenism </w:t>
            </w:r>
            <w:r w:rsidRPr="00732F3B">
              <w:rPr>
                <w:rFonts w:ascii="Book Antiqua" w:hAnsi="Book Antiqua"/>
                <w:bCs/>
                <w:color w:val="000000" w:themeColor="text1"/>
                <w:lang w:val="it-IT"/>
              </w:rPr>
              <w:t xml:space="preserve">(yes </w:t>
            </w:r>
            <w:r w:rsidRPr="00732F3B">
              <w:rPr>
                <w:rFonts w:ascii="Book Antiqua" w:hAnsi="Book Antiqua"/>
                <w:bCs/>
                <w:i/>
                <w:iCs/>
                <w:color w:val="000000" w:themeColor="text1"/>
                <w:lang w:val="it-IT"/>
              </w:rPr>
              <w:t>vs</w:t>
            </w:r>
            <w:r w:rsidRPr="00732F3B">
              <w:rPr>
                <w:rFonts w:ascii="Book Antiqua" w:hAnsi="Book Antiqua"/>
                <w:bCs/>
                <w:color w:val="000000" w:themeColor="text1"/>
                <w:lang w:val="it-IT"/>
              </w:rPr>
              <w:t xml:space="preserve"> no)</w:t>
            </w:r>
          </w:p>
        </w:tc>
        <w:tc>
          <w:tcPr>
            <w:tcW w:w="1565" w:type="pct"/>
            <w:vAlign w:val="center"/>
          </w:tcPr>
          <w:p w14:paraId="4150C2A1"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3.68 (1.37-9.83)</w:t>
            </w:r>
            <w:r w:rsidRPr="00732F3B">
              <w:rPr>
                <w:rFonts w:ascii="Book Antiqua" w:hAnsi="Book Antiqua"/>
                <w:bCs/>
                <w:color w:val="000000" w:themeColor="text1"/>
                <w:vertAlign w:val="superscript"/>
              </w:rPr>
              <w:t>a</w:t>
            </w:r>
          </w:p>
        </w:tc>
        <w:tc>
          <w:tcPr>
            <w:tcW w:w="1407" w:type="pct"/>
            <w:vAlign w:val="center"/>
          </w:tcPr>
          <w:p w14:paraId="524767D0"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5.32 (1.56-18.17)</w:t>
            </w:r>
            <w:r w:rsidRPr="00732F3B">
              <w:rPr>
                <w:rFonts w:ascii="Book Antiqua" w:hAnsi="Book Antiqua"/>
                <w:bCs/>
                <w:color w:val="000000" w:themeColor="text1"/>
                <w:vertAlign w:val="superscript"/>
              </w:rPr>
              <w:t>a</w:t>
            </w:r>
          </w:p>
        </w:tc>
      </w:tr>
      <w:tr w:rsidR="00A95741" w:rsidRPr="00732F3B" w14:paraId="2D52B165" w14:textId="77777777" w:rsidTr="0043179C">
        <w:trPr>
          <w:trHeight w:val="651"/>
        </w:trPr>
        <w:tc>
          <w:tcPr>
            <w:tcW w:w="2028" w:type="pct"/>
            <w:shd w:val="clear" w:color="auto" w:fill="auto"/>
            <w:vAlign w:val="bottom"/>
          </w:tcPr>
          <w:p w14:paraId="2F8DD316"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 xml:space="preserve">Elevated ALT (yes </w:t>
            </w:r>
            <w:r w:rsidRPr="00732F3B">
              <w:rPr>
                <w:rFonts w:ascii="Book Antiqua" w:hAnsi="Book Antiqua"/>
                <w:bCs/>
                <w:i/>
                <w:iCs/>
                <w:color w:val="000000" w:themeColor="text1"/>
              </w:rPr>
              <w:t>vs</w:t>
            </w:r>
            <w:r w:rsidRPr="00732F3B">
              <w:rPr>
                <w:rFonts w:ascii="Book Antiqua" w:hAnsi="Book Antiqua"/>
                <w:bCs/>
                <w:color w:val="000000" w:themeColor="text1"/>
              </w:rPr>
              <w:t xml:space="preserve"> no)</w:t>
            </w:r>
          </w:p>
        </w:tc>
        <w:tc>
          <w:tcPr>
            <w:tcW w:w="1565" w:type="pct"/>
            <w:vAlign w:val="center"/>
          </w:tcPr>
          <w:p w14:paraId="6EE7CF60"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5.14 (1.87-14.12)</w:t>
            </w:r>
            <w:r w:rsidRPr="00732F3B">
              <w:rPr>
                <w:rFonts w:ascii="Book Antiqua" w:hAnsi="Book Antiqua"/>
                <w:bCs/>
                <w:color w:val="000000" w:themeColor="text1"/>
                <w:vertAlign w:val="superscript"/>
              </w:rPr>
              <w:t>a</w:t>
            </w:r>
          </w:p>
        </w:tc>
        <w:tc>
          <w:tcPr>
            <w:tcW w:w="1407" w:type="pct"/>
            <w:vAlign w:val="center"/>
          </w:tcPr>
          <w:p w14:paraId="4E0B94A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3.54 (1.10-11.47)</w:t>
            </w:r>
            <w:r w:rsidRPr="00732F3B">
              <w:rPr>
                <w:rFonts w:ascii="Book Antiqua" w:hAnsi="Book Antiqua"/>
                <w:bCs/>
                <w:color w:val="000000" w:themeColor="text1"/>
                <w:vertAlign w:val="superscript"/>
              </w:rPr>
              <w:t>a</w:t>
            </w:r>
          </w:p>
        </w:tc>
      </w:tr>
      <w:tr w:rsidR="00A95741" w:rsidRPr="00732F3B" w14:paraId="4D78D623" w14:textId="77777777" w:rsidTr="0043179C">
        <w:trPr>
          <w:trHeight w:val="651"/>
        </w:trPr>
        <w:tc>
          <w:tcPr>
            <w:tcW w:w="5000" w:type="pct"/>
            <w:gridSpan w:val="3"/>
            <w:shd w:val="clear" w:color="auto" w:fill="auto"/>
            <w:vAlign w:val="bottom"/>
          </w:tcPr>
          <w:p w14:paraId="586C4AA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CAP cut-off 302 dB/m</w:t>
            </w:r>
          </w:p>
        </w:tc>
      </w:tr>
      <w:tr w:rsidR="00A95741" w:rsidRPr="00732F3B" w14:paraId="0009D383" w14:textId="77777777" w:rsidTr="0043179C">
        <w:trPr>
          <w:trHeight w:val="651"/>
        </w:trPr>
        <w:tc>
          <w:tcPr>
            <w:tcW w:w="2028" w:type="pct"/>
            <w:shd w:val="clear" w:color="auto" w:fill="auto"/>
            <w:vAlign w:val="bottom"/>
          </w:tcPr>
          <w:p w14:paraId="2FBBE504"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Variable</w:t>
            </w:r>
          </w:p>
        </w:tc>
        <w:tc>
          <w:tcPr>
            <w:tcW w:w="1565" w:type="pct"/>
            <w:vAlign w:val="center"/>
          </w:tcPr>
          <w:p w14:paraId="564D9E4C"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Unadjusted OR</w:t>
            </w:r>
          </w:p>
        </w:tc>
        <w:tc>
          <w:tcPr>
            <w:tcW w:w="1407" w:type="pct"/>
            <w:vAlign w:val="center"/>
          </w:tcPr>
          <w:p w14:paraId="7ABEAD43"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aOR</w:t>
            </w:r>
          </w:p>
        </w:tc>
      </w:tr>
      <w:tr w:rsidR="00A95741" w:rsidRPr="00732F3B" w14:paraId="5CB827FA" w14:textId="77777777" w:rsidTr="0043179C">
        <w:trPr>
          <w:trHeight w:val="651"/>
        </w:trPr>
        <w:tc>
          <w:tcPr>
            <w:tcW w:w="2028" w:type="pct"/>
            <w:shd w:val="clear" w:color="auto" w:fill="auto"/>
            <w:vAlign w:val="bottom"/>
          </w:tcPr>
          <w:p w14:paraId="1403F8EC"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PCOS duration (per yr)</w:t>
            </w:r>
          </w:p>
        </w:tc>
        <w:tc>
          <w:tcPr>
            <w:tcW w:w="1565" w:type="pct"/>
            <w:vAlign w:val="center"/>
          </w:tcPr>
          <w:p w14:paraId="77712F4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0.81 (0.33-2.00)</w:t>
            </w:r>
          </w:p>
        </w:tc>
        <w:tc>
          <w:tcPr>
            <w:tcW w:w="1407" w:type="pct"/>
            <w:vAlign w:val="center"/>
          </w:tcPr>
          <w:p w14:paraId="4C2FB17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0.94 (0.83-1.07)</w:t>
            </w:r>
          </w:p>
        </w:tc>
      </w:tr>
      <w:tr w:rsidR="00A95741" w:rsidRPr="00732F3B" w14:paraId="406155A0" w14:textId="77777777" w:rsidTr="0043179C">
        <w:trPr>
          <w:trHeight w:val="651"/>
        </w:trPr>
        <w:tc>
          <w:tcPr>
            <w:tcW w:w="2028" w:type="pct"/>
            <w:shd w:val="clear" w:color="auto" w:fill="auto"/>
            <w:vAlign w:val="bottom"/>
          </w:tcPr>
          <w:p w14:paraId="1FE2846E"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lang w:val="it-IT"/>
              </w:rPr>
              <w:t>BMI (per Kg/m</w:t>
            </w:r>
            <w:r w:rsidRPr="00732F3B">
              <w:rPr>
                <w:rFonts w:ascii="Book Antiqua" w:hAnsi="Book Antiqua"/>
                <w:bCs/>
                <w:color w:val="000000" w:themeColor="text1"/>
                <w:vertAlign w:val="superscript"/>
                <w:lang w:val="it-IT"/>
              </w:rPr>
              <w:t>2</w:t>
            </w:r>
            <w:r w:rsidRPr="00732F3B">
              <w:rPr>
                <w:rFonts w:ascii="Book Antiqua" w:hAnsi="Book Antiqua"/>
                <w:bCs/>
                <w:color w:val="000000" w:themeColor="text1"/>
                <w:lang w:val="it-IT"/>
              </w:rPr>
              <w:t>)</w:t>
            </w:r>
          </w:p>
        </w:tc>
        <w:tc>
          <w:tcPr>
            <w:tcW w:w="1565" w:type="pct"/>
            <w:vAlign w:val="center"/>
          </w:tcPr>
          <w:p w14:paraId="4FFF24E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1.12 (1.06-1.18)</w:t>
            </w:r>
            <w:r w:rsidRPr="00732F3B">
              <w:rPr>
                <w:rFonts w:ascii="Book Antiqua" w:hAnsi="Book Antiqua"/>
                <w:bCs/>
                <w:color w:val="000000" w:themeColor="text1"/>
                <w:vertAlign w:val="superscript"/>
              </w:rPr>
              <w:t>b</w:t>
            </w:r>
          </w:p>
        </w:tc>
        <w:tc>
          <w:tcPr>
            <w:tcW w:w="1407" w:type="pct"/>
            <w:vAlign w:val="center"/>
          </w:tcPr>
          <w:p w14:paraId="0A38CEC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1.33 (1.14-1.55)</w:t>
            </w:r>
            <w:r w:rsidRPr="00732F3B">
              <w:rPr>
                <w:rFonts w:ascii="Book Antiqua" w:hAnsi="Book Antiqua"/>
                <w:bCs/>
                <w:color w:val="000000" w:themeColor="text1"/>
                <w:vertAlign w:val="superscript"/>
              </w:rPr>
              <w:t>b</w:t>
            </w:r>
          </w:p>
        </w:tc>
      </w:tr>
      <w:tr w:rsidR="00A95741" w:rsidRPr="00732F3B" w14:paraId="0F5A6125" w14:textId="77777777" w:rsidTr="0043179C">
        <w:trPr>
          <w:trHeight w:val="651"/>
        </w:trPr>
        <w:tc>
          <w:tcPr>
            <w:tcW w:w="2028" w:type="pct"/>
            <w:shd w:val="clear" w:color="auto" w:fill="auto"/>
            <w:vAlign w:val="bottom"/>
          </w:tcPr>
          <w:p w14:paraId="711EB0D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lang w:val="it-IT"/>
              </w:rPr>
              <w:t>HOMA-IR (per unit)</w:t>
            </w:r>
          </w:p>
        </w:tc>
        <w:tc>
          <w:tcPr>
            <w:tcW w:w="1565" w:type="pct"/>
            <w:vAlign w:val="center"/>
          </w:tcPr>
          <w:p w14:paraId="41732084"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1.39 (1.14-1.70)</w:t>
            </w:r>
            <w:r w:rsidRPr="00732F3B">
              <w:rPr>
                <w:rFonts w:ascii="Book Antiqua" w:hAnsi="Book Antiqua"/>
                <w:bCs/>
                <w:color w:val="000000" w:themeColor="text1"/>
                <w:vertAlign w:val="superscript"/>
              </w:rPr>
              <w:t>a</w:t>
            </w:r>
          </w:p>
        </w:tc>
        <w:tc>
          <w:tcPr>
            <w:tcW w:w="1407" w:type="pct"/>
            <w:vAlign w:val="center"/>
          </w:tcPr>
          <w:p w14:paraId="78B33DE5"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1.18 (0.95-1.46)</w:t>
            </w:r>
          </w:p>
        </w:tc>
      </w:tr>
      <w:tr w:rsidR="00A95741" w:rsidRPr="00732F3B" w14:paraId="546DFB35" w14:textId="77777777" w:rsidTr="0043179C">
        <w:trPr>
          <w:trHeight w:val="651"/>
        </w:trPr>
        <w:tc>
          <w:tcPr>
            <w:tcW w:w="2028" w:type="pct"/>
            <w:shd w:val="clear" w:color="auto" w:fill="auto"/>
            <w:vAlign w:val="bottom"/>
          </w:tcPr>
          <w:p w14:paraId="194D921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 xml:space="preserve">Hyperandrogenism (yes </w:t>
            </w:r>
            <w:r w:rsidRPr="00732F3B">
              <w:rPr>
                <w:rFonts w:ascii="Book Antiqua" w:hAnsi="Book Antiqua"/>
                <w:bCs/>
                <w:i/>
                <w:iCs/>
                <w:color w:val="000000" w:themeColor="text1"/>
              </w:rPr>
              <w:t xml:space="preserve">vs </w:t>
            </w:r>
            <w:r w:rsidRPr="00732F3B">
              <w:rPr>
                <w:rFonts w:ascii="Book Antiqua" w:hAnsi="Book Antiqua"/>
                <w:bCs/>
                <w:color w:val="000000" w:themeColor="text1"/>
              </w:rPr>
              <w:t>no)</w:t>
            </w:r>
          </w:p>
        </w:tc>
        <w:tc>
          <w:tcPr>
            <w:tcW w:w="1565" w:type="pct"/>
            <w:vAlign w:val="center"/>
          </w:tcPr>
          <w:p w14:paraId="4FEA91C3"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1.28 (1.10-1.48)</w:t>
            </w:r>
            <w:r w:rsidRPr="00732F3B">
              <w:rPr>
                <w:rFonts w:ascii="Book Antiqua" w:hAnsi="Book Antiqua"/>
                <w:bCs/>
                <w:color w:val="000000" w:themeColor="text1"/>
                <w:vertAlign w:val="superscript"/>
              </w:rPr>
              <w:t>a</w:t>
            </w:r>
          </w:p>
        </w:tc>
        <w:tc>
          <w:tcPr>
            <w:tcW w:w="1407" w:type="pct"/>
            <w:vAlign w:val="center"/>
          </w:tcPr>
          <w:p w14:paraId="74E6C705"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3.54 (1.00-12.57)</w:t>
            </w:r>
            <w:r w:rsidRPr="00732F3B">
              <w:rPr>
                <w:rFonts w:ascii="Book Antiqua" w:hAnsi="Book Antiqua"/>
                <w:bCs/>
                <w:color w:val="000000" w:themeColor="text1"/>
                <w:vertAlign w:val="superscript"/>
              </w:rPr>
              <w:t>a</w:t>
            </w:r>
          </w:p>
        </w:tc>
      </w:tr>
      <w:tr w:rsidR="00A95741" w:rsidRPr="00732F3B" w14:paraId="3928CDEC" w14:textId="77777777" w:rsidTr="0043179C">
        <w:trPr>
          <w:trHeight w:val="651"/>
        </w:trPr>
        <w:tc>
          <w:tcPr>
            <w:tcW w:w="2028" w:type="pct"/>
            <w:shd w:val="clear" w:color="auto" w:fill="auto"/>
            <w:vAlign w:val="bottom"/>
          </w:tcPr>
          <w:p w14:paraId="1A4B0BC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 xml:space="preserve">Elevated ALT (yes </w:t>
            </w:r>
            <w:r w:rsidRPr="00732F3B">
              <w:rPr>
                <w:rFonts w:ascii="Book Antiqua" w:hAnsi="Book Antiqua"/>
                <w:bCs/>
                <w:i/>
                <w:iCs/>
                <w:color w:val="000000" w:themeColor="text1"/>
              </w:rPr>
              <w:t>vs</w:t>
            </w:r>
            <w:r w:rsidRPr="00732F3B">
              <w:rPr>
                <w:rFonts w:ascii="Book Antiqua" w:hAnsi="Book Antiqua"/>
                <w:bCs/>
                <w:color w:val="000000" w:themeColor="text1"/>
              </w:rPr>
              <w:t xml:space="preserve"> no)</w:t>
            </w:r>
          </w:p>
        </w:tc>
        <w:tc>
          <w:tcPr>
            <w:tcW w:w="1565" w:type="pct"/>
            <w:vAlign w:val="center"/>
          </w:tcPr>
          <w:p w14:paraId="4C0F9DD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1.93 (1.32-2.84)</w:t>
            </w:r>
            <w:r w:rsidRPr="00732F3B">
              <w:rPr>
                <w:rFonts w:ascii="Book Antiqua" w:hAnsi="Book Antiqua"/>
                <w:bCs/>
                <w:color w:val="000000" w:themeColor="text1"/>
                <w:vertAlign w:val="superscript"/>
              </w:rPr>
              <w:t>a</w:t>
            </w:r>
          </w:p>
        </w:tc>
        <w:tc>
          <w:tcPr>
            <w:tcW w:w="1407" w:type="pct"/>
            <w:vAlign w:val="center"/>
          </w:tcPr>
          <w:p w14:paraId="0E283FEB"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2.55 (0.80-8.14)</w:t>
            </w:r>
          </w:p>
        </w:tc>
      </w:tr>
    </w:tbl>
    <w:p w14:paraId="5E896803" w14:textId="77777777" w:rsidR="006F3770" w:rsidRDefault="00A95741" w:rsidP="00732F3B">
      <w:pPr>
        <w:adjustRightInd w:val="0"/>
        <w:snapToGrid w:val="0"/>
        <w:spacing w:line="360" w:lineRule="auto"/>
        <w:jc w:val="both"/>
        <w:rPr>
          <w:rFonts w:ascii="Book Antiqua" w:hAnsi="Book Antiqua"/>
          <w:color w:val="000000" w:themeColor="text1"/>
          <w:lang w:eastAsia="zh-CN"/>
        </w:rPr>
      </w:pPr>
      <w:r w:rsidRPr="00732F3B">
        <w:rPr>
          <w:rFonts w:ascii="Book Antiqua" w:hAnsi="Book Antiqua"/>
          <w:color w:val="000000" w:themeColor="text1"/>
        </w:rPr>
        <w:t xml:space="preserve">Odds ratios and 95% confidence intervals are shown for each variable analyzed in univariable and multivariable logistic regression analysis. </w:t>
      </w:r>
    </w:p>
    <w:p w14:paraId="30EB671A" w14:textId="6D6377AD" w:rsidR="006F3770" w:rsidRDefault="00A95741" w:rsidP="00732F3B">
      <w:pPr>
        <w:adjustRightInd w:val="0"/>
        <w:snapToGrid w:val="0"/>
        <w:spacing w:line="360" w:lineRule="auto"/>
        <w:jc w:val="both"/>
        <w:rPr>
          <w:rFonts w:ascii="Book Antiqua" w:hAnsi="Book Antiqua"/>
          <w:color w:val="000000" w:themeColor="text1"/>
          <w:lang w:eastAsia="zh-CN"/>
        </w:rPr>
      </w:pPr>
      <w:r w:rsidRPr="00732F3B">
        <w:rPr>
          <w:rFonts w:ascii="Book Antiqua" w:hAnsi="Book Antiqua"/>
          <w:color w:val="000000" w:themeColor="text1"/>
          <w:vertAlign w:val="superscript"/>
        </w:rPr>
        <w:t>a</w:t>
      </w:r>
      <w:r w:rsidRPr="00732F3B">
        <w:rPr>
          <w:rFonts w:ascii="Book Antiqua" w:hAnsi="Book Antiqua"/>
          <w:i/>
          <w:iCs/>
          <w:color w:val="000000" w:themeColor="text1"/>
        </w:rPr>
        <w:t>P</w:t>
      </w:r>
      <w:r w:rsidRPr="00732F3B">
        <w:rPr>
          <w:rFonts w:ascii="Book Antiqua" w:hAnsi="Book Antiqua"/>
          <w:color w:val="000000" w:themeColor="text1"/>
        </w:rPr>
        <w:t xml:space="preserve"> &lt; 0.05</w:t>
      </w:r>
      <w:r w:rsidR="006F3770">
        <w:rPr>
          <w:rFonts w:ascii="Book Antiqua" w:hAnsi="Book Antiqua" w:hint="eastAsia"/>
          <w:color w:val="000000" w:themeColor="text1"/>
          <w:lang w:eastAsia="zh-CN"/>
        </w:rPr>
        <w:t>.</w:t>
      </w:r>
    </w:p>
    <w:p w14:paraId="772FBDAA" w14:textId="77777777" w:rsidR="006F3770" w:rsidRDefault="00A95741" w:rsidP="00732F3B">
      <w:pPr>
        <w:adjustRightInd w:val="0"/>
        <w:snapToGrid w:val="0"/>
        <w:spacing w:line="360" w:lineRule="auto"/>
        <w:jc w:val="both"/>
        <w:rPr>
          <w:rFonts w:ascii="Book Antiqua" w:hAnsi="Book Antiqua"/>
          <w:color w:val="000000" w:themeColor="text1"/>
          <w:lang w:eastAsia="zh-CN"/>
        </w:rPr>
      </w:pPr>
      <w:r w:rsidRPr="00732F3B">
        <w:rPr>
          <w:rFonts w:ascii="Book Antiqua" w:hAnsi="Book Antiqua"/>
          <w:color w:val="000000" w:themeColor="text1"/>
          <w:vertAlign w:val="superscript"/>
        </w:rPr>
        <w:t>b</w:t>
      </w:r>
      <w:r w:rsidRPr="00732F3B">
        <w:rPr>
          <w:rFonts w:ascii="Book Antiqua" w:hAnsi="Book Antiqua"/>
          <w:i/>
          <w:iCs/>
          <w:color w:val="000000" w:themeColor="text1"/>
        </w:rPr>
        <w:t>P</w:t>
      </w:r>
      <w:r w:rsidRPr="00732F3B">
        <w:rPr>
          <w:rFonts w:ascii="Book Antiqua" w:hAnsi="Book Antiqua"/>
          <w:color w:val="000000" w:themeColor="text1"/>
        </w:rPr>
        <w:t xml:space="preserve"> &lt; 0.001. </w:t>
      </w:r>
    </w:p>
    <w:p w14:paraId="1DDD6BDD" w14:textId="7D8C28BA" w:rsidR="00A77B3E"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 xml:space="preserve">CAP: Controlled attenuation parameter; FAI: Free androgen index; HOMA-IR: Homeostasis model for assessment of insulin resistance; </w:t>
      </w:r>
      <w:r w:rsidRPr="00732F3B">
        <w:rPr>
          <w:rFonts w:ascii="Book Antiqua" w:hAnsi="Book Antiqua" w:cs="AdvEPSTIM"/>
          <w:color w:val="000000" w:themeColor="text1"/>
        </w:rPr>
        <w:t>IU: International unit</w:t>
      </w:r>
      <w:r w:rsidRPr="00732F3B">
        <w:rPr>
          <w:rFonts w:ascii="Book Antiqua" w:hAnsi="Book Antiqua"/>
          <w:color w:val="000000" w:themeColor="text1"/>
        </w:rPr>
        <w:t xml:space="preserve">; </w:t>
      </w:r>
      <w:r w:rsidRPr="00732F3B">
        <w:rPr>
          <w:rFonts w:ascii="Book Antiqua" w:hAnsi="Book Antiqua" w:cs="AdvEPSTIM"/>
          <w:color w:val="000000" w:themeColor="text1"/>
        </w:rPr>
        <w:t xml:space="preserve">aOR: Adjusted odds ratio; NAFLD: </w:t>
      </w:r>
      <w:bookmarkStart w:id="52" w:name="_Hlk55251026"/>
      <w:r w:rsidRPr="00732F3B">
        <w:rPr>
          <w:rFonts w:ascii="Book Antiqua" w:hAnsi="Book Antiqua" w:cs="AdvEPSTIM"/>
          <w:color w:val="000000" w:themeColor="text1"/>
        </w:rPr>
        <w:t>Nonalcoholic fatty liver disease</w:t>
      </w:r>
      <w:bookmarkEnd w:id="52"/>
      <w:r w:rsidRPr="00732F3B">
        <w:rPr>
          <w:rFonts w:ascii="Book Antiqua" w:hAnsi="Book Antiqua" w:cs="AdvEPSTIM"/>
          <w:color w:val="000000" w:themeColor="text1"/>
        </w:rPr>
        <w:t xml:space="preserve">; </w:t>
      </w:r>
      <w:r w:rsidRPr="00732F3B">
        <w:rPr>
          <w:rFonts w:ascii="Book Antiqua" w:hAnsi="Book Antiqua"/>
          <w:color w:val="000000" w:themeColor="text1"/>
        </w:rPr>
        <w:t>PCOS: Polycystic ovary syndrome</w:t>
      </w:r>
      <w:r w:rsidRPr="00732F3B">
        <w:rPr>
          <w:rFonts w:ascii="Book Antiqua" w:hAnsi="Book Antiqua" w:cs="AdvEPSTIM"/>
          <w:color w:val="000000" w:themeColor="text1"/>
        </w:rPr>
        <w:t>.</w:t>
      </w:r>
    </w:p>
    <w:sectPr w:rsidR="00A77B3E" w:rsidRPr="00732F3B" w:rsidSect="00C65E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0EEA8" w14:textId="77777777" w:rsidR="00FB2A90" w:rsidRDefault="00FB2A90" w:rsidP="00007A78">
      <w:r>
        <w:separator/>
      </w:r>
    </w:p>
  </w:endnote>
  <w:endnote w:type="continuationSeparator" w:id="0">
    <w:p w14:paraId="797550E7" w14:textId="77777777" w:rsidR="00FB2A90" w:rsidRDefault="00FB2A90" w:rsidP="0000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EPSTIM">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167784"/>
      <w:docPartObj>
        <w:docPartGallery w:val="Page Numbers (Bottom of Page)"/>
        <w:docPartUnique/>
      </w:docPartObj>
    </w:sdtPr>
    <w:sdtEndPr/>
    <w:sdtContent>
      <w:sdt>
        <w:sdtPr>
          <w:id w:val="-1769616900"/>
          <w:docPartObj>
            <w:docPartGallery w:val="Page Numbers (Top of Page)"/>
            <w:docPartUnique/>
          </w:docPartObj>
        </w:sdtPr>
        <w:sdtEndPr/>
        <w:sdtContent>
          <w:p w14:paraId="4F05A5C5" w14:textId="17333C6D" w:rsidR="00101D47" w:rsidRDefault="00101D4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B2A90">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B2A90">
              <w:rPr>
                <w:b/>
                <w:bCs/>
                <w:noProof/>
              </w:rPr>
              <w:t>1</w:t>
            </w:r>
            <w:r>
              <w:rPr>
                <w:b/>
                <w:bCs/>
                <w:sz w:val="24"/>
                <w:szCs w:val="24"/>
              </w:rPr>
              <w:fldChar w:fldCharType="end"/>
            </w:r>
          </w:p>
        </w:sdtContent>
      </w:sdt>
    </w:sdtContent>
  </w:sdt>
  <w:p w14:paraId="0E4668E8" w14:textId="77777777" w:rsidR="00101D47" w:rsidRDefault="00101D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651EA" w14:textId="77777777" w:rsidR="00FB2A90" w:rsidRDefault="00FB2A90" w:rsidP="00007A78">
      <w:r>
        <w:separator/>
      </w:r>
    </w:p>
  </w:footnote>
  <w:footnote w:type="continuationSeparator" w:id="0">
    <w:p w14:paraId="2E64637B" w14:textId="77777777" w:rsidR="00FB2A90" w:rsidRDefault="00FB2A90" w:rsidP="00007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74DB8"/>
    <w:multiLevelType w:val="multilevel"/>
    <w:tmpl w:val="B3FA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9F0"/>
    <w:rsid w:val="00007A78"/>
    <w:rsid w:val="000346C2"/>
    <w:rsid w:val="00047C30"/>
    <w:rsid w:val="00056E5B"/>
    <w:rsid w:val="000612A2"/>
    <w:rsid w:val="000620E4"/>
    <w:rsid w:val="00063ABA"/>
    <w:rsid w:val="00064F55"/>
    <w:rsid w:val="000760A6"/>
    <w:rsid w:val="00095441"/>
    <w:rsid w:val="000A197F"/>
    <w:rsid w:val="000C66F7"/>
    <w:rsid w:val="000F00B6"/>
    <w:rsid w:val="00101D47"/>
    <w:rsid w:val="00102CBB"/>
    <w:rsid w:val="001156C8"/>
    <w:rsid w:val="0011773B"/>
    <w:rsid w:val="00120C9C"/>
    <w:rsid w:val="00132916"/>
    <w:rsid w:val="00171365"/>
    <w:rsid w:val="001B5597"/>
    <w:rsid w:val="001C352F"/>
    <w:rsid w:val="001E4456"/>
    <w:rsid w:val="00217090"/>
    <w:rsid w:val="002310FE"/>
    <w:rsid w:val="00260EB5"/>
    <w:rsid w:val="00265E3C"/>
    <w:rsid w:val="00292992"/>
    <w:rsid w:val="00294832"/>
    <w:rsid w:val="002C7B15"/>
    <w:rsid w:val="002E61CD"/>
    <w:rsid w:val="002F5C28"/>
    <w:rsid w:val="0030757C"/>
    <w:rsid w:val="003741D7"/>
    <w:rsid w:val="003972E4"/>
    <w:rsid w:val="003A14F2"/>
    <w:rsid w:val="004159E4"/>
    <w:rsid w:val="00417627"/>
    <w:rsid w:val="0043179C"/>
    <w:rsid w:val="00444929"/>
    <w:rsid w:val="00457D00"/>
    <w:rsid w:val="004C6969"/>
    <w:rsid w:val="004D2FC1"/>
    <w:rsid w:val="00511DEF"/>
    <w:rsid w:val="00533ED7"/>
    <w:rsid w:val="0054251B"/>
    <w:rsid w:val="00583FCA"/>
    <w:rsid w:val="00584E1F"/>
    <w:rsid w:val="005B1955"/>
    <w:rsid w:val="005C0497"/>
    <w:rsid w:val="005E5DFA"/>
    <w:rsid w:val="00612B7C"/>
    <w:rsid w:val="00614AC7"/>
    <w:rsid w:val="0065528B"/>
    <w:rsid w:val="006E1656"/>
    <w:rsid w:val="006F19D1"/>
    <w:rsid w:val="006F3770"/>
    <w:rsid w:val="007176E2"/>
    <w:rsid w:val="00724121"/>
    <w:rsid w:val="00732F3B"/>
    <w:rsid w:val="0075609B"/>
    <w:rsid w:val="00771124"/>
    <w:rsid w:val="007A1C8F"/>
    <w:rsid w:val="007C1018"/>
    <w:rsid w:val="007D2531"/>
    <w:rsid w:val="008238FB"/>
    <w:rsid w:val="00842529"/>
    <w:rsid w:val="00875CCB"/>
    <w:rsid w:val="00885F82"/>
    <w:rsid w:val="00887A89"/>
    <w:rsid w:val="00891804"/>
    <w:rsid w:val="008949BB"/>
    <w:rsid w:val="008C06A5"/>
    <w:rsid w:val="008E7B18"/>
    <w:rsid w:val="008F73BE"/>
    <w:rsid w:val="00922768"/>
    <w:rsid w:val="00930E6C"/>
    <w:rsid w:val="009B19CB"/>
    <w:rsid w:val="009F22FF"/>
    <w:rsid w:val="009F4004"/>
    <w:rsid w:val="00A41222"/>
    <w:rsid w:val="00A6243C"/>
    <w:rsid w:val="00A77B3E"/>
    <w:rsid w:val="00A8042D"/>
    <w:rsid w:val="00A95741"/>
    <w:rsid w:val="00A97810"/>
    <w:rsid w:val="00AA4C61"/>
    <w:rsid w:val="00AA7015"/>
    <w:rsid w:val="00AE6FDA"/>
    <w:rsid w:val="00B04E51"/>
    <w:rsid w:val="00B35821"/>
    <w:rsid w:val="00B4432F"/>
    <w:rsid w:val="00B71500"/>
    <w:rsid w:val="00BB1453"/>
    <w:rsid w:val="00C457F2"/>
    <w:rsid w:val="00C64ACA"/>
    <w:rsid w:val="00C65E0A"/>
    <w:rsid w:val="00C74AF2"/>
    <w:rsid w:val="00C85195"/>
    <w:rsid w:val="00C93CF4"/>
    <w:rsid w:val="00CA2A55"/>
    <w:rsid w:val="00CB39E6"/>
    <w:rsid w:val="00CE6503"/>
    <w:rsid w:val="00CE7CD5"/>
    <w:rsid w:val="00D76D0F"/>
    <w:rsid w:val="00DE5C48"/>
    <w:rsid w:val="00E03967"/>
    <w:rsid w:val="00E15EAC"/>
    <w:rsid w:val="00E22837"/>
    <w:rsid w:val="00E6484D"/>
    <w:rsid w:val="00E7641A"/>
    <w:rsid w:val="00E95920"/>
    <w:rsid w:val="00EB7F70"/>
    <w:rsid w:val="00EC329A"/>
    <w:rsid w:val="00ED113B"/>
    <w:rsid w:val="00EE6E79"/>
    <w:rsid w:val="00F14ED5"/>
    <w:rsid w:val="00F224F8"/>
    <w:rsid w:val="00F31A54"/>
    <w:rsid w:val="00F939A2"/>
    <w:rsid w:val="00FA6F44"/>
    <w:rsid w:val="00FB2A90"/>
    <w:rsid w:val="00FB4B28"/>
    <w:rsid w:val="00FC297D"/>
    <w:rsid w:val="00FE0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A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customStyle="1" w:styleId="p1">
    <w:name w:val="p1"/>
    <w:basedOn w:val="a"/>
    <w:link w:val="p1Char"/>
    <w:rsid w:val="00A95741"/>
    <w:rPr>
      <w:rFonts w:ascii="Helvetica" w:eastAsiaTheme="minorHAnsi" w:hAnsi="Helvetica"/>
      <w:sz w:val="12"/>
      <w:szCs w:val="12"/>
      <w:lang w:val="fr-FR" w:eastAsia="fr-FR"/>
    </w:rPr>
  </w:style>
  <w:style w:type="character" w:customStyle="1" w:styleId="p1Char">
    <w:name w:val="p1 Char"/>
    <w:basedOn w:val="a0"/>
    <w:link w:val="p1"/>
    <w:rsid w:val="00A95741"/>
    <w:rPr>
      <w:rFonts w:ascii="Helvetica" w:eastAsiaTheme="minorHAnsi" w:hAnsi="Helvetica"/>
      <w:sz w:val="12"/>
      <w:szCs w:val="12"/>
      <w:lang w:val="fr-FR" w:eastAsia="fr-FR"/>
    </w:rPr>
  </w:style>
  <w:style w:type="table" w:styleId="a3">
    <w:name w:val="Table Grid"/>
    <w:basedOn w:val="a1"/>
    <w:uiPriority w:val="39"/>
    <w:rsid w:val="00A95741"/>
    <w:rPr>
      <w:rFonts w:asciiTheme="minorHAnsi" w:eastAsia="宋体" w:hAnsiTheme="minorHAnsi" w:cstheme="minorBidi"/>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007A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07A78"/>
    <w:rPr>
      <w:sz w:val="18"/>
      <w:szCs w:val="18"/>
    </w:rPr>
  </w:style>
  <w:style w:type="paragraph" w:styleId="a5">
    <w:name w:val="footer"/>
    <w:basedOn w:val="a"/>
    <w:link w:val="Char0"/>
    <w:uiPriority w:val="99"/>
    <w:unhideWhenUsed/>
    <w:rsid w:val="00007A78"/>
    <w:pPr>
      <w:tabs>
        <w:tab w:val="center" w:pos="4153"/>
        <w:tab w:val="right" w:pos="8306"/>
      </w:tabs>
      <w:snapToGrid w:val="0"/>
    </w:pPr>
    <w:rPr>
      <w:sz w:val="18"/>
      <w:szCs w:val="18"/>
    </w:rPr>
  </w:style>
  <w:style w:type="character" w:customStyle="1" w:styleId="Char0">
    <w:name w:val="页脚 Char"/>
    <w:basedOn w:val="a0"/>
    <w:link w:val="a5"/>
    <w:uiPriority w:val="99"/>
    <w:rsid w:val="00007A78"/>
    <w:rPr>
      <w:sz w:val="18"/>
      <w:szCs w:val="18"/>
    </w:rPr>
  </w:style>
  <w:style w:type="paragraph" w:styleId="a6">
    <w:name w:val="Balloon Text"/>
    <w:basedOn w:val="a"/>
    <w:link w:val="Char1"/>
    <w:semiHidden/>
    <w:unhideWhenUsed/>
    <w:rsid w:val="00A97810"/>
    <w:rPr>
      <w:sz w:val="18"/>
      <w:szCs w:val="18"/>
    </w:rPr>
  </w:style>
  <w:style w:type="character" w:customStyle="1" w:styleId="Char1">
    <w:name w:val="批注框文本 Char"/>
    <w:basedOn w:val="a0"/>
    <w:link w:val="a6"/>
    <w:semiHidden/>
    <w:rsid w:val="00A978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customStyle="1" w:styleId="p1">
    <w:name w:val="p1"/>
    <w:basedOn w:val="a"/>
    <w:link w:val="p1Char"/>
    <w:rsid w:val="00A95741"/>
    <w:rPr>
      <w:rFonts w:ascii="Helvetica" w:eastAsiaTheme="minorHAnsi" w:hAnsi="Helvetica"/>
      <w:sz w:val="12"/>
      <w:szCs w:val="12"/>
      <w:lang w:val="fr-FR" w:eastAsia="fr-FR"/>
    </w:rPr>
  </w:style>
  <w:style w:type="character" w:customStyle="1" w:styleId="p1Char">
    <w:name w:val="p1 Char"/>
    <w:basedOn w:val="a0"/>
    <w:link w:val="p1"/>
    <w:rsid w:val="00A95741"/>
    <w:rPr>
      <w:rFonts w:ascii="Helvetica" w:eastAsiaTheme="minorHAnsi" w:hAnsi="Helvetica"/>
      <w:sz w:val="12"/>
      <w:szCs w:val="12"/>
      <w:lang w:val="fr-FR" w:eastAsia="fr-FR"/>
    </w:rPr>
  </w:style>
  <w:style w:type="table" w:styleId="a3">
    <w:name w:val="Table Grid"/>
    <w:basedOn w:val="a1"/>
    <w:uiPriority w:val="39"/>
    <w:rsid w:val="00A95741"/>
    <w:rPr>
      <w:rFonts w:asciiTheme="minorHAnsi" w:eastAsia="宋体" w:hAnsiTheme="minorHAnsi" w:cstheme="minorBidi"/>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007A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07A78"/>
    <w:rPr>
      <w:sz w:val="18"/>
      <w:szCs w:val="18"/>
    </w:rPr>
  </w:style>
  <w:style w:type="paragraph" w:styleId="a5">
    <w:name w:val="footer"/>
    <w:basedOn w:val="a"/>
    <w:link w:val="Char0"/>
    <w:uiPriority w:val="99"/>
    <w:unhideWhenUsed/>
    <w:rsid w:val="00007A78"/>
    <w:pPr>
      <w:tabs>
        <w:tab w:val="center" w:pos="4153"/>
        <w:tab w:val="right" w:pos="8306"/>
      </w:tabs>
      <w:snapToGrid w:val="0"/>
    </w:pPr>
    <w:rPr>
      <w:sz w:val="18"/>
      <w:szCs w:val="18"/>
    </w:rPr>
  </w:style>
  <w:style w:type="character" w:customStyle="1" w:styleId="Char0">
    <w:name w:val="页脚 Char"/>
    <w:basedOn w:val="a0"/>
    <w:link w:val="a5"/>
    <w:uiPriority w:val="99"/>
    <w:rsid w:val="00007A78"/>
    <w:rPr>
      <w:sz w:val="18"/>
      <w:szCs w:val="18"/>
    </w:rPr>
  </w:style>
  <w:style w:type="paragraph" w:styleId="a6">
    <w:name w:val="Balloon Text"/>
    <w:basedOn w:val="a"/>
    <w:link w:val="Char1"/>
    <w:semiHidden/>
    <w:unhideWhenUsed/>
    <w:rsid w:val="00A97810"/>
    <w:rPr>
      <w:sz w:val="18"/>
      <w:szCs w:val="18"/>
    </w:rPr>
  </w:style>
  <w:style w:type="character" w:customStyle="1" w:styleId="Char1">
    <w:name w:val="批注框文本 Char"/>
    <w:basedOn w:val="a0"/>
    <w:link w:val="a6"/>
    <w:semiHidden/>
    <w:rsid w:val="00A978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3967">
      <w:bodyDiv w:val="1"/>
      <w:marLeft w:val="0"/>
      <w:marRight w:val="0"/>
      <w:marTop w:val="0"/>
      <w:marBottom w:val="0"/>
      <w:divBdr>
        <w:top w:val="none" w:sz="0" w:space="0" w:color="auto"/>
        <w:left w:val="none" w:sz="0" w:space="0" w:color="auto"/>
        <w:bottom w:val="none" w:sz="0" w:space="0" w:color="auto"/>
        <w:right w:val="none" w:sz="0" w:space="0" w:color="auto"/>
      </w:divBdr>
    </w:div>
    <w:div w:id="1057974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t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41</Pages>
  <Words>8683</Words>
  <Characters>49495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8</cp:revision>
  <dcterms:created xsi:type="dcterms:W3CDTF">2020-11-12T19:01:00Z</dcterms:created>
  <dcterms:modified xsi:type="dcterms:W3CDTF">2020-11-26T06:15:00Z</dcterms:modified>
</cp:coreProperties>
</file>