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ED2A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Name of Journal: </w:t>
      </w:r>
      <w:r w:rsidRPr="00B20C53">
        <w:rPr>
          <w:rFonts w:ascii="Book Antiqua" w:eastAsia="Book Antiqua" w:hAnsi="Book Antiqua" w:cs="Book Antiqua"/>
          <w:i/>
          <w:color w:val="000000" w:themeColor="text1"/>
        </w:rPr>
        <w:t>World Journal of Clinical Cases</w:t>
      </w:r>
    </w:p>
    <w:p w14:paraId="5603405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Manuscript NO: </w:t>
      </w:r>
      <w:r w:rsidRPr="00B20C53">
        <w:rPr>
          <w:rFonts w:ascii="Book Antiqua" w:eastAsia="Book Antiqua" w:hAnsi="Book Antiqua" w:cs="Book Antiqua"/>
          <w:color w:val="000000" w:themeColor="text1"/>
        </w:rPr>
        <w:t>59691</w:t>
      </w:r>
    </w:p>
    <w:p w14:paraId="55C8C30A"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Manuscript Type: </w:t>
      </w:r>
      <w:r w:rsidRPr="00B20C53">
        <w:rPr>
          <w:rFonts w:ascii="Book Antiqua" w:eastAsia="Book Antiqua" w:hAnsi="Book Antiqua" w:cs="Book Antiqua"/>
          <w:color w:val="000000" w:themeColor="text1"/>
        </w:rPr>
        <w:t>CASE REPORT</w:t>
      </w:r>
    </w:p>
    <w:p w14:paraId="11EF4AA0" w14:textId="77777777" w:rsidR="00A77B3E" w:rsidRPr="00B20C53" w:rsidRDefault="00A77B3E" w:rsidP="00B20C53">
      <w:pPr>
        <w:snapToGrid w:val="0"/>
        <w:spacing w:line="360" w:lineRule="auto"/>
        <w:jc w:val="both"/>
        <w:rPr>
          <w:color w:val="000000" w:themeColor="text1"/>
        </w:rPr>
      </w:pPr>
    </w:p>
    <w:p w14:paraId="240E967F" w14:textId="4F3DBD88"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Idiopathic adulthood ductopenia with elevated transaminase only</w:t>
      </w:r>
      <w:r w:rsidR="004C0A0D" w:rsidRPr="00B20C53">
        <w:rPr>
          <w:rFonts w:ascii="Book Antiqua" w:hAnsi="Book Antiqua" w:cs="Book Antiqua"/>
          <w:b/>
          <w:color w:val="000000" w:themeColor="text1"/>
          <w:lang w:eastAsia="zh-CN"/>
        </w:rPr>
        <w:t xml:space="preserve">: </w:t>
      </w:r>
      <w:r w:rsidRPr="00B20C53">
        <w:rPr>
          <w:rFonts w:ascii="Book Antiqua" w:eastAsia="Book Antiqua" w:hAnsi="Book Antiqua" w:cs="Book Antiqua"/>
          <w:b/>
          <w:color w:val="000000" w:themeColor="text1"/>
        </w:rPr>
        <w:t>A case report</w:t>
      </w:r>
    </w:p>
    <w:p w14:paraId="5EB04CB8" w14:textId="77777777" w:rsidR="00A77B3E" w:rsidRPr="00B20C53" w:rsidRDefault="00A77B3E" w:rsidP="00B20C53">
      <w:pPr>
        <w:snapToGrid w:val="0"/>
        <w:spacing w:line="360" w:lineRule="auto"/>
        <w:jc w:val="both"/>
        <w:rPr>
          <w:color w:val="000000" w:themeColor="text1"/>
        </w:rPr>
      </w:pPr>
    </w:p>
    <w:p w14:paraId="2C7C0CB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Zhang XC </w:t>
      </w:r>
      <w:r w:rsidRPr="00B20C53">
        <w:rPr>
          <w:rFonts w:ascii="Book Antiqua" w:eastAsia="Book Antiqua" w:hAnsi="Book Antiqua" w:cs="Book Antiqua"/>
          <w:i/>
          <w:iCs/>
          <w:color w:val="000000" w:themeColor="text1"/>
        </w:rPr>
        <w:t>et al</w:t>
      </w:r>
      <w:r w:rsidRPr="00B20C53">
        <w:rPr>
          <w:rFonts w:ascii="Book Antiqua" w:eastAsia="Book Antiqua" w:hAnsi="Book Antiqua" w:cs="Book Antiqua"/>
          <w:color w:val="000000" w:themeColor="text1"/>
        </w:rPr>
        <w:t>. IAD case report</w:t>
      </w:r>
    </w:p>
    <w:p w14:paraId="2E012C44" w14:textId="77777777" w:rsidR="00A77B3E" w:rsidRPr="00B20C53" w:rsidRDefault="00A77B3E" w:rsidP="00B20C53">
      <w:pPr>
        <w:snapToGrid w:val="0"/>
        <w:spacing w:line="360" w:lineRule="auto"/>
        <w:jc w:val="both"/>
        <w:rPr>
          <w:color w:val="000000" w:themeColor="text1"/>
        </w:rPr>
      </w:pPr>
    </w:p>
    <w:p w14:paraId="7E0BE75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Xiao-Chen Zhang, Di Wang, Xiang Li, Yu-Lin Hu, Chong Wang</w:t>
      </w:r>
    </w:p>
    <w:p w14:paraId="29B809F8" w14:textId="77777777" w:rsidR="00A77B3E" w:rsidRPr="00B20C53" w:rsidRDefault="00A77B3E" w:rsidP="00B20C53">
      <w:pPr>
        <w:snapToGrid w:val="0"/>
        <w:spacing w:line="360" w:lineRule="auto"/>
        <w:jc w:val="both"/>
        <w:rPr>
          <w:color w:val="000000" w:themeColor="text1"/>
        </w:rPr>
      </w:pPr>
    </w:p>
    <w:p w14:paraId="14633CA6"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Xiao-Chen Zhang, Di Wang, Xiang Li, Yu-Lin Hu, Chong Wang, </w:t>
      </w:r>
      <w:r w:rsidRPr="00B20C53">
        <w:rPr>
          <w:rFonts w:ascii="Book Antiqua" w:eastAsia="Book Antiqua" w:hAnsi="Book Antiqua" w:cs="Book Antiqua"/>
          <w:color w:val="000000" w:themeColor="text1"/>
        </w:rPr>
        <w:t>Department of Hepatology, The First Hospital of Jilin University, Changchun 130021, Jilin Province, China</w:t>
      </w:r>
    </w:p>
    <w:p w14:paraId="3E1A5FB5" w14:textId="77777777" w:rsidR="00A77B3E" w:rsidRPr="00B20C53" w:rsidRDefault="00A77B3E" w:rsidP="00B20C53">
      <w:pPr>
        <w:snapToGrid w:val="0"/>
        <w:spacing w:line="360" w:lineRule="auto"/>
        <w:jc w:val="both"/>
        <w:rPr>
          <w:color w:val="000000" w:themeColor="text1"/>
        </w:rPr>
      </w:pPr>
    </w:p>
    <w:p w14:paraId="14D66D76" w14:textId="41F2C208"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Author contributions: </w:t>
      </w:r>
      <w:r w:rsidRPr="00B20C53">
        <w:rPr>
          <w:rFonts w:ascii="Book Antiqua" w:eastAsia="Book Antiqua" w:hAnsi="Book Antiqua" w:cs="Book Antiqua"/>
          <w:color w:val="000000" w:themeColor="text1"/>
        </w:rPr>
        <w:t>Zhang XC was the patient’s doctor in charge and was responsible for collecting medical history, reviewing the literature, and drafting the paper; Wang D and Li X were responsible for collecting medical history; Hu YL was the patient’s doctor in charge; Wang C was the patient’s doctor in charge</w:t>
      </w:r>
      <w:r w:rsidR="00ED435C"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reviewed the literature and </w:t>
      </w:r>
      <w:r w:rsidR="00ED435C" w:rsidRPr="00B20C53">
        <w:rPr>
          <w:rFonts w:ascii="Book Antiqua" w:eastAsia="Book Antiqua" w:hAnsi="Book Antiqua" w:cs="Book Antiqua"/>
          <w:color w:val="000000" w:themeColor="text1"/>
        </w:rPr>
        <w:t>contributed to manuscript revision</w:t>
      </w:r>
      <w:r w:rsidRPr="00B20C53">
        <w:rPr>
          <w:rFonts w:ascii="Book Antiqua" w:eastAsia="Book Antiqua" w:hAnsi="Book Antiqua" w:cs="Book Antiqua"/>
          <w:color w:val="000000" w:themeColor="text1"/>
        </w:rPr>
        <w:t xml:space="preserve">; </w:t>
      </w:r>
      <w:r w:rsidR="005418F9">
        <w:rPr>
          <w:rFonts w:ascii="Book Antiqua" w:eastAsia="Book Antiqua" w:hAnsi="Book Antiqua" w:cs="Book Antiqua"/>
          <w:color w:val="000000" w:themeColor="text1"/>
        </w:rPr>
        <w:t>A</w:t>
      </w:r>
      <w:r w:rsidRPr="00B20C53">
        <w:rPr>
          <w:rFonts w:ascii="Book Antiqua" w:eastAsia="Book Antiqua" w:hAnsi="Book Antiqua" w:cs="Book Antiqua"/>
          <w:color w:val="000000" w:themeColor="text1"/>
        </w:rPr>
        <w:t>ll authors gave final approval for the version to be submitted.</w:t>
      </w:r>
    </w:p>
    <w:p w14:paraId="0131FF05" w14:textId="77777777" w:rsidR="00A77B3E" w:rsidRPr="00B20C53" w:rsidRDefault="00A77B3E" w:rsidP="00B20C53">
      <w:pPr>
        <w:snapToGrid w:val="0"/>
        <w:spacing w:line="360" w:lineRule="auto"/>
        <w:jc w:val="both"/>
        <w:rPr>
          <w:color w:val="000000" w:themeColor="text1"/>
        </w:rPr>
      </w:pPr>
    </w:p>
    <w:p w14:paraId="76110A4D"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Corresponding author: Chong Wang, MD, PhD, Attending Doctor, </w:t>
      </w:r>
      <w:r w:rsidRPr="00B20C53">
        <w:rPr>
          <w:rFonts w:ascii="Book Antiqua" w:eastAsia="Book Antiqua" w:hAnsi="Book Antiqua" w:cs="Book Antiqua"/>
          <w:color w:val="000000" w:themeColor="text1"/>
        </w:rPr>
        <w:t>Department of Hepatology, The First Hospital of Jilin University, No. 71 Xinmin Street, Changchun 130021, Jilin Province, China. wangchong206@sina.com</w:t>
      </w:r>
    </w:p>
    <w:p w14:paraId="06C5219D" w14:textId="77777777" w:rsidR="00A77B3E" w:rsidRPr="00B20C53" w:rsidRDefault="00A77B3E" w:rsidP="00B20C53">
      <w:pPr>
        <w:snapToGrid w:val="0"/>
        <w:spacing w:line="360" w:lineRule="auto"/>
        <w:jc w:val="both"/>
        <w:rPr>
          <w:color w:val="000000" w:themeColor="text1"/>
        </w:rPr>
      </w:pPr>
    </w:p>
    <w:p w14:paraId="53A749C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Received: </w:t>
      </w:r>
      <w:r w:rsidRPr="00B20C53">
        <w:rPr>
          <w:rFonts w:ascii="Book Antiqua" w:eastAsia="Book Antiqua" w:hAnsi="Book Antiqua" w:cs="Book Antiqua"/>
          <w:color w:val="000000" w:themeColor="text1"/>
        </w:rPr>
        <w:t>September 25, 2020</w:t>
      </w:r>
    </w:p>
    <w:p w14:paraId="53C6CEB5"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Revised: </w:t>
      </w:r>
      <w:r w:rsidRPr="00B20C53">
        <w:rPr>
          <w:rFonts w:ascii="Book Antiqua" w:eastAsia="Book Antiqua" w:hAnsi="Book Antiqua" w:cs="Book Antiqua"/>
          <w:color w:val="000000" w:themeColor="text1"/>
        </w:rPr>
        <w:t>October 26, 2020</w:t>
      </w:r>
    </w:p>
    <w:p w14:paraId="0CF4C70E" w14:textId="5B9225FA"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Accepted: </w:t>
      </w:r>
      <w:r w:rsidR="00A845E5" w:rsidRPr="00B20C53">
        <w:rPr>
          <w:rFonts w:ascii="Book Antiqua" w:eastAsia="Book Antiqua" w:hAnsi="Book Antiqua" w:cs="Book Antiqua"/>
          <w:color w:val="000000" w:themeColor="text1"/>
        </w:rPr>
        <w:t>November 2, 2020</w:t>
      </w:r>
    </w:p>
    <w:p w14:paraId="25851AA3" w14:textId="738983FD" w:rsidR="00A77B3E" w:rsidRPr="00046B31" w:rsidRDefault="002A221E" w:rsidP="00B20C53">
      <w:pPr>
        <w:snapToGrid w:val="0"/>
        <w:spacing w:line="360" w:lineRule="auto"/>
        <w:jc w:val="both"/>
        <w:rPr>
          <w:color w:val="000000" w:themeColor="text1"/>
          <w:lang w:eastAsia="zh-CN"/>
        </w:rPr>
      </w:pPr>
      <w:r w:rsidRPr="00B20C53">
        <w:rPr>
          <w:rFonts w:ascii="Book Antiqua" w:eastAsia="Book Antiqua" w:hAnsi="Book Antiqua" w:cs="Book Antiqua"/>
          <w:b/>
          <w:bCs/>
          <w:color w:val="000000" w:themeColor="text1"/>
        </w:rPr>
        <w:t xml:space="preserve">Published online: </w:t>
      </w:r>
      <w:r w:rsidR="00046B31" w:rsidRPr="00046B31">
        <w:rPr>
          <w:rFonts w:ascii="Book Antiqua" w:hAnsi="Book Antiqua" w:cs="Book Antiqua" w:hint="eastAsia"/>
          <w:bCs/>
          <w:color w:val="000000" w:themeColor="text1"/>
          <w:lang w:eastAsia="zh-CN"/>
        </w:rPr>
        <w:t>December 26, 2020</w:t>
      </w:r>
    </w:p>
    <w:p w14:paraId="7E5B9BAE" w14:textId="77777777" w:rsidR="0036062B" w:rsidRPr="00B20C53" w:rsidRDefault="0036062B" w:rsidP="00B20C53">
      <w:pPr>
        <w:snapToGrid w:val="0"/>
        <w:spacing w:line="360" w:lineRule="auto"/>
        <w:jc w:val="both"/>
        <w:rPr>
          <w:color w:val="000000" w:themeColor="text1"/>
        </w:rPr>
        <w:sectPr w:rsidR="0036062B" w:rsidRPr="00B20C53">
          <w:footerReference w:type="default" r:id="rId7"/>
          <w:pgSz w:w="12240" w:h="15840"/>
          <w:pgMar w:top="1440" w:right="1440" w:bottom="1440" w:left="1440" w:header="720" w:footer="720" w:gutter="0"/>
          <w:cols w:space="720"/>
          <w:docGrid w:linePitch="360"/>
        </w:sectPr>
      </w:pPr>
    </w:p>
    <w:p w14:paraId="1B705275"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lastRenderedPageBreak/>
        <w:t>Abstract</w:t>
      </w:r>
    </w:p>
    <w:p w14:paraId="3F1809E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BACKGROUND</w:t>
      </w:r>
    </w:p>
    <w:p w14:paraId="183FB922"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Idiopathic adulthood ductopenia (IAD) is a chronic cholestatic liver disease of unknown etiology that usually presents as unexplained jaundice. It is characterized by adult onset, lack of autoantibodies, inflammatory bowel disease and loss of interlobular bile ducts.</w:t>
      </w:r>
    </w:p>
    <w:p w14:paraId="5FAE1043" w14:textId="77777777" w:rsidR="00A77B3E" w:rsidRPr="00B20C53" w:rsidRDefault="00A77B3E" w:rsidP="00B20C53">
      <w:pPr>
        <w:snapToGrid w:val="0"/>
        <w:spacing w:line="360" w:lineRule="auto"/>
        <w:jc w:val="both"/>
        <w:rPr>
          <w:color w:val="000000" w:themeColor="text1"/>
        </w:rPr>
      </w:pPr>
    </w:p>
    <w:p w14:paraId="33B2BC0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CASE SUMMARY</w:t>
      </w:r>
    </w:p>
    <w:p w14:paraId="6AE4ECCD"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This case presents a 27-year-old woman with elevation of transaminases and alkaline phosphatase without clinical symptoms. Five years ago, the patient had abnormal transaminases but no cholestasis. Three months before admission, physical examination revealed an increase in transaminases. Oral hepatoprotective drugs did not show any significant improvement, and she was admitted to hospital for further diagnosis and treatment. Liver biopsy confirmed IAD. After about 2 wk of ursodeoxycholic acid treatment, serological and histological examination showed a significant response.</w:t>
      </w:r>
    </w:p>
    <w:p w14:paraId="6B5D6982" w14:textId="77777777" w:rsidR="00A77B3E" w:rsidRPr="00B20C53" w:rsidRDefault="00A77B3E" w:rsidP="00B20C53">
      <w:pPr>
        <w:snapToGrid w:val="0"/>
        <w:spacing w:line="360" w:lineRule="auto"/>
        <w:jc w:val="both"/>
        <w:rPr>
          <w:color w:val="000000" w:themeColor="text1"/>
        </w:rPr>
      </w:pPr>
    </w:p>
    <w:p w14:paraId="79A595F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CONCLUSION</w:t>
      </w:r>
    </w:p>
    <w:p w14:paraId="6075FFD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IAD is a manifestation of cholestasis, but also may be an abnormal increase in transaminase in the early stage. </w:t>
      </w:r>
    </w:p>
    <w:p w14:paraId="29E3B07F" w14:textId="77777777" w:rsidR="00A77B3E" w:rsidRPr="00B20C53" w:rsidRDefault="00A77B3E" w:rsidP="00B20C53">
      <w:pPr>
        <w:snapToGrid w:val="0"/>
        <w:spacing w:line="360" w:lineRule="auto"/>
        <w:jc w:val="both"/>
        <w:rPr>
          <w:color w:val="000000" w:themeColor="text1"/>
        </w:rPr>
      </w:pPr>
    </w:p>
    <w:p w14:paraId="1EF6BB20" w14:textId="50083AD9"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Key Words: </w:t>
      </w:r>
      <w:r w:rsidR="004C0A0D" w:rsidRPr="00B20C53">
        <w:rPr>
          <w:rFonts w:ascii="Book Antiqua" w:eastAsia="Book Antiqua" w:hAnsi="Book Antiqua" w:cs="Book Antiqua"/>
          <w:color w:val="000000" w:themeColor="text1"/>
        </w:rPr>
        <w:t>I</w:t>
      </w:r>
      <w:r w:rsidRPr="00B20C53">
        <w:rPr>
          <w:rFonts w:ascii="Book Antiqua" w:eastAsia="Book Antiqua" w:hAnsi="Book Antiqua" w:cs="Book Antiqua"/>
          <w:color w:val="000000" w:themeColor="text1"/>
        </w:rPr>
        <w:t xml:space="preserve">diopathic adulthood ductopenia; </w:t>
      </w:r>
      <w:r w:rsidR="004C0A0D" w:rsidRPr="00B20C53">
        <w:rPr>
          <w:rFonts w:ascii="Book Antiqua" w:eastAsia="Book Antiqua" w:hAnsi="Book Antiqua" w:cs="Book Antiqua"/>
          <w:color w:val="000000" w:themeColor="text1"/>
        </w:rPr>
        <w:t>D</w:t>
      </w:r>
      <w:r w:rsidRPr="00B20C53">
        <w:rPr>
          <w:rFonts w:ascii="Book Antiqua" w:eastAsia="Book Antiqua" w:hAnsi="Book Antiqua" w:cs="Book Antiqua"/>
          <w:color w:val="000000" w:themeColor="text1"/>
        </w:rPr>
        <w:t xml:space="preserve">uctopenic diseases; </w:t>
      </w:r>
      <w:r w:rsidR="004C0A0D" w:rsidRPr="00B20C53">
        <w:rPr>
          <w:rFonts w:ascii="Book Antiqua" w:eastAsia="Book Antiqua" w:hAnsi="Book Antiqua" w:cs="Book Antiqua"/>
          <w:color w:val="000000" w:themeColor="text1"/>
        </w:rPr>
        <w:t>L</w:t>
      </w:r>
      <w:r w:rsidRPr="00B20C53">
        <w:rPr>
          <w:rFonts w:ascii="Book Antiqua" w:eastAsia="Book Antiqua" w:hAnsi="Book Antiqua" w:cs="Book Antiqua"/>
          <w:color w:val="000000" w:themeColor="text1"/>
        </w:rPr>
        <w:t xml:space="preserve">iver injury; </w:t>
      </w:r>
      <w:r w:rsidR="004C0A0D" w:rsidRPr="00B20C53">
        <w:rPr>
          <w:rFonts w:ascii="Book Antiqua" w:eastAsia="Book Antiqua" w:hAnsi="Book Antiqua" w:cs="Book Antiqua"/>
          <w:color w:val="000000" w:themeColor="text1"/>
        </w:rPr>
        <w:t>C</w:t>
      </w:r>
      <w:r w:rsidRPr="00B20C53">
        <w:rPr>
          <w:rFonts w:ascii="Book Antiqua" w:eastAsia="Book Antiqua" w:hAnsi="Book Antiqua" w:cs="Book Antiqua"/>
          <w:color w:val="000000" w:themeColor="text1"/>
        </w:rPr>
        <w:t xml:space="preserve">holestasis; </w:t>
      </w:r>
      <w:r w:rsidR="004C0A0D" w:rsidRPr="00B20C53">
        <w:rPr>
          <w:rFonts w:ascii="Book Antiqua" w:eastAsia="Book Antiqua" w:hAnsi="Book Antiqua" w:cs="Book Antiqua"/>
          <w:color w:val="000000" w:themeColor="text1"/>
        </w:rPr>
        <w:t>U</w:t>
      </w:r>
      <w:r w:rsidRPr="00B20C53">
        <w:rPr>
          <w:rFonts w:ascii="Book Antiqua" w:eastAsia="Book Antiqua" w:hAnsi="Book Antiqua" w:cs="Book Antiqua"/>
          <w:color w:val="000000" w:themeColor="text1"/>
        </w:rPr>
        <w:t xml:space="preserve">rsodeoxycholic acid; </w:t>
      </w:r>
      <w:r w:rsidR="004C0A0D" w:rsidRPr="00B20C53">
        <w:rPr>
          <w:rFonts w:ascii="Book Antiqua" w:eastAsia="Book Antiqua" w:hAnsi="Book Antiqua" w:cs="Book Antiqua"/>
          <w:color w:val="000000" w:themeColor="text1"/>
        </w:rPr>
        <w:t>C</w:t>
      </w:r>
      <w:r w:rsidRPr="00B20C53">
        <w:rPr>
          <w:rFonts w:ascii="Book Antiqua" w:eastAsia="Book Antiqua" w:hAnsi="Book Antiqua" w:cs="Book Antiqua"/>
          <w:color w:val="000000" w:themeColor="text1"/>
        </w:rPr>
        <w:t>ase report</w:t>
      </w:r>
    </w:p>
    <w:p w14:paraId="7A757CEF" w14:textId="77777777" w:rsidR="00A77B3E" w:rsidRPr="00B20C53" w:rsidRDefault="00A77B3E" w:rsidP="00B20C53">
      <w:pPr>
        <w:snapToGrid w:val="0"/>
        <w:spacing w:line="360" w:lineRule="auto"/>
        <w:jc w:val="both"/>
        <w:rPr>
          <w:color w:val="000000" w:themeColor="text1"/>
        </w:rPr>
      </w:pPr>
    </w:p>
    <w:p w14:paraId="1AEF659A" w14:textId="15518C54" w:rsidR="00CE5380" w:rsidRDefault="00CE5380" w:rsidP="00B20C53">
      <w:pPr>
        <w:snapToGrid w:val="0"/>
        <w:spacing w:line="360" w:lineRule="auto"/>
        <w:jc w:val="both"/>
        <w:rPr>
          <w:rFonts w:ascii="Book Antiqua" w:hAnsi="Book Antiqua" w:cs="Book Antiqua" w:hint="eastAsia"/>
          <w:color w:val="000000" w:themeColor="text1"/>
          <w:lang w:eastAsia="zh-CN"/>
        </w:rPr>
      </w:pPr>
      <w:r w:rsidRPr="00CE5380">
        <w:rPr>
          <w:rFonts w:ascii="Book Antiqua" w:eastAsia="Book Antiqua" w:hAnsi="Book Antiqua" w:cs="Book Antiqua"/>
          <w:b/>
          <w:color w:val="000000" w:themeColor="text1"/>
        </w:rPr>
        <w:t>Citation</w:t>
      </w:r>
      <w:r w:rsidRPr="00CE5380">
        <w:rPr>
          <w:rFonts w:ascii="Book Antiqua" w:hAnsi="Book Antiqua" w:cs="Book Antiqua" w:hint="eastAsia"/>
          <w:b/>
          <w:color w:val="000000" w:themeColor="text1"/>
          <w:lang w:eastAsia="zh-CN"/>
        </w:rPr>
        <w:t xml:space="preserve">: </w:t>
      </w:r>
      <w:r w:rsidR="002A221E" w:rsidRPr="00B20C53">
        <w:rPr>
          <w:rFonts w:ascii="Book Antiqua" w:eastAsia="Book Antiqua" w:hAnsi="Book Antiqua" w:cs="Book Antiqua"/>
          <w:color w:val="000000" w:themeColor="text1"/>
        </w:rPr>
        <w:t>Zhang XC, Wang D, Li X, Hu YL, Wang C. Idiopathic adulthood ductopenia with elevated transaminase only</w:t>
      </w:r>
      <w:r w:rsidR="004C0A0D" w:rsidRPr="00B20C53">
        <w:rPr>
          <w:rFonts w:ascii="Book Antiqua" w:hAnsi="Book Antiqua" w:cs="Book Antiqua"/>
          <w:color w:val="000000" w:themeColor="text1"/>
          <w:lang w:eastAsia="zh-CN"/>
        </w:rPr>
        <w:t xml:space="preserve">: </w:t>
      </w:r>
      <w:r w:rsidR="002A221E" w:rsidRPr="00B20C53">
        <w:rPr>
          <w:rFonts w:ascii="Book Antiqua" w:eastAsia="Book Antiqua" w:hAnsi="Book Antiqua" w:cs="Book Antiqua"/>
          <w:color w:val="000000" w:themeColor="text1"/>
        </w:rPr>
        <w:t xml:space="preserve">A case report. </w:t>
      </w:r>
      <w:r w:rsidR="002A221E" w:rsidRPr="00B20C53">
        <w:rPr>
          <w:rFonts w:ascii="Book Antiqua" w:eastAsia="Book Antiqua" w:hAnsi="Book Antiqua" w:cs="Book Antiqua"/>
          <w:i/>
          <w:iCs/>
          <w:color w:val="000000" w:themeColor="text1"/>
        </w:rPr>
        <w:t>World J Clin Cases</w:t>
      </w:r>
      <w:r w:rsidR="002A221E" w:rsidRPr="00B20C53">
        <w:rPr>
          <w:rFonts w:ascii="Book Antiqua" w:eastAsia="Book Antiqua" w:hAnsi="Book Antiqua" w:cs="Book Antiqua"/>
          <w:color w:val="000000" w:themeColor="text1"/>
        </w:rPr>
        <w:t xml:space="preserve"> 2020; </w:t>
      </w:r>
      <w:r w:rsidR="005D648D" w:rsidRPr="005D648D">
        <w:rPr>
          <w:rFonts w:ascii="Book Antiqua" w:eastAsia="Book Antiqua" w:hAnsi="Book Antiqua" w:cs="Book Antiqua"/>
          <w:color w:val="000000" w:themeColor="text1"/>
        </w:rPr>
        <w:t xml:space="preserve">8(24): </w:t>
      </w:r>
      <w:r w:rsidR="00D6670F" w:rsidRPr="00D6670F">
        <w:rPr>
          <w:rFonts w:ascii="Book Antiqua" w:eastAsia="Book Antiqua" w:hAnsi="Book Antiqua" w:cs="Book Antiqua"/>
          <w:color w:val="000000" w:themeColor="text1"/>
        </w:rPr>
        <w:t>6524-6528</w:t>
      </w:r>
      <w:r w:rsidR="005D648D" w:rsidRPr="005D648D">
        <w:rPr>
          <w:rFonts w:ascii="Book Antiqua" w:eastAsia="Book Antiqua" w:hAnsi="Book Antiqua" w:cs="Book Antiqua"/>
          <w:color w:val="000000" w:themeColor="text1"/>
        </w:rPr>
        <w:t xml:space="preserve">  </w:t>
      </w:r>
    </w:p>
    <w:p w14:paraId="06754A2B" w14:textId="77777777" w:rsidR="00CE5380" w:rsidRDefault="005D648D" w:rsidP="00B20C53">
      <w:pPr>
        <w:snapToGrid w:val="0"/>
        <w:spacing w:line="360" w:lineRule="auto"/>
        <w:jc w:val="both"/>
        <w:rPr>
          <w:rFonts w:ascii="Book Antiqua" w:hAnsi="Book Antiqua" w:cs="Book Antiqua" w:hint="eastAsia"/>
          <w:color w:val="000000" w:themeColor="text1"/>
          <w:lang w:eastAsia="zh-CN"/>
        </w:rPr>
      </w:pPr>
      <w:r w:rsidRPr="003C3D0B">
        <w:rPr>
          <w:rFonts w:ascii="Book Antiqua" w:eastAsia="Book Antiqua" w:hAnsi="Book Antiqua" w:cs="Book Antiqua"/>
          <w:b/>
          <w:color w:val="000000" w:themeColor="text1"/>
        </w:rPr>
        <w:t xml:space="preserve">URL: </w:t>
      </w:r>
      <w:r w:rsidRPr="005D648D">
        <w:rPr>
          <w:rFonts w:ascii="Book Antiqua" w:eastAsia="Book Antiqua" w:hAnsi="Book Antiqua" w:cs="Book Antiqua"/>
          <w:color w:val="000000" w:themeColor="text1"/>
        </w:rPr>
        <w:t>https://www.wjgnet.com/2307-8960/full/v8/i24/</w:t>
      </w:r>
      <w:r w:rsidR="00D6670F">
        <w:rPr>
          <w:rFonts w:ascii="Book Antiqua" w:hAnsi="Book Antiqua" w:cs="Book Antiqua" w:hint="eastAsia"/>
          <w:color w:val="000000" w:themeColor="text1"/>
          <w:lang w:eastAsia="zh-CN"/>
        </w:rPr>
        <w:t>6524</w:t>
      </w:r>
      <w:r w:rsidRPr="005D648D">
        <w:rPr>
          <w:rFonts w:ascii="Book Antiqua" w:eastAsia="Book Antiqua" w:hAnsi="Book Antiqua" w:cs="Book Antiqua"/>
          <w:color w:val="000000" w:themeColor="text1"/>
        </w:rPr>
        <w:t xml:space="preserve">.htm  </w:t>
      </w:r>
    </w:p>
    <w:p w14:paraId="0846D384" w14:textId="5CAAFD34" w:rsidR="00A77B3E" w:rsidRPr="000C2D34" w:rsidRDefault="005D648D" w:rsidP="00B20C53">
      <w:pPr>
        <w:snapToGrid w:val="0"/>
        <w:spacing w:line="360" w:lineRule="auto"/>
        <w:jc w:val="both"/>
        <w:rPr>
          <w:rFonts w:hint="eastAsia"/>
          <w:color w:val="000000" w:themeColor="text1"/>
          <w:lang w:eastAsia="zh-CN"/>
        </w:rPr>
      </w:pPr>
      <w:bookmarkStart w:id="0" w:name="_GoBack"/>
      <w:r w:rsidRPr="003C3D0B">
        <w:rPr>
          <w:rFonts w:ascii="Book Antiqua" w:eastAsia="Book Antiqua" w:hAnsi="Book Antiqua" w:cs="Book Antiqua"/>
          <w:b/>
          <w:color w:val="000000" w:themeColor="text1"/>
        </w:rPr>
        <w:t xml:space="preserve">DOI: </w:t>
      </w:r>
      <w:bookmarkEnd w:id="0"/>
      <w:r w:rsidRPr="005D648D">
        <w:rPr>
          <w:rFonts w:ascii="Book Antiqua" w:eastAsia="Book Antiqua" w:hAnsi="Book Antiqua" w:cs="Book Antiqua"/>
          <w:color w:val="000000" w:themeColor="text1"/>
        </w:rPr>
        <w:t>https://dx.doi.org/10.12998/wjcc.v8.i24.</w:t>
      </w:r>
      <w:r w:rsidR="000C2D34">
        <w:rPr>
          <w:rFonts w:ascii="Book Antiqua" w:hAnsi="Book Antiqua" w:cs="Book Antiqua" w:hint="eastAsia"/>
          <w:color w:val="000000" w:themeColor="text1"/>
          <w:lang w:eastAsia="zh-CN"/>
        </w:rPr>
        <w:t>6524</w:t>
      </w:r>
    </w:p>
    <w:p w14:paraId="202D17A4" w14:textId="77777777" w:rsidR="00A77B3E" w:rsidRPr="00B20C53" w:rsidRDefault="00A77B3E" w:rsidP="00B20C53">
      <w:pPr>
        <w:snapToGrid w:val="0"/>
        <w:spacing w:line="360" w:lineRule="auto"/>
        <w:jc w:val="both"/>
        <w:rPr>
          <w:color w:val="000000" w:themeColor="text1"/>
        </w:rPr>
      </w:pPr>
    </w:p>
    <w:p w14:paraId="7CF0BA41" w14:textId="4492570A"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Core Tip: </w:t>
      </w:r>
      <w:r w:rsidRPr="00B20C53">
        <w:rPr>
          <w:rFonts w:ascii="Book Antiqua" w:eastAsia="Book Antiqua" w:hAnsi="Book Antiqua" w:cs="Book Antiqua"/>
          <w:color w:val="000000" w:themeColor="text1"/>
        </w:rPr>
        <w:t xml:space="preserve">Idiopathic adulthood ductopenia (IAD) is a chronic cholestatic liver disease </w:t>
      </w:r>
      <w:r w:rsidR="00FE66D3" w:rsidRPr="00B20C53">
        <w:rPr>
          <w:rFonts w:ascii="Book Antiqua" w:eastAsia="Book Antiqua" w:hAnsi="Book Antiqua" w:cs="Book Antiqua"/>
          <w:color w:val="000000" w:themeColor="text1"/>
        </w:rPr>
        <w:t xml:space="preserve">that </w:t>
      </w:r>
      <w:r w:rsidRPr="00B20C53">
        <w:rPr>
          <w:rFonts w:ascii="Book Antiqua" w:eastAsia="Book Antiqua" w:hAnsi="Book Antiqua" w:cs="Book Antiqua"/>
          <w:color w:val="000000" w:themeColor="text1"/>
        </w:rPr>
        <w:t>has unclear etiology, usually manifested as cholestasis. We report a case with no cholestasis or obvious clinical symptoms, only an increase in transaminases. The diagnosis of IAD relies on liver tissue biopsy. However, this examination is invasive and thus not acceptable by all patients. Therefore, in the clinical diagnostic process, many cases of unexplained liver damage and jaundice are missed. Furthermore, this case proved that the application of ursodeoxycholic acid has an obvious positive effect in the treatment of IAD.</w:t>
      </w:r>
    </w:p>
    <w:p w14:paraId="67B1BA9F" w14:textId="67BD528F" w:rsidR="00A77B3E" w:rsidRPr="00B20C53" w:rsidRDefault="004C0A0D" w:rsidP="00B20C53">
      <w:pPr>
        <w:snapToGrid w:val="0"/>
        <w:spacing w:line="360" w:lineRule="auto"/>
        <w:jc w:val="both"/>
        <w:rPr>
          <w:color w:val="000000" w:themeColor="text1"/>
        </w:rPr>
      </w:pPr>
      <w:r w:rsidRPr="00B20C53">
        <w:rPr>
          <w:color w:val="000000" w:themeColor="text1"/>
        </w:rPr>
        <w:br w:type="page"/>
      </w:r>
      <w:r w:rsidR="002A221E" w:rsidRPr="00B20C53">
        <w:rPr>
          <w:rFonts w:ascii="Book Antiqua" w:eastAsia="Book Antiqua" w:hAnsi="Book Antiqua" w:cs="Book Antiqua"/>
          <w:b/>
          <w:caps/>
          <w:color w:val="000000" w:themeColor="text1"/>
          <w:u w:val="single"/>
        </w:rPr>
        <w:t>INTRODUCTION</w:t>
      </w:r>
    </w:p>
    <w:p w14:paraId="2851673D" w14:textId="3D22010F"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Idiopathic adulthood ductopenia (IAD) is a rare chronic liver disease that is often misdiagnosed. IAD was first described in 1988 by Ludwig </w:t>
      </w:r>
      <w:r w:rsidRPr="00B20C53">
        <w:rPr>
          <w:rFonts w:ascii="Book Antiqua" w:eastAsia="Book Antiqua" w:hAnsi="Book Antiqua" w:cs="Book Antiqua"/>
          <w:i/>
          <w:iCs/>
          <w:color w:val="000000" w:themeColor="text1"/>
        </w:rPr>
        <w:t>et al</w:t>
      </w:r>
      <w:r w:rsidRPr="00B20C53">
        <w:rPr>
          <w:rFonts w:ascii="Book Antiqua" w:eastAsia="Book Antiqua" w:hAnsi="Book Antiqua" w:cs="Book Antiqua"/>
          <w:color w:val="000000" w:themeColor="text1"/>
          <w:vertAlign w:val="superscript"/>
        </w:rPr>
        <w:t>[1]</w:t>
      </w:r>
      <w:r w:rsidRPr="00B20C53">
        <w:rPr>
          <w:rFonts w:ascii="Book Antiqua" w:eastAsia="Book Antiqua" w:hAnsi="Book Antiqua" w:cs="Book Antiqua"/>
          <w:color w:val="000000" w:themeColor="text1"/>
        </w:rPr>
        <w:t>, with interlobular bile ducts disappearing without a clear origin</w:t>
      </w:r>
      <w:r w:rsidRPr="00B20C53">
        <w:rPr>
          <w:rFonts w:ascii="Book Antiqua" w:eastAsia="Book Antiqua" w:hAnsi="Book Antiqua" w:cs="Book Antiqua"/>
          <w:color w:val="000000" w:themeColor="text1"/>
          <w:vertAlign w:val="superscript"/>
        </w:rPr>
        <w:t>[2]</w:t>
      </w:r>
      <w:r w:rsidRPr="00B20C53">
        <w:rPr>
          <w:rFonts w:ascii="Book Antiqua" w:eastAsia="Book Antiqua" w:hAnsi="Book Antiqua" w:cs="Book Antiqua"/>
          <w:color w:val="000000" w:themeColor="text1"/>
        </w:rPr>
        <w:t>. So far, less than 100 cases have been reported</w:t>
      </w:r>
      <w:r w:rsidRPr="00B20C53">
        <w:rPr>
          <w:rFonts w:ascii="Book Antiqua" w:eastAsia="Book Antiqua" w:hAnsi="Book Antiqua" w:cs="Book Antiqua"/>
          <w:color w:val="000000" w:themeColor="text1"/>
          <w:vertAlign w:val="superscript"/>
        </w:rPr>
        <w:t>[3]</w:t>
      </w:r>
      <w:r w:rsidRPr="00B20C53">
        <w:rPr>
          <w:rFonts w:ascii="Book Antiqua" w:eastAsia="Book Antiqua" w:hAnsi="Book Antiqua" w:cs="Book Antiqua"/>
          <w:color w:val="000000" w:themeColor="text1"/>
        </w:rPr>
        <w:t>. In recent years, the pathology and pathogenesis of bile duct loss have been widely studied, and a number of hepatobiliary diseases have been added to the list of ductopenic diseases</w:t>
      </w:r>
      <w:r w:rsidRPr="00B20C53">
        <w:rPr>
          <w:rFonts w:ascii="Book Antiqua" w:eastAsia="Book Antiqua" w:hAnsi="Book Antiqua" w:cs="Book Antiqua"/>
          <w:color w:val="000000" w:themeColor="text1"/>
          <w:vertAlign w:val="superscript"/>
        </w:rPr>
        <w:t>[4]</w:t>
      </w:r>
      <w:r w:rsidRPr="00B20C53">
        <w:rPr>
          <w:rFonts w:ascii="Book Antiqua" w:eastAsia="Book Antiqua" w:hAnsi="Book Antiqua" w:cs="Book Antiqua"/>
          <w:color w:val="000000" w:themeColor="text1"/>
        </w:rPr>
        <w:t>. IAD is a special type of ductopenic disease that is characterized by adult onset, autoantibodies negative, inflammatory bowel disease and absence of interlobular bile ducts</w:t>
      </w:r>
      <w:r w:rsidRPr="00B20C53">
        <w:rPr>
          <w:rFonts w:ascii="Book Antiqua" w:eastAsia="Book Antiqua" w:hAnsi="Book Antiqua" w:cs="Book Antiqua"/>
          <w:color w:val="000000" w:themeColor="text1"/>
          <w:vertAlign w:val="superscript"/>
        </w:rPr>
        <w:t>[5]</w:t>
      </w:r>
      <w:r w:rsidRPr="00B20C53">
        <w:rPr>
          <w:rFonts w:ascii="Book Antiqua" w:eastAsia="Book Antiqua" w:hAnsi="Book Antiqua" w:cs="Book Antiqua"/>
          <w:color w:val="000000" w:themeColor="text1"/>
        </w:rPr>
        <w:t>.</w:t>
      </w:r>
    </w:p>
    <w:p w14:paraId="55F26434" w14:textId="77777777" w:rsidR="00A77B3E" w:rsidRPr="00B20C53" w:rsidRDefault="002A221E" w:rsidP="00B20C53">
      <w:pPr>
        <w:snapToGrid w:val="0"/>
        <w:spacing w:line="360" w:lineRule="auto"/>
        <w:ind w:firstLineChars="100" w:firstLine="240"/>
        <w:jc w:val="both"/>
        <w:rPr>
          <w:color w:val="000000" w:themeColor="text1"/>
        </w:rPr>
      </w:pPr>
      <w:r w:rsidRPr="00B20C53">
        <w:rPr>
          <w:rFonts w:ascii="Book Antiqua" w:eastAsia="Book Antiqua" w:hAnsi="Book Antiqua" w:cs="Book Antiqua"/>
          <w:color w:val="000000" w:themeColor="text1"/>
        </w:rPr>
        <w:t>This report presents a case that had no obvious clinical symptoms. The patient was diagnosed with IAD and was treated with ursodeoxycholic acid (UDCA).</w:t>
      </w:r>
    </w:p>
    <w:p w14:paraId="4EFAFEF3" w14:textId="77777777" w:rsidR="00A77B3E" w:rsidRPr="00B20C53" w:rsidRDefault="00A77B3E" w:rsidP="00B20C53">
      <w:pPr>
        <w:snapToGrid w:val="0"/>
        <w:spacing w:line="360" w:lineRule="auto"/>
        <w:ind w:firstLine="240"/>
        <w:jc w:val="both"/>
        <w:rPr>
          <w:color w:val="000000" w:themeColor="text1"/>
        </w:rPr>
      </w:pPr>
    </w:p>
    <w:p w14:paraId="0E1384E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CASE PRESENTATION</w:t>
      </w:r>
    </w:p>
    <w:p w14:paraId="1DDD3BA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Chief complaints</w:t>
      </w:r>
    </w:p>
    <w:p w14:paraId="4B453015" w14:textId="5B8C7915"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A 27-year-old female was hospitalized for continuous elevation of transaminases and alkaline phosphatase without clinical symptoms or signs.</w:t>
      </w:r>
    </w:p>
    <w:p w14:paraId="38526FFE" w14:textId="77777777" w:rsidR="00A77B3E" w:rsidRPr="00B20C53" w:rsidRDefault="00A77B3E" w:rsidP="00B20C53">
      <w:pPr>
        <w:snapToGrid w:val="0"/>
        <w:spacing w:line="360" w:lineRule="auto"/>
        <w:jc w:val="both"/>
        <w:rPr>
          <w:color w:val="000000" w:themeColor="text1"/>
        </w:rPr>
      </w:pPr>
    </w:p>
    <w:p w14:paraId="4D9F3F5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History of present illness</w:t>
      </w:r>
    </w:p>
    <w:p w14:paraId="714E8F53" w14:textId="04E0CD5F"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The patient had abnormally elevated transaminases at physical examination 5 years ago, but </w:t>
      </w:r>
      <w:r w:rsidR="00FE66D3" w:rsidRPr="00B20C53">
        <w:rPr>
          <w:rFonts w:ascii="Book Antiqua" w:eastAsia="Book Antiqua" w:hAnsi="Book Antiqua" w:cs="Book Antiqua"/>
          <w:color w:val="000000" w:themeColor="text1"/>
        </w:rPr>
        <w:t>this was not concerning to her</w:t>
      </w:r>
      <w:r w:rsidRPr="00B20C53">
        <w:rPr>
          <w:rFonts w:ascii="Book Antiqua" w:eastAsia="Book Antiqua" w:hAnsi="Book Antiqua" w:cs="Book Antiqua"/>
          <w:color w:val="000000" w:themeColor="text1"/>
        </w:rPr>
        <w:t>. The patient found abnormal transaminases again at physical examination 2 years ago, and was admitted to</w:t>
      </w:r>
      <w:r w:rsidR="00FE66D3" w:rsidRPr="00B20C53">
        <w:rPr>
          <w:rFonts w:ascii="Book Antiqua" w:eastAsia="Book Antiqua" w:hAnsi="Book Antiqua" w:cs="Book Antiqua"/>
          <w:color w:val="000000" w:themeColor="text1"/>
        </w:rPr>
        <w:t xml:space="preserve"> the</w:t>
      </w:r>
      <w:r w:rsidRPr="00B20C53">
        <w:rPr>
          <w:rFonts w:ascii="Book Antiqua" w:eastAsia="Book Antiqua" w:hAnsi="Book Antiqua" w:cs="Book Antiqua"/>
          <w:color w:val="000000" w:themeColor="text1"/>
        </w:rPr>
        <w:t xml:space="preserve"> hospital. After admission, the patient was tested for ceruloplasmin, which was negative. The patient had no viral hepatitis markers</w:t>
      </w:r>
      <w:r w:rsidR="00FE66D3"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and autoantibodies were absent. The patient was discharged from </w:t>
      </w:r>
      <w:r w:rsidR="00FE66D3" w:rsidRPr="00B20C53">
        <w:rPr>
          <w:rFonts w:ascii="Book Antiqua" w:eastAsia="Book Antiqua" w:hAnsi="Book Antiqua" w:cs="Book Antiqua"/>
          <w:color w:val="000000" w:themeColor="text1"/>
        </w:rPr>
        <w:t xml:space="preserve">the </w:t>
      </w:r>
      <w:r w:rsidRPr="00B20C53">
        <w:rPr>
          <w:rFonts w:ascii="Book Antiqua" w:eastAsia="Book Antiqua" w:hAnsi="Book Antiqua" w:cs="Book Antiqua"/>
          <w:color w:val="000000" w:themeColor="text1"/>
        </w:rPr>
        <w:t>hospital when her liver function improved after hepatoprotective treatment. In the past 2 years, liver function was rechecked three times</w:t>
      </w:r>
      <w:r w:rsidR="00FE66D3"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and it was still abnormal. Liver function test results 3 mo before the present admission were: </w:t>
      </w:r>
      <w:r w:rsidR="00953726">
        <w:rPr>
          <w:rFonts w:ascii="Book Antiqua" w:hAnsi="Book Antiqua" w:cs="Book Antiqua" w:hint="eastAsia"/>
          <w:color w:val="000000" w:themeColor="text1"/>
          <w:lang w:eastAsia="zh-CN"/>
        </w:rPr>
        <w:t>A</w:t>
      </w:r>
      <w:r w:rsidRPr="00B20C53">
        <w:rPr>
          <w:rFonts w:ascii="Book Antiqua" w:eastAsia="Book Antiqua" w:hAnsi="Book Antiqua" w:cs="Book Antiqua"/>
          <w:color w:val="000000" w:themeColor="text1"/>
        </w:rPr>
        <w:t>spartate transaminase (AST) 213.8</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(0-40 U/L), alanine transaminase (ALT) 321.8</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(0-40 U/L), alkaline phosphatase (ALP) 317</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 xml:space="preserve">U/L (15-112 U/L) and </w:t>
      </w:r>
      <w:r w:rsidRPr="00B20C53">
        <w:rPr>
          <w:rFonts w:ascii="Symbol" w:eastAsia="Book Antiqua" w:hAnsi="Symbol" w:cs="Book Antiqua"/>
          <w:color w:val="000000" w:themeColor="text1"/>
        </w:rPr>
        <w:t></w:t>
      </w:r>
      <w:r w:rsidRPr="00B20C53">
        <w:rPr>
          <w:rFonts w:ascii="Book Antiqua" w:eastAsia="Book Antiqua" w:hAnsi="Book Antiqua" w:cs="Book Antiqua"/>
          <w:color w:val="000000" w:themeColor="text1"/>
        </w:rPr>
        <w:t>-glutamyltransferase (GGT) 172.1</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(7-32 U/L). After oral bicyclol treatment (25 mg/d), liver function was rechecked 8 d before admission, showing the following results: AST 251</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(13-35 U/L), ALT 419</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(7-40 U/L), ALP 337</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(35-100 U/L) and GGT 232</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(7-45 U/L). There were no improvements, so the patient was admitted to the hospital again.</w:t>
      </w:r>
    </w:p>
    <w:p w14:paraId="6DDD5A5C" w14:textId="77777777" w:rsidR="00A77B3E" w:rsidRPr="00B20C53" w:rsidRDefault="00A77B3E" w:rsidP="00B20C53">
      <w:pPr>
        <w:snapToGrid w:val="0"/>
        <w:spacing w:line="360" w:lineRule="auto"/>
        <w:jc w:val="both"/>
        <w:rPr>
          <w:color w:val="000000" w:themeColor="text1"/>
        </w:rPr>
      </w:pPr>
    </w:p>
    <w:p w14:paraId="5FE07B53"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History of past illness</w:t>
      </w:r>
    </w:p>
    <w:p w14:paraId="41E7FB64"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The patient had taken oral Chinese medicine to treat folliculitis 3 years ago.</w:t>
      </w:r>
    </w:p>
    <w:p w14:paraId="7BA3F5CE" w14:textId="77777777" w:rsidR="00A77B3E" w:rsidRPr="00B20C53" w:rsidRDefault="00A77B3E" w:rsidP="00B20C53">
      <w:pPr>
        <w:snapToGrid w:val="0"/>
        <w:spacing w:line="360" w:lineRule="auto"/>
        <w:jc w:val="both"/>
        <w:rPr>
          <w:color w:val="000000" w:themeColor="text1"/>
        </w:rPr>
      </w:pPr>
    </w:p>
    <w:p w14:paraId="5C19CEC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Personal and family history</w:t>
      </w:r>
    </w:p>
    <w:p w14:paraId="651F8F1F" w14:textId="64A52C0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The patient did</w:t>
      </w:r>
      <w:r w:rsidR="00FE66D3" w:rsidRPr="00B20C53">
        <w:rPr>
          <w:rFonts w:ascii="Book Antiqua" w:eastAsia="Book Antiqua" w:hAnsi="Book Antiqua" w:cs="Book Antiqua"/>
          <w:color w:val="000000" w:themeColor="text1"/>
        </w:rPr>
        <w:t xml:space="preserve"> not</w:t>
      </w:r>
      <w:r w:rsidRPr="00B20C53">
        <w:rPr>
          <w:rFonts w:ascii="Book Antiqua" w:eastAsia="Book Antiqua" w:hAnsi="Book Antiqua" w:cs="Book Antiqua"/>
          <w:color w:val="000000" w:themeColor="text1"/>
        </w:rPr>
        <w:t xml:space="preserve"> have any family history.</w:t>
      </w:r>
    </w:p>
    <w:p w14:paraId="06C293BF" w14:textId="77777777" w:rsidR="00A77B3E" w:rsidRPr="00B20C53" w:rsidRDefault="00A77B3E" w:rsidP="00B20C53">
      <w:pPr>
        <w:snapToGrid w:val="0"/>
        <w:spacing w:line="360" w:lineRule="auto"/>
        <w:jc w:val="both"/>
        <w:rPr>
          <w:color w:val="000000" w:themeColor="text1"/>
        </w:rPr>
      </w:pPr>
    </w:p>
    <w:p w14:paraId="71AAC70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Physical examination</w:t>
      </w:r>
    </w:p>
    <w:p w14:paraId="3FA30E32" w14:textId="390A01E2"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The liver area was sensitive to light palpation</w:t>
      </w:r>
      <w:r w:rsidR="00FE66D3"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and there were no obvious positive signs.</w:t>
      </w:r>
    </w:p>
    <w:p w14:paraId="6D64714C" w14:textId="77777777" w:rsidR="00A77B3E" w:rsidRPr="00B20C53" w:rsidRDefault="00A77B3E" w:rsidP="00B20C53">
      <w:pPr>
        <w:snapToGrid w:val="0"/>
        <w:spacing w:line="360" w:lineRule="auto"/>
        <w:jc w:val="both"/>
        <w:rPr>
          <w:color w:val="000000" w:themeColor="text1"/>
        </w:rPr>
      </w:pPr>
    </w:p>
    <w:p w14:paraId="415B685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Laboratory examinations</w:t>
      </w:r>
    </w:p>
    <w:p w14:paraId="6ABEDBFF" w14:textId="2FA9221B" w:rsidR="00A77B3E" w:rsidRPr="00B20C53" w:rsidRDefault="00FE66D3"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Her l</w:t>
      </w:r>
      <w:r w:rsidR="002A221E" w:rsidRPr="00B20C53">
        <w:rPr>
          <w:rFonts w:ascii="Book Antiqua" w:eastAsia="Book Antiqua" w:hAnsi="Book Antiqua" w:cs="Book Antiqua"/>
          <w:color w:val="000000" w:themeColor="text1"/>
        </w:rPr>
        <w:t>iver function</w:t>
      </w:r>
      <w:r w:rsidRPr="00B20C53">
        <w:rPr>
          <w:rFonts w:ascii="Book Antiqua" w:eastAsia="Book Antiqua" w:hAnsi="Book Antiqua" w:cs="Book Antiqua"/>
          <w:color w:val="000000" w:themeColor="text1"/>
        </w:rPr>
        <w:t xml:space="preserve"> results were as follows</w:t>
      </w:r>
      <w:r w:rsidR="002A221E" w:rsidRPr="00B20C53">
        <w:rPr>
          <w:rFonts w:ascii="Book Antiqua" w:eastAsia="Book Antiqua" w:hAnsi="Book Antiqua" w:cs="Book Antiqua"/>
          <w:color w:val="000000" w:themeColor="text1"/>
        </w:rPr>
        <w:t>: AST 169.5</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U/L, ALT 261.5</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U/L, ALP 231.6</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U/L and GGT 167.7</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 xml:space="preserve">U/L; erythrocyte sedimentation rate: 24 mm/h (2-20 mm/h); five items of immunity: </w:t>
      </w:r>
      <w:r w:rsidR="00953726">
        <w:rPr>
          <w:rFonts w:ascii="Book Antiqua" w:hAnsi="Book Antiqua" w:cs="Book Antiqua" w:hint="eastAsia"/>
          <w:color w:val="000000" w:themeColor="text1"/>
          <w:lang w:eastAsia="zh-CN"/>
        </w:rPr>
        <w:t>I</w:t>
      </w:r>
      <w:r w:rsidR="004C0A0D" w:rsidRPr="00B20C53">
        <w:rPr>
          <w:rFonts w:ascii="Book Antiqua" w:eastAsia="Book Antiqua" w:hAnsi="Book Antiqua" w:cs="Book Antiqua"/>
          <w:color w:val="000000" w:themeColor="text1"/>
        </w:rPr>
        <w:t xml:space="preserve">mmunoglobulin G </w:t>
      </w:r>
      <w:r w:rsidR="002A221E" w:rsidRPr="00B20C53">
        <w:rPr>
          <w:rFonts w:ascii="Book Antiqua" w:eastAsia="Book Antiqua" w:hAnsi="Book Antiqua" w:cs="Book Antiqua"/>
          <w:color w:val="000000" w:themeColor="text1"/>
        </w:rPr>
        <w:t>21.50 g/L (6</w:t>
      </w:r>
      <w:r w:rsidR="004C0A0D" w:rsidRPr="00B20C53">
        <w:rPr>
          <w:rFonts w:ascii="Book Antiqua" w:eastAsia="Book Antiqua" w:hAnsi="Book Antiqua" w:cs="Book Antiqua"/>
          <w:color w:val="000000" w:themeColor="text1"/>
        </w:rPr>
        <w:t>-</w:t>
      </w:r>
      <w:r w:rsidR="002A221E" w:rsidRPr="00B20C53">
        <w:rPr>
          <w:rFonts w:ascii="Book Antiqua" w:eastAsia="Book Antiqua" w:hAnsi="Book Antiqua" w:cs="Book Antiqua"/>
          <w:color w:val="000000" w:themeColor="text1"/>
        </w:rPr>
        <w:t>16 g/L), complement C3 1.47</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g/L (0.7</w:t>
      </w:r>
      <w:r w:rsidR="004C0A0D" w:rsidRPr="00B20C53">
        <w:rPr>
          <w:rFonts w:ascii="Book Antiqua" w:eastAsia="Book Antiqua" w:hAnsi="Book Antiqua" w:cs="Book Antiqua"/>
          <w:color w:val="000000" w:themeColor="text1"/>
        </w:rPr>
        <w:t>-</w:t>
      </w:r>
      <w:r w:rsidR="002A221E" w:rsidRPr="00B20C53">
        <w:rPr>
          <w:rFonts w:ascii="Book Antiqua" w:eastAsia="Book Antiqua" w:hAnsi="Book Antiqua" w:cs="Book Antiqua"/>
          <w:color w:val="000000" w:themeColor="text1"/>
        </w:rPr>
        <w:t xml:space="preserve">1.28 g/L) </w:t>
      </w:r>
      <w:r w:rsidRPr="00B20C53">
        <w:rPr>
          <w:rFonts w:ascii="Book Antiqua" w:eastAsia="Book Antiqua" w:hAnsi="Book Antiqua" w:cs="Book Antiqua"/>
          <w:color w:val="000000" w:themeColor="text1"/>
        </w:rPr>
        <w:t xml:space="preserve">and </w:t>
      </w:r>
      <w:r w:rsidR="002A221E" w:rsidRPr="00B20C53">
        <w:rPr>
          <w:rFonts w:ascii="Book Antiqua" w:eastAsia="Book Antiqua" w:hAnsi="Book Antiqua" w:cs="Book Antiqua"/>
          <w:color w:val="000000" w:themeColor="text1"/>
        </w:rPr>
        <w:t xml:space="preserve">antinuclear antibody normal. There were no abnormalities in hepatitis B and C markers, </w:t>
      </w:r>
      <w:r w:rsidR="002A221E" w:rsidRPr="00B20C53">
        <w:rPr>
          <w:rFonts w:ascii="Book Antiqua" w:eastAsia="Book Antiqua" w:hAnsi="Book Antiqua" w:cs="Book Antiqua"/>
          <w:i/>
          <w:iCs/>
          <w:color w:val="000000" w:themeColor="text1"/>
        </w:rPr>
        <w:t>Treponema pallidum</w:t>
      </w:r>
      <w:r w:rsidR="002A221E" w:rsidRPr="00B20C53">
        <w:rPr>
          <w:rFonts w:ascii="Book Antiqua" w:eastAsia="Book Antiqua" w:hAnsi="Book Antiqua" w:cs="Book Antiqua"/>
          <w:color w:val="000000" w:themeColor="text1"/>
        </w:rPr>
        <w:t xml:space="preserve"> antibody, anti-</w:t>
      </w:r>
      <w:r w:rsidR="004C0A0D" w:rsidRPr="00B20C53">
        <w:rPr>
          <w:rFonts w:ascii="Book Antiqua" w:eastAsia="Book Antiqua" w:hAnsi="Book Antiqua" w:cs="Book Antiqua"/>
          <w:color w:val="000000" w:themeColor="text1"/>
        </w:rPr>
        <w:t>human immunodeficiency virus</w:t>
      </w:r>
      <w:r w:rsidR="002A221E" w:rsidRPr="00B20C53">
        <w:rPr>
          <w:rFonts w:ascii="Book Antiqua" w:eastAsia="Book Antiqua" w:hAnsi="Book Antiqua" w:cs="Book Antiqua"/>
          <w:color w:val="000000" w:themeColor="text1"/>
        </w:rPr>
        <w:t xml:space="preserve"> antibody, antimitochondrial antibody M2 and tumor markers. </w:t>
      </w:r>
    </w:p>
    <w:p w14:paraId="370AB249" w14:textId="77777777" w:rsidR="00A77B3E" w:rsidRPr="00B20C53" w:rsidRDefault="00A77B3E" w:rsidP="00B20C53">
      <w:pPr>
        <w:snapToGrid w:val="0"/>
        <w:spacing w:line="360" w:lineRule="auto"/>
        <w:jc w:val="both"/>
        <w:rPr>
          <w:color w:val="000000" w:themeColor="text1"/>
        </w:rPr>
      </w:pPr>
    </w:p>
    <w:p w14:paraId="30665C8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Imaging examinations</w:t>
      </w:r>
    </w:p>
    <w:p w14:paraId="61F8A83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Multi-row computed tomography of the liver, gallbladder, spleen and pancreas demonstrated diffuse fatty liver or chronic liver injury.</w:t>
      </w:r>
    </w:p>
    <w:p w14:paraId="1B5A4BE1" w14:textId="77777777" w:rsidR="00A77B3E" w:rsidRPr="00B20C53" w:rsidRDefault="00A77B3E" w:rsidP="00B20C53">
      <w:pPr>
        <w:snapToGrid w:val="0"/>
        <w:spacing w:line="360" w:lineRule="auto"/>
        <w:jc w:val="both"/>
        <w:rPr>
          <w:color w:val="000000" w:themeColor="text1"/>
        </w:rPr>
      </w:pPr>
    </w:p>
    <w:p w14:paraId="721DC0EA" w14:textId="73009C19" w:rsidR="00A77B3E" w:rsidRPr="00B20C53" w:rsidRDefault="004C6D3E" w:rsidP="00B20C53">
      <w:pPr>
        <w:snapToGrid w:val="0"/>
        <w:spacing w:line="360" w:lineRule="auto"/>
        <w:jc w:val="both"/>
        <w:rPr>
          <w:color w:val="000000" w:themeColor="text1"/>
        </w:rPr>
      </w:pPr>
      <w:r w:rsidRPr="00B20C53">
        <w:rPr>
          <w:rFonts w:ascii="Book Antiqua" w:eastAsia="Book Antiqua" w:hAnsi="Book Antiqua" w:cs="Book Antiqua"/>
          <w:b/>
          <w:bCs/>
          <w:i/>
          <w:iCs/>
          <w:color w:val="000000" w:themeColor="text1"/>
        </w:rPr>
        <w:t>Further diagnostic work-up</w:t>
      </w:r>
    </w:p>
    <w:p w14:paraId="7A7ECA77" w14:textId="7BBE454E"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After 5 d of hepatoprotective treatment, the liver function was rechecked, with AST 130.4</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ALT 84.8</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ALP 236.9</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and GGT 194.4</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AST and ALT decreased significantly, but ALP and GGT did not improve significantly. After that, liver biopsy was performed, and the pathological results suggested the following</w:t>
      </w:r>
      <w:r w:rsidR="00FE66D3"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(1) Local I with balloon-like degeneration of hepatocytes, mild expansion and fibrosis in some portal areas, infiltration of plasma cells and a few lymphocytes in the stroma. (2) Part of the inherent bile duct disappeared (&gt; 50%), degeneration of the bile duct and mild hyperplasia of the thin bile duct (Figure 1). It was recommended to exclude vanishing bile duct syndrome. Pathological results at Beijing You</w:t>
      </w:r>
      <w:r w:rsidR="004C0A0D" w:rsidRPr="00B20C53">
        <w:rPr>
          <w:rFonts w:ascii="Book Antiqua" w:eastAsia="Book Antiqua" w:hAnsi="Book Antiqua" w:cs="Book Antiqua"/>
          <w:color w:val="000000" w:themeColor="text1"/>
        </w:rPr>
        <w:t>a</w:t>
      </w:r>
      <w:r w:rsidRPr="00B20C53">
        <w:rPr>
          <w:rFonts w:ascii="Book Antiqua" w:eastAsia="Book Antiqua" w:hAnsi="Book Antiqua" w:cs="Book Antiqua"/>
          <w:color w:val="000000" w:themeColor="text1"/>
        </w:rPr>
        <w:t xml:space="preserve">n Hospital were: (1) </w:t>
      </w:r>
      <w:r w:rsidR="00FE66D3" w:rsidRPr="00B20C53">
        <w:rPr>
          <w:rFonts w:ascii="Book Antiqua" w:eastAsia="Book Antiqua" w:hAnsi="Book Antiqua" w:cs="Book Antiqua"/>
          <w:color w:val="000000" w:themeColor="text1"/>
        </w:rPr>
        <w:t>V</w:t>
      </w:r>
      <w:r w:rsidRPr="00B20C53">
        <w:rPr>
          <w:rFonts w:ascii="Book Antiqua" w:eastAsia="Book Antiqua" w:hAnsi="Book Antiqua" w:cs="Book Antiqua"/>
          <w:color w:val="000000" w:themeColor="text1"/>
        </w:rPr>
        <w:t xml:space="preserve">anishing bile duct syndrome; (2) </w:t>
      </w:r>
      <w:r w:rsidR="00953726">
        <w:rPr>
          <w:rFonts w:ascii="Book Antiqua" w:hAnsi="Book Antiqua" w:cs="Book Antiqua" w:hint="eastAsia"/>
          <w:color w:val="000000" w:themeColor="text1"/>
          <w:lang w:eastAsia="zh-CN"/>
        </w:rPr>
        <w:t>M</w:t>
      </w:r>
      <w:r w:rsidRPr="00B20C53">
        <w:rPr>
          <w:rFonts w:ascii="Book Antiqua" w:eastAsia="Book Antiqua" w:hAnsi="Book Antiqua" w:cs="Book Antiqua"/>
          <w:color w:val="000000" w:themeColor="text1"/>
        </w:rPr>
        <w:t xml:space="preserve">ore plasma cell infiltration and focal interfacial inflammation in portal areas and (3) </w:t>
      </w:r>
      <w:r w:rsidR="00953726">
        <w:rPr>
          <w:rFonts w:ascii="Book Antiqua" w:hAnsi="Book Antiqua" w:cs="Book Antiqua" w:hint="eastAsia"/>
          <w:color w:val="000000" w:themeColor="text1"/>
          <w:lang w:eastAsia="zh-CN"/>
        </w:rPr>
        <w:t>L</w:t>
      </w:r>
      <w:r w:rsidRPr="00B20C53">
        <w:rPr>
          <w:rFonts w:ascii="Book Antiqua" w:eastAsia="Book Antiqua" w:hAnsi="Book Antiqua" w:cs="Book Antiqua"/>
          <w:color w:val="000000" w:themeColor="text1"/>
        </w:rPr>
        <w:t>obular hepatitis in the recovery period that may have been related to recent medication.</w:t>
      </w:r>
    </w:p>
    <w:p w14:paraId="6D2A2200" w14:textId="77777777" w:rsidR="00A77B3E" w:rsidRPr="00B20C53" w:rsidRDefault="00A77B3E" w:rsidP="00B20C53">
      <w:pPr>
        <w:snapToGrid w:val="0"/>
        <w:spacing w:line="360" w:lineRule="auto"/>
        <w:jc w:val="both"/>
        <w:rPr>
          <w:color w:val="000000" w:themeColor="text1"/>
        </w:rPr>
      </w:pPr>
    </w:p>
    <w:p w14:paraId="0467541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FINAL DIAGNOSIS</w:t>
      </w:r>
    </w:p>
    <w:p w14:paraId="0B10993F" w14:textId="53ABEDE5"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IAD</w:t>
      </w:r>
    </w:p>
    <w:p w14:paraId="16D3B88B" w14:textId="77777777" w:rsidR="00A77B3E" w:rsidRPr="00B20C53" w:rsidRDefault="00A77B3E" w:rsidP="00B20C53">
      <w:pPr>
        <w:snapToGrid w:val="0"/>
        <w:spacing w:line="360" w:lineRule="auto"/>
        <w:jc w:val="both"/>
        <w:rPr>
          <w:color w:val="000000" w:themeColor="text1"/>
        </w:rPr>
      </w:pPr>
    </w:p>
    <w:p w14:paraId="535B57E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TREATMENT</w:t>
      </w:r>
    </w:p>
    <w:p w14:paraId="7247331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The patient was given UDCA (250 mg twice daily) after admission.</w:t>
      </w:r>
    </w:p>
    <w:p w14:paraId="30801030" w14:textId="77777777" w:rsidR="00A77B3E" w:rsidRPr="00B20C53" w:rsidRDefault="00A77B3E" w:rsidP="00B20C53">
      <w:pPr>
        <w:snapToGrid w:val="0"/>
        <w:spacing w:line="360" w:lineRule="auto"/>
        <w:jc w:val="both"/>
        <w:rPr>
          <w:color w:val="000000" w:themeColor="text1"/>
        </w:rPr>
      </w:pPr>
    </w:p>
    <w:p w14:paraId="3BF9CDA4"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OUTCOME AND FOLLOW-UP</w:t>
      </w:r>
    </w:p>
    <w:p w14:paraId="7952DC00" w14:textId="3A7134E8"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Re-examination of liver function after 2 wk of treatment showed that AST and ALT had returned to normal, and ALP was 146.1</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and GGT 114.8</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 xml:space="preserve">U/L. According to the pathological results, the treatment was considered effective. </w:t>
      </w:r>
    </w:p>
    <w:p w14:paraId="7ACEDA84" w14:textId="77777777" w:rsidR="00A77B3E" w:rsidRPr="00B20C53" w:rsidRDefault="00A77B3E" w:rsidP="00B20C53">
      <w:pPr>
        <w:snapToGrid w:val="0"/>
        <w:spacing w:line="360" w:lineRule="auto"/>
        <w:jc w:val="both"/>
        <w:rPr>
          <w:color w:val="000000" w:themeColor="text1"/>
        </w:rPr>
      </w:pPr>
    </w:p>
    <w:p w14:paraId="6CA1F72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DISCUSSION</w:t>
      </w:r>
    </w:p>
    <w:p w14:paraId="1C93A774" w14:textId="47C6D605"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This patient was a young female without a clear cause of IAD. A retrospective medical history revealed that there were abnormal transaminases 5 years ago, but no cholestasis. There were no obvious clinical symptoms, but only mild percussion pain in the liver area. Imaging examinations after admission suggested chronic liver injury. The abnormal liver function was mainly due to elevated a-fetoprotein and GGT accompanied by mild cholestasis, so autoimmune liver disease was considered. Related laboratory tests excluded the possibility of autoimmune hepatitis and primary biliary cholangitis. Although the patient had a history of oral Chinese medicine, liver function tests showed abnormal transaminases before taking the medicine, so it is unlikely that IAD was caused by drug-induced liver injury. Therefore, the diagnosis depended on liver biopsy. The patient had a normal extrahepatic biliary tract </w:t>
      </w:r>
      <w:r w:rsidR="00FE66D3" w:rsidRPr="00B20C53">
        <w:rPr>
          <w:rFonts w:ascii="Book Antiqua" w:eastAsia="Book Antiqua" w:hAnsi="Book Antiqua" w:cs="Book Antiqua"/>
          <w:color w:val="000000" w:themeColor="text1"/>
        </w:rPr>
        <w:t>and</w:t>
      </w:r>
      <w:r w:rsidRPr="00B20C53">
        <w:rPr>
          <w:rFonts w:ascii="Book Antiqua" w:eastAsia="Book Antiqua" w:hAnsi="Book Antiqua" w:cs="Book Antiqua"/>
          <w:color w:val="000000" w:themeColor="text1"/>
        </w:rPr>
        <w:t xml:space="preserve"> had no evidence of inflammatory bowel disease. A liver biopsy specimen presented loss of interlobular bile ducts from &gt; 50% of the portal area. Combined with liver histological features, a diagnosis of IAD was made. </w:t>
      </w:r>
    </w:p>
    <w:p w14:paraId="678BD299" w14:textId="455126B9" w:rsidR="00A77B3E" w:rsidRPr="00B20C53" w:rsidRDefault="002A221E" w:rsidP="00B20C53">
      <w:pPr>
        <w:snapToGrid w:val="0"/>
        <w:spacing w:line="360" w:lineRule="auto"/>
        <w:ind w:firstLineChars="100" w:firstLine="240"/>
        <w:jc w:val="both"/>
        <w:rPr>
          <w:color w:val="000000" w:themeColor="text1"/>
        </w:rPr>
      </w:pPr>
      <w:r w:rsidRPr="00B20C53">
        <w:rPr>
          <w:rFonts w:ascii="Book Antiqua" w:eastAsia="Book Antiqua" w:hAnsi="Book Antiqua" w:cs="Book Antiqua"/>
          <w:color w:val="000000" w:themeColor="text1"/>
        </w:rPr>
        <w:t xml:space="preserve">The diagnostic criteria for IAD include the following: (1) </w:t>
      </w:r>
      <w:r w:rsidR="00FE66D3" w:rsidRPr="00B20C53">
        <w:rPr>
          <w:rFonts w:ascii="Book Antiqua" w:eastAsia="Book Antiqua" w:hAnsi="Book Antiqua" w:cs="Book Antiqua"/>
          <w:color w:val="000000" w:themeColor="text1"/>
        </w:rPr>
        <w:t>T</w:t>
      </w:r>
      <w:r w:rsidRPr="00B20C53">
        <w:rPr>
          <w:rFonts w:ascii="Book Antiqua" w:eastAsia="Book Antiqua" w:hAnsi="Book Antiqua" w:cs="Book Antiqua"/>
          <w:color w:val="000000" w:themeColor="text1"/>
        </w:rPr>
        <w:t xml:space="preserve">he patient must be an adult or at least an adolescent; (2) </w:t>
      </w:r>
      <w:r w:rsidR="00556DF4">
        <w:rPr>
          <w:rFonts w:ascii="Book Antiqua" w:hAnsi="Book Antiqua" w:cs="Book Antiqua" w:hint="eastAsia"/>
          <w:color w:val="000000" w:themeColor="text1"/>
          <w:lang w:eastAsia="zh-CN"/>
        </w:rPr>
        <w:t>B</w:t>
      </w:r>
      <w:r w:rsidRPr="00B20C53">
        <w:rPr>
          <w:rFonts w:ascii="Book Antiqua" w:eastAsia="Book Antiqua" w:hAnsi="Book Antiqua" w:cs="Book Antiqua"/>
          <w:color w:val="000000" w:themeColor="text1"/>
        </w:rPr>
        <w:t>iopsy ought to show a reduc</w:t>
      </w:r>
      <w:r w:rsidR="00FE66D3" w:rsidRPr="00B20C53">
        <w:rPr>
          <w:rFonts w:ascii="Book Antiqua" w:eastAsia="Book Antiqua" w:hAnsi="Book Antiqua" w:cs="Book Antiqua"/>
          <w:color w:val="000000" w:themeColor="text1"/>
        </w:rPr>
        <w:t>tion</w:t>
      </w:r>
      <w:r w:rsidRPr="00B20C53">
        <w:rPr>
          <w:rFonts w:ascii="Book Antiqua" w:eastAsia="Book Antiqua" w:hAnsi="Book Antiqua" w:cs="Book Antiqua"/>
          <w:color w:val="000000" w:themeColor="text1"/>
        </w:rPr>
        <w:t xml:space="preserve"> in intrahepatic bile ducts in at least 50% of the portal areas; and (3) </w:t>
      </w:r>
      <w:r w:rsidR="00556DF4">
        <w:rPr>
          <w:rFonts w:ascii="Book Antiqua" w:hAnsi="Book Antiqua" w:cs="Book Antiqua" w:hint="eastAsia"/>
          <w:color w:val="000000" w:themeColor="text1"/>
          <w:lang w:eastAsia="zh-CN"/>
        </w:rPr>
        <w:t>T</w:t>
      </w:r>
      <w:r w:rsidRPr="00B20C53">
        <w:rPr>
          <w:rFonts w:ascii="Book Antiqua" w:eastAsia="Book Antiqua" w:hAnsi="Book Antiqua" w:cs="Book Antiqua"/>
          <w:color w:val="000000" w:themeColor="text1"/>
        </w:rPr>
        <w:t>here should be no identifiable causes of cholestasis</w:t>
      </w:r>
      <w:r w:rsidRPr="00B20C53">
        <w:rPr>
          <w:rFonts w:ascii="Book Antiqua" w:eastAsia="Book Antiqua" w:hAnsi="Book Antiqua" w:cs="Book Antiqua"/>
          <w:color w:val="000000" w:themeColor="text1"/>
          <w:vertAlign w:val="superscript"/>
        </w:rPr>
        <w:t>[1]</w:t>
      </w:r>
      <w:r w:rsidRPr="00B20C53">
        <w:rPr>
          <w:rFonts w:ascii="Book Antiqua" w:eastAsia="Book Antiqua" w:hAnsi="Book Antiqua" w:cs="Book Antiqua"/>
          <w:color w:val="000000" w:themeColor="text1"/>
        </w:rPr>
        <w:t>. As for therapy, related research has shown that some patients have improvement in liver function tests with UDCA</w:t>
      </w:r>
      <w:r w:rsidRPr="00B20C53">
        <w:rPr>
          <w:rFonts w:ascii="Book Antiqua" w:eastAsia="Book Antiqua" w:hAnsi="Book Antiqua" w:cs="Book Antiqua"/>
          <w:color w:val="000000" w:themeColor="text1"/>
          <w:vertAlign w:val="superscript"/>
        </w:rPr>
        <w:t>[6]</w:t>
      </w:r>
      <w:r w:rsidRPr="00B20C53">
        <w:rPr>
          <w:rFonts w:ascii="Book Antiqua" w:eastAsia="Book Antiqua" w:hAnsi="Book Antiqua" w:cs="Book Antiqua"/>
          <w:color w:val="000000" w:themeColor="text1"/>
        </w:rPr>
        <w:t>. Since the patient was admitted to hospital, she has been treated with UDCA. Liver biopsy can establish whether UDCA is effective for treatment of IAD. However, for patients with rapid disease progression, UDCA does not improve the condition, and they will ultimately require liver transplantation</w:t>
      </w:r>
      <w:r w:rsidRPr="00B20C53">
        <w:rPr>
          <w:rFonts w:ascii="Book Antiqua" w:eastAsia="Book Antiqua" w:hAnsi="Book Antiqua" w:cs="Book Antiqua"/>
          <w:color w:val="000000" w:themeColor="text1"/>
          <w:vertAlign w:val="superscript"/>
        </w:rPr>
        <w:t>[7]</w:t>
      </w:r>
      <w:r w:rsidRPr="00B20C53">
        <w:rPr>
          <w:rFonts w:ascii="Book Antiqua" w:eastAsia="Book Antiqua" w:hAnsi="Book Antiqua" w:cs="Book Antiqua"/>
          <w:color w:val="000000" w:themeColor="text1"/>
        </w:rPr>
        <w:t>. Cirrhosis caused by IAD has been reported in some cases, and its progression is faster than other types of cirrhosis</w:t>
      </w:r>
      <w:r w:rsidRPr="00B20C53">
        <w:rPr>
          <w:rFonts w:ascii="Book Antiqua" w:eastAsia="Book Antiqua" w:hAnsi="Book Antiqua" w:cs="Book Antiqua"/>
          <w:color w:val="000000" w:themeColor="text1"/>
          <w:vertAlign w:val="superscript"/>
        </w:rPr>
        <w:t>[8]</w:t>
      </w:r>
      <w:r w:rsidRPr="00B20C53">
        <w:rPr>
          <w:rFonts w:ascii="Book Antiqua" w:eastAsia="Book Antiqua" w:hAnsi="Book Antiqua" w:cs="Book Antiqua"/>
          <w:color w:val="000000" w:themeColor="text1"/>
        </w:rPr>
        <w:t>.</w:t>
      </w:r>
    </w:p>
    <w:p w14:paraId="7A1B2007" w14:textId="77777777" w:rsidR="00A77B3E" w:rsidRPr="00B20C53" w:rsidRDefault="00A77B3E" w:rsidP="00B20C53">
      <w:pPr>
        <w:snapToGrid w:val="0"/>
        <w:spacing w:line="360" w:lineRule="auto"/>
        <w:jc w:val="both"/>
        <w:rPr>
          <w:color w:val="000000" w:themeColor="text1"/>
        </w:rPr>
      </w:pPr>
    </w:p>
    <w:p w14:paraId="7DA8B4AF"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CONCLUSION</w:t>
      </w:r>
    </w:p>
    <w:p w14:paraId="4C289F6D" w14:textId="4CAD7C06"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IAD is a manifestation of cholestasis, but also may be an abnormal increase in transaminase in the early stage. For liver injury of unknown cause, when we exclude </w:t>
      </w:r>
      <w:r w:rsidR="00FE66D3" w:rsidRPr="00B20C53">
        <w:rPr>
          <w:rFonts w:ascii="Book Antiqua" w:eastAsia="Book Antiqua" w:hAnsi="Book Antiqua" w:cs="Book Antiqua"/>
          <w:color w:val="000000" w:themeColor="text1"/>
        </w:rPr>
        <w:t>primary biliary cholangitis</w:t>
      </w:r>
      <w:r w:rsidRPr="00B20C53">
        <w:rPr>
          <w:rFonts w:ascii="Book Antiqua" w:eastAsia="Book Antiqua" w:hAnsi="Book Antiqua" w:cs="Book Antiqua"/>
          <w:color w:val="000000" w:themeColor="text1"/>
        </w:rPr>
        <w:t xml:space="preserve">, </w:t>
      </w:r>
      <w:r w:rsidR="00FE66D3" w:rsidRPr="00B20C53">
        <w:rPr>
          <w:rFonts w:ascii="Book Antiqua" w:eastAsia="Book Antiqua" w:hAnsi="Book Antiqua" w:cs="Book Antiqua"/>
          <w:color w:val="000000" w:themeColor="text1"/>
        </w:rPr>
        <w:t>autoimmune hepatitis</w:t>
      </w:r>
      <w:r w:rsidRPr="00B20C53">
        <w:rPr>
          <w:rFonts w:ascii="Book Antiqua" w:eastAsia="Book Antiqua" w:hAnsi="Book Antiqua" w:cs="Book Antiqua"/>
          <w:color w:val="000000" w:themeColor="text1"/>
        </w:rPr>
        <w:t xml:space="preserve"> and </w:t>
      </w:r>
      <w:r w:rsidR="00FE66D3" w:rsidRPr="00B20C53">
        <w:rPr>
          <w:rFonts w:ascii="Book Antiqua" w:eastAsia="Book Antiqua" w:hAnsi="Book Antiqua" w:cs="Book Antiqua"/>
          <w:color w:val="000000" w:themeColor="text1"/>
        </w:rPr>
        <w:t>drug-induced liver injury</w:t>
      </w:r>
      <w:r w:rsidRPr="00B20C53">
        <w:rPr>
          <w:rFonts w:ascii="Book Antiqua" w:eastAsia="Book Antiqua" w:hAnsi="Book Antiqua" w:cs="Book Antiqua"/>
          <w:color w:val="000000" w:themeColor="text1"/>
        </w:rPr>
        <w:t>, liver biopsy can be performed to clarify the diagnosis. For patients who have been diagnosed, long-term UDCA treatment should be used to reduce liver cell damage and help with liver cell repair and bile duct regeneration and reconstruction. UDCA has a positive effect on the long-term prognosis of the disease. Further examinations are still necessary to evaluate the recovery of bile ducts and arrest the disease progress in a timely manner.</w:t>
      </w:r>
    </w:p>
    <w:p w14:paraId="4D78EA32" w14:textId="77777777" w:rsidR="00A77B3E" w:rsidRPr="00B20C53" w:rsidRDefault="00A77B3E" w:rsidP="00B20C53">
      <w:pPr>
        <w:snapToGrid w:val="0"/>
        <w:spacing w:line="360" w:lineRule="auto"/>
        <w:jc w:val="both"/>
        <w:rPr>
          <w:color w:val="000000" w:themeColor="text1"/>
        </w:rPr>
      </w:pPr>
    </w:p>
    <w:p w14:paraId="32BD5296"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REFERENCES</w:t>
      </w:r>
    </w:p>
    <w:p w14:paraId="241616D7"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1 </w:t>
      </w:r>
      <w:r w:rsidRPr="00B20C53">
        <w:rPr>
          <w:rFonts w:ascii="Book Antiqua" w:eastAsia="Book Antiqua" w:hAnsi="Book Antiqua" w:cs="Book Antiqua"/>
          <w:b/>
          <w:bCs/>
          <w:color w:val="000000" w:themeColor="text1"/>
        </w:rPr>
        <w:t>Ludwig J</w:t>
      </w:r>
      <w:r w:rsidRPr="00B20C53">
        <w:rPr>
          <w:rFonts w:ascii="Book Antiqua" w:eastAsia="Book Antiqua" w:hAnsi="Book Antiqua" w:cs="Book Antiqua"/>
          <w:color w:val="000000" w:themeColor="text1"/>
        </w:rPr>
        <w:t xml:space="preserve">. Idiopathic adulthood ductopenia: an update. </w:t>
      </w:r>
      <w:r w:rsidRPr="00B20C53">
        <w:rPr>
          <w:rFonts w:ascii="Book Antiqua" w:eastAsia="Book Antiqua" w:hAnsi="Book Antiqua" w:cs="Book Antiqua"/>
          <w:i/>
          <w:iCs/>
          <w:color w:val="000000" w:themeColor="text1"/>
        </w:rPr>
        <w:t>Mayo Clin Proc</w:t>
      </w:r>
      <w:r w:rsidRPr="00B20C53">
        <w:rPr>
          <w:rFonts w:ascii="Book Antiqua" w:eastAsia="Book Antiqua" w:hAnsi="Book Antiqua" w:cs="Book Antiqua"/>
          <w:color w:val="000000" w:themeColor="text1"/>
        </w:rPr>
        <w:t xml:space="preserve"> 1998; </w:t>
      </w:r>
      <w:r w:rsidRPr="00B20C53">
        <w:rPr>
          <w:rFonts w:ascii="Book Antiqua" w:eastAsia="Book Antiqua" w:hAnsi="Book Antiqua" w:cs="Book Antiqua"/>
          <w:b/>
          <w:bCs/>
          <w:color w:val="000000" w:themeColor="text1"/>
        </w:rPr>
        <w:t>73</w:t>
      </w:r>
      <w:r w:rsidRPr="00B20C53">
        <w:rPr>
          <w:rFonts w:ascii="Book Antiqua" w:eastAsia="Book Antiqua" w:hAnsi="Book Antiqua" w:cs="Book Antiqua"/>
          <w:color w:val="000000" w:themeColor="text1"/>
        </w:rPr>
        <w:t>: 285-291 [PMID: 9511789 DOI: 10.4065/73.3.285]</w:t>
      </w:r>
    </w:p>
    <w:p w14:paraId="7E77017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2 </w:t>
      </w:r>
      <w:r w:rsidRPr="00B20C53">
        <w:rPr>
          <w:rFonts w:ascii="Book Antiqua" w:eastAsia="Book Antiqua" w:hAnsi="Book Antiqua" w:cs="Book Antiqua"/>
          <w:b/>
          <w:bCs/>
          <w:color w:val="000000" w:themeColor="text1"/>
        </w:rPr>
        <w:t>Ludwig J</w:t>
      </w:r>
      <w:r w:rsidRPr="00B20C53">
        <w:rPr>
          <w:rFonts w:ascii="Book Antiqua" w:eastAsia="Book Antiqua" w:hAnsi="Book Antiqua" w:cs="Book Antiqua"/>
          <w:color w:val="000000" w:themeColor="text1"/>
        </w:rPr>
        <w:t xml:space="preserve">, Wiesner RH, LaRusso NF. Idiopathic adulthood ductopenia. A cause of chronic cholestatic liver disease and biliary cirrhosis. </w:t>
      </w:r>
      <w:r w:rsidRPr="00B20C53">
        <w:rPr>
          <w:rFonts w:ascii="Book Antiqua" w:eastAsia="Book Antiqua" w:hAnsi="Book Antiqua" w:cs="Book Antiqua"/>
          <w:i/>
          <w:iCs/>
          <w:color w:val="000000" w:themeColor="text1"/>
        </w:rPr>
        <w:t>J Hepatol</w:t>
      </w:r>
      <w:r w:rsidRPr="00B20C53">
        <w:rPr>
          <w:rFonts w:ascii="Book Antiqua" w:eastAsia="Book Antiqua" w:hAnsi="Book Antiqua" w:cs="Book Antiqua"/>
          <w:color w:val="000000" w:themeColor="text1"/>
        </w:rPr>
        <w:t xml:space="preserve"> 1988; </w:t>
      </w:r>
      <w:r w:rsidRPr="00B20C53">
        <w:rPr>
          <w:rFonts w:ascii="Book Antiqua" w:eastAsia="Book Antiqua" w:hAnsi="Book Antiqua" w:cs="Book Antiqua"/>
          <w:b/>
          <w:bCs/>
          <w:color w:val="000000" w:themeColor="text1"/>
        </w:rPr>
        <w:t>7</w:t>
      </w:r>
      <w:r w:rsidRPr="00B20C53">
        <w:rPr>
          <w:rFonts w:ascii="Book Antiqua" w:eastAsia="Book Antiqua" w:hAnsi="Book Antiqua" w:cs="Book Antiqua"/>
          <w:color w:val="000000" w:themeColor="text1"/>
        </w:rPr>
        <w:t>: 193-199 [PMID: 3057064 DOI: 10.1016/s0168-8278(88)80482-3]</w:t>
      </w:r>
    </w:p>
    <w:p w14:paraId="3680C18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3 </w:t>
      </w:r>
      <w:r w:rsidRPr="00B20C53">
        <w:rPr>
          <w:rFonts w:ascii="Book Antiqua" w:eastAsia="Book Antiqua" w:hAnsi="Book Antiqua" w:cs="Book Antiqua"/>
          <w:b/>
          <w:bCs/>
          <w:color w:val="000000" w:themeColor="text1"/>
        </w:rPr>
        <w:t>Bilal M</w:t>
      </w:r>
      <w:r w:rsidRPr="00B20C53">
        <w:rPr>
          <w:rFonts w:ascii="Book Antiqua" w:eastAsia="Book Antiqua" w:hAnsi="Book Antiqua" w:cs="Book Antiqua"/>
          <w:color w:val="000000" w:themeColor="text1"/>
        </w:rPr>
        <w:t xml:space="preserve">, Kazemi A, Babich M. Idiopathic Adulthood Ductopenia: 'It Is Out There'. </w:t>
      </w:r>
      <w:r w:rsidRPr="00B20C53">
        <w:rPr>
          <w:rFonts w:ascii="Book Antiqua" w:eastAsia="Book Antiqua" w:hAnsi="Book Antiqua" w:cs="Book Antiqua"/>
          <w:i/>
          <w:iCs/>
          <w:color w:val="000000" w:themeColor="text1"/>
        </w:rPr>
        <w:t>Case Rep Gastroenterol</w:t>
      </w:r>
      <w:r w:rsidRPr="00B20C53">
        <w:rPr>
          <w:rFonts w:ascii="Book Antiqua" w:eastAsia="Book Antiqua" w:hAnsi="Book Antiqua" w:cs="Book Antiqua"/>
          <w:color w:val="000000" w:themeColor="text1"/>
        </w:rPr>
        <w:t xml:space="preserve"> 2016; </w:t>
      </w:r>
      <w:r w:rsidRPr="00B20C53">
        <w:rPr>
          <w:rFonts w:ascii="Book Antiqua" w:eastAsia="Book Antiqua" w:hAnsi="Book Antiqua" w:cs="Book Antiqua"/>
          <w:b/>
          <w:bCs/>
          <w:color w:val="000000" w:themeColor="text1"/>
        </w:rPr>
        <w:t>10</w:t>
      </w:r>
      <w:r w:rsidRPr="00B20C53">
        <w:rPr>
          <w:rFonts w:ascii="Book Antiqua" w:eastAsia="Book Antiqua" w:hAnsi="Book Antiqua" w:cs="Book Antiqua"/>
          <w:color w:val="000000" w:themeColor="text1"/>
        </w:rPr>
        <w:t>: 95-98 [PMID: 27403109 DOI: 10.1159/000444443]</w:t>
      </w:r>
    </w:p>
    <w:p w14:paraId="048DE71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4 </w:t>
      </w:r>
      <w:r w:rsidRPr="00B20C53">
        <w:rPr>
          <w:rFonts w:ascii="Book Antiqua" w:eastAsia="Book Antiqua" w:hAnsi="Book Antiqua" w:cs="Book Antiqua"/>
          <w:b/>
          <w:bCs/>
          <w:color w:val="000000" w:themeColor="text1"/>
        </w:rPr>
        <w:t>Nakanuma Y</w:t>
      </w:r>
      <w:r w:rsidRPr="00B20C53">
        <w:rPr>
          <w:rFonts w:ascii="Book Antiqua" w:eastAsia="Book Antiqua" w:hAnsi="Book Antiqua" w:cs="Book Antiqua"/>
          <w:color w:val="000000" w:themeColor="text1"/>
        </w:rPr>
        <w:t xml:space="preserve">, Tsuneyama K, Harada K. Pathology and pathogenesis of intrahepatic bile duct loss. </w:t>
      </w:r>
      <w:r w:rsidRPr="00B20C53">
        <w:rPr>
          <w:rFonts w:ascii="Book Antiqua" w:eastAsia="Book Antiqua" w:hAnsi="Book Antiqua" w:cs="Book Antiqua"/>
          <w:i/>
          <w:iCs/>
          <w:color w:val="000000" w:themeColor="text1"/>
        </w:rPr>
        <w:t>J Hepatobiliary Pancreat Surg</w:t>
      </w:r>
      <w:r w:rsidRPr="00B20C53">
        <w:rPr>
          <w:rFonts w:ascii="Book Antiqua" w:eastAsia="Book Antiqua" w:hAnsi="Book Antiqua" w:cs="Book Antiqua"/>
          <w:color w:val="000000" w:themeColor="text1"/>
        </w:rPr>
        <w:t xml:space="preserve"> 2001; </w:t>
      </w:r>
      <w:r w:rsidRPr="00B20C53">
        <w:rPr>
          <w:rFonts w:ascii="Book Antiqua" w:eastAsia="Book Antiqua" w:hAnsi="Book Antiqua" w:cs="Book Antiqua"/>
          <w:b/>
          <w:bCs/>
          <w:color w:val="000000" w:themeColor="text1"/>
        </w:rPr>
        <w:t>8</w:t>
      </w:r>
      <w:r w:rsidRPr="00B20C53">
        <w:rPr>
          <w:rFonts w:ascii="Book Antiqua" w:eastAsia="Book Antiqua" w:hAnsi="Book Antiqua" w:cs="Book Antiqua"/>
          <w:color w:val="000000" w:themeColor="text1"/>
        </w:rPr>
        <w:t>: 303-315 [PMID: 11521175 DOI: 10.1007/s005340170002]</w:t>
      </w:r>
    </w:p>
    <w:p w14:paraId="52E6041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5 </w:t>
      </w:r>
      <w:r w:rsidRPr="00B20C53">
        <w:rPr>
          <w:rFonts w:ascii="Book Antiqua" w:eastAsia="Book Antiqua" w:hAnsi="Book Antiqua" w:cs="Book Antiqua"/>
          <w:b/>
          <w:bCs/>
          <w:color w:val="000000" w:themeColor="text1"/>
        </w:rPr>
        <w:t>Park BC</w:t>
      </w:r>
      <w:r w:rsidRPr="00B20C53">
        <w:rPr>
          <w:rFonts w:ascii="Book Antiqua" w:eastAsia="Book Antiqua" w:hAnsi="Book Antiqua" w:cs="Book Antiqua"/>
          <w:color w:val="000000" w:themeColor="text1"/>
        </w:rPr>
        <w:t xml:space="preserve">, Park SM, Choi EY, Chae HB, Yoon SJ, Sung R, Lee SK. A case of idiopathic adulthood ductopenia. </w:t>
      </w:r>
      <w:r w:rsidRPr="00B20C53">
        <w:rPr>
          <w:rFonts w:ascii="Book Antiqua" w:eastAsia="Book Antiqua" w:hAnsi="Book Antiqua" w:cs="Book Antiqua"/>
          <w:i/>
          <w:iCs/>
          <w:color w:val="000000" w:themeColor="text1"/>
        </w:rPr>
        <w:t>Korean J Intern Med</w:t>
      </w:r>
      <w:r w:rsidRPr="00B20C53">
        <w:rPr>
          <w:rFonts w:ascii="Book Antiqua" w:eastAsia="Book Antiqua" w:hAnsi="Book Antiqua" w:cs="Book Antiqua"/>
          <w:color w:val="000000" w:themeColor="text1"/>
        </w:rPr>
        <w:t xml:space="preserve"> 2009; </w:t>
      </w:r>
      <w:r w:rsidRPr="00B20C53">
        <w:rPr>
          <w:rFonts w:ascii="Book Antiqua" w:eastAsia="Book Antiqua" w:hAnsi="Book Antiqua" w:cs="Book Antiqua"/>
          <w:b/>
          <w:bCs/>
          <w:color w:val="000000" w:themeColor="text1"/>
        </w:rPr>
        <w:t>24</w:t>
      </w:r>
      <w:r w:rsidRPr="00B20C53">
        <w:rPr>
          <w:rFonts w:ascii="Book Antiqua" w:eastAsia="Book Antiqua" w:hAnsi="Book Antiqua" w:cs="Book Antiqua"/>
          <w:color w:val="000000" w:themeColor="text1"/>
        </w:rPr>
        <w:t>: 270-273 [PMID: 19721865 DOI: 10.3904/kjim.2009.24.3.270]</w:t>
      </w:r>
    </w:p>
    <w:p w14:paraId="5D36BCF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6 </w:t>
      </w:r>
      <w:r w:rsidRPr="00B20C53">
        <w:rPr>
          <w:rFonts w:ascii="Book Antiqua" w:eastAsia="Book Antiqua" w:hAnsi="Book Antiqua" w:cs="Book Antiqua"/>
          <w:b/>
          <w:bCs/>
          <w:color w:val="000000" w:themeColor="text1"/>
        </w:rPr>
        <w:t>Moreno A</w:t>
      </w:r>
      <w:r w:rsidRPr="00B20C53">
        <w:rPr>
          <w:rFonts w:ascii="Book Antiqua" w:eastAsia="Book Antiqua" w:hAnsi="Book Antiqua" w:cs="Book Antiqua"/>
          <w:color w:val="000000" w:themeColor="text1"/>
        </w:rPr>
        <w:t xml:space="preserve">, Carreño V, Cano A, González C. Idiopathic biliary ductopenia in adults without symptoms of liver disease. </w:t>
      </w:r>
      <w:r w:rsidRPr="00B20C53">
        <w:rPr>
          <w:rFonts w:ascii="Book Antiqua" w:eastAsia="Book Antiqua" w:hAnsi="Book Antiqua" w:cs="Book Antiqua"/>
          <w:i/>
          <w:iCs/>
          <w:color w:val="000000" w:themeColor="text1"/>
        </w:rPr>
        <w:t>N Engl J Med</w:t>
      </w:r>
      <w:r w:rsidRPr="00B20C53">
        <w:rPr>
          <w:rFonts w:ascii="Book Antiqua" w:eastAsia="Book Antiqua" w:hAnsi="Book Antiqua" w:cs="Book Antiqua"/>
          <w:color w:val="000000" w:themeColor="text1"/>
        </w:rPr>
        <w:t xml:space="preserve"> 1997; </w:t>
      </w:r>
      <w:r w:rsidRPr="00B20C53">
        <w:rPr>
          <w:rFonts w:ascii="Book Antiqua" w:eastAsia="Book Antiqua" w:hAnsi="Book Antiqua" w:cs="Book Antiqua"/>
          <w:b/>
          <w:bCs/>
          <w:color w:val="000000" w:themeColor="text1"/>
        </w:rPr>
        <w:t>336</w:t>
      </w:r>
      <w:r w:rsidRPr="00B20C53">
        <w:rPr>
          <w:rFonts w:ascii="Book Antiqua" w:eastAsia="Book Antiqua" w:hAnsi="Book Antiqua" w:cs="Book Antiqua"/>
          <w:color w:val="000000" w:themeColor="text1"/>
        </w:rPr>
        <w:t>: 835-838 [PMID: 9062092 DOI: 10.1056/nejm199703203361204]</w:t>
      </w:r>
    </w:p>
    <w:p w14:paraId="17FB4F4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7 </w:t>
      </w:r>
      <w:r w:rsidRPr="00B20C53">
        <w:rPr>
          <w:rFonts w:ascii="Book Antiqua" w:eastAsia="Book Antiqua" w:hAnsi="Book Antiqua" w:cs="Book Antiqua"/>
          <w:b/>
          <w:bCs/>
          <w:color w:val="000000" w:themeColor="text1"/>
        </w:rPr>
        <w:t>Müller C</w:t>
      </w:r>
      <w:r w:rsidRPr="00B20C53">
        <w:rPr>
          <w:rFonts w:ascii="Book Antiqua" w:eastAsia="Book Antiqua" w:hAnsi="Book Antiqua" w:cs="Book Antiqua"/>
          <w:color w:val="000000" w:themeColor="text1"/>
        </w:rPr>
        <w:t xml:space="preserve">, Ulrich W, Penner E. Manifestation late in life of idiopathic adulthood ductopenia. </w:t>
      </w:r>
      <w:r w:rsidRPr="00B20C53">
        <w:rPr>
          <w:rFonts w:ascii="Book Antiqua" w:eastAsia="Book Antiqua" w:hAnsi="Book Antiqua" w:cs="Book Antiqua"/>
          <w:i/>
          <w:iCs/>
          <w:color w:val="000000" w:themeColor="text1"/>
        </w:rPr>
        <w:t>Liver</w:t>
      </w:r>
      <w:r w:rsidRPr="00B20C53">
        <w:rPr>
          <w:rFonts w:ascii="Book Antiqua" w:eastAsia="Book Antiqua" w:hAnsi="Book Antiqua" w:cs="Book Antiqua"/>
          <w:color w:val="000000" w:themeColor="text1"/>
        </w:rPr>
        <w:t xml:space="preserve"> 1995; </w:t>
      </w:r>
      <w:r w:rsidRPr="00B20C53">
        <w:rPr>
          <w:rFonts w:ascii="Book Antiqua" w:eastAsia="Book Antiqua" w:hAnsi="Book Antiqua" w:cs="Book Antiqua"/>
          <w:b/>
          <w:bCs/>
          <w:color w:val="000000" w:themeColor="text1"/>
        </w:rPr>
        <w:t>15</w:t>
      </w:r>
      <w:r w:rsidRPr="00B20C53">
        <w:rPr>
          <w:rFonts w:ascii="Book Antiqua" w:eastAsia="Book Antiqua" w:hAnsi="Book Antiqua" w:cs="Book Antiqua"/>
          <w:color w:val="000000" w:themeColor="text1"/>
        </w:rPr>
        <w:t>: 213-218 [PMID: 8544645 DOI: 10.1111/j.1600-0676.1995.tb00673.x]</w:t>
      </w:r>
    </w:p>
    <w:p w14:paraId="1F1E307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8 </w:t>
      </w:r>
      <w:r w:rsidRPr="00B20C53">
        <w:rPr>
          <w:rFonts w:ascii="Book Antiqua" w:eastAsia="Book Antiqua" w:hAnsi="Book Antiqua" w:cs="Book Antiqua"/>
          <w:b/>
          <w:bCs/>
          <w:color w:val="000000" w:themeColor="text1"/>
        </w:rPr>
        <w:t>Douglass KM</w:t>
      </w:r>
      <w:r w:rsidRPr="00B20C53">
        <w:rPr>
          <w:rFonts w:ascii="Book Antiqua" w:eastAsia="Book Antiqua" w:hAnsi="Book Antiqua" w:cs="Book Antiqua"/>
          <w:color w:val="000000" w:themeColor="text1"/>
        </w:rPr>
        <w:t xml:space="preserve">, Willner IR, Glenn DJ, Jones RM. Idiopathic Adulthood Ductopenia Causing Cirrhosis. </w:t>
      </w:r>
      <w:r w:rsidRPr="00B20C53">
        <w:rPr>
          <w:rFonts w:ascii="Book Antiqua" w:eastAsia="Book Antiqua" w:hAnsi="Book Antiqua" w:cs="Book Antiqua"/>
          <w:i/>
          <w:iCs/>
          <w:color w:val="000000" w:themeColor="text1"/>
        </w:rPr>
        <w:t>ACG Case Rep J</w:t>
      </w:r>
      <w:r w:rsidRPr="00B20C53">
        <w:rPr>
          <w:rFonts w:ascii="Book Antiqua" w:eastAsia="Book Antiqua" w:hAnsi="Book Antiqua" w:cs="Book Antiqua"/>
          <w:color w:val="000000" w:themeColor="text1"/>
        </w:rPr>
        <w:t xml:space="preserve"> 2020; </w:t>
      </w:r>
      <w:r w:rsidRPr="00B20C53">
        <w:rPr>
          <w:rFonts w:ascii="Book Antiqua" w:eastAsia="Book Antiqua" w:hAnsi="Book Antiqua" w:cs="Book Antiqua"/>
          <w:b/>
          <w:bCs/>
          <w:color w:val="000000" w:themeColor="text1"/>
        </w:rPr>
        <w:t>7</w:t>
      </w:r>
      <w:r w:rsidRPr="00B20C53">
        <w:rPr>
          <w:rFonts w:ascii="Book Antiqua" w:eastAsia="Book Antiqua" w:hAnsi="Book Antiqua" w:cs="Book Antiqua"/>
          <w:color w:val="000000" w:themeColor="text1"/>
        </w:rPr>
        <w:t>: e00349 [PMID: 32337312 DOI: 10.14309/crj.0000000000000349]</w:t>
      </w:r>
    </w:p>
    <w:p w14:paraId="64350F01" w14:textId="77777777" w:rsidR="0036062B" w:rsidRPr="00B20C53" w:rsidRDefault="0036062B" w:rsidP="00B20C53">
      <w:pPr>
        <w:snapToGrid w:val="0"/>
        <w:spacing w:line="360" w:lineRule="auto"/>
        <w:jc w:val="both"/>
        <w:rPr>
          <w:color w:val="000000" w:themeColor="text1"/>
        </w:rPr>
        <w:sectPr w:rsidR="0036062B" w:rsidRPr="00B20C53">
          <w:pgSz w:w="12240" w:h="15840"/>
          <w:pgMar w:top="1440" w:right="1440" w:bottom="1440" w:left="1440" w:header="720" w:footer="720" w:gutter="0"/>
          <w:cols w:space="720"/>
          <w:docGrid w:linePitch="360"/>
        </w:sectPr>
      </w:pPr>
    </w:p>
    <w:p w14:paraId="628D7CC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Footnotes</w:t>
      </w:r>
    </w:p>
    <w:p w14:paraId="68F95302"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Informed consent statement: </w:t>
      </w:r>
      <w:r w:rsidRPr="00B20C53">
        <w:rPr>
          <w:rFonts w:ascii="Book Antiqua" w:eastAsia="Book Antiqua" w:hAnsi="Book Antiqua" w:cs="Book Antiqua"/>
          <w:color w:val="000000" w:themeColor="text1"/>
        </w:rPr>
        <w:t xml:space="preserve">Informed consent was obtained from the patient in this report. </w:t>
      </w:r>
    </w:p>
    <w:p w14:paraId="3FF256B5" w14:textId="77777777" w:rsidR="00A77B3E" w:rsidRPr="00B20C53" w:rsidRDefault="00A77B3E" w:rsidP="00B20C53">
      <w:pPr>
        <w:snapToGrid w:val="0"/>
        <w:spacing w:line="360" w:lineRule="auto"/>
        <w:jc w:val="both"/>
        <w:rPr>
          <w:color w:val="000000" w:themeColor="text1"/>
        </w:rPr>
      </w:pPr>
    </w:p>
    <w:p w14:paraId="4EF53592"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Conflict-of-interest statement: </w:t>
      </w:r>
      <w:r w:rsidRPr="00B20C53">
        <w:rPr>
          <w:rFonts w:ascii="Book Antiqua" w:eastAsia="Book Antiqua" w:hAnsi="Book Antiqua" w:cs="Book Antiqua"/>
          <w:color w:val="000000" w:themeColor="text1"/>
        </w:rPr>
        <w:t>The authors declare that they have no conflict of interest.</w:t>
      </w:r>
    </w:p>
    <w:p w14:paraId="3014F762" w14:textId="77777777" w:rsidR="00A77B3E" w:rsidRPr="00B20C53" w:rsidRDefault="00A77B3E" w:rsidP="00B20C53">
      <w:pPr>
        <w:snapToGrid w:val="0"/>
        <w:spacing w:line="360" w:lineRule="auto"/>
        <w:jc w:val="both"/>
        <w:rPr>
          <w:color w:val="000000" w:themeColor="text1"/>
        </w:rPr>
      </w:pPr>
    </w:p>
    <w:p w14:paraId="2F63402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CARE Checklist (2016) statement: </w:t>
      </w:r>
      <w:r w:rsidRPr="00B20C53">
        <w:rPr>
          <w:rFonts w:ascii="Book Antiqua" w:eastAsia="Book Antiqua" w:hAnsi="Book Antiqua" w:cs="Book Antiqua"/>
          <w:color w:val="000000" w:themeColor="text1"/>
        </w:rPr>
        <w:t xml:space="preserve">The authors have read the CARE Checklist (2016), and the manuscript was prepared and revised according to the CARE Checklist (2016). </w:t>
      </w:r>
    </w:p>
    <w:p w14:paraId="0DA19C19" w14:textId="77777777" w:rsidR="00A77B3E" w:rsidRPr="00B20C53" w:rsidRDefault="00A77B3E" w:rsidP="00B20C53">
      <w:pPr>
        <w:snapToGrid w:val="0"/>
        <w:spacing w:line="360" w:lineRule="auto"/>
        <w:jc w:val="both"/>
        <w:rPr>
          <w:color w:val="000000" w:themeColor="text1"/>
        </w:rPr>
      </w:pPr>
    </w:p>
    <w:p w14:paraId="0BEE22D5"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Open-Access: </w:t>
      </w:r>
      <w:r w:rsidRPr="00B20C53">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BAFE40" w14:textId="77777777" w:rsidR="00A77B3E" w:rsidRPr="00B20C53" w:rsidRDefault="00A77B3E" w:rsidP="00B20C53">
      <w:pPr>
        <w:snapToGrid w:val="0"/>
        <w:spacing w:line="360" w:lineRule="auto"/>
        <w:jc w:val="both"/>
        <w:rPr>
          <w:color w:val="000000" w:themeColor="text1"/>
        </w:rPr>
      </w:pPr>
    </w:p>
    <w:p w14:paraId="25B8B1EC" w14:textId="170376B2"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Manuscript source: </w:t>
      </w:r>
      <w:r w:rsidRPr="00B20C53">
        <w:rPr>
          <w:rFonts w:ascii="Book Antiqua" w:eastAsia="Book Antiqua" w:hAnsi="Book Antiqua" w:cs="Book Antiqua"/>
          <w:color w:val="000000" w:themeColor="text1"/>
        </w:rPr>
        <w:t>Unsolicited</w:t>
      </w:r>
      <w:r w:rsidR="00F65FCD" w:rsidRPr="00B20C53">
        <w:rPr>
          <w:rFonts w:ascii="Book Antiqua" w:eastAsia="Book Antiqua" w:hAnsi="Book Antiqua" w:cs="Book Antiqua"/>
          <w:color w:val="000000" w:themeColor="text1"/>
        </w:rPr>
        <w:t xml:space="preserve"> m</w:t>
      </w:r>
      <w:r w:rsidRPr="00B20C53">
        <w:rPr>
          <w:rFonts w:ascii="Book Antiqua" w:eastAsia="Book Antiqua" w:hAnsi="Book Antiqua" w:cs="Book Antiqua"/>
          <w:color w:val="000000" w:themeColor="text1"/>
        </w:rPr>
        <w:t>anuscript</w:t>
      </w:r>
    </w:p>
    <w:p w14:paraId="398E67F4" w14:textId="77777777" w:rsidR="00A77B3E" w:rsidRPr="00B20C53" w:rsidRDefault="00A77B3E" w:rsidP="00B20C53">
      <w:pPr>
        <w:snapToGrid w:val="0"/>
        <w:spacing w:line="360" w:lineRule="auto"/>
        <w:jc w:val="both"/>
        <w:rPr>
          <w:color w:val="000000" w:themeColor="text1"/>
        </w:rPr>
      </w:pPr>
    </w:p>
    <w:p w14:paraId="2736BE7A"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Peer-review started: </w:t>
      </w:r>
      <w:r w:rsidRPr="00B20C53">
        <w:rPr>
          <w:rFonts w:ascii="Book Antiqua" w:eastAsia="Book Antiqua" w:hAnsi="Book Antiqua" w:cs="Book Antiqua"/>
          <w:color w:val="000000" w:themeColor="text1"/>
        </w:rPr>
        <w:t>September 25, 2020</w:t>
      </w:r>
    </w:p>
    <w:p w14:paraId="7A36290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First decision: </w:t>
      </w:r>
      <w:r w:rsidRPr="00B20C53">
        <w:rPr>
          <w:rFonts w:ascii="Book Antiqua" w:eastAsia="Book Antiqua" w:hAnsi="Book Antiqua" w:cs="Book Antiqua"/>
          <w:color w:val="000000" w:themeColor="text1"/>
        </w:rPr>
        <w:t>October 18, 2020</w:t>
      </w:r>
    </w:p>
    <w:p w14:paraId="0AD1FD05" w14:textId="506D88D3"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Article in press: </w:t>
      </w:r>
      <w:r w:rsidR="00046B31" w:rsidRPr="00B20C53">
        <w:rPr>
          <w:rFonts w:ascii="Book Antiqua" w:eastAsia="Book Antiqua" w:hAnsi="Book Antiqua" w:cs="Book Antiqua"/>
          <w:color w:val="000000" w:themeColor="text1"/>
        </w:rPr>
        <w:t>November 2, 2020</w:t>
      </w:r>
    </w:p>
    <w:p w14:paraId="34E450E7" w14:textId="77777777" w:rsidR="00A77B3E" w:rsidRPr="00B20C53" w:rsidRDefault="00A77B3E" w:rsidP="00B20C53">
      <w:pPr>
        <w:snapToGrid w:val="0"/>
        <w:spacing w:line="360" w:lineRule="auto"/>
        <w:jc w:val="both"/>
        <w:rPr>
          <w:color w:val="000000" w:themeColor="text1"/>
        </w:rPr>
      </w:pPr>
    </w:p>
    <w:p w14:paraId="36008E94" w14:textId="3AD2595C"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Specialty type: </w:t>
      </w:r>
      <w:r w:rsidR="00F65FCD" w:rsidRPr="00B20C53">
        <w:rPr>
          <w:rFonts w:ascii="Book Antiqua" w:eastAsia="微软雅黑" w:hAnsi="Book Antiqua" w:cs="宋体"/>
          <w:color w:val="000000" w:themeColor="text1"/>
        </w:rPr>
        <w:t>Medicine, research and experimental</w:t>
      </w:r>
    </w:p>
    <w:p w14:paraId="4E6A836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Country/Territory of origin: </w:t>
      </w:r>
      <w:r w:rsidRPr="00B20C53">
        <w:rPr>
          <w:rFonts w:ascii="Book Antiqua" w:eastAsia="Book Antiqua" w:hAnsi="Book Antiqua" w:cs="Book Antiqua"/>
          <w:color w:val="000000" w:themeColor="text1"/>
        </w:rPr>
        <w:t>China</w:t>
      </w:r>
    </w:p>
    <w:p w14:paraId="673F023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Peer-review report’s scientific quality classification</w:t>
      </w:r>
    </w:p>
    <w:p w14:paraId="7745F4D7"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Grade A (Excellent): 0</w:t>
      </w:r>
    </w:p>
    <w:p w14:paraId="51CEC0A9"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Grade B (Very good): 0</w:t>
      </w:r>
    </w:p>
    <w:p w14:paraId="03C1E43F"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Grade C (Good): C</w:t>
      </w:r>
    </w:p>
    <w:p w14:paraId="405DF7FD"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Grade D (Fair): 0</w:t>
      </w:r>
    </w:p>
    <w:p w14:paraId="6FFF7A1A"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Grade E (Poor): 0</w:t>
      </w:r>
    </w:p>
    <w:p w14:paraId="36FC2571" w14:textId="77777777" w:rsidR="00A77B3E" w:rsidRPr="00B20C53" w:rsidRDefault="00A77B3E" w:rsidP="00B20C53">
      <w:pPr>
        <w:snapToGrid w:val="0"/>
        <w:spacing w:line="360" w:lineRule="auto"/>
        <w:jc w:val="both"/>
        <w:rPr>
          <w:color w:val="000000" w:themeColor="text1"/>
        </w:rPr>
      </w:pPr>
    </w:p>
    <w:p w14:paraId="02352C68" w14:textId="1588D8B9" w:rsidR="00A77B3E" w:rsidRPr="00E31C8C" w:rsidRDefault="002A221E" w:rsidP="00B20C53">
      <w:pPr>
        <w:snapToGrid w:val="0"/>
        <w:spacing w:line="360" w:lineRule="auto"/>
        <w:jc w:val="both"/>
        <w:rPr>
          <w:rFonts w:ascii="Book Antiqua" w:hAnsi="Book Antiqua" w:cs="Book Antiqua"/>
          <w:b/>
          <w:color w:val="000000" w:themeColor="text1"/>
          <w:lang w:eastAsia="zh-CN"/>
        </w:rPr>
      </w:pPr>
      <w:r w:rsidRPr="00B20C53">
        <w:rPr>
          <w:rFonts w:ascii="Book Antiqua" w:eastAsia="Book Antiqua" w:hAnsi="Book Antiqua" w:cs="Book Antiqua"/>
          <w:b/>
          <w:color w:val="000000" w:themeColor="text1"/>
        </w:rPr>
        <w:t xml:space="preserve">P-Reviewer: </w:t>
      </w:r>
      <w:r w:rsidRPr="00B20C53">
        <w:rPr>
          <w:rFonts w:ascii="Book Antiqua" w:eastAsia="Book Antiqua" w:hAnsi="Book Antiqua" w:cs="Book Antiqua"/>
          <w:color w:val="000000" w:themeColor="text1"/>
        </w:rPr>
        <w:t>Frascio M</w:t>
      </w:r>
      <w:r w:rsidRPr="00B20C53">
        <w:rPr>
          <w:rFonts w:ascii="Book Antiqua" w:eastAsia="Book Antiqua" w:hAnsi="Book Antiqua" w:cs="Book Antiqua"/>
          <w:b/>
          <w:color w:val="000000" w:themeColor="text1"/>
        </w:rPr>
        <w:t xml:space="preserve"> S-Editor: </w:t>
      </w:r>
      <w:r w:rsidRPr="00B20C53">
        <w:rPr>
          <w:rFonts w:ascii="Book Antiqua" w:eastAsia="Book Antiqua" w:hAnsi="Book Antiqua" w:cs="Book Antiqua"/>
          <w:color w:val="000000" w:themeColor="text1"/>
        </w:rPr>
        <w:t>Gao CC</w:t>
      </w:r>
      <w:r w:rsidRPr="00B20C53">
        <w:rPr>
          <w:rFonts w:ascii="Book Antiqua" w:eastAsia="Book Antiqua" w:hAnsi="Book Antiqua" w:cs="Book Antiqua"/>
          <w:b/>
          <w:color w:val="000000" w:themeColor="text1"/>
        </w:rPr>
        <w:t xml:space="preserve"> L-Editor: </w:t>
      </w:r>
      <w:r w:rsidR="00D14DF3" w:rsidRPr="00B20C53">
        <w:rPr>
          <w:rFonts w:ascii="Book Antiqua" w:eastAsia="Book Antiqua" w:hAnsi="Book Antiqua" w:cs="Book Antiqua"/>
          <w:bCs/>
          <w:color w:val="000000" w:themeColor="text1"/>
        </w:rPr>
        <w:t>Filipodia</w:t>
      </w:r>
      <w:r w:rsidRPr="00B20C53">
        <w:rPr>
          <w:rFonts w:ascii="Book Antiqua" w:eastAsia="Book Antiqua" w:hAnsi="Book Antiqua" w:cs="Book Antiqua"/>
          <w:b/>
          <w:color w:val="000000" w:themeColor="text1"/>
        </w:rPr>
        <w:t xml:space="preserve"> P-Editor:</w:t>
      </w:r>
      <w:r w:rsidRPr="00E31C8C">
        <w:rPr>
          <w:rFonts w:ascii="Book Antiqua" w:eastAsia="Book Antiqua" w:hAnsi="Book Antiqua" w:cs="Book Antiqua"/>
          <w:color w:val="000000" w:themeColor="text1"/>
        </w:rPr>
        <w:t xml:space="preserve"> </w:t>
      </w:r>
      <w:r w:rsidR="00E31C8C" w:rsidRPr="00E31C8C">
        <w:rPr>
          <w:rFonts w:ascii="Book Antiqua" w:hAnsi="Book Antiqua" w:cs="Book Antiqua" w:hint="eastAsia"/>
          <w:color w:val="000000" w:themeColor="text1"/>
          <w:lang w:eastAsia="zh-CN"/>
        </w:rPr>
        <w:t>Li JH</w:t>
      </w:r>
    </w:p>
    <w:p w14:paraId="6DA1D9E3" w14:textId="77777777" w:rsidR="0036062B" w:rsidRPr="00B20C53" w:rsidRDefault="0036062B" w:rsidP="00B20C53">
      <w:pPr>
        <w:snapToGrid w:val="0"/>
        <w:spacing w:line="360" w:lineRule="auto"/>
        <w:jc w:val="both"/>
        <w:rPr>
          <w:color w:val="000000" w:themeColor="text1"/>
        </w:rPr>
        <w:sectPr w:rsidR="0036062B" w:rsidRPr="00B20C53">
          <w:pgSz w:w="12240" w:h="15840"/>
          <w:pgMar w:top="1440" w:right="1440" w:bottom="1440" w:left="1440" w:header="720" w:footer="720" w:gutter="0"/>
          <w:cols w:space="720"/>
          <w:docGrid w:linePitch="360"/>
        </w:sectPr>
      </w:pPr>
    </w:p>
    <w:p w14:paraId="4CF548C7" w14:textId="6636A412" w:rsidR="00A77B3E" w:rsidRPr="00B20C53" w:rsidRDefault="002A221E" w:rsidP="00B20C53">
      <w:pPr>
        <w:snapToGrid w:val="0"/>
        <w:spacing w:line="360" w:lineRule="auto"/>
        <w:jc w:val="both"/>
        <w:rPr>
          <w:rFonts w:ascii="Book Antiqua" w:eastAsia="Book Antiqua" w:hAnsi="Book Antiqua" w:cs="Book Antiqua"/>
          <w:b/>
          <w:color w:val="000000" w:themeColor="text1"/>
        </w:rPr>
      </w:pPr>
      <w:r w:rsidRPr="00B20C53">
        <w:rPr>
          <w:rFonts w:ascii="Book Antiqua" w:eastAsia="Book Antiqua" w:hAnsi="Book Antiqua" w:cs="Book Antiqua"/>
          <w:b/>
          <w:color w:val="000000" w:themeColor="text1"/>
        </w:rPr>
        <w:t>Figure Legends</w:t>
      </w:r>
    </w:p>
    <w:p w14:paraId="5941470A" w14:textId="75E7CC8A" w:rsidR="004C0A0D" w:rsidRPr="00B20C53" w:rsidRDefault="002B6789" w:rsidP="00B20C53">
      <w:pPr>
        <w:snapToGrid w:val="0"/>
        <w:spacing w:line="360" w:lineRule="auto"/>
        <w:jc w:val="both"/>
        <w:rPr>
          <w:color w:val="000000" w:themeColor="text1"/>
        </w:rPr>
      </w:pPr>
      <w:r w:rsidRPr="00B20C53">
        <w:rPr>
          <w:noProof/>
          <w:color w:val="000000" w:themeColor="text1"/>
          <w:lang w:eastAsia="zh-CN"/>
        </w:rPr>
        <w:drawing>
          <wp:inline distT="0" distB="0" distL="0" distR="0" wp14:anchorId="589EBC8C" wp14:editId="6FEF667E">
            <wp:extent cx="5110782" cy="42131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2415" cy="4214465"/>
                    </a:xfrm>
                    <a:prstGeom prst="rect">
                      <a:avLst/>
                    </a:prstGeom>
                  </pic:spPr>
                </pic:pic>
              </a:graphicData>
            </a:graphic>
          </wp:inline>
        </w:drawing>
      </w:r>
    </w:p>
    <w:p w14:paraId="78F5E092" w14:textId="7557CFEE"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Figure 1 </w:t>
      </w:r>
      <w:r w:rsidR="0074566E" w:rsidRPr="00B20C53">
        <w:rPr>
          <w:rFonts w:ascii="Book Antiqua" w:eastAsia="Book Antiqua" w:hAnsi="Book Antiqua" w:cs="Book Antiqua"/>
          <w:b/>
          <w:bCs/>
          <w:color w:val="000000" w:themeColor="text1"/>
        </w:rPr>
        <w:t xml:space="preserve">Pathology and immunohistochemical staining. </w:t>
      </w:r>
      <w:r w:rsidR="009C7C67" w:rsidRPr="00B20C53">
        <w:rPr>
          <w:rFonts w:ascii="Book Antiqua" w:eastAsia="Book Antiqua" w:hAnsi="Book Antiqua" w:cs="Book Antiqua"/>
          <w:color w:val="000000" w:themeColor="text1"/>
        </w:rPr>
        <w:t xml:space="preserve">A-C: </w:t>
      </w:r>
      <w:r w:rsidRPr="00B20C53">
        <w:rPr>
          <w:rFonts w:ascii="Book Antiqua" w:eastAsia="Book Antiqua" w:hAnsi="Book Antiqua" w:cs="Book Antiqua"/>
          <w:color w:val="000000" w:themeColor="text1"/>
        </w:rPr>
        <w:t>Liver pathology staining showing plasma cell infiltration and focal interfacial inflammation in the confluence area and mild interfacial inflammation</w:t>
      </w:r>
      <w:r w:rsidR="009C7C67"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w:t>
      </w:r>
      <w:r w:rsidR="009C7C67" w:rsidRPr="00B20C53">
        <w:rPr>
          <w:rFonts w:ascii="Book Antiqua" w:eastAsia="Book Antiqua" w:hAnsi="Book Antiqua" w:cs="Book Antiqua"/>
          <w:color w:val="000000" w:themeColor="text1"/>
        </w:rPr>
        <w:t xml:space="preserve">D: </w:t>
      </w:r>
      <w:r w:rsidRPr="00B20C53">
        <w:rPr>
          <w:rFonts w:ascii="Book Antiqua" w:eastAsia="Book Antiqua" w:hAnsi="Book Antiqua" w:cs="Book Antiqua"/>
          <w:color w:val="000000" w:themeColor="text1"/>
        </w:rPr>
        <w:t>Immunohistochemical staining of cytokeratin 7 showing that most of the intrahepatic bile ducts were missing (&gt; 50%).</w:t>
      </w:r>
    </w:p>
    <w:sectPr w:rsidR="00A77B3E" w:rsidRPr="00B20C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08E5C" w14:textId="77777777" w:rsidR="00784DF1" w:rsidRDefault="00784DF1" w:rsidP="00700F35">
      <w:r>
        <w:separator/>
      </w:r>
    </w:p>
  </w:endnote>
  <w:endnote w:type="continuationSeparator" w:id="0">
    <w:p w14:paraId="44014046" w14:textId="77777777" w:rsidR="00784DF1" w:rsidRDefault="00784DF1" w:rsidP="0070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744985255"/>
      <w:docPartObj>
        <w:docPartGallery w:val="Page Numbers (Bottom of Page)"/>
        <w:docPartUnique/>
      </w:docPartObj>
    </w:sdtPr>
    <w:sdtEndPr>
      <w:rPr>
        <w:noProof/>
      </w:rPr>
    </w:sdtEndPr>
    <w:sdtContent>
      <w:p w14:paraId="71660B07" w14:textId="66A92919" w:rsidR="00177838" w:rsidRPr="00B20C53" w:rsidRDefault="00177838">
        <w:pPr>
          <w:pStyle w:val="a5"/>
          <w:jc w:val="right"/>
          <w:rPr>
            <w:rFonts w:ascii="Book Antiqua" w:hAnsi="Book Antiqua"/>
            <w:sz w:val="24"/>
            <w:szCs w:val="24"/>
          </w:rPr>
        </w:pPr>
        <w:r w:rsidRPr="00B20C53">
          <w:rPr>
            <w:rFonts w:ascii="Book Antiqua" w:hAnsi="Book Antiqua"/>
            <w:sz w:val="24"/>
            <w:szCs w:val="24"/>
          </w:rPr>
          <w:fldChar w:fldCharType="begin"/>
        </w:r>
        <w:r w:rsidRPr="00B20C53">
          <w:rPr>
            <w:rFonts w:ascii="Book Antiqua" w:hAnsi="Book Antiqua"/>
            <w:sz w:val="24"/>
            <w:szCs w:val="24"/>
          </w:rPr>
          <w:instrText xml:space="preserve"> PAGE   \* MERGEFORMAT </w:instrText>
        </w:r>
        <w:r w:rsidRPr="00B20C53">
          <w:rPr>
            <w:rFonts w:ascii="Book Antiqua" w:hAnsi="Book Antiqua"/>
            <w:sz w:val="24"/>
            <w:szCs w:val="24"/>
          </w:rPr>
          <w:fldChar w:fldCharType="separate"/>
        </w:r>
        <w:r w:rsidR="00784DF1">
          <w:rPr>
            <w:rFonts w:ascii="Book Antiqua" w:hAnsi="Book Antiqua"/>
            <w:noProof/>
            <w:sz w:val="24"/>
            <w:szCs w:val="24"/>
          </w:rPr>
          <w:t>1</w:t>
        </w:r>
        <w:r w:rsidRPr="00B20C53">
          <w:rPr>
            <w:rFonts w:ascii="Book Antiqua" w:hAnsi="Book Antiqua"/>
            <w:noProof/>
            <w:sz w:val="24"/>
            <w:szCs w:val="24"/>
          </w:rPr>
          <w:fldChar w:fldCharType="end"/>
        </w:r>
        <w:r w:rsidR="005418F9">
          <w:rPr>
            <w:rFonts w:ascii="Book Antiqua" w:hAnsi="Book Antiqua"/>
            <w:noProof/>
            <w:sz w:val="24"/>
            <w:szCs w:val="24"/>
          </w:rPr>
          <w:t xml:space="preserve"> </w:t>
        </w:r>
        <w:r w:rsidRPr="00B20C53">
          <w:rPr>
            <w:rFonts w:ascii="Book Antiqua" w:hAnsi="Book Antiqua"/>
            <w:noProof/>
            <w:sz w:val="24"/>
            <w:szCs w:val="24"/>
          </w:rPr>
          <w:t>/</w:t>
        </w:r>
        <w:r w:rsidR="005418F9">
          <w:rPr>
            <w:rFonts w:ascii="Book Antiqua" w:hAnsi="Book Antiqua"/>
            <w:noProof/>
            <w:sz w:val="24"/>
            <w:szCs w:val="24"/>
          </w:rPr>
          <w:t xml:space="preserve"> </w:t>
        </w:r>
        <w:r w:rsidRPr="00B20C53">
          <w:rPr>
            <w:rFonts w:ascii="Book Antiqua" w:hAnsi="Book Antiqua"/>
            <w:noProof/>
            <w:sz w:val="24"/>
            <w:szCs w:val="24"/>
          </w:rPr>
          <w:t>11</w:t>
        </w:r>
      </w:p>
    </w:sdtContent>
  </w:sdt>
  <w:p w14:paraId="77180F38" w14:textId="77777777" w:rsidR="00700F35" w:rsidRDefault="00700F3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732CC" w14:textId="77777777" w:rsidR="00784DF1" w:rsidRDefault="00784DF1" w:rsidP="00700F35">
      <w:r>
        <w:separator/>
      </w:r>
    </w:p>
  </w:footnote>
  <w:footnote w:type="continuationSeparator" w:id="0">
    <w:p w14:paraId="5FE7803D" w14:textId="77777777" w:rsidR="00784DF1" w:rsidRDefault="00784DF1" w:rsidP="00700F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B31"/>
    <w:rsid w:val="000C2D34"/>
    <w:rsid w:val="001215E8"/>
    <w:rsid w:val="001274C9"/>
    <w:rsid w:val="00177838"/>
    <w:rsid w:val="001F095C"/>
    <w:rsid w:val="00225510"/>
    <w:rsid w:val="00260124"/>
    <w:rsid w:val="002A221E"/>
    <w:rsid w:val="002B56FE"/>
    <w:rsid w:val="002B6789"/>
    <w:rsid w:val="002F40FB"/>
    <w:rsid w:val="0036062B"/>
    <w:rsid w:val="003B64A8"/>
    <w:rsid w:val="003C3D0B"/>
    <w:rsid w:val="003F24E1"/>
    <w:rsid w:val="0040450D"/>
    <w:rsid w:val="00410EB5"/>
    <w:rsid w:val="004C0A0D"/>
    <w:rsid w:val="004C6D3E"/>
    <w:rsid w:val="005418F9"/>
    <w:rsid w:val="005420B1"/>
    <w:rsid w:val="00556DF4"/>
    <w:rsid w:val="00587A4E"/>
    <w:rsid w:val="005D648D"/>
    <w:rsid w:val="005F093A"/>
    <w:rsid w:val="00700F35"/>
    <w:rsid w:val="0074566E"/>
    <w:rsid w:val="00774BB1"/>
    <w:rsid w:val="00784DF1"/>
    <w:rsid w:val="008841AD"/>
    <w:rsid w:val="008F746B"/>
    <w:rsid w:val="00953726"/>
    <w:rsid w:val="009C7C67"/>
    <w:rsid w:val="00A77B3E"/>
    <w:rsid w:val="00A845E5"/>
    <w:rsid w:val="00A93A8E"/>
    <w:rsid w:val="00B056F3"/>
    <w:rsid w:val="00B20C53"/>
    <w:rsid w:val="00CA2A55"/>
    <w:rsid w:val="00CE5380"/>
    <w:rsid w:val="00D14DF3"/>
    <w:rsid w:val="00D6670F"/>
    <w:rsid w:val="00E31C8C"/>
    <w:rsid w:val="00E4750D"/>
    <w:rsid w:val="00ED435C"/>
    <w:rsid w:val="00F07692"/>
    <w:rsid w:val="00F46253"/>
    <w:rsid w:val="00F65FCD"/>
    <w:rsid w:val="00FB7E9D"/>
    <w:rsid w:val="00FE6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EE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C7C67"/>
    <w:rPr>
      <w:sz w:val="18"/>
      <w:szCs w:val="18"/>
    </w:rPr>
  </w:style>
  <w:style w:type="character" w:customStyle="1" w:styleId="Char">
    <w:name w:val="批注框文本 Char"/>
    <w:basedOn w:val="a0"/>
    <w:link w:val="a3"/>
    <w:rsid w:val="009C7C67"/>
    <w:rPr>
      <w:sz w:val="18"/>
      <w:szCs w:val="18"/>
    </w:rPr>
  </w:style>
  <w:style w:type="paragraph" w:styleId="a4">
    <w:name w:val="header"/>
    <w:basedOn w:val="a"/>
    <w:link w:val="Char0"/>
    <w:unhideWhenUsed/>
    <w:rsid w:val="00700F3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00F35"/>
    <w:rPr>
      <w:sz w:val="18"/>
      <w:szCs w:val="18"/>
    </w:rPr>
  </w:style>
  <w:style w:type="paragraph" w:styleId="a5">
    <w:name w:val="footer"/>
    <w:basedOn w:val="a"/>
    <w:link w:val="Char1"/>
    <w:uiPriority w:val="99"/>
    <w:unhideWhenUsed/>
    <w:rsid w:val="00700F35"/>
    <w:pPr>
      <w:tabs>
        <w:tab w:val="center" w:pos="4153"/>
        <w:tab w:val="right" w:pos="8306"/>
      </w:tabs>
      <w:snapToGrid w:val="0"/>
    </w:pPr>
    <w:rPr>
      <w:sz w:val="18"/>
      <w:szCs w:val="18"/>
    </w:rPr>
  </w:style>
  <w:style w:type="character" w:customStyle="1" w:styleId="Char1">
    <w:name w:val="页脚 Char"/>
    <w:basedOn w:val="a0"/>
    <w:link w:val="a5"/>
    <w:uiPriority w:val="99"/>
    <w:rsid w:val="00700F3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C7C67"/>
    <w:rPr>
      <w:sz w:val="18"/>
      <w:szCs w:val="18"/>
    </w:rPr>
  </w:style>
  <w:style w:type="character" w:customStyle="1" w:styleId="Char">
    <w:name w:val="批注框文本 Char"/>
    <w:basedOn w:val="a0"/>
    <w:link w:val="a3"/>
    <w:rsid w:val="009C7C67"/>
    <w:rPr>
      <w:sz w:val="18"/>
      <w:szCs w:val="18"/>
    </w:rPr>
  </w:style>
  <w:style w:type="paragraph" w:styleId="a4">
    <w:name w:val="header"/>
    <w:basedOn w:val="a"/>
    <w:link w:val="Char0"/>
    <w:unhideWhenUsed/>
    <w:rsid w:val="00700F3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00F35"/>
    <w:rPr>
      <w:sz w:val="18"/>
      <w:szCs w:val="18"/>
    </w:rPr>
  </w:style>
  <w:style w:type="paragraph" w:styleId="a5">
    <w:name w:val="footer"/>
    <w:basedOn w:val="a"/>
    <w:link w:val="Char1"/>
    <w:uiPriority w:val="99"/>
    <w:unhideWhenUsed/>
    <w:rsid w:val="00700F35"/>
    <w:pPr>
      <w:tabs>
        <w:tab w:val="center" w:pos="4153"/>
        <w:tab w:val="right" w:pos="8306"/>
      </w:tabs>
      <w:snapToGrid w:val="0"/>
    </w:pPr>
    <w:rPr>
      <w:sz w:val="18"/>
      <w:szCs w:val="18"/>
    </w:rPr>
  </w:style>
  <w:style w:type="character" w:customStyle="1" w:styleId="Char1">
    <w:name w:val="页脚 Char"/>
    <w:basedOn w:val="a0"/>
    <w:link w:val="a5"/>
    <w:uiPriority w:val="99"/>
    <w:rsid w:val="00700F3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2020</Words>
  <Characters>11519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27</cp:revision>
  <dcterms:created xsi:type="dcterms:W3CDTF">2020-11-03T23:10:00Z</dcterms:created>
  <dcterms:modified xsi:type="dcterms:W3CDTF">2020-12-15T08:50:00Z</dcterms:modified>
</cp:coreProperties>
</file>