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1CF9" w14:textId="6AC5F8F8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76426368" w14:textId="34D7796B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59702</w:t>
      </w:r>
    </w:p>
    <w:p w14:paraId="6BEC7CA6" w14:textId="61B4DF78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ORIGINAL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A76CD7C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AB5FE83" w14:textId="2BFEF031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i/>
          <w:color w:val="000000" w:themeColor="text1"/>
        </w:rPr>
        <w:t>Observational</w:t>
      </w:r>
      <w:r w:rsidR="003516E8" w:rsidRPr="000B048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2F1DA14" w14:textId="1A15E69F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Early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indicators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can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help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evaluate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_Hlk54170850"/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chronic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hepatitis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End w:id="0"/>
      <w:r w:rsidR="008A49DF" w:rsidRPr="000B0484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long-term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nucleos(t)ide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therapy</w:t>
      </w:r>
    </w:p>
    <w:p w14:paraId="73482015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3103B845" w14:textId="682BFF64" w:rsidR="00A77B3E" w:rsidRPr="000B0484" w:rsidRDefault="00E97FC6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color w:val="000000" w:themeColor="text1"/>
        </w:rPr>
        <w:t>Ji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516E8" w:rsidRPr="000B048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0B0484">
        <w:rPr>
          <w:rFonts w:ascii="Book Antiqua" w:eastAsia="Book Antiqua" w:hAnsi="Book Antiqua" w:cs="Book Antiqua"/>
          <w:color w:val="000000" w:themeColor="text1"/>
        </w:rPr>
        <w:t>.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Evaluating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in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chronic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hepatitis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B</w:t>
      </w:r>
      <w:r w:rsidR="003516E8" w:rsidRPr="000B0484">
        <w:rPr>
          <w:color w:val="000000" w:themeColor="text1"/>
        </w:rPr>
        <w:t xml:space="preserve"> </w:t>
      </w:r>
      <w:r w:rsidR="008A49DF" w:rsidRPr="000B0484">
        <w:rPr>
          <w:color w:val="000000" w:themeColor="text1"/>
        </w:rPr>
        <w:t>p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atients</w:t>
      </w:r>
    </w:p>
    <w:p w14:paraId="76C1059B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60103A4" w14:textId="456BF9E7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color w:val="000000" w:themeColor="text1"/>
        </w:rPr>
        <w:t>Tong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-T</w:t>
      </w:r>
      <w:r w:rsidRPr="000B0484">
        <w:rPr>
          <w:rFonts w:ascii="Book Antiqua" w:eastAsia="Book Antiqua" w:hAnsi="Book Antiqua" w:cs="Book Antiqua"/>
          <w:color w:val="000000" w:themeColor="text1"/>
        </w:rPr>
        <w:t>ong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Ji,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Tan,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Hai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Lu,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Xiao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uan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Xu,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Yan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Yu</w:t>
      </w:r>
    </w:p>
    <w:p w14:paraId="4FF59FFD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1D079EF4" w14:textId="1B5EFA59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Tong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-T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ong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Ning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Tan,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Hai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ing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uan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Yu,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Department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Infectious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Diseases,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Peking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University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First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Hospital,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Beijing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100034,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China</w:t>
      </w:r>
    </w:p>
    <w:p w14:paraId="4869BBA6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1B50B450" w14:textId="08C5248D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Ji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acquired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data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wrote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analyzed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data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wrote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Lu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designed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research</w:t>
      </w:r>
      <w:r w:rsidR="00DF5CF1" w:rsidRPr="000B0484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reviewed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approved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instructed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02220ED9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FA04DA1" w14:textId="55D01924" w:rsidR="00A77B3E" w:rsidRPr="00237A77" w:rsidRDefault="007546E9" w:rsidP="00237A77">
      <w:pPr>
        <w:spacing w:line="360" w:lineRule="auto"/>
        <w:jc w:val="both"/>
        <w:rPr>
          <w:rFonts w:ascii="Book Antiqua" w:hAnsi="Book Antiqua"/>
          <w:lang w:eastAsia="zh-CN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National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12</w:t>
      </w:r>
      <w:r w:rsidRPr="000B0484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Five-Year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Plan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for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Science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Technology</w:t>
      </w:r>
      <w:r w:rsidR="00F966AA" w:rsidRPr="000B0484">
        <w:rPr>
          <w:rFonts w:ascii="Book Antiqua" w:eastAsia="宋体" w:hAnsi="Book Antiqua" w:cs="宋体"/>
          <w:color w:val="000000" w:themeColor="text1"/>
          <w:lang w:eastAsia="zh-CN"/>
        </w:rPr>
        <w:t>,</w:t>
      </w:r>
      <w:r w:rsidR="003516E8" w:rsidRPr="00237A77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F966AA" w:rsidRPr="00237A77">
        <w:rPr>
          <w:rFonts w:ascii="Book Antiqua" w:eastAsia="宋体" w:hAnsi="Book Antiqua" w:cs="宋体"/>
          <w:color w:val="000000"/>
          <w:lang w:eastAsia="zh-CN"/>
        </w:rPr>
        <w:t>No.</w:t>
      </w:r>
      <w:r w:rsidR="003516E8" w:rsidRPr="00237A77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2018ZX10725</w:t>
      </w:r>
      <w:r w:rsidR="0007777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506</w:t>
      </w:r>
      <w:r w:rsidR="00F966AA" w:rsidRPr="00237A77">
        <w:rPr>
          <w:rFonts w:ascii="Book Antiqua" w:eastAsia="Book Antiqua" w:hAnsi="Book Antiqua" w:cs="Book Antiqua"/>
          <w:color w:val="000000"/>
        </w:rPr>
        <w:t>.</w:t>
      </w:r>
    </w:p>
    <w:p w14:paraId="73CF1F89" w14:textId="77777777" w:rsidR="00A77B3E" w:rsidRPr="00237A77" w:rsidRDefault="00A77B3E" w:rsidP="00237A77">
      <w:pPr>
        <w:spacing w:line="360" w:lineRule="auto"/>
        <w:jc w:val="both"/>
        <w:rPr>
          <w:rFonts w:ascii="Book Antiqua" w:hAnsi="Book Antiqua"/>
        </w:rPr>
      </w:pPr>
    </w:p>
    <w:p w14:paraId="6BF9B9E3" w14:textId="423E737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Hai</w:t>
      </w:r>
      <w:r w:rsidR="002866C8" w:rsidRPr="00237A77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043E" w:rsidRPr="00237A77">
        <w:rPr>
          <w:rFonts w:ascii="Book Antiqua" w:eastAsia="Book Antiqua" w:hAnsi="Book Antiqua" w:cs="Book Antiqua"/>
          <w:b/>
          <w:bCs/>
          <w:color w:val="000000"/>
        </w:rPr>
        <w:t>PhD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Infectious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Xishiku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Road,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866C8" w:rsidRPr="00237A77">
        <w:rPr>
          <w:rFonts w:ascii="Book Antiqua" w:eastAsia="Book Antiqua" w:hAnsi="Book Antiqua" w:cs="Book Antiqua"/>
          <w:color w:val="000000"/>
        </w:rPr>
        <w:t>Xicheng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866C8" w:rsidRPr="00237A77">
        <w:rPr>
          <w:rFonts w:ascii="Book Antiqua" w:eastAsia="Book Antiqua" w:hAnsi="Book Antiqua" w:cs="Book Antiqua"/>
          <w:color w:val="000000"/>
        </w:rPr>
        <w:t>District,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Beijing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100034,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luhaiying00@126.com</w:t>
      </w:r>
    </w:p>
    <w:p w14:paraId="665D21B0" w14:textId="77777777" w:rsidR="00A77B3E" w:rsidRPr="00237A77" w:rsidRDefault="00A77B3E" w:rsidP="00237A77">
      <w:pPr>
        <w:spacing w:line="360" w:lineRule="auto"/>
        <w:jc w:val="both"/>
      </w:pPr>
    </w:p>
    <w:p w14:paraId="1DE25041" w14:textId="16AB5A1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23,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0E2D95FF" w14:textId="29AA234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October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6,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2020</w:t>
      </w:r>
    </w:p>
    <w:p w14:paraId="05E01CF3" w14:textId="10AD57F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4EBE" w:rsidRPr="00237A77">
        <w:rPr>
          <w:rFonts w:ascii="Book Antiqua" w:eastAsia="Book Antiqua" w:hAnsi="Book Antiqua" w:cs="Book Antiqua"/>
          <w:color w:val="000000"/>
        </w:rPr>
        <w:t>November 2, 2020</w:t>
      </w:r>
    </w:p>
    <w:p w14:paraId="01C34A6E" w14:textId="5F1EFB8A" w:rsidR="00A77B3E" w:rsidRPr="00747A57" w:rsidRDefault="007546E9" w:rsidP="00237A77">
      <w:pPr>
        <w:spacing w:line="360" w:lineRule="auto"/>
        <w:jc w:val="both"/>
        <w:rPr>
          <w:lang w:eastAsia="zh-CN"/>
        </w:rPr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7A57" w:rsidRPr="00747A57">
        <w:rPr>
          <w:rFonts w:ascii="Book Antiqua" w:hAnsi="Book Antiqua" w:cs="Book Antiqua" w:hint="eastAsia"/>
          <w:bCs/>
          <w:color w:val="000000"/>
          <w:lang w:eastAsia="zh-CN"/>
        </w:rPr>
        <w:t>December 26, 2020</w:t>
      </w:r>
    </w:p>
    <w:p w14:paraId="3C0B219F" w14:textId="77777777" w:rsidR="00A77B3E" w:rsidRPr="00237A77" w:rsidRDefault="00A77B3E" w:rsidP="00237A77">
      <w:pPr>
        <w:spacing w:line="360" w:lineRule="auto"/>
        <w:jc w:val="both"/>
        <w:sectPr w:rsidR="00A77B3E" w:rsidRPr="00237A7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5AB6E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Abstract</w:t>
      </w:r>
    </w:p>
    <w:p w14:paraId="645E5D32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BACKGROUND</w:t>
      </w:r>
    </w:p>
    <w:p w14:paraId="132A36E3" w14:textId="30B6E9C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(CHB)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(BUN)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needed.</w:t>
      </w:r>
    </w:p>
    <w:p w14:paraId="55884F45" w14:textId="77777777" w:rsidR="00A77B3E" w:rsidRPr="00237A77" w:rsidRDefault="00A77B3E" w:rsidP="00237A77">
      <w:pPr>
        <w:spacing w:line="360" w:lineRule="auto"/>
        <w:jc w:val="both"/>
      </w:pPr>
    </w:p>
    <w:p w14:paraId="6955FBB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AIM</w:t>
      </w:r>
    </w:p>
    <w:p w14:paraId="22A723D4" w14:textId="272DF35D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investigate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01164F44" w14:textId="77777777" w:rsidR="00A77B3E" w:rsidRPr="00237A77" w:rsidRDefault="00A77B3E" w:rsidP="00237A77">
      <w:pPr>
        <w:spacing w:line="360" w:lineRule="auto"/>
        <w:jc w:val="both"/>
      </w:pPr>
    </w:p>
    <w:p w14:paraId="4FEB8F9C" w14:textId="13A7453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METHODS</w:t>
      </w:r>
      <w:r w:rsidR="00C276AC" w:rsidRPr="00237A77">
        <w:rPr>
          <w:rFonts w:ascii="Book Antiqua" w:eastAsia="Book Antiqua" w:hAnsi="Book Antiqua" w:cs="Book Antiqua"/>
          <w:color w:val="000000"/>
        </w:rPr>
        <w:t xml:space="preserve"> </w:t>
      </w:r>
    </w:p>
    <w:p w14:paraId="1AF13E73" w14:textId="1BF9794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DF5CF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analysis.</w:t>
      </w:r>
    </w:p>
    <w:p w14:paraId="33F57A80" w14:textId="77777777" w:rsidR="00A77B3E" w:rsidRPr="00237A77" w:rsidRDefault="00A77B3E" w:rsidP="00237A77">
      <w:pPr>
        <w:spacing w:line="360" w:lineRule="auto"/>
        <w:jc w:val="both"/>
      </w:pPr>
    </w:p>
    <w:p w14:paraId="6B69473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RESULTS</w:t>
      </w:r>
    </w:p>
    <w:p w14:paraId="40DE8E41" w14:textId="7856340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C6D7A"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C6D7A" w:rsidRPr="00237A77">
        <w:rPr>
          <w:rFonts w:ascii="Book Antiqua" w:eastAsia="Book Antiqua" w:hAnsi="Book Antiqua" w:cs="Book Antiqua"/>
          <w:color w:val="000000"/>
        </w:rPr>
        <w:t>analogs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(eGFR),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94EF2"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DF5CF1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077771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B94B8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B94B8D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94B8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(8/22),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(20/42),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(3/5),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(OR)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35043C24" w14:textId="77777777" w:rsidR="00A77B3E" w:rsidRPr="00237A77" w:rsidRDefault="00A77B3E" w:rsidP="00237A77">
      <w:pPr>
        <w:spacing w:line="360" w:lineRule="auto"/>
        <w:jc w:val="both"/>
      </w:pPr>
    </w:p>
    <w:p w14:paraId="7E83F376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CONCLUSION</w:t>
      </w:r>
    </w:p>
    <w:p w14:paraId="271FF386" w14:textId="4725C48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5CF1" w:rsidRPr="00237A77">
        <w:rPr>
          <w:rFonts w:ascii="Book Antiqua" w:eastAsia="Book Antiqua" w:hAnsi="Book Antiqua" w:cs="Book Antiqua"/>
          <w:color w:val="000000"/>
        </w:rPr>
        <w:t xml:space="preserve">nucleos(t)ide analog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impairment.</w:t>
      </w:r>
    </w:p>
    <w:p w14:paraId="0FCE26B0" w14:textId="77777777" w:rsidR="00A77B3E" w:rsidRPr="00237A77" w:rsidRDefault="00A77B3E" w:rsidP="00237A77">
      <w:pPr>
        <w:spacing w:line="360" w:lineRule="auto"/>
        <w:jc w:val="both"/>
      </w:pPr>
    </w:p>
    <w:p w14:paraId="72AEDA98" w14:textId="0DFB6D7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169B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54171846"/>
      <w:r w:rsidR="0001169B" w:rsidRPr="00237A77">
        <w:rPr>
          <w:rFonts w:ascii="Book Antiqua" w:eastAsia="Book Antiqua" w:hAnsi="Book Antiqua" w:cs="Book Antiqua"/>
          <w:color w:val="000000"/>
        </w:rPr>
        <w:t>N</w:t>
      </w:r>
      <w:r w:rsidRPr="00237A77">
        <w:rPr>
          <w:rFonts w:ascii="Book Antiqua" w:eastAsia="Book Antiqua" w:hAnsi="Book Antiqua" w:cs="Book Antiqua"/>
          <w:color w:val="000000"/>
        </w:rPr>
        <w:t>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analog</w:t>
      </w:r>
      <w:bookmarkEnd w:id="1"/>
      <w:r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749F9"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169B" w:rsidRPr="00237A77">
        <w:rPr>
          <w:rFonts w:ascii="Book Antiqua" w:eastAsia="Book Antiqua" w:hAnsi="Book Antiqua" w:cs="Book Antiqua"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</w:p>
    <w:p w14:paraId="3859694D" w14:textId="77777777" w:rsidR="002372BF" w:rsidRPr="00237A77" w:rsidRDefault="002372BF" w:rsidP="00237A77">
      <w:pPr>
        <w:spacing w:line="360" w:lineRule="auto"/>
        <w:jc w:val="both"/>
      </w:pPr>
    </w:p>
    <w:p w14:paraId="18082279" w14:textId="28E29022" w:rsidR="00B709D3" w:rsidRDefault="00B709D3" w:rsidP="00237A7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709D3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7546E9" w:rsidRPr="00237A77">
        <w:rPr>
          <w:rFonts w:ascii="Book Antiqua" w:eastAsia="Book Antiqua" w:hAnsi="Book Antiqua" w:cs="Book Antiqua"/>
          <w:color w:val="000000"/>
        </w:rPr>
        <w:t>Ji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T</w:t>
      </w:r>
      <w:r w:rsidR="007D7875" w:rsidRPr="00237A77">
        <w:rPr>
          <w:rFonts w:ascii="Book Antiqua" w:eastAsia="Book Antiqua" w:hAnsi="Book Antiqua" w:cs="Book Antiqua"/>
          <w:color w:val="000000"/>
        </w:rPr>
        <w:t>T</w:t>
      </w:r>
      <w:r w:rsidR="007546E9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Tan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Lu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H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="007546E9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Xu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X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="007546E9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Yu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Y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="007546E9"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help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evaluate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54171830"/>
      <w:r w:rsidR="002372BF"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B</w:t>
      </w:r>
      <w:bookmarkEnd w:id="2"/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therapy</w:t>
      </w:r>
      <w:r w:rsidR="007546E9"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546E9" w:rsidRPr="00237A77">
        <w:rPr>
          <w:rFonts w:ascii="Book Antiqua" w:eastAsia="Book Antiqua" w:hAnsi="Book Antiqua" w:cs="Book Antiqua"/>
          <w:color w:val="000000"/>
        </w:rPr>
        <w:t>2020;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92B90" w:rsidRPr="00092B90">
        <w:rPr>
          <w:rFonts w:ascii="Book Antiqua" w:eastAsia="Book Antiqua" w:hAnsi="Book Antiqua" w:cs="Book Antiqua"/>
          <w:color w:val="000000"/>
        </w:rPr>
        <w:t xml:space="preserve">8(24): </w:t>
      </w:r>
      <w:r w:rsidR="009B4603" w:rsidRPr="009B4603">
        <w:rPr>
          <w:rFonts w:ascii="Book Antiqua" w:eastAsia="Book Antiqua" w:hAnsi="Book Antiqua" w:cs="Book Antiqua"/>
          <w:color w:val="000000"/>
        </w:rPr>
        <w:t>6306-6314</w:t>
      </w:r>
      <w:r w:rsidR="00092B90" w:rsidRPr="00092B90">
        <w:rPr>
          <w:rFonts w:ascii="Book Antiqua" w:eastAsia="Book Antiqua" w:hAnsi="Book Antiqua" w:cs="Book Antiqua"/>
          <w:color w:val="000000"/>
        </w:rPr>
        <w:t xml:space="preserve">  </w:t>
      </w:r>
    </w:p>
    <w:p w14:paraId="49EF3E84" w14:textId="77777777" w:rsidR="00B709D3" w:rsidRDefault="00092B90" w:rsidP="00237A7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709D3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092B90">
        <w:rPr>
          <w:rFonts w:ascii="Book Antiqua" w:eastAsia="Book Antiqua" w:hAnsi="Book Antiqua" w:cs="Book Antiqua"/>
          <w:color w:val="000000"/>
        </w:rPr>
        <w:t>https://www.wjgnet.com/2307-8960/full/v8/i24/</w:t>
      </w:r>
      <w:r w:rsidR="009B4603">
        <w:rPr>
          <w:rFonts w:ascii="Book Antiqua" w:hAnsi="Book Antiqua" w:cs="Book Antiqua" w:hint="eastAsia"/>
          <w:color w:val="000000"/>
          <w:lang w:eastAsia="zh-CN"/>
        </w:rPr>
        <w:t>6306</w:t>
      </w:r>
      <w:r w:rsidRPr="00092B90">
        <w:rPr>
          <w:rFonts w:ascii="Book Antiqua" w:eastAsia="Book Antiqua" w:hAnsi="Book Antiqua" w:cs="Book Antiqua"/>
          <w:color w:val="000000"/>
        </w:rPr>
        <w:t xml:space="preserve">.htm  </w:t>
      </w:r>
    </w:p>
    <w:p w14:paraId="0A9D2721" w14:textId="7A3E35CD" w:rsidR="00A77B3E" w:rsidRPr="009B4603" w:rsidRDefault="00092B90" w:rsidP="00237A77">
      <w:pPr>
        <w:spacing w:line="360" w:lineRule="auto"/>
        <w:jc w:val="both"/>
        <w:rPr>
          <w:rFonts w:hint="eastAsia"/>
          <w:lang w:eastAsia="zh-CN"/>
        </w:rPr>
      </w:pPr>
      <w:bookmarkStart w:id="3" w:name="_GoBack"/>
      <w:r w:rsidRPr="00B709D3">
        <w:rPr>
          <w:rFonts w:ascii="Book Antiqua" w:eastAsia="Book Antiqua" w:hAnsi="Book Antiqua" w:cs="Book Antiqua"/>
          <w:b/>
          <w:color w:val="000000"/>
        </w:rPr>
        <w:t xml:space="preserve">DOI: </w:t>
      </w:r>
      <w:bookmarkEnd w:id="3"/>
      <w:r w:rsidRPr="00092B90">
        <w:rPr>
          <w:rFonts w:ascii="Book Antiqua" w:eastAsia="Book Antiqua" w:hAnsi="Book Antiqua" w:cs="Book Antiqua"/>
          <w:color w:val="000000"/>
        </w:rPr>
        <w:t>https://dx.doi.org/10.12998/wjcc.v8.i24.</w:t>
      </w:r>
      <w:r w:rsidR="009B4603">
        <w:rPr>
          <w:rFonts w:ascii="Book Antiqua" w:hAnsi="Book Antiqua" w:cs="Book Antiqua" w:hint="eastAsia"/>
          <w:color w:val="000000"/>
          <w:lang w:eastAsia="zh-CN"/>
        </w:rPr>
        <w:t>6306</w:t>
      </w:r>
    </w:p>
    <w:p w14:paraId="49F2D017" w14:textId="77777777" w:rsidR="00A77B3E" w:rsidRPr="00237A77" w:rsidRDefault="00A77B3E" w:rsidP="00237A77">
      <w:pPr>
        <w:spacing w:line="360" w:lineRule="auto"/>
        <w:jc w:val="both"/>
      </w:pPr>
    </w:p>
    <w:p w14:paraId="0325D78E" w14:textId="651FF88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analog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5DCB03DA" w14:textId="77777777" w:rsidR="00A77B3E" w:rsidRPr="00237A77" w:rsidRDefault="00A77B3E" w:rsidP="00237A77">
      <w:pPr>
        <w:spacing w:line="360" w:lineRule="auto"/>
        <w:jc w:val="both"/>
      </w:pPr>
    </w:p>
    <w:p w14:paraId="7D3F4F77" w14:textId="77777777" w:rsidR="002372BF" w:rsidRPr="00237A77" w:rsidRDefault="002372BF" w:rsidP="00237A7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2372BF" w:rsidRPr="00237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FB4EA" w14:textId="0CE661B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AC4303" w14:textId="224F4AD1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analogs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(NAs),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lamivudine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(LAM),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adefovir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dipivoxil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(ADV),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telbivudine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(LdT),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entecavir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(ETV)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tenofovir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disoproxil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fumarate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(TDF)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tenofovir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alafenamide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fumarate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(TAF)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important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(CHB).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regularly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helpful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diagnosis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dysfunction.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562BCE" w:rsidRPr="00237A77">
        <w:rPr>
          <w:rFonts w:ascii="Book Antiqua" w:eastAsia="Book Antiqua" w:hAnsi="Book Antiqua" w:cs="Book Antiqua"/>
          <w:color w:val="000000"/>
        </w:rPr>
        <w:t>. 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discussed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259380F0" w14:textId="77777777" w:rsidR="00A77B3E" w:rsidRPr="00237A77" w:rsidRDefault="00A77B3E" w:rsidP="00237A77">
      <w:pPr>
        <w:spacing w:line="360" w:lineRule="auto"/>
        <w:jc w:val="both"/>
      </w:pPr>
    </w:p>
    <w:p w14:paraId="26C64F88" w14:textId="7C1866D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0E5E4CE" w14:textId="27760A2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2E8788DB" w14:textId="715EE1F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256D5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(69.6%)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54.1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12.0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old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(30.4%)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57.6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9.2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old.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criteria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refer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“Guidelines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Prevention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B”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exclusion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criteria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course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years;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562BCE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virus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(HBV)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</w:t>
      </w:r>
      <w:r w:rsidR="00637BD4" w:rsidRPr="000B0484">
        <w:rPr>
          <w:rFonts w:ascii="Book Antiqua" w:hAnsi="Book Antiqua" w:cs="Book Antiqua"/>
          <w:color w:val="000000" w:themeColor="text1"/>
          <w:lang w:eastAsia="zh-CN"/>
        </w:rPr>
        <w:t>;</w:t>
      </w:r>
      <w:r w:rsidR="003516E8" w:rsidRPr="00237A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diabetes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mellitus.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protocol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B38EC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thics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B38EC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ommittee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264),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forms.</w:t>
      </w:r>
    </w:p>
    <w:p w14:paraId="209A011E" w14:textId="77777777" w:rsidR="00A77B3E" w:rsidRPr="00237A77" w:rsidRDefault="00A77B3E" w:rsidP="00237A77">
      <w:pPr>
        <w:spacing w:line="360" w:lineRule="auto"/>
        <w:jc w:val="both"/>
      </w:pPr>
    </w:p>
    <w:p w14:paraId="4F29A148" w14:textId="109A81B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0B1D28A4" w14:textId="7005A4D6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type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time,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deoxyribonucleic acid (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562BCE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BUN,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1.8-7.1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44-133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150</w:t>
      </w:r>
      <w:r w:rsidR="00762A17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420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2.12-2.75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0.96-1.62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0.8-1.2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[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762A17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="00762A17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/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762A1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762A17" w:rsidRPr="00237A77">
        <w:rPr>
          <w:rFonts w:ascii="Book Antiqua" w:eastAsia="Book Antiqua" w:hAnsi="Book Antiqua" w:cs="Book Antiqua"/>
          <w:color w:val="000000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(mmol/L),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α1-microglobulin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0-12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(NAG)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0.3-12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U/L).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defined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picric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(Zhongsheng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Beikong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Company’s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0C6416"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Hitachi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7600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automatic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biochemical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analyzer).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725B6" w:rsidRPr="00237A77">
        <w:rPr>
          <w:rFonts w:ascii="Book Antiqua" w:eastAsia="Book Antiqua" w:hAnsi="Book Antiqua" w:cs="Book Antiqua"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picric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(Zhongsheng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Beikong</w:t>
      </w:r>
      <w:r w:rsidR="00562BCE" w:rsidRPr="00237A77">
        <w:rPr>
          <w:rFonts w:ascii="Book Antiqua" w:eastAsia="Book Antiqua" w:hAnsi="Book Antiqua" w:cs="Book Antiqua"/>
          <w:color w:val="000000"/>
        </w:rPr>
        <w:t xml:space="preserve"> Biotechnology, Beijing, China</w:t>
      </w:r>
      <w:r w:rsidRPr="00237A77">
        <w:rPr>
          <w:rFonts w:ascii="Book Antiqua" w:eastAsia="Book Antiqua" w:hAnsi="Book Antiqua" w:cs="Book Antiqua"/>
          <w:color w:val="000000"/>
        </w:rPr>
        <w:t>);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α1-microglobulin,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turbidity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(Beckman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Coulter,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 xml:space="preserve">Brea, CA, </w:t>
      </w:r>
      <w:r w:rsidRPr="00237A77">
        <w:rPr>
          <w:rFonts w:ascii="Book Antiqua" w:eastAsia="Book Antiqua" w:hAnsi="Book Antiqua" w:cs="Book Antiqua"/>
          <w:color w:val="000000"/>
        </w:rPr>
        <w:t>U</w:t>
      </w:r>
      <w:r w:rsidR="00D725B6" w:rsidRPr="00237A77">
        <w:rPr>
          <w:rFonts w:ascii="Book Antiqua" w:eastAsia="Book Antiqua" w:hAnsi="Book Antiqua" w:cs="Book Antiqua"/>
          <w:color w:val="000000"/>
        </w:rPr>
        <w:t>nited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725B6" w:rsidRPr="00237A77">
        <w:rPr>
          <w:rFonts w:ascii="Book Antiqua" w:eastAsia="Book Antiqua" w:hAnsi="Book Antiqua" w:cs="Book Antiqua"/>
          <w:color w:val="000000"/>
        </w:rPr>
        <w:t>States</w:t>
      </w:r>
      <w:r w:rsidRPr="00237A77">
        <w:rPr>
          <w:rFonts w:ascii="Book Antiqua" w:eastAsia="Book Antiqua" w:hAnsi="Book Antiqua" w:cs="Book Antiqua"/>
          <w:color w:val="000000"/>
        </w:rPr>
        <w:t>);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MNP-G1CNAc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substrate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(Gcell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637BD4"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Beijing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Jiuqiang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Biological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Company</w:t>
      </w:r>
      <w:r w:rsidR="00562BCE" w:rsidRPr="00237A77">
        <w:rPr>
          <w:rFonts w:ascii="Book Antiqua" w:eastAsia="Book Antiqua" w:hAnsi="Book Antiqua" w:cs="Book Antiqua"/>
          <w:color w:val="000000"/>
        </w:rPr>
        <w:t>, Beijing, China</w:t>
      </w:r>
      <w:r w:rsidRPr="00237A77">
        <w:rPr>
          <w:rFonts w:ascii="Book Antiqua" w:eastAsia="Book Antiqua" w:hAnsi="Book Antiqua" w:cs="Book Antiqua"/>
          <w:color w:val="000000"/>
        </w:rPr>
        <w:t>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Da'an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Real-Time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Fluorescence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polymerase chain reaction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Quantitative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Yat-sen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limit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100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IU/mL.</w:t>
      </w:r>
    </w:p>
    <w:p w14:paraId="78ACDB1D" w14:textId="77777777" w:rsidR="00A77B3E" w:rsidRPr="00237A77" w:rsidRDefault="00A77B3E" w:rsidP="00237A77">
      <w:pPr>
        <w:spacing w:line="360" w:lineRule="auto"/>
        <w:jc w:val="both"/>
      </w:pPr>
    </w:p>
    <w:p w14:paraId="1A5EE8F0" w14:textId="4727A13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61B0D56" w14:textId="239195C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Statistical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25.0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software</w:t>
      </w:r>
      <w:r w:rsidR="0074666C" w:rsidRPr="00237A77">
        <w:rPr>
          <w:rFonts w:ascii="Book Antiqua" w:eastAsia="Book Antiqua" w:hAnsi="Book Antiqua" w:cs="Book Antiqua"/>
          <w:color w:val="000000"/>
        </w:rPr>
        <w:t xml:space="preserve"> (Armonk, NY, United States)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expressed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D725B6"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4666C" w:rsidRPr="00237A77">
        <w:rPr>
          <w:rFonts w:ascii="Book Antiqua" w:eastAsia="Book Antiqua" w:hAnsi="Book Antiqua" w:cs="Book Antiqua"/>
          <w:color w:val="000000"/>
        </w:rPr>
        <w:t>standard deviation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median,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DF5CF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considered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significant.</w:t>
      </w:r>
    </w:p>
    <w:p w14:paraId="16DB8764" w14:textId="77777777" w:rsidR="00A77B3E" w:rsidRPr="00237A77" w:rsidRDefault="00A77B3E" w:rsidP="00237A77">
      <w:pPr>
        <w:spacing w:line="360" w:lineRule="auto"/>
        <w:jc w:val="both"/>
      </w:pPr>
    </w:p>
    <w:p w14:paraId="7EE5D76C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286511B" w14:textId="315F58C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</w:p>
    <w:p w14:paraId="05E250DA" w14:textId="46F69DC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enrolled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(69.6%)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(30.4%).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+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LdT,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TDF,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TAF.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situations,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undetectable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omitted).</w:t>
      </w:r>
    </w:p>
    <w:p w14:paraId="56447F14" w14:textId="77777777" w:rsidR="00A77B3E" w:rsidRPr="00237A77" w:rsidRDefault="00A77B3E" w:rsidP="00237A77">
      <w:pPr>
        <w:spacing w:line="360" w:lineRule="auto"/>
        <w:jc w:val="both"/>
      </w:pPr>
    </w:p>
    <w:p w14:paraId="1CCC11D6" w14:textId="5B7F0CC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</w:p>
    <w:p w14:paraId="5BD503F9" w14:textId="48DB095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range.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Six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routine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5012EE" w:rsidRPr="00237A77">
        <w:rPr>
          <w:rFonts w:ascii="Book Antiqua" w:eastAsia="Book Antiqua" w:hAnsi="Book Antiqua" w:cs="Book Antiqua"/>
          <w:color w:val="000000"/>
        </w:rPr>
        <w:t xml:space="preserve"> (</w:t>
      </w:r>
      <w:r w:rsidR="00F31AD7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</w:t>
      </w:r>
      <w:r w:rsidR="005012EE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Hypermagnesemia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hypercalcemia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hypocalcemia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</w:p>
    <w:p w14:paraId="1606615E" w14:textId="77777777" w:rsidR="00A77B3E" w:rsidRPr="00237A77" w:rsidRDefault="00A77B3E" w:rsidP="00237A77">
      <w:pPr>
        <w:spacing w:line="360" w:lineRule="auto"/>
        <w:jc w:val="both"/>
      </w:pPr>
    </w:p>
    <w:p w14:paraId="0DD21AEF" w14:textId="1FAB284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eGFR</w:t>
      </w:r>
    </w:p>
    <w:p w14:paraId="505FF6C0" w14:textId="317DF66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According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(1)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  <w:szCs w:val="3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(2)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C723C">
        <w:rPr>
          <w:rFonts w:ascii="Book Antiqua" w:hAnsi="Book Antiqua" w:cs="Book Antiqua" w:hint="eastAsia"/>
          <w:color w:val="000000"/>
          <w:lang w:eastAsia="zh-CN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31AD7"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(3)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C723C">
        <w:rPr>
          <w:rFonts w:ascii="Book Antiqua" w:hAnsi="Book Antiqua" w:cs="Book Antiqua" w:hint="eastAsia"/>
          <w:color w:val="000000"/>
          <w:lang w:eastAsia="zh-CN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31AD7"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(31.9%),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(60.9%),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(7.2%),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omitted).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third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second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figures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2.</w:t>
      </w:r>
    </w:p>
    <w:p w14:paraId="0C89F8DF" w14:textId="77777777" w:rsidR="00A77B3E" w:rsidRPr="00237A77" w:rsidRDefault="00A77B3E" w:rsidP="00237A77">
      <w:pPr>
        <w:spacing w:line="360" w:lineRule="auto"/>
        <w:jc w:val="both"/>
      </w:pPr>
    </w:p>
    <w:p w14:paraId="241D43AD" w14:textId="475B99F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11BA1453" w14:textId="797EFE6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considered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54A76" w:rsidRPr="00237A77">
        <w:rPr>
          <w:rFonts w:ascii="Book Antiqua" w:eastAsia="Book Antiqua" w:hAnsi="Book Antiqua" w:cs="Book Antiqua"/>
          <w:color w:val="000000"/>
        </w:rPr>
        <w:t>α</w:t>
      </w:r>
      <w:r w:rsidR="00012F43"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alanine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aminotransferase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a</w:t>
      </w:r>
      <w:r w:rsidR="00EF38F8" w:rsidRPr="00237A77">
        <w:rPr>
          <w:rFonts w:ascii="Book Antiqua" w:eastAsia="Book Antiqua" w:hAnsi="Book Antiqua" w:cs="Book Antiqua"/>
          <w:color w:val="000000"/>
        </w:rPr>
        <w:t>spartate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aminotransferase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C520E0" w:rsidRPr="00237A77">
        <w:rPr>
          <w:rFonts w:ascii="Book Antiqua" w:eastAsia="Book Antiqua" w:hAnsi="Book Antiqua" w:cs="Book Antiqua"/>
          <w:color w:val="000000"/>
        </w:rPr>
        <w:t>micro</w:t>
      </w:r>
      <w:r w:rsidR="005012EE" w:rsidRPr="00237A77">
        <w:rPr>
          <w:rFonts w:ascii="Book Antiqua" w:eastAsia="Book Antiqua" w:hAnsi="Book Antiqua" w:cs="Book Antiqua"/>
          <w:color w:val="000000"/>
        </w:rPr>
        <w:t>albumin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alkaline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phosphatase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bilirubin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GGT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DBIL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54A76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B87EAD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figures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3.</w:t>
      </w:r>
    </w:p>
    <w:p w14:paraId="2AAA6AC7" w14:textId="77777777" w:rsidR="00A77B3E" w:rsidRPr="00237A77" w:rsidRDefault="00A77B3E" w:rsidP="00237A77">
      <w:pPr>
        <w:spacing w:line="360" w:lineRule="auto"/>
        <w:jc w:val="both"/>
      </w:pPr>
    </w:p>
    <w:p w14:paraId="66CF17BA" w14:textId="5EE6D60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1CE26B1" w14:textId="3F0022D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</w:t>
      </w:r>
      <w:r w:rsidR="00B87EAD" w:rsidRPr="00237A77">
        <w:rPr>
          <w:rFonts w:ascii="Book Antiqua" w:eastAsia="Book Antiqua" w:hAnsi="Book Antiqua" w:cs="Book Antiqua"/>
          <w:color w:val="000000"/>
        </w:rPr>
        <w:t>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DBIL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blood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</w:p>
    <w:p w14:paraId="4CAF3243" w14:textId="77777777" w:rsidR="00A77B3E" w:rsidRPr="00237A77" w:rsidRDefault="00A77B3E" w:rsidP="00237A77">
      <w:pPr>
        <w:spacing w:line="360" w:lineRule="auto"/>
        <w:jc w:val="both"/>
      </w:pPr>
    </w:p>
    <w:p w14:paraId="782805A2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5C64BDE" w14:textId="6C7DDA07" w:rsidR="00B87EAD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safe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tolerated,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adverse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reactions,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myositis,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rhabdomyolysis,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lactic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acidosis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nephrotoxic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manifest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Fanconi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syndrome,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failure,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osteomalacia,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fractures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[11,12]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reason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organic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transporter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91CBE"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strong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affinity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promote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absorption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concentration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reversed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withdrawal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few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still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persistent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</w:p>
    <w:p w14:paraId="41895551" w14:textId="0392207D" w:rsidR="00CC3233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t>Gara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carried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7.4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follow-up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observations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changed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achieved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improvement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Chinese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scholars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also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reported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reduce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impact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Amarapurkar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292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64-mo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combined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27.1%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developed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Fanconi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syndrome.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previous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observations,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also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largest,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second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largest,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lowest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Moreover,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E46328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compared 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further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illustrated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certain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degree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especially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CHB.</w:t>
      </w:r>
    </w:p>
    <w:p w14:paraId="77645370" w14:textId="62739BEB" w:rsidR="00CC3233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reversible,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symptoms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obvious.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above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present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abnormalities,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approximately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irreversibly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optimal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period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missed.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diagnosis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dysfunction.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generally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categories: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(1)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G</w:t>
      </w:r>
      <w:r w:rsidRPr="00237A77">
        <w:rPr>
          <w:rFonts w:ascii="Book Antiqua" w:eastAsia="Book Antiqua" w:hAnsi="Book Antiqua" w:cs="Book Antiqua"/>
          <w:color w:val="000000"/>
        </w:rPr>
        <w:t>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</w:t>
      </w:r>
      <w:r w:rsidR="005012EE" w:rsidRPr="00237A77">
        <w:rPr>
          <w:rFonts w:ascii="Book Antiqua" w:eastAsia="Book Antiqua" w:hAnsi="Book Antiqua" w:cs="Book Antiqua"/>
          <w:color w:val="000000"/>
        </w:rPr>
        <w:t>, 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(2)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C723C">
        <w:rPr>
          <w:rFonts w:ascii="Book Antiqua" w:hAnsi="Book Antiqua" w:cs="Book Antiqua" w:hint="eastAsia"/>
          <w:color w:val="000000"/>
          <w:lang w:eastAsia="zh-CN"/>
        </w:rPr>
        <w:t>R</w:t>
      </w:r>
      <w:r w:rsidRPr="00237A77">
        <w:rPr>
          <w:rFonts w:ascii="Book Antiqua" w:eastAsia="Book Antiqua" w:hAnsi="Book Antiqua" w:cs="Book Antiqua"/>
          <w:color w:val="000000"/>
        </w:rPr>
        <w:t>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reflect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medium-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low-molecular-weight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β2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retinol-binding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lysozyme,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addition,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alkaline phosphatase</w:t>
      </w:r>
      <w:r w:rsidR="005012EE" w:rsidRPr="00237A77" w:rsidDel="005012EE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supplementary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199E87F3" w14:textId="4D1B0331" w:rsidR="00A77B3E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t>Previous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focused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reporting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development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suggested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CC3233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routine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CC3233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CC3233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C3233" w:rsidRPr="00237A77">
        <w:rPr>
          <w:rFonts w:ascii="Book Antiqua" w:eastAsia="Book Antiqua" w:hAnsi="Book Antiqua" w:cs="Book Antiqua"/>
          <w:color w:val="000000"/>
          <w:szCs w:val="3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earlier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DBIL,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71D22A66" w14:textId="77777777" w:rsidR="00A77B3E" w:rsidRPr="00237A77" w:rsidRDefault="00A77B3E" w:rsidP="00237A77">
      <w:pPr>
        <w:spacing w:line="360" w:lineRule="auto"/>
        <w:jc w:val="both"/>
      </w:pPr>
    </w:p>
    <w:p w14:paraId="26B182F1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2F92302" w14:textId="753BE70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summary,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hyperlink r:id="rId9" w:anchor="kidney" w:tgtFrame="_blank" w:history="1">
        <w:r w:rsidRPr="00237A77">
          <w:rPr>
            <w:rFonts w:ascii="Book Antiqua" w:eastAsia="Book Antiqua" w:hAnsi="Book Antiqua" w:cs="Book Antiqua"/>
            <w:color w:val="000000"/>
            <w:shd w:val="clear" w:color="auto" w:fill="FFFFFF"/>
          </w:rPr>
          <w:t>kidney</w:t>
        </w:r>
      </w:hyperlink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reached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44.9%,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arouse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sufficient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attention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doctors.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2AC0B3D5" w14:textId="77777777" w:rsidR="00A77B3E" w:rsidRPr="00237A77" w:rsidRDefault="00A77B3E" w:rsidP="00237A77">
      <w:pPr>
        <w:spacing w:line="360" w:lineRule="auto"/>
        <w:jc w:val="both"/>
      </w:pPr>
    </w:p>
    <w:p w14:paraId="3DBFBD63" w14:textId="4B45038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FD1429F" w14:textId="56D15A1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9F5CECA" w14:textId="5C72400D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(CHB)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6F79C4" w:rsidRPr="00237A77">
        <w:rPr>
          <w:rFonts w:ascii="Book Antiqua" w:eastAsia="Book Antiqua" w:hAnsi="Book Antiqua" w:cs="Book Antiqua"/>
          <w:color w:val="000000"/>
        </w:rPr>
        <w:t xml:space="preserve"> (NA)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(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784796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needed.</w:t>
      </w:r>
    </w:p>
    <w:p w14:paraId="060AED22" w14:textId="77777777" w:rsidR="00A77B3E" w:rsidRPr="00237A77" w:rsidRDefault="00A77B3E" w:rsidP="00237A77">
      <w:pPr>
        <w:spacing w:line="360" w:lineRule="auto"/>
        <w:jc w:val="both"/>
      </w:pPr>
    </w:p>
    <w:p w14:paraId="6C37EB58" w14:textId="2A8028F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84C7F70" w14:textId="1967DC7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 xml:space="preserve">identify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</w:p>
    <w:p w14:paraId="69C1B7E3" w14:textId="77777777" w:rsidR="00A77B3E" w:rsidRPr="00237A77" w:rsidRDefault="00A77B3E" w:rsidP="00237A77">
      <w:pPr>
        <w:spacing w:line="360" w:lineRule="auto"/>
        <w:jc w:val="both"/>
      </w:pPr>
    </w:p>
    <w:p w14:paraId="47B87541" w14:textId="09293881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A7706C6" w14:textId="5CF1839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investigate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F79C4" w:rsidRPr="00237A77">
        <w:rPr>
          <w:rFonts w:ascii="Book Antiqua" w:eastAsia="Book Antiqua" w:hAnsi="Book Antiqua" w:cs="Book Antiqua"/>
          <w:color w:val="000000"/>
        </w:rPr>
        <w:t>NAs</w:t>
      </w:r>
      <w:r w:rsidRPr="00237A77">
        <w:rPr>
          <w:rFonts w:ascii="Book Antiqua" w:eastAsia="Book Antiqua" w:hAnsi="Book Antiqua" w:cs="Book Antiqua"/>
          <w:color w:val="000000"/>
        </w:rPr>
        <w:t>.</w:t>
      </w:r>
    </w:p>
    <w:p w14:paraId="134B8A56" w14:textId="77777777" w:rsidR="00A77B3E" w:rsidRPr="00237A77" w:rsidRDefault="00A77B3E" w:rsidP="00237A77">
      <w:pPr>
        <w:spacing w:line="360" w:lineRule="auto"/>
        <w:jc w:val="both"/>
      </w:pPr>
    </w:p>
    <w:p w14:paraId="5406C5C1" w14:textId="3D25AEB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2DD6604" w14:textId="3851C57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F79C4"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analysis.</w:t>
      </w:r>
    </w:p>
    <w:p w14:paraId="229F6652" w14:textId="77777777" w:rsidR="00A77B3E" w:rsidRPr="00237A77" w:rsidRDefault="00A77B3E" w:rsidP="00237A77">
      <w:pPr>
        <w:spacing w:line="360" w:lineRule="auto"/>
        <w:jc w:val="both"/>
      </w:pPr>
    </w:p>
    <w:p w14:paraId="58251A79" w14:textId="07DB778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758720" w14:textId="6E42058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2391C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2391C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(eGFR),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6F79C4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D3756"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6802F4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6802F4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802F4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(8/22),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(20/42),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(3/5),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(OR)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6F79C4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11CD9112" w14:textId="77777777" w:rsidR="00A77B3E" w:rsidRPr="00237A77" w:rsidRDefault="00A77B3E" w:rsidP="00237A77">
      <w:pPr>
        <w:spacing w:line="360" w:lineRule="auto"/>
        <w:jc w:val="both"/>
      </w:pPr>
    </w:p>
    <w:p w14:paraId="16432D18" w14:textId="58CBF2F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A25A51F" w14:textId="58621D8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impairment.</w:t>
      </w:r>
    </w:p>
    <w:p w14:paraId="013C60F8" w14:textId="77777777" w:rsidR="00A77B3E" w:rsidRPr="00237A77" w:rsidRDefault="00A77B3E" w:rsidP="00237A77">
      <w:pPr>
        <w:spacing w:line="360" w:lineRule="auto"/>
        <w:jc w:val="both"/>
      </w:pPr>
    </w:p>
    <w:p w14:paraId="0460C13F" w14:textId="4152ADF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EE23561" w14:textId="22D3ADA2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Retrospective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C38A9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deteriorating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undergoing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renal.</w:t>
      </w:r>
    </w:p>
    <w:p w14:paraId="17267EA6" w14:textId="77777777" w:rsidR="00A77B3E" w:rsidRPr="00237A77" w:rsidRDefault="00A77B3E" w:rsidP="00237A77">
      <w:pPr>
        <w:spacing w:line="360" w:lineRule="auto"/>
        <w:jc w:val="both"/>
      </w:pPr>
    </w:p>
    <w:p w14:paraId="3AD5678D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7F24F91" w14:textId="5BDDE042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authors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like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sincerely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Professor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HY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guidance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study.</w:t>
      </w:r>
    </w:p>
    <w:p w14:paraId="15E33456" w14:textId="77777777" w:rsidR="00A77B3E" w:rsidRPr="00237A77" w:rsidRDefault="00A77B3E" w:rsidP="00237A77">
      <w:pPr>
        <w:spacing w:line="360" w:lineRule="auto"/>
        <w:jc w:val="both"/>
      </w:pPr>
    </w:p>
    <w:p w14:paraId="485B85B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060BBC6" w14:textId="552A5A9C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TT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Gish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Gadano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Sollano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Lok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Goodman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Cross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DeHertogh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Wilber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Colonno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Apelian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BEHoLD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AI463022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Study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Group.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comparison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entecavir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lamivudine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HBeAg-positive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N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Engl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Med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2006;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354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1001-1010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16525137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10.1056/NEJMoa051285]</w:t>
      </w:r>
    </w:p>
    <w:p w14:paraId="3A10651C" w14:textId="275AF902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TT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Kew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Yoon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Lee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Coelho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Carrilho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Poordad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Halota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Horsmans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Tsai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Tenney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Tamez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Iloeje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U.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Entecavir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up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years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antigen-positive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Hepatology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2010;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51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422-430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20049753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10.1002/hep.23327]</w:t>
      </w:r>
    </w:p>
    <w:p w14:paraId="2203B645" w14:textId="50A09776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Hou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JL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Xie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dipivoxil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after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weeks: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randomized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controlled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Viral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85-93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25243325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10.1111/jvh.12313]</w:t>
      </w:r>
    </w:p>
    <w:p w14:paraId="03743968" w14:textId="70C98D0B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4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Liang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Xie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Xiong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Hou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efficacy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safety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5-year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results.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Int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2019;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13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260-269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30977033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10.1007/s12072-019-09943-6]</w:t>
      </w:r>
    </w:p>
    <w:p w14:paraId="1CCAF112" w14:textId="0F97553E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HL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Seto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Chowdhury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Tsang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Mehta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Massetto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Gaggar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Kitrinos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McHutchison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Acharya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Agarwal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HBeAg-positive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randomised,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double-blind,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phase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non-inferiority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Lancet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185-195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28404091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10.1016/S2468-1253(16)30024-3]</w:t>
      </w:r>
    </w:p>
    <w:p w14:paraId="308F1269" w14:textId="34CB08FF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Buti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M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Seto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Stepanova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Mehta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Acharya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Massetto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Cathcart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Gaggar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McHutchison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Brunetto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Izumi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Marcellin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GS-US-320-0108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HBeAg-negative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randomised,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double-blind,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phase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non-inferiority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Lancet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196-206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28404092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10.1016/S2468-1253(16)30107-8]</w:t>
      </w:r>
    </w:p>
    <w:p w14:paraId="7BC21BEF" w14:textId="3C90F3ED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Agarwal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K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Brunetto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Seto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Marcellin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Ahn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Izumi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Bae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Sharma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Çelen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Furusyo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Shalimar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Yoon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Trinh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Gaggar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Cathcart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Bhardwaj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Suri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Mani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Buti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HLY;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GS-US-320-0110;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GS-US-320-0108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96</w:t>
      </w:r>
      <w:r w:rsidRPr="00237A77">
        <w:t> </w:t>
      </w:r>
      <w:r w:rsidRPr="00237A77">
        <w:rPr>
          <w:rFonts w:ascii="Book Antiqua" w:hAnsi="Book Antiqua"/>
        </w:rPr>
        <w:t>weeks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2018;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68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672-681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29756595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10.1016/j.jhep.2017.11.039]</w:t>
      </w:r>
    </w:p>
    <w:p w14:paraId="60B69F33" w14:textId="4286B798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Chinese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Society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of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Hepatology;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Chinese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Medical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Association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Society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Diseases;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Medical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Association.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guideline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prevention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(2015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version).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Shiyong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Ganzangbing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Zazhi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</w:rPr>
        <w:t>19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389-400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10.3760/cma.j.issn.1007-3418.2015.12.034]</w:t>
      </w:r>
    </w:p>
    <w:p w14:paraId="59065FA3" w14:textId="60B533D7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9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Qi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JM.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Impact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estimated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glomerular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filtration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prospective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cohort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study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China.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Viral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46-54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25402626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10.1111/jvh.12229]</w:t>
      </w:r>
    </w:p>
    <w:p w14:paraId="648FD092" w14:textId="7752722E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Qi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Impact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combination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estimated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glomerular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filtration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Medicine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</w:rPr>
        <w:t>(Baltimore)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94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e646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25881837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10.1097/MD.0000000000000646]</w:t>
      </w:r>
    </w:p>
    <w:p w14:paraId="7C416181" w14:textId="0E8FEEB7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Shimohata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Sakai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Ogawa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Hirayama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Kobayashi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Osteomalacia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due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Fanconi's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syndrome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failure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caused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low-dose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dipivoxil.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Clin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Exp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Nephrol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2013;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17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147-148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23268286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10.1007/s10157-012-0762-8]</w:t>
      </w:r>
    </w:p>
    <w:p w14:paraId="7346845A" w14:textId="7C9711D4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Gara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Collins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Chong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Kleiner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DE,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Jake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Ghany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Hoofnagle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JH.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tubular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dysfunction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during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Aliment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Pharmacol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Ther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2012;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35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1317-1325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22506503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10.1111/j.1365-2036.2012.05093.x]</w:t>
      </w:r>
    </w:p>
    <w:p w14:paraId="73505F83" w14:textId="028E5529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Amarapurkar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DN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Patel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Increased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eGFR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telbivudine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combination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Indian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2014;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33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89-91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23512213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10.1007/s12664-013-0325-2]</w:t>
      </w:r>
    </w:p>
    <w:p w14:paraId="71BDA142" w14:textId="7F613F2E" w:rsidR="00A77B3E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14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Huo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XH.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Effects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function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Zhongguo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Linchuang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Yaolixue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Yu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Zhiliaoxue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2017;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1029-1034</w:t>
      </w:r>
    </w:p>
    <w:p w14:paraId="12E04F0D" w14:textId="77777777" w:rsidR="00A77B3E" w:rsidRPr="00237A77" w:rsidRDefault="00A77B3E" w:rsidP="00237A77">
      <w:pPr>
        <w:spacing w:line="360" w:lineRule="auto"/>
        <w:jc w:val="both"/>
        <w:sectPr w:rsidR="00A77B3E" w:rsidRPr="00237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552C1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Footnotes</w:t>
      </w:r>
    </w:p>
    <w:p w14:paraId="78849651" w14:textId="4D29A00C" w:rsidR="00A77B3E" w:rsidRPr="00237A77" w:rsidRDefault="007546E9" w:rsidP="00237A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050DC" w:rsidRPr="00237A77">
        <w:rPr>
          <w:rFonts w:ascii="Book Antiqua" w:eastAsia="Book Antiqua" w:hAnsi="Book Antiqua" w:cs="Book Antiqua"/>
          <w:color w:val="000000"/>
        </w:rPr>
        <w:t>reviewed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050DC"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41AF8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thics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41AF8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ommittee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264).</w:t>
      </w:r>
    </w:p>
    <w:p w14:paraId="1187AA53" w14:textId="77777777" w:rsidR="00A77B3E" w:rsidRPr="00237A77" w:rsidRDefault="00A77B3E" w:rsidP="00237A77">
      <w:pPr>
        <w:spacing w:line="360" w:lineRule="auto"/>
        <w:jc w:val="both"/>
      </w:pPr>
    </w:p>
    <w:p w14:paraId="1C9DE03C" w14:textId="4BE053C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enrolled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046E8" w:rsidRPr="00237A77">
        <w:rPr>
          <w:rFonts w:ascii="Book Antiqua" w:eastAsia="Book Antiqua" w:hAnsi="Book Antiqua" w:cs="Book Antiqua"/>
          <w:color w:val="000000"/>
        </w:rPr>
        <w:t>written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consent.</w:t>
      </w:r>
    </w:p>
    <w:p w14:paraId="6FB02C78" w14:textId="77777777" w:rsidR="00A77B3E" w:rsidRPr="00237A77" w:rsidRDefault="00A77B3E" w:rsidP="00237A77">
      <w:pPr>
        <w:spacing w:line="360" w:lineRule="auto"/>
        <w:jc w:val="both"/>
      </w:pPr>
    </w:p>
    <w:p w14:paraId="54A6ED28" w14:textId="34ACC65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report.</w:t>
      </w:r>
    </w:p>
    <w:p w14:paraId="22E4F139" w14:textId="77777777" w:rsidR="00A77B3E" w:rsidRPr="00237A77" w:rsidRDefault="00A77B3E" w:rsidP="00237A77">
      <w:pPr>
        <w:spacing w:line="360" w:lineRule="auto"/>
        <w:jc w:val="both"/>
      </w:pPr>
    </w:p>
    <w:p w14:paraId="4406DB71" w14:textId="1D5672A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561D5FAE" w14:textId="77777777" w:rsidR="00A77B3E" w:rsidRPr="00237A77" w:rsidRDefault="00A77B3E" w:rsidP="00237A77">
      <w:pPr>
        <w:spacing w:line="360" w:lineRule="auto"/>
        <w:jc w:val="both"/>
      </w:pPr>
    </w:p>
    <w:p w14:paraId="3FEC8A0D" w14:textId="6124A08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7078E784" w14:textId="77777777" w:rsidR="00A77B3E" w:rsidRPr="00237A77" w:rsidRDefault="00A77B3E" w:rsidP="00237A77">
      <w:pPr>
        <w:spacing w:line="360" w:lineRule="auto"/>
        <w:jc w:val="both"/>
      </w:pPr>
    </w:p>
    <w:p w14:paraId="6956A824" w14:textId="12C82EE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open-access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in-house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editor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peer-reviewed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external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reviewers.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accordance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NonCommercial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(CC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BY-NC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4.0)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license,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permits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remix,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adapt,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upon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non-commercially,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license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derivative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terms,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original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properly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non-commercial.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7D4A37" w14:textId="77777777" w:rsidR="00A77B3E" w:rsidRPr="00237A77" w:rsidRDefault="00A77B3E" w:rsidP="00237A77">
      <w:pPr>
        <w:spacing w:line="360" w:lineRule="auto"/>
        <w:jc w:val="both"/>
      </w:pPr>
    </w:p>
    <w:p w14:paraId="2D94F15B" w14:textId="18CFB4F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Manuscript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source: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Unsolicited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5221E"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</w:rPr>
        <w:t>anuscript</w:t>
      </w:r>
    </w:p>
    <w:p w14:paraId="45FBED93" w14:textId="77777777" w:rsidR="00A77B3E" w:rsidRPr="00237A77" w:rsidRDefault="00A77B3E" w:rsidP="00237A77">
      <w:pPr>
        <w:spacing w:line="360" w:lineRule="auto"/>
        <w:jc w:val="both"/>
      </w:pPr>
    </w:p>
    <w:p w14:paraId="6CD5FF1C" w14:textId="2BE05D7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Peer-review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started: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23,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68A8C5C9" w14:textId="45576CD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decision: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29,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2DB8B086" w14:textId="5FFD74F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press: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324F" w:rsidRPr="00237A77">
        <w:rPr>
          <w:rFonts w:ascii="Book Antiqua" w:eastAsia="Book Antiqua" w:hAnsi="Book Antiqua" w:cs="Book Antiqua"/>
          <w:color w:val="000000"/>
        </w:rPr>
        <w:t>November 2, 2020</w:t>
      </w:r>
    </w:p>
    <w:p w14:paraId="2158CBDD" w14:textId="77777777" w:rsidR="00A77B3E" w:rsidRPr="00237A77" w:rsidRDefault="00A77B3E" w:rsidP="00237A77">
      <w:pPr>
        <w:spacing w:line="360" w:lineRule="auto"/>
        <w:jc w:val="both"/>
      </w:pPr>
    </w:p>
    <w:p w14:paraId="6691A630" w14:textId="2223C06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Specialty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type: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Medicine,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experimental</w:t>
      </w:r>
    </w:p>
    <w:p w14:paraId="7CA17585" w14:textId="25DFA0D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Country/Territory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origin: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</w:t>
      </w:r>
    </w:p>
    <w:p w14:paraId="592679B5" w14:textId="7EEA425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Peer-review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report’s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scientific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quality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418017A" w14:textId="50E583C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(Excellent):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17FD6E4E" w14:textId="74BBFC8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(Very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good):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</w:p>
    <w:p w14:paraId="707D56A9" w14:textId="7303749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(Good):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137297AB" w14:textId="140A348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(Fair):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2E3141C8" w14:textId="3F9DA8D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(Poor):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32B55426" w14:textId="77777777" w:rsidR="00A77B3E" w:rsidRPr="00237A77" w:rsidRDefault="00A77B3E" w:rsidP="00237A77">
      <w:pPr>
        <w:spacing w:line="360" w:lineRule="auto"/>
        <w:jc w:val="both"/>
      </w:pPr>
    </w:p>
    <w:p w14:paraId="1D6D54AF" w14:textId="245C6973" w:rsidR="00B63700" w:rsidRPr="002D37A2" w:rsidRDefault="007546E9" w:rsidP="00237A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37A77">
        <w:rPr>
          <w:rFonts w:ascii="Book Antiqua" w:eastAsia="Book Antiqua" w:hAnsi="Book Antiqua" w:cs="Book Antiqua"/>
          <w:b/>
          <w:color w:val="000000"/>
        </w:rPr>
        <w:t>P-Reviewer: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Kawaguchi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55DE" w:rsidRPr="00237A77">
        <w:rPr>
          <w:rFonts w:ascii="Book Antiqua" w:eastAsia="Book Antiqua" w:hAnsi="Book Antiqua" w:cs="Book Antiqua"/>
          <w:color w:val="000000"/>
        </w:rPr>
        <w:t>Chen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4555DE" w:rsidRPr="00237A77">
        <w:rPr>
          <w:rFonts w:ascii="Book Antiqua" w:eastAsia="Book Antiqua" w:hAnsi="Book Antiqua" w:cs="Book Antiqua"/>
          <w:color w:val="000000"/>
        </w:rPr>
        <w:t>XF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L-Editor: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158" w:rsidRPr="00237A77">
        <w:rPr>
          <w:rFonts w:ascii="Book Antiqua" w:eastAsia="Book Antiqua" w:hAnsi="Book Antiqua" w:cs="Book Antiqua"/>
          <w:bCs/>
          <w:color w:val="000000"/>
        </w:rPr>
        <w:t>Filipodia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P-Editor: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37A2" w:rsidRPr="002D37A2">
        <w:rPr>
          <w:rFonts w:ascii="Book Antiqua" w:hAnsi="Book Antiqua" w:cs="Book Antiqua" w:hint="eastAsia"/>
          <w:color w:val="000000"/>
          <w:lang w:eastAsia="zh-CN"/>
        </w:rPr>
        <w:t>Li JH</w:t>
      </w:r>
    </w:p>
    <w:p w14:paraId="04BC7D13" w14:textId="77777777" w:rsidR="00BD704A" w:rsidRDefault="00BD704A" w:rsidP="00237A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84637FF" w14:textId="77777777" w:rsidR="002D37A2" w:rsidRPr="002D37A2" w:rsidRDefault="002D37A2" w:rsidP="00237A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2D37A2" w:rsidRPr="002D37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A7CF6" w14:textId="4BF1EA0F" w:rsidR="00B63700" w:rsidRPr="00237A77" w:rsidRDefault="00B63700" w:rsidP="00237A77">
      <w:pPr>
        <w:spacing w:line="360" w:lineRule="auto"/>
        <w:jc w:val="both"/>
        <w:rPr>
          <w:rFonts w:ascii="Book Antiqua" w:eastAsia="宋体" w:hAnsi="Book Antiqua" w:cs="仿宋"/>
          <w:b/>
          <w:bCs/>
        </w:rPr>
      </w:pPr>
      <w:r w:rsidRPr="00237A77">
        <w:rPr>
          <w:rFonts w:ascii="Book Antiqua" w:hAnsi="Book Antiqua"/>
          <w:b/>
          <w:bCs/>
          <w:lang w:eastAsia="zh-CN"/>
        </w:rPr>
        <w:t>Table</w:t>
      </w:r>
      <w:r w:rsidR="003516E8" w:rsidRPr="00237A77">
        <w:rPr>
          <w:rFonts w:ascii="Book Antiqua" w:hAnsi="Book Antiqua"/>
          <w:b/>
          <w:bCs/>
          <w:lang w:eastAsia="zh-CN"/>
        </w:rPr>
        <w:t xml:space="preserve"> </w:t>
      </w:r>
      <w:r w:rsidRPr="00237A77">
        <w:rPr>
          <w:rFonts w:ascii="Book Antiqua" w:hAnsi="Book Antiqua"/>
          <w:b/>
          <w:bCs/>
          <w:lang w:eastAsia="zh-CN"/>
        </w:rPr>
        <w:t>1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Renal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function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test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results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of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patients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with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and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without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adefovir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dipivoxil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/</w:t>
      </w:r>
      <w:r w:rsidR="003516E8" w:rsidRPr="00237A77"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tenofovir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disoproxil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fumarate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treatment</w:t>
      </w:r>
    </w:p>
    <w:tbl>
      <w:tblPr>
        <w:tblW w:w="12971" w:type="dxa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318"/>
        <w:gridCol w:w="1560"/>
        <w:gridCol w:w="1417"/>
        <w:gridCol w:w="1559"/>
        <w:gridCol w:w="1701"/>
        <w:gridCol w:w="2759"/>
      </w:tblGrid>
      <w:tr w:rsidR="00B22200" w:rsidRPr="00B22200" w14:paraId="7E469B9D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646CF" w14:textId="7DCBD9C0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Treatment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g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roup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764CB" w14:textId="56CD4099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Increased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BUN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28150" w14:textId="2E1FF5E6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Early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r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enal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d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amage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78B11" w14:textId="245C6E78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≥</w:t>
            </w:r>
            <w:r w:rsidR="003516E8" w:rsidRPr="00237A77">
              <w:rPr>
                <w:rFonts w:ascii="Book Antiqua" w:eastAsia="宋体" w:hAnsi="Book Antiqua" w:cs="仿宋"/>
                <w:b/>
                <w:bCs/>
                <w:lang w:eastAsia="zh-CN"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EDD13" w14:textId="60FCDDEE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89-60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400D6" w14:textId="6BC2E973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59-30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0F0E8" w14:textId="77777777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Hypophosphatemia</w:t>
            </w:r>
          </w:p>
        </w:tc>
      </w:tr>
      <w:tr w:rsidR="00B22200" w:rsidRPr="00B22200" w14:paraId="125B36FC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E419" w14:textId="046B2D0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ADV/TDF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group</w:t>
            </w:r>
            <w:r w:rsidR="00237A77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7BE8" w14:textId="1CC9347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(12%)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519E" w14:textId="5B7D0B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15</w:t>
            </w:r>
            <w:r w:rsidR="00465418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E82C" w14:textId="2D3CA61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CEA8" w14:textId="2A789DE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C172" w14:textId="0905A55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(12%)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1803" w14:textId="15FB28F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(24%)</w:t>
            </w:r>
          </w:p>
        </w:tc>
      </w:tr>
      <w:tr w:rsidR="00B22200" w:rsidRPr="00B22200" w14:paraId="31B03A5A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05094" w14:textId="5015355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Non-ADV/TDF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  <w:lang w:eastAsia="zh-CN"/>
              </w:rPr>
              <w:t xml:space="preserve"> </w:t>
            </w:r>
            <w:r w:rsidR="003168A6" w:rsidRPr="000B0484">
              <w:rPr>
                <w:rFonts w:ascii="Book Antiqua" w:eastAsia="宋体" w:hAnsi="Book Antiqua" w:cs="仿宋"/>
                <w:color w:val="000000" w:themeColor="text1"/>
              </w:rPr>
              <w:t>g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roup</w:t>
            </w:r>
            <w:r w:rsidR="00237A77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FF597" w14:textId="3A81902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D61B1" w14:textId="3E173AD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9BA36" w14:textId="6E4EE1C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98DA6" w14:textId="13D051A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(59.1%)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BDFA9" w14:textId="4539200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045BE" w14:textId="6B0A529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(15.9%)</w:t>
            </w:r>
          </w:p>
        </w:tc>
      </w:tr>
    </w:tbl>
    <w:p w14:paraId="7169FC03" w14:textId="5A6B53AC" w:rsidR="00A77B3E" w:rsidRPr="000B0484" w:rsidRDefault="00465418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Pr="000B0484">
        <w:rPr>
          <w:rFonts w:ascii="Book Antiqua" w:eastAsia="宋体" w:hAnsi="Book Antiqua" w:cs="仿宋"/>
          <w:color w:val="000000" w:themeColor="text1"/>
        </w:rPr>
        <w:t>Compared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with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non-ADV/TDF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treatment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color w:val="000000" w:themeColor="text1"/>
        </w:rPr>
        <w:t>χ</w:t>
      </w: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2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3.600,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0.057.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ADV: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Adefovir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dipivoxil;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BUN: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Serum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urea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nitrogen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;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eGFR: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Estimated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glomerular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filtration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rate</w:t>
      </w:r>
      <w:r w:rsidR="00237A77">
        <w:rPr>
          <w:rFonts w:ascii="Book Antiqua" w:hAnsi="Book Antiqua"/>
          <w:color w:val="000000" w:themeColor="text1"/>
          <w:lang w:eastAsia="zh-CN"/>
        </w:rPr>
        <w:t>;</w:t>
      </w:r>
      <w:r w:rsidR="00237A77" w:rsidRPr="00237A77">
        <w:rPr>
          <w:rFonts w:ascii="Book Antiqua" w:hAnsi="Book Antiqua"/>
          <w:color w:val="000000" w:themeColor="text1"/>
          <w:lang w:eastAsia="zh-CN"/>
        </w:rPr>
        <w:t xml:space="preserve"> </w:t>
      </w:r>
      <w:r w:rsidR="00237A77" w:rsidRPr="00AD2031">
        <w:rPr>
          <w:rFonts w:ascii="Book Antiqua" w:hAnsi="Book Antiqua"/>
          <w:color w:val="000000" w:themeColor="text1"/>
          <w:lang w:eastAsia="zh-CN"/>
        </w:rPr>
        <w:t>TDF: Tenofovir disoproxil fumarate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.</w:t>
      </w:r>
    </w:p>
    <w:p w14:paraId="78FF210D" w14:textId="219ED9CF" w:rsidR="00966D09" w:rsidRPr="000B0484" w:rsidRDefault="00966D09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  <w:sectPr w:rsidR="00966D09" w:rsidRPr="000B0484" w:rsidSect="003168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D1D4D9" w14:textId="1DF61786" w:rsidR="00B637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b/>
          <w:bCs/>
          <w:color w:val="000000" w:themeColor="text1"/>
        </w:rPr>
      </w:pPr>
      <w:r w:rsidRPr="000B0484">
        <w:rPr>
          <w:rFonts w:ascii="Book Antiqua" w:eastAsia="宋体" w:hAnsi="Book Antiqua" w:cs="仿宋"/>
          <w:b/>
          <w:bCs/>
          <w:color w:val="000000" w:themeColor="text1"/>
        </w:rPr>
        <w:t>Table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2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Examination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results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of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patients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in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different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estimated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glomerular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filtration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rate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value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groups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936"/>
        <w:gridCol w:w="1984"/>
        <w:gridCol w:w="1844"/>
        <w:gridCol w:w="1812"/>
      </w:tblGrid>
      <w:tr w:rsidR="00B22200" w:rsidRPr="00B22200" w14:paraId="6A61687F" w14:textId="77777777" w:rsidTr="00784111">
        <w:trPr>
          <w:trHeight w:val="155"/>
        </w:trPr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3C78F" w14:textId="0041F79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value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="00D667CA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[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L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/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min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·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1.73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  <w:vertAlign w:val="superscript"/>
              </w:rPr>
              <w:t>2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)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]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8B329" w14:textId="5C7AC0A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 w:hint="eastAsia"/>
                <w:b/>
                <w:bCs/>
                <w:color w:val="000000" w:themeColor="text1"/>
              </w:rPr>
              <w:t>≥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90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70D29" w14:textId="29A16B4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60-89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42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E9B1D" w14:textId="25C2C1C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30-59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5</w:t>
            </w:r>
          </w:p>
        </w:tc>
      </w:tr>
      <w:tr w:rsidR="00B22200" w:rsidRPr="00B22200" w14:paraId="5F447604" w14:textId="77777777" w:rsidTr="00784111"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2BC7C" w14:textId="50F6436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  <w:highlight w:val="yellow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Age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yr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5AD8D" w14:textId="76E0036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46.8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FBF27" w14:textId="1574F38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58.3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53F90" w14:textId="1DAE04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69.6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16.10</w:t>
            </w:r>
            <w:r w:rsidR="00D667CA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</w:p>
        </w:tc>
      </w:tr>
      <w:tr w:rsidR="00B22200" w:rsidRPr="00B22200" w14:paraId="75DF2772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5749" w14:textId="754C8AB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Sex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M/F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7192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18/4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D704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27/15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7A4A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3/2</w:t>
            </w:r>
          </w:p>
        </w:tc>
      </w:tr>
      <w:tr w:rsidR="00B22200" w:rsidRPr="00B22200" w14:paraId="59FC14BC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33F5" w14:textId="7507511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Antiviral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treatment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time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mo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F513" w14:textId="01C471A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84.0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30.9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C727" w14:textId="73AF33C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111.1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39.2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D034" w14:textId="1C68ADC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96.8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38.1</w:t>
            </w:r>
            <w:r w:rsidR="003D63E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</w:p>
        </w:tc>
      </w:tr>
      <w:tr w:rsidR="00B22200" w:rsidRPr="00B22200" w14:paraId="721A8113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52D4" w14:textId="15B94EF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ALT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IU/L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6363" w14:textId="03D8BD9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33.36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16.83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94AB" w14:textId="4169BF8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22.31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10.35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5DCD" w14:textId="66AE43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21.80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10.32</w:t>
            </w:r>
          </w:p>
        </w:tc>
      </w:tr>
      <w:tr w:rsidR="00B22200" w:rsidRPr="00B22200" w14:paraId="3CB8886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9CA0" w14:textId="082CDBD9" w:rsidR="00B63700" w:rsidRPr="000B0484" w:rsidRDefault="00821FAD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A787" w14:textId="5020A5B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74.71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9.98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B432" w14:textId="6A2D700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86.20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12.83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A6F2" w14:textId="2922100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107.4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12.54</w:t>
            </w:r>
            <w:r w:rsidR="00EB283B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3</w:t>
            </w:r>
          </w:p>
        </w:tc>
      </w:tr>
      <w:tr w:rsidR="00B22200" w:rsidRPr="00B22200" w14:paraId="50A0204F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AB76" w14:textId="1F6C56F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8683" w14:textId="1C5383B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4.56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1.17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35B7" w14:textId="4510C9B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5.38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9D6C" w14:textId="2A7F759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6.32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1.49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4</w:t>
            </w:r>
          </w:p>
        </w:tc>
      </w:tr>
      <w:tr w:rsidR="00B22200" w:rsidRPr="00B22200" w14:paraId="66A24CD1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5C01" w14:textId="110BB9A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5C06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F47F" w14:textId="46347E6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(7.1%)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8D51" w14:textId="1978EF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5</w:t>
            </w:r>
          </w:p>
        </w:tc>
      </w:tr>
      <w:tr w:rsidR="00B22200" w:rsidRPr="00B22200" w14:paraId="2463A094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D972" w14:textId="4B67553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Blood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741874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DD5B" w14:textId="74F58ED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0.16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B81C" w14:textId="6E1DC9D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1.01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F206" w14:textId="18D90BE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0.86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0.20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6</w:t>
            </w:r>
          </w:p>
        </w:tc>
      </w:tr>
      <w:tr w:rsidR="00B22200" w:rsidRPr="00B22200" w14:paraId="708D196B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23C9" w14:textId="1BCF78A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decreased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blood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9D94" w14:textId="74EF3C1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(18.2%)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FC27" w14:textId="25382CB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(16.7%)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1F49" w14:textId="777BC38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(40%)</w:t>
            </w:r>
          </w:p>
        </w:tc>
      </w:tr>
      <w:tr w:rsidR="00B22200" w:rsidRPr="00B22200" w14:paraId="102E9115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1F45" w14:textId="666736B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early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renal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injury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8E94" w14:textId="2481BFC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AEFD" w14:textId="639827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(47.6%)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F70D" w14:textId="10DFFE7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</w:tr>
      <w:tr w:rsidR="00B22200" w:rsidRPr="00B22200" w14:paraId="2298667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808F" w14:textId="0426A3D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microalbumin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D50E" w14:textId="1D6E575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(13.6%)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2B2B" w14:textId="3473B82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(9.5%)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C320" w14:textId="7867E57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  <w:tr w:rsidR="00B22200" w:rsidRPr="00B22200" w14:paraId="0A5FBCAF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98EC" w14:textId="07E609C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transferrin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8574" w14:textId="5F85287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8651" w14:textId="30BDE91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(11.9%)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765E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</w:t>
            </w:r>
          </w:p>
        </w:tc>
      </w:tr>
      <w:tr w:rsidR="00B22200" w:rsidRPr="00B22200" w14:paraId="3E0314D7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3276" w14:textId="35E2AFC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NAG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enzyme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84C6" w14:textId="5DE09DF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(22.7%)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8AB5" w14:textId="1112AC8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(19.0%)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EF03" w14:textId="70A2AC1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  <w:tr w:rsidR="00B22200" w:rsidRPr="00B22200" w14:paraId="58589E3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5247" w14:textId="547EF9B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6806EC" w:rsidRPr="000B0484">
              <w:rPr>
                <w:rFonts w:ascii="Book Antiqua" w:eastAsia="宋体" w:hAnsi="Book Antiqua" w:cs="仿宋"/>
                <w:color w:val="000000" w:themeColor="text1"/>
              </w:rPr>
              <w:t>α1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1CED" w14:textId="3C8D3F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(22.7%)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6D3E" w14:textId="312E58A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(26.2%)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9F63" w14:textId="6A23013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</w:tr>
      <w:tr w:rsidR="00B22200" w:rsidRPr="00B22200" w14:paraId="3E1C8748" w14:textId="77777777" w:rsidTr="00784111"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96FC7" w14:textId="263E4B0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immunoglobulin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2050E" w14:textId="51C944F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8A2CF" w14:textId="7D20493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(11.9%)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AA5EE" w14:textId="37E1318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</w:tbl>
    <w:p w14:paraId="34D3220A" w14:textId="77777777" w:rsidR="008F6966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</w:rPr>
        <w:t>Comparison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among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three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groups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0934986A" w14:textId="77777777" w:rsidR="008F6966" w:rsidRDefault="00D667CA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="003D63E1" w:rsidRPr="000B0484">
        <w:rPr>
          <w:rFonts w:ascii="Book Antiqua" w:eastAsia="宋体" w:hAnsi="Book Antiqua" w:cs="仿宋"/>
          <w:color w:val="000000" w:themeColor="text1"/>
        </w:rPr>
        <w:t>Indicate</w:t>
      </w:r>
      <w:r w:rsidR="00784111" w:rsidRPr="000B0484">
        <w:rPr>
          <w:rFonts w:ascii="Book Antiqua" w:eastAsia="宋体" w:hAnsi="Book Antiqua" w:cs="仿宋"/>
          <w:color w:val="000000" w:themeColor="text1"/>
        </w:rPr>
        <w:t>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14.979,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0.001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48BCB906" w14:textId="77777777" w:rsidR="008F6966" w:rsidRDefault="003D63E1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2</w:t>
      </w:r>
      <w:r w:rsidR="008E69B3" w:rsidRPr="000B0484">
        <w:rPr>
          <w:rFonts w:ascii="Book Antiqua" w:eastAsia="宋体" w:hAnsi="Book Antiqua" w:cs="仿宋"/>
          <w:color w:val="000000" w:themeColor="text1"/>
        </w:rPr>
        <w:t>Indicate</w:t>
      </w:r>
      <w:r w:rsidR="00784111" w:rsidRPr="000B0484">
        <w:rPr>
          <w:rFonts w:ascii="Book Antiqua" w:eastAsia="宋体" w:hAnsi="Book Antiqua" w:cs="仿宋"/>
          <w:color w:val="000000" w:themeColor="text1"/>
        </w:rPr>
        <w:t>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7.623,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0.022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1B28D53C" w14:textId="77777777" w:rsidR="008F6966" w:rsidRDefault="00EB283B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3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19.034,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0.000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66038D82" w14:textId="77777777" w:rsidR="008F6966" w:rsidRDefault="003516E8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  <w:vertAlign w:val="superscript"/>
        </w:rPr>
        <w:t>4</w:t>
      </w:r>
      <w:r w:rsidR="00B34AA4" w:rsidRPr="000B0484">
        <w:rPr>
          <w:rFonts w:ascii="Book Antiqua" w:eastAsia="宋体" w:hAnsi="Book Antiqua" w:cs="仿宋"/>
          <w:color w:val="000000" w:themeColor="text1"/>
        </w:rPr>
        <w:t>Indicates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</w:rPr>
        <w:t>c</w:t>
      </w:r>
      <w:r w:rsidR="00B63700" w:rsidRPr="000B0484">
        <w:rPr>
          <w:rFonts w:ascii="Book Antiqua" w:eastAsia="宋体" w:hAnsi="Book Antiqua" w:cs="仿宋"/>
          <w:color w:val="000000" w:themeColor="text1"/>
        </w:rPr>
        <w:t>omparison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between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the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third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group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and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the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first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group,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2.575,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0.012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124AFB77" w14:textId="77777777" w:rsidR="008F6966" w:rsidRDefault="00B34AA4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5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Fisher’s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exact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test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without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chi-square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value,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0.011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0FBF6D93" w14:textId="619DCA23" w:rsidR="00966D09" w:rsidRPr="000B0484" w:rsidRDefault="00B34AA4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  <w:sectPr w:rsidR="00966D09" w:rsidRPr="000B04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6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c</w:t>
      </w:r>
      <w:r w:rsidR="00B63700" w:rsidRPr="000B0484">
        <w:rPr>
          <w:rFonts w:ascii="Book Antiqua" w:eastAsia="宋体" w:hAnsi="Book Antiqua" w:cs="仿宋"/>
          <w:color w:val="000000" w:themeColor="text1"/>
        </w:rPr>
        <w:t>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between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third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group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and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second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group,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2.045,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0.047.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A4CF1" w:rsidRPr="008D4B90">
        <w:rPr>
          <w:rFonts w:ascii="Book Antiqua" w:eastAsia="宋体" w:hAnsi="Book Antiqua" w:cs="仿宋"/>
          <w:color w:val="000000" w:themeColor="text1"/>
        </w:rPr>
        <w:t xml:space="preserve">ALT: Alanine aminotransferase; </w:t>
      </w:r>
      <w:r w:rsidR="000A4CF1" w:rsidRPr="00BF2DF0">
        <w:rPr>
          <w:rFonts w:ascii="Book Antiqua" w:eastAsia="宋体" w:hAnsi="Book Antiqua" w:cs="仿宋"/>
          <w:color w:val="000000" w:themeColor="text1"/>
        </w:rPr>
        <w:t xml:space="preserve">BUN: Serum urea nitrogen; </w:t>
      </w:r>
      <w:r w:rsidR="0058158E" w:rsidRPr="000B0484">
        <w:rPr>
          <w:rFonts w:ascii="Book Antiqua" w:eastAsia="宋体" w:hAnsi="Book Antiqua" w:cs="仿宋"/>
          <w:color w:val="000000" w:themeColor="text1"/>
        </w:rPr>
        <w:t>eGFR: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Estimated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glomerular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filtration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rate;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3316" w:rsidRPr="000B0484">
        <w:rPr>
          <w:rFonts w:ascii="Book Antiqua" w:eastAsia="宋体" w:hAnsi="Book Antiqua" w:cs="仿宋"/>
          <w:color w:val="000000" w:themeColor="text1"/>
        </w:rPr>
        <w:t>F: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3316" w:rsidRPr="000B0484">
        <w:rPr>
          <w:rFonts w:ascii="Book Antiqua" w:eastAsia="宋体" w:hAnsi="Book Antiqua" w:cs="仿宋"/>
          <w:color w:val="000000" w:themeColor="text1"/>
        </w:rPr>
        <w:t>Female;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A4CF1" w:rsidRPr="00451216">
        <w:rPr>
          <w:rFonts w:ascii="Book Antiqua" w:eastAsia="宋体" w:hAnsi="Book Antiqua" w:cs="仿宋"/>
          <w:color w:val="000000" w:themeColor="text1"/>
        </w:rPr>
        <w:t xml:space="preserve">M: Male; </w:t>
      </w:r>
      <w:r w:rsidR="00D7732B" w:rsidRPr="000B0484">
        <w:rPr>
          <w:rFonts w:ascii="Book Antiqua" w:eastAsia="宋体" w:hAnsi="Book Antiqua" w:cs="仿宋"/>
          <w:color w:val="000000" w:themeColor="text1"/>
        </w:rPr>
        <w:t>NAG: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7732B" w:rsidRPr="000B0484">
        <w:rPr>
          <w:rFonts w:ascii="Book Antiqua" w:eastAsia="宋体" w:hAnsi="Book Antiqua" w:cs="仿宋"/>
          <w:color w:val="000000" w:themeColor="text1"/>
        </w:rPr>
        <w:t>N-acetyl-β-D-glucosidase</w:t>
      </w:r>
      <w:r w:rsidR="0058158E" w:rsidRPr="000B0484">
        <w:rPr>
          <w:rFonts w:ascii="Book Antiqua" w:eastAsia="宋体" w:hAnsi="Book Antiqua" w:cs="仿宋"/>
          <w:color w:val="000000" w:themeColor="text1"/>
        </w:rPr>
        <w:t>.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</w:p>
    <w:p w14:paraId="3DDB5DFE" w14:textId="57995172" w:rsidR="00B637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b/>
          <w:bCs/>
          <w:color w:val="000000" w:themeColor="text1"/>
        </w:rPr>
      </w:pPr>
      <w:r w:rsidRPr="000B0484">
        <w:rPr>
          <w:rFonts w:ascii="Book Antiqua" w:eastAsia="宋体" w:hAnsi="Book Antiqua" w:cs="仿宋"/>
          <w:b/>
          <w:bCs/>
          <w:color w:val="000000" w:themeColor="text1"/>
        </w:rPr>
        <w:t>Table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3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Examination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results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of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patients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with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or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without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early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renal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injury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936"/>
        <w:gridCol w:w="2693"/>
        <w:gridCol w:w="2947"/>
      </w:tblGrid>
      <w:tr w:rsidR="00B22200" w:rsidRPr="00B22200" w14:paraId="397680E6" w14:textId="77777777" w:rsidTr="00F603FF">
        <w:trPr>
          <w:trHeight w:val="266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A4972" w14:textId="15CBA82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Early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renal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injury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19D9E" w14:textId="7275F4F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Normal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38)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B4D05" w14:textId="2F4FEB4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31)</w:t>
            </w:r>
          </w:p>
        </w:tc>
      </w:tr>
      <w:tr w:rsidR="00B22200" w:rsidRPr="00B22200" w14:paraId="053C3F68" w14:textId="77777777" w:rsidTr="00F603FF"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3BC75B" w14:textId="1015415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  <w:highlight w:val="yellow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Age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yr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5BB2B2" w14:textId="79451E5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55.8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15.0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E318D3" w14:textId="77C7519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55.0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11.9</w:t>
            </w:r>
          </w:p>
        </w:tc>
      </w:tr>
      <w:tr w:rsidR="00B22200" w:rsidRPr="00B22200" w14:paraId="63C201F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29B5" w14:textId="182A120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Sex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M/F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F60C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25/13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F669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23/8</w:t>
            </w:r>
          </w:p>
        </w:tc>
      </w:tr>
      <w:tr w:rsidR="00B22200" w:rsidRPr="00B22200" w14:paraId="5B12C4C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8349" w14:textId="6DDECA8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Antiviral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treatment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time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mo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7571" w14:textId="2E66E73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99.3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37.7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3570" w14:textId="6934924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104.1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39.4</w:t>
            </w:r>
          </w:p>
        </w:tc>
      </w:tr>
      <w:tr w:rsidR="00B22200" w:rsidRPr="00B22200" w14:paraId="5315537F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F8BC" w14:textId="381BD1A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GGT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IU/L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45B4" w14:textId="00AE0AC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21.7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B22D" w14:textId="29C88A8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37.2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16.2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</w:p>
        </w:tc>
      </w:tr>
      <w:tr w:rsidR="00B22200" w:rsidRPr="00B22200" w14:paraId="62115E45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FF62" w14:textId="46680C2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DBIL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410C" w14:textId="63C59E7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1.5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394F" w14:textId="53B8F1D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</w:p>
        </w:tc>
      </w:tr>
      <w:tr w:rsidR="00B22200" w:rsidRPr="00B22200" w14:paraId="13B11F9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5D59" w14:textId="693265DF" w:rsidR="00B63700" w:rsidRPr="000B0484" w:rsidRDefault="00A20DF7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08D4" w14:textId="3E63BD8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81.0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14.0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A3A1" w14:textId="2D5EE23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87.9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14.5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3</w:t>
            </w:r>
          </w:p>
        </w:tc>
      </w:tr>
      <w:tr w:rsidR="00B22200" w:rsidRPr="00B22200" w14:paraId="106EFDE7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F3D7" w14:textId="036704A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3BD" w14:textId="5B742DB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1.2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9230" w14:textId="3DCCBC7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1.6</w:t>
            </w:r>
          </w:p>
        </w:tc>
      </w:tr>
      <w:tr w:rsidR="00B22200" w:rsidRPr="00B22200" w14:paraId="1CEDC38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3ED1" w14:textId="7B7C3B3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9EBC" w14:textId="616B092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(5.3%)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5EB9" w14:textId="59390AA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(9.1%)</w:t>
            </w:r>
          </w:p>
        </w:tc>
      </w:tr>
      <w:tr w:rsidR="00B22200" w:rsidRPr="00B22200" w14:paraId="4B51FD27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40EC" w14:textId="4775706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L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/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min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·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1.73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</w:t>
            </w:r>
            <w:r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)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9BFE" w14:textId="4F2BAB0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86.5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153A" w14:textId="76C3664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80.7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15.5</w:t>
            </w:r>
          </w:p>
        </w:tc>
      </w:tr>
      <w:tr w:rsidR="00B22200" w:rsidRPr="00B22200" w14:paraId="0E18ED1B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AC05" w14:textId="7ECE9E9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 w:hint="eastAsia"/>
                <w:color w:val="000000" w:themeColor="text1"/>
              </w:rPr>
              <w:t>≥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90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22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070C" w14:textId="20DA65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(36.8%)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18ED" w14:textId="2C5AB37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(25.8%)</w:t>
            </w:r>
          </w:p>
        </w:tc>
      </w:tr>
      <w:tr w:rsidR="00B22200" w:rsidRPr="00B22200" w14:paraId="54384788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D057" w14:textId="2AD8363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70-89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187E7" w14:textId="4A6C895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(47.4%)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76AC9" w14:textId="36E40CD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(41.8%)</w:t>
            </w:r>
          </w:p>
        </w:tc>
      </w:tr>
      <w:tr w:rsidR="00B22200" w:rsidRPr="00B22200" w14:paraId="48FED88C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42F" w14:textId="44FF4AE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60-69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C1882" w14:textId="2AC745E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(10.5%)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E700" w14:textId="0B827AF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(22.6%)</w:t>
            </w:r>
          </w:p>
        </w:tc>
      </w:tr>
      <w:tr w:rsidR="00B22200" w:rsidRPr="00B22200" w14:paraId="3722C546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3BC3" w14:textId="7C82B4F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30-59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9DEE" w14:textId="517CFBF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(5.3%)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7122" w14:textId="6CF05B7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(9.7%)</w:t>
            </w:r>
          </w:p>
        </w:tc>
      </w:tr>
      <w:tr w:rsidR="00B22200" w:rsidRPr="00B22200" w14:paraId="339E55B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D071" w14:textId="2629467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UA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6554" w14:textId="3CA9984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314.2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76.2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1F08" w14:textId="66335A1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338.8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88.4</w:t>
            </w:r>
          </w:p>
        </w:tc>
      </w:tr>
      <w:tr w:rsidR="00B22200" w:rsidRPr="00B22200" w14:paraId="4B98E06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19C9" w14:textId="058AEB42" w:rsidR="00B63700" w:rsidRPr="000B0484" w:rsidRDefault="00F603FF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calcium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23F6" w14:textId="452F96B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2.36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0.10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7C72" w14:textId="47C9615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2.35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0.12</w:t>
            </w:r>
          </w:p>
        </w:tc>
      </w:tr>
      <w:tr w:rsidR="00B22200" w:rsidRPr="00B22200" w14:paraId="410367A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AC95" w14:textId="0E1A51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BB0E" w14:textId="4BBD70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0.16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C347" w14:textId="5547395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0.17</w:t>
            </w:r>
          </w:p>
        </w:tc>
      </w:tr>
      <w:tr w:rsidR="00B22200" w:rsidRPr="00B22200" w14:paraId="33EF44A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BBAD" w14:textId="521314E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decreased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AA4D" w14:textId="7855643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(15.8%)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0644" w14:textId="3BD61BB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(22.6%)</w:t>
            </w:r>
          </w:p>
        </w:tc>
      </w:tr>
      <w:tr w:rsidR="00B22200" w:rsidRPr="00B22200" w14:paraId="570C8ED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A937" w14:textId="48BDAE5B" w:rsidR="00B63700" w:rsidRPr="000B0484" w:rsidRDefault="003D395E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Magnesium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934C" w14:textId="3831C6B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0.07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AF3C" w14:textId="0C6C77E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0.07</w:t>
            </w:r>
          </w:p>
        </w:tc>
      </w:tr>
      <w:tr w:rsidR="00B22200" w:rsidRPr="00B22200" w14:paraId="264DEA68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2293" w14:textId="594F621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Urinary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26CA" w14:textId="70DC387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(2.5-20.3)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CE80" w14:textId="1FF341B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(5.8-29.5)</w:t>
            </w:r>
            <w:r w:rsidR="00773103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4</w:t>
            </w:r>
          </w:p>
        </w:tc>
      </w:tr>
      <w:tr w:rsidR="00B22200" w:rsidRPr="00B22200" w14:paraId="03E3472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4C75" w14:textId="416C62C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microalbumin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F294" w14:textId="05897DA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(2-12.8)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FBF2" w14:textId="3A7A8B8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(2-123)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5</w:t>
            </w:r>
          </w:p>
        </w:tc>
      </w:tr>
      <w:tr w:rsidR="00B22200" w:rsidRPr="00B22200" w14:paraId="604886A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C37C" w14:textId="4AE46DB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NAG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enzyme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479B" w14:textId="4A92C95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(1-12)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0429" w14:textId="066455A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(2-59)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6</w:t>
            </w:r>
          </w:p>
        </w:tc>
      </w:tr>
      <w:tr w:rsidR="00B22200" w:rsidRPr="00B22200" w14:paraId="1A436656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0591" w14:textId="18BA05FD" w:rsidR="00B63700" w:rsidRPr="000B0484" w:rsidRDefault="00C77D66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α1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microglobulin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7566" w14:textId="54535EF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(4-17.4)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AF36" w14:textId="3952A63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(4.68-158)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7</w:t>
            </w:r>
          </w:p>
        </w:tc>
      </w:tr>
      <w:tr w:rsidR="00B22200" w:rsidRPr="00B22200" w14:paraId="144C52E2" w14:textId="77777777" w:rsidTr="00F603FF"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9C22B" w14:textId="7E1DB48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Urinary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immunoglobulin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AA5B1" w14:textId="690E318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(3-4.1)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34860" w14:textId="3F99B59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(3.14-29.3)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8</w:t>
            </w:r>
          </w:p>
        </w:tc>
      </w:tr>
    </w:tbl>
    <w:p w14:paraId="074B4C18" w14:textId="77777777" w:rsidR="008F6966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</w:rPr>
        <w:t>Comparison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between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two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groups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0A0E6CEA" w14:textId="77777777" w:rsidR="008F6966" w:rsidRDefault="00C374C1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46328" w:rsidRPr="000B0484">
        <w:rPr>
          <w:rFonts w:ascii="Book Antiqua" w:eastAsia="宋体" w:hAnsi="Book Antiqua" w:cs="仿宋"/>
          <w:color w:val="000000" w:themeColor="text1"/>
        </w:rPr>
        <w:t>−</w:t>
      </w:r>
      <w:r w:rsidR="00B63700" w:rsidRPr="000B0484">
        <w:rPr>
          <w:rFonts w:ascii="Book Antiqua" w:eastAsia="宋体" w:hAnsi="Book Antiqua" w:cs="仿宋"/>
          <w:color w:val="000000" w:themeColor="text1"/>
        </w:rPr>
        <w:t>2.508,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0.015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6E9DB647" w14:textId="77777777" w:rsidR="008F6966" w:rsidRDefault="00C374C1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2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46328" w:rsidRPr="000B0484">
        <w:rPr>
          <w:rFonts w:ascii="Book Antiqua" w:eastAsia="宋体" w:hAnsi="Book Antiqua" w:cs="仿宋"/>
          <w:color w:val="000000" w:themeColor="text1"/>
        </w:rPr>
        <w:t>−</w:t>
      </w:r>
      <w:r w:rsidR="00B63700" w:rsidRPr="000B0484">
        <w:rPr>
          <w:rFonts w:ascii="Book Antiqua" w:eastAsia="宋体" w:hAnsi="Book Antiqua" w:cs="仿宋"/>
          <w:color w:val="000000" w:themeColor="text1"/>
        </w:rPr>
        <w:t>2.208,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0.031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6CF5808A" w14:textId="77777777" w:rsidR="008F6966" w:rsidRDefault="00C374C1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3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35C8C" w:rsidRPr="000B0484">
        <w:rPr>
          <w:rFonts w:ascii="Book Antiqua" w:eastAsia="微软雅黑" w:hAnsi="Book Antiqua" w:cs="微软雅黑"/>
          <w:color w:val="000000" w:themeColor="text1"/>
        </w:rPr>
        <w:t>−</w:t>
      </w:r>
      <w:r w:rsidR="00B63700" w:rsidRPr="000B0484">
        <w:rPr>
          <w:rFonts w:ascii="Book Antiqua" w:eastAsia="宋体" w:hAnsi="Book Antiqua" w:cs="仿宋"/>
          <w:color w:val="000000" w:themeColor="text1"/>
        </w:rPr>
        <w:t>2.023,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0.047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4D0ED73E" w14:textId="77777777" w:rsidR="008F6966" w:rsidRDefault="00773103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4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306.5,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67B7C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0.001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1FEF364D" w14:textId="77777777" w:rsidR="008F6966" w:rsidRDefault="00B46EDF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5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184.5,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0.000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36FDA9CE" w14:textId="77777777" w:rsidR="008F6966" w:rsidRDefault="00B46EDF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6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202.0,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0.000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3A89643F" w14:textId="77777777" w:rsidR="008F6966" w:rsidRDefault="00B46EDF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7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91.0,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0.000</w:t>
      </w:r>
      <w:r w:rsidR="008F6966">
        <w:rPr>
          <w:rFonts w:ascii="Book Antiqua" w:eastAsia="宋体" w:hAnsi="Book Antiqua" w:cs="仿宋" w:hint="eastAsia"/>
          <w:color w:val="000000" w:themeColor="text1"/>
          <w:lang w:eastAsia="zh-CN"/>
        </w:rPr>
        <w:t>.</w:t>
      </w:r>
    </w:p>
    <w:p w14:paraId="32A9FF18" w14:textId="43D794FC" w:rsidR="00B63700" w:rsidRPr="000B0484" w:rsidRDefault="00B46EDF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8</w:t>
      </w:r>
      <w:r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42.5,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63700" w:rsidRPr="000B0484">
        <w:rPr>
          <w:rFonts w:ascii="Book Antiqua" w:eastAsia="宋体" w:hAnsi="Book Antiqua" w:cs="仿宋"/>
          <w:color w:val="000000" w:themeColor="text1"/>
        </w:rPr>
        <w:t>0.000.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D1169A" w:rsidRPr="002E5452">
        <w:rPr>
          <w:rFonts w:ascii="Book Antiqua" w:eastAsia="宋体" w:hAnsi="Book Antiqua" w:cs="仿宋"/>
          <w:color w:val="000000" w:themeColor="text1"/>
          <w:lang w:eastAsia="zh-CN"/>
        </w:rPr>
        <w:t xml:space="preserve">BUN: Serum urea nitrogen; </w:t>
      </w:r>
      <w:r w:rsidR="00D1169A" w:rsidRPr="009100E8">
        <w:rPr>
          <w:rFonts w:ascii="Book Antiqua" w:eastAsia="宋体" w:hAnsi="Book Antiqua" w:cs="仿宋"/>
          <w:color w:val="000000" w:themeColor="text1"/>
        </w:rPr>
        <w:t>DBIL: Direct bilirubin</w:t>
      </w:r>
      <w:r w:rsidR="00D1169A">
        <w:rPr>
          <w:rFonts w:ascii="Book Antiqua" w:eastAsia="宋体" w:hAnsi="Book Antiqua" w:cs="仿宋"/>
          <w:color w:val="000000" w:themeColor="text1"/>
        </w:rPr>
        <w:t>;</w:t>
      </w:r>
      <w:r w:rsidR="00D1169A" w:rsidRP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169A" w:rsidRPr="00D11E6F">
        <w:rPr>
          <w:rFonts w:ascii="Book Antiqua" w:eastAsia="宋体" w:hAnsi="Book Antiqua" w:cs="仿宋"/>
          <w:color w:val="000000" w:themeColor="text1"/>
          <w:lang w:eastAsia="zh-CN"/>
        </w:rPr>
        <w:t>eGFR: Estimated glomerular filtration rate;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3316" w:rsidRPr="000B0484">
        <w:rPr>
          <w:rFonts w:ascii="Book Antiqua" w:hAnsi="Book Antiqua"/>
          <w:color w:val="000000" w:themeColor="text1"/>
        </w:rPr>
        <w:t>F: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D13316" w:rsidRPr="000B0484">
        <w:rPr>
          <w:rFonts w:ascii="Book Antiqua" w:hAnsi="Book Antiqua"/>
          <w:color w:val="000000" w:themeColor="text1"/>
        </w:rPr>
        <w:t>Female;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GGT: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Gamma-glutamyl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transpeptidase;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169A" w:rsidRPr="009B79B1">
        <w:rPr>
          <w:rFonts w:ascii="Book Antiqua" w:hAnsi="Book Antiqua"/>
          <w:color w:val="000000" w:themeColor="text1"/>
        </w:rPr>
        <w:t xml:space="preserve">M: Male; </w:t>
      </w:r>
      <w:r w:rsidR="00012F43" w:rsidRPr="000B0484">
        <w:rPr>
          <w:rFonts w:ascii="Book Antiqua" w:eastAsia="宋体" w:hAnsi="Book Antiqua" w:cs="仿宋"/>
          <w:color w:val="000000" w:themeColor="text1"/>
          <w:lang w:eastAsia="zh-CN"/>
        </w:rPr>
        <w:t>NAG: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012F43" w:rsidRPr="000B0484">
        <w:rPr>
          <w:rFonts w:ascii="Book Antiqua" w:eastAsia="宋体" w:hAnsi="Book Antiqua" w:cs="仿宋"/>
          <w:color w:val="000000" w:themeColor="text1"/>
          <w:lang w:eastAsia="zh-CN"/>
        </w:rPr>
        <w:t>N-acetyl-β-D-glucosidase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>;</w:t>
      </w:r>
      <w:r w:rsidR="00D1169A" w:rsidRP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169A" w:rsidRPr="00401377">
        <w:rPr>
          <w:rFonts w:ascii="Book Antiqua" w:eastAsia="宋体" w:hAnsi="Book Antiqua" w:cs="仿宋"/>
          <w:color w:val="000000" w:themeColor="text1"/>
          <w:lang w:eastAsia="zh-CN"/>
        </w:rPr>
        <w:t>UA: Uric acid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>.</w:t>
      </w:r>
    </w:p>
    <w:sectPr w:rsidR="00B63700" w:rsidRPr="000B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C07F" w14:textId="77777777" w:rsidR="00055735" w:rsidRDefault="00055735" w:rsidP="009441E4">
      <w:r>
        <w:separator/>
      </w:r>
    </w:p>
  </w:endnote>
  <w:endnote w:type="continuationSeparator" w:id="0">
    <w:p w14:paraId="3DC7F321" w14:textId="77777777" w:rsidR="00055735" w:rsidRDefault="00055735" w:rsidP="009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462A" w14:textId="77777777" w:rsidR="00632EEB" w:rsidRPr="000B0484" w:rsidRDefault="00632EEB" w:rsidP="009441E4">
    <w:pPr>
      <w:pStyle w:val="a4"/>
      <w:jc w:val="right"/>
      <w:rPr>
        <w:rFonts w:ascii="Book Antiqua" w:hAnsi="Book Antiqua"/>
        <w:sz w:val="24"/>
        <w:szCs w:val="24"/>
      </w:rPr>
    </w:pPr>
    <w:r w:rsidRPr="000B0484">
      <w:rPr>
        <w:rFonts w:ascii="Book Antiqua" w:hAnsi="Book Antiqua"/>
        <w:sz w:val="24"/>
        <w:szCs w:val="24"/>
        <w:lang w:val="zh-CN" w:eastAsia="zh-CN"/>
      </w:rPr>
      <w:t xml:space="preserve"> </w:t>
    </w:r>
    <w:r w:rsidRPr="000B0484">
      <w:rPr>
        <w:rFonts w:ascii="Book Antiqua" w:hAnsi="Book Antiqua"/>
        <w:sz w:val="24"/>
        <w:szCs w:val="24"/>
      </w:rPr>
      <w:fldChar w:fldCharType="begin"/>
    </w:r>
    <w:r w:rsidRPr="000B0484">
      <w:rPr>
        <w:rFonts w:ascii="Book Antiqua" w:hAnsi="Book Antiqua"/>
        <w:sz w:val="24"/>
        <w:szCs w:val="24"/>
      </w:rPr>
      <w:instrText>PAGE  \* Arabic  \* MERGEFORMAT</w:instrText>
    </w:r>
    <w:r w:rsidRPr="000B0484">
      <w:rPr>
        <w:rFonts w:ascii="Book Antiqua" w:hAnsi="Book Antiqua"/>
        <w:sz w:val="24"/>
        <w:szCs w:val="24"/>
      </w:rPr>
      <w:fldChar w:fldCharType="separate"/>
    </w:r>
    <w:r w:rsidR="00055735" w:rsidRPr="00055735">
      <w:rPr>
        <w:rFonts w:ascii="Book Antiqua" w:hAnsi="Book Antiqua"/>
        <w:noProof/>
        <w:sz w:val="24"/>
        <w:szCs w:val="24"/>
        <w:lang w:val="zh-CN" w:eastAsia="zh-CN"/>
      </w:rPr>
      <w:t>1</w:t>
    </w:r>
    <w:r w:rsidRPr="000B0484">
      <w:rPr>
        <w:rFonts w:ascii="Book Antiqua" w:hAnsi="Book Antiqua"/>
        <w:sz w:val="24"/>
        <w:szCs w:val="24"/>
      </w:rPr>
      <w:fldChar w:fldCharType="end"/>
    </w:r>
    <w:r w:rsidRPr="000B048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B0484">
      <w:rPr>
        <w:rFonts w:ascii="Book Antiqua" w:hAnsi="Book Antiqua"/>
        <w:sz w:val="24"/>
        <w:szCs w:val="24"/>
      </w:rPr>
      <w:fldChar w:fldCharType="begin"/>
    </w:r>
    <w:r w:rsidRPr="000B0484">
      <w:rPr>
        <w:rFonts w:ascii="Book Antiqua" w:hAnsi="Book Antiqua"/>
        <w:sz w:val="24"/>
        <w:szCs w:val="24"/>
      </w:rPr>
      <w:instrText>NUMPAGES  \* Arabic  \* MERGEFORMAT</w:instrText>
    </w:r>
    <w:r w:rsidRPr="000B0484">
      <w:rPr>
        <w:rFonts w:ascii="Book Antiqua" w:hAnsi="Book Antiqua"/>
        <w:sz w:val="24"/>
        <w:szCs w:val="24"/>
      </w:rPr>
      <w:fldChar w:fldCharType="separate"/>
    </w:r>
    <w:r w:rsidR="00055735" w:rsidRPr="00055735">
      <w:rPr>
        <w:rFonts w:ascii="Book Antiqua" w:hAnsi="Book Antiqua"/>
        <w:noProof/>
        <w:sz w:val="24"/>
        <w:szCs w:val="24"/>
        <w:lang w:val="zh-CN" w:eastAsia="zh-CN"/>
      </w:rPr>
      <w:t>1</w:t>
    </w:r>
    <w:r w:rsidRPr="000B0484">
      <w:rPr>
        <w:rFonts w:ascii="Book Antiqua" w:hAnsi="Book Antiqua"/>
        <w:sz w:val="24"/>
        <w:szCs w:val="24"/>
      </w:rPr>
      <w:fldChar w:fldCharType="end"/>
    </w:r>
  </w:p>
  <w:p w14:paraId="4F2AFED6" w14:textId="77777777" w:rsidR="00632EEB" w:rsidRDefault="00632E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64F0" w14:textId="77777777" w:rsidR="00055735" w:rsidRDefault="00055735" w:rsidP="009441E4">
      <w:r>
        <w:separator/>
      </w:r>
    </w:p>
  </w:footnote>
  <w:footnote w:type="continuationSeparator" w:id="0">
    <w:p w14:paraId="5A0C1853" w14:textId="77777777" w:rsidR="00055735" w:rsidRDefault="00055735" w:rsidP="0094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C7E"/>
    <w:rsid w:val="0001169B"/>
    <w:rsid w:val="00012F43"/>
    <w:rsid w:val="00035152"/>
    <w:rsid w:val="00035C8C"/>
    <w:rsid w:val="00055735"/>
    <w:rsid w:val="000576C1"/>
    <w:rsid w:val="00072AF3"/>
    <w:rsid w:val="00077771"/>
    <w:rsid w:val="00092B90"/>
    <w:rsid w:val="00094EF2"/>
    <w:rsid w:val="00097BEC"/>
    <w:rsid w:val="000A0CBF"/>
    <w:rsid w:val="000A4CF1"/>
    <w:rsid w:val="000B0484"/>
    <w:rsid w:val="000C6416"/>
    <w:rsid w:val="00102AD4"/>
    <w:rsid w:val="001103C1"/>
    <w:rsid w:val="00111DDB"/>
    <w:rsid w:val="00117AE6"/>
    <w:rsid w:val="00121D1C"/>
    <w:rsid w:val="001256D5"/>
    <w:rsid w:val="00137D15"/>
    <w:rsid w:val="0014301F"/>
    <w:rsid w:val="0015221E"/>
    <w:rsid w:val="00160F9A"/>
    <w:rsid w:val="00166139"/>
    <w:rsid w:val="00167B9E"/>
    <w:rsid w:val="001875D4"/>
    <w:rsid w:val="001900CC"/>
    <w:rsid w:val="001A123E"/>
    <w:rsid w:val="001B2922"/>
    <w:rsid w:val="001B572E"/>
    <w:rsid w:val="001B5EE4"/>
    <w:rsid w:val="001C2078"/>
    <w:rsid w:val="001C723C"/>
    <w:rsid w:val="001D59D9"/>
    <w:rsid w:val="001F65E9"/>
    <w:rsid w:val="002307F2"/>
    <w:rsid w:val="002372BF"/>
    <w:rsid w:val="00237A77"/>
    <w:rsid w:val="002476F7"/>
    <w:rsid w:val="002639D0"/>
    <w:rsid w:val="002866C8"/>
    <w:rsid w:val="002A22CB"/>
    <w:rsid w:val="002B0AE9"/>
    <w:rsid w:val="002C1F87"/>
    <w:rsid w:val="002D37A2"/>
    <w:rsid w:val="003004AE"/>
    <w:rsid w:val="0030215C"/>
    <w:rsid w:val="003168A6"/>
    <w:rsid w:val="0033224B"/>
    <w:rsid w:val="0033347A"/>
    <w:rsid w:val="003516E8"/>
    <w:rsid w:val="00362193"/>
    <w:rsid w:val="00366CC3"/>
    <w:rsid w:val="0037658B"/>
    <w:rsid w:val="00383D6D"/>
    <w:rsid w:val="00390BAF"/>
    <w:rsid w:val="003921E6"/>
    <w:rsid w:val="003A7C7A"/>
    <w:rsid w:val="003C043E"/>
    <w:rsid w:val="003D395E"/>
    <w:rsid w:val="003D63E1"/>
    <w:rsid w:val="00422F96"/>
    <w:rsid w:val="00423456"/>
    <w:rsid w:val="00424583"/>
    <w:rsid w:val="00433738"/>
    <w:rsid w:val="004339D8"/>
    <w:rsid w:val="00442B52"/>
    <w:rsid w:val="004555DE"/>
    <w:rsid w:val="004623BA"/>
    <w:rsid w:val="00465418"/>
    <w:rsid w:val="00495469"/>
    <w:rsid w:val="004966F8"/>
    <w:rsid w:val="004C3056"/>
    <w:rsid w:val="005012EE"/>
    <w:rsid w:val="005056B3"/>
    <w:rsid w:val="005409AE"/>
    <w:rsid w:val="00541A46"/>
    <w:rsid w:val="00562BCE"/>
    <w:rsid w:val="0058158E"/>
    <w:rsid w:val="0059127B"/>
    <w:rsid w:val="005A6BBD"/>
    <w:rsid w:val="005B1B27"/>
    <w:rsid w:val="005B4918"/>
    <w:rsid w:val="005B6491"/>
    <w:rsid w:val="005C6FFC"/>
    <w:rsid w:val="0062251C"/>
    <w:rsid w:val="00632EEB"/>
    <w:rsid w:val="006348ED"/>
    <w:rsid w:val="00637BD4"/>
    <w:rsid w:val="00641AF8"/>
    <w:rsid w:val="006802F4"/>
    <w:rsid w:val="006806EC"/>
    <w:rsid w:val="006837B2"/>
    <w:rsid w:val="006A1DF3"/>
    <w:rsid w:val="006A2D26"/>
    <w:rsid w:val="006A7481"/>
    <w:rsid w:val="006C20C5"/>
    <w:rsid w:val="006D4EBE"/>
    <w:rsid w:val="006F4C90"/>
    <w:rsid w:val="006F79C4"/>
    <w:rsid w:val="007050DC"/>
    <w:rsid w:val="00715A6C"/>
    <w:rsid w:val="00717388"/>
    <w:rsid w:val="00724147"/>
    <w:rsid w:val="00726F4E"/>
    <w:rsid w:val="00741874"/>
    <w:rsid w:val="00744206"/>
    <w:rsid w:val="0074666C"/>
    <w:rsid w:val="00747A57"/>
    <w:rsid w:val="007546E9"/>
    <w:rsid w:val="00762A17"/>
    <w:rsid w:val="007655B0"/>
    <w:rsid w:val="00773103"/>
    <w:rsid w:val="007749F9"/>
    <w:rsid w:val="00784111"/>
    <w:rsid w:val="00784796"/>
    <w:rsid w:val="007A5842"/>
    <w:rsid w:val="007B0B19"/>
    <w:rsid w:val="007D31B5"/>
    <w:rsid w:val="007D38ED"/>
    <w:rsid w:val="007D7875"/>
    <w:rsid w:val="007F324F"/>
    <w:rsid w:val="00806C11"/>
    <w:rsid w:val="00816F9B"/>
    <w:rsid w:val="00821FAD"/>
    <w:rsid w:val="00830115"/>
    <w:rsid w:val="008363E4"/>
    <w:rsid w:val="008A03C0"/>
    <w:rsid w:val="008A3173"/>
    <w:rsid w:val="008A49DF"/>
    <w:rsid w:val="008A6368"/>
    <w:rsid w:val="008B04FB"/>
    <w:rsid w:val="008B1898"/>
    <w:rsid w:val="008B6A7C"/>
    <w:rsid w:val="008D0158"/>
    <w:rsid w:val="008E3F4F"/>
    <w:rsid w:val="008E69B3"/>
    <w:rsid w:val="008F22B9"/>
    <w:rsid w:val="008F6966"/>
    <w:rsid w:val="009441E4"/>
    <w:rsid w:val="00966908"/>
    <w:rsid w:val="00966D09"/>
    <w:rsid w:val="00975D33"/>
    <w:rsid w:val="00991CBE"/>
    <w:rsid w:val="009B4603"/>
    <w:rsid w:val="009C38A9"/>
    <w:rsid w:val="009D3756"/>
    <w:rsid w:val="009E5DCC"/>
    <w:rsid w:val="00A20297"/>
    <w:rsid w:val="00A20DF7"/>
    <w:rsid w:val="00A241F3"/>
    <w:rsid w:val="00A25C2D"/>
    <w:rsid w:val="00A41383"/>
    <w:rsid w:val="00A46C3C"/>
    <w:rsid w:val="00A4700B"/>
    <w:rsid w:val="00A77B3E"/>
    <w:rsid w:val="00A8145D"/>
    <w:rsid w:val="00A96FA3"/>
    <w:rsid w:val="00AA4F87"/>
    <w:rsid w:val="00AC2455"/>
    <w:rsid w:val="00AD720B"/>
    <w:rsid w:val="00AE6240"/>
    <w:rsid w:val="00AF717F"/>
    <w:rsid w:val="00B22200"/>
    <w:rsid w:val="00B2391C"/>
    <w:rsid w:val="00B247CD"/>
    <w:rsid w:val="00B30EDB"/>
    <w:rsid w:val="00B34AA4"/>
    <w:rsid w:val="00B469D9"/>
    <w:rsid w:val="00B46EDF"/>
    <w:rsid w:val="00B63700"/>
    <w:rsid w:val="00B709D3"/>
    <w:rsid w:val="00B70FD1"/>
    <w:rsid w:val="00B73435"/>
    <w:rsid w:val="00B87EAD"/>
    <w:rsid w:val="00B94B8D"/>
    <w:rsid w:val="00BB754B"/>
    <w:rsid w:val="00BC5350"/>
    <w:rsid w:val="00BD6F45"/>
    <w:rsid w:val="00BD704A"/>
    <w:rsid w:val="00BF2D8A"/>
    <w:rsid w:val="00BF6E44"/>
    <w:rsid w:val="00C00007"/>
    <w:rsid w:val="00C23D23"/>
    <w:rsid w:val="00C276AC"/>
    <w:rsid w:val="00C33756"/>
    <w:rsid w:val="00C372A9"/>
    <w:rsid w:val="00C374C1"/>
    <w:rsid w:val="00C520E0"/>
    <w:rsid w:val="00C5414C"/>
    <w:rsid w:val="00C54365"/>
    <w:rsid w:val="00C627BD"/>
    <w:rsid w:val="00C77D66"/>
    <w:rsid w:val="00C84748"/>
    <w:rsid w:val="00C92FA2"/>
    <w:rsid w:val="00C968C5"/>
    <w:rsid w:val="00CA2A55"/>
    <w:rsid w:val="00CB7D6F"/>
    <w:rsid w:val="00CC3233"/>
    <w:rsid w:val="00CD0628"/>
    <w:rsid w:val="00D00409"/>
    <w:rsid w:val="00D046E8"/>
    <w:rsid w:val="00D1169A"/>
    <w:rsid w:val="00D13316"/>
    <w:rsid w:val="00D32891"/>
    <w:rsid w:val="00D47E15"/>
    <w:rsid w:val="00D667CA"/>
    <w:rsid w:val="00D725B6"/>
    <w:rsid w:val="00D7732B"/>
    <w:rsid w:val="00D81EFA"/>
    <w:rsid w:val="00D910F7"/>
    <w:rsid w:val="00DB7FDF"/>
    <w:rsid w:val="00DC1F3C"/>
    <w:rsid w:val="00DD7941"/>
    <w:rsid w:val="00DF0813"/>
    <w:rsid w:val="00DF2982"/>
    <w:rsid w:val="00DF4DD7"/>
    <w:rsid w:val="00DF5CF1"/>
    <w:rsid w:val="00DF61FC"/>
    <w:rsid w:val="00E0311A"/>
    <w:rsid w:val="00E0591B"/>
    <w:rsid w:val="00E37AB5"/>
    <w:rsid w:val="00E46328"/>
    <w:rsid w:val="00E67B7C"/>
    <w:rsid w:val="00E72B03"/>
    <w:rsid w:val="00E855FB"/>
    <w:rsid w:val="00E90A8E"/>
    <w:rsid w:val="00E97FC6"/>
    <w:rsid w:val="00EB283B"/>
    <w:rsid w:val="00EB4F70"/>
    <w:rsid w:val="00EE587F"/>
    <w:rsid w:val="00EF38F8"/>
    <w:rsid w:val="00F31AD7"/>
    <w:rsid w:val="00F324E2"/>
    <w:rsid w:val="00F351F9"/>
    <w:rsid w:val="00F54A76"/>
    <w:rsid w:val="00F603FF"/>
    <w:rsid w:val="00F650F0"/>
    <w:rsid w:val="00F70DC0"/>
    <w:rsid w:val="00F966AA"/>
    <w:rsid w:val="00FB38EC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5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1E4"/>
    <w:rPr>
      <w:sz w:val="18"/>
      <w:szCs w:val="18"/>
    </w:rPr>
  </w:style>
  <w:style w:type="character" w:styleId="a5">
    <w:name w:val="annotation reference"/>
    <w:basedOn w:val="a0"/>
    <w:semiHidden/>
    <w:unhideWhenUsed/>
    <w:rsid w:val="00F650F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650F0"/>
  </w:style>
  <w:style w:type="character" w:customStyle="1" w:styleId="Char1">
    <w:name w:val="批注文字 Char"/>
    <w:basedOn w:val="a0"/>
    <w:link w:val="a6"/>
    <w:semiHidden/>
    <w:rsid w:val="00F650F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F650F0"/>
    <w:rPr>
      <w:b/>
      <w:bCs/>
    </w:rPr>
  </w:style>
  <w:style w:type="character" w:customStyle="1" w:styleId="Char2">
    <w:name w:val="批注主题 Char"/>
    <w:basedOn w:val="Char1"/>
    <w:link w:val="a7"/>
    <w:semiHidden/>
    <w:rsid w:val="00F650F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F650F0"/>
    <w:rPr>
      <w:sz w:val="18"/>
      <w:szCs w:val="18"/>
    </w:rPr>
  </w:style>
  <w:style w:type="character" w:customStyle="1" w:styleId="Char3">
    <w:name w:val="批注框文本 Char"/>
    <w:basedOn w:val="a0"/>
    <w:link w:val="a8"/>
    <w:rsid w:val="00F650F0"/>
    <w:rPr>
      <w:sz w:val="18"/>
      <w:szCs w:val="18"/>
    </w:rPr>
  </w:style>
  <w:style w:type="table" w:styleId="a9">
    <w:name w:val="Table Grid"/>
    <w:basedOn w:val="a1"/>
    <w:qFormat/>
    <w:rsid w:val="00B6370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1E4"/>
    <w:rPr>
      <w:sz w:val="18"/>
      <w:szCs w:val="18"/>
    </w:rPr>
  </w:style>
  <w:style w:type="character" w:styleId="a5">
    <w:name w:val="annotation reference"/>
    <w:basedOn w:val="a0"/>
    <w:semiHidden/>
    <w:unhideWhenUsed/>
    <w:rsid w:val="00F650F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F650F0"/>
  </w:style>
  <w:style w:type="character" w:customStyle="1" w:styleId="Char1">
    <w:name w:val="批注文字 Char"/>
    <w:basedOn w:val="a0"/>
    <w:link w:val="a6"/>
    <w:semiHidden/>
    <w:rsid w:val="00F650F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F650F0"/>
    <w:rPr>
      <w:b/>
      <w:bCs/>
    </w:rPr>
  </w:style>
  <w:style w:type="character" w:customStyle="1" w:styleId="Char2">
    <w:name w:val="批注主题 Char"/>
    <w:basedOn w:val="Char1"/>
    <w:link w:val="a7"/>
    <w:semiHidden/>
    <w:rsid w:val="00F650F0"/>
    <w:rPr>
      <w:b/>
      <w:bCs/>
      <w:sz w:val="24"/>
      <w:szCs w:val="24"/>
    </w:rPr>
  </w:style>
  <w:style w:type="paragraph" w:styleId="a8">
    <w:name w:val="Balloon Text"/>
    <w:basedOn w:val="a"/>
    <w:link w:val="Char3"/>
    <w:rsid w:val="00F650F0"/>
    <w:rPr>
      <w:sz w:val="18"/>
      <w:szCs w:val="18"/>
    </w:rPr>
  </w:style>
  <w:style w:type="character" w:customStyle="1" w:styleId="Char3">
    <w:name w:val="批注框文本 Char"/>
    <w:basedOn w:val="a0"/>
    <w:link w:val="a8"/>
    <w:rsid w:val="00F650F0"/>
    <w:rPr>
      <w:sz w:val="18"/>
      <w:szCs w:val="18"/>
    </w:rPr>
  </w:style>
  <w:style w:type="table" w:styleId="a9">
    <w:name w:val="Table Grid"/>
    <w:basedOn w:val="a1"/>
    <w:qFormat/>
    <w:rsid w:val="00B6370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nyi.so.com/?src=one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8F26-5A8A-461B-99C1-CA30FA1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30</cp:revision>
  <dcterms:created xsi:type="dcterms:W3CDTF">2020-11-02T22:43:00Z</dcterms:created>
  <dcterms:modified xsi:type="dcterms:W3CDTF">2020-12-15T07:10:00Z</dcterms:modified>
</cp:coreProperties>
</file>