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61CF9" w14:textId="6AC5F8F8" w:rsidR="00A77B3E" w:rsidRPr="000B0484" w:rsidRDefault="007546E9" w:rsidP="00237A77">
      <w:pPr>
        <w:spacing w:line="360" w:lineRule="auto"/>
        <w:jc w:val="both"/>
        <w:rPr>
          <w:color w:val="000000" w:themeColor="text1"/>
        </w:rPr>
      </w:pPr>
      <w:r w:rsidRPr="000B0484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3516E8" w:rsidRPr="000B048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3516E8" w:rsidRPr="000B048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3516E8" w:rsidRPr="000B048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3516E8" w:rsidRPr="000B0484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3516E8" w:rsidRPr="000B0484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3516E8" w:rsidRPr="000B0484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3516E8" w:rsidRPr="000B0484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i/>
          <w:color w:val="000000" w:themeColor="text1"/>
        </w:rPr>
        <w:t>Cases</w:t>
      </w:r>
    </w:p>
    <w:p w14:paraId="76426368" w14:textId="34D7796B" w:rsidR="00A77B3E" w:rsidRPr="000B0484" w:rsidRDefault="007546E9" w:rsidP="00237A77">
      <w:pPr>
        <w:spacing w:line="360" w:lineRule="auto"/>
        <w:jc w:val="both"/>
        <w:rPr>
          <w:color w:val="000000" w:themeColor="text1"/>
        </w:rPr>
      </w:pPr>
      <w:r w:rsidRPr="000B0484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3516E8" w:rsidRPr="000B048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3516E8" w:rsidRPr="000B048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59702</w:t>
      </w:r>
    </w:p>
    <w:p w14:paraId="6BEC7CA6" w14:textId="61B4DF78" w:rsidR="00A77B3E" w:rsidRPr="000B0484" w:rsidRDefault="007546E9" w:rsidP="00237A77">
      <w:pPr>
        <w:spacing w:line="360" w:lineRule="auto"/>
        <w:jc w:val="both"/>
        <w:rPr>
          <w:color w:val="000000" w:themeColor="text1"/>
        </w:rPr>
      </w:pPr>
      <w:r w:rsidRPr="000B0484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3516E8" w:rsidRPr="000B048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3516E8" w:rsidRPr="000B048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ORIGINAL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ARTICLE</w:t>
      </w:r>
    </w:p>
    <w:p w14:paraId="6A76CD7C" w14:textId="77777777" w:rsidR="00A77B3E" w:rsidRPr="000B0484" w:rsidRDefault="00A77B3E" w:rsidP="00237A77">
      <w:pPr>
        <w:spacing w:line="360" w:lineRule="auto"/>
        <w:jc w:val="both"/>
        <w:rPr>
          <w:color w:val="000000" w:themeColor="text1"/>
        </w:rPr>
      </w:pPr>
    </w:p>
    <w:p w14:paraId="6AB5FE83" w14:textId="2BFEF031" w:rsidR="00A77B3E" w:rsidRPr="000B0484" w:rsidRDefault="007546E9" w:rsidP="00237A77">
      <w:pPr>
        <w:spacing w:line="360" w:lineRule="auto"/>
        <w:jc w:val="both"/>
        <w:rPr>
          <w:color w:val="000000" w:themeColor="text1"/>
        </w:rPr>
      </w:pPr>
      <w:r w:rsidRPr="000B0484">
        <w:rPr>
          <w:rFonts w:ascii="Book Antiqua" w:eastAsia="Book Antiqua" w:hAnsi="Book Antiqua" w:cs="Book Antiqua"/>
          <w:b/>
          <w:i/>
          <w:color w:val="000000" w:themeColor="text1"/>
        </w:rPr>
        <w:t>Observational</w:t>
      </w:r>
      <w:r w:rsidR="003516E8" w:rsidRPr="000B0484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62F1DA14" w14:textId="1A15E69F" w:rsidR="00A77B3E" w:rsidRPr="000B0484" w:rsidRDefault="007546E9" w:rsidP="00237A77">
      <w:pPr>
        <w:spacing w:line="360" w:lineRule="auto"/>
        <w:jc w:val="both"/>
        <w:rPr>
          <w:color w:val="000000" w:themeColor="text1"/>
        </w:rPr>
      </w:pP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Early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renal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injury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indicators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can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help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evaluate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renal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injury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patients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0" w:name="_Hlk54170850"/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chronic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hepatitis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End w:id="0"/>
      <w:r w:rsidR="008A49DF" w:rsidRPr="000B0484">
        <w:rPr>
          <w:rFonts w:ascii="Book Antiqua" w:eastAsia="Book Antiqua" w:hAnsi="Book Antiqua" w:cs="Book Antiqua"/>
          <w:b/>
          <w:bCs/>
          <w:color w:val="000000" w:themeColor="text1"/>
        </w:rPr>
        <w:t>B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long-term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nucleos(t)ide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20297" w:rsidRPr="000B0484">
        <w:rPr>
          <w:rFonts w:ascii="Book Antiqua" w:eastAsia="Book Antiqua" w:hAnsi="Book Antiqua" w:cs="Book Antiqua"/>
          <w:b/>
          <w:bCs/>
          <w:color w:val="000000" w:themeColor="text1"/>
        </w:rPr>
        <w:t>therapy</w:t>
      </w:r>
    </w:p>
    <w:p w14:paraId="73482015" w14:textId="77777777" w:rsidR="00A77B3E" w:rsidRPr="000B0484" w:rsidRDefault="00A77B3E" w:rsidP="00237A77">
      <w:pPr>
        <w:spacing w:line="360" w:lineRule="auto"/>
        <w:jc w:val="both"/>
        <w:rPr>
          <w:color w:val="000000" w:themeColor="text1"/>
        </w:rPr>
      </w:pPr>
    </w:p>
    <w:p w14:paraId="3103B845" w14:textId="682BFF64" w:rsidR="00A77B3E" w:rsidRPr="000B0484" w:rsidRDefault="00E97FC6" w:rsidP="00237A77">
      <w:pPr>
        <w:spacing w:line="360" w:lineRule="auto"/>
        <w:jc w:val="both"/>
        <w:rPr>
          <w:color w:val="000000" w:themeColor="text1"/>
        </w:rPr>
      </w:pPr>
      <w:r w:rsidRPr="000B0484">
        <w:rPr>
          <w:rFonts w:ascii="Book Antiqua" w:eastAsia="Book Antiqua" w:hAnsi="Book Antiqua" w:cs="Book Antiqua"/>
          <w:color w:val="000000" w:themeColor="text1"/>
        </w:rPr>
        <w:t>Ji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TT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516E8" w:rsidRPr="000B048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0B0484">
        <w:rPr>
          <w:rFonts w:ascii="Book Antiqua" w:eastAsia="Book Antiqua" w:hAnsi="Book Antiqua" w:cs="Book Antiqua"/>
          <w:color w:val="000000" w:themeColor="text1"/>
        </w:rPr>
        <w:t>.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46E9" w:rsidRPr="000B0484">
        <w:rPr>
          <w:rFonts w:ascii="Book Antiqua" w:eastAsia="Book Antiqua" w:hAnsi="Book Antiqua" w:cs="Book Antiqua"/>
          <w:color w:val="000000" w:themeColor="text1"/>
        </w:rPr>
        <w:t>Evaluating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A49DF" w:rsidRPr="000B0484">
        <w:rPr>
          <w:rFonts w:ascii="Book Antiqua" w:eastAsia="Book Antiqua" w:hAnsi="Book Antiqua" w:cs="Book Antiqua"/>
          <w:color w:val="000000" w:themeColor="text1"/>
        </w:rPr>
        <w:t>renal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A49DF" w:rsidRPr="000B0484">
        <w:rPr>
          <w:rFonts w:ascii="Book Antiqua" w:eastAsia="Book Antiqua" w:hAnsi="Book Antiqua" w:cs="Book Antiqua"/>
          <w:color w:val="000000" w:themeColor="text1"/>
        </w:rPr>
        <w:t>injury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546E9" w:rsidRPr="000B0484">
        <w:rPr>
          <w:rFonts w:ascii="Book Antiqua" w:eastAsia="Book Antiqua" w:hAnsi="Book Antiqua" w:cs="Book Antiqua"/>
          <w:color w:val="000000" w:themeColor="text1"/>
        </w:rPr>
        <w:t>in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A49DF" w:rsidRPr="000B0484">
        <w:rPr>
          <w:rFonts w:ascii="Book Antiqua" w:eastAsia="Book Antiqua" w:hAnsi="Book Antiqua" w:cs="Book Antiqua"/>
          <w:color w:val="000000" w:themeColor="text1"/>
        </w:rPr>
        <w:t>chronic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A49DF" w:rsidRPr="000B0484">
        <w:rPr>
          <w:rFonts w:ascii="Book Antiqua" w:eastAsia="Book Antiqua" w:hAnsi="Book Antiqua" w:cs="Book Antiqua"/>
          <w:color w:val="000000" w:themeColor="text1"/>
        </w:rPr>
        <w:t>hepatitis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A49DF" w:rsidRPr="000B0484">
        <w:rPr>
          <w:rFonts w:ascii="Book Antiqua" w:eastAsia="Book Antiqua" w:hAnsi="Book Antiqua" w:cs="Book Antiqua"/>
          <w:color w:val="000000" w:themeColor="text1"/>
        </w:rPr>
        <w:t>B</w:t>
      </w:r>
      <w:r w:rsidR="003516E8" w:rsidRPr="000B0484">
        <w:rPr>
          <w:color w:val="000000" w:themeColor="text1"/>
        </w:rPr>
        <w:t xml:space="preserve"> </w:t>
      </w:r>
      <w:r w:rsidR="008A49DF" w:rsidRPr="000B0484">
        <w:rPr>
          <w:color w:val="000000" w:themeColor="text1"/>
        </w:rPr>
        <w:t>p</w:t>
      </w:r>
      <w:r w:rsidR="007546E9" w:rsidRPr="000B0484">
        <w:rPr>
          <w:rFonts w:ascii="Book Antiqua" w:eastAsia="Book Antiqua" w:hAnsi="Book Antiqua" w:cs="Book Antiqua"/>
          <w:color w:val="000000" w:themeColor="text1"/>
        </w:rPr>
        <w:t>atients</w:t>
      </w:r>
    </w:p>
    <w:p w14:paraId="76C1059B" w14:textId="77777777" w:rsidR="00A77B3E" w:rsidRPr="000B0484" w:rsidRDefault="00A77B3E" w:rsidP="00237A77">
      <w:pPr>
        <w:spacing w:line="360" w:lineRule="auto"/>
        <w:jc w:val="both"/>
        <w:rPr>
          <w:color w:val="000000" w:themeColor="text1"/>
        </w:rPr>
      </w:pPr>
    </w:p>
    <w:p w14:paraId="660103A4" w14:textId="456BF9E7" w:rsidR="00A77B3E" w:rsidRPr="000B0484" w:rsidRDefault="007546E9" w:rsidP="00237A77">
      <w:pPr>
        <w:spacing w:line="360" w:lineRule="auto"/>
        <w:jc w:val="both"/>
        <w:rPr>
          <w:color w:val="000000" w:themeColor="text1"/>
        </w:rPr>
      </w:pPr>
      <w:r w:rsidRPr="000B0484">
        <w:rPr>
          <w:rFonts w:ascii="Book Antiqua" w:eastAsia="Book Antiqua" w:hAnsi="Book Antiqua" w:cs="Book Antiqua"/>
          <w:color w:val="000000" w:themeColor="text1"/>
        </w:rPr>
        <w:t>Tong</w:t>
      </w:r>
      <w:r w:rsidR="00F966AA" w:rsidRPr="000B0484">
        <w:rPr>
          <w:rFonts w:ascii="Book Antiqua" w:eastAsia="Book Antiqua" w:hAnsi="Book Antiqua" w:cs="Book Antiqua"/>
          <w:color w:val="000000" w:themeColor="text1"/>
        </w:rPr>
        <w:t>-T</w:t>
      </w:r>
      <w:r w:rsidRPr="000B0484">
        <w:rPr>
          <w:rFonts w:ascii="Book Antiqua" w:eastAsia="Book Antiqua" w:hAnsi="Book Antiqua" w:cs="Book Antiqua"/>
          <w:color w:val="000000" w:themeColor="text1"/>
        </w:rPr>
        <w:t>ong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Ji,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Ning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Tan,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Hai</w:t>
      </w:r>
      <w:r w:rsidR="00F966AA" w:rsidRPr="000B0484">
        <w:rPr>
          <w:rFonts w:ascii="Book Antiqua" w:eastAsia="Book Antiqua" w:hAnsi="Book Antiqua" w:cs="Book Antiqua"/>
          <w:color w:val="000000" w:themeColor="text1"/>
        </w:rPr>
        <w:t>-Y</w:t>
      </w:r>
      <w:r w:rsidRPr="000B0484">
        <w:rPr>
          <w:rFonts w:ascii="Book Antiqua" w:eastAsia="Book Antiqua" w:hAnsi="Book Antiqua" w:cs="Book Antiqua"/>
          <w:color w:val="000000" w:themeColor="text1"/>
        </w:rPr>
        <w:t>ing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Lu,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Xiao</w:t>
      </w:r>
      <w:r w:rsidR="00F966AA" w:rsidRPr="000B0484">
        <w:rPr>
          <w:rFonts w:ascii="Book Antiqua" w:eastAsia="Book Antiqua" w:hAnsi="Book Antiqua" w:cs="Book Antiqua"/>
          <w:color w:val="000000" w:themeColor="text1"/>
        </w:rPr>
        <w:t>-Y</w:t>
      </w:r>
      <w:r w:rsidRPr="000B0484">
        <w:rPr>
          <w:rFonts w:ascii="Book Antiqua" w:eastAsia="Book Antiqua" w:hAnsi="Book Antiqua" w:cs="Book Antiqua"/>
          <w:color w:val="000000" w:themeColor="text1"/>
        </w:rPr>
        <w:t>uan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Xu,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Yan</w:t>
      </w:r>
      <w:r w:rsidR="00F966AA" w:rsidRPr="000B0484">
        <w:rPr>
          <w:rFonts w:ascii="Book Antiqua" w:eastAsia="Book Antiqua" w:hAnsi="Book Antiqua" w:cs="Book Antiqua"/>
          <w:color w:val="000000" w:themeColor="text1"/>
        </w:rPr>
        <w:t>-Y</w:t>
      </w:r>
      <w:r w:rsidRPr="000B0484">
        <w:rPr>
          <w:rFonts w:ascii="Book Antiqua" w:eastAsia="Book Antiqua" w:hAnsi="Book Antiqua" w:cs="Book Antiqua"/>
          <w:color w:val="000000" w:themeColor="text1"/>
        </w:rPr>
        <w:t>an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Yu</w:t>
      </w:r>
    </w:p>
    <w:p w14:paraId="4FF59FFD" w14:textId="77777777" w:rsidR="00A77B3E" w:rsidRPr="000B0484" w:rsidRDefault="00A77B3E" w:rsidP="00237A77">
      <w:pPr>
        <w:spacing w:line="360" w:lineRule="auto"/>
        <w:jc w:val="both"/>
        <w:rPr>
          <w:color w:val="000000" w:themeColor="text1"/>
        </w:rPr>
      </w:pPr>
    </w:p>
    <w:p w14:paraId="1D079EF4" w14:textId="1B5EFA59" w:rsidR="00A77B3E" w:rsidRPr="000B0484" w:rsidRDefault="007546E9" w:rsidP="00237A77">
      <w:pPr>
        <w:spacing w:line="360" w:lineRule="auto"/>
        <w:jc w:val="both"/>
        <w:rPr>
          <w:color w:val="000000" w:themeColor="text1"/>
        </w:rPr>
      </w:pP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Tong</w:t>
      </w:r>
      <w:r w:rsidR="00F966AA" w:rsidRPr="000B0484">
        <w:rPr>
          <w:rFonts w:ascii="Book Antiqua" w:eastAsia="Book Antiqua" w:hAnsi="Book Antiqua" w:cs="Book Antiqua"/>
          <w:b/>
          <w:bCs/>
          <w:color w:val="000000" w:themeColor="text1"/>
        </w:rPr>
        <w:t>-T</w:t>
      </w: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ong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Ji,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Ning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Tan,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Hai</w:t>
      </w:r>
      <w:r w:rsidR="00F966AA" w:rsidRPr="000B0484">
        <w:rPr>
          <w:rFonts w:ascii="Book Antiqua" w:eastAsia="Book Antiqua" w:hAnsi="Book Antiqua" w:cs="Book Antiqua"/>
          <w:b/>
          <w:bCs/>
          <w:color w:val="000000" w:themeColor="text1"/>
        </w:rPr>
        <w:t>-Y</w:t>
      </w: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ing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Lu,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Xiao</w:t>
      </w:r>
      <w:r w:rsidR="00F966AA" w:rsidRPr="000B0484">
        <w:rPr>
          <w:rFonts w:ascii="Book Antiqua" w:eastAsia="Book Antiqua" w:hAnsi="Book Antiqua" w:cs="Book Antiqua"/>
          <w:b/>
          <w:bCs/>
          <w:color w:val="000000" w:themeColor="text1"/>
        </w:rPr>
        <w:t>-Y</w:t>
      </w: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uan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Xu,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Yan</w:t>
      </w:r>
      <w:r w:rsidR="00F966AA" w:rsidRPr="000B0484">
        <w:rPr>
          <w:rFonts w:ascii="Book Antiqua" w:eastAsia="Book Antiqua" w:hAnsi="Book Antiqua" w:cs="Book Antiqua"/>
          <w:b/>
          <w:bCs/>
          <w:color w:val="000000" w:themeColor="text1"/>
        </w:rPr>
        <w:t>-Y</w:t>
      </w: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an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Yu,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Department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of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Infectious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Diseases,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Peking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University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First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Hospital,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Beijing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100034,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China</w:t>
      </w:r>
    </w:p>
    <w:p w14:paraId="4869BBA6" w14:textId="77777777" w:rsidR="00A77B3E" w:rsidRPr="000B0484" w:rsidRDefault="00A77B3E" w:rsidP="00237A77">
      <w:pPr>
        <w:spacing w:line="360" w:lineRule="auto"/>
        <w:jc w:val="both"/>
        <w:rPr>
          <w:color w:val="000000" w:themeColor="text1"/>
        </w:rPr>
      </w:pPr>
    </w:p>
    <w:p w14:paraId="1B50B450" w14:textId="08C5248D" w:rsidR="00A77B3E" w:rsidRPr="000B0484" w:rsidRDefault="007546E9" w:rsidP="00237A77">
      <w:pPr>
        <w:spacing w:line="360" w:lineRule="auto"/>
        <w:jc w:val="both"/>
        <w:rPr>
          <w:color w:val="000000" w:themeColor="text1"/>
        </w:rPr>
      </w:pP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Ji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TT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acquired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the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data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and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wrote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the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2251C" w:rsidRPr="000B0484">
        <w:rPr>
          <w:rFonts w:ascii="Book Antiqua" w:eastAsia="Book Antiqua" w:hAnsi="Book Antiqua" w:cs="Book Antiqua"/>
          <w:color w:val="000000" w:themeColor="text1"/>
        </w:rPr>
        <w:t>manuscript</w:t>
      </w:r>
      <w:r w:rsidRPr="000B0484">
        <w:rPr>
          <w:rFonts w:ascii="Book Antiqua" w:eastAsia="Book Antiqua" w:hAnsi="Book Antiqua" w:cs="Book Antiqua"/>
          <w:color w:val="000000" w:themeColor="text1"/>
        </w:rPr>
        <w:t>;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Tan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N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analyzed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the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data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and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wrote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the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2251C" w:rsidRPr="000B0484">
        <w:rPr>
          <w:rFonts w:ascii="Book Antiqua" w:eastAsia="Book Antiqua" w:hAnsi="Book Antiqua" w:cs="Book Antiqua"/>
          <w:color w:val="000000" w:themeColor="text1"/>
        </w:rPr>
        <w:t>manuscript</w:t>
      </w:r>
      <w:r w:rsidRPr="000B0484">
        <w:rPr>
          <w:rFonts w:ascii="Book Antiqua" w:eastAsia="Book Antiqua" w:hAnsi="Book Antiqua" w:cs="Book Antiqua"/>
          <w:color w:val="000000" w:themeColor="text1"/>
        </w:rPr>
        <w:t>;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Lu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HY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designed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the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research</w:t>
      </w:r>
      <w:r w:rsidR="00DF5CF1" w:rsidRPr="000B0484"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reviewed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and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approved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the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final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2251C" w:rsidRPr="000B0484">
        <w:rPr>
          <w:rFonts w:ascii="Book Antiqua" w:eastAsia="Book Antiqua" w:hAnsi="Book Antiqua" w:cs="Book Antiqua"/>
          <w:color w:val="000000" w:themeColor="text1"/>
        </w:rPr>
        <w:t>manuscript</w:t>
      </w:r>
      <w:r w:rsidRPr="000B0484">
        <w:rPr>
          <w:rFonts w:ascii="Book Antiqua" w:eastAsia="Book Antiqua" w:hAnsi="Book Antiqua" w:cs="Book Antiqua"/>
          <w:color w:val="000000" w:themeColor="text1"/>
        </w:rPr>
        <w:t>;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Xu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XY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and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Yu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YY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instructed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the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research.</w:t>
      </w:r>
    </w:p>
    <w:p w14:paraId="02220ED9" w14:textId="77777777" w:rsidR="00A77B3E" w:rsidRPr="000B0484" w:rsidRDefault="00A77B3E" w:rsidP="00237A77">
      <w:pPr>
        <w:spacing w:line="360" w:lineRule="auto"/>
        <w:jc w:val="both"/>
        <w:rPr>
          <w:color w:val="000000" w:themeColor="text1"/>
        </w:rPr>
      </w:pPr>
    </w:p>
    <w:p w14:paraId="6FA04DA1" w14:textId="55D01924" w:rsidR="00A77B3E" w:rsidRPr="00237A77" w:rsidRDefault="007546E9" w:rsidP="00237A77">
      <w:pPr>
        <w:spacing w:line="360" w:lineRule="auto"/>
        <w:jc w:val="both"/>
        <w:rPr>
          <w:rFonts w:ascii="Book Antiqua" w:hAnsi="Book Antiqua"/>
          <w:lang w:eastAsia="zh-CN"/>
        </w:rPr>
      </w:pP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Supported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3516E8" w:rsidRPr="000B048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the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National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12</w:t>
      </w:r>
      <w:r w:rsidRPr="000B0484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Five-Year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Plan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for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Science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and</w:t>
      </w:r>
      <w:r w:rsidR="003516E8" w:rsidRPr="000B048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B0484">
        <w:rPr>
          <w:rFonts w:ascii="Book Antiqua" w:eastAsia="Book Antiqua" w:hAnsi="Book Antiqua" w:cs="Book Antiqua"/>
          <w:color w:val="000000" w:themeColor="text1"/>
        </w:rPr>
        <w:t>Technology</w:t>
      </w:r>
      <w:r w:rsidR="00F966AA" w:rsidRPr="000B0484">
        <w:rPr>
          <w:rFonts w:ascii="Book Antiqua" w:eastAsia="宋体" w:hAnsi="Book Antiqua" w:cs="宋体"/>
          <w:color w:val="000000" w:themeColor="text1"/>
          <w:lang w:eastAsia="zh-CN"/>
        </w:rPr>
        <w:t>,</w:t>
      </w:r>
      <w:r w:rsidR="003516E8" w:rsidRPr="00237A77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F966AA" w:rsidRPr="00237A77">
        <w:rPr>
          <w:rFonts w:ascii="Book Antiqua" w:eastAsia="宋体" w:hAnsi="Book Antiqua" w:cs="宋体"/>
          <w:color w:val="000000"/>
          <w:lang w:eastAsia="zh-CN"/>
        </w:rPr>
        <w:t>No.</w:t>
      </w:r>
      <w:r w:rsidR="003516E8" w:rsidRPr="00237A77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2018ZX10725</w:t>
      </w:r>
      <w:r w:rsidR="00077771" w:rsidRPr="00237A77">
        <w:rPr>
          <w:rFonts w:ascii="Book Antiqua" w:eastAsia="Book Antiqua" w:hAnsi="Book Antiqua" w:cs="Book Antiqua"/>
          <w:color w:val="000000"/>
        </w:rPr>
        <w:t>-</w:t>
      </w:r>
      <w:r w:rsidRPr="00237A77">
        <w:rPr>
          <w:rFonts w:ascii="Book Antiqua" w:eastAsia="Book Antiqua" w:hAnsi="Book Antiqua" w:cs="Book Antiqua"/>
          <w:color w:val="000000"/>
        </w:rPr>
        <w:t>506</w:t>
      </w:r>
      <w:r w:rsidR="00F966AA" w:rsidRPr="00237A77">
        <w:rPr>
          <w:rFonts w:ascii="Book Antiqua" w:eastAsia="Book Antiqua" w:hAnsi="Book Antiqua" w:cs="Book Antiqua"/>
          <w:color w:val="000000"/>
        </w:rPr>
        <w:t>.</w:t>
      </w:r>
    </w:p>
    <w:p w14:paraId="73CF1F89" w14:textId="77777777" w:rsidR="00A77B3E" w:rsidRPr="00237A77" w:rsidRDefault="00A77B3E" w:rsidP="00237A77">
      <w:pPr>
        <w:spacing w:line="360" w:lineRule="auto"/>
        <w:jc w:val="both"/>
        <w:rPr>
          <w:rFonts w:ascii="Book Antiqua" w:hAnsi="Book Antiqua"/>
        </w:rPr>
      </w:pPr>
    </w:p>
    <w:p w14:paraId="6BF9B9E3" w14:textId="423E737B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Hai</w:t>
      </w:r>
      <w:r w:rsidR="002866C8" w:rsidRPr="00237A77">
        <w:rPr>
          <w:rFonts w:ascii="Book Antiqua" w:eastAsia="Book Antiqua" w:hAnsi="Book Antiqua" w:cs="Book Antiqua"/>
          <w:b/>
          <w:bCs/>
          <w:color w:val="000000"/>
        </w:rPr>
        <w:t>-Y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ing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Lu,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C043E" w:rsidRPr="00237A77">
        <w:rPr>
          <w:rFonts w:ascii="Book Antiqua" w:eastAsia="Book Antiqua" w:hAnsi="Book Antiqua" w:cs="Book Antiqua"/>
          <w:b/>
          <w:bCs/>
          <w:color w:val="000000"/>
        </w:rPr>
        <w:t>PhD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Department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Infectious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Diseases,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Peking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University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First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Hospital,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8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Xishiku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Road,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866C8" w:rsidRPr="00237A77">
        <w:rPr>
          <w:rFonts w:ascii="Book Antiqua" w:eastAsia="Book Antiqua" w:hAnsi="Book Antiqua" w:cs="Book Antiqua"/>
          <w:color w:val="000000"/>
        </w:rPr>
        <w:t>Xicheng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866C8" w:rsidRPr="00237A77">
        <w:rPr>
          <w:rFonts w:ascii="Book Antiqua" w:eastAsia="Book Antiqua" w:hAnsi="Book Antiqua" w:cs="Book Antiqua"/>
          <w:color w:val="000000"/>
        </w:rPr>
        <w:t>District,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Beijing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100034,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China.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luhaiying00@126.com</w:t>
      </w:r>
    </w:p>
    <w:p w14:paraId="665D21B0" w14:textId="77777777" w:rsidR="00A77B3E" w:rsidRPr="00237A77" w:rsidRDefault="00A77B3E" w:rsidP="00237A77">
      <w:pPr>
        <w:spacing w:line="360" w:lineRule="auto"/>
        <w:jc w:val="both"/>
      </w:pPr>
    </w:p>
    <w:p w14:paraId="1DE25041" w14:textId="16AB5A1B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September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23,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2020</w:t>
      </w:r>
    </w:p>
    <w:p w14:paraId="0E2D95FF" w14:textId="29AA234A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15A6C" w:rsidRPr="00237A77">
        <w:rPr>
          <w:rFonts w:ascii="Book Antiqua" w:eastAsia="Book Antiqua" w:hAnsi="Book Antiqua" w:cs="Book Antiqua"/>
          <w:color w:val="000000"/>
        </w:rPr>
        <w:t>October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15A6C" w:rsidRPr="00237A77">
        <w:rPr>
          <w:rFonts w:ascii="Book Antiqua" w:eastAsia="Book Antiqua" w:hAnsi="Book Antiqua" w:cs="Book Antiqua"/>
          <w:color w:val="000000"/>
        </w:rPr>
        <w:t>6,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15A6C" w:rsidRPr="00237A77">
        <w:rPr>
          <w:rFonts w:ascii="Book Antiqua" w:eastAsia="Book Antiqua" w:hAnsi="Book Antiqua" w:cs="Book Antiqua"/>
          <w:color w:val="000000"/>
        </w:rPr>
        <w:t>2020</w:t>
      </w:r>
    </w:p>
    <w:p w14:paraId="05E01CF3" w14:textId="10AD57F4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D4EBE" w:rsidRPr="00237A77">
        <w:rPr>
          <w:rFonts w:ascii="Book Antiqua" w:eastAsia="Book Antiqua" w:hAnsi="Book Antiqua" w:cs="Book Antiqua"/>
          <w:color w:val="000000"/>
        </w:rPr>
        <w:t>November 2, 2020</w:t>
      </w:r>
    </w:p>
    <w:p w14:paraId="01C34A6E" w14:textId="10ABF032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C0B219F" w14:textId="77777777" w:rsidR="00A77B3E" w:rsidRPr="00237A77" w:rsidRDefault="00A77B3E" w:rsidP="00237A77">
      <w:pPr>
        <w:spacing w:line="360" w:lineRule="auto"/>
        <w:jc w:val="both"/>
        <w:sectPr w:rsidR="00A77B3E" w:rsidRPr="00237A7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15AB6E" w14:textId="77777777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45E5D32" w14:textId="77777777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BACKGROUND</w:t>
      </w:r>
    </w:p>
    <w:p w14:paraId="132A36E3" w14:textId="30B6E9CC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chronic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hepatitis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6348ED" w:rsidRPr="00237A77">
        <w:rPr>
          <w:rFonts w:ascii="Book Antiqua" w:eastAsia="Book Antiqua" w:hAnsi="Book Antiqua" w:cs="Book Antiqua"/>
          <w:color w:val="000000"/>
        </w:rPr>
        <w:t>(CHB)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nucleos(t)ide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therapy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experience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insufficiency.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Traditional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such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protein,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urea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nitrogen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DF0813" w:rsidRPr="00237A77">
        <w:rPr>
          <w:rFonts w:ascii="Book Antiqua" w:eastAsia="Book Antiqua" w:hAnsi="Book Antiqua" w:cs="Book Antiqua"/>
          <w:color w:val="000000"/>
        </w:rPr>
        <w:t>(BUN)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lesions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occur.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Therefore,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more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sensitive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needed.</w:t>
      </w:r>
    </w:p>
    <w:p w14:paraId="55884F45" w14:textId="77777777" w:rsidR="00A77B3E" w:rsidRPr="00237A77" w:rsidRDefault="00A77B3E" w:rsidP="00237A77">
      <w:pPr>
        <w:spacing w:line="360" w:lineRule="auto"/>
        <w:jc w:val="both"/>
      </w:pPr>
    </w:p>
    <w:p w14:paraId="6955FBBB" w14:textId="77777777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AIM</w:t>
      </w:r>
    </w:p>
    <w:p w14:paraId="22A723D4" w14:textId="272DF35D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investigate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evaluating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6348ED"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nucleos(t)ide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therapy.</w:t>
      </w:r>
    </w:p>
    <w:p w14:paraId="01164F44" w14:textId="77777777" w:rsidR="00A77B3E" w:rsidRPr="00237A77" w:rsidRDefault="00A77B3E" w:rsidP="00237A77">
      <w:pPr>
        <w:spacing w:line="360" w:lineRule="auto"/>
        <w:jc w:val="both"/>
      </w:pPr>
    </w:p>
    <w:p w14:paraId="4FEB8F9C" w14:textId="13A7453C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METHODS</w:t>
      </w:r>
      <w:r w:rsidR="00C276AC" w:rsidRPr="00237A77">
        <w:rPr>
          <w:rFonts w:ascii="Book Antiqua" w:eastAsia="Book Antiqua" w:hAnsi="Book Antiqua" w:cs="Book Antiqua"/>
          <w:color w:val="000000"/>
        </w:rPr>
        <w:t xml:space="preserve"> </w:t>
      </w:r>
    </w:p>
    <w:p w14:paraId="1AF13E73" w14:textId="1BF9794E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We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collected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clinical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outpatients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6348ED"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Peking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University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First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Hospital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from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March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2018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January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2020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nucleos(t)ide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therapy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results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Continuous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distribution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237A77">
        <w:rPr>
          <w:rFonts w:ascii="Book Antiqua" w:eastAsia="Book Antiqua" w:hAnsi="Book Antiqua" w:cs="Book Antiqua"/>
          <w:color w:val="000000"/>
        </w:rPr>
        <w:t>-test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determine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between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two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Continuous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non</w:t>
      </w:r>
      <w:r w:rsidR="00DF5CF1" w:rsidRPr="00237A77">
        <w:rPr>
          <w:rFonts w:ascii="Book Antiqua" w:eastAsia="Book Antiqua" w:hAnsi="Book Antiqua" w:cs="Book Antiqua"/>
          <w:color w:val="000000"/>
        </w:rPr>
        <w:t>-</w:t>
      </w:r>
      <w:r w:rsidRPr="00237A77">
        <w:rPr>
          <w:rFonts w:ascii="Book Antiqua" w:eastAsia="Book Antiqua" w:hAnsi="Book Antiqua" w:cs="Book Antiqua"/>
          <w:color w:val="000000"/>
        </w:rPr>
        <w:t>normally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distributed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Mann-Whitney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U-test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between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two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Kruskal-Wallis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test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determine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among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multiple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Enumeration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chi-square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test.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related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factors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logistic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regression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analysis.</w:t>
      </w:r>
    </w:p>
    <w:p w14:paraId="33F57A80" w14:textId="77777777" w:rsidR="00A77B3E" w:rsidRPr="00237A77" w:rsidRDefault="00A77B3E" w:rsidP="00237A77">
      <w:pPr>
        <w:spacing w:line="360" w:lineRule="auto"/>
        <w:jc w:val="both"/>
      </w:pPr>
    </w:p>
    <w:p w14:paraId="6B69473B" w14:textId="77777777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RESULTS</w:t>
      </w:r>
    </w:p>
    <w:p w14:paraId="40DE8E41" w14:textId="78563400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average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duration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C6D7A" w:rsidRPr="00237A77">
        <w:rPr>
          <w:rFonts w:ascii="Book Antiqua" w:eastAsia="Book Antiqua" w:hAnsi="Book Antiqua" w:cs="Book Antiqua"/>
          <w:color w:val="000000"/>
        </w:rPr>
        <w:t>nucleos</w:t>
      </w:r>
      <w:proofErr w:type="spellEnd"/>
      <w:r w:rsidR="00FC6D7A" w:rsidRPr="00237A77">
        <w:rPr>
          <w:rFonts w:ascii="Book Antiqua" w:eastAsia="Book Antiqua" w:hAnsi="Book Antiqua" w:cs="Book Antiqua"/>
          <w:color w:val="000000"/>
        </w:rPr>
        <w:t>(t)ide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FC6D7A" w:rsidRPr="00237A77">
        <w:rPr>
          <w:rFonts w:ascii="Book Antiqua" w:eastAsia="Book Antiqua" w:hAnsi="Book Antiqua" w:cs="Book Antiqua"/>
          <w:color w:val="000000"/>
        </w:rPr>
        <w:t>analogs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99.7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±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28.7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mo.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cases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elevated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DF0813" w:rsidRPr="00237A77">
        <w:rPr>
          <w:rFonts w:ascii="Book Antiqua" w:eastAsia="Book Antiqua" w:hAnsi="Book Antiqua" w:cs="Book Antiqua"/>
          <w:color w:val="000000"/>
        </w:rPr>
        <w:t>BUN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hypophosphatemia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(8.7%)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13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(18.8%),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respectively;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31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(44.9%)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including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microalbumin,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7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immunoglobulin,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transferrin,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α1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microglobulin.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lastRenderedPageBreak/>
        <w:t>mean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age,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sex,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DF0813" w:rsidRPr="00237A77">
        <w:rPr>
          <w:rFonts w:ascii="Book Antiqua" w:eastAsia="Book Antiqua" w:hAnsi="Book Antiqua" w:cs="Book Antiqua"/>
          <w:color w:val="000000"/>
        </w:rPr>
        <w:t>BUN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estimated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glomerular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filtration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rate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(eGFR),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acid,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calcium,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phosphorus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between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two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without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However,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levels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094EF2" w:rsidRPr="00237A77">
        <w:rPr>
          <w:rFonts w:ascii="Book Antiqua" w:eastAsia="Book Antiqua" w:hAnsi="Book Antiqua" w:cs="Book Antiqua"/>
          <w:color w:val="000000"/>
        </w:rPr>
        <w:t>N-acetyl-β-D-glucosidase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enzyme,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α1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microglobulin</w:t>
      </w:r>
      <w:r w:rsidR="00DF5CF1"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immunoglobulin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former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higher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those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latter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</w:t>
      </w:r>
      <w:r w:rsidR="00077771"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&lt;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0.05).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incidence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eGFR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≥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90,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60-89</w:t>
      </w:r>
      <w:r w:rsidR="00562BCE"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30-59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mL</w:t>
      </w:r>
      <w:proofErr w:type="gramStart"/>
      <w:r w:rsidRPr="00237A77">
        <w:rPr>
          <w:rFonts w:ascii="Book Antiqua" w:eastAsia="Book Antiqua" w:hAnsi="Book Antiqua" w:cs="Book Antiqua"/>
          <w:color w:val="000000"/>
        </w:rPr>
        <w:t>/</w:t>
      </w:r>
      <w:r w:rsidR="00B94B8D" w:rsidRPr="00237A77">
        <w:rPr>
          <w:rFonts w:ascii="Book Antiqua" w:eastAsia="Book Antiqua" w:hAnsi="Book Antiqua" w:cs="Book Antiqua"/>
          <w:color w:val="000000"/>
        </w:rPr>
        <w:t>(</w:t>
      </w:r>
      <w:proofErr w:type="gramEnd"/>
      <w:r w:rsidRPr="00237A77">
        <w:rPr>
          <w:rFonts w:ascii="Book Antiqua" w:eastAsia="Book Antiqua" w:hAnsi="Book Antiqua" w:cs="Book Antiqua"/>
          <w:color w:val="000000"/>
        </w:rPr>
        <w:t>min</w:t>
      </w:r>
      <w:r w:rsidR="00B94B8D" w:rsidRPr="00237A77">
        <w:rPr>
          <w:rFonts w:ascii="Book Antiqua" w:eastAsia="Book Antiqua" w:hAnsi="Book Antiqua" w:cs="Book Antiqua"/>
          <w:color w:val="000000"/>
        </w:rPr>
        <w:t>·</w:t>
      </w:r>
      <w:r w:rsidRPr="00237A77">
        <w:rPr>
          <w:rFonts w:ascii="Book Antiqua" w:eastAsia="Book Antiqua" w:hAnsi="Book Antiqua" w:cs="Book Antiqua"/>
          <w:color w:val="000000"/>
        </w:rPr>
        <w:t>1.73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B94B8D" w:rsidRPr="00237A77">
        <w:rPr>
          <w:rFonts w:ascii="Book Antiqua" w:eastAsia="Book Antiqua" w:hAnsi="Book Antiqua" w:cs="Book Antiqua"/>
          <w:color w:val="000000"/>
        </w:rPr>
        <w:t>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36.4%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(8/22),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47.6%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(20/42),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60%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(3/5),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respectively.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Logistic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regression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analysis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results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showed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gamma-glutamyl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transpeptidase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[odds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ratio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(OR)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1.05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(1.008-1.093),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0.020],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direct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bilirubin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[OR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1.548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(1.111-2.159),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0.010],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[OR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1.079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(1.022-1.139),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0.006]</w:t>
      </w:r>
      <w:r w:rsidR="00562BCE"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[OR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0.981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(0.942-1.022),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0.357]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independent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predictors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injury.</w:t>
      </w:r>
    </w:p>
    <w:p w14:paraId="35043C24" w14:textId="77777777" w:rsidR="00A77B3E" w:rsidRPr="00237A77" w:rsidRDefault="00A77B3E" w:rsidP="00237A77">
      <w:pPr>
        <w:spacing w:line="360" w:lineRule="auto"/>
        <w:jc w:val="both"/>
      </w:pPr>
    </w:p>
    <w:p w14:paraId="7E83F376" w14:textId="77777777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CONCLUSION</w:t>
      </w:r>
    </w:p>
    <w:p w14:paraId="271FF386" w14:textId="4725C48E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F5CF1" w:rsidRPr="00237A77">
        <w:rPr>
          <w:rFonts w:ascii="Book Antiqua" w:eastAsia="Book Antiqua" w:hAnsi="Book Antiqua" w:cs="Book Antiqua"/>
          <w:color w:val="000000"/>
        </w:rPr>
        <w:t>nucleos</w:t>
      </w:r>
      <w:proofErr w:type="spellEnd"/>
      <w:r w:rsidR="00DF5CF1" w:rsidRPr="00237A77">
        <w:rPr>
          <w:rFonts w:ascii="Book Antiqua" w:eastAsia="Book Antiqua" w:hAnsi="Book Antiqua" w:cs="Book Antiqua"/>
          <w:color w:val="000000"/>
        </w:rPr>
        <w:t xml:space="preserve">(t)ide analog </w:t>
      </w:r>
      <w:r w:rsidRPr="00237A77">
        <w:rPr>
          <w:rFonts w:ascii="Book Antiqua" w:eastAsia="Book Antiqua" w:hAnsi="Book Antiqua" w:cs="Book Antiqua"/>
          <w:color w:val="000000"/>
        </w:rPr>
        <w:t>therapy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high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probability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highly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sensitive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could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monitor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impairment.</w:t>
      </w:r>
    </w:p>
    <w:p w14:paraId="0FCE26B0" w14:textId="77777777" w:rsidR="00A77B3E" w:rsidRPr="00237A77" w:rsidRDefault="00A77B3E" w:rsidP="00237A77">
      <w:pPr>
        <w:spacing w:line="360" w:lineRule="auto"/>
        <w:jc w:val="both"/>
      </w:pPr>
    </w:p>
    <w:p w14:paraId="72AEDA98" w14:textId="0DFB6D70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01169B" w:rsidRPr="00237A77">
        <w:rPr>
          <w:rFonts w:ascii="Book Antiqua" w:eastAsia="Book Antiqua" w:hAnsi="Book Antiqua" w:cs="Book Antiqua"/>
          <w:color w:val="000000"/>
        </w:rPr>
        <w:t>C</w:t>
      </w:r>
      <w:r w:rsidRPr="00237A77">
        <w:rPr>
          <w:rFonts w:ascii="Book Antiqua" w:eastAsia="Book Antiqua" w:hAnsi="Book Antiqua" w:cs="Book Antiqua"/>
          <w:color w:val="000000"/>
        </w:rPr>
        <w:t>hronic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hepatitis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_Hlk54171846"/>
      <w:r w:rsidR="0001169B" w:rsidRPr="00237A77">
        <w:rPr>
          <w:rFonts w:ascii="Book Antiqua" w:eastAsia="Book Antiqua" w:hAnsi="Book Antiqua" w:cs="Book Antiqua"/>
          <w:color w:val="000000"/>
        </w:rPr>
        <w:t>N</w:t>
      </w:r>
      <w:r w:rsidRPr="00237A77">
        <w:rPr>
          <w:rFonts w:ascii="Book Antiqua" w:eastAsia="Book Antiqua" w:hAnsi="Book Antiqua" w:cs="Book Antiqua"/>
          <w:color w:val="000000"/>
        </w:rPr>
        <w:t>ucleos(t)ide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analog</w:t>
      </w:r>
      <w:bookmarkEnd w:id="1"/>
      <w:r w:rsidRPr="00237A77">
        <w:rPr>
          <w:rFonts w:ascii="Book Antiqua" w:eastAsia="Book Antiqua" w:hAnsi="Book Antiqua" w:cs="Book Antiqua"/>
          <w:color w:val="000000"/>
        </w:rPr>
        <w:t>;</w:t>
      </w:r>
      <w:r w:rsidR="003516E8" w:rsidRPr="00237A7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749F9" w:rsidRPr="00237A77">
        <w:rPr>
          <w:rFonts w:ascii="Book Antiqua" w:eastAsia="Book Antiqua" w:hAnsi="Book Antiqua" w:cs="Book Antiqua"/>
          <w:color w:val="000000"/>
        </w:rPr>
        <w:t>N-acetyl-β-D-glucosidase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enzyme;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α1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microglobulin;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01169B" w:rsidRPr="00237A77">
        <w:rPr>
          <w:rFonts w:ascii="Book Antiqua" w:eastAsia="Book Antiqua" w:hAnsi="Book Antiqua" w:cs="Book Antiqua"/>
          <w:color w:val="000000"/>
        </w:rPr>
        <w:t>U</w:t>
      </w:r>
      <w:r w:rsidRPr="00237A77">
        <w:rPr>
          <w:rFonts w:ascii="Book Antiqua" w:eastAsia="Book Antiqua" w:hAnsi="Book Antiqua" w:cs="Book Antiqua"/>
          <w:color w:val="000000"/>
        </w:rPr>
        <w:t>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immunoglobulin</w:t>
      </w:r>
    </w:p>
    <w:p w14:paraId="3859694D" w14:textId="77777777" w:rsidR="002372BF" w:rsidRPr="00237A77" w:rsidRDefault="002372BF" w:rsidP="00237A77">
      <w:pPr>
        <w:spacing w:line="360" w:lineRule="auto"/>
        <w:jc w:val="both"/>
      </w:pPr>
    </w:p>
    <w:p w14:paraId="0A9D2721" w14:textId="487FEB28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Ji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</w:t>
      </w:r>
      <w:r w:rsidR="007D7875" w:rsidRPr="00237A77">
        <w:rPr>
          <w:rFonts w:ascii="Book Antiqua" w:eastAsia="Book Antiqua" w:hAnsi="Book Antiqua" w:cs="Book Antiqua"/>
          <w:color w:val="000000"/>
        </w:rPr>
        <w:t>T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Lu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</w:t>
      </w:r>
      <w:r w:rsidR="007D7875" w:rsidRPr="00237A77">
        <w:rPr>
          <w:rFonts w:ascii="Book Antiqua" w:eastAsia="Book Antiqua" w:hAnsi="Book Antiqua" w:cs="Book Antiqua"/>
          <w:color w:val="000000"/>
        </w:rPr>
        <w:t>Y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Xu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X</w:t>
      </w:r>
      <w:r w:rsidR="007D7875" w:rsidRPr="00237A77">
        <w:rPr>
          <w:rFonts w:ascii="Book Antiqua" w:eastAsia="Book Antiqua" w:hAnsi="Book Antiqua" w:cs="Book Antiqua"/>
          <w:color w:val="000000"/>
        </w:rPr>
        <w:t>Y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Yu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Y</w:t>
      </w:r>
      <w:r w:rsidR="007D7875" w:rsidRPr="00237A77">
        <w:rPr>
          <w:rFonts w:ascii="Book Antiqua" w:eastAsia="Book Antiqua" w:hAnsi="Book Antiqua" w:cs="Book Antiqua"/>
          <w:color w:val="000000"/>
        </w:rPr>
        <w:t>Y</w:t>
      </w:r>
      <w:r w:rsidRPr="00237A77">
        <w:rPr>
          <w:rFonts w:ascii="Book Antiqua" w:eastAsia="Book Antiqua" w:hAnsi="Book Antiqua" w:cs="Book Antiqua"/>
          <w:color w:val="000000"/>
        </w:rPr>
        <w:t>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can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help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evaluate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_Hlk54171830"/>
      <w:r w:rsidR="002372BF" w:rsidRPr="00237A77">
        <w:rPr>
          <w:rFonts w:ascii="Book Antiqua" w:eastAsia="Book Antiqua" w:hAnsi="Book Antiqua" w:cs="Book Antiqua"/>
          <w:color w:val="000000"/>
        </w:rPr>
        <w:t>chronic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hepatitis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B</w:t>
      </w:r>
      <w:bookmarkEnd w:id="2"/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nucleos(t)ide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therapy</w:t>
      </w:r>
      <w:r w:rsidRPr="00237A77">
        <w:rPr>
          <w:rFonts w:ascii="Book Antiqua" w:eastAsia="Book Antiqua" w:hAnsi="Book Antiqua" w:cs="Book Antiqua"/>
          <w:color w:val="000000"/>
        </w:rPr>
        <w:t>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516E8" w:rsidRPr="00237A7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J</w:t>
      </w:r>
      <w:r w:rsidR="003516E8" w:rsidRPr="00237A7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516E8" w:rsidRPr="00237A7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2020;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press</w:t>
      </w:r>
    </w:p>
    <w:p w14:paraId="49F2D017" w14:textId="77777777" w:rsidR="00A77B3E" w:rsidRPr="00237A77" w:rsidRDefault="00A77B3E" w:rsidP="00237A77">
      <w:pPr>
        <w:spacing w:line="360" w:lineRule="auto"/>
        <w:jc w:val="both"/>
      </w:pPr>
    </w:p>
    <w:p w14:paraId="0325D78E" w14:textId="651FF88C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higher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sensitivity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could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screen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chronic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hepatitis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nucleos(t)ide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2372BF" w:rsidRPr="00237A77">
        <w:rPr>
          <w:rFonts w:ascii="Book Antiqua" w:eastAsia="Book Antiqua" w:hAnsi="Book Antiqua" w:cs="Book Antiqua"/>
          <w:color w:val="000000"/>
        </w:rPr>
        <w:t>analog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therapy.</w:t>
      </w:r>
    </w:p>
    <w:p w14:paraId="5DCB03DA" w14:textId="77777777" w:rsidR="00A77B3E" w:rsidRPr="00237A77" w:rsidRDefault="00A77B3E" w:rsidP="00237A77">
      <w:pPr>
        <w:spacing w:line="360" w:lineRule="auto"/>
        <w:jc w:val="both"/>
      </w:pPr>
    </w:p>
    <w:p w14:paraId="7D3F4F77" w14:textId="77777777" w:rsidR="002372BF" w:rsidRPr="00237A77" w:rsidRDefault="002372BF" w:rsidP="00237A77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2372BF" w:rsidRPr="00237A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5FB4EA" w14:textId="0CE661B7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2AC4303" w14:textId="224F4AD1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Nucleos(t)ide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analogs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(NAs),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including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lamivudine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(LAM),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adefovir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dipivoxil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(ADV),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telbivudine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(LdT),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entecavir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(ETV)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[1,2]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tenofovir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disoproxil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fumarate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(TDF)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[3,4]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tenofovir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alafenamide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fumarate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(TAF)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[5-7]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important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antiviral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drugs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chronic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hepatitis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(CHB).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need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have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their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monitored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regularly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during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because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antiviral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therapy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cause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detect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lesions,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which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helpful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detection,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diagnosis</w:t>
      </w:r>
      <w:r w:rsidR="00562BCE"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dysfunction.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article,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retrospectively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clinical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received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therapy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outpatient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562BCE" w:rsidRPr="00237A77">
        <w:rPr>
          <w:rFonts w:ascii="Book Antiqua" w:eastAsia="Book Antiqua" w:hAnsi="Book Antiqua" w:cs="Book Antiqua"/>
          <w:color w:val="000000"/>
        </w:rPr>
        <w:t>D</w:t>
      </w:r>
      <w:r w:rsidRPr="00237A77">
        <w:rPr>
          <w:rFonts w:ascii="Book Antiqua" w:eastAsia="Book Antiqua" w:hAnsi="Book Antiqua" w:cs="Book Antiqua"/>
          <w:color w:val="000000"/>
        </w:rPr>
        <w:t>epartment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562BCE" w:rsidRPr="00237A77">
        <w:rPr>
          <w:rFonts w:ascii="Book Antiqua" w:eastAsia="Book Antiqua" w:hAnsi="Book Antiqua" w:cs="Book Antiqua"/>
          <w:color w:val="000000"/>
        </w:rPr>
        <w:t>L</w:t>
      </w:r>
      <w:r w:rsidRPr="00237A77">
        <w:rPr>
          <w:rFonts w:ascii="Book Antiqua" w:eastAsia="Book Antiqua" w:hAnsi="Book Antiqua" w:cs="Book Antiqua"/>
          <w:color w:val="000000"/>
        </w:rPr>
        <w:t>iver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562BCE" w:rsidRPr="00237A77">
        <w:rPr>
          <w:rFonts w:ascii="Book Antiqua" w:eastAsia="Book Antiqua" w:hAnsi="Book Antiqua" w:cs="Book Antiqua"/>
          <w:color w:val="000000"/>
        </w:rPr>
        <w:t>D</w:t>
      </w:r>
      <w:r w:rsidRPr="00237A77">
        <w:rPr>
          <w:rFonts w:ascii="Book Antiqua" w:eastAsia="Book Antiqua" w:hAnsi="Book Antiqua" w:cs="Book Antiqua"/>
          <w:color w:val="000000"/>
        </w:rPr>
        <w:t>isease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Peking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University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First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Hospital</w:t>
      </w:r>
      <w:r w:rsidR="00562BCE" w:rsidRPr="00237A77">
        <w:rPr>
          <w:rFonts w:ascii="Book Antiqua" w:eastAsia="Book Antiqua" w:hAnsi="Book Antiqua" w:cs="Book Antiqua"/>
          <w:color w:val="000000"/>
        </w:rPr>
        <w:t>. We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mainly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observed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discussed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clinical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evaluation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therapy.</w:t>
      </w:r>
    </w:p>
    <w:p w14:paraId="259380F0" w14:textId="77777777" w:rsidR="00A77B3E" w:rsidRPr="00237A77" w:rsidRDefault="00A77B3E" w:rsidP="00237A77">
      <w:pPr>
        <w:spacing w:line="360" w:lineRule="auto"/>
        <w:jc w:val="both"/>
      </w:pPr>
    </w:p>
    <w:p w14:paraId="26C64F88" w14:textId="7C1866DF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516E8" w:rsidRPr="00237A7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37A77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516E8" w:rsidRPr="00237A7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37A77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0E5E4CE" w14:textId="27760A29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Subjects</w:t>
      </w:r>
    </w:p>
    <w:p w14:paraId="2E8788DB" w14:textId="715EE1F3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article,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retrospectively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clinical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1256D5"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received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outpatient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562BCE" w:rsidRPr="00237A77">
        <w:rPr>
          <w:rFonts w:ascii="Book Antiqua" w:eastAsia="Book Antiqua" w:hAnsi="Book Antiqua" w:cs="Book Antiqua"/>
          <w:color w:val="000000"/>
        </w:rPr>
        <w:t>D</w:t>
      </w:r>
      <w:r w:rsidRPr="00237A77">
        <w:rPr>
          <w:rFonts w:ascii="Book Antiqua" w:eastAsia="Book Antiqua" w:hAnsi="Book Antiqua" w:cs="Book Antiqua"/>
          <w:color w:val="000000"/>
        </w:rPr>
        <w:t>epartment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562BCE" w:rsidRPr="00237A77">
        <w:rPr>
          <w:rFonts w:ascii="Book Antiqua" w:eastAsia="Book Antiqua" w:hAnsi="Book Antiqua" w:cs="Book Antiqua"/>
          <w:color w:val="000000"/>
        </w:rPr>
        <w:t>L</w:t>
      </w:r>
      <w:r w:rsidRPr="00237A77">
        <w:rPr>
          <w:rFonts w:ascii="Book Antiqua" w:eastAsia="Book Antiqua" w:hAnsi="Book Antiqua" w:cs="Book Antiqua"/>
          <w:color w:val="000000"/>
        </w:rPr>
        <w:t>iver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562BCE" w:rsidRPr="00237A77">
        <w:rPr>
          <w:rFonts w:ascii="Book Antiqua" w:eastAsia="Book Antiqua" w:hAnsi="Book Antiqua" w:cs="Book Antiqua"/>
          <w:color w:val="000000"/>
        </w:rPr>
        <w:t>D</w:t>
      </w:r>
      <w:r w:rsidRPr="00237A77">
        <w:rPr>
          <w:rFonts w:ascii="Book Antiqua" w:eastAsia="Book Antiqua" w:hAnsi="Book Antiqua" w:cs="Book Antiqua"/>
          <w:color w:val="000000"/>
        </w:rPr>
        <w:t>isease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Peking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University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First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Hospital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from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March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2018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January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2020,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including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48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males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(69.6%)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average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54.1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±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12.0</w:t>
      </w:r>
      <w:r w:rsidR="00632EEB">
        <w:rPr>
          <w:rFonts w:ascii="Book Antiqua" w:eastAsia="Book Antiqua" w:hAnsi="Book Antiqua" w:cs="Book Antiqua"/>
          <w:color w:val="000000"/>
        </w:rPr>
        <w:t>-</w:t>
      </w:r>
      <w:r w:rsidRPr="00237A77">
        <w:rPr>
          <w:rFonts w:ascii="Book Antiqua" w:eastAsia="Book Antiqua" w:hAnsi="Book Antiqua" w:cs="Book Antiqua"/>
          <w:color w:val="000000"/>
        </w:rPr>
        <w:t>years</w:t>
      </w:r>
      <w:r w:rsidR="00632EEB">
        <w:rPr>
          <w:rFonts w:ascii="Book Antiqua" w:eastAsia="Book Antiqua" w:hAnsi="Book Antiqua" w:cs="Book Antiqua"/>
          <w:color w:val="000000"/>
        </w:rPr>
        <w:t>-</w:t>
      </w:r>
      <w:r w:rsidRPr="00237A77">
        <w:rPr>
          <w:rFonts w:ascii="Book Antiqua" w:eastAsia="Book Antiqua" w:hAnsi="Book Antiqua" w:cs="Book Antiqua"/>
          <w:color w:val="000000"/>
        </w:rPr>
        <w:t>old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females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(30.4%)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average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57.6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±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9.2</w:t>
      </w:r>
      <w:r w:rsidR="00632EEB">
        <w:rPr>
          <w:rFonts w:ascii="Book Antiqua" w:eastAsia="Book Antiqua" w:hAnsi="Book Antiqua" w:cs="Book Antiqua"/>
          <w:color w:val="000000"/>
        </w:rPr>
        <w:t>-</w:t>
      </w:r>
      <w:r w:rsidRPr="00237A77">
        <w:rPr>
          <w:rFonts w:ascii="Book Antiqua" w:eastAsia="Book Antiqua" w:hAnsi="Book Antiqua" w:cs="Book Antiqua"/>
          <w:color w:val="000000"/>
        </w:rPr>
        <w:t>years</w:t>
      </w:r>
      <w:r w:rsidR="00632EEB">
        <w:rPr>
          <w:rFonts w:ascii="Book Antiqua" w:eastAsia="Book Antiqua" w:hAnsi="Book Antiqua" w:cs="Book Antiqua"/>
          <w:color w:val="000000"/>
        </w:rPr>
        <w:t>-</w:t>
      </w:r>
      <w:r w:rsidRPr="00237A77">
        <w:rPr>
          <w:rFonts w:ascii="Book Antiqua" w:eastAsia="Book Antiqua" w:hAnsi="Book Antiqua" w:cs="Book Antiqua"/>
          <w:color w:val="000000"/>
        </w:rPr>
        <w:t>old.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diagnostic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criteria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refer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“Guidelines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Prevention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Chronic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Hepatitis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B”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China.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exclusion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criteria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included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antiviral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course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&lt;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years;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chronic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liver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disease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caused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non</w:t>
      </w:r>
      <w:r w:rsidR="00562BCE" w:rsidRPr="00237A77">
        <w:rPr>
          <w:rFonts w:ascii="Book Antiqua" w:eastAsia="Book Antiqua" w:hAnsi="Book Antiqua" w:cs="Book Antiqua"/>
          <w:color w:val="000000"/>
        </w:rPr>
        <w:t>-</w:t>
      </w:r>
      <w:r w:rsidRPr="00237A77">
        <w:rPr>
          <w:rFonts w:ascii="Book Antiqua" w:eastAsia="Book Antiqua" w:hAnsi="Book Antiqua" w:cs="Book Antiqua"/>
          <w:color w:val="000000"/>
        </w:rPr>
        <w:t>hepatitis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virus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(HBV)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chronic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HBV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infection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other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liver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diseases;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other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chronic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kidney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diseases</w:t>
      </w:r>
      <w:r w:rsidR="00637BD4" w:rsidRPr="000B0484">
        <w:rPr>
          <w:rFonts w:ascii="Book Antiqua" w:hAnsi="Book Antiqua" w:cs="Book Antiqua"/>
          <w:color w:val="000000" w:themeColor="text1"/>
          <w:lang w:eastAsia="zh-CN"/>
        </w:rPr>
        <w:t>;</w:t>
      </w:r>
      <w:r w:rsidR="003516E8" w:rsidRPr="00237A77">
        <w:rPr>
          <w:rFonts w:ascii="Book Antiqua" w:hAnsi="Book Antiqua" w:cs="Book Antiqua"/>
          <w:color w:val="000000"/>
          <w:lang w:eastAsia="zh-CN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diabetes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mellitus.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study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protocol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approved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FB38EC" w:rsidRPr="00237A77">
        <w:rPr>
          <w:rFonts w:ascii="Book Antiqua" w:eastAsia="Book Antiqua" w:hAnsi="Book Antiqua" w:cs="Book Antiqua"/>
          <w:color w:val="000000"/>
        </w:rPr>
        <w:t>E</w:t>
      </w:r>
      <w:r w:rsidRPr="00237A77">
        <w:rPr>
          <w:rFonts w:ascii="Book Antiqua" w:eastAsia="Book Antiqua" w:hAnsi="Book Antiqua" w:cs="Book Antiqua"/>
          <w:color w:val="000000"/>
        </w:rPr>
        <w:t>thics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FB38EC" w:rsidRPr="00237A77">
        <w:rPr>
          <w:rFonts w:ascii="Book Antiqua" w:eastAsia="Book Antiqua" w:hAnsi="Book Antiqua" w:cs="Book Antiqua"/>
          <w:color w:val="000000"/>
        </w:rPr>
        <w:t>C</w:t>
      </w:r>
      <w:r w:rsidRPr="00237A77">
        <w:rPr>
          <w:rFonts w:ascii="Book Antiqua" w:eastAsia="Book Antiqua" w:hAnsi="Book Antiqua" w:cs="Book Antiqua"/>
          <w:color w:val="000000"/>
        </w:rPr>
        <w:t>ommittee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Peking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University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First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Hospital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2018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(Research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264),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all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informed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consent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forms.</w:t>
      </w:r>
    </w:p>
    <w:p w14:paraId="209A011E" w14:textId="77777777" w:rsidR="00A77B3E" w:rsidRPr="00237A77" w:rsidRDefault="00A77B3E" w:rsidP="00237A77">
      <w:pPr>
        <w:spacing w:line="360" w:lineRule="auto"/>
        <w:jc w:val="both"/>
      </w:pPr>
    </w:p>
    <w:p w14:paraId="4F29A148" w14:textId="109A81B7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Research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</w:p>
    <w:p w14:paraId="0B1D28A4" w14:textId="7005A4D6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lastRenderedPageBreak/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clinical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collected,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including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age,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sex,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type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antiviral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drugs,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time,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liver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HBV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562BCE" w:rsidRPr="00237A77">
        <w:rPr>
          <w:rFonts w:ascii="Book Antiqua" w:eastAsia="Book Antiqua" w:hAnsi="Book Antiqua" w:cs="Book Antiqua"/>
          <w:color w:val="000000"/>
        </w:rPr>
        <w:t>deoxyribonucleic acid (</w:t>
      </w:r>
      <w:r w:rsidRPr="00237A77">
        <w:rPr>
          <w:rFonts w:ascii="Book Antiqua" w:eastAsia="Book Antiqua" w:hAnsi="Book Antiqua" w:cs="Book Antiqua"/>
          <w:color w:val="000000"/>
        </w:rPr>
        <w:t>DNA</w:t>
      </w:r>
      <w:r w:rsidR="00562BCE" w:rsidRPr="00237A77">
        <w:rPr>
          <w:rFonts w:ascii="Book Antiqua" w:eastAsia="Book Antiqua" w:hAnsi="Book Antiqua" w:cs="Book Antiqua"/>
          <w:color w:val="000000"/>
        </w:rPr>
        <w:t>)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urea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nitrogen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62A17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BUN,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1.8-7.1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µmol/L</w:t>
      </w:r>
      <w:r w:rsidR="00762A17" w:rsidRPr="00237A77">
        <w:rPr>
          <w:rFonts w:ascii="Book Antiqua" w:eastAsia="Book Antiqua" w:hAnsi="Book Antiqua" w:cs="Book Antiqua"/>
          <w:color w:val="000000"/>
        </w:rPr>
        <w:t>)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62A17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44-133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µmol/L),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acid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62A17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150</w:t>
      </w:r>
      <w:r w:rsidR="00762A17" w:rsidRPr="00237A77">
        <w:rPr>
          <w:rFonts w:ascii="Book Antiqua" w:eastAsia="Book Antiqua" w:hAnsi="Book Antiqua" w:cs="Book Antiqua"/>
          <w:color w:val="000000"/>
        </w:rPr>
        <w:t>-</w:t>
      </w:r>
      <w:r w:rsidRPr="00237A77">
        <w:rPr>
          <w:rFonts w:ascii="Book Antiqua" w:eastAsia="Book Antiqua" w:hAnsi="Book Antiqua" w:cs="Book Antiqua"/>
          <w:color w:val="000000"/>
        </w:rPr>
        <w:t>420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µmol/L</w:t>
      </w:r>
      <w:r w:rsidR="00762A17" w:rsidRPr="00237A77">
        <w:rPr>
          <w:rFonts w:ascii="Book Antiqua" w:eastAsia="Book Antiqua" w:hAnsi="Book Antiqua" w:cs="Book Antiqua"/>
          <w:color w:val="000000"/>
        </w:rPr>
        <w:t>)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calcium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62A17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2.12-2.75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mmol/L</w:t>
      </w:r>
      <w:r w:rsidR="00762A17" w:rsidRPr="00237A77">
        <w:rPr>
          <w:rFonts w:ascii="Book Antiqua" w:eastAsia="Book Antiqua" w:hAnsi="Book Antiqua" w:cs="Book Antiqua"/>
          <w:color w:val="000000"/>
        </w:rPr>
        <w:t>)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phosphorus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62A17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0.96-1.62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mmol/L</w:t>
      </w:r>
      <w:r w:rsidR="00762A17" w:rsidRPr="00237A77">
        <w:rPr>
          <w:rFonts w:ascii="Book Antiqua" w:eastAsia="Book Antiqua" w:hAnsi="Book Antiqua" w:cs="Book Antiqua"/>
          <w:color w:val="000000"/>
        </w:rPr>
        <w:t>)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magnesium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62A17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values: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0.8-1.2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mmol/L</w:t>
      </w:r>
      <w:r w:rsidR="00762A17" w:rsidRPr="00237A77">
        <w:rPr>
          <w:rFonts w:ascii="Book Antiqua" w:eastAsia="Book Antiqua" w:hAnsi="Book Antiqua" w:cs="Book Antiqua"/>
          <w:color w:val="000000"/>
        </w:rPr>
        <w:t>)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62A17" w:rsidRPr="00237A77">
        <w:rPr>
          <w:rFonts w:ascii="Book Antiqua" w:eastAsia="Book Antiqua" w:hAnsi="Book Antiqua" w:cs="Book Antiqua"/>
          <w:color w:val="000000"/>
        </w:rPr>
        <w:t>estimated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62A17" w:rsidRPr="00237A77">
        <w:rPr>
          <w:rFonts w:ascii="Book Antiqua" w:eastAsia="Book Antiqua" w:hAnsi="Book Antiqua" w:cs="Book Antiqua"/>
          <w:color w:val="000000"/>
        </w:rPr>
        <w:t>glomerular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62A17" w:rsidRPr="00237A77">
        <w:rPr>
          <w:rFonts w:ascii="Book Antiqua" w:eastAsia="Book Antiqua" w:hAnsi="Book Antiqua" w:cs="Book Antiqua"/>
          <w:color w:val="000000"/>
        </w:rPr>
        <w:t>filtration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62A17" w:rsidRPr="00237A77">
        <w:rPr>
          <w:rFonts w:ascii="Book Antiqua" w:eastAsia="Book Antiqua" w:hAnsi="Book Antiqua" w:cs="Book Antiqua"/>
          <w:color w:val="000000"/>
        </w:rPr>
        <w:t>rate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62A17" w:rsidRPr="00237A77">
        <w:rPr>
          <w:rFonts w:ascii="Book Antiqua" w:eastAsia="Book Antiqua" w:hAnsi="Book Antiqua" w:cs="Book Antiqua"/>
          <w:color w:val="000000"/>
        </w:rPr>
        <w:t>[</w:t>
      </w:r>
      <w:r w:rsidRPr="00237A77">
        <w:rPr>
          <w:rFonts w:ascii="Book Antiqua" w:eastAsia="Book Antiqua" w:hAnsi="Book Antiqua" w:cs="Book Antiqua"/>
          <w:color w:val="000000"/>
        </w:rPr>
        <w:t>eGFR</w:t>
      </w:r>
      <w:r w:rsidR="00762A17"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</w:t>
      </w:r>
      <w:r w:rsidR="00762A17" w:rsidRPr="00237A77">
        <w:rPr>
          <w:rFonts w:ascii="Book Antiqua" w:eastAsia="Book Antiqua" w:hAnsi="Book Antiqua" w:cs="Book Antiqua"/>
          <w:color w:val="000000"/>
        </w:rPr>
        <w:t>L</w:t>
      </w:r>
      <w:r w:rsidRPr="00237A77">
        <w:rPr>
          <w:rFonts w:ascii="Book Antiqua" w:eastAsia="Book Antiqua" w:hAnsi="Book Antiqua" w:cs="Book Antiqua"/>
          <w:color w:val="000000"/>
        </w:rPr>
        <w:t>/</w:t>
      </w:r>
      <w:r w:rsidR="00762A17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min</w:t>
      </w:r>
      <w:r w:rsidR="00762A17" w:rsidRPr="00237A77">
        <w:rPr>
          <w:rFonts w:ascii="Book Antiqua" w:eastAsia="Book Antiqua" w:hAnsi="Book Antiqua" w:cs="Book Antiqua"/>
          <w:color w:val="000000"/>
        </w:rPr>
        <w:t>·</w:t>
      </w:r>
      <w:r w:rsidRPr="00237A77">
        <w:rPr>
          <w:rFonts w:ascii="Book Antiqua" w:eastAsia="Book Antiqua" w:hAnsi="Book Antiqua" w:cs="Book Antiqua"/>
          <w:color w:val="000000"/>
        </w:rPr>
        <w:t>1.73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237A77">
        <w:rPr>
          <w:rFonts w:ascii="Book Antiqua" w:eastAsia="Book Antiqua" w:hAnsi="Book Antiqua" w:cs="Book Antiqua"/>
          <w:color w:val="000000"/>
        </w:rPr>
        <w:t>)</w:t>
      </w:r>
      <w:r w:rsidR="00762A17" w:rsidRPr="00237A77">
        <w:rPr>
          <w:rFonts w:ascii="Book Antiqua" w:eastAsia="Book Antiqua" w:hAnsi="Book Antiqua" w:cs="Book Antiqua"/>
          <w:color w:val="000000"/>
        </w:rPr>
        <w:t>]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such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(mmol/L),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microalbumin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0-19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mg/L),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transferrin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0-2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mg/L),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α1-microglobulin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0-12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mg/L),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immunoglobulin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&lt;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8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mg/L),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N-acetyl-β-D-glucosidase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(NAG)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enzyme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0.3-12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U/L).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defined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measured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picric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acid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rate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method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(Zhongsheng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Beikong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Company’s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kit</w:t>
      </w:r>
      <w:r w:rsidR="000C6416" w:rsidRPr="00237A77">
        <w:rPr>
          <w:rFonts w:ascii="Book Antiqua" w:eastAsia="Book Antiqua" w:hAnsi="Book Antiqua" w:cs="Book Antiqua"/>
          <w:color w:val="000000"/>
        </w:rPr>
        <w:t>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Hitachi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7600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automatic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biochemical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analyzer).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methods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follows: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D725B6" w:rsidRPr="00237A77">
        <w:rPr>
          <w:rFonts w:ascii="Book Antiqua" w:eastAsia="Book Antiqua" w:hAnsi="Book Antiqua" w:cs="Book Antiqua"/>
          <w:color w:val="000000"/>
        </w:rPr>
        <w:t>U</w:t>
      </w:r>
      <w:r w:rsidRPr="00237A77">
        <w:rPr>
          <w:rFonts w:ascii="Book Antiqua" w:eastAsia="Book Antiqua" w:hAnsi="Book Antiqua" w:cs="Book Antiqua"/>
          <w:color w:val="000000"/>
        </w:rPr>
        <w:t>rinary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measured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picric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acid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method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237A77">
        <w:rPr>
          <w:rFonts w:ascii="Book Antiqua" w:eastAsia="Book Antiqua" w:hAnsi="Book Antiqua" w:cs="Book Antiqua"/>
          <w:color w:val="000000"/>
        </w:rPr>
        <w:t>Zhongsheng</w:t>
      </w:r>
      <w:proofErr w:type="spellEnd"/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37A77">
        <w:rPr>
          <w:rFonts w:ascii="Book Antiqua" w:eastAsia="Book Antiqua" w:hAnsi="Book Antiqua" w:cs="Book Antiqua"/>
          <w:color w:val="000000"/>
        </w:rPr>
        <w:t>Beikong</w:t>
      </w:r>
      <w:proofErr w:type="spellEnd"/>
      <w:r w:rsidR="00562BCE" w:rsidRPr="00237A77">
        <w:rPr>
          <w:rFonts w:ascii="Book Antiqua" w:eastAsia="Book Antiqua" w:hAnsi="Book Antiqua" w:cs="Book Antiqua"/>
          <w:color w:val="000000"/>
        </w:rPr>
        <w:t xml:space="preserve"> Biotechnology, Beijing, China</w:t>
      </w:r>
      <w:r w:rsidRPr="00237A77">
        <w:rPr>
          <w:rFonts w:ascii="Book Antiqua" w:eastAsia="Book Antiqua" w:hAnsi="Book Antiqua" w:cs="Book Antiqua"/>
          <w:color w:val="000000"/>
        </w:rPr>
        <w:t>);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microalbumin,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transferrin,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α1-microglobulin,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immunoglobulin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determined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immune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scatter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turbidity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(Beckman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Coulter,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562BCE" w:rsidRPr="00237A77">
        <w:rPr>
          <w:rFonts w:ascii="Book Antiqua" w:eastAsia="Book Antiqua" w:hAnsi="Book Antiqua" w:cs="Book Antiqua"/>
          <w:color w:val="000000"/>
        </w:rPr>
        <w:t xml:space="preserve">Brea, CA, </w:t>
      </w:r>
      <w:r w:rsidRPr="00237A77">
        <w:rPr>
          <w:rFonts w:ascii="Book Antiqua" w:eastAsia="Book Antiqua" w:hAnsi="Book Antiqua" w:cs="Book Antiqua"/>
          <w:color w:val="000000"/>
        </w:rPr>
        <w:t>U</w:t>
      </w:r>
      <w:r w:rsidR="00D725B6" w:rsidRPr="00237A77">
        <w:rPr>
          <w:rFonts w:ascii="Book Antiqua" w:eastAsia="Book Antiqua" w:hAnsi="Book Antiqua" w:cs="Book Antiqua"/>
          <w:color w:val="000000"/>
        </w:rPr>
        <w:t>nited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D725B6" w:rsidRPr="00237A77">
        <w:rPr>
          <w:rFonts w:ascii="Book Antiqua" w:eastAsia="Book Antiqua" w:hAnsi="Book Antiqua" w:cs="Book Antiqua"/>
          <w:color w:val="000000"/>
        </w:rPr>
        <w:t>States</w:t>
      </w:r>
      <w:r w:rsidRPr="00237A77">
        <w:rPr>
          <w:rFonts w:ascii="Book Antiqua" w:eastAsia="Book Antiqua" w:hAnsi="Book Antiqua" w:cs="Book Antiqua"/>
          <w:color w:val="000000"/>
        </w:rPr>
        <w:t>);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enzyme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determined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MNP-G1CNAc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substrate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method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(Gcell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Kit</w:t>
      </w:r>
      <w:r w:rsidR="00637BD4" w:rsidRPr="00237A77">
        <w:rPr>
          <w:rFonts w:ascii="Book Antiqua" w:eastAsia="Book Antiqua" w:hAnsi="Book Antiqua" w:cs="Book Antiqua"/>
          <w:color w:val="000000"/>
        </w:rPr>
        <w:t>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Beijing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Jiuqiang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Biological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Company</w:t>
      </w:r>
      <w:r w:rsidR="00562BCE" w:rsidRPr="00237A77">
        <w:rPr>
          <w:rFonts w:ascii="Book Antiqua" w:eastAsia="Book Antiqua" w:hAnsi="Book Antiqua" w:cs="Book Antiqua"/>
          <w:color w:val="000000"/>
        </w:rPr>
        <w:t>, Beijing, China</w:t>
      </w:r>
      <w:r w:rsidRPr="00237A77">
        <w:rPr>
          <w:rFonts w:ascii="Book Antiqua" w:eastAsia="Book Antiqua" w:hAnsi="Book Antiqua" w:cs="Book Antiqua"/>
          <w:color w:val="000000"/>
        </w:rPr>
        <w:t>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HBV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DNA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detected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Da'an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Real-Time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Fluorescence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562BCE" w:rsidRPr="00237A77">
        <w:rPr>
          <w:rFonts w:ascii="Book Antiqua" w:eastAsia="Book Antiqua" w:hAnsi="Book Antiqua" w:cs="Book Antiqua"/>
          <w:color w:val="000000"/>
        </w:rPr>
        <w:t>polymerase chain reaction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HBV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DNA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Quantitative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Kit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Sun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Yat-sen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University,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lower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limit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100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IU/mL.</w:t>
      </w:r>
    </w:p>
    <w:p w14:paraId="78ACDB1D" w14:textId="77777777" w:rsidR="00A77B3E" w:rsidRPr="00237A77" w:rsidRDefault="00A77B3E" w:rsidP="00237A77">
      <w:pPr>
        <w:spacing w:line="360" w:lineRule="auto"/>
        <w:jc w:val="both"/>
      </w:pPr>
    </w:p>
    <w:p w14:paraId="1A5EE8F0" w14:textId="4727A13C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461B0D56" w14:textId="239195C3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Statistical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analyses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performed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using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SPSS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25.0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software</w:t>
      </w:r>
      <w:r w:rsidR="0074666C" w:rsidRPr="00237A77">
        <w:rPr>
          <w:rFonts w:ascii="Book Antiqua" w:eastAsia="Book Antiqua" w:hAnsi="Book Antiqua" w:cs="Book Antiqua"/>
          <w:color w:val="000000"/>
        </w:rPr>
        <w:t xml:space="preserve"> (Armonk, NY, United States)</w:t>
      </w:r>
      <w:r w:rsidRPr="00237A77">
        <w:rPr>
          <w:rFonts w:ascii="Book Antiqua" w:eastAsia="Book Antiqua" w:hAnsi="Book Antiqua" w:cs="Book Antiqua"/>
          <w:color w:val="000000"/>
        </w:rPr>
        <w:t>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measurement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expressed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</w:t>
      </w:r>
      <w:r w:rsidR="00D725B6" w:rsidRPr="00237A77">
        <w:rPr>
          <w:rFonts w:ascii="Book Antiqua" w:eastAsia="Book Antiqua" w:hAnsi="Book Antiqua" w:cs="Book Antiqua"/>
          <w:color w:val="000000"/>
        </w:rPr>
        <w:t>mean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±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4666C" w:rsidRPr="00237A77">
        <w:rPr>
          <w:rFonts w:ascii="Book Antiqua" w:eastAsia="Book Antiqua" w:hAnsi="Book Antiqua" w:cs="Book Antiqua"/>
          <w:color w:val="000000"/>
        </w:rPr>
        <w:t>standard deviation</w:t>
      </w:r>
      <w:r w:rsidRPr="00237A77">
        <w:rPr>
          <w:rFonts w:ascii="Book Antiqua" w:eastAsia="Book Antiqua" w:hAnsi="Book Antiqua" w:cs="Book Antiqua"/>
          <w:color w:val="000000"/>
        </w:rPr>
        <w:t>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median,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continuous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normally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distributed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237A77">
        <w:rPr>
          <w:rFonts w:ascii="Book Antiqua" w:eastAsia="Book Antiqua" w:hAnsi="Book Antiqua" w:cs="Book Antiqua"/>
          <w:color w:val="000000"/>
        </w:rPr>
        <w:t>-test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determine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between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two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Continuous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non</w:t>
      </w:r>
      <w:r w:rsidR="00DF5CF1" w:rsidRPr="00237A77">
        <w:rPr>
          <w:rFonts w:ascii="Book Antiqua" w:eastAsia="Book Antiqua" w:hAnsi="Book Antiqua" w:cs="Book Antiqua"/>
          <w:color w:val="000000"/>
        </w:rPr>
        <w:t>-</w:t>
      </w:r>
      <w:r w:rsidRPr="00237A77">
        <w:rPr>
          <w:rFonts w:ascii="Book Antiqua" w:eastAsia="Book Antiqua" w:hAnsi="Book Antiqua" w:cs="Book Antiqua"/>
          <w:color w:val="000000"/>
        </w:rPr>
        <w:t>normally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distributed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Mann-Whitney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color w:val="000000"/>
        </w:rPr>
        <w:t>U</w:t>
      </w:r>
      <w:r w:rsidRPr="00237A77">
        <w:rPr>
          <w:rFonts w:ascii="Book Antiqua" w:eastAsia="Book Antiqua" w:hAnsi="Book Antiqua" w:cs="Book Antiqua"/>
          <w:color w:val="000000"/>
        </w:rPr>
        <w:t>-test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between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two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Kruskal-Wallis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test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lastRenderedPageBreak/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determine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among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multiple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Enumeration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chi-square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test.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related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factors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logistic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regression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analysis,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&lt;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0.05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considered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statistically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significant.</w:t>
      </w:r>
    </w:p>
    <w:p w14:paraId="16DB8764" w14:textId="77777777" w:rsidR="00A77B3E" w:rsidRPr="00237A77" w:rsidRDefault="00A77B3E" w:rsidP="00237A77">
      <w:pPr>
        <w:spacing w:line="360" w:lineRule="auto"/>
        <w:jc w:val="both"/>
      </w:pPr>
    </w:p>
    <w:p w14:paraId="7EE5D76C" w14:textId="77777777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286511B" w14:textId="315F58C5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Antiviral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efficacy</w:t>
      </w:r>
    </w:p>
    <w:p w14:paraId="05E250DA" w14:textId="46F69DC0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total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enrolled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study,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including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48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males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(69.6%)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females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(30.4%).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Among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them,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received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LAM,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7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received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41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received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ETV,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14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received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+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ETV,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received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LdT,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4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received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TDF,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received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TAF.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average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antiviral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duration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99.7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±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28.7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mo.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All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stable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situations,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most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liver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undetectable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HBV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DNA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level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(specific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omitted).</w:t>
      </w:r>
    </w:p>
    <w:p w14:paraId="56447F14" w14:textId="77777777" w:rsidR="00A77B3E" w:rsidRPr="00237A77" w:rsidRDefault="00A77B3E" w:rsidP="00237A77">
      <w:pPr>
        <w:spacing w:line="360" w:lineRule="auto"/>
        <w:jc w:val="both"/>
      </w:pPr>
    </w:p>
    <w:p w14:paraId="1CCC11D6" w14:textId="5B7F0CCC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Influence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different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antiviral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drugs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function</w:t>
      </w:r>
    </w:p>
    <w:p w14:paraId="5BD503F9" w14:textId="48DB095E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level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range.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Six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(8.7%)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increase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DF0813" w:rsidRPr="00237A77">
        <w:rPr>
          <w:rFonts w:ascii="Book Antiqua" w:eastAsia="Book Antiqua" w:hAnsi="Book Antiqua" w:cs="Book Antiqua"/>
          <w:color w:val="000000"/>
        </w:rPr>
        <w:t>BUN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levels,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13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hypophosphatemia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(18.8%).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routine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test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all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ADV/TDF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higher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percentage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increased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DF0813" w:rsidRPr="00237A77">
        <w:rPr>
          <w:rFonts w:ascii="Book Antiqua" w:eastAsia="Book Antiqua" w:hAnsi="Book Antiqua" w:cs="Book Antiqua"/>
          <w:color w:val="000000"/>
        </w:rPr>
        <w:t>BUN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hypophosphatemia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non-ADV/TDF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between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two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statistically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</w:t>
      </w:r>
      <w:r w:rsidR="005012EE" w:rsidRPr="00237A77">
        <w:rPr>
          <w:rFonts w:ascii="Book Antiqua" w:eastAsia="Book Antiqua" w:hAnsi="Book Antiqua" w:cs="Book Antiqua"/>
          <w:color w:val="000000"/>
        </w:rPr>
        <w:t xml:space="preserve"> (</w:t>
      </w:r>
      <w:r w:rsidR="00F31AD7"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&gt;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0.05</w:t>
      </w:r>
      <w:r w:rsidR="005012EE" w:rsidRPr="00237A77">
        <w:rPr>
          <w:rFonts w:ascii="Book Antiqua" w:eastAsia="Book Antiqua" w:hAnsi="Book Antiqua" w:cs="Book Antiqua"/>
          <w:color w:val="000000"/>
        </w:rPr>
        <w:t>)</w:t>
      </w:r>
      <w:r w:rsidRPr="00237A77">
        <w:rPr>
          <w:rFonts w:ascii="Book Antiqua" w:eastAsia="Book Antiqua" w:hAnsi="Book Antiqua" w:cs="Book Antiqua"/>
          <w:color w:val="000000"/>
        </w:rPr>
        <w:t>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Specific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shown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Table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Hypermagnesemia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occurred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4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ADV/TDF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non-ADV/TDF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respectively,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hypercalcemia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occurred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respectively.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Elevated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levels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hypocalcemia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found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all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patients.</w:t>
      </w:r>
    </w:p>
    <w:p w14:paraId="1606615E" w14:textId="77777777" w:rsidR="00A77B3E" w:rsidRPr="00237A77" w:rsidRDefault="00A77B3E" w:rsidP="00237A77">
      <w:pPr>
        <w:spacing w:line="360" w:lineRule="auto"/>
        <w:jc w:val="both"/>
      </w:pPr>
    </w:p>
    <w:p w14:paraId="0DD21AEF" w14:textId="1FAB284C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Impact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antiviral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eGFR</w:t>
      </w:r>
    </w:p>
    <w:p w14:paraId="505FF6C0" w14:textId="1603476C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lastRenderedPageBreak/>
        <w:t>According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eGFR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divided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following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three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637BD4" w:rsidRPr="00237A77">
        <w:rPr>
          <w:rFonts w:ascii="Book Antiqua" w:eastAsia="Book Antiqua" w:hAnsi="Book Antiqua" w:cs="Book Antiqua"/>
          <w:color w:val="000000"/>
        </w:rPr>
        <w:t>(1)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5012EE" w:rsidRPr="00237A77">
        <w:rPr>
          <w:rFonts w:ascii="Book Antiqua" w:eastAsia="Book Antiqua" w:hAnsi="Book Antiqua" w:cs="Book Antiqua"/>
          <w:color w:val="000000"/>
        </w:rPr>
        <w:t>E</w:t>
      </w:r>
      <w:r w:rsidRPr="00237A77">
        <w:rPr>
          <w:rFonts w:ascii="Book Antiqua" w:eastAsia="Book Antiqua" w:hAnsi="Book Antiqua" w:cs="Book Antiqua"/>
          <w:color w:val="000000"/>
        </w:rPr>
        <w:t>GFR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≥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90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mL/</w:t>
      </w:r>
      <w:r w:rsidR="00F31AD7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min</w:t>
      </w:r>
      <w:r w:rsidR="00F31AD7" w:rsidRPr="00237A77">
        <w:rPr>
          <w:rFonts w:ascii="Book Antiqua" w:eastAsia="Book Antiqua" w:hAnsi="Book Antiqua" w:cs="Book Antiqua"/>
          <w:color w:val="000000"/>
        </w:rPr>
        <w:t>·</w:t>
      </w:r>
      <w:r w:rsidRPr="00237A77">
        <w:rPr>
          <w:rFonts w:ascii="Book Antiqua" w:eastAsia="Book Antiqua" w:hAnsi="Book Antiqua" w:cs="Book Antiqua"/>
          <w:color w:val="000000"/>
        </w:rPr>
        <w:t>1.73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F31AD7" w:rsidRPr="00237A77">
        <w:rPr>
          <w:rFonts w:ascii="Book Antiqua" w:eastAsia="Book Antiqua" w:hAnsi="Book Antiqua" w:cs="Book Antiqua"/>
          <w:color w:val="000000"/>
          <w:szCs w:val="30"/>
        </w:rPr>
        <w:t>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637BD4" w:rsidRPr="00237A77">
        <w:rPr>
          <w:rFonts w:ascii="Book Antiqua" w:eastAsia="Book Antiqua" w:hAnsi="Book Antiqua" w:cs="Book Antiqua"/>
          <w:color w:val="000000"/>
        </w:rPr>
        <w:t>(2)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eGFR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F31AD7"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60-89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mL/</w:t>
      </w:r>
      <w:r w:rsidR="00F31AD7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min</w:t>
      </w:r>
      <w:r w:rsidR="00F31AD7" w:rsidRPr="00237A77">
        <w:rPr>
          <w:rFonts w:ascii="Book Antiqua" w:eastAsia="Book Antiqua" w:hAnsi="Book Antiqua" w:cs="Book Antiqua"/>
          <w:color w:val="000000"/>
        </w:rPr>
        <w:t>·</w:t>
      </w:r>
      <w:r w:rsidRPr="00237A77">
        <w:rPr>
          <w:rFonts w:ascii="Book Antiqua" w:eastAsia="Book Antiqua" w:hAnsi="Book Antiqua" w:cs="Book Antiqua"/>
          <w:color w:val="000000"/>
        </w:rPr>
        <w:t>1.73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F31AD7" w:rsidRPr="00237A77">
        <w:rPr>
          <w:rFonts w:ascii="Book Antiqua" w:eastAsia="Book Antiqua" w:hAnsi="Book Antiqua" w:cs="Book Antiqua"/>
          <w:color w:val="000000"/>
        </w:rPr>
        <w:t>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637BD4" w:rsidRPr="00237A77">
        <w:rPr>
          <w:rFonts w:ascii="Book Antiqua" w:eastAsia="Book Antiqua" w:hAnsi="Book Antiqua" w:cs="Book Antiqua"/>
          <w:color w:val="000000"/>
        </w:rPr>
        <w:t>(3)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eGFR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F31AD7"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30-59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mL/</w:t>
      </w:r>
      <w:r w:rsidR="00F31AD7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min</w:t>
      </w:r>
      <w:r w:rsidR="00F31AD7" w:rsidRPr="00237A77">
        <w:rPr>
          <w:rFonts w:ascii="Book Antiqua" w:eastAsia="Book Antiqua" w:hAnsi="Book Antiqua" w:cs="Book Antiqua"/>
          <w:color w:val="000000"/>
        </w:rPr>
        <w:t>·</w:t>
      </w:r>
      <w:r w:rsidRPr="00237A77">
        <w:rPr>
          <w:rFonts w:ascii="Book Antiqua" w:eastAsia="Book Antiqua" w:hAnsi="Book Antiqua" w:cs="Book Antiqua"/>
          <w:color w:val="000000"/>
        </w:rPr>
        <w:t>1.73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F31AD7" w:rsidRPr="00237A77">
        <w:rPr>
          <w:rFonts w:ascii="Book Antiqua" w:eastAsia="Book Antiqua" w:hAnsi="Book Antiqua" w:cs="Book Antiqua"/>
          <w:color w:val="000000"/>
        </w:rPr>
        <w:t>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number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three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22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(31.9%),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42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(60.9%),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5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(7.2%),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respectively.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sex,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liver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acid,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calcium,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magnesium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among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three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</w:t>
      </w:r>
      <w:r w:rsidR="00637BD4"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&gt;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0.05,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specific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omitted).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age,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duration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antiviral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among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three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statistically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</w:t>
      </w:r>
      <w:r w:rsidR="00637BD4"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&lt;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0.05).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levels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urea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nitrogen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phosphorus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third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from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those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first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second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</w:t>
      </w:r>
      <w:r w:rsidR="00637BD4"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&lt;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0.05).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decrease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eGFR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percentage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hypophosphatemia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increased,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among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three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statistically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</w:t>
      </w:r>
      <w:r w:rsidR="00637BD4"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&gt;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0.05).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specific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figures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shown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Table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2.</w:t>
      </w:r>
    </w:p>
    <w:p w14:paraId="0C89F8DF" w14:textId="77777777" w:rsidR="00A77B3E" w:rsidRPr="00237A77" w:rsidRDefault="00A77B3E" w:rsidP="00237A77">
      <w:pPr>
        <w:spacing w:line="360" w:lineRule="auto"/>
        <w:jc w:val="both"/>
      </w:pPr>
    </w:p>
    <w:p w14:paraId="241D43AD" w14:textId="475B99FA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Impact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antiviral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indicators</w:t>
      </w:r>
    </w:p>
    <w:p w14:paraId="11BA1453" w14:textId="797EFE6B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total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31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(44.9%)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which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considered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including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microalbumin,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transferrin,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14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enzyme,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F54A76" w:rsidRPr="00237A77">
        <w:rPr>
          <w:rFonts w:ascii="Book Antiqua" w:eastAsia="Book Antiqua" w:hAnsi="Book Antiqua" w:cs="Book Antiqua"/>
          <w:color w:val="000000"/>
        </w:rPr>
        <w:t>α</w:t>
      </w:r>
      <w:r w:rsidR="00012F43" w:rsidRPr="00237A77">
        <w:rPr>
          <w:rFonts w:ascii="Book Antiqua" w:eastAsia="Book Antiqua" w:hAnsi="Book Antiqua" w:cs="Book Antiqua"/>
          <w:color w:val="000000"/>
        </w:rPr>
        <w:t>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microglobulin,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7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urinary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immunoglobulin.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age,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sex,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EF38F8" w:rsidRPr="00237A77">
        <w:rPr>
          <w:rFonts w:ascii="Book Antiqua" w:eastAsia="Book Antiqua" w:hAnsi="Book Antiqua" w:cs="Book Antiqua"/>
          <w:color w:val="000000"/>
        </w:rPr>
        <w:t>alanine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EF38F8" w:rsidRPr="00237A77">
        <w:rPr>
          <w:rFonts w:ascii="Book Antiqua" w:eastAsia="Book Antiqua" w:hAnsi="Book Antiqua" w:cs="Book Antiqua"/>
          <w:color w:val="000000"/>
        </w:rPr>
        <w:t>aminotransferase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color w:val="000000"/>
        </w:rPr>
        <w:t>a</w:t>
      </w:r>
      <w:r w:rsidR="00EF38F8" w:rsidRPr="00237A77">
        <w:rPr>
          <w:rFonts w:ascii="Book Antiqua" w:eastAsia="Book Antiqua" w:hAnsi="Book Antiqua" w:cs="Book Antiqua"/>
          <w:color w:val="000000"/>
        </w:rPr>
        <w:t>spartate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EF38F8" w:rsidRPr="00237A77">
        <w:rPr>
          <w:rFonts w:ascii="Book Antiqua" w:eastAsia="Book Antiqua" w:hAnsi="Book Antiqua" w:cs="Book Antiqua"/>
          <w:color w:val="000000"/>
        </w:rPr>
        <w:t>aminotransferase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C520E0" w:rsidRPr="00237A77">
        <w:rPr>
          <w:rFonts w:ascii="Book Antiqua" w:eastAsia="Book Antiqua" w:hAnsi="Book Antiqua" w:cs="Book Antiqua"/>
          <w:color w:val="000000"/>
        </w:rPr>
        <w:t>micro</w:t>
      </w:r>
      <w:r w:rsidR="005012EE" w:rsidRPr="00237A77">
        <w:rPr>
          <w:rFonts w:ascii="Book Antiqua" w:eastAsia="Book Antiqua" w:hAnsi="Book Antiqua" w:cs="Book Antiqua"/>
          <w:color w:val="000000"/>
        </w:rPr>
        <w:t>albumin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color w:val="000000"/>
        </w:rPr>
        <w:t>alkaline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color w:val="000000"/>
        </w:rPr>
        <w:t>phosphatase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color w:val="000000"/>
        </w:rPr>
        <w:t>total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color w:val="000000"/>
        </w:rPr>
        <w:t>bilirubin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BUN,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eGFR,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acid,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calcium,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phosphorus,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magnesium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without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</w:t>
      </w:r>
      <w:r w:rsidR="00637BD4"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&gt;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0.05).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However,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color w:val="000000"/>
        </w:rPr>
        <w:t>gamma-glutamyl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color w:val="000000"/>
        </w:rPr>
        <w:t>transpeptidase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GGT</w:t>
      </w:r>
      <w:r w:rsidR="00B87EAD" w:rsidRPr="00237A77">
        <w:rPr>
          <w:rFonts w:ascii="Book Antiqua" w:eastAsia="Book Antiqua" w:hAnsi="Book Antiqua" w:cs="Book Antiqua"/>
          <w:color w:val="000000"/>
        </w:rPr>
        <w:t>)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color w:val="000000"/>
        </w:rPr>
        <w:t>direct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color w:val="000000"/>
        </w:rPr>
        <w:t>bilirubin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DBIL</w:t>
      </w:r>
      <w:r w:rsidR="00B87EAD" w:rsidRPr="00237A77">
        <w:rPr>
          <w:rFonts w:ascii="Book Antiqua" w:eastAsia="Book Antiqua" w:hAnsi="Book Antiqua" w:cs="Book Antiqua"/>
          <w:color w:val="000000"/>
        </w:rPr>
        <w:t>)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levels,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well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enzyme,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F54A76" w:rsidRPr="00237A77">
        <w:rPr>
          <w:rFonts w:ascii="Book Antiqua" w:eastAsia="Book Antiqua" w:hAnsi="Book Antiqua" w:cs="Book Antiqua"/>
          <w:color w:val="000000"/>
        </w:rPr>
        <w:t>α1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microglobulin,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immunoglobulin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levels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statistically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between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two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</w:t>
      </w:r>
      <w:r w:rsidR="00637BD4"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&lt;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0.05).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greater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percentage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eGFR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&lt;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70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mL/</w:t>
      </w:r>
      <w:r w:rsidR="00B87EAD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min</w:t>
      </w:r>
      <w:r w:rsidR="00B87EAD" w:rsidRPr="00237A77">
        <w:rPr>
          <w:rFonts w:ascii="Book Antiqua" w:eastAsia="Book Antiqua" w:hAnsi="Book Antiqua" w:cs="Book Antiqua"/>
          <w:color w:val="000000"/>
        </w:rPr>
        <w:t>·</w:t>
      </w:r>
      <w:r w:rsidRPr="00237A77">
        <w:rPr>
          <w:rFonts w:ascii="Book Antiqua" w:eastAsia="Book Antiqua" w:hAnsi="Book Antiqua" w:cs="Book Antiqua"/>
          <w:color w:val="000000"/>
        </w:rPr>
        <w:t>1.73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B87EAD" w:rsidRPr="00237A77">
        <w:rPr>
          <w:rFonts w:ascii="Book Antiqua" w:eastAsia="Book Antiqua" w:hAnsi="Book Antiqua" w:cs="Book Antiqua"/>
          <w:color w:val="000000"/>
        </w:rPr>
        <w:t>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without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lastRenderedPageBreak/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statistically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</w:t>
      </w:r>
      <w:r w:rsidR="00B87EAD"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&gt;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0.05).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specific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figures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shown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Table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3.</w:t>
      </w:r>
    </w:p>
    <w:p w14:paraId="2AAA6AC7" w14:textId="77777777" w:rsidR="00A77B3E" w:rsidRPr="00237A77" w:rsidRDefault="00A77B3E" w:rsidP="00237A77">
      <w:pPr>
        <w:spacing w:line="360" w:lineRule="auto"/>
        <w:jc w:val="both"/>
      </w:pPr>
    </w:p>
    <w:p w14:paraId="66CF17BA" w14:textId="5EE6D609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logistic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regression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3516E8" w:rsidRPr="00237A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31CE26B1" w14:textId="3F0022DF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results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logistic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regression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analysis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showed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GGT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[</w:t>
      </w:r>
      <w:r w:rsidR="00B87EAD" w:rsidRPr="00237A77">
        <w:rPr>
          <w:rFonts w:ascii="Book Antiqua" w:eastAsia="Book Antiqua" w:hAnsi="Book Antiqua" w:cs="Book Antiqua"/>
          <w:color w:val="000000"/>
        </w:rPr>
        <w:t>odds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color w:val="000000"/>
        </w:rPr>
        <w:t>ratio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OR</w:t>
      </w:r>
      <w:r w:rsidR="00B87EAD" w:rsidRPr="00237A77">
        <w:rPr>
          <w:rFonts w:ascii="Book Antiqua" w:eastAsia="Book Antiqua" w:hAnsi="Book Antiqua" w:cs="Book Antiqua"/>
          <w:color w:val="000000"/>
        </w:rPr>
        <w:t>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1.05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(1.008-1.093),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0.020],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DBIL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[OR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1.548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(1.111-2.159),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0.010],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blood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[OR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1.079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(1.022-1.139),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0.006]</w:t>
      </w:r>
      <w:r w:rsidR="005012EE"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[OR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0.981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(0.942-1.022),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0.357]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independent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predictors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treatment.</w:t>
      </w:r>
    </w:p>
    <w:p w14:paraId="4CAF3243" w14:textId="77777777" w:rsidR="00A77B3E" w:rsidRPr="00237A77" w:rsidRDefault="00A77B3E" w:rsidP="00237A77">
      <w:pPr>
        <w:spacing w:line="360" w:lineRule="auto"/>
        <w:jc w:val="both"/>
      </w:pPr>
    </w:p>
    <w:p w14:paraId="782805A2" w14:textId="77777777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5C64BDE" w14:textId="6C7DDA07" w:rsidR="00B87EAD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For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most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therapy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safe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well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tolerated,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some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experience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adverse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reactions,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such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insufficiency,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myositis,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rhabdomyolysis,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lactic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acidosis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[9,10]</w:t>
      </w:r>
      <w:r w:rsidRPr="00237A77">
        <w:rPr>
          <w:rFonts w:ascii="Book Antiqua" w:eastAsia="Book Antiqua" w:hAnsi="Book Antiqua" w:cs="Book Antiqua"/>
          <w:color w:val="000000"/>
        </w:rPr>
        <w:t>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Among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drugs,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nephrotoxic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effects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common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mainly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manifest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increase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decrease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phosphorus,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which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cause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Fanconi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syndrome,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failure,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osteomalacia,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fractures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[11,12]</w:t>
      </w:r>
      <w:r w:rsidRPr="00237A77">
        <w:rPr>
          <w:rFonts w:ascii="Book Antiqua" w:eastAsia="Book Antiqua" w:hAnsi="Book Antiqua" w:cs="Book Antiqua"/>
          <w:color w:val="000000"/>
        </w:rPr>
        <w:t>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reason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nephrotoxicity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organic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transporter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991CBE" w:rsidRPr="00237A77">
        <w:rPr>
          <w:rFonts w:ascii="Book Antiqua" w:eastAsia="Book Antiqua" w:hAnsi="Book Antiqua" w:cs="Book Antiqua"/>
          <w:color w:val="000000"/>
        </w:rPr>
        <w:t>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proximal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tubule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strong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affinity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promote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absorption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resulting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higher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concentration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proximal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tubule.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kind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kidney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reversed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after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withdrawal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antiviral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drugs,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few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still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show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persistent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damage.</w:t>
      </w:r>
    </w:p>
    <w:p w14:paraId="41895551" w14:textId="0392207D" w:rsidR="00CC3233" w:rsidRPr="00237A77" w:rsidRDefault="007546E9" w:rsidP="00237A77">
      <w:pPr>
        <w:spacing w:line="360" w:lineRule="auto"/>
        <w:ind w:firstLineChars="100" w:firstLine="240"/>
        <w:jc w:val="both"/>
      </w:pPr>
      <w:r w:rsidRPr="00237A77">
        <w:rPr>
          <w:rFonts w:ascii="Book Antiqua" w:eastAsia="Book Antiqua" w:hAnsi="Book Antiqua" w:cs="Book Antiqua"/>
          <w:color w:val="000000"/>
        </w:rPr>
        <w:t>Gara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516E8" w:rsidRPr="00237A7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carried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average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7.4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years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follow-up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observations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51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received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TDF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antiviral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therapy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found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7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proximal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tubular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After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antiviral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changed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from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ETV,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kidney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achieved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improvement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Chinese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scholars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also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reported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could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reduce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eGFR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while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LAM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ETV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impact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724147"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237A77">
        <w:rPr>
          <w:rFonts w:ascii="Book Antiqua" w:eastAsia="Book Antiqua" w:hAnsi="Book Antiqua" w:cs="Book Antiqua"/>
          <w:color w:val="000000"/>
        </w:rPr>
        <w:t>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Amarapurkar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516E8" w:rsidRPr="00237A7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87EAD" w:rsidRPr="00237A7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724147"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292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64-mo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combined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LAM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found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9.6%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27.1%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hypophosphatemia,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which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14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developed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Fanconi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syndrome.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previous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clinical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observations,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also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found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effect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lastRenderedPageBreak/>
        <w:t>ADV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largest,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ETV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second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largest,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LAM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lowest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724147"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237A77">
        <w:rPr>
          <w:rFonts w:ascii="Book Antiqua" w:eastAsia="Book Antiqua" w:hAnsi="Book Antiqua" w:cs="Book Antiqua"/>
          <w:color w:val="000000"/>
        </w:rPr>
        <w:t>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study,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retrospectively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clinical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average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99.7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antiviral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results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showed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(8.7%)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elevated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levels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DF0813" w:rsidRPr="00237A77">
        <w:rPr>
          <w:rFonts w:ascii="Book Antiqua" w:eastAsia="Book Antiqua" w:hAnsi="Book Antiqua" w:cs="Book Antiqua"/>
          <w:color w:val="000000"/>
        </w:rPr>
        <w:t>BUN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13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hypophosphatemia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(18.8%).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decrease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eGFR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DF0813" w:rsidRPr="00237A77">
        <w:rPr>
          <w:rFonts w:ascii="Book Antiqua" w:eastAsia="Book Antiqua" w:hAnsi="Book Antiqua" w:cs="Book Antiqua"/>
          <w:color w:val="000000"/>
        </w:rPr>
        <w:t>BUN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increased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significantly,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phosphorus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decreased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</w:t>
      </w:r>
      <w:r w:rsidR="00637BD4"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&lt;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0.05),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percentage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hypophosphatemia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increased.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Moreover,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ADV/TDF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greater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percentage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high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levels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DF0813" w:rsidRPr="00237A77">
        <w:rPr>
          <w:rFonts w:ascii="Book Antiqua" w:eastAsia="Book Antiqua" w:hAnsi="Book Antiqua" w:cs="Book Antiqua"/>
          <w:color w:val="000000"/>
        </w:rPr>
        <w:t>BUN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(60%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36.4%),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hypophosphatemia</w:t>
      </w:r>
      <w:r w:rsidR="005012EE"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eGFR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less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70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mL/</w:t>
      </w:r>
      <w:r w:rsidR="00B87EAD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min</w:t>
      </w:r>
      <w:r w:rsidR="00E46328" w:rsidRPr="00237A77">
        <w:rPr>
          <w:rFonts w:ascii="Book Antiqua" w:eastAsia="Book Antiqua" w:hAnsi="Book Antiqua" w:cs="Book Antiqua"/>
          <w:color w:val="000000"/>
        </w:rPr>
        <w:t>·</w:t>
      </w:r>
      <w:r w:rsidRPr="00237A77">
        <w:rPr>
          <w:rFonts w:ascii="Book Antiqua" w:eastAsia="Book Antiqua" w:hAnsi="Book Antiqua" w:cs="Book Antiqua"/>
          <w:color w:val="000000"/>
        </w:rPr>
        <w:t>1.73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B87EAD" w:rsidRPr="00237A77">
        <w:rPr>
          <w:rFonts w:ascii="Book Antiqua" w:eastAsia="Book Antiqua" w:hAnsi="Book Antiqua" w:cs="Book Antiqua"/>
          <w:color w:val="000000"/>
        </w:rPr>
        <w:t>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5012EE" w:rsidRPr="00237A77">
        <w:rPr>
          <w:rFonts w:ascii="Book Antiqua" w:eastAsia="Book Antiqua" w:hAnsi="Book Antiqua" w:cs="Book Antiqua"/>
          <w:color w:val="000000"/>
        </w:rPr>
        <w:t>compared 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without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ADV/TDF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further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illustrated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certain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degree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impact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especially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potential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toxicity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which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Therefore,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ADV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should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clinical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antiviral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therapy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CHB.</w:t>
      </w:r>
    </w:p>
    <w:p w14:paraId="77645370" w14:textId="30F818BD" w:rsidR="00CC3233" w:rsidRPr="00237A77" w:rsidRDefault="007546E9" w:rsidP="00237A77">
      <w:pPr>
        <w:spacing w:line="360" w:lineRule="auto"/>
        <w:ind w:firstLineChars="100" w:firstLine="240"/>
        <w:jc w:val="both"/>
      </w:pP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lesions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reversible,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clinical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symptoms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obvious.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Traditional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such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protein,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DF0813" w:rsidRPr="00237A77">
        <w:rPr>
          <w:rFonts w:ascii="Book Antiqua" w:eastAsia="Book Antiqua" w:hAnsi="Book Antiqua" w:cs="Book Antiqua"/>
          <w:color w:val="000000"/>
        </w:rPr>
        <w:t>BUN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lesions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occur.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above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present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abnormalities,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approximately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50%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nephrons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have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irreversibly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damaged,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optimal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period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missed.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Therefore,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have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great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detection,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diagnosis</w:t>
      </w:r>
      <w:r w:rsidR="005012EE"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dysfunction.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generally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divided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two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categories: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637BD4" w:rsidRPr="00237A77">
        <w:rPr>
          <w:rFonts w:ascii="Book Antiqua" w:eastAsia="Book Antiqua" w:hAnsi="Book Antiqua" w:cs="Book Antiqua"/>
          <w:color w:val="000000"/>
        </w:rPr>
        <w:t>(1)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637BD4" w:rsidRPr="00237A77">
        <w:rPr>
          <w:rFonts w:ascii="Book Antiqua" w:eastAsia="Book Antiqua" w:hAnsi="Book Antiqua" w:cs="Book Antiqua"/>
          <w:color w:val="000000"/>
        </w:rPr>
        <w:t>G</w:t>
      </w:r>
      <w:r w:rsidRPr="00237A77">
        <w:rPr>
          <w:rFonts w:ascii="Book Antiqua" w:eastAsia="Book Antiqua" w:hAnsi="Book Antiqua" w:cs="Book Antiqua"/>
          <w:color w:val="000000"/>
        </w:rPr>
        <w:t>lomerular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markers</w:t>
      </w:r>
      <w:r w:rsidR="005012EE" w:rsidRPr="00237A77">
        <w:rPr>
          <w:rFonts w:ascii="Book Antiqua" w:eastAsia="Book Antiqua" w:hAnsi="Book Antiqua" w:cs="Book Antiqua"/>
          <w:color w:val="000000"/>
        </w:rPr>
        <w:t>, which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mainly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detect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glomerular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including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urinary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microalbumin,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urinary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immunoglobulin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transferrin,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237A77">
        <w:rPr>
          <w:rFonts w:ascii="Book Antiqua" w:eastAsia="Book Antiqua" w:hAnsi="Book Antiqua" w:cs="Book Antiqua"/>
          <w:color w:val="000000"/>
        </w:rPr>
        <w:t>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637BD4" w:rsidRPr="00237A77">
        <w:rPr>
          <w:rFonts w:ascii="Book Antiqua" w:eastAsia="Book Antiqua" w:hAnsi="Book Antiqua" w:cs="Book Antiqua"/>
          <w:color w:val="000000"/>
        </w:rPr>
        <w:t>(2)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tubule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markers,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which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reflect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status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tubular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including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medium-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low-molecular-weight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proteins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(such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012F43" w:rsidRPr="00237A77">
        <w:rPr>
          <w:rFonts w:ascii="Book Antiqua" w:eastAsia="Book Antiqua" w:hAnsi="Book Antiqua" w:cs="Book Antiqua"/>
          <w:color w:val="000000"/>
        </w:rPr>
        <w:t>α1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microglobulin,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β2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microglobulin,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retinol-binding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protein,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237A77">
        <w:rPr>
          <w:rFonts w:ascii="Book Antiqua" w:eastAsia="Book Antiqua" w:hAnsi="Book Antiqua" w:cs="Book Antiqua"/>
          <w:color w:val="000000"/>
        </w:rPr>
        <w:t>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enzymes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(such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enzyme,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lysozyme,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237A77">
        <w:rPr>
          <w:rFonts w:ascii="Book Antiqua" w:eastAsia="Book Antiqua" w:hAnsi="Book Antiqua" w:cs="Book Antiqua"/>
          <w:color w:val="000000"/>
        </w:rPr>
        <w:t>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addition,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some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nonspecific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such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5012EE" w:rsidRPr="00237A77">
        <w:rPr>
          <w:rFonts w:ascii="Book Antiqua" w:eastAsia="Book Antiqua" w:hAnsi="Book Antiqua" w:cs="Book Antiqua"/>
          <w:color w:val="000000"/>
        </w:rPr>
        <w:t>alkaline phosphatase</w:t>
      </w:r>
      <w:r w:rsidR="005012EE" w:rsidRPr="00237A77" w:rsidDel="005012EE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GGT,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supplementary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markers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detecting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proximal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tubule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injury.</w:t>
      </w:r>
    </w:p>
    <w:p w14:paraId="199E87F3" w14:textId="4D1B0331" w:rsidR="00A77B3E" w:rsidRPr="00237A77" w:rsidRDefault="007546E9" w:rsidP="00237A77">
      <w:pPr>
        <w:spacing w:line="360" w:lineRule="auto"/>
        <w:ind w:firstLineChars="100" w:firstLine="240"/>
        <w:jc w:val="both"/>
      </w:pPr>
      <w:r w:rsidRPr="00237A77">
        <w:rPr>
          <w:rFonts w:ascii="Book Antiqua" w:eastAsia="Book Antiqua" w:hAnsi="Book Antiqua" w:cs="Book Antiqua"/>
          <w:color w:val="000000"/>
        </w:rPr>
        <w:lastRenderedPageBreak/>
        <w:t>Previous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clinical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research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mainly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focused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reporting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tubule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caused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our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study,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total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31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(44.9%)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development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including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cases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microalbumin,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7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cases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globulin,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cases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urinary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transferrin,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14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cases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enzyme,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cases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012F43" w:rsidRPr="00237A77">
        <w:rPr>
          <w:rFonts w:ascii="Book Antiqua" w:eastAsia="Book Antiqua" w:hAnsi="Book Antiqua" w:cs="Book Antiqua"/>
          <w:color w:val="000000"/>
        </w:rPr>
        <w:t>α1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microglobulin.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result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suggested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potential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toxicity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tubule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well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glomerulus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probability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tubular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relatively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high.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age,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sex,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DF0813" w:rsidRPr="00237A77">
        <w:rPr>
          <w:rFonts w:ascii="Book Antiqua" w:eastAsia="Book Antiqua" w:hAnsi="Book Antiqua" w:cs="Book Antiqua"/>
          <w:color w:val="000000"/>
        </w:rPr>
        <w:t>BUN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eGFR,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acid,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calcium,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phosphorus,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magnesium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without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however,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levels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urinary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enzyme,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012F43" w:rsidRPr="00237A77">
        <w:rPr>
          <w:rFonts w:ascii="Book Antiqua" w:eastAsia="Book Antiqua" w:hAnsi="Book Antiqua" w:cs="Book Antiqua"/>
          <w:color w:val="000000"/>
        </w:rPr>
        <w:t>α1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microglobulin</w:t>
      </w:r>
      <w:r w:rsidR="005012EE"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urinary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immunoglobulin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higher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those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without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</w:t>
      </w:r>
      <w:r w:rsidR="00CC3233"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&lt;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0.05).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While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routine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test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results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all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could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eGFR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≥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90,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60-89</w:t>
      </w:r>
      <w:r w:rsidR="005012EE"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30-59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mL/</w:t>
      </w:r>
      <w:r w:rsidR="00CC3233" w:rsidRPr="00237A77">
        <w:rPr>
          <w:rFonts w:ascii="Book Antiqua" w:eastAsia="Book Antiqua" w:hAnsi="Book Antiqua" w:cs="Book Antiqua"/>
          <w:color w:val="000000"/>
        </w:rPr>
        <w:t>(</w:t>
      </w:r>
      <w:r w:rsidRPr="00237A77">
        <w:rPr>
          <w:rFonts w:ascii="Book Antiqua" w:eastAsia="Book Antiqua" w:hAnsi="Book Antiqua" w:cs="Book Antiqua"/>
          <w:color w:val="000000"/>
        </w:rPr>
        <w:t>min</w:t>
      </w:r>
      <w:r w:rsidR="00CC3233" w:rsidRPr="00237A77">
        <w:rPr>
          <w:rFonts w:ascii="Book Antiqua" w:eastAsia="Book Antiqua" w:hAnsi="Book Antiqua" w:cs="Book Antiqua"/>
          <w:color w:val="000000"/>
        </w:rPr>
        <w:t>·</w:t>
      </w:r>
      <w:r w:rsidRPr="00237A77">
        <w:rPr>
          <w:rFonts w:ascii="Book Antiqua" w:eastAsia="Book Antiqua" w:hAnsi="Book Antiqua" w:cs="Book Antiqua"/>
          <w:color w:val="000000"/>
        </w:rPr>
        <w:t>1.73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CC3233" w:rsidRPr="00237A77">
        <w:rPr>
          <w:rFonts w:ascii="Book Antiqua" w:eastAsia="Book Antiqua" w:hAnsi="Book Antiqua" w:cs="Book Antiqua"/>
          <w:color w:val="000000"/>
          <w:szCs w:val="30"/>
        </w:rPr>
        <w:t>)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incidence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damage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36.4%,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47.6%</w:t>
      </w:r>
      <w:r w:rsidR="005012EE"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60%,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respectively.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proved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that,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compared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traditional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could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more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sensitive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earlier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screen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Logistic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regression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analysis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results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showed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GGT,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DBIL,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independent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predictors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injury.</w:t>
      </w:r>
    </w:p>
    <w:p w14:paraId="71D22A66" w14:textId="77777777" w:rsidR="00A77B3E" w:rsidRPr="00237A77" w:rsidRDefault="00A77B3E" w:rsidP="00237A77">
      <w:pPr>
        <w:spacing w:line="360" w:lineRule="auto"/>
        <w:jc w:val="both"/>
      </w:pPr>
    </w:p>
    <w:p w14:paraId="26B182F1" w14:textId="77777777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2F92302" w14:textId="753BE70E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summary,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results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study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showed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potentially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toxic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effects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glomerulus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tubules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632EEB" w:rsidRPr="000B0484">
        <w:rPr>
          <w:color w:val="000000" w:themeColor="text1"/>
        </w:rPr>
        <w:fldChar w:fldCharType="begin"/>
      </w:r>
      <w:r w:rsidR="00632EEB" w:rsidRPr="00237A77">
        <w:instrText xml:space="preserve"> HYPERLINK "https://fanyi.so.com/?src=onebox" \l "kidney" \t "_blank" </w:instrText>
      </w:r>
      <w:r w:rsidR="00632EEB" w:rsidRPr="000B0484">
        <w:rPr>
          <w:color w:val="000000" w:themeColor="text1"/>
        </w:rPr>
        <w:fldChar w:fldCharType="separate"/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632EEB" w:rsidRPr="000B048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fldChar w:fldCharType="end"/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tubule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more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common.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incidence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reached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44.9%,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which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should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arouse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sufficient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attention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clinical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doctors.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Compared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traditional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higher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sensitivity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could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screen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therapy.</w:t>
      </w:r>
    </w:p>
    <w:p w14:paraId="2AC0B3D5" w14:textId="77777777" w:rsidR="00A77B3E" w:rsidRPr="00237A77" w:rsidRDefault="00A77B3E" w:rsidP="00237A77">
      <w:pPr>
        <w:spacing w:line="360" w:lineRule="auto"/>
        <w:jc w:val="both"/>
      </w:pPr>
    </w:p>
    <w:p w14:paraId="3DBFBD63" w14:textId="4B45038F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ARTICLE</w:t>
      </w:r>
      <w:r w:rsidR="003516E8" w:rsidRPr="00237A7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37A77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FD1429F" w14:textId="56D15A14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516E8" w:rsidRPr="00237A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9F5CECA" w14:textId="5C72400D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chronic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hepatitis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84796" w:rsidRPr="00237A77">
        <w:rPr>
          <w:rFonts w:ascii="Book Antiqua" w:eastAsia="Book Antiqua" w:hAnsi="Book Antiqua" w:cs="Book Antiqua"/>
          <w:color w:val="000000"/>
        </w:rPr>
        <w:t>(CHB)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nucleos(t)ide</w:t>
      </w:r>
      <w:r w:rsidR="006F79C4" w:rsidRPr="00237A77">
        <w:rPr>
          <w:rFonts w:ascii="Book Antiqua" w:eastAsia="Book Antiqua" w:hAnsi="Book Antiqua" w:cs="Book Antiqua"/>
          <w:color w:val="000000"/>
        </w:rPr>
        <w:t xml:space="preserve"> (NA)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therapy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experience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insufficiency.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Traditional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such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protein,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84796"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84796" w:rsidRPr="00237A77">
        <w:rPr>
          <w:rFonts w:ascii="Book Antiqua" w:eastAsia="Book Antiqua" w:hAnsi="Book Antiqua" w:cs="Book Antiqua"/>
          <w:color w:val="000000"/>
        </w:rPr>
        <w:t>urea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84796" w:rsidRPr="00237A77">
        <w:rPr>
          <w:rFonts w:ascii="Book Antiqua" w:eastAsia="Book Antiqua" w:hAnsi="Book Antiqua" w:cs="Book Antiqua"/>
          <w:color w:val="000000"/>
        </w:rPr>
        <w:t>nitrogen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84796" w:rsidRPr="00237A77">
        <w:rPr>
          <w:rFonts w:ascii="Book Antiqua" w:eastAsia="Book Antiqua" w:hAnsi="Book Antiqua" w:cs="Book Antiqua"/>
          <w:color w:val="000000"/>
        </w:rPr>
        <w:t>(</w:t>
      </w:r>
      <w:r w:rsidR="00DF0813" w:rsidRPr="00237A77">
        <w:rPr>
          <w:rFonts w:ascii="Book Antiqua" w:eastAsia="Book Antiqua" w:hAnsi="Book Antiqua" w:cs="Book Antiqua"/>
          <w:color w:val="000000"/>
        </w:rPr>
        <w:t>BUN</w:t>
      </w:r>
      <w:r w:rsidR="00784796" w:rsidRPr="00237A77">
        <w:rPr>
          <w:rFonts w:ascii="Book Antiqua" w:eastAsia="Book Antiqua" w:hAnsi="Book Antiqua" w:cs="Book Antiqua"/>
          <w:color w:val="000000"/>
        </w:rPr>
        <w:t>)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lesions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occur.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Therefore,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more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sensitive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needed.</w:t>
      </w:r>
    </w:p>
    <w:p w14:paraId="060AED22" w14:textId="77777777" w:rsidR="00A77B3E" w:rsidRPr="00237A77" w:rsidRDefault="00A77B3E" w:rsidP="00237A77">
      <w:pPr>
        <w:spacing w:line="360" w:lineRule="auto"/>
        <w:jc w:val="both"/>
      </w:pPr>
    </w:p>
    <w:p w14:paraId="6C37EB58" w14:textId="2A8028FC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516E8" w:rsidRPr="00237A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84C7F70" w14:textId="1967DC74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5012EE" w:rsidRPr="00237A77">
        <w:rPr>
          <w:rFonts w:ascii="Book Antiqua" w:eastAsia="Book Antiqua" w:hAnsi="Book Antiqua" w:cs="Book Antiqua"/>
          <w:color w:val="000000"/>
        </w:rPr>
        <w:t xml:space="preserve">identify </w:t>
      </w:r>
      <w:r w:rsidRPr="00237A77">
        <w:rPr>
          <w:rFonts w:ascii="Book Antiqua" w:eastAsia="Book Antiqua" w:hAnsi="Book Antiqua" w:cs="Book Antiqua"/>
          <w:color w:val="000000"/>
        </w:rPr>
        <w:t>more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sensitive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indicators.</w:t>
      </w:r>
    </w:p>
    <w:p w14:paraId="69C1B7E3" w14:textId="77777777" w:rsidR="00A77B3E" w:rsidRPr="00237A77" w:rsidRDefault="00A77B3E" w:rsidP="00237A77">
      <w:pPr>
        <w:spacing w:line="360" w:lineRule="auto"/>
        <w:jc w:val="both"/>
      </w:pPr>
    </w:p>
    <w:p w14:paraId="47B87541" w14:textId="09293881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516E8" w:rsidRPr="00237A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A7706C6" w14:textId="5CF18395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investigate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evaluating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84796" w:rsidRPr="00237A77">
        <w:rPr>
          <w:rFonts w:ascii="Book Antiqua" w:eastAsia="Book Antiqua" w:hAnsi="Book Antiqua" w:cs="Book Antiqua"/>
          <w:color w:val="000000"/>
        </w:rPr>
        <w:t>CH</w:t>
      </w:r>
      <w:r w:rsidRPr="00237A77">
        <w:rPr>
          <w:rFonts w:ascii="Book Antiqua" w:eastAsia="Book Antiqua" w:hAnsi="Book Antiqua" w:cs="Book Antiqua"/>
          <w:color w:val="000000"/>
        </w:rPr>
        <w:t>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6F79C4" w:rsidRPr="00237A77">
        <w:rPr>
          <w:rFonts w:ascii="Book Antiqua" w:eastAsia="Book Antiqua" w:hAnsi="Book Antiqua" w:cs="Book Antiqua"/>
          <w:color w:val="000000"/>
        </w:rPr>
        <w:t>NAs</w:t>
      </w:r>
      <w:r w:rsidRPr="00237A77">
        <w:rPr>
          <w:rFonts w:ascii="Book Antiqua" w:eastAsia="Book Antiqua" w:hAnsi="Book Antiqua" w:cs="Book Antiqua"/>
          <w:color w:val="000000"/>
        </w:rPr>
        <w:t>.</w:t>
      </w:r>
    </w:p>
    <w:p w14:paraId="134B8A56" w14:textId="77777777" w:rsidR="00A77B3E" w:rsidRPr="00237A77" w:rsidRDefault="00A77B3E" w:rsidP="00237A77">
      <w:pPr>
        <w:spacing w:line="360" w:lineRule="auto"/>
        <w:jc w:val="both"/>
      </w:pPr>
    </w:p>
    <w:p w14:paraId="5406C5C1" w14:textId="3D25AEBE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516E8" w:rsidRPr="00237A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2DD6604" w14:textId="3851C57E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We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collected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clinical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outpatients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84796" w:rsidRPr="00237A77">
        <w:rPr>
          <w:rFonts w:ascii="Book Antiqua" w:eastAsia="Book Antiqua" w:hAnsi="Book Antiqua" w:cs="Book Antiqua"/>
          <w:color w:val="000000"/>
        </w:rPr>
        <w:t>CH</w:t>
      </w:r>
      <w:r w:rsidRPr="00237A77">
        <w:rPr>
          <w:rFonts w:ascii="Book Antiqua" w:eastAsia="Book Antiqua" w:hAnsi="Book Antiqua" w:cs="Book Antiqua"/>
          <w:color w:val="000000"/>
        </w:rPr>
        <w:t>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Peking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University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First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Hospital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from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March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2018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January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2020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6F79C4" w:rsidRPr="00237A77">
        <w:rPr>
          <w:rFonts w:ascii="Book Antiqua" w:eastAsia="Book Antiqua" w:hAnsi="Book Antiqua" w:cs="Book Antiqua"/>
          <w:color w:val="000000"/>
        </w:rPr>
        <w:t>NA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therapy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results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Continuous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distribution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237A77">
        <w:rPr>
          <w:rFonts w:ascii="Book Antiqua" w:eastAsia="Book Antiqua" w:hAnsi="Book Antiqua" w:cs="Book Antiqua"/>
          <w:color w:val="000000"/>
        </w:rPr>
        <w:t>-test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determine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between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two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Continuous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nonnormally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distributed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Mann-Whitney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color w:val="000000"/>
        </w:rPr>
        <w:t>U</w:t>
      </w:r>
      <w:r w:rsidRPr="00237A77">
        <w:rPr>
          <w:rFonts w:ascii="Book Antiqua" w:eastAsia="Book Antiqua" w:hAnsi="Book Antiqua" w:cs="Book Antiqua"/>
          <w:color w:val="000000"/>
        </w:rPr>
        <w:t>-test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between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two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Kruskal-Wallis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test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determine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among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multiple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Enumeration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chi-square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test.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related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factors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analyzed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logistic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regression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analysis.</w:t>
      </w:r>
    </w:p>
    <w:p w14:paraId="229F6652" w14:textId="77777777" w:rsidR="00A77B3E" w:rsidRPr="00237A77" w:rsidRDefault="00A77B3E" w:rsidP="00237A77">
      <w:pPr>
        <w:spacing w:line="360" w:lineRule="auto"/>
        <w:jc w:val="both"/>
      </w:pPr>
    </w:p>
    <w:p w14:paraId="58251A79" w14:textId="07DB778E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516E8" w:rsidRPr="00237A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2758720" w14:textId="6E42058B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average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treatment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duration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99.7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±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28.7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mo.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cases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elevated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2391C" w:rsidRPr="00237A77">
        <w:rPr>
          <w:rFonts w:ascii="Book Antiqua" w:eastAsia="Book Antiqua" w:hAnsi="Book Antiqua" w:cs="Book Antiqua"/>
          <w:color w:val="000000"/>
        </w:rPr>
        <w:t>BUN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hypophosphatemia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(8.7%)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13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(18.8%),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respectively;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31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(44.9%)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lastRenderedPageBreak/>
        <w:t>including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microalbumin,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7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immunoglobulin,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transferrin,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abnormal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α1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microglobulin.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differences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age,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sex,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B2391C" w:rsidRPr="00237A77">
        <w:rPr>
          <w:rFonts w:ascii="Book Antiqua" w:eastAsia="Book Antiqua" w:hAnsi="Book Antiqua" w:cs="Book Antiqua"/>
          <w:color w:val="000000"/>
        </w:rPr>
        <w:t>BUN</w:t>
      </w:r>
      <w:r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estimated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glomerular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filtration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rate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(eGFR),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acid,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calcium,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phosphorus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between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two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without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However,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mean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levels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enzyme,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α1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microglobulin</w:t>
      </w:r>
      <w:r w:rsidR="006F79C4"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urine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immunoglobulin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former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significantly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higher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those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latter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group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</w:t>
      </w:r>
      <w:r w:rsidR="00637BD4"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&lt;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0.05).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incidence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9D3756" w:rsidRPr="00237A77">
        <w:rPr>
          <w:rFonts w:ascii="Book Antiqua" w:eastAsia="Book Antiqua" w:hAnsi="Book Antiqua" w:cs="Book Antiqua"/>
          <w:color w:val="000000"/>
        </w:rPr>
        <w:t>eGFR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≥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90,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60-89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30-59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mL</w:t>
      </w:r>
      <w:proofErr w:type="gramStart"/>
      <w:r w:rsidRPr="00237A77">
        <w:rPr>
          <w:rFonts w:ascii="Book Antiqua" w:eastAsia="Book Antiqua" w:hAnsi="Book Antiqua" w:cs="Book Antiqua"/>
          <w:color w:val="000000"/>
        </w:rPr>
        <w:t>/</w:t>
      </w:r>
      <w:r w:rsidR="006802F4" w:rsidRPr="00237A77">
        <w:rPr>
          <w:rFonts w:ascii="Book Antiqua" w:eastAsia="Book Antiqua" w:hAnsi="Book Antiqua" w:cs="Book Antiqua"/>
          <w:color w:val="000000"/>
        </w:rPr>
        <w:t>(</w:t>
      </w:r>
      <w:proofErr w:type="gramEnd"/>
      <w:r w:rsidRPr="00237A77">
        <w:rPr>
          <w:rFonts w:ascii="Book Antiqua" w:eastAsia="Book Antiqua" w:hAnsi="Book Antiqua" w:cs="Book Antiqua"/>
          <w:color w:val="000000"/>
        </w:rPr>
        <w:t>min</w:t>
      </w:r>
      <w:r w:rsidR="006802F4" w:rsidRPr="00237A77">
        <w:rPr>
          <w:rFonts w:ascii="Book Antiqua" w:eastAsia="Book Antiqua" w:hAnsi="Book Antiqua" w:cs="Book Antiqua"/>
          <w:color w:val="000000"/>
        </w:rPr>
        <w:t>·</w:t>
      </w:r>
      <w:r w:rsidRPr="00237A77">
        <w:rPr>
          <w:rFonts w:ascii="Book Antiqua" w:eastAsia="Book Antiqua" w:hAnsi="Book Antiqua" w:cs="Book Antiqua"/>
          <w:color w:val="000000"/>
        </w:rPr>
        <w:t>1.73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</w:t>
      </w:r>
      <w:r w:rsidRPr="00237A77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6802F4" w:rsidRPr="00237A77">
        <w:rPr>
          <w:rFonts w:ascii="Book Antiqua" w:eastAsia="Book Antiqua" w:hAnsi="Book Antiqua" w:cs="Book Antiqua"/>
          <w:color w:val="000000"/>
        </w:rPr>
        <w:t>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36.4%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(8/22),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47.6%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(20/42),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60%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(3/5),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respectively.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Logistic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regression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analysis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results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showed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gamma-glutamyl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transpeptidase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[odds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ratio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(OR)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1.05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(1.008-1.093),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0.020],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direct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bilirubin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[OR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1.548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(1.111-2.159),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0.010],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serum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creatinine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[OR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1.079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(1.022-1.139),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0.006]</w:t>
      </w:r>
      <w:r w:rsidR="006F79C4" w:rsidRPr="00237A77">
        <w:rPr>
          <w:rFonts w:ascii="Book Antiqua" w:eastAsia="Book Antiqua" w:hAnsi="Book Antiqua" w:cs="Book Antiqua"/>
          <w:color w:val="000000"/>
        </w:rPr>
        <w:t>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age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[OR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0.981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(0.942-1.022),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=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0.357]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independent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predictors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injury.</w:t>
      </w:r>
    </w:p>
    <w:p w14:paraId="11CD9112" w14:textId="77777777" w:rsidR="00A77B3E" w:rsidRPr="00237A77" w:rsidRDefault="00A77B3E" w:rsidP="00237A77">
      <w:pPr>
        <w:spacing w:line="360" w:lineRule="auto"/>
        <w:jc w:val="both"/>
      </w:pPr>
    </w:p>
    <w:p w14:paraId="16432D18" w14:textId="58CBF2FB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516E8" w:rsidRPr="00237A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A25A51F" w14:textId="58621D83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treated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long-term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therapy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had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high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probability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highly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sensitive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could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used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monitor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impairment.</w:t>
      </w:r>
    </w:p>
    <w:p w14:paraId="013C60F8" w14:textId="77777777" w:rsidR="00A77B3E" w:rsidRPr="00237A77" w:rsidRDefault="00A77B3E" w:rsidP="00237A77">
      <w:pPr>
        <w:spacing w:line="360" w:lineRule="auto"/>
        <w:jc w:val="both"/>
      </w:pPr>
    </w:p>
    <w:p w14:paraId="0460C13F" w14:textId="4152ADFA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516E8" w:rsidRPr="00237A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EE23561" w14:textId="22D3ADA2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Retrospective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analysis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9C38A9" w:rsidRPr="00237A77">
        <w:rPr>
          <w:rFonts w:ascii="Book Antiqua" w:eastAsia="Book Antiqua" w:hAnsi="Book Antiqua" w:cs="Book Antiqua"/>
          <w:color w:val="000000"/>
        </w:rPr>
        <w:t>CH</w:t>
      </w:r>
      <w:r w:rsidRPr="00237A77">
        <w:rPr>
          <w:rFonts w:ascii="Book Antiqua" w:eastAsia="Book Antiqua" w:hAnsi="Book Antiqua" w:cs="Book Antiqua"/>
          <w:color w:val="000000"/>
        </w:rPr>
        <w:t>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deteriorating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function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undergoing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therapy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performed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compare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predictive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value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early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injury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indicators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drug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toxicity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renal.</w:t>
      </w:r>
    </w:p>
    <w:p w14:paraId="17267EA6" w14:textId="77777777" w:rsidR="00A77B3E" w:rsidRPr="00237A77" w:rsidRDefault="00A77B3E" w:rsidP="00237A77">
      <w:pPr>
        <w:spacing w:line="360" w:lineRule="auto"/>
        <w:jc w:val="both"/>
      </w:pPr>
    </w:p>
    <w:p w14:paraId="3AD5678D" w14:textId="77777777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27F24F91" w14:textId="5BDDE042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authors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would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like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sincerely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thank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Professor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Lu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DF0813" w:rsidRPr="00237A77">
        <w:rPr>
          <w:rFonts w:ascii="Book Antiqua" w:eastAsia="Book Antiqua" w:hAnsi="Book Antiqua" w:cs="Book Antiqua"/>
          <w:color w:val="000000"/>
        </w:rPr>
        <w:t>HY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(Peking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University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First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Hospital)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guidance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study.</w:t>
      </w:r>
    </w:p>
    <w:p w14:paraId="15E33456" w14:textId="77777777" w:rsidR="00A77B3E" w:rsidRPr="00237A77" w:rsidRDefault="00A77B3E" w:rsidP="00237A77">
      <w:pPr>
        <w:spacing w:line="360" w:lineRule="auto"/>
        <w:jc w:val="both"/>
      </w:pPr>
    </w:p>
    <w:p w14:paraId="485B85BB" w14:textId="77777777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2060BBC6" w14:textId="552A5A9C" w:rsidR="00BF2D8A" w:rsidRPr="00237A77" w:rsidRDefault="00BF2D8A" w:rsidP="00237A77">
      <w:pPr>
        <w:spacing w:line="360" w:lineRule="auto"/>
        <w:jc w:val="both"/>
        <w:rPr>
          <w:rFonts w:ascii="Book Antiqua" w:hAnsi="Book Antiqua"/>
        </w:rPr>
      </w:pPr>
      <w:r w:rsidRPr="00237A77">
        <w:rPr>
          <w:rFonts w:ascii="Book Antiqua" w:hAnsi="Book Antiqua"/>
        </w:rPr>
        <w:t>1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Chang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TT</w:t>
      </w:r>
      <w:r w:rsidRPr="00237A77">
        <w:rPr>
          <w:rFonts w:ascii="Book Antiqua" w:hAnsi="Book Antiqua"/>
        </w:rPr>
        <w:t>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Gish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RG,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Man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Gadano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Sollano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Chao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YC,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Lok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AS,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Han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KH,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Goodman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Z,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Zhu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Cross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DeHertogh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Wilber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Colonno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Apelian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D;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BEHoLD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AI463022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Study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Group.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comparison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of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entecavir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and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lamivudine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for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HBeAg</w:t>
      </w:r>
      <w:proofErr w:type="spellEnd"/>
      <w:r w:rsidRPr="00237A77">
        <w:rPr>
          <w:rFonts w:ascii="Book Antiqua" w:hAnsi="Book Antiqua"/>
        </w:rPr>
        <w:t>-positive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chronic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hepatitis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i/>
          <w:iCs/>
        </w:rPr>
        <w:t>N</w:t>
      </w:r>
      <w:r w:rsidR="003516E8" w:rsidRPr="00237A77">
        <w:rPr>
          <w:rFonts w:ascii="Book Antiqua" w:hAnsi="Book Antiqua"/>
          <w:i/>
          <w:iCs/>
        </w:rPr>
        <w:t xml:space="preserve"> </w:t>
      </w:r>
      <w:proofErr w:type="spellStart"/>
      <w:r w:rsidRPr="00237A77">
        <w:rPr>
          <w:rFonts w:ascii="Book Antiqua" w:hAnsi="Book Antiqua"/>
          <w:i/>
          <w:iCs/>
        </w:rPr>
        <w:t>Engl</w:t>
      </w:r>
      <w:proofErr w:type="spellEnd"/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J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Med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2006;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354</w:t>
      </w:r>
      <w:r w:rsidRPr="00237A77">
        <w:rPr>
          <w:rFonts w:ascii="Book Antiqua" w:hAnsi="Book Antiqua"/>
        </w:rPr>
        <w:t>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1001-1010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[PMID: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16525137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DOI: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10.1056/NEJMoa051285]</w:t>
      </w:r>
    </w:p>
    <w:p w14:paraId="3A10651C" w14:textId="275AF902" w:rsidR="00BF2D8A" w:rsidRPr="00237A77" w:rsidRDefault="00BF2D8A" w:rsidP="00237A77">
      <w:pPr>
        <w:spacing w:line="360" w:lineRule="auto"/>
        <w:jc w:val="both"/>
        <w:rPr>
          <w:rFonts w:ascii="Book Antiqua" w:hAnsi="Book Antiqua"/>
        </w:rPr>
      </w:pPr>
      <w:r w:rsidRPr="00237A77">
        <w:rPr>
          <w:rFonts w:ascii="Book Antiqua" w:hAnsi="Book Antiqua"/>
        </w:rPr>
        <w:t>2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Chang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TT</w:t>
      </w:r>
      <w:r w:rsidRPr="00237A77">
        <w:rPr>
          <w:rFonts w:ascii="Book Antiqua" w:hAnsi="Book Antiqua"/>
        </w:rPr>
        <w:t>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Lai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CL,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Kew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Yoon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Lee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SS,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Coelho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HS,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Carrilho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FJ,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Poordad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Halota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Horsmans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Y,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Tsai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N,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Zhang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Tenney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DJ,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Tamez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Iloeje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U.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Entecavir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treatment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for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up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5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years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patients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with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hepatitis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antigen-positive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chronic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hepatitis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i/>
          <w:iCs/>
        </w:rPr>
        <w:t>Hepatology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2010;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51</w:t>
      </w:r>
      <w:r w:rsidRPr="00237A77">
        <w:rPr>
          <w:rFonts w:ascii="Book Antiqua" w:hAnsi="Book Antiqua"/>
        </w:rPr>
        <w:t>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422-430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[PMID: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20049753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DOI: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10.1002/hep.23327]</w:t>
      </w:r>
    </w:p>
    <w:p w14:paraId="2203B645" w14:textId="50A09776" w:rsidR="00BF2D8A" w:rsidRPr="00237A77" w:rsidRDefault="00BF2D8A" w:rsidP="00237A77">
      <w:pPr>
        <w:spacing w:line="360" w:lineRule="auto"/>
        <w:jc w:val="both"/>
        <w:rPr>
          <w:rFonts w:ascii="Book Antiqua" w:hAnsi="Book Antiqua"/>
        </w:rPr>
      </w:pPr>
      <w:r w:rsidRPr="00237A77">
        <w:rPr>
          <w:rFonts w:ascii="Book Antiqua" w:hAnsi="Book Antiqua"/>
        </w:rPr>
        <w:t>3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Hou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JL</w:t>
      </w:r>
      <w:r w:rsidRPr="00237A77">
        <w:rPr>
          <w:rFonts w:ascii="Book Antiqua" w:hAnsi="Book Antiqua"/>
        </w:rPr>
        <w:t>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Gao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ZL,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Xie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Q,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Zhang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JM,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Sheng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JF,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Cheng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Chen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CW,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Mao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Q,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Zhao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Ren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Tan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DM,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Niu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JQ,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Chen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Pan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Mao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YM,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Jia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JD,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Ning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Q,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Xu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Wu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SM,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Zhang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XX,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Y,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Dong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Tenofovir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disoproxil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fumarate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vs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adefovir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dipivoxil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Chinese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patients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with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chronic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hepatitis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after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48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weeks: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randomized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controlled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trial.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i/>
          <w:iCs/>
        </w:rPr>
        <w:t>J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Viral</w:t>
      </w:r>
      <w:r w:rsidR="003516E8" w:rsidRPr="00237A77">
        <w:rPr>
          <w:rFonts w:ascii="Book Antiqua" w:hAnsi="Book Antiqua"/>
          <w:i/>
          <w:iCs/>
        </w:rPr>
        <w:t xml:space="preserve"> </w:t>
      </w:r>
      <w:proofErr w:type="spellStart"/>
      <w:r w:rsidRPr="00237A77">
        <w:rPr>
          <w:rFonts w:ascii="Book Antiqua" w:hAnsi="Book Antiqua"/>
          <w:i/>
          <w:iCs/>
        </w:rPr>
        <w:t>Hepat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2015;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22</w:t>
      </w:r>
      <w:r w:rsidRPr="00237A77">
        <w:rPr>
          <w:rFonts w:ascii="Book Antiqua" w:hAnsi="Book Antiqua"/>
        </w:rPr>
        <w:t>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85-93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[PMID: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25243325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DOI: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10.1111/jvh.12313]</w:t>
      </w:r>
    </w:p>
    <w:p w14:paraId="03743968" w14:textId="70C98D0B" w:rsidR="00BF2D8A" w:rsidRPr="00237A77" w:rsidRDefault="00BF2D8A" w:rsidP="00237A77">
      <w:pPr>
        <w:spacing w:line="360" w:lineRule="auto"/>
        <w:jc w:val="both"/>
        <w:rPr>
          <w:rFonts w:ascii="Book Antiqua" w:hAnsi="Book Antiqua"/>
        </w:rPr>
      </w:pPr>
      <w:r w:rsidRPr="00237A77">
        <w:rPr>
          <w:rFonts w:ascii="Book Antiqua" w:hAnsi="Book Antiqua"/>
        </w:rPr>
        <w:t>4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Liang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X</w:t>
      </w:r>
      <w:r w:rsidRPr="00237A77">
        <w:rPr>
          <w:rFonts w:ascii="Book Antiqua" w:hAnsi="Book Antiqua"/>
        </w:rPr>
        <w:t>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Gao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Z,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Xie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Q,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Zhang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Sheng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Cheng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Chen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Mao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Q,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Zhao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Ren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Tan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Niu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Chen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Pan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Mao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Y,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Jia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Ning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Q,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Xu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Wu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Zhang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X,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Zhang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Xiong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Hou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Long-term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efficacy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and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safety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of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tenofovir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disoproxil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fumarate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Chinese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patients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with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chronic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hepatitis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5-year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results.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i/>
          <w:iCs/>
        </w:rPr>
        <w:t>Hepatol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Int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2019;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13</w:t>
      </w:r>
      <w:r w:rsidRPr="00237A77">
        <w:rPr>
          <w:rFonts w:ascii="Book Antiqua" w:hAnsi="Book Antiqua"/>
        </w:rPr>
        <w:t>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260-269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[PMID: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30977033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DOI: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10.1007/s12072-019-09943-6]</w:t>
      </w:r>
    </w:p>
    <w:p w14:paraId="1CCAF112" w14:textId="0F97553E" w:rsidR="00BF2D8A" w:rsidRPr="00237A77" w:rsidRDefault="00BF2D8A" w:rsidP="00237A77">
      <w:pPr>
        <w:spacing w:line="360" w:lineRule="auto"/>
        <w:jc w:val="both"/>
        <w:rPr>
          <w:rFonts w:ascii="Book Antiqua" w:hAnsi="Book Antiqua"/>
        </w:rPr>
      </w:pPr>
      <w:r w:rsidRPr="00237A77">
        <w:rPr>
          <w:rFonts w:ascii="Book Antiqua" w:hAnsi="Book Antiqua"/>
        </w:rPr>
        <w:t>5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Chan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HL</w:t>
      </w:r>
      <w:r w:rsidRPr="00237A77">
        <w:rPr>
          <w:rFonts w:ascii="Book Antiqua" w:hAnsi="Book Antiqua"/>
        </w:rPr>
        <w:t>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Fung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Seto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WK,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Chuang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WL,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Chen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CY,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Kim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Hui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Janssen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HL,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Chowdhury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Tsang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TY,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Mehta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Gane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E,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Flaherty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JF,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Massetto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Gaggar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Kitrinos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KM,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Lin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Subramanian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GM,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McHutchison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JG,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Lim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YS,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Acharya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SK,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Agarwal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K;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GS-US-320-0110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Investigators.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Tenofovir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alafenamide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versus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tenofovir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disoproxil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fumarate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for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the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treatment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of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HBeAg</w:t>
      </w:r>
      <w:proofErr w:type="spellEnd"/>
      <w:r w:rsidRPr="00237A77">
        <w:rPr>
          <w:rFonts w:ascii="Book Antiqua" w:hAnsi="Book Antiqua"/>
        </w:rPr>
        <w:t>-positive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chronic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hepatitis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virus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infection: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randomised</w:t>
      </w:r>
      <w:proofErr w:type="spellEnd"/>
      <w:r w:rsidRPr="00237A77">
        <w:rPr>
          <w:rFonts w:ascii="Book Antiqua" w:hAnsi="Book Antiqua"/>
        </w:rPr>
        <w:t>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double-blind,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phase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3,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non-inferiority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trial.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i/>
          <w:iCs/>
        </w:rPr>
        <w:t>Lancet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Gastroenterol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Hepatol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2016;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1</w:t>
      </w:r>
      <w:r w:rsidRPr="00237A77">
        <w:rPr>
          <w:rFonts w:ascii="Book Antiqua" w:hAnsi="Book Antiqua"/>
        </w:rPr>
        <w:t>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185-195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[PMID: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28404091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DOI: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10.1016/S2468-1253(16)30024-3]</w:t>
      </w:r>
    </w:p>
    <w:p w14:paraId="308F1269" w14:textId="34CB08FF" w:rsidR="00BF2D8A" w:rsidRPr="00237A77" w:rsidRDefault="00BF2D8A" w:rsidP="00237A77">
      <w:pPr>
        <w:spacing w:line="360" w:lineRule="auto"/>
        <w:jc w:val="both"/>
        <w:rPr>
          <w:rFonts w:ascii="Book Antiqua" w:hAnsi="Book Antiqua"/>
        </w:rPr>
      </w:pPr>
      <w:r w:rsidRPr="00237A77">
        <w:rPr>
          <w:rFonts w:ascii="Book Antiqua" w:hAnsi="Book Antiqua"/>
        </w:rPr>
        <w:t>6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Buti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M</w:t>
      </w:r>
      <w:r w:rsidRPr="00237A77">
        <w:rPr>
          <w:rFonts w:ascii="Book Antiqua" w:hAnsi="Book Antiqua"/>
        </w:rPr>
        <w:t>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Gane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E,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Seto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WK,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Chan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HL,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Chuang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WL,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Stepanova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Hui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Lim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YS,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Mehta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Janssen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HL,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Acharya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SK,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Flaherty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JF,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Massetto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Cathcart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AL,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Kim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K,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Gaggar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lastRenderedPageBreak/>
        <w:t>Subramanian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GM,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McHutchison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JG,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Pan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CQ,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Brunetto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Izumi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N,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Marcellin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GS-US-320-0108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Investigators.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Tenofovir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alafenamide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versus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tenofovir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disoproxil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fumarate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for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the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treatment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of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patients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with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HBeAg</w:t>
      </w:r>
      <w:proofErr w:type="spellEnd"/>
      <w:r w:rsidRPr="00237A77">
        <w:rPr>
          <w:rFonts w:ascii="Book Antiqua" w:hAnsi="Book Antiqua"/>
        </w:rPr>
        <w:t>-negative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chronic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hepatitis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virus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infection: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randomised</w:t>
      </w:r>
      <w:proofErr w:type="spellEnd"/>
      <w:r w:rsidRPr="00237A77">
        <w:rPr>
          <w:rFonts w:ascii="Book Antiqua" w:hAnsi="Book Antiqua"/>
        </w:rPr>
        <w:t>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double-blind,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phase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3,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non-inferiority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trial.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i/>
          <w:iCs/>
        </w:rPr>
        <w:t>Lancet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Gastroenterol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Hepatol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2016;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1</w:t>
      </w:r>
      <w:r w:rsidRPr="00237A77">
        <w:rPr>
          <w:rFonts w:ascii="Book Antiqua" w:hAnsi="Book Antiqua"/>
        </w:rPr>
        <w:t>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196-206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[PMID: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28404092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DOI: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10.1016/S2468-1253(16)30107-8]</w:t>
      </w:r>
    </w:p>
    <w:p w14:paraId="7BC21BEF" w14:textId="3C90F3ED" w:rsidR="00BF2D8A" w:rsidRPr="00237A77" w:rsidRDefault="00BF2D8A" w:rsidP="00237A77">
      <w:pPr>
        <w:spacing w:line="360" w:lineRule="auto"/>
        <w:jc w:val="both"/>
        <w:rPr>
          <w:rFonts w:ascii="Book Antiqua" w:hAnsi="Book Antiqua"/>
        </w:rPr>
      </w:pPr>
      <w:r w:rsidRPr="00237A77">
        <w:rPr>
          <w:rFonts w:ascii="Book Antiqua" w:hAnsi="Book Antiqua"/>
        </w:rPr>
        <w:t>7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Agarwal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K</w:t>
      </w:r>
      <w:r w:rsidRPr="00237A77">
        <w:rPr>
          <w:rFonts w:ascii="Book Antiqua" w:hAnsi="Book Antiqua"/>
        </w:rPr>
        <w:t>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Brunetto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Seto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WK,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Lim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YS,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Fung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Marcellin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Ahn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SH,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Izumi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N,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Chuang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WL,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Bae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Sharma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Janssen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HLA,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Pan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CQ,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Çelen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MK,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Furusyo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N,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Shalimar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Yoon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KT,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Trinh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Flaherty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JF,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Gaggar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Lau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AH,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Cathcart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AL,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Lin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Bhardwaj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N,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Suri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V,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Mani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Subramanian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Gane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EJ,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Buti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Chan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HLY;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GS-US-320-0110;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GS-US-320-0108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Investigators.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96</w:t>
      </w:r>
      <w:r w:rsidRPr="00237A77">
        <w:t> </w:t>
      </w:r>
      <w:r w:rsidRPr="00237A77">
        <w:rPr>
          <w:rFonts w:ascii="Book Antiqua" w:hAnsi="Book Antiqua"/>
        </w:rPr>
        <w:t>weeks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treatment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of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tenofovir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alafenamide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vs.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tenofovir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disoproxil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fumarate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for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hepatitis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virus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infection.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i/>
          <w:iCs/>
        </w:rPr>
        <w:t>J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Hepatol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2018;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68</w:t>
      </w:r>
      <w:r w:rsidRPr="00237A77">
        <w:rPr>
          <w:rFonts w:ascii="Book Antiqua" w:hAnsi="Book Antiqua"/>
        </w:rPr>
        <w:t>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672-681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[PMID: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29756595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DOI: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10.1016/j.jhep.2017.11.039]</w:t>
      </w:r>
    </w:p>
    <w:p w14:paraId="60B69F33" w14:textId="4286B798" w:rsidR="00BF2D8A" w:rsidRPr="00237A77" w:rsidRDefault="00BF2D8A" w:rsidP="00237A77">
      <w:pPr>
        <w:spacing w:line="360" w:lineRule="auto"/>
        <w:jc w:val="both"/>
        <w:rPr>
          <w:rFonts w:ascii="Book Antiqua" w:hAnsi="Book Antiqua"/>
        </w:rPr>
      </w:pPr>
      <w:r w:rsidRPr="00237A77">
        <w:rPr>
          <w:rFonts w:ascii="Book Antiqua" w:hAnsi="Book Antiqua"/>
        </w:rPr>
        <w:t>8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Chinese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Society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of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Hepatology;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Chinese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Medical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Association</w:t>
      </w:r>
      <w:r w:rsidRPr="00237A77">
        <w:rPr>
          <w:rFonts w:ascii="Book Antiqua" w:hAnsi="Book Antiqua"/>
        </w:rPr>
        <w:t>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Chinese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Society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of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Infectious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Diseases;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Chinese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Medical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Association.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The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guideline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of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prevention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and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treatment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for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chronic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hepatitis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(2015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version).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  <w:i/>
          <w:iCs/>
        </w:rPr>
        <w:t>Shiyong</w:t>
      </w:r>
      <w:proofErr w:type="spellEnd"/>
      <w:r w:rsidR="003516E8" w:rsidRPr="00237A77">
        <w:rPr>
          <w:rFonts w:ascii="Book Antiqua" w:hAnsi="Book Antiqua"/>
          <w:i/>
          <w:iCs/>
        </w:rPr>
        <w:t xml:space="preserve"> </w:t>
      </w:r>
      <w:proofErr w:type="spellStart"/>
      <w:r w:rsidRPr="00237A77">
        <w:rPr>
          <w:rFonts w:ascii="Book Antiqua" w:hAnsi="Book Antiqua"/>
          <w:i/>
          <w:iCs/>
        </w:rPr>
        <w:t>Ganzangbing</w:t>
      </w:r>
      <w:proofErr w:type="spellEnd"/>
      <w:r w:rsidR="003516E8" w:rsidRPr="00237A77">
        <w:rPr>
          <w:rFonts w:ascii="Book Antiqua" w:hAnsi="Book Antiqua"/>
          <w:i/>
          <w:iCs/>
        </w:rPr>
        <w:t xml:space="preserve"> </w:t>
      </w:r>
      <w:proofErr w:type="spellStart"/>
      <w:r w:rsidRPr="00237A77">
        <w:rPr>
          <w:rFonts w:ascii="Book Antiqua" w:hAnsi="Book Antiqua"/>
          <w:i/>
          <w:iCs/>
        </w:rPr>
        <w:t>Zazhi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2016;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</w:rPr>
        <w:t>19</w:t>
      </w:r>
      <w:r w:rsidRPr="00237A77">
        <w:rPr>
          <w:rFonts w:ascii="Book Antiqua" w:hAnsi="Book Antiqua"/>
        </w:rPr>
        <w:t>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389-400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[DOI: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10.3760/cma.j.issn.1007-3418.2015.12.034]</w:t>
      </w:r>
    </w:p>
    <w:p w14:paraId="59065FA3" w14:textId="60B533D7" w:rsidR="00BF2D8A" w:rsidRPr="00237A77" w:rsidRDefault="00BF2D8A" w:rsidP="00237A77">
      <w:pPr>
        <w:spacing w:line="360" w:lineRule="auto"/>
        <w:jc w:val="both"/>
        <w:rPr>
          <w:rFonts w:ascii="Book Antiqua" w:hAnsi="Book Antiqua"/>
        </w:rPr>
      </w:pPr>
      <w:r w:rsidRPr="00237A77">
        <w:rPr>
          <w:rFonts w:ascii="Book Antiqua" w:hAnsi="Book Antiqua"/>
        </w:rPr>
        <w:t>9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Qi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X</w:t>
      </w:r>
      <w:r w:rsidRPr="00237A77">
        <w:rPr>
          <w:rFonts w:ascii="Book Antiqua" w:hAnsi="Book Antiqua"/>
        </w:rPr>
        <w:t>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JY,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Mao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RC,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Zhang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JM.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Impact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of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nucleos(t)ide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analogues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the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estimated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glomerular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filtration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rate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patients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with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chronic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hepatitis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prospective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cohort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study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China.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i/>
          <w:iCs/>
        </w:rPr>
        <w:t>J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Viral</w:t>
      </w:r>
      <w:r w:rsidR="003516E8" w:rsidRPr="00237A77">
        <w:rPr>
          <w:rFonts w:ascii="Book Antiqua" w:hAnsi="Book Antiqua"/>
          <w:i/>
          <w:iCs/>
        </w:rPr>
        <w:t xml:space="preserve"> </w:t>
      </w:r>
      <w:proofErr w:type="spellStart"/>
      <w:r w:rsidRPr="00237A77">
        <w:rPr>
          <w:rFonts w:ascii="Book Antiqua" w:hAnsi="Book Antiqua"/>
          <w:i/>
          <w:iCs/>
        </w:rPr>
        <w:t>Hepat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2015;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22</w:t>
      </w:r>
      <w:r w:rsidRPr="00237A77">
        <w:rPr>
          <w:rFonts w:ascii="Book Antiqua" w:hAnsi="Book Antiqua"/>
        </w:rPr>
        <w:t>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46-54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[PMID: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25402626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DOI: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10.1111/jvh.12229]</w:t>
      </w:r>
    </w:p>
    <w:p w14:paraId="648FD092" w14:textId="7752722E" w:rsidR="00BF2D8A" w:rsidRPr="00237A77" w:rsidRDefault="00BF2D8A" w:rsidP="00237A77">
      <w:pPr>
        <w:spacing w:line="360" w:lineRule="auto"/>
        <w:jc w:val="both"/>
        <w:rPr>
          <w:rFonts w:ascii="Book Antiqua" w:hAnsi="Book Antiqua"/>
        </w:rPr>
      </w:pPr>
      <w:r w:rsidRPr="00237A77">
        <w:rPr>
          <w:rFonts w:ascii="Book Antiqua" w:hAnsi="Book Antiqua"/>
        </w:rPr>
        <w:t>10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Qi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X</w:t>
      </w:r>
      <w:r w:rsidRPr="00237A77">
        <w:rPr>
          <w:rFonts w:ascii="Book Antiqua" w:hAnsi="Book Antiqua"/>
        </w:rPr>
        <w:t>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Chen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Huang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Y,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Qin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Y,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Mao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Zhang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Impact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of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nucleos(t)ide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analogue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combination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therapy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the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estimated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glomerular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filtration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rate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patients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with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chronic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hepatitis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i/>
          <w:iCs/>
        </w:rPr>
        <w:t>Medicine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</w:rPr>
        <w:t>(Baltimore)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2015;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94</w:t>
      </w:r>
      <w:r w:rsidRPr="00237A77">
        <w:rPr>
          <w:rFonts w:ascii="Book Antiqua" w:hAnsi="Book Antiqua"/>
        </w:rPr>
        <w:t>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e646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[PMID: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25881837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DOI: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10.1097/MD.0000000000000646]</w:t>
      </w:r>
    </w:p>
    <w:p w14:paraId="7C416181" w14:textId="0E8FEEB7" w:rsidR="00BF2D8A" w:rsidRPr="00237A77" w:rsidRDefault="00BF2D8A" w:rsidP="00237A77">
      <w:pPr>
        <w:spacing w:line="360" w:lineRule="auto"/>
        <w:jc w:val="both"/>
        <w:rPr>
          <w:rFonts w:ascii="Book Antiqua" w:hAnsi="Book Antiqua"/>
        </w:rPr>
      </w:pPr>
      <w:r w:rsidRPr="00237A77">
        <w:rPr>
          <w:rFonts w:ascii="Book Antiqua" w:hAnsi="Book Antiqua"/>
        </w:rPr>
        <w:t>11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  <w:b/>
          <w:bCs/>
        </w:rPr>
        <w:t>Shimohata</w:t>
      </w:r>
      <w:proofErr w:type="spellEnd"/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H</w:t>
      </w:r>
      <w:r w:rsidRPr="00237A77">
        <w:rPr>
          <w:rFonts w:ascii="Book Antiqua" w:hAnsi="Book Antiqua"/>
        </w:rPr>
        <w:t>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Sakai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Ogawa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Y,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Hirayama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K,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Kobayashi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Osteomalacia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due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Fanconi's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syndrome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and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renal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failure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caused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long-term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low-dose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adefovir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dipivoxil.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i/>
          <w:iCs/>
        </w:rPr>
        <w:t>Clin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Exp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Nephrol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2013;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17</w:t>
      </w:r>
      <w:r w:rsidRPr="00237A77">
        <w:rPr>
          <w:rFonts w:ascii="Book Antiqua" w:hAnsi="Book Antiqua"/>
        </w:rPr>
        <w:t>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147-148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[PMID: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23268286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DOI: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10.1007/s10157-012-0762-8]</w:t>
      </w:r>
    </w:p>
    <w:p w14:paraId="7346845A" w14:textId="7C9711D4" w:rsidR="00BF2D8A" w:rsidRPr="00237A77" w:rsidRDefault="00BF2D8A" w:rsidP="00237A77">
      <w:pPr>
        <w:spacing w:line="360" w:lineRule="auto"/>
        <w:jc w:val="both"/>
        <w:rPr>
          <w:rFonts w:ascii="Book Antiqua" w:hAnsi="Book Antiqua"/>
        </w:rPr>
      </w:pPr>
      <w:r w:rsidRPr="00237A77">
        <w:rPr>
          <w:rFonts w:ascii="Book Antiqua" w:hAnsi="Book Antiqua"/>
        </w:rPr>
        <w:t>12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Gara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N</w:t>
      </w:r>
      <w:r w:rsidRPr="00237A77">
        <w:rPr>
          <w:rFonts w:ascii="Book Antiqua" w:hAnsi="Book Antiqua"/>
        </w:rPr>
        <w:t>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Zhao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X,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Collins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MT,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Chong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WH,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Kleiner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DE,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Jake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Liang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T,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</w:rPr>
        <w:t>Ghany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MG,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Hoofnagle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JH.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Renal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tubular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dysfunction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during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long-term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adefovir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tenofovir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therapy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lastRenderedPageBreak/>
        <w:t>in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chronic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hepatitis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i/>
          <w:iCs/>
        </w:rPr>
        <w:t>Aliment</w:t>
      </w:r>
      <w:r w:rsidR="003516E8" w:rsidRPr="00237A77">
        <w:rPr>
          <w:rFonts w:ascii="Book Antiqua" w:hAnsi="Book Antiqua"/>
          <w:i/>
          <w:iCs/>
        </w:rPr>
        <w:t xml:space="preserve"> </w:t>
      </w:r>
      <w:proofErr w:type="spellStart"/>
      <w:r w:rsidRPr="00237A77">
        <w:rPr>
          <w:rFonts w:ascii="Book Antiqua" w:hAnsi="Book Antiqua"/>
          <w:i/>
          <w:iCs/>
        </w:rPr>
        <w:t>Pharmacol</w:t>
      </w:r>
      <w:proofErr w:type="spellEnd"/>
      <w:r w:rsidR="003516E8" w:rsidRPr="00237A77">
        <w:rPr>
          <w:rFonts w:ascii="Book Antiqua" w:hAnsi="Book Antiqua"/>
          <w:i/>
          <w:iCs/>
        </w:rPr>
        <w:t xml:space="preserve"> </w:t>
      </w:r>
      <w:proofErr w:type="spellStart"/>
      <w:r w:rsidRPr="00237A77">
        <w:rPr>
          <w:rFonts w:ascii="Book Antiqua" w:hAnsi="Book Antiqua"/>
          <w:i/>
          <w:iCs/>
        </w:rPr>
        <w:t>Ther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2012;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35</w:t>
      </w:r>
      <w:r w:rsidRPr="00237A77">
        <w:rPr>
          <w:rFonts w:ascii="Book Antiqua" w:hAnsi="Book Antiqua"/>
        </w:rPr>
        <w:t>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1317-1325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[PMID: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22506503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DOI: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10.1111/j.1365-2036.2012.05093.x]</w:t>
      </w:r>
    </w:p>
    <w:p w14:paraId="73505F83" w14:textId="028E5529" w:rsidR="00BF2D8A" w:rsidRPr="00237A77" w:rsidRDefault="00BF2D8A" w:rsidP="00237A77">
      <w:pPr>
        <w:spacing w:line="360" w:lineRule="auto"/>
        <w:jc w:val="both"/>
        <w:rPr>
          <w:rFonts w:ascii="Book Antiqua" w:hAnsi="Book Antiqua"/>
        </w:rPr>
      </w:pPr>
      <w:r w:rsidRPr="00237A77">
        <w:rPr>
          <w:rFonts w:ascii="Book Antiqua" w:hAnsi="Book Antiqua"/>
        </w:rPr>
        <w:t>13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Amarapurkar</w:t>
      </w:r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DN</w:t>
      </w:r>
      <w:r w:rsidRPr="00237A77">
        <w:rPr>
          <w:rFonts w:ascii="Book Antiqua" w:hAnsi="Book Antiqua"/>
        </w:rPr>
        <w:t>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Patel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N.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Increased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eGFR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with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telbivudine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combination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therapy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of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chronic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hepatitis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infection.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i/>
          <w:iCs/>
        </w:rPr>
        <w:t>Indian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J</w:t>
      </w:r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Gastroenterol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2014;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  <w:bCs/>
        </w:rPr>
        <w:t>33</w:t>
      </w:r>
      <w:r w:rsidRPr="00237A77">
        <w:rPr>
          <w:rFonts w:ascii="Book Antiqua" w:hAnsi="Book Antiqua"/>
        </w:rPr>
        <w:t>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89-91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[PMID: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23512213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DOI: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10.1007/s12664-013-0325-2]</w:t>
      </w:r>
    </w:p>
    <w:p w14:paraId="71BDA142" w14:textId="7F613F2E" w:rsidR="00A77B3E" w:rsidRPr="00237A77" w:rsidRDefault="00BF2D8A" w:rsidP="00237A77">
      <w:pPr>
        <w:spacing w:line="360" w:lineRule="auto"/>
        <w:jc w:val="both"/>
        <w:rPr>
          <w:rFonts w:ascii="Book Antiqua" w:hAnsi="Book Antiqua"/>
        </w:rPr>
      </w:pPr>
      <w:r w:rsidRPr="00237A77">
        <w:rPr>
          <w:rFonts w:ascii="Book Antiqua" w:hAnsi="Book Antiqua"/>
        </w:rPr>
        <w:t>14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  <w:b/>
          <w:bCs/>
        </w:rPr>
        <w:t>Huo</w:t>
      </w:r>
      <w:proofErr w:type="spellEnd"/>
      <w:r w:rsidR="003516E8" w:rsidRPr="00237A77">
        <w:rPr>
          <w:rFonts w:ascii="Book Antiqua" w:hAnsi="Book Antiqua"/>
          <w:b/>
          <w:bCs/>
        </w:rPr>
        <w:t xml:space="preserve"> </w:t>
      </w:r>
      <w:r w:rsidRPr="00237A77">
        <w:rPr>
          <w:rFonts w:ascii="Book Antiqua" w:hAnsi="Book Antiqua"/>
          <w:b/>
          <w:bCs/>
        </w:rPr>
        <w:t>N</w:t>
      </w:r>
      <w:r w:rsidRPr="00237A77">
        <w:rPr>
          <w:rFonts w:ascii="Book Antiqua" w:hAnsi="Book Antiqua"/>
        </w:rPr>
        <w:t>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Lu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HY,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GQ,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Huang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MJ,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Wu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CH,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Lin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XH.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Effects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of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nucleos(t)ide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analogues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on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renal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function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in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patients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with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chronic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hepatitis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B.</w:t>
      </w:r>
      <w:r w:rsidR="003516E8" w:rsidRPr="00237A77">
        <w:rPr>
          <w:rFonts w:ascii="Book Antiqua" w:hAnsi="Book Antiqua"/>
        </w:rPr>
        <w:t xml:space="preserve"> </w:t>
      </w:r>
      <w:proofErr w:type="spellStart"/>
      <w:r w:rsidRPr="00237A77">
        <w:rPr>
          <w:rFonts w:ascii="Book Antiqua" w:hAnsi="Book Antiqua"/>
          <w:i/>
          <w:iCs/>
        </w:rPr>
        <w:t>Zhongguo</w:t>
      </w:r>
      <w:proofErr w:type="spellEnd"/>
      <w:r w:rsidR="003516E8" w:rsidRPr="00237A77">
        <w:rPr>
          <w:rFonts w:ascii="Book Antiqua" w:hAnsi="Book Antiqua"/>
          <w:i/>
          <w:iCs/>
        </w:rPr>
        <w:t xml:space="preserve"> </w:t>
      </w:r>
      <w:proofErr w:type="spellStart"/>
      <w:r w:rsidRPr="00237A77">
        <w:rPr>
          <w:rFonts w:ascii="Book Antiqua" w:hAnsi="Book Antiqua"/>
          <w:i/>
          <w:iCs/>
        </w:rPr>
        <w:t>Linchuang</w:t>
      </w:r>
      <w:proofErr w:type="spellEnd"/>
      <w:r w:rsidR="003516E8" w:rsidRPr="00237A77">
        <w:rPr>
          <w:rFonts w:ascii="Book Antiqua" w:hAnsi="Book Antiqua"/>
          <w:i/>
          <w:iCs/>
        </w:rPr>
        <w:t xml:space="preserve"> </w:t>
      </w:r>
      <w:proofErr w:type="spellStart"/>
      <w:r w:rsidRPr="00237A77">
        <w:rPr>
          <w:rFonts w:ascii="Book Antiqua" w:hAnsi="Book Antiqua"/>
          <w:i/>
          <w:iCs/>
        </w:rPr>
        <w:t>Yaolixue</w:t>
      </w:r>
      <w:proofErr w:type="spellEnd"/>
      <w:r w:rsidR="003516E8" w:rsidRPr="00237A77">
        <w:rPr>
          <w:rFonts w:ascii="Book Antiqua" w:hAnsi="Book Antiqua"/>
          <w:i/>
          <w:iCs/>
        </w:rPr>
        <w:t xml:space="preserve"> </w:t>
      </w:r>
      <w:r w:rsidRPr="00237A77">
        <w:rPr>
          <w:rFonts w:ascii="Book Antiqua" w:hAnsi="Book Antiqua"/>
          <w:i/>
          <w:iCs/>
        </w:rPr>
        <w:t>Yu</w:t>
      </w:r>
      <w:r w:rsidR="003516E8" w:rsidRPr="00237A77">
        <w:rPr>
          <w:rFonts w:ascii="Book Antiqua" w:hAnsi="Book Antiqua"/>
          <w:i/>
          <w:iCs/>
        </w:rPr>
        <w:t xml:space="preserve"> </w:t>
      </w:r>
      <w:proofErr w:type="spellStart"/>
      <w:r w:rsidRPr="00237A77">
        <w:rPr>
          <w:rFonts w:ascii="Book Antiqua" w:hAnsi="Book Antiqua"/>
          <w:i/>
          <w:iCs/>
        </w:rPr>
        <w:t>Zhiliaoxue</w:t>
      </w:r>
      <w:proofErr w:type="spellEnd"/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2017;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  <w:b/>
        </w:rPr>
        <w:t>22</w:t>
      </w:r>
      <w:r w:rsidRPr="00237A77">
        <w:rPr>
          <w:rFonts w:ascii="Book Antiqua" w:hAnsi="Book Antiqua"/>
        </w:rPr>
        <w:t>:</w:t>
      </w:r>
      <w:r w:rsidR="003516E8" w:rsidRPr="00237A77">
        <w:rPr>
          <w:rFonts w:ascii="Book Antiqua" w:hAnsi="Book Antiqua"/>
        </w:rPr>
        <w:t xml:space="preserve"> </w:t>
      </w:r>
      <w:r w:rsidRPr="00237A77">
        <w:rPr>
          <w:rFonts w:ascii="Book Antiqua" w:hAnsi="Book Antiqua"/>
        </w:rPr>
        <w:t>1029-1034</w:t>
      </w:r>
    </w:p>
    <w:p w14:paraId="12E04F0D" w14:textId="77777777" w:rsidR="00A77B3E" w:rsidRPr="00237A77" w:rsidRDefault="00A77B3E" w:rsidP="00237A77">
      <w:pPr>
        <w:spacing w:line="360" w:lineRule="auto"/>
        <w:jc w:val="both"/>
        <w:sectPr w:rsidR="00A77B3E" w:rsidRPr="00237A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4552C1" w14:textId="77777777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8849651" w14:textId="4D29A00C" w:rsidR="00A77B3E" w:rsidRPr="00237A77" w:rsidRDefault="007546E9" w:rsidP="00237A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37A77">
        <w:rPr>
          <w:rFonts w:ascii="Book Antiqua" w:eastAsia="Book Antiqua" w:hAnsi="Book Antiqua" w:cs="Book Antiqua"/>
          <w:b/>
          <w:bCs/>
          <w:color w:val="000000"/>
          <w:szCs w:val="21"/>
        </w:rPr>
        <w:t>Institutional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  <w:szCs w:val="21"/>
        </w:rPr>
        <w:t>review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  <w:szCs w:val="21"/>
        </w:rPr>
        <w:t>board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study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050DC" w:rsidRPr="00237A77">
        <w:rPr>
          <w:rFonts w:ascii="Book Antiqua" w:eastAsia="Book Antiqua" w:hAnsi="Book Antiqua" w:cs="Book Antiqua"/>
          <w:color w:val="000000"/>
        </w:rPr>
        <w:t>reviewed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7050DC"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approved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641AF8" w:rsidRPr="00237A77">
        <w:rPr>
          <w:rFonts w:ascii="Book Antiqua" w:eastAsia="Book Antiqua" w:hAnsi="Book Antiqua" w:cs="Book Antiqua"/>
          <w:color w:val="000000"/>
        </w:rPr>
        <w:t>E</w:t>
      </w:r>
      <w:r w:rsidRPr="00237A77">
        <w:rPr>
          <w:rFonts w:ascii="Book Antiqua" w:eastAsia="Book Antiqua" w:hAnsi="Book Antiqua" w:cs="Book Antiqua"/>
          <w:color w:val="000000"/>
        </w:rPr>
        <w:t>thics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641AF8" w:rsidRPr="00237A77">
        <w:rPr>
          <w:rFonts w:ascii="Book Antiqua" w:eastAsia="Book Antiqua" w:hAnsi="Book Antiqua" w:cs="Book Antiqua"/>
          <w:color w:val="000000"/>
        </w:rPr>
        <w:t>C</w:t>
      </w:r>
      <w:r w:rsidRPr="00237A77">
        <w:rPr>
          <w:rFonts w:ascii="Book Antiqua" w:eastAsia="Book Antiqua" w:hAnsi="Book Antiqua" w:cs="Book Antiqua"/>
          <w:color w:val="000000"/>
        </w:rPr>
        <w:t>ommittee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Peking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University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First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Hospital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2018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(Research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264).</w:t>
      </w:r>
    </w:p>
    <w:p w14:paraId="1187AA53" w14:textId="77777777" w:rsidR="00A77B3E" w:rsidRPr="00237A77" w:rsidRDefault="00A77B3E" w:rsidP="00237A77">
      <w:pPr>
        <w:spacing w:line="360" w:lineRule="auto"/>
        <w:jc w:val="both"/>
      </w:pPr>
    </w:p>
    <w:p w14:paraId="1C9DE03C" w14:textId="4BE053C7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Patients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were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enrolled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work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provided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D046E8" w:rsidRPr="00237A77">
        <w:rPr>
          <w:rFonts w:ascii="Book Antiqua" w:eastAsia="Book Antiqua" w:hAnsi="Book Antiqua" w:cs="Book Antiqua"/>
          <w:color w:val="000000"/>
        </w:rPr>
        <w:t>written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informed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consent.</w:t>
      </w:r>
    </w:p>
    <w:p w14:paraId="6FB02C78" w14:textId="77777777" w:rsidR="00A77B3E" w:rsidRPr="00237A77" w:rsidRDefault="00A77B3E" w:rsidP="00237A77">
      <w:pPr>
        <w:spacing w:line="360" w:lineRule="auto"/>
        <w:jc w:val="both"/>
      </w:pPr>
    </w:p>
    <w:p w14:paraId="54A6ED28" w14:textId="34ACC65B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conflicts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interest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report.</w:t>
      </w:r>
    </w:p>
    <w:p w14:paraId="22E4F139" w14:textId="77777777" w:rsidR="00A77B3E" w:rsidRPr="00237A77" w:rsidRDefault="00A77B3E" w:rsidP="00237A77">
      <w:pPr>
        <w:spacing w:line="360" w:lineRule="auto"/>
        <w:jc w:val="both"/>
      </w:pPr>
    </w:p>
    <w:p w14:paraId="4406DB71" w14:textId="1D5672AA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available.</w:t>
      </w:r>
    </w:p>
    <w:p w14:paraId="561D5FAE" w14:textId="77777777" w:rsidR="00A77B3E" w:rsidRPr="00237A77" w:rsidRDefault="00A77B3E" w:rsidP="00237A77">
      <w:pPr>
        <w:spacing w:line="360" w:lineRule="auto"/>
        <w:jc w:val="both"/>
      </w:pPr>
    </w:p>
    <w:p w14:paraId="3FEC8A0D" w14:textId="6124A085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STROBE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Statement—checklist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items,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STROBE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Statement—checklist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516E8"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  <w:shd w:val="clear" w:color="auto" w:fill="FFFFFF"/>
        </w:rPr>
        <w:t>items.</w:t>
      </w:r>
    </w:p>
    <w:p w14:paraId="7078E784" w14:textId="77777777" w:rsidR="00A77B3E" w:rsidRPr="00237A77" w:rsidRDefault="00A77B3E" w:rsidP="00237A77">
      <w:pPr>
        <w:spacing w:line="360" w:lineRule="auto"/>
        <w:jc w:val="both"/>
      </w:pPr>
    </w:p>
    <w:p w14:paraId="6956A824" w14:textId="12C82EEA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516E8" w:rsidRPr="00237A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article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open-access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article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that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was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selected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in-house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editor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fully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peer-reviewed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external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reviewers.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distributed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accordance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with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Creative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Commons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Attribution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NonCommercial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(CC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BY-NC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4.0)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license,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which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permits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others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to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distribute,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remix,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adapt,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build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upon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work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non-commercially,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license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their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derivative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works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different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terms,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provided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original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work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properly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cited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the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use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is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non-commercial.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See: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C7D4A37" w14:textId="77777777" w:rsidR="00A77B3E" w:rsidRPr="00237A77" w:rsidRDefault="00A77B3E" w:rsidP="00237A77">
      <w:pPr>
        <w:spacing w:line="360" w:lineRule="auto"/>
        <w:jc w:val="both"/>
      </w:pPr>
    </w:p>
    <w:p w14:paraId="2D94F15B" w14:textId="18CFB4FF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olor w:val="000000"/>
        </w:rPr>
        <w:t>Manuscript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color w:val="000000"/>
        </w:rPr>
        <w:t>source: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Unsolicited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15221E" w:rsidRPr="00237A77">
        <w:rPr>
          <w:rFonts w:ascii="Book Antiqua" w:eastAsia="Book Antiqua" w:hAnsi="Book Antiqua" w:cs="Book Antiqua"/>
          <w:color w:val="000000"/>
        </w:rPr>
        <w:t>m</w:t>
      </w:r>
      <w:r w:rsidRPr="00237A77">
        <w:rPr>
          <w:rFonts w:ascii="Book Antiqua" w:eastAsia="Book Antiqua" w:hAnsi="Book Antiqua" w:cs="Book Antiqua"/>
          <w:color w:val="000000"/>
        </w:rPr>
        <w:t>anuscript</w:t>
      </w:r>
    </w:p>
    <w:p w14:paraId="45FBED93" w14:textId="77777777" w:rsidR="00A77B3E" w:rsidRPr="00237A77" w:rsidRDefault="00A77B3E" w:rsidP="00237A77">
      <w:pPr>
        <w:spacing w:line="360" w:lineRule="auto"/>
        <w:jc w:val="both"/>
      </w:pPr>
    </w:p>
    <w:p w14:paraId="6CD5FF1C" w14:textId="2BE05D73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olor w:val="000000"/>
        </w:rPr>
        <w:t>Peer-review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color w:val="000000"/>
        </w:rPr>
        <w:t>started: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September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23,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2020</w:t>
      </w:r>
    </w:p>
    <w:p w14:paraId="68A8C5C9" w14:textId="45576CD3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olor w:val="000000"/>
        </w:rPr>
        <w:t>First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color w:val="000000"/>
        </w:rPr>
        <w:t>decision: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September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29,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2020</w:t>
      </w:r>
    </w:p>
    <w:p w14:paraId="2DB8B086" w14:textId="72A181B7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olor w:val="000000"/>
        </w:rPr>
        <w:t>Article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color w:val="000000"/>
        </w:rPr>
        <w:t>in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color w:val="000000"/>
        </w:rPr>
        <w:t>press: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158CBDD" w14:textId="77777777" w:rsidR="00A77B3E" w:rsidRPr="00237A77" w:rsidRDefault="00A77B3E" w:rsidP="00237A77">
      <w:pPr>
        <w:spacing w:line="360" w:lineRule="auto"/>
        <w:jc w:val="both"/>
      </w:pPr>
    </w:p>
    <w:p w14:paraId="6691A630" w14:textId="2223C06F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olor w:val="000000"/>
        </w:rPr>
        <w:t>Specialty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color w:val="000000"/>
        </w:rPr>
        <w:t>type: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1DDB" w:rsidRPr="00237A77">
        <w:rPr>
          <w:rFonts w:ascii="Book Antiqua" w:eastAsia="Book Antiqua" w:hAnsi="Book Antiqua" w:cs="Book Antiqua"/>
          <w:color w:val="000000"/>
        </w:rPr>
        <w:t>Medicine,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111DDB" w:rsidRPr="00237A77">
        <w:rPr>
          <w:rFonts w:ascii="Book Antiqua" w:eastAsia="Book Antiqua" w:hAnsi="Book Antiqua" w:cs="Book Antiqua"/>
          <w:color w:val="000000"/>
        </w:rPr>
        <w:t>research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111DDB" w:rsidRPr="00237A77">
        <w:rPr>
          <w:rFonts w:ascii="Book Antiqua" w:eastAsia="Book Antiqua" w:hAnsi="Book Antiqua" w:cs="Book Antiqua"/>
          <w:color w:val="000000"/>
        </w:rPr>
        <w:t>and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111DDB" w:rsidRPr="00237A77">
        <w:rPr>
          <w:rFonts w:ascii="Book Antiqua" w:eastAsia="Book Antiqua" w:hAnsi="Book Antiqua" w:cs="Book Antiqua"/>
          <w:color w:val="000000"/>
        </w:rPr>
        <w:t>experimental</w:t>
      </w:r>
    </w:p>
    <w:p w14:paraId="7CA17585" w14:textId="25DFA0DA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olor w:val="000000"/>
        </w:rPr>
        <w:lastRenderedPageBreak/>
        <w:t>Country/Territory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color w:val="000000"/>
        </w:rPr>
        <w:t>of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color w:val="000000"/>
        </w:rPr>
        <w:t>origin: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China</w:t>
      </w:r>
    </w:p>
    <w:p w14:paraId="592679B5" w14:textId="7EEA4250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b/>
          <w:color w:val="000000"/>
        </w:rPr>
        <w:t>Peer-review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color w:val="000000"/>
        </w:rPr>
        <w:t>report’s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color w:val="000000"/>
        </w:rPr>
        <w:t>scientific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color w:val="000000"/>
        </w:rPr>
        <w:t>quality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418017A" w14:textId="50E583C3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Grade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A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(Excellent):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</w:t>
      </w:r>
    </w:p>
    <w:p w14:paraId="17FD6E4E" w14:textId="74BBFC80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Grade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(Very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good):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B</w:t>
      </w:r>
    </w:p>
    <w:p w14:paraId="707D56A9" w14:textId="7303749F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Grade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C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(Good):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</w:t>
      </w:r>
    </w:p>
    <w:p w14:paraId="137297AB" w14:textId="140A3489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Grade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D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(Fair):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</w:t>
      </w:r>
    </w:p>
    <w:p w14:paraId="2E3141C8" w14:textId="3F9DA8D4" w:rsidR="00A77B3E" w:rsidRPr="00237A77" w:rsidRDefault="007546E9" w:rsidP="00237A77">
      <w:pPr>
        <w:spacing w:line="360" w:lineRule="auto"/>
        <w:jc w:val="both"/>
      </w:pPr>
      <w:r w:rsidRPr="00237A77">
        <w:rPr>
          <w:rFonts w:ascii="Book Antiqua" w:eastAsia="Book Antiqua" w:hAnsi="Book Antiqua" w:cs="Book Antiqua"/>
          <w:color w:val="000000"/>
        </w:rPr>
        <w:t>Grade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E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(Poor):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0</w:t>
      </w:r>
    </w:p>
    <w:p w14:paraId="32B55426" w14:textId="77777777" w:rsidR="00A77B3E" w:rsidRPr="00237A77" w:rsidRDefault="00A77B3E" w:rsidP="00237A77">
      <w:pPr>
        <w:spacing w:line="360" w:lineRule="auto"/>
        <w:jc w:val="both"/>
      </w:pPr>
    </w:p>
    <w:p w14:paraId="1D6D54AF" w14:textId="0524B387" w:rsidR="00B63700" w:rsidRPr="00237A77" w:rsidRDefault="007546E9" w:rsidP="00237A7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37A77">
        <w:rPr>
          <w:rFonts w:ascii="Book Antiqua" w:eastAsia="Book Antiqua" w:hAnsi="Book Antiqua" w:cs="Book Antiqua"/>
          <w:b/>
          <w:color w:val="000000"/>
        </w:rPr>
        <w:t>P-Reviewer: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Kawaguchi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color w:val="000000"/>
        </w:rPr>
        <w:t>T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color w:val="000000"/>
        </w:rPr>
        <w:t>S-Editor: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555DE" w:rsidRPr="00237A77">
        <w:rPr>
          <w:rFonts w:ascii="Book Antiqua" w:eastAsia="Book Antiqua" w:hAnsi="Book Antiqua" w:cs="Book Antiqua"/>
          <w:color w:val="000000"/>
        </w:rPr>
        <w:t>Chen</w:t>
      </w:r>
      <w:r w:rsidR="003516E8" w:rsidRPr="00237A77">
        <w:rPr>
          <w:rFonts w:ascii="Book Antiqua" w:eastAsia="Book Antiqua" w:hAnsi="Book Antiqua" w:cs="Book Antiqua"/>
          <w:color w:val="000000"/>
        </w:rPr>
        <w:t xml:space="preserve"> </w:t>
      </w:r>
      <w:r w:rsidR="004555DE" w:rsidRPr="00237A77">
        <w:rPr>
          <w:rFonts w:ascii="Book Antiqua" w:eastAsia="Book Antiqua" w:hAnsi="Book Antiqua" w:cs="Book Antiqua"/>
          <w:color w:val="000000"/>
        </w:rPr>
        <w:t>XF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color w:val="000000"/>
        </w:rPr>
        <w:t>L-Editor: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D0158" w:rsidRPr="00237A77">
        <w:rPr>
          <w:rFonts w:ascii="Book Antiqua" w:eastAsia="Book Antiqua" w:hAnsi="Book Antiqua" w:cs="Book Antiqua"/>
          <w:bCs/>
          <w:color w:val="000000"/>
        </w:rPr>
        <w:t>Filipodia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7A77">
        <w:rPr>
          <w:rFonts w:ascii="Book Antiqua" w:eastAsia="Book Antiqua" w:hAnsi="Book Antiqua" w:cs="Book Antiqua"/>
          <w:b/>
          <w:color w:val="000000"/>
        </w:rPr>
        <w:t>P-Editor:</w:t>
      </w:r>
      <w:r w:rsidR="003516E8" w:rsidRPr="00237A7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4BC7D13" w14:textId="77777777" w:rsidR="00BD704A" w:rsidRPr="00237A77" w:rsidRDefault="00BD704A" w:rsidP="00237A7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BD704A" w:rsidRPr="00237A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EA7CF6" w14:textId="4BF1EA0F" w:rsidR="00B63700" w:rsidRPr="00237A77" w:rsidRDefault="00B63700" w:rsidP="00237A77">
      <w:pPr>
        <w:spacing w:line="360" w:lineRule="auto"/>
        <w:jc w:val="both"/>
        <w:rPr>
          <w:rFonts w:ascii="Book Antiqua" w:eastAsia="宋体" w:hAnsi="Book Antiqua" w:cs="仿宋"/>
          <w:b/>
          <w:bCs/>
        </w:rPr>
      </w:pPr>
      <w:r w:rsidRPr="00237A77">
        <w:rPr>
          <w:rFonts w:ascii="Book Antiqua" w:hAnsi="Book Antiqua"/>
          <w:b/>
          <w:bCs/>
          <w:lang w:eastAsia="zh-CN"/>
        </w:rPr>
        <w:lastRenderedPageBreak/>
        <w:t>Table</w:t>
      </w:r>
      <w:r w:rsidR="003516E8" w:rsidRPr="00237A77">
        <w:rPr>
          <w:rFonts w:ascii="Book Antiqua" w:hAnsi="Book Antiqua"/>
          <w:b/>
          <w:bCs/>
          <w:lang w:eastAsia="zh-CN"/>
        </w:rPr>
        <w:t xml:space="preserve"> </w:t>
      </w:r>
      <w:r w:rsidRPr="00237A77">
        <w:rPr>
          <w:rFonts w:ascii="Book Antiqua" w:hAnsi="Book Antiqua"/>
          <w:b/>
          <w:bCs/>
          <w:lang w:eastAsia="zh-CN"/>
        </w:rPr>
        <w:t>1</w:t>
      </w:r>
      <w:r w:rsidR="003516E8" w:rsidRPr="00237A77">
        <w:rPr>
          <w:rFonts w:ascii="Book Antiqua" w:eastAsia="宋体" w:hAnsi="Book Antiqua" w:cs="仿宋"/>
          <w:b/>
          <w:bCs/>
        </w:rPr>
        <w:t xml:space="preserve"> </w:t>
      </w:r>
      <w:r w:rsidRPr="00237A77">
        <w:rPr>
          <w:rFonts w:ascii="Book Antiqua" w:eastAsia="宋体" w:hAnsi="Book Antiqua" w:cs="仿宋"/>
          <w:b/>
          <w:bCs/>
        </w:rPr>
        <w:t>Renal</w:t>
      </w:r>
      <w:r w:rsidR="003516E8" w:rsidRPr="00237A77">
        <w:rPr>
          <w:rFonts w:ascii="Book Antiqua" w:eastAsia="宋体" w:hAnsi="Book Antiqua" w:cs="仿宋"/>
          <w:b/>
          <w:bCs/>
        </w:rPr>
        <w:t xml:space="preserve"> </w:t>
      </w:r>
      <w:r w:rsidRPr="00237A77">
        <w:rPr>
          <w:rFonts w:ascii="Book Antiqua" w:eastAsia="宋体" w:hAnsi="Book Antiqua" w:cs="仿宋"/>
          <w:b/>
          <w:bCs/>
        </w:rPr>
        <w:t>function</w:t>
      </w:r>
      <w:r w:rsidR="003516E8" w:rsidRPr="00237A77">
        <w:rPr>
          <w:rFonts w:ascii="Book Antiqua" w:eastAsia="宋体" w:hAnsi="Book Antiqua" w:cs="仿宋"/>
          <w:b/>
          <w:bCs/>
        </w:rPr>
        <w:t xml:space="preserve"> </w:t>
      </w:r>
      <w:r w:rsidRPr="00237A77">
        <w:rPr>
          <w:rFonts w:ascii="Book Antiqua" w:eastAsia="宋体" w:hAnsi="Book Antiqua" w:cs="仿宋"/>
          <w:b/>
          <w:bCs/>
        </w:rPr>
        <w:t>test</w:t>
      </w:r>
      <w:r w:rsidR="003516E8" w:rsidRPr="00237A77">
        <w:rPr>
          <w:rFonts w:ascii="Book Antiqua" w:eastAsia="宋体" w:hAnsi="Book Antiqua" w:cs="仿宋"/>
          <w:b/>
          <w:bCs/>
        </w:rPr>
        <w:t xml:space="preserve"> </w:t>
      </w:r>
      <w:r w:rsidRPr="00237A77">
        <w:rPr>
          <w:rFonts w:ascii="Book Antiqua" w:eastAsia="宋体" w:hAnsi="Book Antiqua" w:cs="仿宋"/>
          <w:b/>
          <w:bCs/>
        </w:rPr>
        <w:t>results</w:t>
      </w:r>
      <w:r w:rsidR="003516E8" w:rsidRPr="00237A77">
        <w:rPr>
          <w:rFonts w:ascii="Book Antiqua" w:eastAsia="宋体" w:hAnsi="Book Antiqua" w:cs="仿宋"/>
          <w:b/>
          <w:bCs/>
        </w:rPr>
        <w:t xml:space="preserve"> </w:t>
      </w:r>
      <w:r w:rsidRPr="00237A77">
        <w:rPr>
          <w:rFonts w:ascii="Book Antiqua" w:eastAsia="宋体" w:hAnsi="Book Antiqua" w:cs="仿宋"/>
          <w:b/>
          <w:bCs/>
        </w:rPr>
        <w:t>of</w:t>
      </w:r>
      <w:r w:rsidR="003516E8" w:rsidRPr="00237A77">
        <w:rPr>
          <w:rFonts w:ascii="Book Antiqua" w:eastAsia="宋体" w:hAnsi="Book Antiqua" w:cs="仿宋"/>
          <w:b/>
          <w:bCs/>
        </w:rPr>
        <w:t xml:space="preserve"> </w:t>
      </w:r>
      <w:r w:rsidRPr="00237A77">
        <w:rPr>
          <w:rFonts w:ascii="Book Antiqua" w:eastAsia="宋体" w:hAnsi="Book Antiqua" w:cs="仿宋"/>
          <w:b/>
          <w:bCs/>
        </w:rPr>
        <w:t>patients</w:t>
      </w:r>
      <w:r w:rsidR="003516E8" w:rsidRPr="00237A77">
        <w:rPr>
          <w:rFonts w:ascii="Book Antiqua" w:eastAsia="宋体" w:hAnsi="Book Antiqua" w:cs="仿宋"/>
          <w:b/>
          <w:bCs/>
        </w:rPr>
        <w:t xml:space="preserve"> </w:t>
      </w:r>
      <w:r w:rsidRPr="00237A77">
        <w:rPr>
          <w:rFonts w:ascii="Book Antiqua" w:eastAsia="宋体" w:hAnsi="Book Antiqua" w:cs="仿宋"/>
          <w:b/>
          <w:bCs/>
        </w:rPr>
        <w:t>with</w:t>
      </w:r>
      <w:r w:rsidR="003516E8" w:rsidRPr="00237A77">
        <w:rPr>
          <w:rFonts w:ascii="Book Antiqua" w:eastAsia="宋体" w:hAnsi="Book Antiqua" w:cs="仿宋"/>
          <w:b/>
          <w:bCs/>
        </w:rPr>
        <w:t xml:space="preserve"> </w:t>
      </w:r>
      <w:r w:rsidRPr="00237A77">
        <w:rPr>
          <w:rFonts w:ascii="Book Antiqua" w:eastAsia="宋体" w:hAnsi="Book Antiqua" w:cs="仿宋"/>
          <w:b/>
          <w:bCs/>
        </w:rPr>
        <w:t>and</w:t>
      </w:r>
      <w:r w:rsidR="003516E8" w:rsidRPr="00237A77">
        <w:rPr>
          <w:rFonts w:ascii="Book Antiqua" w:eastAsia="宋体" w:hAnsi="Book Antiqua" w:cs="仿宋"/>
          <w:b/>
          <w:bCs/>
        </w:rPr>
        <w:t xml:space="preserve"> </w:t>
      </w:r>
      <w:r w:rsidRPr="00237A77">
        <w:rPr>
          <w:rFonts w:ascii="Book Antiqua" w:eastAsia="宋体" w:hAnsi="Book Antiqua" w:cs="仿宋"/>
          <w:b/>
          <w:bCs/>
        </w:rPr>
        <w:t>without</w:t>
      </w:r>
      <w:r w:rsidR="003516E8" w:rsidRPr="00237A77">
        <w:rPr>
          <w:rFonts w:ascii="Book Antiqua" w:eastAsia="宋体" w:hAnsi="Book Antiqua" w:cs="仿宋"/>
          <w:b/>
          <w:bCs/>
        </w:rPr>
        <w:t xml:space="preserve"> </w:t>
      </w:r>
      <w:r w:rsidR="00AC2455" w:rsidRPr="00237A77">
        <w:rPr>
          <w:rFonts w:ascii="Book Antiqua" w:eastAsia="宋体" w:hAnsi="Book Antiqua" w:cs="仿宋"/>
          <w:b/>
          <w:bCs/>
        </w:rPr>
        <w:t>adefovir</w:t>
      </w:r>
      <w:r w:rsidR="003516E8" w:rsidRPr="00237A77">
        <w:rPr>
          <w:rFonts w:ascii="Book Antiqua" w:eastAsia="宋体" w:hAnsi="Book Antiqua" w:cs="仿宋"/>
          <w:b/>
          <w:bCs/>
        </w:rPr>
        <w:t xml:space="preserve"> </w:t>
      </w:r>
      <w:r w:rsidR="00AC2455" w:rsidRPr="00237A77">
        <w:rPr>
          <w:rFonts w:ascii="Book Antiqua" w:eastAsia="宋体" w:hAnsi="Book Antiqua" w:cs="仿宋"/>
          <w:b/>
          <w:bCs/>
        </w:rPr>
        <w:t>dipivoxil</w:t>
      </w:r>
      <w:r w:rsidR="003516E8" w:rsidRPr="00237A77">
        <w:rPr>
          <w:rFonts w:ascii="Book Antiqua" w:eastAsia="宋体" w:hAnsi="Book Antiqua" w:cs="仿宋"/>
          <w:b/>
          <w:bCs/>
        </w:rPr>
        <w:t xml:space="preserve"> </w:t>
      </w:r>
      <w:r w:rsidRPr="00237A77">
        <w:rPr>
          <w:rFonts w:ascii="Book Antiqua" w:eastAsia="宋体" w:hAnsi="Book Antiqua" w:cs="仿宋"/>
          <w:b/>
          <w:bCs/>
        </w:rPr>
        <w:t>/</w:t>
      </w:r>
      <w:r w:rsidR="003516E8" w:rsidRPr="00237A77">
        <w:t xml:space="preserve"> </w:t>
      </w:r>
      <w:r w:rsidR="00AC2455" w:rsidRPr="00237A77">
        <w:rPr>
          <w:rFonts w:ascii="Book Antiqua" w:eastAsia="宋体" w:hAnsi="Book Antiqua" w:cs="仿宋"/>
          <w:b/>
          <w:bCs/>
        </w:rPr>
        <w:t>tenofovir</w:t>
      </w:r>
      <w:r w:rsidR="003516E8" w:rsidRPr="00237A77">
        <w:rPr>
          <w:rFonts w:ascii="Book Antiqua" w:eastAsia="宋体" w:hAnsi="Book Antiqua" w:cs="仿宋"/>
          <w:b/>
          <w:bCs/>
        </w:rPr>
        <w:t xml:space="preserve"> </w:t>
      </w:r>
      <w:r w:rsidR="00AC2455" w:rsidRPr="00237A77">
        <w:rPr>
          <w:rFonts w:ascii="Book Antiqua" w:eastAsia="宋体" w:hAnsi="Book Antiqua" w:cs="仿宋"/>
          <w:b/>
          <w:bCs/>
        </w:rPr>
        <w:t>disoproxil</w:t>
      </w:r>
      <w:r w:rsidR="003516E8" w:rsidRPr="00237A77">
        <w:rPr>
          <w:rFonts w:ascii="Book Antiqua" w:eastAsia="宋体" w:hAnsi="Book Antiqua" w:cs="仿宋"/>
          <w:b/>
          <w:bCs/>
        </w:rPr>
        <w:t xml:space="preserve"> </w:t>
      </w:r>
      <w:r w:rsidR="00AC2455" w:rsidRPr="00237A77">
        <w:rPr>
          <w:rFonts w:ascii="Book Antiqua" w:eastAsia="宋体" w:hAnsi="Book Antiqua" w:cs="仿宋"/>
          <w:b/>
          <w:bCs/>
        </w:rPr>
        <w:t>fumarate</w:t>
      </w:r>
      <w:r w:rsidR="003516E8" w:rsidRPr="00237A77">
        <w:rPr>
          <w:rFonts w:ascii="Book Antiqua" w:eastAsia="宋体" w:hAnsi="Book Antiqua" w:cs="仿宋"/>
          <w:b/>
          <w:bCs/>
        </w:rPr>
        <w:t xml:space="preserve"> </w:t>
      </w:r>
      <w:r w:rsidRPr="00237A77">
        <w:rPr>
          <w:rFonts w:ascii="Book Antiqua" w:eastAsia="宋体" w:hAnsi="Book Antiqua" w:cs="仿宋"/>
          <w:b/>
          <w:bCs/>
        </w:rPr>
        <w:t>treatment</w:t>
      </w:r>
    </w:p>
    <w:tbl>
      <w:tblPr>
        <w:tblW w:w="12971" w:type="dxa"/>
        <w:jc w:val="center"/>
        <w:tblBorders>
          <w:top w:val="single" w:sz="4" w:space="0" w:color="auto"/>
          <w:left w:val="none" w:sz="6" w:space="0" w:color="auto"/>
          <w:bottom w:val="single" w:sz="4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1318"/>
        <w:gridCol w:w="1560"/>
        <w:gridCol w:w="1417"/>
        <w:gridCol w:w="1559"/>
        <w:gridCol w:w="1701"/>
        <w:gridCol w:w="2759"/>
      </w:tblGrid>
      <w:tr w:rsidR="00B22200" w:rsidRPr="00B22200" w14:paraId="7E469B9D" w14:textId="77777777" w:rsidTr="00167B9E">
        <w:trPr>
          <w:trHeight w:val="285"/>
          <w:jc w:val="center"/>
        </w:trPr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8646CF" w14:textId="7DCBD9C0" w:rsidR="00B63700" w:rsidRPr="00237A77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b/>
                <w:bCs/>
              </w:rPr>
            </w:pPr>
            <w:r w:rsidRPr="00237A77">
              <w:rPr>
                <w:rFonts w:ascii="Book Antiqua" w:eastAsia="宋体" w:hAnsi="Book Antiqua" w:cs="仿宋"/>
                <w:b/>
                <w:bCs/>
              </w:rPr>
              <w:t>Treatment</w:t>
            </w:r>
            <w:r w:rsidR="003516E8" w:rsidRPr="00237A77">
              <w:rPr>
                <w:rFonts w:ascii="Book Antiqua" w:eastAsia="宋体" w:hAnsi="Book Antiqua" w:cs="仿宋"/>
                <w:b/>
                <w:bCs/>
              </w:rPr>
              <w:t xml:space="preserve"> </w:t>
            </w:r>
            <w:r w:rsidR="003168A6" w:rsidRPr="00237A77">
              <w:rPr>
                <w:rFonts w:ascii="Book Antiqua" w:eastAsia="宋体" w:hAnsi="Book Antiqua" w:cs="仿宋"/>
                <w:b/>
                <w:bCs/>
              </w:rPr>
              <w:t>g</w:t>
            </w:r>
            <w:r w:rsidRPr="00237A77">
              <w:rPr>
                <w:rFonts w:ascii="Book Antiqua" w:eastAsia="宋体" w:hAnsi="Book Antiqua" w:cs="仿宋"/>
                <w:b/>
                <w:bCs/>
              </w:rPr>
              <w:t>roup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5764CB" w14:textId="56CD4099" w:rsidR="00B63700" w:rsidRPr="00237A77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b/>
                <w:bCs/>
              </w:rPr>
            </w:pPr>
            <w:r w:rsidRPr="00237A77">
              <w:rPr>
                <w:rFonts w:ascii="Book Antiqua" w:eastAsia="宋体" w:hAnsi="Book Antiqua" w:cs="仿宋"/>
                <w:b/>
                <w:bCs/>
              </w:rPr>
              <w:t>Increased</w:t>
            </w:r>
            <w:r w:rsidR="003516E8" w:rsidRPr="00237A77">
              <w:rPr>
                <w:rFonts w:ascii="Book Antiqua" w:eastAsia="宋体" w:hAnsi="Book Antiqua" w:cs="仿宋"/>
                <w:b/>
                <w:bCs/>
              </w:rPr>
              <w:t xml:space="preserve"> </w:t>
            </w:r>
            <w:r w:rsidRPr="00237A77">
              <w:rPr>
                <w:rFonts w:ascii="Book Antiqua" w:eastAsia="宋体" w:hAnsi="Book Antiqua" w:cs="仿宋"/>
                <w:b/>
                <w:bCs/>
              </w:rPr>
              <w:t>BUN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C28150" w14:textId="2E1FF5E6" w:rsidR="00B63700" w:rsidRPr="00237A77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b/>
                <w:bCs/>
              </w:rPr>
            </w:pPr>
            <w:r w:rsidRPr="00237A77">
              <w:rPr>
                <w:rFonts w:ascii="Book Antiqua" w:eastAsia="宋体" w:hAnsi="Book Antiqua" w:cs="仿宋"/>
                <w:b/>
                <w:bCs/>
              </w:rPr>
              <w:t>Early</w:t>
            </w:r>
            <w:r w:rsidR="003516E8" w:rsidRPr="00237A77">
              <w:rPr>
                <w:rFonts w:ascii="Book Antiqua" w:eastAsia="宋体" w:hAnsi="Book Antiqua" w:cs="仿宋"/>
                <w:b/>
                <w:bCs/>
              </w:rPr>
              <w:t xml:space="preserve"> </w:t>
            </w:r>
            <w:r w:rsidR="003168A6" w:rsidRPr="00237A77">
              <w:rPr>
                <w:rFonts w:ascii="Book Antiqua" w:eastAsia="宋体" w:hAnsi="Book Antiqua" w:cs="仿宋"/>
                <w:b/>
                <w:bCs/>
              </w:rPr>
              <w:t>r</w:t>
            </w:r>
            <w:r w:rsidRPr="00237A77">
              <w:rPr>
                <w:rFonts w:ascii="Book Antiqua" w:eastAsia="宋体" w:hAnsi="Book Antiqua" w:cs="仿宋"/>
                <w:b/>
                <w:bCs/>
              </w:rPr>
              <w:t>enal</w:t>
            </w:r>
            <w:r w:rsidR="003516E8" w:rsidRPr="00237A77">
              <w:rPr>
                <w:rFonts w:ascii="Book Antiqua" w:eastAsia="宋体" w:hAnsi="Book Antiqua" w:cs="仿宋"/>
                <w:b/>
                <w:bCs/>
              </w:rPr>
              <w:t xml:space="preserve"> </w:t>
            </w:r>
            <w:r w:rsidR="003168A6" w:rsidRPr="00237A77">
              <w:rPr>
                <w:rFonts w:ascii="Book Antiqua" w:eastAsia="宋体" w:hAnsi="Book Antiqua" w:cs="仿宋"/>
                <w:b/>
                <w:bCs/>
              </w:rPr>
              <w:t>d</w:t>
            </w:r>
            <w:r w:rsidRPr="00237A77">
              <w:rPr>
                <w:rFonts w:ascii="Book Antiqua" w:eastAsia="宋体" w:hAnsi="Book Antiqua" w:cs="仿宋"/>
                <w:b/>
                <w:bCs/>
              </w:rPr>
              <w:t>amage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E78B11" w14:textId="245C6E78" w:rsidR="00B63700" w:rsidRPr="00237A77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b/>
                <w:bCs/>
              </w:rPr>
            </w:pPr>
            <w:r w:rsidRPr="00237A77">
              <w:rPr>
                <w:rFonts w:ascii="Book Antiqua" w:eastAsia="宋体" w:hAnsi="Book Antiqua" w:cs="仿宋"/>
                <w:b/>
                <w:bCs/>
              </w:rPr>
              <w:t>eGFR</w:t>
            </w:r>
            <w:r w:rsidR="003516E8" w:rsidRPr="00237A77">
              <w:rPr>
                <w:rFonts w:ascii="Book Antiqua" w:eastAsia="宋体" w:hAnsi="Book Antiqua" w:cs="仿宋"/>
                <w:b/>
                <w:bCs/>
              </w:rPr>
              <w:t xml:space="preserve"> </w:t>
            </w:r>
            <w:r w:rsidRPr="00237A77">
              <w:rPr>
                <w:rFonts w:ascii="Book Antiqua" w:eastAsia="宋体" w:hAnsi="Book Antiqua" w:cs="仿宋"/>
                <w:b/>
                <w:bCs/>
              </w:rPr>
              <w:t>≥</w:t>
            </w:r>
            <w:r w:rsidR="003516E8" w:rsidRPr="00237A77">
              <w:rPr>
                <w:rFonts w:ascii="Book Antiqua" w:eastAsia="宋体" w:hAnsi="Book Antiqua" w:cs="仿宋"/>
                <w:b/>
                <w:bCs/>
                <w:lang w:eastAsia="zh-CN"/>
              </w:rPr>
              <w:t xml:space="preserve"> </w:t>
            </w:r>
            <w:r w:rsidRPr="00237A77">
              <w:rPr>
                <w:rFonts w:ascii="Book Antiqua" w:eastAsia="宋体" w:hAnsi="Book Antiqua" w:cs="仿宋"/>
                <w:b/>
                <w:bCs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EDD13" w14:textId="60FCDDEE" w:rsidR="00B63700" w:rsidRPr="00237A77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b/>
                <w:bCs/>
              </w:rPr>
            </w:pPr>
            <w:r w:rsidRPr="00237A77">
              <w:rPr>
                <w:rFonts w:ascii="Book Antiqua" w:eastAsia="宋体" w:hAnsi="Book Antiqua" w:cs="仿宋"/>
                <w:b/>
                <w:bCs/>
              </w:rPr>
              <w:t>eGFR</w:t>
            </w:r>
            <w:r w:rsidR="003516E8" w:rsidRPr="00237A77">
              <w:rPr>
                <w:rFonts w:ascii="Book Antiqua" w:eastAsia="宋体" w:hAnsi="Book Antiqua" w:cs="仿宋"/>
                <w:b/>
                <w:bCs/>
              </w:rPr>
              <w:t xml:space="preserve"> </w:t>
            </w:r>
            <w:r w:rsidRPr="00237A77">
              <w:rPr>
                <w:rFonts w:ascii="Book Antiqua" w:eastAsia="宋体" w:hAnsi="Book Antiqua" w:cs="仿宋"/>
                <w:b/>
                <w:bCs/>
              </w:rPr>
              <w:t>89-60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400D6" w14:textId="6BC2E973" w:rsidR="00B63700" w:rsidRPr="00237A77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b/>
                <w:bCs/>
              </w:rPr>
            </w:pPr>
            <w:r w:rsidRPr="00237A77">
              <w:rPr>
                <w:rFonts w:ascii="Book Antiqua" w:eastAsia="宋体" w:hAnsi="Book Antiqua" w:cs="仿宋"/>
                <w:b/>
                <w:bCs/>
              </w:rPr>
              <w:t>eGFR</w:t>
            </w:r>
            <w:r w:rsidR="003516E8" w:rsidRPr="00237A77">
              <w:rPr>
                <w:rFonts w:ascii="Book Antiqua" w:eastAsia="宋体" w:hAnsi="Book Antiqua" w:cs="仿宋"/>
                <w:b/>
                <w:bCs/>
              </w:rPr>
              <w:t xml:space="preserve"> </w:t>
            </w:r>
            <w:r w:rsidRPr="00237A77">
              <w:rPr>
                <w:rFonts w:ascii="Book Antiqua" w:eastAsia="宋体" w:hAnsi="Book Antiqua" w:cs="仿宋"/>
                <w:b/>
                <w:bCs/>
              </w:rPr>
              <w:t>59-30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A0F0E8" w14:textId="77777777" w:rsidR="00B63700" w:rsidRPr="00237A77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b/>
                <w:bCs/>
              </w:rPr>
            </w:pPr>
            <w:r w:rsidRPr="00237A77">
              <w:rPr>
                <w:rFonts w:ascii="Book Antiqua" w:eastAsia="宋体" w:hAnsi="Book Antiqua" w:cs="仿宋"/>
                <w:b/>
                <w:bCs/>
              </w:rPr>
              <w:t>Hypophosphatemia</w:t>
            </w:r>
          </w:p>
        </w:tc>
      </w:tr>
      <w:tr w:rsidR="00B22200" w:rsidRPr="00B22200" w14:paraId="125B36FC" w14:textId="77777777" w:rsidTr="00167B9E">
        <w:trPr>
          <w:trHeight w:val="285"/>
          <w:jc w:val="center"/>
        </w:trPr>
        <w:tc>
          <w:tcPr>
            <w:tcW w:w="2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CE419" w14:textId="046B2D0F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ADV/TDF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group</w:t>
            </w:r>
            <w:r w:rsidR="00237A77">
              <w:rPr>
                <w:rFonts w:ascii="Book Antiqua" w:eastAsia="宋体" w:hAnsi="Book Antiqua" w:cs="仿宋"/>
                <w:color w:val="000000" w:themeColor="text1"/>
              </w:rPr>
              <w:t>,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i/>
                <w:iCs/>
                <w:color w:val="000000" w:themeColor="text1"/>
              </w:rPr>
              <w:t>n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=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25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77BE8" w14:textId="1CC93473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(12%)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9519E" w14:textId="5B7D0BDD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15</w:t>
            </w:r>
            <w:r w:rsidR="00465418"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1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(60%)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CE82C" w14:textId="2D3CA61F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6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(24%)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3CEA8" w14:textId="2A789DE6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16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(64%)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BC172" w14:textId="0905A555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(12%)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91803" w14:textId="15FB28F0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6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(24%)</w:t>
            </w:r>
          </w:p>
        </w:tc>
      </w:tr>
      <w:tr w:rsidR="00B22200" w:rsidRPr="00B22200" w14:paraId="31B03A5A" w14:textId="77777777" w:rsidTr="00167B9E">
        <w:trPr>
          <w:trHeight w:val="285"/>
          <w:jc w:val="center"/>
        </w:trPr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05094" w14:textId="5015355C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Non-ADV/TDF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  <w:lang w:eastAsia="zh-CN"/>
              </w:rPr>
              <w:t xml:space="preserve"> </w:t>
            </w:r>
            <w:r w:rsidR="003168A6" w:rsidRPr="000B0484">
              <w:rPr>
                <w:rFonts w:ascii="Book Antiqua" w:eastAsia="宋体" w:hAnsi="Book Antiqua" w:cs="仿宋"/>
                <w:color w:val="000000" w:themeColor="text1"/>
              </w:rPr>
              <w:t>g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roup</w:t>
            </w:r>
            <w:r w:rsidR="00237A77">
              <w:rPr>
                <w:rFonts w:ascii="Book Antiqua" w:eastAsia="宋体" w:hAnsi="Book Antiqua" w:cs="仿宋"/>
                <w:color w:val="000000" w:themeColor="text1"/>
              </w:rPr>
              <w:t>,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i/>
                <w:iCs/>
                <w:color w:val="000000" w:themeColor="text1"/>
              </w:rPr>
              <w:t>n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=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FF597" w14:textId="3A81902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(6.8%)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D61B1" w14:textId="3E173ADB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16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(36.4%)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79BA36" w14:textId="6E4EE1C9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16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(36.4%)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98DA6" w14:textId="13D051A3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26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(59.1%)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EBDFA9" w14:textId="45392008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2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(4.5%)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F045BE" w14:textId="6B0A529E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7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(15.9%)</w:t>
            </w:r>
          </w:p>
        </w:tc>
      </w:tr>
    </w:tbl>
    <w:p w14:paraId="7169FC03" w14:textId="5A6B53AC" w:rsidR="00A77B3E" w:rsidRPr="000B0484" w:rsidRDefault="00465418" w:rsidP="000B0484">
      <w:pPr>
        <w:snapToGrid w:val="0"/>
        <w:spacing w:line="360" w:lineRule="auto"/>
        <w:jc w:val="both"/>
        <w:rPr>
          <w:rFonts w:ascii="Book Antiqua" w:eastAsia="宋体" w:hAnsi="Book Antiqua" w:cs="仿宋"/>
          <w:color w:val="000000" w:themeColor="text1"/>
        </w:rPr>
      </w:pPr>
      <w:r w:rsidRPr="000B0484">
        <w:rPr>
          <w:rFonts w:ascii="Book Antiqua" w:eastAsia="宋体" w:hAnsi="Book Antiqua" w:cs="仿宋"/>
          <w:color w:val="000000" w:themeColor="text1"/>
          <w:vertAlign w:val="superscript"/>
        </w:rPr>
        <w:t>1</w:t>
      </w:r>
      <w:r w:rsidRPr="000B0484">
        <w:rPr>
          <w:rFonts w:ascii="Book Antiqua" w:eastAsia="宋体" w:hAnsi="Book Antiqua" w:cs="仿宋"/>
          <w:color w:val="000000" w:themeColor="text1"/>
        </w:rPr>
        <w:t>Compared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with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the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non-ADV/TDF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treatment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group,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i/>
          <w:color w:val="000000" w:themeColor="text1"/>
        </w:rPr>
        <w:t>χ</w:t>
      </w:r>
      <w:r w:rsidRPr="000B0484">
        <w:rPr>
          <w:rFonts w:ascii="Book Antiqua" w:eastAsia="宋体" w:hAnsi="Book Antiqua" w:cs="仿宋"/>
          <w:color w:val="000000" w:themeColor="text1"/>
          <w:vertAlign w:val="superscript"/>
        </w:rPr>
        <w:t>2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3.600,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i/>
          <w:iCs/>
          <w:color w:val="000000" w:themeColor="text1"/>
        </w:rPr>
        <w:t>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0.057.</w:t>
      </w:r>
      <w:r w:rsidR="003516E8" w:rsidRPr="000B0484">
        <w:rPr>
          <w:rFonts w:ascii="Book Antiqua" w:eastAsia="宋体" w:hAnsi="Book Antiqua" w:cs="仿宋"/>
          <w:color w:val="000000" w:themeColor="text1"/>
          <w:lang w:eastAsia="zh-CN"/>
        </w:rPr>
        <w:t xml:space="preserve"> </w:t>
      </w:r>
      <w:r w:rsidR="00D81EFA" w:rsidRPr="000B0484">
        <w:rPr>
          <w:rFonts w:ascii="Book Antiqua" w:hAnsi="Book Antiqua"/>
          <w:color w:val="000000" w:themeColor="text1"/>
          <w:lang w:eastAsia="zh-CN"/>
        </w:rPr>
        <w:t>ADV:</w:t>
      </w:r>
      <w:r w:rsidR="003516E8" w:rsidRPr="000B0484">
        <w:rPr>
          <w:rFonts w:ascii="Book Antiqua" w:hAnsi="Book Antiqua"/>
          <w:color w:val="000000" w:themeColor="text1"/>
          <w:lang w:eastAsia="zh-CN"/>
        </w:rPr>
        <w:t xml:space="preserve"> </w:t>
      </w:r>
      <w:r w:rsidR="00D81EFA" w:rsidRPr="000B0484">
        <w:rPr>
          <w:rFonts w:ascii="Book Antiqua" w:hAnsi="Book Antiqua"/>
          <w:color w:val="000000" w:themeColor="text1"/>
          <w:lang w:eastAsia="zh-CN"/>
        </w:rPr>
        <w:t>Adefovir</w:t>
      </w:r>
      <w:r w:rsidR="003516E8" w:rsidRPr="000B0484">
        <w:rPr>
          <w:rFonts w:ascii="Book Antiqua" w:hAnsi="Book Antiqua"/>
          <w:color w:val="000000" w:themeColor="text1"/>
          <w:lang w:eastAsia="zh-CN"/>
        </w:rPr>
        <w:t xml:space="preserve"> </w:t>
      </w:r>
      <w:proofErr w:type="spellStart"/>
      <w:r w:rsidR="00D81EFA" w:rsidRPr="000B0484">
        <w:rPr>
          <w:rFonts w:ascii="Book Antiqua" w:hAnsi="Book Antiqua"/>
          <w:color w:val="000000" w:themeColor="text1"/>
          <w:lang w:eastAsia="zh-CN"/>
        </w:rPr>
        <w:t>dipivoxil</w:t>
      </w:r>
      <w:proofErr w:type="spellEnd"/>
      <w:r w:rsidR="00D81EFA" w:rsidRPr="000B0484">
        <w:rPr>
          <w:rFonts w:ascii="Book Antiqua" w:hAnsi="Book Antiqua"/>
          <w:color w:val="000000" w:themeColor="text1"/>
          <w:lang w:eastAsia="zh-CN"/>
        </w:rPr>
        <w:t>;</w:t>
      </w:r>
      <w:r w:rsidR="003516E8" w:rsidRPr="000B0484">
        <w:rPr>
          <w:rFonts w:ascii="Book Antiqua" w:hAnsi="Book Antiqua"/>
          <w:color w:val="000000" w:themeColor="text1"/>
          <w:lang w:eastAsia="zh-CN"/>
        </w:rPr>
        <w:t xml:space="preserve"> </w:t>
      </w:r>
      <w:r w:rsidR="00D81EFA" w:rsidRPr="000B0484">
        <w:rPr>
          <w:rFonts w:ascii="Book Antiqua" w:hAnsi="Book Antiqua"/>
          <w:color w:val="000000" w:themeColor="text1"/>
          <w:lang w:eastAsia="zh-CN"/>
        </w:rPr>
        <w:t>BUN:</w:t>
      </w:r>
      <w:r w:rsidR="003516E8" w:rsidRPr="000B0484">
        <w:rPr>
          <w:rFonts w:ascii="Book Antiqua" w:hAnsi="Book Antiqua"/>
          <w:color w:val="000000" w:themeColor="text1"/>
          <w:lang w:eastAsia="zh-CN"/>
        </w:rPr>
        <w:t xml:space="preserve"> </w:t>
      </w:r>
      <w:r w:rsidRPr="000B0484">
        <w:rPr>
          <w:rFonts w:ascii="Book Antiqua" w:hAnsi="Book Antiqua"/>
          <w:color w:val="000000" w:themeColor="text1"/>
          <w:lang w:eastAsia="zh-CN"/>
        </w:rPr>
        <w:t>Serum</w:t>
      </w:r>
      <w:r w:rsidR="003516E8" w:rsidRPr="000B0484">
        <w:rPr>
          <w:rFonts w:ascii="Book Antiqua" w:hAnsi="Book Antiqua"/>
          <w:color w:val="000000" w:themeColor="text1"/>
          <w:lang w:eastAsia="zh-CN"/>
        </w:rPr>
        <w:t xml:space="preserve"> </w:t>
      </w:r>
      <w:r w:rsidRPr="000B0484">
        <w:rPr>
          <w:rFonts w:ascii="Book Antiqua" w:hAnsi="Book Antiqua"/>
          <w:color w:val="000000" w:themeColor="text1"/>
          <w:lang w:eastAsia="zh-CN"/>
        </w:rPr>
        <w:t>urea</w:t>
      </w:r>
      <w:r w:rsidR="003516E8" w:rsidRPr="000B0484">
        <w:rPr>
          <w:rFonts w:ascii="Book Antiqua" w:hAnsi="Book Antiqua"/>
          <w:color w:val="000000" w:themeColor="text1"/>
          <w:lang w:eastAsia="zh-CN"/>
        </w:rPr>
        <w:t xml:space="preserve"> </w:t>
      </w:r>
      <w:r w:rsidRPr="000B0484">
        <w:rPr>
          <w:rFonts w:ascii="Book Antiqua" w:hAnsi="Book Antiqua"/>
          <w:color w:val="000000" w:themeColor="text1"/>
          <w:lang w:eastAsia="zh-CN"/>
        </w:rPr>
        <w:t>nitrogen</w:t>
      </w:r>
      <w:r w:rsidR="00D81EFA" w:rsidRPr="000B0484">
        <w:rPr>
          <w:rFonts w:ascii="Book Antiqua" w:hAnsi="Book Antiqua"/>
          <w:color w:val="000000" w:themeColor="text1"/>
          <w:lang w:eastAsia="zh-CN"/>
        </w:rPr>
        <w:t>;</w:t>
      </w:r>
      <w:r w:rsidR="003516E8" w:rsidRPr="000B0484">
        <w:rPr>
          <w:rFonts w:ascii="Book Antiqua" w:hAnsi="Book Antiqua"/>
          <w:color w:val="000000" w:themeColor="text1"/>
          <w:lang w:eastAsia="zh-CN"/>
        </w:rPr>
        <w:t xml:space="preserve"> </w:t>
      </w:r>
      <w:r w:rsidR="00D81EFA" w:rsidRPr="000B0484">
        <w:rPr>
          <w:rFonts w:ascii="Book Antiqua" w:hAnsi="Book Antiqua"/>
          <w:color w:val="000000" w:themeColor="text1"/>
          <w:lang w:eastAsia="zh-CN"/>
        </w:rPr>
        <w:t>eGFR:</w:t>
      </w:r>
      <w:r w:rsidR="003516E8" w:rsidRPr="000B0484">
        <w:rPr>
          <w:rFonts w:ascii="Book Antiqua" w:hAnsi="Book Antiqua"/>
          <w:color w:val="000000" w:themeColor="text1"/>
          <w:lang w:eastAsia="zh-CN"/>
        </w:rPr>
        <w:t xml:space="preserve"> </w:t>
      </w:r>
      <w:r w:rsidRPr="000B0484">
        <w:rPr>
          <w:rFonts w:ascii="Book Antiqua" w:hAnsi="Book Antiqua"/>
          <w:color w:val="000000" w:themeColor="text1"/>
          <w:lang w:eastAsia="zh-CN"/>
        </w:rPr>
        <w:t>Estimated</w:t>
      </w:r>
      <w:r w:rsidR="003516E8" w:rsidRPr="000B0484">
        <w:rPr>
          <w:rFonts w:ascii="Book Antiqua" w:hAnsi="Book Antiqua"/>
          <w:color w:val="000000" w:themeColor="text1"/>
          <w:lang w:eastAsia="zh-CN"/>
        </w:rPr>
        <w:t xml:space="preserve"> </w:t>
      </w:r>
      <w:r w:rsidRPr="000B0484">
        <w:rPr>
          <w:rFonts w:ascii="Book Antiqua" w:hAnsi="Book Antiqua"/>
          <w:color w:val="000000" w:themeColor="text1"/>
          <w:lang w:eastAsia="zh-CN"/>
        </w:rPr>
        <w:t>glomerular</w:t>
      </w:r>
      <w:r w:rsidR="003516E8" w:rsidRPr="000B0484">
        <w:rPr>
          <w:rFonts w:ascii="Book Antiqua" w:hAnsi="Book Antiqua"/>
          <w:color w:val="000000" w:themeColor="text1"/>
          <w:lang w:eastAsia="zh-CN"/>
        </w:rPr>
        <w:t xml:space="preserve"> </w:t>
      </w:r>
      <w:r w:rsidRPr="000B0484">
        <w:rPr>
          <w:rFonts w:ascii="Book Antiqua" w:hAnsi="Book Antiqua"/>
          <w:color w:val="000000" w:themeColor="text1"/>
          <w:lang w:eastAsia="zh-CN"/>
        </w:rPr>
        <w:t>filtration</w:t>
      </w:r>
      <w:r w:rsidR="003516E8" w:rsidRPr="000B0484">
        <w:rPr>
          <w:rFonts w:ascii="Book Antiqua" w:hAnsi="Book Antiqua"/>
          <w:color w:val="000000" w:themeColor="text1"/>
          <w:lang w:eastAsia="zh-CN"/>
        </w:rPr>
        <w:t xml:space="preserve"> </w:t>
      </w:r>
      <w:r w:rsidRPr="000B0484">
        <w:rPr>
          <w:rFonts w:ascii="Book Antiqua" w:hAnsi="Book Antiqua"/>
          <w:color w:val="000000" w:themeColor="text1"/>
          <w:lang w:eastAsia="zh-CN"/>
        </w:rPr>
        <w:t>rate</w:t>
      </w:r>
      <w:r w:rsidR="00237A77">
        <w:rPr>
          <w:rFonts w:ascii="Book Antiqua" w:hAnsi="Book Antiqua"/>
          <w:color w:val="000000" w:themeColor="text1"/>
          <w:lang w:eastAsia="zh-CN"/>
        </w:rPr>
        <w:t>;</w:t>
      </w:r>
      <w:r w:rsidR="00237A77" w:rsidRPr="00237A77">
        <w:rPr>
          <w:rFonts w:ascii="Book Antiqua" w:hAnsi="Book Antiqua"/>
          <w:color w:val="000000" w:themeColor="text1"/>
          <w:lang w:eastAsia="zh-CN"/>
        </w:rPr>
        <w:t xml:space="preserve"> </w:t>
      </w:r>
      <w:r w:rsidR="00237A77" w:rsidRPr="00AD2031">
        <w:rPr>
          <w:rFonts w:ascii="Book Antiqua" w:hAnsi="Book Antiqua"/>
          <w:color w:val="000000" w:themeColor="text1"/>
          <w:lang w:eastAsia="zh-CN"/>
        </w:rPr>
        <w:t>TDF: Tenofovir disoproxil fumarate</w:t>
      </w:r>
      <w:r w:rsidR="00D81EFA" w:rsidRPr="000B0484">
        <w:rPr>
          <w:rFonts w:ascii="Book Antiqua" w:hAnsi="Book Antiqua"/>
          <w:color w:val="000000" w:themeColor="text1"/>
          <w:lang w:eastAsia="zh-CN"/>
        </w:rPr>
        <w:t>.</w:t>
      </w:r>
    </w:p>
    <w:p w14:paraId="78FF210D" w14:textId="219ED9CF" w:rsidR="00000000" w:rsidRPr="000B0484" w:rsidRDefault="00DD7941" w:rsidP="000B0484">
      <w:pPr>
        <w:snapToGrid w:val="0"/>
        <w:spacing w:line="360" w:lineRule="auto"/>
        <w:jc w:val="both"/>
        <w:rPr>
          <w:rFonts w:ascii="Book Antiqua" w:eastAsia="宋体" w:hAnsi="Book Antiqua" w:cs="仿宋"/>
          <w:color w:val="000000" w:themeColor="text1"/>
        </w:rPr>
        <w:sectPr w:rsidR="00000000" w:rsidRPr="000B0484" w:rsidSect="003168A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0D1D4D9" w14:textId="1DF61786" w:rsidR="00B63700" w:rsidRPr="000B0484" w:rsidRDefault="00B63700" w:rsidP="000B0484">
      <w:pPr>
        <w:snapToGrid w:val="0"/>
        <w:spacing w:line="360" w:lineRule="auto"/>
        <w:jc w:val="both"/>
        <w:rPr>
          <w:rFonts w:ascii="Book Antiqua" w:eastAsia="宋体" w:hAnsi="Book Antiqua" w:cs="仿宋"/>
          <w:b/>
          <w:bCs/>
          <w:color w:val="000000" w:themeColor="text1"/>
        </w:rPr>
      </w:pPr>
      <w:r w:rsidRPr="000B0484">
        <w:rPr>
          <w:rFonts w:ascii="Book Antiqua" w:eastAsia="宋体" w:hAnsi="Book Antiqua" w:cs="仿宋"/>
          <w:b/>
          <w:bCs/>
          <w:color w:val="000000" w:themeColor="text1"/>
        </w:rPr>
        <w:lastRenderedPageBreak/>
        <w:t>Table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2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Examination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results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of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patients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in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different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="00BC5350" w:rsidRPr="000B0484">
        <w:rPr>
          <w:rFonts w:ascii="Book Antiqua" w:eastAsia="宋体" w:hAnsi="Book Antiqua" w:cs="仿宋"/>
          <w:b/>
          <w:bCs/>
          <w:color w:val="000000" w:themeColor="text1"/>
        </w:rPr>
        <w:t>estimated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="00BC5350" w:rsidRPr="000B0484">
        <w:rPr>
          <w:rFonts w:ascii="Book Antiqua" w:eastAsia="宋体" w:hAnsi="Book Antiqua" w:cs="仿宋"/>
          <w:b/>
          <w:bCs/>
          <w:color w:val="000000" w:themeColor="text1"/>
        </w:rPr>
        <w:t>glomerular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="00BC5350" w:rsidRPr="000B0484">
        <w:rPr>
          <w:rFonts w:ascii="Book Antiqua" w:eastAsia="宋体" w:hAnsi="Book Antiqua" w:cs="仿宋"/>
          <w:b/>
          <w:bCs/>
          <w:color w:val="000000" w:themeColor="text1"/>
        </w:rPr>
        <w:t>filtration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="00BC5350" w:rsidRPr="000B0484">
        <w:rPr>
          <w:rFonts w:ascii="Book Antiqua" w:eastAsia="宋体" w:hAnsi="Book Antiqua" w:cs="仿宋"/>
          <w:b/>
          <w:bCs/>
          <w:color w:val="000000" w:themeColor="text1"/>
        </w:rPr>
        <w:t>rate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value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groups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847"/>
        <w:gridCol w:w="1939"/>
        <w:gridCol w:w="1803"/>
        <w:gridCol w:w="1771"/>
      </w:tblGrid>
      <w:tr w:rsidR="00B22200" w:rsidRPr="00B22200" w14:paraId="6A61687F" w14:textId="77777777" w:rsidTr="00784111">
        <w:trPr>
          <w:trHeight w:val="155"/>
        </w:trPr>
        <w:tc>
          <w:tcPr>
            <w:tcW w:w="20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53C78F" w14:textId="0041F798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b/>
                <w:bCs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eGFR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value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="00D667CA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[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m</w:t>
            </w:r>
            <w:r w:rsidR="0046541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L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/</w:t>
            </w:r>
            <w:r w:rsidR="0046541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(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min</w:t>
            </w:r>
            <w:r w:rsidR="0046541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·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1.73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m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  <w:vertAlign w:val="superscript"/>
              </w:rPr>
              <w:t>2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)</w:t>
            </w:r>
            <w:r w:rsidR="0046541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]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48B329" w14:textId="5C7AC0AB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b/>
                <w:bCs/>
                <w:color w:val="000000" w:themeColor="text1"/>
              </w:rPr>
            </w:pPr>
            <w:r w:rsidRPr="000B0484">
              <w:rPr>
                <w:rFonts w:ascii="Book Antiqua" w:eastAsia="宋体" w:hAnsi="Book Antiqua" w:cs="仿宋" w:hint="eastAsia"/>
                <w:b/>
                <w:bCs/>
                <w:color w:val="000000" w:themeColor="text1"/>
              </w:rPr>
              <w:t>≥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90</w:t>
            </w:r>
            <w:r w:rsidR="00237A77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,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i/>
                <w:iCs/>
                <w:color w:val="000000" w:themeColor="text1"/>
              </w:rPr>
              <w:t>n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=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22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270D29" w14:textId="29A16B48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b/>
                <w:bCs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60-89</w:t>
            </w:r>
            <w:r w:rsidR="00237A77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,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i/>
                <w:iCs/>
                <w:color w:val="000000" w:themeColor="text1"/>
              </w:rPr>
              <w:t>n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=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42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0E9B1D" w14:textId="25C2C1CB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b/>
                <w:bCs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30-59</w:t>
            </w:r>
            <w:r w:rsidR="00237A77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,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i/>
                <w:iCs/>
                <w:color w:val="000000" w:themeColor="text1"/>
              </w:rPr>
              <w:t>n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=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5</w:t>
            </w:r>
          </w:p>
        </w:tc>
      </w:tr>
      <w:tr w:rsidR="00B22200" w:rsidRPr="00B22200" w14:paraId="5F447604" w14:textId="77777777" w:rsidTr="00784111">
        <w:tc>
          <w:tcPr>
            <w:tcW w:w="20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F2BC7C" w14:textId="50F64364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  <w:highlight w:val="yellow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Age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BB754B">
              <w:rPr>
                <w:rFonts w:ascii="Book Antiqua" w:eastAsia="宋体" w:hAnsi="Book Antiqua" w:cs="仿宋"/>
                <w:color w:val="000000" w:themeColor="text1"/>
              </w:rPr>
              <w:t xml:space="preserve">in </w:t>
            </w:r>
            <w:proofErr w:type="spellStart"/>
            <w:r w:rsidRPr="000B0484">
              <w:rPr>
                <w:rFonts w:ascii="Book Antiqua" w:eastAsia="宋体" w:hAnsi="Book Antiqua" w:cs="仿宋"/>
                <w:color w:val="000000" w:themeColor="text1"/>
              </w:rPr>
              <w:t>yr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35AD8D" w14:textId="76E0036A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46.8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11.4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4FBF27" w14:textId="1574F38B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58.3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11.9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653F90" w14:textId="1DAE04DD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69.6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16.10</w:t>
            </w:r>
            <w:r w:rsidR="00D667CA"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1</w:t>
            </w:r>
          </w:p>
        </w:tc>
      </w:tr>
      <w:tr w:rsidR="00B22200" w:rsidRPr="00B22200" w14:paraId="75DF2772" w14:textId="77777777" w:rsidTr="00784111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05749" w14:textId="754C8AB4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Sex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BB754B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M/F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17192" w14:textId="7777777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18/4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ED704" w14:textId="7777777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27/15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B7A4A" w14:textId="7777777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3/2</w:t>
            </w:r>
          </w:p>
        </w:tc>
      </w:tr>
      <w:tr w:rsidR="00B22200" w:rsidRPr="00B22200" w14:paraId="59FC14BC" w14:textId="77777777" w:rsidTr="00784111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933F5" w14:textId="7507511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Antiviral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treatment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time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BB754B">
              <w:rPr>
                <w:rFonts w:ascii="Book Antiqua" w:eastAsia="宋体" w:hAnsi="Book Antiqua" w:cs="仿宋"/>
                <w:color w:val="000000" w:themeColor="text1"/>
              </w:rPr>
              <w:t xml:space="preserve">in </w:t>
            </w:r>
            <w:proofErr w:type="spellStart"/>
            <w:r w:rsidRPr="000B0484">
              <w:rPr>
                <w:rFonts w:ascii="Book Antiqua" w:eastAsia="宋体" w:hAnsi="Book Antiqua" w:cs="仿宋"/>
                <w:color w:val="000000" w:themeColor="text1"/>
              </w:rPr>
              <w:t>mo</w:t>
            </w:r>
            <w:proofErr w:type="spellEnd"/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AF513" w14:textId="01C471A3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84.0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30.9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8C727" w14:textId="73AF33CC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111.1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39.2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CD034" w14:textId="1C68ADCA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96.8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38.1</w:t>
            </w:r>
            <w:r w:rsidR="003D63E1"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2</w:t>
            </w:r>
          </w:p>
        </w:tc>
      </w:tr>
      <w:tr w:rsidR="00B22200" w:rsidRPr="00B22200" w14:paraId="721A8113" w14:textId="77777777" w:rsidTr="00784111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452D4" w14:textId="15B94EFC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ALT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BB754B">
              <w:rPr>
                <w:rFonts w:ascii="Book Antiqua" w:eastAsia="宋体" w:hAnsi="Book Antiqua" w:cs="仿宋"/>
                <w:color w:val="000000" w:themeColor="text1"/>
              </w:rPr>
              <w:t xml:space="preserve">in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IU/L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A6363" w14:textId="03D8BD90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33.36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16.83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394AB" w14:textId="4169BF8C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22.31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10.35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B5DCD" w14:textId="66AE43F9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21.80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10.32</w:t>
            </w:r>
          </w:p>
        </w:tc>
      </w:tr>
      <w:tr w:rsidR="00B22200" w:rsidRPr="00B22200" w14:paraId="3CB88860" w14:textId="77777777" w:rsidTr="00784111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69CA0" w14:textId="082CDBD9" w:rsidR="00B63700" w:rsidRPr="000B0484" w:rsidRDefault="00821FAD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Creatinine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BB754B">
              <w:rPr>
                <w:rFonts w:ascii="Book Antiqua" w:eastAsia="宋体" w:hAnsi="Book Antiqua" w:cs="仿宋"/>
                <w:color w:val="000000" w:themeColor="text1"/>
              </w:rPr>
              <w:t xml:space="preserve">in </w:t>
            </w:r>
            <w:r w:rsidR="00B63700" w:rsidRPr="000B0484">
              <w:rPr>
                <w:rFonts w:ascii="Book Antiqua" w:eastAsia="宋体" w:hAnsi="Book Antiqua" w:cs="仿宋"/>
                <w:color w:val="000000" w:themeColor="text1"/>
              </w:rPr>
              <w:t>µmol/L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3A787" w14:textId="5020A5B3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74.71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9.98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EB432" w14:textId="6A2D700D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86.20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12.83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3A6F2" w14:textId="29221005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107.4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12.54</w:t>
            </w:r>
            <w:r w:rsidR="00EB283B"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3</w:t>
            </w:r>
          </w:p>
        </w:tc>
      </w:tr>
      <w:tr w:rsidR="00B22200" w:rsidRPr="00B22200" w14:paraId="50A0204F" w14:textId="77777777" w:rsidTr="00784111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4AB76" w14:textId="1F6C56FC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BUN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BB754B">
              <w:rPr>
                <w:rFonts w:ascii="Book Antiqua" w:eastAsia="宋体" w:hAnsi="Book Antiqua" w:cs="仿宋"/>
                <w:color w:val="000000" w:themeColor="text1"/>
              </w:rPr>
              <w:t xml:space="preserve">in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mmol/L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28683" w14:textId="1C5383B6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4.56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1.17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F35B7" w14:textId="4510C9BD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5.38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1.40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C9D6C" w14:textId="2A7F7592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6.32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1.49</w:t>
            </w:r>
            <w:r w:rsidR="00B34AA4"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4</w:t>
            </w:r>
          </w:p>
        </w:tc>
      </w:tr>
      <w:tr w:rsidR="00B22200" w:rsidRPr="00B22200" w14:paraId="66A24CD1" w14:textId="77777777" w:rsidTr="00784111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45C01" w14:textId="110BB9AE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Cases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of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increased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BUN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A5C06" w14:textId="7777777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0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8F47F" w14:textId="46347E6A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(7.1%)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88D51" w14:textId="1978EFF9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(60%)</w:t>
            </w:r>
            <w:r w:rsidR="00B34AA4"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5</w:t>
            </w:r>
          </w:p>
        </w:tc>
      </w:tr>
      <w:tr w:rsidR="00B22200" w:rsidRPr="00B22200" w14:paraId="2463A094" w14:textId="77777777" w:rsidTr="00784111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9D972" w14:textId="4B67553A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Blood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phosphorus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741874">
              <w:rPr>
                <w:rFonts w:ascii="Book Antiqua" w:eastAsia="宋体" w:hAnsi="Book Antiqua" w:cs="仿宋"/>
                <w:color w:val="000000" w:themeColor="text1"/>
              </w:rPr>
              <w:t xml:space="preserve">in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mmol/L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7DD5B" w14:textId="74F58EDC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0.94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0.16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3B81C" w14:textId="6E1DC9DB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1.01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0.15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AF206" w14:textId="18D90BE2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0.86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0.20</w:t>
            </w:r>
            <w:r w:rsidR="00B34AA4"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6</w:t>
            </w:r>
          </w:p>
        </w:tc>
      </w:tr>
      <w:tr w:rsidR="00B22200" w:rsidRPr="00B22200" w14:paraId="708D196B" w14:textId="77777777" w:rsidTr="00784111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423C9" w14:textId="1BCF78A0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Cases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of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decreased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blood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phosphorus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D9D94" w14:textId="74EF3C1A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4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(18.2%)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2FC27" w14:textId="25382CB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7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(16.7%)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01F49" w14:textId="777BC38E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2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(40%)</w:t>
            </w:r>
          </w:p>
        </w:tc>
      </w:tr>
      <w:tr w:rsidR="00B22200" w:rsidRPr="00B22200" w14:paraId="102E9115" w14:textId="77777777" w:rsidTr="00784111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51F45" w14:textId="666736B5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Cases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of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early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renal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injury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D8E94" w14:textId="2481BFCD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8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(36.4%)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3AEFD" w14:textId="639827F9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20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(47.6%)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CF70D" w14:textId="10DFFE7D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(60%)</w:t>
            </w:r>
          </w:p>
        </w:tc>
      </w:tr>
      <w:tr w:rsidR="00B22200" w:rsidRPr="00B22200" w14:paraId="22986670" w14:textId="77777777" w:rsidTr="00784111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0808F" w14:textId="0426A3DC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Cases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of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abnormal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urine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microalbumin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0D50E" w14:textId="1D6E5755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(13.6%)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A2B2B" w14:textId="3473B821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4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(9.5%)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6C320" w14:textId="7867E57B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(20%)</w:t>
            </w:r>
          </w:p>
        </w:tc>
      </w:tr>
      <w:tr w:rsidR="00B22200" w:rsidRPr="00B22200" w14:paraId="0A5FBCAF" w14:textId="77777777" w:rsidTr="00784111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E98EC" w14:textId="07E609CF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Cases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of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abnormal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urine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transferrin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D8574" w14:textId="5F852878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(4.5%)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58651" w14:textId="30BDE915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5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(11.9%)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E765E" w14:textId="7777777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0</w:t>
            </w:r>
          </w:p>
        </w:tc>
      </w:tr>
      <w:tr w:rsidR="00B22200" w:rsidRPr="00B22200" w14:paraId="3E0314D7" w14:textId="77777777" w:rsidTr="00784111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63276" w14:textId="35E2AFCC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Cases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of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abnormal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NAG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enzyme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A84C6" w14:textId="5DE09DF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5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(22.7%)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48AB5" w14:textId="1112AC8A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8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(19.0%)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9EF03" w14:textId="70A2AC15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(20%)</w:t>
            </w:r>
          </w:p>
        </w:tc>
      </w:tr>
      <w:tr w:rsidR="00B22200" w:rsidRPr="00B22200" w14:paraId="58589E30" w14:textId="77777777" w:rsidTr="00784111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35247" w14:textId="547EF9B4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Cases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of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abnormal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6806EC" w:rsidRPr="000B0484">
              <w:rPr>
                <w:rFonts w:ascii="Book Antiqua" w:eastAsia="宋体" w:hAnsi="Book Antiqua" w:cs="仿宋"/>
                <w:color w:val="000000" w:themeColor="text1"/>
              </w:rPr>
              <w:t>α1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microglobulin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81CED" w14:textId="3C8D3F9D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5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(22.7%)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A6D3E" w14:textId="312E58A0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11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(26.2%)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D9F63" w14:textId="6A230134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(60%)</w:t>
            </w:r>
          </w:p>
        </w:tc>
      </w:tr>
      <w:tr w:rsidR="00B22200" w:rsidRPr="00B22200" w14:paraId="3E1C8748" w14:textId="77777777" w:rsidTr="00784111"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B96FC7" w14:textId="263E4B01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Cases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of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abnormal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urine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immunoglobulin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02050E" w14:textId="51C944FA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(4.5%)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88A2CF" w14:textId="7D20493B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5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(11.9%)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AA5EE" w14:textId="37E1318E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(20%)</w:t>
            </w:r>
          </w:p>
        </w:tc>
      </w:tr>
    </w:tbl>
    <w:p w14:paraId="0FBF6D93" w14:textId="451EB001" w:rsidR="00000000" w:rsidRPr="000B0484" w:rsidRDefault="00B63700" w:rsidP="000B0484">
      <w:pPr>
        <w:snapToGrid w:val="0"/>
        <w:spacing w:line="360" w:lineRule="auto"/>
        <w:jc w:val="both"/>
        <w:rPr>
          <w:rFonts w:ascii="Book Antiqua" w:eastAsia="宋体" w:hAnsi="Book Antiqua" w:cs="仿宋"/>
          <w:color w:val="000000" w:themeColor="text1"/>
        </w:rPr>
        <w:sectPr w:rsidR="00000000" w:rsidRPr="000B04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B0484">
        <w:rPr>
          <w:rFonts w:ascii="Book Antiqua" w:eastAsia="宋体" w:hAnsi="Book Antiqua" w:cs="仿宋"/>
          <w:color w:val="000000" w:themeColor="text1"/>
        </w:rPr>
        <w:t>Comparison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among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the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three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groups</w:t>
      </w:r>
      <w:r w:rsidR="002476F7" w:rsidRPr="000B0484">
        <w:rPr>
          <w:rFonts w:ascii="Book Antiqua" w:eastAsia="宋体" w:hAnsi="Book Antiqua" w:cs="仿宋"/>
          <w:color w:val="000000" w:themeColor="text1"/>
        </w:rPr>
        <w:t>: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D667CA" w:rsidRPr="000B0484">
        <w:rPr>
          <w:rFonts w:ascii="Book Antiqua" w:eastAsia="宋体" w:hAnsi="Book Antiqua" w:cs="仿宋"/>
          <w:color w:val="000000" w:themeColor="text1"/>
          <w:vertAlign w:val="superscript"/>
        </w:rPr>
        <w:t>1</w:t>
      </w:r>
      <w:r w:rsidR="003D63E1" w:rsidRPr="000B0484">
        <w:rPr>
          <w:rFonts w:ascii="Book Antiqua" w:eastAsia="宋体" w:hAnsi="Book Antiqua" w:cs="仿宋"/>
          <w:color w:val="000000" w:themeColor="text1"/>
        </w:rPr>
        <w:t>Indicate</w:t>
      </w:r>
      <w:r w:rsidR="00784111" w:rsidRPr="000B0484">
        <w:rPr>
          <w:rFonts w:ascii="Book Antiqua" w:eastAsia="宋体" w:hAnsi="Book Antiqua" w:cs="仿宋"/>
          <w:color w:val="000000" w:themeColor="text1"/>
        </w:rPr>
        <w:t>s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K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14.979,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i/>
          <w:iCs/>
          <w:color w:val="000000" w:themeColor="text1"/>
        </w:rPr>
        <w:t>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0.001;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3D63E1" w:rsidRPr="000B0484">
        <w:rPr>
          <w:rFonts w:ascii="Book Antiqua" w:eastAsia="宋体" w:hAnsi="Book Antiqua" w:cs="仿宋"/>
          <w:color w:val="000000" w:themeColor="text1"/>
          <w:vertAlign w:val="superscript"/>
          <w:lang w:eastAsia="zh-CN"/>
        </w:rPr>
        <w:t>2</w:t>
      </w:r>
      <w:r w:rsidR="008E69B3" w:rsidRPr="000B0484">
        <w:rPr>
          <w:rFonts w:ascii="Book Antiqua" w:eastAsia="宋体" w:hAnsi="Book Antiqua" w:cs="仿宋"/>
          <w:color w:val="000000" w:themeColor="text1"/>
        </w:rPr>
        <w:t>Indicate</w:t>
      </w:r>
      <w:r w:rsidR="00784111" w:rsidRPr="000B0484">
        <w:rPr>
          <w:rFonts w:ascii="Book Antiqua" w:eastAsia="宋体" w:hAnsi="Book Antiqua" w:cs="仿宋"/>
          <w:color w:val="000000" w:themeColor="text1"/>
        </w:rPr>
        <w:t>s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K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7.623,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i/>
          <w:iCs/>
          <w:color w:val="000000" w:themeColor="text1"/>
        </w:rPr>
        <w:t>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0.022;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EB283B" w:rsidRPr="000B0484">
        <w:rPr>
          <w:rFonts w:ascii="Book Antiqua" w:eastAsia="宋体" w:hAnsi="Book Antiqua" w:cs="仿宋"/>
          <w:color w:val="000000" w:themeColor="text1"/>
          <w:vertAlign w:val="superscript"/>
        </w:rPr>
        <w:t>3</w:t>
      </w:r>
      <w:r w:rsidR="00EB283B" w:rsidRPr="000B0484">
        <w:rPr>
          <w:rFonts w:ascii="Book Antiqua" w:eastAsia="宋体" w:hAnsi="Book Antiqua" w:cs="仿宋"/>
          <w:color w:val="000000" w:themeColor="text1"/>
        </w:rPr>
        <w:t>Indicates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K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19.034,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i/>
          <w:iCs/>
          <w:color w:val="000000" w:themeColor="text1"/>
        </w:rPr>
        <w:t>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0.000</w:t>
      </w:r>
      <w:r w:rsidR="00B34AA4" w:rsidRPr="000B0484">
        <w:rPr>
          <w:rFonts w:ascii="Book Antiqua" w:eastAsia="宋体" w:hAnsi="Book Antiqua" w:cs="仿宋"/>
          <w:color w:val="000000" w:themeColor="text1"/>
        </w:rPr>
        <w:t>;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34AA4" w:rsidRPr="000B0484">
        <w:rPr>
          <w:rFonts w:ascii="Book Antiqua" w:eastAsia="宋体" w:hAnsi="Book Antiqua" w:cs="仿宋"/>
          <w:color w:val="000000" w:themeColor="text1"/>
          <w:vertAlign w:val="superscript"/>
        </w:rPr>
        <w:t>4</w:t>
      </w:r>
      <w:r w:rsidR="00B34AA4" w:rsidRPr="000B0484">
        <w:rPr>
          <w:rFonts w:ascii="Book Antiqua" w:eastAsia="宋体" w:hAnsi="Book Antiqua" w:cs="仿宋"/>
          <w:color w:val="000000" w:themeColor="text1"/>
        </w:rPr>
        <w:t>Indicates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34AA4" w:rsidRPr="000B0484">
        <w:rPr>
          <w:rFonts w:ascii="Book Antiqua" w:eastAsia="宋体" w:hAnsi="Book Antiqua" w:cs="仿宋"/>
          <w:color w:val="000000" w:themeColor="text1"/>
        </w:rPr>
        <w:t>c</w:t>
      </w:r>
      <w:r w:rsidRPr="000B0484">
        <w:rPr>
          <w:rFonts w:ascii="Book Antiqua" w:eastAsia="宋体" w:hAnsi="Book Antiqua" w:cs="仿宋"/>
          <w:color w:val="000000" w:themeColor="text1"/>
        </w:rPr>
        <w:t>omparison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between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the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third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group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and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the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first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group,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t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2.575,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i/>
          <w:iCs/>
          <w:color w:val="000000" w:themeColor="text1"/>
        </w:rPr>
        <w:t>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0.012</w:t>
      </w:r>
      <w:r w:rsidR="00B34AA4" w:rsidRPr="000B0484">
        <w:rPr>
          <w:rFonts w:ascii="Book Antiqua" w:eastAsia="宋体" w:hAnsi="Book Antiqua" w:cs="仿宋"/>
          <w:color w:val="000000" w:themeColor="text1"/>
        </w:rPr>
        <w:t>;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34AA4" w:rsidRPr="000B0484">
        <w:rPr>
          <w:rFonts w:ascii="Book Antiqua" w:eastAsia="宋体" w:hAnsi="Book Antiqua" w:cs="仿宋"/>
          <w:color w:val="000000" w:themeColor="text1"/>
          <w:vertAlign w:val="superscript"/>
        </w:rPr>
        <w:t>5</w:t>
      </w:r>
      <w:r w:rsidR="00B34AA4" w:rsidRPr="000B0484">
        <w:rPr>
          <w:rFonts w:ascii="Book Antiqua" w:eastAsia="宋体" w:hAnsi="Book Antiqua" w:cs="仿宋"/>
          <w:color w:val="000000" w:themeColor="text1"/>
        </w:rPr>
        <w:t>Indicates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Fisher’s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exact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test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without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chi-square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value,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i/>
          <w:iCs/>
          <w:color w:val="000000" w:themeColor="text1"/>
        </w:rPr>
        <w:t>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0.011;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34AA4" w:rsidRPr="000B0484">
        <w:rPr>
          <w:rFonts w:ascii="Book Antiqua" w:eastAsia="宋体" w:hAnsi="Book Antiqua" w:cs="仿宋"/>
          <w:color w:val="000000" w:themeColor="text1"/>
          <w:vertAlign w:val="superscript"/>
        </w:rPr>
        <w:t>6</w:t>
      </w:r>
      <w:r w:rsidR="00B34AA4" w:rsidRPr="000B0484">
        <w:rPr>
          <w:rFonts w:ascii="Book Antiqua" w:eastAsia="宋体" w:hAnsi="Book Antiqua" w:cs="仿宋"/>
          <w:color w:val="000000" w:themeColor="text1"/>
        </w:rPr>
        <w:t>Indicates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34AA4" w:rsidRPr="000B0484">
        <w:rPr>
          <w:rFonts w:ascii="Book Antiqua" w:eastAsia="宋体" w:hAnsi="Book Antiqua" w:cs="仿宋"/>
          <w:color w:val="000000" w:themeColor="text1"/>
        </w:rPr>
        <w:t>c</w:t>
      </w:r>
      <w:r w:rsidRPr="000B0484">
        <w:rPr>
          <w:rFonts w:ascii="Book Antiqua" w:eastAsia="宋体" w:hAnsi="Book Antiqua" w:cs="仿宋"/>
          <w:color w:val="000000" w:themeColor="text1"/>
        </w:rPr>
        <w:t>omparison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between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the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third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group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and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the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second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group,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t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2.045,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i/>
          <w:iCs/>
          <w:color w:val="000000" w:themeColor="text1"/>
        </w:rPr>
        <w:t>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0.047.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0A4CF1" w:rsidRPr="008D4B90">
        <w:rPr>
          <w:rFonts w:ascii="Book Antiqua" w:eastAsia="宋体" w:hAnsi="Book Antiqua" w:cs="仿宋"/>
          <w:color w:val="000000" w:themeColor="text1"/>
        </w:rPr>
        <w:t xml:space="preserve">ALT: Alanine aminotransferase; </w:t>
      </w:r>
      <w:r w:rsidR="000A4CF1" w:rsidRPr="00BF2DF0">
        <w:rPr>
          <w:rFonts w:ascii="Book Antiqua" w:eastAsia="宋体" w:hAnsi="Book Antiqua" w:cs="仿宋"/>
          <w:color w:val="000000" w:themeColor="text1"/>
        </w:rPr>
        <w:t xml:space="preserve">BUN: Serum urea nitrogen; </w:t>
      </w:r>
      <w:r w:rsidR="0058158E" w:rsidRPr="000B0484">
        <w:rPr>
          <w:rFonts w:ascii="Book Antiqua" w:eastAsia="宋体" w:hAnsi="Book Antiqua" w:cs="仿宋"/>
          <w:color w:val="000000" w:themeColor="text1"/>
        </w:rPr>
        <w:t>eGFR: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58158E" w:rsidRPr="000B0484">
        <w:rPr>
          <w:rFonts w:ascii="Book Antiqua" w:eastAsia="宋体" w:hAnsi="Book Antiqua" w:cs="仿宋"/>
          <w:color w:val="000000" w:themeColor="text1"/>
        </w:rPr>
        <w:t>Estimated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58158E" w:rsidRPr="000B0484">
        <w:rPr>
          <w:rFonts w:ascii="Book Antiqua" w:eastAsia="宋体" w:hAnsi="Book Antiqua" w:cs="仿宋"/>
          <w:color w:val="000000" w:themeColor="text1"/>
        </w:rPr>
        <w:t>glomerular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58158E" w:rsidRPr="000B0484">
        <w:rPr>
          <w:rFonts w:ascii="Book Antiqua" w:eastAsia="宋体" w:hAnsi="Book Antiqua" w:cs="仿宋"/>
          <w:color w:val="000000" w:themeColor="text1"/>
        </w:rPr>
        <w:t>filtration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58158E" w:rsidRPr="000B0484">
        <w:rPr>
          <w:rFonts w:ascii="Book Antiqua" w:eastAsia="宋体" w:hAnsi="Book Antiqua" w:cs="仿宋"/>
          <w:color w:val="000000" w:themeColor="text1"/>
        </w:rPr>
        <w:t>rate;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D13316" w:rsidRPr="000B0484">
        <w:rPr>
          <w:rFonts w:ascii="Book Antiqua" w:eastAsia="宋体" w:hAnsi="Book Antiqua" w:cs="仿宋"/>
          <w:color w:val="000000" w:themeColor="text1"/>
        </w:rPr>
        <w:t>F: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D13316" w:rsidRPr="000B0484">
        <w:rPr>
          <w:rFonts w:ascii="Book Antiqua" w:eastAsia="宋体" w:hAnsi="Book Antiqua" w:cs="仿宋"/>
          <w:color w:val="000000" w:themeColor="text1"/>
        </w:rPr>
        <w:t>Female;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0A4CF1" w:rsidRPr="00451216">
        <w:rPr>
          <w:rFonts w:ascii="Book Antiqua" w:eastAsia="宋体" w:hAnsi="Book Antiqua" w:cs="仿宋"/>
          <w:color w:val="000000" w:themeColor="text1"/>
        </w:rPr>
        <w:t xml:space="preserve">M: Male; </w:t>
      </w:r>
      <w:r w:rsidR="00D7732B" w:rsidRPr="000B0484">
        <w:rPr>
          <w:rFonts w:ascii="Book Antiqua" w:eastAsia="宋体" w:hAnsi="Book Antiqua" w:cs="仿宋"/>
          <w:color w:val="000000" w:themeColor="text1"/>
        </w:rPr>
        <w:t>NAG: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D7732B" w:rsidRPr="000B0484">
        <w:rPr>
          <w:rFonts w:ascii="Book Antiqua" w:eastAsia="宋体" w:hAnsi="Book Antiqua" w:cs="仿宋"/>
          <w:color w:val="000000" w:themeColor="text1"/>
        </w:rPr>
        <w:t>N-acetyl-β-D-glucosidase</w:t>
      </w:r>
      <w:r w:rsidR="0058158E" w:rsidRPr="000B0484">
        <w:rPr>
          <w:rFonts w:ascii="Book Antiqua" w:eastAsia="宋体" w:hAnsi="Book Antiqua" w:cs="仿宋"/>
          <w:color w:val="000000" w:themeColor="text1"/>
        </w:rPr>
        <w:t>.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</w:p>
    <w:p w14:paraId="3DDB5DFE" w14:textId="57995172" w:rsidR="00B63700" w:rsidRPr="000B0484" w:rsidRDefault="00B63700" w:rsidP="000B0484">
      <w:pPr>
        <w:snapToGrid w:val="0"/>
        <w:spacing w:line="360" w:lineRule="auto"/>
        <w:jc w:val="both"/>
        <w:rPr>
          <w:rFonts w:ascii="Book Antiqua" w:eastAsia="宋体" w:hAnsi="Book Antiqua" w:cs="仿宋"/>
          <w:b/>
          <w:bCs/>
          <w:color w:val="000000" w:themeColor="text1"/>
        </w:rPr>
      </w:pPr>
      <w:r w:rsidRPr="000B0484">
        <w:rPr>
          <w:rFonts w:ascii="Book Antiqua" w:eastAsia="宋体" w:hAnsi="Book Antiqua" w:cs="仿宋"/>
          <w:b/>
          <w:bCs/>
          <w:color w:val="000000" w:themeColor="text1"/>
        </w:rPr>
        <w:lastRenderedPageBreak/>
        <w:t>Table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3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Examination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results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of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patients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with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or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without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early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renal</w:t>
      </w:r>
      <w:r w:rsidR="003516E8" w:rsidRPr="000B0484">
        <w:rPr>
          <w:rFonts w:ascii="Book Antiqua" w:eastAsia="宋体" w:hAnsi="Book Antiqua" w:cs="仿宋"/>
          <w:b/>
          <w:bCs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b/>
          <w:bCs/>
          <w:color w:val="000000" w:themeColor="text1"/>
        </w:rPr>
        <w:t>injury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847"/>
        <w:gridCol w:w="2632"/>
        <w:gridCol w:w="2881"/>
      </w:tblGrid>
      <w:tr w:rsidR="00B22200" w:rsidRPr="00B22200" w14:paraId="397680E6" w14:textId="77777777" w:rsidTr="00F603FF">
        <w:trPr>
          <w:trHeight w:val="266"/>
        </w:trPr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BA4972" w14:textId="15CBA828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b/>
                <w:bCs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Early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renal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injury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groups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419D9E" w14:textId="7275F4F5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b/>
                <w:bCs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Normal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group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(</w:t>
            </w:r>
            <w:r w:rsidRPr="000B0484">
              <w:rPr>
                <w:rFonts w:ascii="Book Antiqua" w:eastAsia="宋体" w:hAnsi="Book Antiqua" w:cs="仿宋"/>
                <w:b/>
                <w:bCs/>
                <w:i/>
                <w:iCs/>
                <w:color w:val="000000" w:themeColor="text1"/>
              </w:rPr>
              <w:t>n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=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38)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6B4D05" w14:textId="2F4FEB4B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b/>
                <w:bCs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Abnormal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group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(</w:t>
            </w:r>
            <w:r w:rsidRPr="000B0484">
              <w:rPr>
                <w:rFonts w:ascii="Book Antiqua" w:eastAsia="宋体" w:hAnsi="Book Antiqua" w:cs="仿宋"/>
                <w:b/>
                <w:bCs/>
                <w:i/>
                <w:iCs/>
                <w:color w:val="000000" w:themeColor="text1"/>
              </w:rPr>
              <w:t>n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=</w:t>
            </w:r>
            <w:r w:rsidR="003516E8"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b/>
                <w:bCs/>
                <w:color w:val="000000" w:themeColor="text1"/>
              </w:rPr>
              <w:t>31)</w:t>
            </w:r>
          </w:p>
        </w:tc>
      </w:tr>
      <w:tr w:rsidR="00B22200" w:rsidRPr="00B22200" w14:paraId="053C3F68" w14:textId="77777777" w:rsidTr="00F603FF">
        <w:tc>
          <w:tcPr>
            <w:tcW w:w="20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3BC75B" w14:textId="1015415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  <w:highlight w:val="yellow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Age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in </w:t>
            </w:r>
            <w:proofErr w:type="spellStart"/>
            <w:r w:rsidRPr="000B0484">
              <w:rPr>
                <w:rFonts w:ascii="Book Antiqua" w:eastAsia="宋体" w:hAnsi="Book Antiqua" w:cs="仿宋"/>
                <w:color w:val="000000" w:themeColor="text1"/>
              </w:rPr>
              <w:t>yr</w:t>
            </w:r>
            <w:proofErr w:type="spellEnd"/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5BB2B2" w14:textId="79451E5B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55.8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15.0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E318D3" w14:textId="77C7519C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55.0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11.9</w:t>
            </w:r>
          </w:p>
        </w:tc>
      </w:tr>
      <w:tr w:rsidR="00B22200" w:rsidRPr="00B22200" w14:paraId="63C201FE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929B5" w14:textId="182A1206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Sex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M/F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1F60C" w14:textId="7777777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25/13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8F669" w14:textId="7777777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23/8</w:t>
            </w:r>
          </w:p>
        </w:tc>
      </w:tr>
      <w:tr w:rsidR="00B22200" w:rsidRPr="00B22200" w14:paraId="5B12C4CE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18349" w14:textId="6DDECA81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Antiviral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treatment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time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in </w:t>
            </w:r>
            <w:proofErr w:type="spellStart"/>
            <w:r w:rsidRPr="000B0484">
              <w:rPr>
                <w:rFonts w:ascii="Book Antiqua" w:eastAsia="宋体" w:hAnsi="Book Antiqua" w:cs="仿宋"/>
                <w:color w:val="000000" w:themeColor="text1"/>
              </w:rPr>
              <w:t>mo</w:t>
            </w:r>
            <w:proofErr w:type="spellEnd"/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67571" w14:textId="2E66E736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99.3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37.7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43570" w14:textId="6934924A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104.1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39.4</w:t>
            </w:r>
          </w:p>
        </w:tc>
      </w:tr>
      <w:tr w:rsidR="00B22200" w:rsidRPr="00B22200" w14:paraId="5315537F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4F8BC" w14:textId="381BD1AE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GGT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IU/L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745B4" w14:textId="00AE0AC2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21.7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11.3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9B22D" w14:textId="29C88A81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37.2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16.2</w:t>
            </w:r>
            <w:r w:rsidR="00C374C1"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1</w:t>
            </w:r>
          </w:p>
        </w:tc>
      </w:tr>
      <w:tr w:rsidR="00B22200" w:rsidRPr="00B22200" w14:paraId="62115E45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0FF62" w14:textId="46680C2D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DBIL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µmol/L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2410C" w14:textId="63C59E70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2.5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1.5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6394F" w14:textId="53B8F1DA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3.5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1.4</w:t>
            </w:r>
            <w:r w:rsidR="00C374C1"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2</w:t>
            </w:r>
          </w:p>
        </w:tc>
      </w:tr>
      <w:tr w:rsidR="00B22200" w:rsidRPr="00B22200" w14:paraId="13B11F93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A5D59" w14:textId="693265DF" w:rsidR="00B63700" w:rsidRPr="000B0484" w:rsidRDefault="00A20DF7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Creatinine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="00B63700" w:rsidRPr="000B0484">
              <w:rPr>
                <w:rFonts w:ascii="Book Antiqua" w:eastAsia="宋体" w:hAnsi="Book Antiqua" w:cs="仿宋"/>
                <w:color w:val="000000" w:themeColor="text1"/>
              </w:rPr>
              <w:t>µmol/L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C08D4" w14:textId="3E63BD86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81.0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14.0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BA3A1" w14:textId="2D5EE232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87.9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14.5</w:t>
            </w:r>
            <w:r w:rsidR="00C374C1"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3</w:t>
            </w:r>
          </w:p>
        </w:tc>
      </w:tr>
      <w:tr w:rsidR="00B22200" w:rsidRPr="00B22200" w14:paraId="106EFDE7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4F3D7" w14:textId="036704A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BUN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mmol/L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B43BD" w14:textId="5B742DB0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5.0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1.2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29230" w14:textId="3DCCBC7E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5.4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1.6</w:t>
            </w:r>
          </w:p>
        </w:tc>
      </w:tr>
      <w:tr w:rsidR="00B22200" w:rsidRPr="00B22200" w14:paraId="1CEDC38A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F3ED1" w14:textId="7B7C3B3B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Cases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of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increased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serum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BUN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99EBC" w14:textId="616B0922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2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(5.3%)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B5EB9" w14:textId="59390AAA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(9.1%)</w:t>
            </w:r>
          </w:p>
        </w:tc>
      </w:tr>
      <w:tr w:rsidR="00B22200" w:rsidRPr="00B22200" w14:paraId="4B51FD27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340EC" w14:textId="47757066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eGFR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</w:t>
            </w:r>
            <w:r w:rsidR="00F603FF" w:rsidRPr="000B0484">
              <w:rPr>
                <w:rFonts w:ascii="Book Antiqua" w:eastAsia="宋体" w:hAnsi="Book Antiqua" w:cs="仿宋"/>
                <w:color w:val="000000" w:themeColor="text1"/>
              </w:rPr>
              <w:t>L</w:t>
            </w:r>
            <w:proofErr w:type="gramStart"/>
            <w:r w:rsidRPr="000B0484">
              <w:rPr>
                <w:rFonts w:ascii="Book Antiqua" w:eastAsia="宋体" w:hAnsi="Book Antiqua" w:cs="仿宋"/>
                <w:color w:val="000000" w:themeColor="text1"/>
              </w:rPr>
              <w:t>/</w:t>
            </w:r>
            <w:r w:rsidR="00F603FF" w:rsidRPr="000B0484">
              <w:rPr>
                <w:rFonts w:ascii="Book Antiqua" w:eastAsia="宋体" w:hAnsi="Book Antiqua" w:cs="仿宋"/>
                <w:color w:val="000000" w:themeColor="text1"/>
              </w:rPr>
              <w:t>(</w:t>
            </w:r>
            <w:proofErr w:type="gramEnd"/>
            <w:r w:rsidRPr="000B0484">
              <w:rPr>
                <w:rFonts w:ascii="Book Antiqua" w:eastAsia="宋体" w:hAnsi="Book Antiqua" w:cs="仿宋"/>
                <w:color w:val="000000" w:themeColor="text1"/>
              </w:rPr>
              <w:t>min</w:t>
            </w:r>
            <w:r w:rsidR="00F603FF" w:rsidRPr="000B0484">
              <w:rPr>
                <w:rFonts w:ascii="Book Antiqua" w:eastAsia="宋体" w:hAnsi="Book Antiqua" w:cs="仿宋"/>
                <w:color w:val="000000" w:themeColor="text1"/>
              </w:rPr>
              <w:t>·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1.73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</w:t>
            </w:r>
            <w:r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2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)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E9BFE" w14:textId="4F2BAB04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86.5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15.3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3153A" w14:textId="76C36641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80.7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15.5</w:t>
            </w:r>
          </w:p>
        </w:tc>
      </w:tr>
      <w:tr w:rsidR="00B22200" w:rsidRPr="00B22200" w14:paraId="0E18ED1B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9AC05" w14:textId="7ECE9E94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eGFR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 w:hint="eastAsia"/>
                <w:color w:val="000000" w:themeColor="text1"/>
              </w:rPr>
              <w:t>≥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90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>,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i/>
                <w:iCs/>
                <w:color w:val="000000" w:themeColor="text1"/>
              </w:rPr>
              <w:t>n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=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22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9070C" w14:textId="20DA65DD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14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(36.8%)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018ED" w14:textId="2C5AB371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8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(25.8%)</w:t>
            </w:r>
          </w:p>
        </w:tc>
      </w:tr>
      <w:tr w:rsidR="00B22200" w:rsidRPr="00B22200" w14:paraId="54384788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CD057" w14:textId="2AD8363E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eGFR: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70-89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>,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i/>
                <w:iCs/>
                <w:color w:val="000000" w:themeColor="text1"/>
              </w:rPr>
              <w:t>n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=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42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187E7" w14:textId="4A6C895D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18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(47.4%)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76AC9" w14:textId="36E40CD9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13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(41.8%)</w:t>
            </w:r>
          </w:p>
        </w:tc>
      </w:tr>
      <w:tr w:rsidR="00B22200" w:rsidRPr="00B22200" w14:paraId="48FED88C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142F" w14:textId="44FF4AEB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eGFR: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60-69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>,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i/>
                <w:iCs/>
                <w:color w:val="000000" w:themeColor="text1"/>
              </w:rPr>
              <w:t>n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=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42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C1882" w14:textId="2AC745E0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4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(10.5%)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4E700" w14:textId="0B827AF4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7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(22.6%)</w:t>
            </w:r>
          </w:p>
        </w:tc>
      </w:tr>
      <w:tr w:rsidR="00B22200" w:rsidRPr="00B22200" w14:paraId="3722C546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63BC3" w14:textId="7C82B4FF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eGFR: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30-59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>,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i/>
                <w:iCs/>
                <w:color w:val="000000" w:themeColor="text1"/>
              </w:rPr>
              <w:t>n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=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5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F9DEE" w14:textId="517CFBF8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2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(5.3%)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A7122" w14:textId="6CF05B7F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(9.7%)</w:t>
            </w:r>
          </w:p>
        </w:tc>
      </w:tr>
      <w:tr w:rsidR="00B22200" w:rsidRPr="00B22200" w14:paraId="339E55BE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6D071" w14:textId="26294671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UA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µmol/L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76554" w14:textId="3CA9984D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314.2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76.2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71F08" w14:textId="66335A1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338.8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88.4</w:t>
            </w:r>
          </w:p>
        </w:tc>
      </w:tr>
      <w:tr w:rsidR="00B22200" w:rsidRPr="00B22200" w14:paraId="4B98E06E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C19C9" w14:textId="058AEB42" w:rsidR="00B63700" w:rsidRPr="000B0484" w:rsidRDefault="00F603FF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S</w:t>
            </w:r>
            <w:r w:rsidR="00B63700" w:rsidRPr="000B0484">
              <w:rPr>
                <w:rFonts w:ascii="Book Antiqua" w:eastAsia="宋体" w:hAnsi="Book Antiqua" w:cs="仿宋"/>
                <w:color w:val="000000" w:themeColor="text1"/>
              </w:rPr>
              <w:t>erum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B63700" w:rsidRPr="000B0484">
              <w:rPr>
                <w:rFonts w:ascii="Book Antiqua" w:eastAsia="宋体" w:hAnsi="Book Antiqua" w:cs="仿宋"/>
                <w:color w:val="000000" w:themeColor="text1"/>
              </w:rPr>
              <w:t>calcium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="00B63700" w:rsidRPr="000B0484">
              <w:rPr>
                <w:rFonts w:ascii="Book Antiqua" w:eastAsia="宋体" w:hAnsi="Book Antiqua" w:cs="仿宋"/>
                <w:color w:val="000000" w:themeColor="text1"/>
              </w:rPr>
              <w:t>mmol/L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623F6" w14:textId="452F96BE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2.36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0.10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E7C72" w14:textId="47C96152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2.35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0.12</w:t>
            </w:r>
          </w:p>
        </w:tc>
      </w:tr>
      <w:tr w:rsidR="00B22200" w:rsidRPr="00B22200" w14:paraId="410367AA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6AC95" w14:textId="0E1A519D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Serum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phosphorus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mmol/L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7BB0E" w14:textId="4BBD709D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0.99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0.16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FC347" w14:textId="5547395B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0.97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0.17</w:t>
            </w:r>
          </w:p>
        </w:tc>
      </w:tr>
      <w:tr w:rsidR="00B22200" w:rsidRPr="00B22200" w14:paraId="33EF44AE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CBBAD" w14:textId="521314E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Cases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of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decreased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serum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phosphorus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8AA4D" w14:textId="78556437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6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(15.8%)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A0644" w14:textId="3BD61BB3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7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(22.6%)</w:t>
            </w:r>
          </w:p>
        </w:tc>
      </w:tr>
      <w:tr w:rsidR="00B22200" w:rsidRPr="00B22200" w14:paraId="570C8ED3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AA937" w14:textId="48BDAE5B" w:rsidR="00B63700" w:rsidRPr="000B0484" w:rsidRDefault="003D395E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Magnesium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="00B63700" w:rsidRPr="000B0484">
              <w:rPr>
                <w:rFonts w:ascii="Book Antiqua" w:eastAsia="宋体" w:hAnsi="Book Antiqua" w:cs="仿宋"/>
                <w:color w:val="000000" w:themeColor="text1"/>
              </w:rPr>
              <w:t>mmol/L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A934C" w14:textId="3831C6B6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0.95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0.07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1AF3C" w14:textId="0C6C77EB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0.97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±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0.07</w:t>
            </w:r>
          </w:p>
        </w:tc>
      </w:tr>
      <w:tr w:rsidR="00B22200" w:rsidRPr="00B22200" w14:paraId="264DEA68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02293" w14:textId="594F6219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Urinary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creatinine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mmol/L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B26CA" w14:textId="70DC387C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6.9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(2.5-20.3)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BCE80" w14:textId="1FF341BE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12.4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(5.8-29.5)</w:t>
            </w:r>
            <w:r w:rsidR="00773103"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4</w:t>
            </w:r>
          </w:p>
        </w:tc>
      </w:tr>
      <w:tr w:rsidR="00B22200" w:rsidRPr="00B22200" w14:paraId="03E34723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64C75" w14:textId="416C62C6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Urine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microalbumin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mg/L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FF294" w14:textId="05897DA9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4.0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(2-12.8)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9FBF2" w14:textId="3A7A8B8C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11.2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(2-123)</w:t>
            </w:r>
            <w:r w:rsidR="00B46EDF"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5</w:t>
            </w:r>
          </w:p>
        </w:tc>
      </w:tr>
      <w:tr w:rsidR="00B22200" w:rsidRPr="00B22200" w14:paraId="604886AA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CC37C" w14:textId="4AE46DB1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NAG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enzyme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U/L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4479B" w14:textId="4A92C950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4.1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(1-12)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C0429" w14:textId="066455AC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10.4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(2-59)</w:t>
            </w:r>
            <w:r w:rsidR="00B46EDF"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6</w:t>
            </w:r>
          </w:p>
        </w:tc>
      </w:tr>
      <w:tr w:rsidR="00B22200" w:rsidRPr="00B22200" w14:paraId="1A436656" w14:textId="77777777" w:rsidTr="00F603FF"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30591" w14:textId="18BA05FD" w:rsidR="00B63700" w:rsidRPr="000B0484" w:rsidRDefault="00C77D66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α1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proofErr w:type="spellStart"/>
            <w:r w:rsidR="00B63700" w:rsidRPr="000B0484">
              <w:rPr>
                <w:rFonts w:ascii="Book Antiqua" w:eastAsia="宋体" w:hAnsi="Book Antiqua" w:cs="仿宋"/>
                <w:color w:val="000000" w:themeColor="text1"/>
              </w:rPr>
              <w:t>microglobulin</w:t>
            </w:r>
            <w:proofErr w:type="spellEnd"/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="00B63700" w:rsidRPr="000B0484">
              <w:rPr>
                <w:rFonts w:ascii="Book Antiqua" w:eastAsia="宋体" w:hAnsi="Book Antiqua" w:cs="仿宋"/>
                <w:color w:val="000000" w:themeColor="text1"/>
              </w:rPr>
              <w:t>mg/L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97566" w14:textId="54535EF4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4.9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(4-17.4)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9AF36" w14:textId="3952A632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15.5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(4.68-158)</w:t>
            </w:r>
            <w:r w:rsidR="00B46EDF"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7</w:t>
            </w:r>
          </w:p>
        </w:tc>
      </w:tr>
      <w:tr w:rsidR="00B22200" w:rsidRPr="00B22200" w14:paraId="144C52E2" w14:textId="77777777" w:rsidTr="00F603FF"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B9C22B" w14:textId="7E1DB482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Urinary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immunoglobulin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="00121D1C">
              <w:rPr>
                <w:rFonts w:ascii="Book Antiqua" w:eastAsia="宋体" w:hAnsi="Book Antiqua" w:cs="仿宋"/>
                <w:color w:val="000000" w:themeColor="text1"/>
              </w:rPr>
              <w:t xml:space="preserve">as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mg/L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5AA5B1" w14:textId="690E3180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3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(3-4.1)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934860" w14:textId="3F99B59C" w:rsidR="00B63700" w:rsidRPr="000B0484" w:rsidRDefault="00B63700" w:rsidP="000B0484">
            <w:pPr>
              <w:snapToGrid w:val="0"/>
              <w:spacing w:line="360" w:lineRule="auto"/>
              <w:jc w:val="both"/>
              <w:rPr>
                <w:rFonts w:ascii="Book Antiqua" w:eastAsia="宋体" w:hAnsi="Book Antiqua" w:cs="仿宋"/>
                <w:color w:val="000000" w:themeColor="text1"/>
              </w:rPr>
            </w:pPr>
            <w:r w:rsidRPr="000B0484">
              <w:rPr>
                <w:rFonts w:ascii="Book Antiqua" w:eastAsia="宋体" w:hAnsi="Book Antiqua" w:cs="仿宋"/>
                <w:color w:val="000000" w:themeColor="text1"/>
              </w:rPr>
              <w:t>6.7</w:t>
            </w:r>
            <w:r w:rsidR="003516E8" w:rsidRPr="000B0484">
              <w:rPr>
                <w:rFonts w:ascii="Book Antiqua" w:eastAsia="宋体" w:hAnsi="Book Antiqua" w:cs="仿宋"/>
                <w:color w:val="000000" w:themeColor="text1"/>
              </w:rPr>
              <w:t xml:space="preserve"> </w:t>
            </w:r>
            <w:r w:rsidRPr="000B0484">
              <w:rPr>
                <w:rFonts w:ascii="Book Antiqua" w:eastAsia="宋体" w:hAnsi="Book Antiqua" w:cs="仿宋"/>
                <w:color w:val="000000" w:themeColor="text1"/>
              </w:rPr>
              <w:t>(3.14-29.3)</w:t>
            </w:r>
            <w:r w:rsidR="00B46EDF" w:rsidRPr="000B0484">
              <w:rPr>
                <w:rFonts w:ascii="Book Antiqua" w:eastAsia="宋体" w:hAnsi="Book Antiqua" w:cs="仿宋"/>
                <w:color w:val="000000" w:themeColor="text1"/>
                <w:vertAlign w:val="superscript"/>
              </w:rPr>
              <w:t>8</w:t>
            </w:r>
          </w:p>
        </w:tc>
      </w:tr>
    </w:tbl>
    <w:p w14:paraId="32A9FF18" w14:textId="2CCBA42C" w:rsidR="00B63700" w:rsidRPr="000B0484" w:rsidRDefault="00B63700" w:rsidP="000B0484">
      <w:pPr>
        <w:snapToGrid w:val="0"/>
        <w:spacing w:line="360" w:lineRule="auto"/>
        <w:jc w:val="both"/>
        <w:rPr>
          <w:rFonts w:ascii="Book Antiqua" w:eastAsia="宋体" w:hAnsi="Book Antiqua" w:cs="仿宋"/>
          <w:color w:val="000000" w:themeColor="text1"/>
          <w:lang w:eastAsia="zh-CN"/>
        </w:rPr>
      </w:pPr>
      <w:r w:rsidRPr="000B0484">
        <w:rPr>
          <w:rFonts w:ascii="Book Antiqua" w:eastAsia="宋体" w:hAnsi="Book Antiqua" w:cs="仿宋"/>
          <w:color w:val="000000" w:themeColor="text1"/>
        </w:rPr>
        <w:t>Comparison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between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the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two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groups</w:t>
      </w:r>
      <w:r w:rsidR="002476F7" w:rsidRPr="000B0484">
        <w:rPr>
          <w:rFonts w:ascii="Book Antiqua" w:eastAsia="宋体" w:hAnsi="Book Antiqua" w:cs="仿宋"/>
          <w:color w:val="000000" w:themeColor="text1"/>
        </w:rPr>
        <w:t>:</w:t>
      </w:r>
      <w:r w:rsidR="003516E8" w:rsidRPr="000B0484">
        <w:rPr>
          <w:rFonts w:ascii="Book Antiqua" w:eastAsia="宋体" w:hAnsi="Book Antiqua" w:cs="仿宋"/>
          <w:color w:val="000000" w:themeColor="text1"/>
          <w:lang w:eastAsia="zh-CN"/>
        </w:rPr>
        <w:t xml:space="preserve"> </w:t>
      </w:r>
      <w:r w:rsidR="00C374C1" w:rsidRPr="000B0484">
        <w:rPr>
          <w:rFonts w:ascii="Book Antiqua" w:eastAsia="宋体" w:hAnsi="Book Antiqua" w:cs="仿宋"/>
          <w:color w:val="000000" w:themeColor="text1"/>
          <w:vertAlign w:val="superscript"/>
        </w:rPr>
        <w:t>1</w:t>
      </w:r>
      <w:r w:rsidR="00C374C1" w:rsidRPr="000B0484">
        <w:rPr>
          <w:rFonts w:ascii="Book Antiqua" w:eastAsia="宋体" w:hAnsi="Book Antiqua" w:cs="仿宋"/>
          <w:color w:val="000000" w:themeColor="text1"/>
        </w:rPr>
        <w:t>Indicates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1B5EE4" w:rsidRPr="000B0484">
        <w:rPr>
          <w:rFonts w:ascii="Book Antiqua" w:eastAsia="宋体" w:hAnsi="Book Antiqua" w:cs="仿宋"/>
          <w:i/>
          <w:color w:val="000000" w:themeColor="text1"/>
        </w:rPr>
        <w:t>t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E46328" w:rsidRPr="000B0484">
        <w:rPr>
          <w:rFonts w:ascii="Book Antiqua" w:eastAsia="宋体" w:hAnsi="Book Antiqua" w:cs="仿宋"/>
          <w:color w:val="000000" w:themeColor="text1"/>
        </w:rPr>
        <w:t>−</w:t>
      </w:r>
      <w:r w:rsidRPr="000B0484">
        <w:rPr>
          <w:rFonts w:ascii="Book Antiqua" w:eastAsia="宋体" w:hAnsi="Book Antiqua" w:cs="仿宋"/>
          <w:color w:val="000000" w:themeColor="text1"/>
        </w:rPr>
        <w:t>2.508,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C374C1" w:rsidRPr="000B0484">
        <w:rPr>
          <w:rFonts w:ascii="Book Antiqua" w:eastAsia="宋体" w:hAnsi="Book Antiqua" w:cs="仿宋"/>
          <w:i/>
          <w:iCs/>
          <w:color w:val="000000" w:themeColor="text1"/>
        </w:rPr>
        <w:t>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0.015;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C374C1" w:rsidRPr="000B0484">
        <w:rPr>
          <w:rFonts w:ascii="Book Antiqua" w:eastAsia="宋体" w:hAnsi="Book Antiqua" w:cs="仿宋"/>
          <w:color w:val="000000" w:themeColor="text1"/>
          <w:vertAlign w:val="superscript"/>
        </w:rPr>
        <w:t>2</w:t>
      </w:r>
      <w:r w:rsidR="00C374C1" w:rsidRPr="000B0484">
        <w:rPr>
          <w:rFonts w:ascii="Book Antiqua" w:eastAsia="宋体" w:hAnsi="Book Antiqua" w:cs="仿宋"/>
          <w:color w:val="000000" w:themeColor="text1"/>
        </w:rPr>
        <w:t>Indicates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1B5EE4" w:rsidRPr="000B0484">
        <w:rPr>
          <w:rFonts w:ascii="Book Antiqua" w:eastAsia="宋体" w:hAnsi="Book Antiqua" w:cs="仿宋"/>
          <w:i/>
          <w:color w:val="000000" w:themeColor="text1"/>
        </w:rPr>
        <w:t>t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E46328" w:rsidRPr="000B0484">
        <w:rPr>
          <w:rFonts w:ascii="Book Antiqua" w:eastAsia="宋体" w:hAnsi="Book Antiqua" w:cs="仿宋"/>
          <w:color w:val="000000" w:themeColor="text1"/>
        </w:rPr>
        <w:t>−</w:t>
      </w:r>
      <w:r w:rsidRPr="000B0484">
        <w:rPr>
          <w:rFonts w:ascii="Book Antiqua" w:eastAsia="宋体" w:hAnsi="Book Antiqua" w:cs="仿宋"/>
          <w:color w:val="000000" w:themeColor="text1"/>
        </w:rPr>
        <w:t>2.208,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C374C1" w:rsidRPr="000B0484">
        <w:rPr>
          <w:rFonts w:ascii="Book Antiqua" w:eastAsia="宋体" w:hAnsi="Book Antiqua" w:cs="仿宋"/>
          <w:i/>
          <w:iCs/>
          <w:color w:val="000000" w:themeColor="text1"/>
        </w:rPr>
        <w:t>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0.031;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C374C1" w:rsidRPr="000B0484">
        <w:rPr>
          <w:rFonts w:ascii="Book Antiqua" w:eastAsia="宋体" w:hAnsi="Book Antiqua" w:cs="仿宋"/>
          <w:color w:val="000000" w:themeColor="text1"/>
          <w:vertAlign w:val="superscript"/>
        </w:rPr>
        <w:t>3</w:t>
      </w:r>
      <w:r w:rsidR="00C374C1" w:rsidRPr="000B0484">
        <w:rPr>
          <w:rFonts w:ascii="Book Antiqua" w:eastAsia="宋体" w:hAnsi="Book Antiqua" w:cs="仿宋"/>
          <w:color w:val="000000" w:themeColor="text1"/>
        </w:rPr>
        <w:t>Indicates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i/>
          <w:color w:val="000000" w:themeColor="text1"/>
        </w:rPr>
        <w:t>t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035C8C" w:rsidRPr="000B0484">
        <w:rPr>
          <w:rFonts w:ascii="Book Antiqua" w:eastAsia="微软雅黑" w:hAnsi="Book Antiqua" w:cs="微软雅黑"/>
          <w:color w:val="000000" w:themeColor="text1"/>
        </w:rPr>
        <w:t>−</w:t>
      </w:r>
      <w:r w:rsidRPr="000B0484">
        <w:rPr>
          <w:rFonts w:ascii="Book Antiqua" w:eastAsia="宋体" w:hAnsi="Book Antiqua" w:cs="仿宋"/>
          <w:color w:val="000000" w:themeColor="text1"/>
        </w:rPr>
        <w:t>2.023,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C374C1" w:rsidRPr="000B0484">
        <w:rPr>
          <w:rFonts w:ascii="Book Antiqua" w:eastAsia="宋体" w:hAnsi="Book Antiqua" w:cs="仿宋"/>
          <w:i/>
          <w:iCs/>
          <w:color w:val="000000" w:themeColor="text1"/>
        </w:rPr>
        <w:t>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0.047;</w:t>
      </w:r>
      <w:r w:rsidR="003516E8" w:rsidRPr="000B0484">
        <w:rPr>
          <w:rFonts w:ascii="Book Antiqua" w:eastAsia="宋体" w:hAnsi="Book Antiqua" w:cs="仿宋"/>
          <w:color w:val="000000" w:themeColor="text1"/>
          <w:lang w:eastAsia="zh-CN"/>
        </w:rPr>
        <w:t xml:space="preserve"> </w:t>
      </w:r>
      <w:r w:rsidR="00773103" w:rsidRPr="000B0484">
        <w:rPr>
          <w:rFonts w:ascii="Book Antiqua" w:eastAsia="宋体" w:hAnsi="Book Antiqua" w:cs="仿宋"/>
          <w:color w:val="000000" w:themeColor="text1"/>
          <w:vertAlign w:val="superscript"/>
        </w:rPr>
        <w:t>4</w:t>
      </w:r>
      <w:r w:rsidR="00773103" w:rsidRPr="000B0484">
        <w:rPr>
          <w:rFonts w:ascii="Book Antiqua" w:eastAsia="宋体" w:hAnsi="Book Antiqua" w:cs="仿宋"/>
          <w:color w:val="000000" w:themeColor="text1"/>
        </w:rPr>
        <w:t>Indicates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U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306.5,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E67B7C" w:rsidRPr="000B0484">
        <w:rPr>
          <w:rFonts w:ascii="Book Antiqua" w:eastAsia="宋体" w:hAnsi="Book Antiqua" w:cs="仿宋"/>
          <w:i/>
          <w:iCs/>
          <w:color w:val="000000" w:themeColor="text1"/>
        </w:rPr>
        <w:t>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0.001;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46EDF" w:rsidRPr="000B0484">
        <w:rPr>
          <w:rFonts w:ascii="Book Antiqua" w:eastAsia="宋体" w:hAnsi="Book Antiqua" w:cs="仿宋"/>
          <w:color w:val="000000" w:themeColor="text1"/>
          <w:vertAlign w:val="superscript"/>
        </w:rPr>
        <w:t>5</w:t>
      </w:r>
      <w:r w:rsidR="00B46EDF" w:rsidRPr="000B0484">
        <w:rPr>
          <w:rFonts w:ascii="Book Antiqua" w:eastAsia="宋体" w:hAnsi="Book Antiqua" w:cs="仿宋"/>
          <w:color w:val="000000" w:themeColor="text1"/>
        </w:rPr>
        <w:t>Indicates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i/>
          <w:color w:val="000000" w:themeColor="text1"/>
        </w:rPr>
        <w:t>U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lastRenderedPageBreak/>
        <w:t>184.5,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46EDF" w:rsidRPr="000B0484">
        <w:rPr>
          <w:rFonts w:ascii="Book Antiqua" w:eastAsia="宋体" w:hAnsi="Book Antiqua" w:cs="仿宋"/>
          <w:i/>
          <w:iCs/>
          <w:color w:val="000000" w:themeColor="text1"/>
        </w:rPr>
        <w:t>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0.000;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46EDF" w:rsidRPr="000B0484">
        <w:rPr>
          <w:rFonts w:ascii="Book Antiqua" w:eastAsia="宋体" w:hAnsi="Book Antiqua" w:cs="仿宋"/>
          <w:color w:val="000000" w:themeColor="text1"/>
          <w:vertAlign w:val="superscript"/>
          <w:lang w:eastAsia="zh-CN"/>
        </w:rPr>
        <w:t>6</w:t>
      </w:r>
      <w:r w:rsidR="00B46EDF" w:rsidRPr="000B0484">
        <w:rPr>
          <w:rFonts w:ascii="Book Antiqua" w:eastAsia="宋体" w:hAnsi="Book Antiqua" w:cs="仿宋"/>
          <w:color w:val="000000" w:themeColor="text1"/>
        </w:rPr>
        <w:t>Indicates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1B5EE4" w:rsidRPr="000B0484">
        <w:rPr>
          <w:rFonts w:ascii="Book Antiqua" w:eastAsia="宋体" w:hAnsi="Book Antiqua" w:cs="仿宋"/>
          <w:i/>
          <w:color w:val="000000" w:themeColor="text1"/>
        </w:rPr>
        <w:t>U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202.0,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46EDF" w:rsidRPr="000B0484">
        <w:rPr>
          <w:rFonts w:ascii="Book Antiqua" w:eastAsia="宋体" w:hAnsi="Book Antiqua" w:cs="仿宋"/>
          <w:i/>
          <w:iCs/>
          <w:color w:val="000000" w:themeColor="text1"/>
        </w:rPr>
        <w:t>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0.000;</w:t>
      </w:r>
      <w:r w:rsidR="003516E8" w:rsidRPr="000B0484">
        <w:rPr>
          <w:rFonts w:ascii="Book Antiqua" w:eastAsia="宋体" w:hAnsi="Book Antiqua" w:cs="仿宋"/>
          <w:color w:val="000000" w:themeColor="text1"/>
          <w:lang w:eastAsia="zh-CN"/>
        </w:rPr>
        <w:t xml:space="preserve"> </w:t>
      </w:r>
      <w:r w:rsidR="00B46EDF" w:rsidRPr="000B0484">
        <w:rPr>
          <w:rFonts w:ascii="Book Antiqua" w:eastAsia="宋体" w:hAnsi="Book Antiqua" w:cs="仿宋"/>
          <w:color w:val="000000" w:themeColor="text1"/>
          <w:vertAlign w:val="superscript"/>
          <w:lang w:eastAsia="zh-CN"/>
        </w:rPr>
        <w:t>7</w:t>
      </w:r>
      <w:r w:rsidR="00B46EDF" w:rsidRPr="000B0484">
        <w:rPr>
          <w:rFonts w:ascii="Book Antiqua" w:eastAsia="宋体" w:hAnsi="Book Antiqua" w:cs="仿宋"/>
          <w:color w:val="000000" w:themeColor="text1"/>
        </w:rPr>
        <w:t>Indicates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1B5EE4" w:rsidRPr="000B0484">
        <w:rPr>
          <w:rFonts w:ascii="Book Antiqua" w:eastAsia="宋体" w:hAnsi="Book Antiqua" w:cs="仿宋"/>
          <w:i/>
          <w:color w:val="000000" w:themeColor="text1"/>
        </w:rPr>
        <w:t>U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91.0,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46EDF" w:rsidRPr="000B0484">
        <w:rPr>
          <w:rFonts w:ascii="Book Antiqua" w:eastAsia="宋体" w:hAnsi="Book Antiqua" w:cs="仿宋"/>
          <w:i/>
          <w:iCs/>
          <w:color w:val="000000" w:themeColor="text1"/>
        </w:rPr>
        <w:t>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0.000;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46EDF" w:rsidRPr="000B0484">
        <w:rPr>
          <w:rFonts w:ascii="Book Antiqua" w:eastAsia="宋体" w:hAnsi="Book Antiqua" w:cs="仿宋"/>
          <w:color w:val="000000" w:themeColor="text1"/>
          <w:vertAlign w:val="superscript"/>
          <w:lang w:eastAsia="zh-CN"/>
        </w:rPr>
        <w:t>8</w:t>
      </w:r>
      <w:r w:rsidR="00B46EDF" w:rsidRPr="000B0484">
        <w:rPr>
          <w:rFonts w:ascii="Book Antiqua" w:eastAsia="宋体" w:hAnsi="Book Antiqua" w:cs="仿宋"/>
          <w:color w:val="000000" w:themeColor="text1"/>
        </w:rPr>
        <w:t>Indicates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1B5EE4" w:rsidRPr="000B0484">
        <w:rPr>
          <w:rFonts w:ascii="Book Antiqua" w:eastAsia="宋体" w:hAnsi="Book Antiqua" w:cs="仿宋"/>
          <w:i/>
          <w:color w:val="000000" w:themeColor="text1"/>
        </w:rPr>
        <w:t>U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42.5,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B46EDF" w:rsidRPr="000B0484">
        <w:rPr>
          <w:rFonts w:ascii="Book Antiqua" w:eastAsia="宋体" w:hAnsi="Book Antiqua" w:cs="仿宋"/>
          <w:i/>
          <w:iCs/>
          <w:color w:val="000000" w:themeColor="text1"/>
        </w:rPr>
        <w:t>P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=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Pr="000B0484">
        <w:rPr>
          <w:rFonts w:ascii="Book Antiqua" w:eastAsia="宋体" w:hAnsi="Book Antiqua" w:cs="仿宋"/>
          <w:color w:val="000000" w:themeColor="text1"/>
        </w:rPr>
        <w:t>0.000.</w:t>
      </w:r>
      <w:r w:rsidR="003516E8" w:rsidRPr="000B0484">
        <w:rPr>
          <w:rFonts w:ascii="Book Antiqua" w:hAnsi="Book Antiqua"/>
          <w:color w:val="000000" w:themeColor="text1"/>
        </w:rPr>
        <w:t xml:space="preserve"> </w:t>
      </w:r>
      <w:r w:rsidR="00D1169A" w:rsidRPr="002E5452">
        <w:rPr>
          <w:rFonts w:ascii="Book Antiqua" w:eastAsia="宋体" w:hAnsi="Book Antiqua" w:cs="仿宋"/>
          <w:color w:val="000000" w:themeColor="text1"/>
          <w:lang w:eastAsia="zh-CN"/>
        </w:rPr>
        <w:t xml:space="preserve">BUN: Serum urea nitrogen; </w:t>
      </w:r>
      <w:r w:rsidR="00D1169A" w:rsidRPr="009100E8">
        <w:rPr>
          <w:rFonts w:ascii="Book Antiqua" w:eastAsia="宋体" w:hAnsi="Book Antiqua" w:cs="仿宋"/>
          <w:color w:val="000000" w:themeColor="text1"/>
        </w:rPr>
        <w:t>DBIL: Direct bilirubin</w:t>
      </w:r>
      <w:r w:rsidR="00D1169A">
        <w:rPr>
          <w:rFonts w:ascii="Book Antiqua" w:eastAsia="宋体" w:hAnsi="Book Antiqua" w:cs="仿宋"/>
          <w:color w:val="000000" w:themeColor="text1"/>
        </w:rPr>
        <w:t>;</w:t>
      </w:r>
      <w:r w:rsidR="00D1169A" w:rsidRPr="00D1169A">
        <w:rPr>
          <w:rFonts w:ascii="Book Antiqua" w:eastAsia="宋体" w:hAnsi="Book Antiqua" w:cs="仿宋"/>
          <w:color w:val="000000" w:themeColor="text1"/>
          <w:lang w:eastAsia="zh-CN"/>
        </w:rPr>
        <w:t xml:space="preserve"> </w:t>
      </w:r>
      <w:r w:rsidR="00D1169A" w:rsidRPr="00D11E6F">
        <w:rPr>
          <w:rFonts w:ascii="Book Antiqua" w:eastAsia="宋体" w:hAnsi="Book Antiqua" w:cs="仿宋"/>
          <w:color w:val="000000" w:themeColor="text1"/>
          <w:lang w:eastAsia="zh-CN"/>
        </w:rPr>
        <w:t>eGFR: Estimated glomerular filtration rate;</w:t>
      </w:r>
      <w:r w:rsidR="00D1169A">
        <w:rPr>
          <w:rFonts w:ascii="Book Antiqua" w:eastAsia="宋体" w:hAnsi="Book Antiqua" w:cs="仿宋"/>
          <w:color w:val="000000" w:themeColor="text1"/>
          <w:lang w:eastAsia="zh-CN"/>
        </w:rPr>
        <w:t xml:space="preserve"> </w:t>
      </w:r>
      <w:r w:rsidR="00D13316" w:rsidRPr="000B0484">
        <w:rPr>
          <w:rFonts w:ascii="Book Antiqua" w:hAnsi="Book Antiqua"/>
          <w:color w:val="000000" w:themeColor="text1"/>
        </w:rPr>
        <w:t>F:</w:t>
      </w:r>
      <w:r w:rsidR="003516E8" w:rsidRPr="000B0484">
        <w:rPr>
          <w:rFonts w:ascii="Book Antiqua" w:hAnsi="Book Antiqua"/>
          <w:color w:val="000000" w:themeColor="text1"/>
        </w:rPr>
        <w:t xml:space="preserve"> </w:t>
      </w:r>
      <w:r w:rsidR="00D13316" w:rsidRPr="000B0484">
        <w:rPr>
          <w:rFonts w:ascii="Book Antiqua" w:hAnsi="Book Antiqua"/>
          <w:color w:val="000000" w:themeColor="text1"/>
        </w:rPr>
        <w:t>Female;</w:t>
      </w:r>
      <w:r w:rsidR="003516E8" w:rsidRPr="000B0484">
        <w:rPr>
          <w:rFonts w:ascii="Book Antiqua" w:hAnsi="Book Antiqua"/>
          <w:color w:val="000000" w:themeColor="text1"/>
        </w:rPr>
        <w:t xml:space="preserve"> </w:t>
      </w:r>
      <w:r w:rsidR="0058158E" w:rsidRPr="000B0484">
        <w:rPr>
          <w:rFonts w:ascii="Book Antiqua" w:eastAsia="宋体" w:hAnsi="Book Antiqua" w:cs="仿宋"/>
          <w:color w:val="000000" w:themeColor="text1"/>
        </w:rPr>
        <w:t>GGT: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58158E" w:rsidRPr="000B0484">
        <w:rPr>
          <w:rFonts w:ascii="Book Antiqua" w:eastAsia="宋体" w:hAnsi="Book Antiqua" w:cs="仿宋"/>
          <w:color w:val="000000" w:themeColor="text1"/>
        </w:rPr>
        <w:t>Gamma-glutamyl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58158E" w:rsidRPr="000B0484">
        <w:rPr>
          <w:rFonts w:ascii="Book Antiqua" w:eastAsia="宋体" w:hAnsi="Book Antiqua" w:cs="仿宋"/>
          <w:color w:val="000000" w:themeColor="text1"/>
        </w:rPr>
        <w:t>transpeptidase;</w:t>
      </w:r>
      <w:r w:rsidR="003516E8" w:rsidRPr="000B0484">
        <w:rPr>
          <w:rFonts w:ascii="Book Antiqua" w:eastAsia="宋体" w:hAnsi="Book Antiqua" w:cs="仿宋"/>
          <w:color w:val="000000" w:themeColor="text1"/>
        </w:rPr>
        <w:t xml:space="preserve"> </w:t>
      </w:r>
      <w:r w:rsidR="00D1169A" w:rsidRPr="009B79B1">
        <w:rPr>
          <w:rFonts w:ascii="Book Antiqua" w:hAnsi="Book Antiqua"/>
          <w:color w:val="000000" w:themeColor="text1"/>
        </w:rPr>
        <w:t xml:space="preserve">M: Male; </w:t>
      </w:r>
      <w:r w:rsidR="00012F43" w:rsidRPr="000B0484">
        <w:rPr>
          <w:rFonts w:ascii="Book Antiqua" w:eastAsia="宋体" w:hAnsi="Book Antiqua" w:cs="仿宋"/>
          <w:color w:val="000000" w:themeColor="text1"/>
          <w:lang w:eastAsia="zh-CN"/>
        </w:rPr>
        <w:t>NAG:</w:t>
      </w:r>
      <w:r w:rsidR="003516E8" w:rsidRPr="000B0484">
        <w:rPr>
          <w:rFonts w:ascii="Book Antiqua" w:eastAsia="宋体" w:hAnsi="Book Antiqua" w:cs="仿宋"/>
          <w:color w:val="000000" w:themeColor="text1"/>
          <w:lang w:eastAsia="zh-CN"/>
        </w:rPr>
        <w:t xml:space="preserve"> </w:t>
      </w:r>
      <w:r w:rsidR="00012F43" w:rsidRPr="000B0484">
        <w:rPr>
          <w:rFonts w:ascii="Book Antiqua" w:eastAsia="宋体" w:hAnsi="Book Antiqua" w:cs="仿宋"/>
          <w:color w:val="000000" w:themeColor="text1"/>
          <w:lang w:eastAsia="zh-CN"/>
        </w:rPr>
        <w:t>N-acetyl-β-D-glucosidase</w:t>
      </w:r>
      <w:r w:rsidR="00D1169A">
        <w:rPr>
          <w:rFonts w:ascii="Book Antiqua" w:eastAsia="宋体" w:hAnsi="Book Antiqua" w:cs="仿宋"/>
          <w:color w:val="000000" w:themeColor="text1"/>
          <w:lang w:eastAsia="zh-CN"/>
        </w:rPr>
        <w:t>;</w:t>
      </w:r>
      <w:r w:rsidR="00D1169A" w:rsidRPr="00D1169A">
        <w:rPr>
          <w:rFonts w:ascii="Book Antiqua" w:eastAsia="宋体" w:hAnsi="Book Antiqua" w:cs="仿宋"/>
          <w:color w:val="000000" w:themeColor="text1"/>
          <w:lang w:eastAsia="zh-CN"/>
        </w:rPr>
        <w:t xml:space="preserve"> </w:t>
      </w:r>
      <w:r w:rsidR="00D1169A" w:rsidRPr="00401377">
        <w:rPr>
          <w:rFonts w:ascii="Book Antiqua" w:eastAsia="宋体" w:hAnsi="Book Antiqua" w:cs="仿宋"/>
          <w:color w:val="000000" w:themeColor="text1"/>
          <w:lang w:eastAsia="zh-CN"/>
        </w:rPr>
        <w:t>UA: Uric acid</w:t>
      </w:r>
      <w:r w:rsidR="00D1169A">
        <w:rPr>
          <w:rFonts w:ascii="Book Antiqua" w:eastAsia="宋体" w:hAnsi="Book Antiqua" w:cs="仿宋"/>
          <w:color w:val="000000" w:themeColor="text1"/>
          <w:lang w:eastAsia="zh-CN"/>
        </w:rPr>
        <w:t>.</w:t>
      </w:r>
    </w:p>
    <w:sectPr w:rsidR="00B63700" w:rsidRPr="000B0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0B09E" w14:textId="77777777" w:rsidR="00DD7941" w:rsidRDefault="00DD7941" w:rsidP="009441E4">
      <w:r>
        <w:separator/>
      </w:r>
    </w:p>
  </w:endnote>
  <w:endnote w:type="continuationSeparator" w:id="0">
    <w:p w14:paraId="04EB17E4" w14:textId="77777777" w:rsidR="00DD7941" w:rsidRDefault="00DD7941" w:rsidP="0094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D462A" w14:textId="77777777" w:rsidR="00632EEB" w:rsidRPr="000B0484" w:rsidRDefault="00632EEB" w:rsidP="009441E4">
    <w:pPr>
      <w:pStyle w:val="a5"/>
      <w:jc w:val="right"/>
      <w:rPr>
        <w:rFonts w:ascii="Book Antiqua" w:hAnsi="Book Antiqua"/>
        <w:sz w:val="24"/>
        <w:szCs w:val="24"/>
      </w:rPr>
    </w:pPr>
    <w:r w:rsidRPr="000B0484">
      <w:rPr>
        <w:rFonts w:ascii="Book Antiqua" w:hAnsi="Book Antiqua"/>
        <w:sz w:val="24"/>
        <w:szCs w:val="24"/>
        <w:lang w:val="zh-CN" w:eastAsia="zh-CN"/>
      </w:rPr>
      <w:t xml:space="preserve"> </w:t>
    </w:r>
    <w:r w:rsidRPr="000B0484">
      <w:rPr>
        <w:rFonts w:ascii="Book Antiqua" w:hAnsi="Book Antiqua"/>
        <w:sz w:val="24"/>
        <w:szCs w:val="24"/>
      </w:rPr>
      <w:fldChar w:fldCharType="begin"/>
    </w:r>
    <w:r w:rsidRPr="000B0484">
      <w:rPr>
        <w:rFonts w:ascii="Book Antiqua" w:hAnsi="Book Antiqua"/>
        <w:sz w:val="24"/>
        <w:szCs w:val="24"/>
      </w:rPr>
      <w:instrText>PAGE  \* Arabic  \* MERGEFORMAT</w:instrText>
    </w:r>
    <w:r w:rsidRPr="000B0484">
      <w:rPr>
        <w:rFonts w:ascii="Book Antiqua" w:hAnsi="Book Antiqua"/>
        <w:sz w:val="24"/>
        <w:szCs w:val="24"/>
      </w:rPr>
      <w:fldChar w:fldCharType="separate"/>
    </w:r>
    <w:r w:rsidRPr="000B0484">
      <w:rPr>
        <w:rFonts w:ascii="Book Antiqua" w:hAnsi="Book Antiqua"/>
        <w:noProof/>
        <w:sz w:val="24"/>
        <w:szCs w:val="24"/>
        <w:lang w:val="zh-CN" w:eastAsia="zh-CN"/>
      </w:rPr>
      <w:t>22</w:t>
    </w:r>
    <w:r w:rsidRPr="000B0484">
      <w:rPr>
        <w:rFonts w:ascii="Book Antiqua" w:hAnsi="Book Antiqua"/>
        <w:sz w:val="24"/>
        <w:szCs w:val="24"/>
      </w:rPr>
      <w:fldChar w:fldCharType="end"/>
    </w:r>
    <w:r w:rsidRPr="000B0484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0B0484">
      <w:rPr>
        <w:rFonts w:ascii="Book Antiqua" w:hAnsi="Book Antiqua"/>
        <w:sz w:val="24"/>
        <w:szCs w:val="24"/>
      </w:rPr>
      <w:fldChar w:fldCharType="begin"/>
    </w:r>
    <w:r w:rsidRPr="000B0484">
      <w:rPr>
        <w:rFonts w:ascii="Book Antiqua" w:hAnsi="Book Antiqua"/>
        <w:sz w:val="24"/>
        <w:szCs w:val="24"/>
      </w:rPr>
      <w:instrText>NUMPAGES  \* Arabic  \* MERGEFORMAT</w:instrText>
    </w:r>
    <w:r w:rsidRPr="000B0484">
      <w:rPr>
        <w:rFonts w:ascii="Book Antiqua" w:hAnsi="Book Antiqua"/>
        <w:sz w:val="24"/>
        <w:szCs w:val="24"/>
      </w:rPr>
      <w:fldChar w:fldCharType="separate"/>
    </w:r>
    <w:r w:rsidRPr="000B0484">
      <w:rPr>
        <w:rFonts w:ascii="Book Antiqua" w:hAnsi="Book Antiqua"/>
        <w:noProof/>
        <w:sz w:val="24"/>
        <w:szCs w:val="24"/>
        <w:lang w:val="zh-CN" w:eastAsia="zh-CN"/>
      </w:rPr>
      <w:t>23</w:t>
    </w:r>
    <w:r w:rsidRPr="000B0484">
      <w:rPr>
        <w:rFonts w:ascii="Book Antiqua" w:hAnsi="Book Antiqua"/>
        <w:sz w:val="24"/>
        <w:szCs w:val="24"/>
      </w:rPr>
      <w:fldChar w:fldCharType="end"/>
    </w:r>
  </w:p>
  <w:p w14:paraId="4F2AFED6" w14:textId="77777777" w:rsidR="00632EEB" w:rsidRDefault="00632E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8BC01" w14:textId="77777777" w:rsidR="00DD7941" w:rsidRDefault="00DD7941" w:rsidP="009441E4">
      <w:r>
        <w:separator/>
      </w:r>
    </w:p>
  </w:footnote>
  <w:footnote w:type="continuationSeparator" w:id="0">
    <w:p w14:paraId="2961D1E9" w14:textId="77777777" w:rsidR="00DD7941" w:rsidRDefault="00DD7941" w:rsidP="00944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0C7E"/>
    <w:rsid w:val="0001169B"/>
    <w:rsid w:val="00012F43"/>
    <w:rsid w:val="00035152"/>
    <w:rsid w:val="00035C8C"/>
    <w:rsid w:val="000576C1"/>
    <w:rsid w:val="00077771"/>
    <w:rsid w:val="00094EF2"/>
    <w:rsid w:val="00097BEC"/>
    <w:rsid w:val="000A0CBF"/>
    <w:rsid w:val="000A4CF1"/>
    <w:rsid w:val="000B0484"/>
    <w:rsid w:val="000C6416"/>
    <w:rsid w:val="00102AD4"/>
    <w:rsid w:val="001103C1"/>
    <w:rsid w:val="00111DDB"/>
    <w:rsid w:val="00117AE6"/>
    <w:rsid w:val="00121D1C"/>
    <w:rsid w:val="001256D5"/>
    <w:rsid w:val="00137D15"/>
    <w:rsid w:val="0014301F"/>
    <w:rsid w:val="0015221E"/>
    <w:rsid w:val="00160F9A"/>
    <w:rsid w:val="00166139"/>
    <w:rsid w:val="00167B9E"/>
    <w:rsid w:val="001875D4"/>
    <w:rsid w:val="001900CC"/>
    <w:rsid w:val="001A123E"/>
    <w:rsid w:val="001B2922"/>
    <w:rsid w:val="001B572E"/>
    <w:rsid w:val="001B5EE4"/>
    <w:rsid w:val="001C2078"/>
    <w:rsid w:val="001D59D9"/>
    <w:rsid w:val="001F65E9"/>
    <w:rsid w:val="002307F2"/>
    <w:rsid w:val="002372BF"/>
    <w:rsid w:val="00237A77"/>
    <w:rsid w:val="002476F7"/>
    <w:rsid w:val="002639D0"/>
    <w:rsid w:val="002866C8"/>
    <w:rsid w:val="002A22CB"/>
    <w:rsid w:val="002B0AE9"/>
    <w:rsid w:val="002C1F87"/>
    <w:rsid w:val="003004AE"/>
    <w:rsid w:val="0030215C"/>
    <w:rsid w:val="003168A6"/>
    <w:rsid w:val="0033224B"/>
    <w:rsid w:val="0033347A"/>
    <w:rsid w:val="003516E8"/>
    <w:rsid w:val="00362193"/>
    <w:rsid w:val="00366CC3"/>
    <w:rsid w:val="0037658B"/>
    <w:rsid w:val="00383D6D"/>
    <w:rsid w:val="00390BAF"/>
    <w:rsid w:val="003921E6"/>
    <w:rsid w:val="003A7C7A"/>
    <w:rsid w:val="003C043E"/>
    <w:rsid w:val="003D395E"/>
    <w:rsid w:val="003D63E1"/>
    <w:rsid w:val="00422F96"/>
    <w:rsid w:val="00423456"/>
    <w:rsid w:val="00424583"/>
    <w:rsid w:val="00433738"/>
    <w:rsid w:val="004339D8"/>
    <w:rsid w:val="00442B52"/>
    <w:rsid w:val="004555DE"/>
    <w:rsid w:val="004623BA"/>
    <w:rsid w:val="00465418"/>
    <w:rsid w:val="00495469"/>
    <w:rsid w:val="004966F8"/>
    <w:rsid w:val="004C3056"/>
    <w:rsid w:val="005012EE"/>
    <w:rsid w:val="005056B3"/>
    <w:rsid w:val="005409AE"/>
    <w:rsid w:val="00541A46"/>
    <w:rsid w:val="00562BCE"/>
    <w:rsid w:val="0058158E"/>
    <w:rsid w:val="0059127B"/>
    <w:rsid w:val="005A6BBD"/>
    <w:rsid w:val="005B1B27"/>
    <w:rsid w:val="005B4918"/>
    <w:rsid w:val="005B6491"/>
    <w:rsid w:val="005C6FFC"/>
    <w:rsid w:val="0062251C"/>
    <w:rsid w:val="00632EEB"/>
    <w:rsid w:val="006348ED"/>
    <w:rsid w:val="00637BD4"/>
    <w:rsid w:val="00641AF8"/>
    <w:rsid w:val="006802F4"/>
    <w:rsid w:val="006806EC"/>
    <w:rsid w:val="006837B2"/>
    <w:rsid w:val="006A1DF3"/>
    <w:rsid w:val="006A2D26"/>
    <w:rsid w:val="006A7481"/>
    <w:rsid w:val="006C20C5"/>
    <w:rsid w:val="006D4EBE"/>
    <w:rsid w:val="006F4C90"/>
    <w:rsid w:val="006F79C4"/>
    <w:rsid w:val="007050DC"/>
    <w:rsid w:val="00715A6C"/>
    <w:rsid w:val="00717388"/>
    <w:rsid w:val="00724147"/>
    <w:rsid w:val="00726F4E"/>
    <w:rsid w:val="00741874"/>
    <w:rsid w:val="00744206"/>
    <w:rsid w:val="0074666C"/>
    <w:rsid w:val="007546E9"/>
    <w:rsid w:val="00762A17"/>
    <w:rsid w:val="007655B0"/>
    <w:rsid w:val="00773103"/>
    <w:rsid w:val="007749F9"/>
    <w:rsid w:val="00784111"/>
    <w:rsid w:val="00784796"/>
    <w:rsid w:val="007A5842"/>
    <w:rsid w:val="007B0B19"/>
    <w:rsid w:val="007D31B5"/>
    <w:rsid w:val="007D38ED"/>
    <w:rsid w:val="007D7875"/>
    <w:rsid w:val="00806C11"/>
    <w:rsid w:val="00816F9B"/>
    <w:rsid w:val="00821FAD"/>
    <w:rsid w:val="00830115"/>
    <w:rsid w:val="008363E4"/>
    <w:rsid w:val="008A03C0"/>
    <w:rsid w:val="008A3173"/>
    <w:rsid w:val="008A49DF"/>
    <w:rsid w:val="008A6368"/>
    <w:rsid w:val="008B04FB"/>
    <w:rsid w:val="008B1898"/>
    <w:rsid w:val="008B6A7C"/>
    <w:rsid w:val="008D0158"/>
    <w:rsid w:val="008E3F4F"/>
    <w:rsid w:val="008E69B3"/>
    <w:rsid w:val="008F22B9"/>
    <w:rsid w:val="009441E4"/>
    <w:rsid w:val="00966908"/>
    <w:rsid w:val="00975D33"/>
    <w:rsid w:val="00991CBE"/>
    <w:rsid w:val="009C38A9"/>
    <w:rsid w:val="009D3756"/>
    <w:rsid w:val="009E5DCC"/>
    <w:rsid w:val="00A20297"/>
    <w:rsid w:val="00A20DF7"/>
    <w:rsid w:val="00A241F3"/>
    <w:rsid w:val="00A25C2D"/>
    <w:rsid w:val="00A41383"/>
    <w:rsid w:val="00A46C3C"/>
    <w:rsid w:val="00A4700B"/>
    <w:rsid w:val="00A77B3E"/>
    <w:rsid w:val="00A8145D"/>
    <w:rsid w:val="00A96FA3"/>
    <w:rsid w:val="00AA4F87"/>
    <w:rsid w:val="00AC2455"/>
    <w:rsid w:val="00AD720B"/>
    <w:rsid w:val="00AE6240"/>
    <w:rsid w:val="00AF717F"/>
    <w:rsid w:val="00B22200"/>
    <w:rsid w:val="00B2391C"/>
    <w:rsid w:val="00B247CD"/>
    <w:rsid w:val="00B30EDB"/>
    <w:rsid w:val="00B34AA4"/>
    <w:rsid w:val="00B469D9"/>
    <w:rsid w:val="00B46EDF"/>
    <w:rsid w:val="00B63700"/>
    <w:rsid w:val="00B70FD1"/>
    <w:rsid w:val="00B73435"/>
    <w:rsid w:val="00B87EAD"/>
    <w:rsid w:val="00B94B8D"/>
    <w:rsid w:val="00BB754B"/>
    <w:rsid w:val="00BC5350"/>
    <w:rsid w:val="00BD6F45"/>
    <w:rsid w:val="00BD704A"/>
    <w:rsid w:val="00BF2D8A"/>
    <w:rsid w:val="00BF6E44"/>
    <w:rsid w:val="00C00007"/>
    <w:rsid w:val="00C23D23"/>
    <w:rsid w:val="00C276AC"/>
    <w:rsid w:val="00C33756"/>
    <w:rsid w:val="00C372A9"/>
    <w:rsid w:val="00C374C1"/>
    <w:rsid w:val="00C520E0"/>
    <w:rsid w:val="00C5414C"/>
    <w:rsid w:val="00C54365"/>
    <w:rsid w:val="00C627BD"/>
    <w:rsid w:val="00C77D66"/>
    <w:rsid w:val="00C84748"/>
    <w:rsid w:val="00C92FA2"/>
    <w:rsid w:val="00C968C5"/>
    <w:rsid w:val="00CA2A55"/>
    <w:rsid w:val="00CB7D6F"/>
    <w:rsid w:val="00CC3233"/>
    <w:rsid w:val="00CD0628"/>
    <w:rsid w:val="00D046E8"/>
    <w:rsid w:val="00D1169A"/>
    <w:rsid w:val="00D13316"/>
    <w:rsid w:val="00D32891"/>
    <w:rsid w:val="00D47E15"/>
    <w:rsid w:val="00D667CA"/>
    <w:rsid w:val="00D725B6"/>
    <w:rsid w:val="00D7732B"/>
    <w:rsid w:val="00D81EFA"/>
    <w:rsid w:val="00D910F7"/>
    <w:rsid w:val="00DB7FDF"/>
    <w:rsid w:val="00DC1F3C"/>
    <w:rsid w:val="00DD7941"/>
    <w:rsid w:val="00DF0813"/>
    <w:rsid w:val="00DF2982"/>
    <w:rsid w:val="00DF4DD7"/>
    <w:rsid w:val="00DF5CF1"/>
    <w:rsid w:val="00DF61FC"/>
    <w:rsid w:val="00E0311A"/>
    <w:rsid w:val="00E0591B"/>
    <w:rsid w:val="00E37AB5"/>
    <w:rsid w:val="00E46328"/>
    <w:rsid w:val="00E67B7C"/>
    <w:rsid w:val="00E72B03"/>
    <w:rsid w:val="00E855FB"/>
    <w:rsid w:val="00E90A8E"/>
    <w:rsid w:val="00E97FC6"/>
    <w:rsid w:val="00EB283B"/>
    <w:rsid w:val="00EB4F70"/>
    <w:rsid w:val="00EE587F"/>
    <w:rsid w:val="00EF38F8"/>
    <w:rsid w:val="00F31AD7"/>
    <w:rsid w:val="00F324E2"/>
    <w:rsid w:val="00F351F9"/>
    <w:rsid w:val="00F54A76"/>
    <w:rsid w:val="00F603FF"/>
    <w:rsid w:val="00F650F0"/>
    <w:rsid w:val="00F70DC0"/>
    <w:rsid w:val="00F966AA"/>
    <w:rsid w:val="00FB38EC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F54C26"/>
  <w15:docId w15:val="{4FAFA54E-C4DC-4044-AD81-144B8E90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44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441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41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41E4"/>
    <w:rPr>
      <w:sz w:val="18"/>
      <w:szCs w:val="18"/>
    </w:rPr>
  </w:style>
  <w:style w:type="character" w:styleId="a7">
    <w:name w:val="annotation reference"/>
    <w:basedOn w:val="a0"/>
    <w:semiHidden/>
    <w:unhideWhenUsed/>
    <w:rsid w:val="00F650F0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F650F0"/>
  </w:style>
  <w:style w:type="character" w:customStyle="1" w:styleId="a9">
    <w:name w:val="批注文字 字符"/>
    <w:basedOn w:val="a0"/>
    <w:link w:val="a8"/>
    <w:semiHidden/>
    <w:rsid w:val="00F650F0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F650F0"/>
    <w:rPr>
      <w:b/>
      <w:bCs/>
    </w:rPr>
  </w:style>
  <w:style w:type="character" w:customStyle="1" w:styleId="ab">
    <w:name w:val="批注主题 字符"/>
    <w:basedOn w:val="a9"/>
    <w:link w:val="aa"/>
    <w:semiHidden/>
    <w:rsid w:val="00F650F0"/>
    <w:rPr>
      <w:b/>
      <w:bCs/>
      <w:sz w:val="24"/>
      <w:szCs w:val="24"/>
    </w:rPr>
  </w:style>
  <w:style w:type="paragraph" w:styleId="ac">
    <w:name w:val="Balloon Text"/>
    <w:basedOn w:val="a"/>
    <w:link w:val="ad"/>
    <w:rsid w:val="00F650F0"/>
    <w:rPr>
      <w:sz w:val="18"/>
      <w:szCs w:val="18"/>
    </w:rPr>
  </w:style>
  <w:style w:type="character" w:customStyle="1" w:styleId="ad">
    <w:name w:val="批注框文本 字符"/>
    <w:basedOn w:val="a0"/>
    <w:link w:val="ac"/>
    <w:rsid w:val="00F650F0"/>
    <w:rPr>
      <w:sz w:val="18"/>
      <w:szCs w:val="18"/>
    </w:rPr>
  </w:style>
  <w:style w:type="table" w:styleId="ae">
    <w:name w:val="Table Grid"/>
    <w:basedOn w:val="a1"/>
    <w:qFormat/>
    <w:rsid w:val="00B63700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9C2C3-CB42-42FB-95AB-E7E74736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22</Pages>
  <Words>4971</Words>
  <Characters>28336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wdm</cp:lastModifiedBy>
  <cp:revision>13</cp:revision>
  <dcterms:created xsi:type="dcterms:W3CDTF">2020-11-02T22:43:00Z</dcterms:created>
  <dcterms:modified xsi:type="dcterms:W3CDTF">2020-11-13T08:33:00Z</dcterms:modified>
</cp:coreProperties>
</file>