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26E3C" w14:textId="77777777" w:rsidR="00A77B3E" w:rsidRDefault="007A61D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8BC312" w14:textId="77777777" w:rsidR="00A77B3E" w:rsidRDefault="007A61D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59872</w:t>
      </w:r>
    </w:p>
    <w:p w14:paraId="1AC78121" w14:textId="77777777" w:rsidR="00A77B3E" w:rsidRDefault="007A61DA">
      <w:pPr>
        <w:spacing w:line="360" w:lineRule="auto"/>
        <w:jc w:val="both"/>
        <w:rPr>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2B17E91" w14:textId="77777777" w:rsidR="00A77B3E" w:rsidRDefault="00A77B3E">
      <w:pPr>
        <w:spacing w:line="360" w:lineRule="auto"/>
        <w:jc w:val="both"/>
      </w:pPr>
    </w:p>
    <w:p w14:paraId="1E5167A1" w14:textId="77777777" w:rsidR="00A77B3E" w:rsidRDefault="007A61DA">
      <w:pPr>
        <w:spacing w:line="360" w:lineRule="auto"/>
        <w:jc w:val="both"/>
      </w:pPr>
      <w:r>
        <w:rPr>
          <w:rFonts w:ascii="Book Antiqua" w:eastAsia="Book Antiqua" w:hAnsi="Book Antiqua" w:cs="Book Antiqua"/>
          <w:b/>
          <w:i/>
          <w:color w:val="000000"/>
        </w:rPr>
        <w:t>Retrospective Study</w:t>
      </w:r>
    </w:p>
    <w:p w14:paraId="34015525" w14:textId="77777777" w:rsidR="00A77B3E" w:rsidRDefault="00B000FC">
      <w:pPr>
        <w:spacing w:line="360" w:lineRule="auto"/>
        <w:jc w:val="both"/>
      </w:pPr>
      <w:r>
        <w:rPr>
          <w:rFonts w:ascii="Book Antiqua" w:eastAsia="Book Antiqua" w:hAnsi="Book Antiqua" w:cs="Book Antiqua"/>
          <w:b/>
          <w:color w:val="000000"/>
        </w:rPr>
        <w:t>R</w:t>
      </w:r>
      <w:r w:rsidR="007A61DA">
        <w:rPr>
          <w:rFonts w:ascii="Book Antiqua" w:eastAsia="Book Antiqua" w:hAnsi="Book Antiqua" w:cs="Book Antiqua"/>
          <w:b/>
          <w:color w:val="000000"/>
        </w:rPr>
        <w:t>ole of ammonia in predicting the outcome of patients with acute-on-chronic liver failure</w:t>
      </w:r>
    </w:p>
    <w:p w14:paraId="322C351F" w14:textId="77777777" w:rsidR="00A77B3E" w:rsidRDefault="00A77B3E">
      <w:pPr>
        <w:spacing w:line="360" w:lineRule="auto"/>
        <w:jc w:val="both"/>
      </w:pPr>
    </w:p>
    <w:p w14:paraId="64FEC771" w14:textId="156386EE" w:rsidR="00A77B3E" w:rsidRDefault="00A963D0">
      <w:pPr>
        <w:spacing w:line="360" w:lineRule="auto"/>
        <w:jc w:val="both"/>
      </w:pP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 </w:t>
      </w:r>
      <w:r w:rsidRPr="00A963D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A61DA">
        <w:rPr>
          <w:rFonts w:ascii="Book Antiqua" w:eastAsia="Book Antiqua" w:hAnsi="Book Antiqua" w:cs="Book Antiqua"/>
          <w:color w:val="000000"/>
        </w:rPr>
        <w:t>Prognostic role of ammonia in ACLF</w:t>
      </w:r>
    </w:p>
    <w:p w14:paraId="1D362A72" w14:textId="77777777" w:rsidR="00A77B3E" w:rsidRDefault="00A77B3E">
      <w:pPr>
        <w:spacing w:line="360" w:lineRule="auto"/>
        <w:jc w:val="both"/>
      </w:pPr>
    </w:p>
    <w:p w14:paraId="42071C93" w14:textId="77777777" w:rsidR="00A77B3E" w:rsidRDefault="007A61DA">
      <w:pPr>
        <w:spacing w:line="360" w:lineRule="auto"/>
        <w:jc w:val="both"/>
      </w:pPr>
      <w:r>
        <w:rPr>
          <w:rFonts w:ascii="Book Antiqua" w:eastAsia="Book Antiqua" w:hAnsi="Book Antiqua" w:cs="Book Antiqua"/>
          <w:color w:val="000000"/>
        </w:rPr>
        <w:t xml:space="preserve">Stefan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Carol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Camelia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Ana-Maria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Tudor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Razvan </w:t>
      </w:r>
      <w:proofErr w:type="spellStart"/>
      <w:r>
        <w:rPr>
          <w:rFonts w:ascii="Book Antiqua" w:eastAsia="Book Antiqua" w:hAnsi="Book Antiqua" w:cs="Book Antiqua"/>
          <w:color w:val="000000"/>
        </w:rPr>
        <w:t>Alexandru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Igna</w:t>
      </w:r>
      <w:proofErr w:type="spellEnd"/>
      <w:r>
        <w:rPr>
          <w:rFonts w:ascii="Book Antiqua" w:eastAsia="Book Antiqua" w:hAnsi="Book Antiqua" w:cs="Book Antiqua"/>
          <w:color w:val="000000"/>
        </w:rPr>
        <w:t xml:space="preserve">, Anca </w:t>
      </w:r>
      <w:proofErr w:type="spellStart"/>
      <w:r>
        <w:rPr>
          <w:rFonts w:ascii="Book Antiqua" w:eastAsia="Book Antiqua" w:hAnsi="Book Antiqua" w:cs="Book Antiqua"/>
          <w:color w:val="000000"/>
        </w:rPr>
        <w:t>Trifan</w:t>
      </w:r>
      <w:proofErr w:type="spellEnd"/>
    </w:p>
    <w:p w14:paraId="25DFFFFB" w14:textId="77777777" w:rsidR="00A77B3E" w:rsidRDefault="00A77B3E">
      <w:pPr>
        <w:spacing w:line="360" w:lineRule="auto"/>
        <w:jc w:val="both"/>
      </w:pPr>
    </w:p>
    <w:p w14:paraId="1D6C0C17" w14:textId="39305714" w:rsidR="00A77B3E" w:rsidRDefault="007A61DA">
      <w:pPr>
        <w:spacing w:line="360" w:lineRule="auto"/>
        <w:jc w:val="both"/>
      </w:pPr>
      <w:r>
        <w:rPr>
          <w:rFonts w:ascii="Book Antiqua" w:eastAsia="Book Antiqua" w:hAnsi="Book Antiqua" w:cs="Book Antiqua"/>
          <w:b/>
          <w:bCs/>
          <w:color w:val="000000"/>
        </w:rPr>
        <w:t xml:space="preserve">Stefan </w:t>
      </w:r>
      <w:proofErr w:type="spellStart"/>
      <w:r>
        <w:rPr>
          <w:rFonts w:ascii="Book Antiqua" w:eastAsia="Book Antiqua" w:hAnsi="Book Antiqua" w:cs="Book Antiqua"/>
          <w:b/>
          <w:bCs/>
          <w:color w:val="000000"/>
        </w:rPr>
        <w:t>Chiriac</w:t>
      </w:r>
      <w:proofErr w:type="spellEnd"/>
      <w:r>
        <w:rPr>
          <w:rFonts w:ascii="Book Antiqua" w:eastAsia="Book Antiqua" w:hAnsi="Book Antiqua" w:cs="Book Antiqua"/>
          <w:b/>
          <w:bCs/>
          <w:color w:val="000000"/>
        </w:rPr>
        <w:t xml:space="preserve">, Camelia </w:t>
      </w:r>
      <w:proofErr w:type="spellStart"/>
      <w:r>
        <w:rPr>
          <w:rFonts w:ascii="Book Antiqua" w:eastAsia="Book Antiqua" w:hAnsi="Book Antiqua" w:cs="Book Antiqua"/>
          <w:b/>
          <w:bCs/>
          <w:color w:val="000000"/>
        </w:rPr>
        <w:t>Cojocariu</w:t>
      </w:r>
      <w:proofErr w:type="spellEnd"/>
      <w:r>
        <w:rPr>
          <w:rFonts w:ascii="Book Antiqua" w:eastAsia="Book Antiqua" w:hAnsi="Book Antiqua" w:cs="Book Antiqua"/>
          <w:b/>
          <w:bCs/>
          <w:color w:val="000000"/>
        </w:rPr>
        <w:t xml:space="preserve">, Ana-Maria </w:t>
      </w:r>
      <w:proofErr w:type="spellStart"/>
      <w:r>
        <w:rPr>
          <w:rFonts w:ascii="Book Antiqua" w:eastAsia="Book Antiqua" w:hAnsi="Book Antiqua" w:cs="Book Antiqua"/>
          <w:b/>
          <w:bCs/>
          <w:color w:val="000000"/>
        </w:rPr>
        <w:t>Singeap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Catalin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Sfarti</w:t>
      </w:r>
      <w:proofErr w:type="spellEnd"/>
      <w:r>
        <w:rPr>
          <w:rFonts w:ascii="Book Antiqua" w:eastAsia="Book Antiqua" w:hAnsi="Book Antiqua" w:cs="Book Antiqua"/>
          <w:b/>
          <w:bCs/>
          <w:color w:val="000000"/>
        </w:rPr>
        <w:t xml:space="preserve">, Tudor </w:t>
      </w:r>
      <w:proofErr w:type="spellStart"/>
      <w:r>
        <w:rPr>
          <w:rFonts w:ascii="Book Antiqua" w:eastAsia="Book Antiqua" w:hAnsi="Book Antiqua" w:cs="Book Antiqua"/>
          <w:b/>
          <w:bCs/>
          <w:color w:val="000000"/>
        </w:rPr>
        <w:t>Cuciureanu</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Girleanu</w:t>
      </w:r>
      <w:proofErr w:type="spellEnd"/>
      <w:r>
        <w:rPr>
          <w:rFonts w:ascii="Book Antiqua" w:eastAsia="Book Antiqua" w:hAnsi="Book Antiqua" w:cs="Book Antiqua"/>
          <w:b/>
          <w:bCs/>
          <w:color w:val="000000"/>
        </w:rPr>
        <w:t xml:space="preserve">, Anca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Iasi 700115, Romania</w:t>
      </w:r>
    </w:p>
    <w:p w14:paraId="551881E8" w14:textId="77777777" w:rsidR="00A77B3E" w:rsidRDefault="00A77B3E">
      <w:pPr>
        <w:spacing w:line="360" w:lineRule="auto"/>
        <w:jc w:val="both"/>
      </w:pPr>
    </w:p>
    <w:p w14:paraId="283C79EC" w14:textId="0E89650C" w:rsidR="00A77B3E" w:rsidRDefault="007A61DA">
      <w:pPr>
        <w:spacing w:line="360" w:lineRule="auto"/>
        <w:jc w:val="both"/>
      </w:pPr>
      <w:r>
        <w:rPr>
          <w:rFonts w:ascii="Book Antiqua" w:eastAsia="Book Antiqua" w:hAnsi="Book Antiqua" w:cs="Book Antiqua"/>
          <w:b/>
          <w:bCs/>
          <w:color w:val="000000"/>
        </w:rPr>
        <w:t xml:space="preserve">Stefan </w:t>
      </w:r>
      <w:proofErr w:type="spellStart"/>
      <w:r>
        <w:rPr>
          <w:rFonts w:ascii="Book Antiqua" w:eastAsia="Book Antiqua" w:hAnsi="Book Antiqua" w:cs="Book Antiqua"/>
          <w:b/>
          <w:bCs/>
          <w:color w:val="000000"/>
        </w:rPr>
        <w:t>Chiriac</w:t>
      </w:r>
      <w:proofErr w:type="spellEnd"/>
      <w:r>
        <w:rPr>
          <w:rFonts w:ascii="Book Antiqua" w:eastAsia="Book Antiqua" w:hAnsi="Book Antiqua" w:cs="Book Antiqua"/>
          <w:b/>
          <w:bCs/>
          <w:color w:val="000000"/>
        </w:rPr>
        <w:t xml:space="preserve">, Carol </w:t>
      </w:r>
      <w:proofErr w:type="spellStart"/>
      <w:r>
        <w:rPr>
          <w:rFonts w:ascii="Book Antiqua" w:eastAsia="Book Antiqua" w:hAnsi="Book Antiqua" w:cs="Book Antiqua"/>
          <w:b/>
          <w:bCs/>
          <w:color w:val="000000"/>
        </w:rPr>
        <w:t>Stanciu</w:t>
      </w:r>
      <w:proofErr w:type="spellEnd"/>
      <w:r>
        <w:rPr>
          <w:rFonts w:ascii="Book Antiqua" w:eastAsia="Book Antiqua" w:hAnsi="Book Antiqua" w:cs="Book Antiqua"/>
          <w:b/>
          <w:bCs/>
          <w:color w:val="000000"/>
        </w:rPr>
        <w:t xml:space="preserve">, Camelia </w:t>
      </w:r>
      <w:proofErr w:type="spellStart"/>
      <w:r>
        <w:rPr>
          <w:rFonts w:ascii="Book Antiqua" w:eastAsia="Book Antiqua" w:hAnsi="Book Antiqua" w:cs="Book Antiqua"/>
          <w:b/>
          <w:bCs/>
          <w:color w:val="000000"/>
        </w:rPr>
        <w:t>Cojocariu</w:t>
      </w:r>
      <w:proofErr w:type="spellEnd"/>
      <w:r>
        <w:rPr>
          <w:rFonts w:ascii="Book Antiqua" w:eastAsia="Book Antiqua" w:hAnsi="Book Antiqua" w:cs="Book Antiqua"/>
          <w:b/>
          <w:bCs/>
          <w:color w:val="000000"/>
        </w:rPr>
        <w:t xml:space="preserve">, Ana-Maria </w:t>
      </w:r>
      <w:proofErr w:type="spellStart"/>
      <w:r>
        <w:rPr>
          <w:rFonts w:ascii="Book Antiqua" w:eastAsia="Book Antiqua" w:hAnsi="Book Antiqua" w:cs="Book Antiqua"/>
          <w:b/>
          <w:bCs/>
          <w:color w:val="000000"/>
        </w:rPr>
        <w:t>Singeap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Catalin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Sfarti</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Girleanu</w:t>
      </w:r>
      <w:proofErr w:type="spellEnd"/>
      <w:r>
        <w:rPr>
          <w:rFonts w:ascii="Book Antiqua" w:eastAsia="Book Antiqua" w:hAnsi="Book Antiqua" w:cs="Book Antiqua"/>
          <w:b/>
          <w:bCs/>
          <w:color w:val="000000"/>
        </w:rPr>
        <w:t xml:space="preserve">, Anca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Gastroenterology and Hepatology,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Emergency Hospital, Iasi 700111, Romania</w:t>
      </w:r>
    </w:p>
    <w:p w14:paraId="331E2801" w14:textId="77777777" w:rsidR="00A77B3E" w:rsidRDefault="00A77B3E">
      <w:pPr>
        <w:spacing w:line="360" w:lineRule="auto"/>
        <w:jc w:val="both"/>
      </w:pPr>
    </w:p>
    <w:p w14:paraId="26F17CF7" w14:textId="47F63B7A" w:rsidR="00A77B3E" w:rsidRDefault="007A61DA">
      <w:pPr>
        <w:spacing w:line="360" w:lineRule="auto"/>
        <w:jc w:val="both"/>
      </w:pPr>
      <w:r>
        <w:rPr>
          <w:rFonts w:ascii="Book Antiqua" w:eastAsia="Book Antiqua" w:hAnsi="Book Antiqua" w:cs="Book Antiqua"/>
          <w:b/>
          <w:bCs/>
          <w:color w:val="000000"/>
        </w:rPr>
        <w:t xml:space="preserve">Razvan </w:t>
      </w:r>
      <w:proofErr w:type="spellStart"/>
      <w:r>
        <w:rPr>
          <w:rFonts w:ascii="Book Antiqua" w:eastAsia="Book Antiqua" w:hAnsi="Book Antiqua" w:cs="Book Antiqua"/>
          <w:b/>
          <w:bCs/>
          <w:color w:val="000000"/>
        </w:rPr>
        <w:t>Alexandru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Igna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Iasi 700115, Romania</w:t>
      </w:r>
    </w:p>
    <w:p w14:paraId="1953D7F7" w14:textId="77777777" w:rsidR="00A77B3E" w:rsidRDefault="00A77B3E">
      <w:pPr>
        <w:spacing w:line="360" w:lineRule="auto"/>
        <w:jc w:val="both"/>
      </w:pPr>
    </w:p>
    <w:p w14:paraId="4090D61A" w14:textId="77777777" w:rsidR="00A77B3E" w:rsidRDefault="007A61DA">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 wrote the original draft of the manuscript and performed the statistical analysis;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coordinated the manuscript drafting and revised it critically;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designed the methodology and edited the manuscript;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participated in the writing of the manuscript and performed the acquisition of data; </w:t>
      </w:r>
      <w:proofErr w:type="spellStart"/>
      <w:r>
        <w:rPr>
          <w:rFonts w:ascii="Book Antiqua" w:eastAsia="Book Antiqua" w:hAnsi="Book Antiqua" w:cs="Book Antiqua"/>
          <w:color w:val="000000"/>
        </w:rPr>
        <w:t>Igna</w:t>
      </w:r>
      <w:proofErr w:type="spellEnd"/>
      <w:r>
        <w:rPr>
          <w:rFonts w:ascii="Book Antiqua" w:eastAsia="Book Antiqua" w:hAnsi="Book Antiqua" w:cs="Book Antiqua"/>
          <w:color w:val="000000"/>
        </w:rPr>
        <w:t xml:space="preserve"> R</w:t>
      </w:r>
      <w:r w:rsidR="00B000FC">
        <w:rPr>
          <w:rFonts w:ascii="Book Antiqua" w:eastAsia="Book Antiqua" w:hAnsi="Book Antiqua" w:cs="Book Antiqua"/>
          <w:color w:val="000000"/>
        </w:rPr>
        <w:t>A</w:t>
      </w:r>
      <w:r>
        <w:rPr>
          <w:rFonts w:ascii="Book Antiqua" w:eastAsia="Book Antiqua" w:hAnsi="Book Antiqua" w:cs="Book Antiqua"/>
          <w:color w:val="000000"/>
        </w:rPr>
        <w:t xml:space="preserve"> participated in the analysis </w:t>
      </w:r>
      <w:r>
        <w:rPr>
          <w:rFonts w:ascii="Book Antiqua" w:eastAsia="Book Antiqua" w:hAnsi="Book Antiqua" w:cs="Book Antiqua"/>
          <w:color w:val="000000"/>
        </w:rPr>
        <w:lastRenderedPageBreak/>
        <w:t xml:space="preserve">and interpretation of data;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conceptualized and critically revised the manuscript for important intellectual content; all authors read and approved the final version of the manuscript.</w:t>
      </w:r>
    </w:p>
    <w:p w14:paraId="0F728634" w14:textId="77777777" w:rsidR="00A77B3E" w:rsidRDefault="00A77B3E">
      <w:pPr>
        <w:spacing w:line="360" w:lineRule="auto"/>
        <w:jc w:val="both"/>
      </w:pPr>
    </w:p>
    <w:p w14:paraId="37933BCD" w14:textId="77777777" w:rsidR="00A77B3E" w:rsidRDefault="007A61DA">
      <w:pPr>
        <w:spacing w:line="360" w:lineRule="auto"/>
        <w:jc w:val="both"/>
      </w:pPr>
      <w:r>
        <w:rPr>
          <w:rFonts w:ascii="Book Antiqua" w:eastAsia="Book Antiqua" w:hAnsi="Book Antiqua" w:cs="Book Antiqua"/>
          <w:b/>
          <w:bCs/>
          <w:color w:val="000000"/>
        </w:rPr>
        <w:t xml:space="preserve">Corresponding author: Camelia </w:t>
      </w:r>
      <w:proofErr w:type="spellStart"/>
      <w:r>
        <w:rPr>
          <w:rFonts w:ascii="Book Antiqua" w:eastAsia="Book Antiqua" w:hAnsi="Book Antiqua" w:cs="Book Antiqua"/>
          <w:b/>
          <w:bCs/>
          <w:color w:val="000000"/>
        </w:rPr>
        <w:t>Cojocariu</w:t>
      </w:r>
      <w:proofErr w:type="spellEnd"/>
      <w:r>
        <w:rPr>
          <w:rFonts w:ascii="Book Antiqua" w:eastAsia="Book Antiqua" w:hAnsi="Book Antiqua" w:cs="Book Antiqua"/>
          <w:b/>
          <w:bCs/>
          <w:color w:val="000000"/>
        </w:rPr>
        <w:t xml:space="preserve">, MD, PhD, Assistant Professor, Doctor,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16 </w:t>
      </w:r>
      <w:proofErr w:type="spellStart"/>
      <w:r>
        <w:rPr>
          <w:rFonts w:ascii="Book Antiqua" w:eastAsia="Book Antiqua" w:hAnsi="Book Antiqua" w:cs="Book Antiqua"/>
          <w:color w:val="000000"/>
        </w:rPr>
        <w:t>Universitatii</w:t>
      </w:r>
      <w:proofErr w:type="spellEnd"/>
      <w:r>
        <w:rPr>
          <w:rFonts w:ascii="Book Antiqua" w:eastAsia="Book Antiqua" w:hAnsi="Book Antiqua" w:cs="Book Antiqua"/>
          <w:color w:val="000000"/>
        </w:rPr>
        <w:t xml:space="preserve"> Street, Iasi 700115, Iasi, Romania. cameliacojocariu@yahoo.com</w:t>
      </w:r>
    </w:p>
    <w:p w14:paraId="266A092E" w14:textId="77777777" w:rsidR="00A77B3E" w:rsidRDefault="00A77B3E">
      <w:pPr>
        <w:spacing w:line="360" w:lineRule="auto"/>
        <w:jc w:val="both"/>
      </w:pPr>
    </w:p>
    <w:p w14:paraId="4CEEFE28" w14:textId="77777777" w:rsidR="00A77B3E" w:rsidRDefault="007A61D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 2020</w:t>
      </w:r>
    </w:p>
    <w:p w14:paraId="07991336" w14:textId="77777777" w:rsidR="00A77B3E" w:rsidRDefault="007A61D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1682A775" w14:textId="68B99CE4" w:rsidR="00A77B3E" w:rsidRDefault="007A61DA">
      <w:pPr>
        <w:spacing w:line="360" w:lineRule="auto"/>
        <w:jc w:val="both"/>
      </w:pPr>
      <w:r>
        <w:rPr>
          <w:rFonts w:ascii="Book Antiqua" w:eastAsia="Book Antiqua" w:hAnsi="Book Antiqua" w:cs="Book Antiqua"/>
          <w:b/>
          <w:bCs/>
          <w:color w:val="000000"/>
        </w:rPr>
        <w:t xml:space="preserve">Accepted: </w:t>
      </w:r>
      <w:r w:rsidR="00990600" w:rsidRPr="00990600">
        <w:rPr>
          <w:rFonts w:ascii="Book Antiqua" w:eastAsia="Book Antiqua" w:hAnsi="Book Antiqua" w:cs="Book Antiqua"/>
          <w:color w:val="000000"/>
        </w:rPr>
        <w:t>December 16, 2020</w:t>
      </w:r>
    </w:p>
    <w:p w14:paraId="2D5EE6C2" w14:textId="77777777" w:rsidR="00A77B3E" w:rsidRDefault="007A61DA">
      <w:pPr>
        <w:spacing w:line="360" w:lineRule="auto"/>
        <w:jc w:val="both"/>
      </w:pPr>
      <w:r>
        <w:rPr>
          <w:rFonts w:ascii="Book Antiqua" w:eastAsia="Book Antiqua" w:hAnsi="Book Antiqua" w:cs="Book Antiqua"/>
          <w:b/>
          <w:bCs/>
          <w:color w:val="000000"/>
        </w:rPr>
        <w:t xml:space="preserve">Published online: </w:t>
      </w:r>
    </w:p>
    <w:p w14:paraId="2CC75D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750F946" w14:textId="77777777" w:rsidR="00A77B3E" w:rsidRDefault="007A61DA">
      <w:pPr>
        <w:spacing w:line="360" w:lineRule="auto"/>
        <w:jc w:val="both"/>
      </w:pPr>
      <w:r>
        <w:rPr>
          <w:rFonts w:ascii="Book Antiqua" w:eastAsia="Book Antiqua" w:hAnsi="Book Antiqua" w:cs="Book Antiqua"/>
          <w:b/>
          <w:color w:val="000000"/>
        </w:rPr>
        <w:lastRenderedPageBreak/>
        <w:t>Abstract</w:t>
      </w:r>
    </w:p>
    <w:p w14:paraId="7877E5E4" w14:textId="77777777" w:rsidR="00A77B3E" w:rsidRDefault="007A61DA">
      <w:pPr>
        <w:spacing w:line="360" w:lineRule="auto"/>
        <w:jc w:val="both"/>
      </w:pPr>
      <w:r>
        <w:rPr>
          <w:rFonts w:ascii="Book Antiqua" w:eastAsia="Book Antiqua" w:hAnsi="Book Antiqua" w:cs="Book Antiqua"/>
          <w:color w:val="000000"/>
        </w:rPr>
        <w:t>BACKGROUND</w:t>
      </w:r>
    </w:p>
    <w:p w14:paraId="2ABB5896" w14:textId="77777777" w:rsidR="00A77B3E" w:rsidRDefault="007A61DA">
      <w:pPr>
        <w:spacing w:line="360" w:lineRule="auto"/>
        <w:jc w:val="both"/>
      </w:pPr>
      <w:r>
        <w:rPr>
          <w:rFonts w:ascii="Book Antiqua" w:eastAsia="Book Antiqua" w:hAnsi="Book Antiqua" w:cs="Book Antiqua"/>
          <w:color w:val="000000"/>
        </w:rPr>
        <w:t xml:space="preserve">High venous ammonia (VA) values have been proven to be a part of the mechanism of hepatic encephalopathy in patient with liver cirrhosis (LC) as well as acute hepatitis. Moreover, VA has been associated with poor prognosis and high mortality in these clinical settings. However, the role of ammonia in acute-on-chronic liver failure (ACLF) has not yet been clearly established. </w:t>
      </w:r>
    </w:p>
    <w:p w14:paraId="70423699" w14:textId="77777777" w:rsidR="00A77B3E" w:rsidRDefault="00A77B3E">
      <w:pPr>
        <w:spacing w:line="360" w:lineRule="auto"/>
        <w:jc w:val="both"/>
      </w:pPr>
    </w:p>
    <w:p w14:paraId="3735900E" w14:textId="77777777" w:rsidR="00A77B3E" w:rsidRDefault="007A61DA">
      <w:pPr>
        <w:spacing w:line="360" w:lineRule="auto"/>
        <w:jc w:val="both"/>
      </w:pPr>
      <w:r>
        <w:rPr>
          <w:rFonts w:ascii="Book Antiqua" w:eastAsia="Book Antiqua" w:hAnsi="Book Antiqua" w:cs="Book Antiqua"/>
          <w:color w:val="000000"/>
        </w:rPr>
        <w:t>AIM</w:t>
      </w:r>
    </w:p>
    <w:p w14:paraId="1CE44852" w14:textId="77777777" w:rsidR="00A77B3E" w:rsidRDefault="007A61DA">
      <w:pPr>
        <w:spacing w:line="360" w:lineRule="auto"/>
        <w:jc w:val="both"/>
      </w:pPr>
      <w:r>
        <w:rPr>
          <w:rFonts w:ascii="Book Antiqua" w:eastAsia="Book Antiqua" w:hAnsi="Book Antiqua" w:cs="Book Antiqua"/>
          <w:color w:val="000000"/>
        </w:rPr>
        <w:t>To assess the role of VA in predicting the outcome of cirrhotic patients with ACLF in a tertiary care center.</w:t>
      </w:r>
    </w:p>
    <w:p w14:paraId="7CB74674" w14:textId="77777777" w:rsidR="00A77B3E" w:rsidRDefault="00A77B3E">
      <w:pPr>
        <w:spacing w:line="360" w:lineRule="auto"/>
        <w:jc w:val="both"/>
      </w:pPr>
    </w:p>
    <w:p w14:paraId="1E16DA16" w14:textId="77777777" w:rsidR="00A77B3E" w:rsidRDefault="007A61DA">
      <w:pPr>
        <w:spacing w:line="360" w:lineRule="auto"/>
        <w:jc w:val="both"/>
      </w:pPr>
      <w:r>
        <w:rPr>
          <w:rFonts w:ascii="Book Antiqua" w:eastAsia="Book Antiqua" w:hAnsi="Book Antiqua" w:cs="Book Antiqua"/>
          <w:color w:val="000000"/>
        </w:rPr>
        <w:t>METHODS</w:t>
      </w:r>
    </w:p>
    <w:p w14:paraId="6DB940E7" w14:textId="631D0DDE" w:rsidR="00A77B3E" w:rsidRDefault="007A61DA">
      <w:pPr>
        <w:spacing w:line="360" w:lineRule="auto"/>
        <w:jc w:val="both"/>
      </w:pPr>
      <w:r>
        <w:rPr>
          <w:rFonts w:ascii="Book Antiqua" w:eastAsia="Book Antiqua" w:hAnsi="Book Antiqua" w:cs="Book Antiqua"/>
          <w:color w:val="000000"/>
        </w:rPr>
        <w:t xml:space="preserve">We performed a retrospective observational study including consecutive patients with LC hospitalized for acute non-elective indications such as ascites, hepatic encephalopathy (HE), upper gastrointestinal bleeding, or bacterial infections that fulfilled the </w:t>
      </w:r>
      <w:r w:rsidR="00240E5D">
        <w:rPr>
          <w:rFonts w:ascii="Book Antiqua" w:eastAsia="Book Antiqua" w:hAnsi="Book Antiqua" w:cs="Book Antiqua"/>
          <w:color w:val="000000"/>
        </w:rPr>
        <w:t xml:space="preserve">Asian Pacific Association for the Study of the Liver </w:t>
      </w:r>
      <w:r w:rsidR="00534848">
        <w:rPr>
          <w:rFonts w:ascii="Book Antiqua" w:eastAsia="Book Antiqua" w:hAnsi="Book Antiqua" w:cs="Book Antiqua"/>
          <w:color w:val="000000"/>
        </w:rPr>
        <w:t>(</w:t>
      </w:r>
      <w:r>
        <w:rPr>
          <w:rFonts w:ascii="Book Antiqua" w:eastAsia="Book Antiqua" w:hAnsi="Book Antiqua" w:cs="Book Antiqua"/>
          <w:color w:val="000000"/>
        </w:rPr>
        <w:t>APASL</w:t>
      </w:r>
      <w:r w:rsidR="00534848">
        <w:rPr>
          <w:rFonts w:ascii="Book Antiqua" w:eastAsia="Book Antiqua" w:hAnsi="Book Antiqua" w:cs="Book Antiqua"/>
          <w:color w:val="000000"/>
        </w:rPr>
        <w:t>)</w:t>
      </w:r>
      <w:r>
        <w:rPr>
          <w:rFonts w:ascii="Book Antiqua" w:eastAsia="Book Antiqua" w:hAnsi="Book Antiqua" w:cs="Book Antiqua"/>
          <w:color w:val="000000"/>
        </w:rPr>
        <w:t xml:space="preserve"> criteria for ACLF. The study was conducted in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University Hospital, Iasi, Romania, a tertiary care center, between January 2017 and January 2019. The </w:t>
      </w:r>
      <w:r w:rsidR="00534848" w:rsidRPr="00534848">
        <w:rPr>
          <w:rFonts w:ascii="Book Antiqua" w:eastAsia="Book Antiqua" w:hAnsi="Book Antiqua" w:cs="Book Antiqua"/>
          <w:color w:val="000000"/>
        </w:rPr>
        <w:t xml:space="preserve">APASL ACLF Research Consortium </w:t>
      </w:r>
      <w:r w:rsidR="00534848">
        <w:rPr>
          <w:rFonts w:ascii="Book Antiqua" w:eastAsia="Book Antiqua" w:hAnsi="Book Antiqua" w:cs="Book Antiqua"/>
          <w:color w:val="000000"/>
        </w:rPr>
        <w:t>(</w:t>
      </w:r>
      <w:r>
        <w:rPr>
          <w:rFonts w:ascii="Book Antiqua" w:eastAsia="Book Antiqua" w:hAnsi="Book Antiqua" w:cs="Book Antiqua"/>
          <w:color w:val="000000"/>
        </w:rPr>
        <w:t>AARC</w:t>
      </w:r>
      <w:r w:rsidR="00534848">
        <w:rPr>
          <w:rFonts w:ascii="Book Antiqua" w:eastAsia="Book Antiqua" w:hAnsi="Book Antiqua" w:cs="Book Antiqua"/>
          <w:color w:val="000000"/>
        </w:rPr>
        <w:t>)</w:t>
      </w:r>
      <w:r>
        <w:rPr>
          <w:rFonts w:ascii="Book Antiqua" w:eastAsia="Book Antiqua" w:hAnsi="Book Antiqua" w:cs="Book Antiqua"/>
          <w:color w:val="000000"/>
        </w:rPr>
        <w:t xml:space="preserve"> score was calculated and ACLF grade was established accordingly. West-haven classification was used for HE. Statistical analysis was performed using IBM SPSS version 22.0.</w:t>
      </w:r>
    </w:p>
    <w:p w14:paraId="76FBBF9F" w14:textId="77777777" w:rsidR="00A77B3E" w:rsidRDefault="00A77B3E">
      <w:pPr>
        <w:spacing w:line="360" w:lineRule="auto"/>
        <w:jc w:val="both"/>
      </w:pPr>
    </w:p>
    <w:p w14:paraId="32F33192" w14:textId="77777777" w:rsidR="00A77B3E" w:rsidRDefault="007A61DA">
      <w:pPr>
        <w:spacing w:line="360" w:lineRule="auto"/>
        <w:jc w:val="both"/>
      </w:pPr>
      <w:r>
        <w:rPr>
          <w:rFonts w:ascii="Book Antiqua" w:eastAsia="Book Antiqua" w:hAnsi="Book Antiqua" w:cs="Book Antiqua"/>
          <w:color w:val="000000"/>
        </w:rPr>
        <w:t>RESULTS</w:t>
      </w:r>
    </w:p>
    <w:p w14:paraId="36C17CCA" w14:textId="5E6841C3" w:rsidR="00A77B3E" w:rsidRDefault="00534848">
      <w:pPr>
        <w:spacing w:line="360" w:lineRule="auto"/>
        <w:jc w:val="both"/>
      </w:pPr>
      <w:r w:rsidRPr="00534848">
        <w:rPr>
          <w:rFonts w:ascii="Book Antiqua" w:eastAsia="Book Antiqua" w:hAnsi="Book Antiqua" w:cs="Book Antiqua"/>
          <w:color w:val="000000"/>
        </w:rPr>
        <w:t>Four hundred</w:t>
      </w:r>
      <w:r w:rsidR="00240E5D">
        <w:rPr>
          <w:rFonts w:ascii="Book Antiqua" w:eastAsia="Book Antiqua" w:hAnsi="Book Antiqua" w:cs="Book Antiqua"/>
          <w:color w:val="000000"/>
        </w:rPr>
        <w:t xml:space="preserve"> and</w:t>
      </w:r>
      <w:r w:rsidRPr="00534848">
        <w:rPr>
          <w:rFonts w:ascii="Book Antiqua" w:eastAsia="Book Antiqua" w:hAnsi="Book Antiqua" w:cs="Book Antiqua"/>
          <w:color w:val="000000"/>
        </w:rPr>
        <w:t xml:space="preserve"> forty</w:t>
      </w:r>
      <w:r>
        <w:rPr>
          <w:rFonts w:ascii="Book Antiqua" w:eastAsia="Book Antiqua" w:hAnsi="Book Antiqua" w:cs="Book Antiqua"/>
          <w:color w:val="000000"/>
        </w:rPr>
        <w:t>-</w:t>
      </w:r>
      <w:r w:rsidRPr="00534848">
        <w:rPr>
          <w:rFonts w:ascii="Book Antiqua" w:eastAsia="Book Antiqua" w:hAnsi="Book Antiqua" w:cs="Book Antiqua"/>
          <w:color w:val="000000"/>
        </w:rPr>
        <w:t>six</w:t>
      </w:r>
      <w:r w:rsidR="007A61DA">
        <w:rPr>
          <w:rFonts w:ascii="Book Antiqua" w:eastAsia="Book Antiqua" w:hAnsi="Book Antiqua" w:cs="Book Antiqua"/>
          <w:color w:val="000000"/>
        </w:rPr>
        <w:t xml:space="preserve"> patients were included, aged 59 (50-65) years, 57.4% men. Child-Pugh, </w:t>
      </w:r>
      <w:bookmarkStart w:id="0" w:name="_Hlk58510979"/>
      <w:r w:rsidRPr="00534848">
        <w:rPr>
          <w:rFonts w:ascii="Book Antiqua" w:eastAsia="Book Antiqua" w:hAnsi="Book Antiqua" w:cs="Book Antiqua"/>
          <w:color w:val="000000"/>
        </w:rPr>
        <w:t>model for end-stage liver disease</w:t>
      </w:r>
      <w:bookmarkEnd w:id="0"/>
      <w:r w:rsidR="005A30BF">
        <w:rPr>
          <w:rFonts w:ascii="Book Antiqua" w:eastAsia="Book Antiqua" w:hAnsi="Book Antiqua" w:cs="Book Antiqua"/>
          <w:color w:val="000000"/>
        </w:rPr>
        <w:t xml:space="preserve"> </w:t>
      </w:r>
      <w:r>
        <w:rPr>
          <w:rFonts w:ascii="Book Antiqua" w:eastAsia="Book Antiqua" w:hAnsi="Book Antiqua" w:cs="Book Antiqua"/>
          <w:color w:val="000000"/>
        </w:rPr>
        <w:t>(</w:t>
      </w:r>
      <w:r w:rsidR="007A61DA">
        <w:rPr>
          <w:rFonts w:ascii="Book Antiqua" w:eastAsia="Book Antiqua" w:hAnsi="Book Antiqua" w:cs="Book Antiqua"/>
          <w:color w:val="000000"/>
        </w:rPr>
        <w:t>MELD</w:t>
      </w:r>
      <w:r>
        <w:rPr>
          <w:rFonts w:ascii="Book Antiqua" w:eastAsia="Book Antiqua" w:hAnsi="Book Antiqua" w:cs="Book Antiqua"/>
          <w:color w:val="000000"/>
        </w:rPr>
        <w:t>)</w:t>
      </w:r>
      <w:r w:rsidR="007A61DA">
        <w:rPr>
          <w:rFonts w:ascii="Book Antiqua" w:eastAsia="Book Antiqua" w:hAnsi="Book Antiqua" w:cs="Book Antiqua"/>
          <w:color w:val="000000"/>
        </w:rPr>
        <w:t xml:space="preserve"> and AARC scores were 11 (10-12), 19.13 ± 6.79, and 7 (6-8), respectively. 66.4% had ACLF grade I, 31.2% ACLF grade II, and 2.5% ACLF grade III. HE was diagnosed in 83.9%, 34% grade I, 37.2% grade II, 23.5% grade III, and 5.3% grade IV. Overall mortality was 7.8%. VA was 103 (78-148)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 xml:space="preserve">/L. </w:t>
      </w:r>
      <w:r>
        <w:rPr>
          <w:rFonts w:ascii="Book Antiqua" w:eastAsia="Book Antiqua" w:hAnsi="Book Antiqua" w:cs="Book Antiqua"/>
          <w:color w:val="000000"/>
        </w:rPr>
        <w:lastRenderedPageBreak/>
        <w:t>Receiver operating characteristic</w:t>
      </w:r>
      <w:r w:rsidR="007A61DA">
        <w:rPr>
          <w:rFonts w:ascii="Book Antiqua" w:eastAsia="Book Antiqua" w:hAnsi="Book Antiqua" w:cs="Book Antiqua"/>
          <w:color w:val="000000"/>
        </w:rPr>
        <w:t xml:space="preserve"> analysis showed good accuracy for the prediction of in-hospital mortality for the AARC score </w:t>
      </w:r>
      <w:r>
        <w:rPr>
          <w:rFonts w:ascii="Book Antiqua" w:eastAsia="Book Antiqua" w:hAnsi="Book Antiqua" w:cs="Book Antiqua"/>
          <w:color w:val="000000"/>
        </w:rPr>
        <w:t>[</w:t>
      </w:r>
      <w:r w:rsidRPr="00534848">
        <w:rPr>
          <w:rFonts w:ascii="Book Antiqua" w:eastAsia="Book Antiqua" w:hAnsi="Book Antiqua" w:cs="Book Antiqua"/>
          <w:color w:val="000000"/>
        </w:rPr>
        <w:t xml:space="preserve">Area under </w:t>
      </w:r>
      <w:r>
        <w:rPr>
          <w:rFonts w:ascii="Book Antiqua" w:eastAsia="Book Antiqua" w:hAnsi="Book Antiqua" w:cs="Book Antiqua"/>
          <w:color w:val="000000"/>
        </w:rPr>
        <w:t xml:space="preserve">the </w:t>
      </w:r>
      <w:r w:rsidRPr="00534848">
        <w:rPr>
          <w:rFonts w:ascii="Book Antiqua" w:eastAsia="Book Antiqua" w:hAnsi="Book Antiqua" w:cs="Book Antiqua"/>
          <w:color w:val="000000"/>
        </w:rPr>
        <w:t xml:space="preserve">curve </w:t>
      </w:r>
      <w:r w:rsidR="007A61DA">
        <w:rPr>
          <w:rFonts w:ascii="Book Antiqua" w:eastAsia="Book Antiqua" w:hAnsi="Book Antiqua" w:cs="Book Antiqua"/>
          <w:color w:val="000000"/>
        </w:rPr>
        <w:t>(AUC</w:t>
      </w:r>
      <w:r>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0.886</w:t>
      </w:r>
      <w:r>
        <w:rPr>
          <w:rFonts w:ascii="Book Antiqua" w:eastAsia="Book Antiqua" w:hAnsi="Book Antiqua" w:cs="Book Antiqua"/>
          <w:color w:val="000000"/>
        </w:rPr>
        <w:t xml:space="preserve">], </w:t>
      </w:r>
      <w:r w:rsidR="007A61DA">
        <w:rPr>
          <w:rFonts w:ascii="Book Antiqua" w:eastAsia="Book Antiqua" w:hAnsi="Book Antiqua" w:cs="Book Antiqua"/>
          <w:color w:val="000000"/>
        </w:rPr>
        <w:t>MELD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0.816), VA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0.812) and a fair accuracy for the Child-Pugh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 xml:space="preserve">0.799). Subsequently, a cut-off value for the prediction of mortality was identified for VA (152.5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/L, sensitivity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 xml:space="preserve">0.190). Univariate analysis found acute kidney injury, severe HE (grade III or IV), VA ≥ 152.5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 xml:space="preserve">/L, MELD score ≥ 22.5, Child-Pugh score ≥ 12.5, and AARC score ≥ 8.5 to be associated with in-hospital mortality. Multivariate analysis identified AARC score ≥ 8.5 and venous ammonia ≥ 152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/L to be independent predictors of in-hospital mortality.</w:t>
      </w:r>
    </w:p>
    <w:p w14:paraId="37DD278D" w14:textId="77777777" w:rsidR="00A77B3E" w:rsidRDefault="00A77B3E">
      <w:pPr>
        <w:spacing w:line="360" w:lineRule="auto"/>
        <w:jc w:val="both"/>
      </w:pPr>
    </w:p>
    <w:p w14:paraId="3A4321B7" w14:textId="77777777" w:rsidR="00A77B3E" w:rsidRDefault="007A61DA">
      <w:pPr>
        <w:spacing w:line="360" w:lineRule="auto"/>
        <w:jc w:val="both"/>
      </w:pPr>
      <w:r>
        <w:rPr>
          <w:rFonts w:ascii="Book Antiqua" w:eastAsia="Book Antiqua" w:hAnsi="Book Antiqua" w:cs="Book Antiqua"/>
          <w:color w:val="000000"/>
        </w:rPr>
        <w:t>CONCLUSION</w:t>
      </w:r>
    </w:p>
    <w:p w14:paraId="3C714CFC" w14:textId="50E1E1A3" w:rsidR="00A77B3E" w:rsidRDefault="007A61DA">
      <w:pPr>
        <w:spacing w:line="360" w:lineRule="auto"/>
        <w:jc w:val="both"/>
      </w:pPr>
      <w:r>
        <w:rPr>
          <w:rFonts w:ascii="Book Antiqua" w:eastAsia="Book Antiqua" w:hAnsi="Book Antiqua" w:cs="Book Antiqua"/>
          <w:color w:val="000000"/>
        </w:rPr>
        <w:t>VA could be used as an inexpensive predictor of in-hospital mortality in patients with ACLF. Patients with both ACLF and VA</w:t>
      </w:r>
      <w:r w:rsidR="00A963D0">
        <w:rPr>
          <w:rFonts w:ascii="Book Antiqua" w:eastAsia="Book Antiqua" w:hAnsi="Book Antiqua" w:cs="Book Antiqua"/>
          <w:color w:val="000000"/>
        </w:rPr>
        <w:t xml:space="preserve"> </w:t>
      </w:r>
      <w:r>
        <w:rPr>
          <w:rFonts w:ascii="Book Antiqua" w:eastAsia="Book Antiqua" w:hAnsi="Book Antiqua" w:cs="Book Antiqua"/>
          <w:color w:val="000000"/>
        </w:rPr>
        <w:t>&gt;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152.5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have a high risk for a poor outcome.</w:t>
      </w:r>
    </w:p>
    <w:p w14:paraId="61A341C7" w14:textId="77777777" w:rsidR="00A77B3E" w:rsidRDefault="00A77B3E">
      <w:pPr>
        <w:spacing w:line="360" w:lineRule="auto"/>
        <w:jc w:val="both"/>
      </w:pPr>
    </w:p>
    <w:p w14:paraId="4F1F4E27" w14:textId="77777777" w:rsidR="00A77B3E" w:rsidRDefault="007A61D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Venous ammonia; Hepatic encephalopathy; Acute-on-chronic liver failure; </w:t>
      </w:r>
      <w:r w:rsidR="00240E5D">
        <w:rPr>
          <w:rFonts w:ascii="Book Antiqua" w:eastAsia="Book Antiqua" w:hAnsi="Book Antiqua" w:cs="Book Antiqua"/>
          <w:color w:val="000000"/>
        </w:rPr>
        <w:t>Asian Pacific Association for the Study of the Liver</w:t>
      </w:r>
      <w:r w:rsidR="005A30BF">
        <w:rPr>
          <w:rFonts w:ascii="Book Antiqua" w:eastAsia="Book Antiqua" w:hAnsi="Book Antiqua" w:cs="Book Antiqua"/>
          <w:color w:val="000000"/>
        </w:rPr>
        <w:t xml:space="preserve"> </w:t>
      </w:r>
      <w:r w:rsidR="00534848">
        <w:rPr>
          <w:rFonts w:ascii="Book Antiqua" w:eastAsia="Book Antiqua" w:hAnsi="Book Antiqua" w:cs="Book Antiqua"/>
          <w:color w:val="000000"/>
        </w:rPr>
        <w:t>Acute-on-chronic Liver Failure</w:t>
      </w:r>
      <w:r w:rsidR="00534848" w:rsidRPr="00534848">
        <w:rPr>
          <w:rFonts w:ascii="Book Antiqua" w:eastAsia="Book Antiqua" w:hAnsi="Book Antiqua" w:cs="Book Antiqua"/>
          <w:color w:val="000000"/>
        </w:rPr>
        <w:t xml:space="preserve"> Research Consortium</w:t>
      </w:r>
      <w:r>
        <w:rPr>
          <w:rFonts w:ascii="Book Antiqua" w:eastAsia="Book Antiqua" w:hAnsi="Book Antiqua" w:cs="Book Antiqua"/>
          <w:color w:val="000000"/>
        </w:rPr>
        <w:t xml:space="preserve"> score; Cirrhosis; Mortality</w:t>
      </w:r>
    </w:p>
    <w:p w14:paraId="7F06065B" w14:textId="77777777" w:rsidR="00A77B3E" w:rsidRDefault="00A77B3E">
      <w:pPr>
        <w:spacing w:line="360" w:lineRule="auto"/>
        <w:jc w:val="both"/>
      </w:pPr>
    </w:p>
    <w:p w14:paraId="252EC93F" w14:textId="77777777" w:rsidR="00A77B3E" w:rsidRDefault="007A61DA">
      <w:pPr>
        <w:spacing w:line="360" w:lineRule="auto"/>
        <w:jc w:val="both"/>
      </w:pP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Igna</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w:t>
      </w:r>
      <w:r w:rsidR="00B000FC">
        <w:rPr>
          <w:rFonts w:ascii="Book Antiqua" w:eastAsia="Book Antiqua" w:hAnsi="Book Antiqua" w:cs="Book Antiqua"/>
          <w:color w:val="000000"/>
        </w:rPr>
        <w:t>R</w:t>
      </w:r>
      <w:r>
        <w:rPr>
          <w:rFonts w:ascii="Book Antiqua" w:eastAsia="Book Antiqua" w:hAnsi="Book Antiqua" w:cs="Book Antiqua"/>
          <w:color w:val="000000"/>
        </w:rPr>
        <w:t xml:space="preserve">ole of ammonia in predicting the outcome of patients with acute-on-chronic liver failure.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EEB36DA" w14:textId="77777777" w:rsidR="00A77B3E" w:rsidRDefault="00A77B3E">
      <w:pPr>
        <w:spacing w:line="360" w:lineRule="auto"/>
        <w:jc w:val="both"/>
      </w:pPr>
    </w:p>
    <w:p w14:paraId="70A40F2D" w14:textId="1FFE5500" w:rsidR="00A77B3E" w:rsidRDefault="007A61D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Hyperammonemia has been associated with hepatic encephalopathy and high mortality in patients with liver cirrhosis. Acute-on-chronic liver failure is a relatively new defined syndrome presenting high 28-d mortality. The role of hyperammonemia in acute-on-chronic liver failure has not yet been clearly established. Venous ammonia presents a good predictive value for in-hospital mortality in patients with </w:t>
      </w:r>
      <w:r w:rsidR="00534848">
        <w:rPr>
          <w:rFonts w:ascii="Book Antiqua" w:eastAsia="Book Antiqua" w:hAnsi="Book Antiqua" w:cs="Book Antiqua"/>
          <w:color w:val="000000"/>
        </w:rPr>
        <w:t>acute-on-chronic liver failure (</w:t>
      </w:r>
      <w:r>
        <w:rPr>
          <w:rFonts w:ascii="Book Antiqua" w:eastAsia="Book Antiqua" w:hAnsi="Book Antiqua" w:cs="Book Antiqua"/>
          <w:color w:val="000000"/>
        </w:rPr>
        <w:t>ACLF</w:t>
      </w:r>
      <w:r w:rsidR="00534848">
        <w:rPr>
          <w:rFonts w:ascii="Book Antiqua" w:eastAsia="Book Antiqua" w:hAnsi="Book Antiqua" w:cs="Book Antiqua"/>
          <w:color w:val="000000"/>
        </w:rPr>
        <w:t>)</w:t>
      </w:r>
      <w:r>
        <w:rPr>
          <w:rFonts w:ascii="Book Antiqua" w:eastAsia="Book Antiqua" w:hAnsi="Book Antiqua" w:cs="Book Antiqua"/>
          <w:color w:val="000000"/>
        </w:rPr>
        <w:t xml:space="preserve">, with a cut-off value of 152.5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t>
      </w:r>
      <w:r>
        <w:rPr>
          <w:rFonts w:ascii="Book Antiqua" w:eastAsia="Book Antiqua" w:hAnsi="Book Antiqua" w:cs="Book Antiqua"/>
          <w:color w:val="000000"/>
        </w:rPr>
        <w:lastRenderedPageBreak/>
        <w:t>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0.190 and is associated with severe </w:t>
      </w:r>
      <w:r w:rsidR="00534848">
        <w:rPr>
          <w:rFonts w:ascii="Book Antiqua" w:eastAsia="Book Antiqua" w:hAnsi="Book Antiqua" w:cs="Book Antiqua"/>
          <w:color w:val="000000"/>
        </w:rPr>
        <w:t>hepatic encephalopathy</w:t>
      </w:r>
      <w:r>
        <w:rPr>
          <w:rFonts w:ascii="Book Antiqua" w:eastAsia="Book Antiqua" w:hAnsi="Book Antiqua" w:cs="Book Antiqua"/>
          <w:color w:val="000000"/>
        </w:rPr>
        <w:t xml:space="preserve"> in patients with ACLF. Thus, venous ammonia has the potential to be used as a prognostic marker in the evaluation of patients with ACLF.</w:t>
      </w:r>
    </w:p>
    <w:p w14:paraId="60E72436" w14:textId="77777777" w:rsidR="00A77B3E" w:rsidRDefault="00534848">
      <w:pPr>
        <w:spacing w:line="360" w:lineRule="auto"/>
        <w:jc w:val="both"/>
      </w:pPr>
      <w:r>
        <w:br w:type="page"/>
      </w:r>
      <w:r w:rsidR="007A61DA">
        <w:rPr>
          <w:rFonts w:ascii="Book Antiqua" w:eastAsia="Book Antiqua" w:hAnsi="Book Antiqua" w:cs="Book Antiqua"/>
          <w:b/>
          <w:caps/>
          <w:color w:val="000000"/>
          <w:u w:val="single"/>
        </w:rPr>
        <w:lastRenderedPageBreak/>
        <w:t>INTRODUCTION</w:t>
      </w:r>
    </w:p>
    <w:p w14:paraId="1E6516FE" w14:textId="23187775" w:rsidR="00A77B3E" w:rsidRDefault="007A61DA">
      <w:pPr>
        <w:spacing w:line="360" w:lineRule="auto"/>
        <w:jc w:val="both"/>
      </w:pPr>
      <w:r>
        <w:rPr>
          <w:rFonts w:ascii="Book Antiqua" w:eastAsia="Book Antiqua" w:hAnsi="Book Antiqua" w:cs="Book Antiqua"/>
          <w:color w:val="000000"/>
        </w:rPr>
        <w:t>Hyperammonemia has been traditionally associated with hepatic encephalopathy (HE) and with liver cirrhosis (LC)</w:t>
      </w:r>
      <w:r w:rsidR="00BD555E">
        <w:rPr>
          <w:rFonts w:ascii="Book Antiqua" w:eastAsia="Book Antiqua" w:hAnsi="Book Antiqua" w:cs="Book Antiqua"/>
          <w:color w:val="000000"/>
        </w:rPr>
        <w:t xml:space="preserve">. Hyperammonemia has </w:t>
      </w:r>
      <w:proofErr w:type="spellStart"/>
      <w:r w:rsidR="00BD555E">
        <w:rPr>
          <w:rFonts w:ascii="Book Antiqua" w:eastAsia="Book Antiqua" w:hAnsi="Book Antiqua" w:cs="Book Antiqua"/>
          <w:color w:val="000000"/>
        </w:rPr>
        <w:t>occured</w:t>
      </w:r>
      <w:proofErr w:type="spellEnd"/>
      <w:r>
        <w:rPr>
          <w:rFonts w:ascii="Book Antiqua" w:eastAsia="Book Antiqua" w:hAnsi="Book Antiqua" w:cs="Book Antiqua"/>
          <w:color w:val="000000"/>
        </w:rPr>
        <w:t xml:space="preserve"> as a consequence of the reduction in the detoxification capabilities of the liver in the setting of liver failure as well as with increased intestinal production of </w:t>
      </w:r>
      <w:proofErr w:type="gramStart"/>
      <w:r>
        <w:rPr>
          <w:rFonts w:ascii="Book Antiqua" w:eastAsia="Book Antiqua" w:hAnsi="Book Antiqua" w:cs="Book Antiqua"/>
          <w:color w:val="000000"/>
        </w:rPr>
        <w:t>ammonia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However, several other conditions that determine an imbalance between the production and the clearance of ammonia such as infections with urease-producing bacteria, high-protein diet, malignancy, sarcopenia, renal failure, gastrointestinal (GI) bleeding, gastric bypass, and organ transplantation can also determine high ammonia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sometimes lead to non-cirrhotic encephalopathy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272FCCEA" w14:textId="1658FAE3" w:rsidR="00A77B3E" w:rsidRDefault="007A61DA" w:rsidP="00534848">
      <w:pPr>
        <w:spacing w:line="360" w:lineRule="auto"/>
        <w:ind w:firstLineChars="100" w:firstLine="240"/>
        <w:jc w:val="both"/>
      </w:pPr>
      <w:r>
        <w:rPr>
          <w:rFonts w:ascii="Book Antiqua" w:eastAsia="Book Antiqua" w:hAnsi="Book Antiqua" w:cs="Book Antiqua"/>
          <w:color w:val="000000"/>
        </w:rPr>
        <w:t xml:space="preserve">Both LC and acute liver failure are known factors for hyperammonemia, but the relation between hyperammonemia and HE is still being debated. Acute-on-chronic liver failure (ACLF) is a relatively recently recognized syndrome that is different from LC and </w:t>
      </w:r>
      <w:r w:rsidR="00240E5D">
        <w:rPr>
          <w:rFonts w:ascii="Book Antiqua" w:eastAsia="Book Antiqua" w:hAnsi="Book Antiqua" w:cs="Book Antiqua"/>
          <w:color w:val="000000"/>
        </w:rPr>
        <w:t>acute liver failure</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in terms of outcome. Several international societies and consortia have attempted to characterize this syndrome however, a universally accepted definition has not yet been found. The latest definition was enunciated by The Asian Pacific Association for the Study of the Liver (APASL), defining ACLF as jaundice and coagulopathy complicated within </w:t>
      </w:r>
      <w:r w:rsidR="00A963D0">
        <w:rPr>
          <w:rFonts w:ascii="Book Antiqua" w:eastAsia="Book Antiqua" w:hAnsi="Book Antiqua" w:cs="Book Antiqua"/>
          <w:color w:val="000000"/>
        </w:rPr>
        <w:t>four</w:t>
      </w:r>
      <w:r>
        <w:rPr>
          <w:rFonts w:ascii="Book Antiqua" w:eastAsia="Book Antiqua" w:hAnsi="Book Antiqua" w:cs="Book Antiqua"/>
          <w:color w:val="000000"/>
        </w:rPr>
        <w:t xml:space="preserve"> w</w:t>
      </w:r>
      <w:r w:rsidR="00B86A3A">
        <w:rPr>
          <w:rFonts w:ascii="Book Antiqua" w:eastAsia="Book Antiqua" w:hAnsi="Book Antiqua" w:cs="Book Antiqua"/>
          <w:color w:val="000000"/>
        </w:rPr>
        <w:t>ee</w:t>
      </w:r>
      <w:r>
        <w:rPr>
          <w:rFonts w:ascii="Book Antiqua" w:eastAsia="Book Antiqua" w:hAnsi="Book Antiqua" w:cs="Book Antiqua"/>
          <w:color w:val="000000"/>
        </w:rPr>
        <w:t>k</w:t>
      </w:r>
      <w:r w:rsidR="00B86A3A">
        <w:rPr>
          <w:rFonts w:ascii="Book Antiqua" w:eastAsia="Book Antiqua" w:hAnsi="Book Antiqua" w:cs="Book Antiqua"/>
          <w:color w:val="000000"/>
        </w:rPr>
        <w:t>s</w:t>
      </w:r>
      <w:r>
        <w:rPr>
          <w:rFonts w:ascii="Book Antiqua" w:eastAsia="Book Antiqua" w:hAnsi="Book Antiqua" w:cs="Book Antiqua"/>
          <w:color w:val="000000"/>
        </w:rPr>
        <w:t xml:space="preserve"> by clinical ascites and/or encephalopathy in a patient with </w:t>
      </w:r>
      <w:r w:rsidR="005C62E9">
        <w:rPr>
          <w:rFonts w:ascii="Book Antiqua" w:eastAsia="Book Antiqua" w:hAnsi="Book Antiqua" w:cs="Book Antiqua"/>
          <w:color w:val="000000"/>
        </w:rPr>
        <w:t xml:space="preserve">a </w:t>
      </w:r>
      <w:r>
        <w:rPr>
          <w:rFonts w:ascii="Book Antiqua" w:eastAsia="Book Antiqua" w:hAnsi="Book Antiqua" w:cs="Book Antiqua"/>
          <w:color w:val="000000"/>
        </w:rPr>
        <w:t xml:space="preserve">previously diagnosed or undiagnosed chronic liver disease/cirrhosis, associated with a high 28-d mortality, following an acute hepatic </w:t>
      </w:r>
      <w:proofErr w:type="gramStart"/>
      <w:r>
        <w:rPr>
          <w:rFonts w:ascii="Book Antiqua" w:eastAsia="Book Antiqua" w:hAnsi="Book Antiqua" w:cs="Book Antiqua"/>
          <w:color w:val="000000"/>
        </w:rPr>
        <w:t>insult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conditions associated with ACLF vary from hepatitis B reactivation, super infection with hepatitis E, bacterial fungal or parasitic infections, drug-induced liver injury, alcohol abuse, autoimmune hepatitis flare, acute variceal bleeding, and also relative adrenal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6FD50126"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Although ammonia is widely recognized as the main factor involved in the pathogenesis of HE, the association with the severity of HE is much clearer in acute liver failure than </w:t>
      </w:r>
      <w:r w:rsidR="00B86A3A">
        <w:rPr>
          <w:rFonts w:ascii="Book Antiqua" w:eastAsia="Book Antiqua" w:hAnsi="Book Antiqua" w:cs="Book Antiqua"/>
          <w:color w:val="000000"/>
        </w:rPr>
        <w:t xml:space="preserve">in </w:t>
      </w:r>
      <w:r>
        <w:rPr>
          <w:rFonts w:ascii="Book Antiqua" w:eastAsia="Book Antiqua" w:hAnsi="Book Antiqua" w:cs="Book Antiqua"/>
          <w:color w:val="000000"/>
        </w:rPr>
        <w:t xml:space="preserve">chronic liver disease, suggesting that in the latter there might be other factors involved, such as systemic inflammation that could lower the threshold for neurological impairment caused by </w:t>
      </w:r>
      <w:proofErr w:type="gramStart"/>
      <w:r>
        <w:rPr>
          <w:rFonts w:ascii="Book Antiqua" w:eastAsia="Book Antiqua" w:hAnsi="Book Antiqua" w:cs="Book Antiqua"/>
          <w:color w:val="000000"/>
        </w:rPr>
        <w:t>ammonia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Patients with acute liver failure and </w:t>
      </w:r>
      <w:r>
        <w:rPr>
          <w:rFonts w:ascii="Book Antiqua" w:eastAsia="Book Antiqua" w:hAnsi="Book Antiqua" w:cs="Book Antiqua"/>
          <w:color w:val="000000"/>
        </w:rPr>
        <w:lastRenderedPageBreak/>
        <w:t xml:space="preserve">high ammonia levels may experience cerebral edema, followed by subsequent herniation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Although cerebral edema has been traditionally associated with acute liver failure, several studies also reported cerebral edema in patients with </w:t>
      </w:r>
      <w:proofErr w:type="gramStart"/>
      <w:r>
        <w:rPr>
          <w:rFonts w:ascii="Book Antiqua" w:eastAsia="Book Antiqua" w:hAnsi="Book Antiqua" w:cs="Book Antiqua"/>
          <w:color w:val="000000"/>
        </w:rPr>
        <w:t>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as well as in some cases of ACLF</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High serum ammonia levels are found in patients with chronic liver disease as well as in patients with ACLF, with higher levels being reported in the latter </w:t>
      </w:r>
      <w:proofErr w:type="gramStart"/>
      <w:r>
        <w:rPr>
          <w:rFonts w:ascii="Book Antiqua" w:eastAsia="Book Antiqua" w:hAnsi="Book Antiqua" w:cs="Book Antiqua"/>
          <w:color w:val="000000"/>
        </w:rPr>
        <w:t>category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the relation between high ammonia levels and HE in patients with ACLF has not been adequately described. Although there is data indicating hyperammonemia as a potential mechanism for HE from experimental ACLF models, there are only a few studies to demonstrate this relation in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Moreover, there is still conflicting data concerning the risk of in-hospital death for patients with ACLF and high ammonia levels. While several studies found that hyperammonemia was associated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others did not show worse prognosis in the cases with peak ammonia levels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Moreover, ammonia levels are not currently influencing the clinical management of the patients with HE, and further evidence is needed to demonstrate this biomarker’s utility in predicting the mortality of patients with advanced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99A0E55"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This study aimed to assess the prognostic value of ammonia in patients with ACLF in terms of in-hospital mortality.</w:t>
      </w:r>
    </w:p>
    <w:p w14:paraId="0624B2B7" w14:textId="77777777" w:rsidR="00A77B3E" w:rsidRDefault="00A77B3E" w:rsidP="00240E5D">
      <w:pPr>
        <w:spacing w:line="360" w:lineRule="auto"/>
        <w:jc w:val="both"/>
      </w:pPr>
    </w:p>
    <w:p w14:paraId="48E8D62B" w14:textId="77777777" w:rsidR="00A77B3E" w:rsidRDefault="007A61DA">
      <w:pPr>
        <w:spacing w:line="360" w:lineRule="auto"/>
        <w:jc w:val="both"/>
      </w:pPr>
      <w:r>
        <w:rPr>
          <w:rFonts w:ascii="Book Antiqua" w:eastAsia="Book Antiqua" w:hAnsi="Book Antiqua" w:cs="Book Antiqua"/>
          <w:b/>
          <w:caps/>
          <w:color w:val="000000"/>
          <w:u w:val="single"/>
        </w:rPr>
        <w:t>MATERIALS AND METHODS</w:t>
      </w:r>
    </w:p>
    <w:p w14:paraId="276D1899" w14:textId="77777777" w:rsidR="00A77B3E" w:rsidRDefault="007A61DA">
      <w:pPr>
        <w:spacing w:line="360" w:lineRule="auto"/>
        <w:jc w:val="both"/>
      </w:pPr>
      <w:r>
        <w:rPr>
          <w:rFonts w:ascii="Book Antiqua" w:eastAsia="Book Antiqua" w:hAnsi="Book Antiqua" w:cs="Book Antiqua"/>
          <w:b/>
          <w:bCs/>
          <w:i/>
          <w:iCs/>
          <w:color w:val="000000"/>
        </w:rPr>
        <w:t>Study design</w:t>
      </w:r>
    </w:p>
    <w:p w14:paraId="1F556B6B" w14:textId="77777777" w:rsidR="00A77B3E" w:rsidRDefault="007A61DA">
      <w:pPr>
        <w:spacing w:line="360" w:lineRule="auto"/>
        <w:jc w:val="both"/>
      </w:pPr>
      <w:r>
        <w:rPr>
          <w:rFonts w:ascii="Book Antiqua" w:eastAsia="Book Antiqua" w:hAnsi="Book Antiqua" w:cs="Book Antiqua"/>
          <w:color w:val="000000"/>
        </w:rPr>
        <w:t xml:space="preserve">We conducted a retrospective study on patients hospitalized in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University Hospital, Iasi, Romania between January 2017 and January 2019. We included consecutive cirrhotic patients admitted for non-elective indications such as ascites, HE, upper GI bleeding, or bacterial infections that fulfilled the APASL diagnostic criteria of ACLF. Patients diagnosed with non-hepatic malignancy, human immunodeficiency virus infection, hematological disease as well as pregnant women were excluded from the study. LC was diagnosed based on clinical criteria, laboratory </w:t>
      </w:r>
      <w:r>
        <w:rPr>
          <w:rFonts w:ascii="Book Antiqua" w:eastAsia="Book Antiqua" w:hAnsi="Book Antiqua" w:cs="Book Antiqua"/>
          <w:color w:val="000000"/>
        </w:rPr>
        <w:lastRenderedPageBreak/>
        <w:t>tests, typical imagistic findings, and upper digestive endoscopy consistent with portal hypertension. The end-point of the study was considered in-hospital death.</w:t>
      </w:r>
    </w:p>
    <w:p w14:paraId="2B06A670" w14:textId="6E9DA344"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Patient electronic records were analyzed and information regarding sex, demographics, etiology of liver disease, duration of hospitalization and the in-hospital death rates </w:t>
      </w:r>
      <w:r w:rsidR="005C62E9">
        <w:rPr>
          <w:rFonts w:ascii="Book Antiqua" w:eastAsia="Book Antiqua" w:hAnsi="Book Antiqua" w:cs="Book Antiqua"/>
          <w:color w:val="000000"/>
        </w:rPr>
        <w:t xml:space="preserve">was </w:t>
      </w:r>
      <w:r>
        <w:rPr>
          <w:rFonts w:ascii="Book Antiqua" w:eastAsia="Book Antiqua" w:hAnsi="Book Antiqua" w:cs="Book Antiqua"/>
          <w:color w:val="000000"/>
        </w:rPr>
        <w:t>recorded. The abdominal ultrasound and upper digestive endoscopy results were obtained. Laboratory tests from fasting venous blood taken at admission were noted. Complete blood count, serum transaminase levels, total serum bilirubin, albumin, creatinine, international normalized ratio (INR), lactate, C-reactive protein (CRP), sodium, and ammonia levels were retrieved.</w:t>
      </w:r>
    </w:p>
    <w:p w14:paraId="392BE3DD"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The study protocol conforms to the ethical guidelines of the 1975 Declaration of Helsinki and was approved by the Ethics Committee of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of Iasi. There was no requirement for the informed written consent because of the retrospective nature of the study; all of the patients signed an informed consent upon hospitalization agreeing to receive treatment.</w:t>
      </w:r>
    </w:p>
    <w:p w14:paraId="63D17292" w14:textId="77777777" w:rsidR="00A77B3E" w:rsidRDefault="00A77B3E" w:rsidP="00240E5D">
      <w:pPr>
        <w:spacing w:line="360" w:lineRule="auto"/>
        <w:jc w:val="both"/>
      </w:pPr>
    </w:p>
    <w:p w14:paraId="75252A58" w14:textId="77777777" w:rsidR="00A77B3E" w:rsidRDefault="007A61DA">
      <w:pPr>
        <w:spacing w:line="360" w:lineRule="auto"/>
        <w:jc w:val="both"/>
      </w:pPr>
      <w:r>
        <w:rPr>
          <w:rFonts w:ascii="Book Antiqua" w:eastAsia="Book Antiqua" w:hAnsi="Book Antiqua" w:cs="Book Antiqua"/>
          <w:b/>
          <w:bCs/>
          <w:i/>
          <w:iCs/>
          <w:color w:val="000000"/>
        </w:rPr>
        <w:t>Definitions</w:t>
      </w:r>
    </w:p>
    <w:p w14:paraId="2DD673F9" w14:textId="37239724" w:rsidR="00A77B3E" w:rsidRDefault="007A61DA">
      <w:pPr>
        <w:spacing w:line="360" w:lineRule="auto"/>
        <w:jc w:val="both"/>
      </w:pPr>
      <w:r>
        <w:rPr>
          <w:rFonts w:ascii="Book Antiqua" w:eastAsia="Book Antiqua" w:hAnsi="Book Antiqua" w:cs="Book Antiqua"/>
          <w:color w:val="000000"/>
        </w:rPr>
        <w:t>ACLF was defined according to APASL criteria. APASL ACLF Research Consortium (AARC) score was calculated using the online calculator available at http://www.aclf.in/ and ACLF grade was established accordingly. APASL definition for ACLF was chose</w:t>
      </w:r>
      <w:r w:rsidR="005C62E9">
        <w:rPr>
          <w:rFonts w:ascii="Book Antiqua" w:eastAsia="Book Antiqua" w:hAnsi="Book Antiqua" w:cs="Book Antiqua"/>
          <w:color w:val="000000"/>
        </w:rPr>
        <w:t>n</w:t>
      </w:r>
      <w:r w:rsidR="00A963D0">
        <w:rPr>
          <w:rFonts w:ascii="Book Antiqua" w:eastAsia="Book Antiqua" w:hAnsi="Book Antiqua" w:cs="Book Antiqua"/>
          <w:color w:val="000000"/>
        </w:rPr>
        <w:t xml:space="preserve"> </w:t>
      </w:r>
      <w:r w:rsidR="005C62E9">
        <w:rPr>
          <w:rFonts w:ascii="Book Antiqua" w:eastAsia="Book Antiqua" w:hAnsi="Book Antiqua" w:cs="Book Antiqua"/>
          <w:color w:val="000000"/>
        </w:rPr>
        <w:t xml:space="preserve">because </w:t>
      </w:r>
      <w:r>
        <w:rPr>
          <w:rFonts w:ascii="Book Antiqua" w:eastAsia="Book Antiqua" w:hAnsi="Book Antiqua" w:cs="Book Antiqua"/>
          <w:color w:val="000000"/>
        </w:rPr>
        <w:t>electronic records from our database did not contain information regarding the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or the 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thus the European Foundation for the Study of Chronic Liver Failure (EF-CLIF) Consortium definition criteria for ACLF could not be evaluated. HE was defined using the West Haven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Acute kidney injury was defined according to the International Club of Ascites (ICA-AKI) </w:t>
      </w:r>
      <w:proofErr w:type="gramStart"/>
      <w:r>
        <w:rPr>
          <w:rFonts w:ascii="Book Antiqua" w:eastAsia="Book Antiqua" w:hAnsi="Book Antiqua" w:cs="Book Antiqua"/>
          <w:color w:val="000000"/>
        </w:rPr>
        <w:t>definition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72BD0A1" w14:textId="77777777" w:rsidR="00A77B3E" w:rsidRDefault="00A77B3E">
      <w:pPr>
        <w:spacing w:line="360" w:lineRule="auto"/>
        <w:jc w:val="both"/>
      </w:pPr>
    </w:p>
    <w:p w14:paraId="06EF7AAC" w14:textId="77777777" w:rsidR="00A77B3E" w:rsidRDefault="007A61DA">
      <w:pPr>
        <w:spacing w:line="360" w:lineRule="auto"/>
        <w:jc w:val="both"/>
      </w:pPr>
      <w:r>
        <w:rPr>
          <w:rFonts w:ascii="Book Antiqua" w:eastAsia="Book Antiqua" w:hAnsi="Book Antiqua" w:cs="Book Antiqua"/>
          <w:b/>
          <w:bCs/>
          <w:i/>
          <w:iCs/>
          <w:color w:val="000000"/>
        </w:rPr>
        <w:t xml:space="preserve">Statistical analysis </w:t>
      </w:r>
    </w:p>
    <w:p w14:paraId="2C41C538" w14:textId="77777777" w:rsidR="00A77B3E" w:rsidRDefault="007A61DA">
      <w:pPr>
        <w:spacing w:line="360" w:lineRule="auto"/>
        <w:jc w:val="both"/>
      </w:pPr>
      <w:r>
        <w:rPr>
          <w:rFonts w:ascii="Book Antiqua" w:eastAsia="Book Antiqua" w:hAnsi="Book Antiqua" w:cs="Book Antiqua"/>
          <w:color w:val="000000"/>
        </w:rPr>
        <w:t xml:space="preserve">IBM SPSS version 22.0 was used for the statistical analysis. Continuous variables were expressed either as mean ± </w:t>
      </w:r>
      <w:r w:rsidR="00240E5D">
        <w:rPr>
          <w:rFonts w:ascii="Book Antiqua" w:eastAsia="Book Antiqua" w:hAnsi="Book Antiqua" w:cs="Book Antiqua"/>
          <w:color w:val="000000"/>
        </w:rPr>
        <w:t>SD</w:t>
      </w:r>
      <w:r>
        <w:rPr>
          <w:rFonts w:ascii="Book Antiqua" w:eastAsia="Book Antiqua" w:hAnsi="Book Antiqua" w:cs="Book Antiqua"/>
          <w:color w:val="000000"/>
        </w:rPr>
        <w:t xml:space="preserve"> or as median (interquartile ratio), according to the parametric or non-parametric distribution. The Kolmogorov–Smirnov test was used to </w:t>
      </w:r>
      <w:r>
        <w:rPr>
          <w:rFonts w:ascii="Book Antiqua" w:eastAsia="Book Antiqua" w:hAnsi="Book Antiqua" w:cs="Book Antiqua"/>
          <w:color w:val="000000"/>
        </w:rPr>
        <w:lastRenderedPageBreak/>
        <w:t xml:space="preserve">assess the distribution. The Student's </w:t>
      </w:r>
      <w:r w:rsidRPr="002033FE">
        <w:rPr>
          <w:rFonts w:ascii="Book Antiqua" w:eastAsia="Book Antiqua" w:hAnsi="Book Antiqua" w:cs="Book Antiqua"/>
          <w:i/>
          <w:iCs/>
          <w:color w:val="000000"/>
        </w:rPr>
        <w:t>t</w:t>
      </w:r>
      <w:r>
        <w:rPr>
          <w:rFonts w:ascii="Book Antiqua" w:eastAsia="Book Antiqua" w:hAnsi="Book Antiqua" w:cs="Book Antiqua"/>
          <w:color w:val="000000"/>
        </w:rPr>
        <w:t>-test, Chi-square or Fischer’s exact test</w:t>
      </w:r>
      <w:r w:rsidR="005C62E9">
        <w:rPr>
          <w:rFonts w:ascii="Book Antiqua" w:eastAsia="Book Antiqua" w:hAnsi="Book Antiqua" w:cs="Book Antiqua"/>
          <w:color w:val="000000"/>
        </w:rPr>
        <w:t>s</w:t>
      </w:r>
      <w:r>
        <w:rPr>
          <w:rFonts w:ascii="Book Antiqua" w:eastAsia="Book Antiqua" w:hAnsi="Book Antiqua" w:cs="Book Antiqua"/>
          <w:color w:val="000000"/>
        </w:rPr>
        <w:t xml:space="preserve"> were used for the analysis of continuous and categorical variables respectively. The receiver operating characteristic (ROC) curve and the area under the curve (AUC) were used for the assessment of accuracy in predicting the outcome for Child-Pugh, model for end-stage liver disease (MELD), AARC scores and venous ammonia (VA). The cohort was then divided and further analyzed according to the cut-off value obtained for VA. Univariate and multivariate analysis was performed to assess the risk factors for in-hospital mortality. The statistical methods of the study were reviewed by a biomedical statistician.</w:t>
      </w:r>
    </w:p>
    <w:p w14:paraId="7237B9AD" w14:textId="77777777" w:rsidR="00A77B3E" w:rsidRDefault="00A77B3E">
      <w:pPr>
        <w:spacing w:line="360" w:lineRule="auto"/>
        <w:jc w:val="both"/>
      </w:pPr>
    </w:p>
    <w:p w14:paraId="5EDB14DC" w14:textId="77777777" w:rsidR="00A77B3E" w:rsidRDefault="007A61DA">
      <w:pPr>
        <w:spacing w:line="360" w:lineRule="auto"/>
        <w:jc w:val="both"/>
      </w:pPr>
      <w:r>
        <w:rPr>
          <w:rFonts w:ascii="Book Antiqua" w:eastAsia="Book Antiqua" w:hAnsi="Book Antiqua" w:cs="Book Antiqua"/>
          <w:b/>
          <w:caps/>
          <w:color w:val="000000"/>
          <w:u w:val="single"/>
        </w:rPr>
        <w:t>RESULTS</w:t>
      </w:r>
    </w:p>
    <w:p w14:paraId="15BC353C" w14:textId="77777777" w:rsidR="00A77B3E" w:rsidRDefault="00240E5D">
      <w:pPr>
        <w:spacing w:line="360" w:lineRule="auto"/>
        <w:jc w:val="both"/>
      </w:pPr>
      <w:r w:rsidRPr="00240E5D">
        <w:rPr>
          <w:rFonts w:ascii="Book Antiqua" w:eastAsia="Book Antiqua" w:hAnsi="Book Antiqua" w:cs="Book Antiqua"/>
          <w:color w:val="000000"/>
        </w:rPr>
        <w:t>Five hundred and twenty</w:t>
      </w:r>
      <w:r w:rsidR="007A61DA">
        <w:rPr>
          <w:rFonts w:ascii="Book Antiqua" w:eastAsia="Book Antiqua" w:hAnsi="Book Antiqua" w:cs="Book Antiqua"/>
          <w:color w:val="000000"/>
        </w:rPr>
        <w:t xml:space="preserve"> patients were screened. After applying the exclusion criteria 74 patients were removed from further analysis, thus 446 patients were included in the study. The median age of the participants was 59 (50-65) years and 57.4% of the patients were men. The main etiology of LC was alcohol (78.7%), followed by hepatitis C virus (HCV) infection (11.2%), hepatitis B virus (HBV) infection (6.1%), alcohol and HBV (1.8%), alcohol and HVC (1.3%), HBV and HVC (0.7%). The patients’ general characteristics are presented in Table 1.</w:t>
      </w:r>
    </w:p>
    <w:p w14:paraId="7052F531"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Most of the patients had advanced liver disease, as indicated by the high values of the traditional Child-Pugh and MELD prognosis scores of 11 (10-12) and 19.13 ± 6.79 respectively. The median novel AARC score was 7 (6-8), consistent with the predominance of grade I ACLF found in the majority of the patients; 66.4% of the participants had ACLF grade I, 31.2% ACLF grade II, and 2.5% ACLF grade III. Non-contrast </w:t>
      </w:r>
      <w:r w:rsidR="00240E5D" w:rsidRPr="00240E5D">
        <w:rPr>
          <w:rFonts w:ascii="Book Antiqua" w:eastAsia="Book Antiqua" w:hAnsi="Book Antiqua" w:cs="Book Antiqua"/>
          <w:color w:val="000000"/>
        </w:rPr>
        <w:t>computed tomography</w:t>
      </w:r>
      <w:r w:rsidR="00240E5D">
        <w:rPr>
          <w:rFonts w:ascii="Book Antiqua" w:eastAsia="Book Antiqua" w:hAnsi="Book Antiqua" w:cs="Book Antiqua"/>
          <w:color w:val="000000"/>
        </w:rPr>
        <w:t xml:space="preserve"> (</w:t>
      </w:r>
      <w:r>
        <w:rPr>
          <w:rFonts w:ascii="Book Antiqua" w:eastAsia="Book Antiqua" w:hAnsi="Book Antiqua" w:cs="Book Antiqua"/>
          <w:color w:val="000000"/>
        </w:rPr>
        <w:t>CT</w:t>
      </w:r>
      <w:r w:rsidR="00240E5D">
        <w:rPr>
          <w:rFonts w:ascii="Book Antiqua" w:eastAsia="Book Antiqua" w:hAnsi="Book Antiqua" w:cs="Book Antiqua"/>
          <w:color w:val="000000"/>
        </w:rPr>
        <w:t>)</w:t>
      </w:r>
      <w:r>
        <w:rPr>
          <w:rFonts w:ascii="Book Antiqua" w:eastAsia="Book Antiqua" w:hAnsi="Book Antiqua" w:cs="Book Antiqua"/>
          <w:color w:val="000000"/>
        </w:rPr>
        <w:t xml:space="preserve"> cranial scans were performed in 34 patients and no evidence of cerebral edema was described.</w:t>
      </w:r>
    </w:p>
    <w:p w14:paraId="3995540F" w14:textId="77777777" w:rsidR="00A77B3E" w:rsidRDefault="00A77B3E" w:rsidP="00240E5D">
      <w:pPr>
        <w:spacing w:line="360" w:lineRule="auto"/>
        <w:jc w:val="both"/>
      </w:pPr>
    </w:p>
    <w:p w14:paraId="30C695A6" w14:textId="77777777" w:rsidR="00A77B3E" w:rsidRDefault="007A61DA">
      <w:pPr>
        <w:spacing w:line="360" w:lineRule="auto"/>
        <w:jc w:val="both"/>
      </w:pPr>
      <w:r>
        <w:rPr>
          <w:rFonts w:ascii="Book Antiqua" w:eastAsia="Book Antiqua" w:hAnsi="Book Antiqua" w:cs="Book Antiqua"/>
          <w:b/>
          <w:bCs/>
          <w:i/>
          <w:iCs/>
          <w:color w:val="000000"/>
        </w:rPr>
        <w:t>Mortality analysis</w:t>
      </w:r>
    </w:p>
    <w:p w14:paraId="4D67BEBF" w14:textId="77777777" w:rsidR="00A77B3E" w:rsidRDefault="007A61DA">
      <w:pPr>
        <w:spacing w:line="360" w:lineRule="auto"/>
        <w:jc w:val="both"/>
      </w:pPr>
      <w:r>
        <w:rPr>
          <w:rFonts w:ascii="Book Antiqua" w:eastAsia="Book Antiqua" w:hAnsi="Book Antiqua" w:cs="Book Antiqua"/>
          <w:color w:val="000000"/>
        </w:rPr>
        <w:t xml:space="preserve">In-hospital mortality was 7.8% (Table 2). The mean survival of the deceased patients was 5 (3-10) d. The causes of death were: multi-organ failure in 19 patients, severe HE in </w:t>
      </w:r>
      <w:r>
        <w:rPr>
          <w:rFonts w:ascii="Book Antiqua" w:eastAsia="Book Antiqua" w:hAnsi="Book Antiqua" w:cs="Book Antiqua"/>
          <w:color w:val="000000"/>
        </w:rPr>
        <w:lastRenderedPageBreak/>
        <w:t xml:space="preserve">9 patients, and hemorrhagic shock in 7 patients. Non-survivors had higher levels of bilirubin, higher INR, lower albumin, and consequently higher Child-Pugh and MELD scores, consistent with more advanced liver disease than survivors. However, a higher inflammatory response expressed through higher CRP and higher white blood cells (WBC) count was also noted in the deceased, independently of the presence of bacterial infections, thus suggesting the important role of an exacerbated inflammatory response in the prognostic of patients with ACLF and HE. As expected, most of the non-survivors had grade II and III ACLF (62.9%, 22.9% respectively), while most of the survivors had grade I ACLF (70.8%). </w:t>
      </w:r>
    </w:p>
    <w:p w14:paraId="200D7D21" w14:textId="21624CED" w:rsidR="00A77B3E" w:rsidRDefault="007A61DA" w:rsidP="00240E5D">
      <w:pPr>
        <w:spacing w:line="360" w:lineRule="auto"/>
        <w:ind w:firstLineChars="100" w:firstLine="240"/>
        <w:jc w:val="both"/>
      </w:pPr>
      <w:r>
        <w:rPr>
          <w:rFonts w:ascii="Book Antiqua" w:eastAsia="Book Antiqua" w:hAnsi="Book Antiqua" w:cs="Book Antiqua"/>
          <w:color w:val="000000"/>
        </w:rPr>
        <w:t>HE was diagnosed in 94.3% of the non-survivors and in 83% of the survivors (</w:t>
      </w:r>
      <w:r>
        <w:rPr>
          <w:rFonts w:ascii="Book Antiqua" w:eastAsia="Book Antiqua" w:hAnsi="Book Antiqua" w:cs="Book Antiqua"/>
          <w:i/>
          <w:iCs/>
          <w:color w:val="000000"/>
        </w:rPr>
        <w:t>P</w:t>
      </w:r>
      <w:r>
        <w:rPr>
          <w:rFonts w:ascii="Book Antiqua" w:eastAsia="Book Antiqua" w:hAnsi="Book Antiqua" w:cs="Book Antiqua"/>
          <w:color w:val="000000"/>
        </w:rPr>
        <w:t xml:space="preserve"> = 0.081). However, 84% of the deceased had severe HE (grade III or IV), compared to 23.5 % of the survivors (</w:t>
      </w:r>
      <w:r w:rsidRPr="00240E5D">
        <w:rPr>
          <w:rFonts w:ascii="Book Antiqua" w:eastAsia="Book Antiqua" w:hAnsi="Book Antiqua" w:cs="Book Antiqua"/>
          <w:i/>
          <w:iCs/>
          <w:color w:val="000000"/>
        </w:rPr>
        <w:t>P</w:t>
      </w:r>
      <w:r w:rsidR="00A963D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0.001). Overall VA was higher in the deceased than in the survivors' group [100 (75-139)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t>
      </w:r>
      <w:r>
        <w:rPr>
          <w:rFonts w:ascii="Book Antiqua" w:eastAsia="Book Antiqua" w:hAnsi="Book Antiqua" w:cs="Book Antiqua"/>
          <w:i/>
          <w:iCs/>
          <w:color w:val="000000"/>
        </w:rPr>
        <w:t>vs</w:t>
      </w:r>
      <w:r>
        <w:rPr>
          <w:rFonts w:ascii="Book Antiqua" w:eastAsia="Book Antiqua" w:hAnsi="Book Antiqua" w:cs="Book Antiqua"/>
          <w:color w:val="000000"/>
        </w:rPr>
        <w:t xml:space="preserve"> 198 (125-345)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t>
      </w:r>
      <w:r w:rsidRPr="00240E5D">
        <w:rPr>
          <w:rFonts w:ascii="Book Antiqua" w:eastAsia="Book Antiqua" w:hAnsi="Book Antiqua" w:cs="Book Antiqua"/>
          <w:i/>
          <w:iCs/>
          <w:color w:val="000000"/>
        </w:rPr>
        <w:t>P</w:t>
      </w:r>
      <w:r w:rsidR="00A963D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0.001]. ROC analysis showed a slightly better accuracy for the prediction of in-hospital mortality for the AARC score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0.886) than for the MELD score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0.816) and the VA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0.812)</w:t>
      </w:r>
      <w:r w:rsidR="005C62E9">
        <w:rPr>
          <w:rFonts w:ascii="Book Antiqua" w:eastAsia="Book Antiqua" w:hAnsi="Book Antiqua" w:cs="Book Antiqua"/>
          <w:color w:val="000000"/>
        </w:rPr>
        <w:t xml:space="preserve">. The accuracy of </w:t>
      </w:r>
      <w:r>
        <w:rPr>
          <w:rFonts w:ascii="Book Antiqua" w:eastAsia="Book Antiqua" w:hAnsi="Book Antiqua" w:cs="Book Antiqua"/>
          <w:color w:val="000000"/>
        </w:rPr>
        <w:t>the Child-Pugh score</w:t>
      </w:r>
      <w:r w:rsidR="005C62E9">
        <w:rPr>
          <w:rFonts w:ascii="Book Antiqua" w:eastAsia="Book Antiqua" w:hAnsi="Book Antiqua" w:cs="Book Antiqua"/>
          <w:color w:val="000000"/>
        </w:rPr>
        <w:t xml:space="preserve"> in predicting mortality was fair</w:t>
      </w:r>
      <w:r>
        <w:rPr>
          <w:rFonts w:ascii="Book Antiqua" w:eastAsia="Book Antiqua" w:hAnsi="Book Antiqua" w:cs="Book Antiqua"/>
          <w:color w:val="000000"/>
        </w:rPr>
        <w:t xml:space="preserve">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0.799) (Figure 1). </w:t>
      </w:r>
    </w:p>
    <w:p w14:paraId="4086295D" w14:textId="2F5B4901"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Subsequently, cut-off values for the prediction of mortality were identified for VA (152.5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0.190), AARC score (8.5,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0.743,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0.102), MELD score (22.5,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0.771,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0.286), and Child-Pugh score (12.5,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0.576,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0.144). </w:t>
      </w:r>
    </w:p>
    <w:p w14:paraId="75EDAE79" w14:textId="46C7B1D1"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Univariate analysis found </w:t>
      </w:r>
      <w:r w:rsidR="005C62E9">
        <w:rPr>
          <w:rFonts w:ascii="Book Antiqua" w:eastAsia="Book Antiqua" w:hAnsi="Book Antiqua" w:cs="Book Antiqua"/>
          <w:color w:val="000000"/>
        </w:rPr>
        <w:t xml:space="preserve">that </w:t>
      </w:r>
      <w:r>
        <w:rPr>
          <w:rFonts w:ascii="Book Antiqua" w:eastAsia="Book Antiqua" w:hAnsi="Book Antiqua" w:cs="Book Antiqua"/>
          <w:color w:val="000000"/>
        </w:rPr>
        <w:t>acute kidney injury (AKI) [</w:t>
      </w:r>
      <w:bookmarkStart w:id="1" w:name="_Hlk50367577"/>
      <w:r w:rsidR="00240E5D" w:rsidRPr="00616F4C">
        <w:rPr>
          <w:rFonts w:ascii="Book Antiqua" w:eastAsia="Malgun Gothic" w:hAnsi="Book Antiqua"/>
        </w:rPr>
        <w:t>odds ratio</w:t>
      </w:r>
      <w:bookmarkEnd w:id="1"/>
      <w:r w:rsidR="00240E5D">
        <w:rPr>
          <w:rFonts w:ascii="Book Antiqua" w:eastAsia="Book Antiqua" w:hAnsi="Book Antiqua" w:cs="Book Antiqua"/>
          <w:color w:val="000000"/>
        </w:rPr>
        <w:t xml:space="preserve"> (</w:t>
      </w:r>
      <w:r>
        <w:rPr>
          <w:rFonts w:ascii="Book Antiqua" w:eastAsia="Book Antiqua" w:hAnsi="Book Antiqua" w:cs="Book Antiqua"/>
          <w:color w:val="000000"/>
        </w:rPr>
        <w:t>OR</w:t>
      </w:r>
      <w:r w:rsidR="00240E5D">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5.636, </w:t>
      </w:r>
      <w:bookmarkStart w:id="2" w:name="_Hlk58003882"/>
      <w:r w:rsidR="00240E5D" w:rsidRPr="00616F4C">
        <w:rPr>
          <w:rFonts w:ascii="Book Antiqua" w:eastAsia="Malgun Gothic" w:hAnsi="Book Antiqua"/>
        </w:rPr>
        <w:t>confidence interval</w:t>
      </w:r>
      <w:bookmarkEnd w:id="2"/>
      <w:r w:rsidR="00240E5D">
        <w:rPr>
          <w:rFonts w:ascii="Book Antiqua" w:eastAsia="Book Antiqua" w:hAnsi="Book Antiqua" w:cs="Book Antiqua"/>
          <w:color w:val="000000"/>
        </w:rPr>
        <w:t xml:space="preserve"> (</w:t>
      </w:r>
      <w:r>
        <w:rPr>
          <w:rFonts w:ascii="Book Antiqua" w:eastAsia="Book Antiqua" w:hAnsi="Book Antiqua" w:cs="Book Antiqua"/>
          <w:color w:val="000000"/>
        </w:rPr>
        <w:t>CI</w:t>
      </w:r>
      <w:r w:rsidR="00240E5D">
        <w:rPr>
          <w:rFonts w:ascii="Book Antiqua" w:eastAsia="Book Antiqua" w:hAnsi="Book Antiqua" w:cs="Book Antiqua"/>
          <w:color w:val="000000"/>
        </w:rPr>
        <w:t>)</w:t>
      </w:r>
      <w:r>
        <w:rPr>
          <w:rFonts w:ascii="Book Antiqua" w:eastAsia="Book Antiqua" w:hAnsi="Book Antiqua" w:cs="Book Antiqua"/>
          <w:color w:val="000000"/>
        </w:rPr>
        <w:t xml:space="preserve"> (2.634-12.063)], severe HE (grade III or IV)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18.270, CI (6.830-48.870)], VA ≥ 152.5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7.976, CI (3.950-16.104)], MELD score ≥ 22.5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8.282, CI (3.657-18.752)], Child-Pugh score ≥ 12.5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8.096, CI (3.846-17.041)], and AARC score ≥ 8.5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25.381, CI (1.151-57.770)] </w:t>
      </w:r>
      <w:r w:rsidR="005C62E9">
        <w:rPr>
          <w:rFonts w:ascii="Book Antiqua" w:eastAsia="Book Antiqua" w:hAnsi="Book Antiqua" w:cs="Book Antiqua"/>
          <w:color w:val="000000"/>
        </w:rPr>
        <w:t>was</w:t>
      </w:r>
      <w:r>
        <w:rPr>
          <w:rFonts w:ascii="Book Antiqua" w:eastAsia="Book Antiqua" w:hAnsi="Book Antiqua" w:cs="Book Antiqua"/>
          <w:color w:val="000000"/>
        </w:rPr>
        <w:t xml:space="preserve"> associated with in-hospital mortality. However, multivariate analysis identified AARC score ≥ 8.5 and VA ≥ 152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to be independent predictors of in-hospital mortality (Table 3).</w:t>
      </w:r>
    </w:p>
    <w:p w14:paraId="3A4B420E" w14:textId="77777777" w:rsidR="00A77B3E" w:rsidRDefault="00A77B3E" w:rsidP="00240E5D">
      <w:pPr>
        <w:spacing w:line="360" w:lineRule="auto"/>
        <w:jc w:val="both"/>
      </w:pPr>
    </w:p>
    <w:p w14:paraId="7431F4B7" w14:textId="77777777" w:rsidR="00A77B3E" w:rsidRDefault="007A61DA">
      <w:pPr>
        <w:spacing w:line="360" w:lineRule="auto"/>
        <w:jc w:val="both"/>
      </w:pPr>
      <w:r>
        <w:rPr>
          <w:rFonts w:ascii="Book Antiqua" w:eastAsia="Book Antiqua" w:hAnsi="Book Antiqua" w:cs="Book Antiqua"/>
          <w:b/>
          <w:bCs/>
          <w:i/>
          <w:iCs/>
          <w:color w:val="000000"/>
        </w:rPr>
        <w:lastRenderedPageBreak/>
        <w:t>HE and high VA analysis</w:t>
      </w:r>
    </w:p>
    <w:p w14:paraId="3B860452" w14:textId="77777777" w:rsidR="00A77B3E" w:rsidRDefault="007A61DA">
      <w:pPr>
        <w:spacing w:line="360" w:lineRule="auto"/>
        <w:jc w:val="both"/>
      </w:pPr>
      <w:r>
        <w:rPr>
          <w:rFonts w:ascii="Book Antiqua" w:eastAsia="Book Antiqua" w:hAnsi="Book Antiqua" w:cs="Book Antiqua"/>
          <w:color w:val="000000"/>
        </w:rPr>
        <w:t xml:space="preserve">HE was diagnosed in 83.9% of patients, with 34% having grade I, 37.2% grade II, 23.5% grade III, and 5.3% grade IV HE. Patients with HE had lower levels of albumin and higher levels of bilirubin, MELD, Child-Pugh and AARC scores. Moreover, Patients with HE presented more often ascites and AKI, as a consequence of the higher severity of their liver disease (Table 4). </w:t>
      </w:r>
    </w:p>
    <w:p w14:paraId="1F6090BD" w14:textId="18CC8058"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VA median value was 103 (78-148)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with higher levels in the HE than in the non-HE groups [111 (86-158) </w:t>
      </w:r>
      <w:r>
        <w:rPr>
          <w:rFonts w:ascii="Book Antiqua" w:eastAsia="Book Antiqua" w:hAnsi="Book Antiqua" w:cs="Book Antiqua"/>
          <w:i/>
          <w:iCs/>
          <w:color w:val="000000"/>
        </w:rPr>
        <w:t>vs</w:t>
      </w:r>
      <w:r>
        <w:rPr>
          <w:rFonts w:ascii="Book Antiqua" w:eastAsia="Book Antiqua" w:hAnsi="Book Antiqua" w:cs="Book Antiqua"/>
          <w:color w:val="000000"/>
        </w:rPr>
        <w:t xml:space="preserve"> 74 (60-93), respectively, </w:t>
      </w:r>
      <w:r w:rsidRPr="00240E5D">
        <w:rPr>
          <w:rFonts w:ascii="Book Antiqua" w:eastAsia="Book Antiqua" w:hAnsi="Book Antiqua" w:cs="Book Antiqua"/>
          <w:i/>
          <w:iCs/>
          <w:color w:val="000000"/>
        </w:rPr>
        <w:t>P</w:t>
      </w:r>
      <w:r w:rsidR="00A963D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When further analyzing the subgroup of patients with high VA levels (≥ 152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significant differences were found concerning the distribution of cases with HE, severe HE, and ascites. Patients with high VA levels had a more advanced liver disease</w:t>
      </w:r>
      <w:r w:rsidR="0035333D">
        <w:rPr>
          <w:rFonts w:ascii="Book Antiqua" w:eastAsia="Book Antiqua" w:hAnsi="Book Antiqua" w:cs="Book Antiqua"/>
          <w:color w:val="000000"/>
        </w:rPr>
        <w:t>,</w:t>
      </w:r>
      <w:r>
        <w:rPr>
          <w:rFonts w:ascii="Book Antiqua" w:eastAsia="Book Antiqua" w:hAnsi="Book Antiqua" w:cs="Book Antiqua"/>
          <w:color w:val="000000"/>
        </w:rPr>
        <w:t xml:space="preserve"> as shown by the high MELD and AARC scores and a significantly higher in-hospital death rate (Table 5).</w:t>
      </w:r>
    </w:p>
    <w:p w14:paraId="569D590F" w14:textId="77777777" w:rsidR="00A77B3E" w:rsidRDefault="00A77B3E">
      <w:pPr>
        <w:spacing w:line="360" w:lineRule="auto"/>
        <w:jc w:val="both"/>
      </w:pPr>
    </w:p>
    <w:p w14:paraId="6D6E6957" w14:textId="77777777" w:rsidR="00A77B3E" w:rsidRDefault="007A61DA">
      <w:pPr>
        <w:spacing w:line="360" w:lineRule="auto"/>
        <w:jc w:val="both"/>
      </w:pPr>
      <w:r>
        <w:rPr>
          <w:rFonts w:ascii="Book Antiqua" w:eastAsia="Book Antiqua" w:hAnsi="Book Antiqua" w:cs="Book Antiqua"/>
          <w:b/>
          <w:caps/>
          <w:color w:val="000000"/>
          <w:u w:val="single"/>
        </w:rPr>
        <w:t>DISCUSSION</w:t>
      </w:r>
    </w:p>
    <w:p w14:paraId="3FCC2717" w14:textId="77777777" w:rsidR="00A77B3E" w:rsidRDefault="007A61DA">
      <w:pPr>
        <w:spacing w:line="360" w:lineRule="auto"/>
        <w:jc w:val="both"/>
      </w:pPr>
      <w:r>
        <w:rPr>
          <w:rFonts w:ascii="Book Antiqua" w:eastAsia="Book Antiqua" w:hAnsi="Book Antiqua" w:cs="Book Antiqua"/>
          <w:color w:val="000000"/>
        </w:rPr>
        <w:t xml:space="preserve">This study provided evidence for the utility of VA in predicting the short-term prognosis in patients with ACLF. We found a statistically significant risk for in-hospital mortality in patients with high VA that was independent of </w:t>
      </w:r>
      <w:r w:rsidR="0035333D">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severity as evaluated by the classic and novel prognostic scores. </w:t>
      </w:r>
    </w:p>
    <w:p w14:paraId="16047A32" w14:textId="7FD24937" w:rsidR="00A77B3E" w:rsidRDefault="007A61DA" w:rsidP="00240E5D">
      <w:pPr>
        <w:spacing w:line="360" w:lineRule="auto"/>
        <w:ind w:firstLineChars="100" w:firstLine="240"/>
        <w:jc w:val="both"/>
      </w:pPr>
      <w:r>
        <w:rPr>
          <w:rFonts w:ascii="Book Antiqua" w:eastAsia="Book Antiqua" w:hAnsi="Book Antiqua" w:cs="Book Antiqua"/>
          <w:color w:val="000000"/>
        </w:rPr>
        <w:t>There is still much controversy regarding the use of VA in patients with LC, concerning its value as a predictor for the development of HE</w:t>
      </w:r>
      <w:r w:rsidR="0035333D">
        <w:rPr>
          <w:rFonts w:ascii="Book Antiqua" w:eastAsia="Book Antiqua" w:hAnsi="Book Antiqua" w:cs="Book Antiqua"/>
          <w:color w:val="000000"/>
        </w:rPr>
        <w:t>,</w:t>
      </w:r>
      <w:r>
        <w:rPr>
          <w:rFonts w:ascii="Book Antiqua" w:eastAsia="Book Antiqua" w:hAnsi="Book Antiqua" w:cs="Book Antiqua"/>
          <w:color w:val="000000"/>
        </w:rPr>
        <w:t xml:space="preserve"> as well as its role in predicting short-term mortality. VA is considered to be unspecific for the severity of </w:t>
      </w:r>
      <w:proofErr w:type="gramStart"/>
      <w:r>
        <w:rPr>
          <w:rFonts w:ascii="Book Antiqua" w:eastAsia="Book Antiqua" w:hAnsi="Book Antiqua" w:cs="Book Antiqua"/>
          <w:color w:val="000000"/>
        </w:rPr>
        <w:t>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thus it is not being used to guide the treatment in this setting</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the utility of VA might reside in its prognostic value. For the vast majority of patients with decompensated LC, VA has not been established as an adequate indicator for poor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 xml:space="preserve">. This is mainly due to the intricate mechanisms that lead to hyperammonemia. These mechanisms are found in numerous conditions associated with LC, such as sarcopenia, GI bleeding, infection, and AKI, all of which are associated with poor prognostic in patients with LC and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There is data suggesting that </w:t>
      </w:r>
      <w:r>
        <w:rPr>
          <w:rFonts w:ascii="Book Antiqua" w:eastAsia="Book Antiqua" w:hAnsi="Book Antiqua" w:cs="Book Antiqua"/>
          <w:color w:val="000000"/>
        </w:rPr>
        <w:lastRenderedPageBreak/>
        <w:t xml:space="preserve">sepsis and systemic inflammation exacerbate the deleterious effects that ammonia exercise on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Thus, patients with sepsis and LC could present HE even in the absence of high VA. By analyzing only patients with ACLF in our study, we found that elements suggestive of systemic inflammation such as WBC and CRP presented higher values in the group of non-survivors, without relation to bacterial infections. These findings are indicative of alternative pathways of developing an exacerbated inflammatory response in ACLF, other than through infection, such as endotoxemia</w:t>
      </w:r>
      <w:r w:rsidR="00061D59">
        <w:rPr>
          <w:rFonts w:ascii="Book Antiqua" w:eastAsia="Book Antiqua" w:hAnsi="Book Antiqua" w:cs="Book Antiqua"/>
          <w:color w:val="000000"/>
        </w:rPr>
        <w:t xml:space="preserve"> which is</w:t>
      </w:r>
      <w:r w:rsidR="00EB3419">
        <w:rPr>
          <w:rFonts w:ascii="Book Antiqua" w:eastAsia="Book Antiqua" w:hAnsi="Book Antiqua" w:cs="Book Antiqua"/>
          <w:color w:val="000000"/>
        </w:rPr>
        <w:t xml:space="preserve"> </w:t>
      </w:r>
      <w:r>
        <w:rPr>
          <w:rFonts w:ascii="Book Antiqua" w:eastAsia="Book Antiqua" w:hAnsi="Book Antiqua" w:cs="Book Antiqua"/>
          <w:color w:val="000000"/>
        </w:rPr>
        <w:t xml:space="preserve">secondary to bacterial translocation from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no statistically significant differences were noted in patients with and without HE or high ammonia levels regarding these inflammatory markers. These results suggest that an exacerbated inflammatory response poses a risk for in-hospital mortality in patients with ACLF, mostly determined by other </w:t>
      </w:r>
      <w:proofErr w:type="spellStart"/>
      <w:r>
        <w:rPr>
          <w:rFonts w:ascii="Book Antiqua" w:eastAsia="Book Antiqua" w:hAnsi="Book Antiqua" w:cs="Book Antiqua"/>
          <w:color w:val="000000"/>
        </w:rPr>
        <w:t>physiopathological</w:t>
      </w:r>
      <w:proofErr w:type="spellEnd"/>
      <w:r>
        <w:rPr>
          <w:rFonts w:ascii="Book Antiqua" w:eastAsia="Book Antiqua" w:hAnsi="Book Antiqua" w:cs="Book Antiqua"/>
          <w:color w:val="000000"/>
        </w:rPr>
        <w:t xml:space="preserve"> mechanisms leading to different organ dysfunctions, such as AKI</w:t>
      </w:r>
      <w:r w:rsidR="00061D59">
        <w:rPr>
          <w:rFonts w:ascii="Book Antiqua" w:eastAsia="Book Antiqua" w:hAnsi="Book Antiqua" w:cs="Book Antiqua"/>
          <w:color w:val="000000"/>
        </w:rPr>
        <w:t xml:space="preserve">. </w:t>
      </w:r>
      <w:r w:rsidR="00061D59" w:rsidRPr="00061D59">
        <w:rPr>
          <w:rFonts w:ascii="Book Antiqua" w:eastAsia="Book Antiqua" w:hAnsi="Book Antiqua" w:cs="Book Antiqua"/>
          <w:color w:val="000000"/>
        </w:rPr>
        <w:t>The results also indicate that</w:t>
      </w:r>
      <w:r>
        <w:rPr>
          <w:rFonts w:ascii="Book Antiqua" w:eastAsia="Book Antiqua" w:hAnsi="Book Antiqua" w:cs="Book Antiqua"/>
          <w:color w:val="000000"/>
        </w:rPr>
        <w:t xml:space="preserve"> the relationship between systemic inflammation and HE is complex, requiring a more in-depth analysis.</w:t>
      </w:r>
    </w:p>
    <w:p w14:paraId="44D085AA" w14:textId="77777777" w:rsidR="00A77B3E" w:rsidRDefault="007A61DA" w:rsidP="0019732C">
      <w:pPr>
        <w:spacing w:line="360" w:lineRule="auto"/>
        <w:ind w:firstLineChars="100" w:firstLine="240"/>
        <w:jc w:val="both"/>
      </w:pPr>
      <w:r>
        <w:rPr>
          <w:rFonts w:ascii="Book Antiqua" w:eastAsia="Book Antiqua" w:hAnsi="Book Antiqua" w:cs="Book Antiqua"/>
          <w:color w:val="000000"/>
        </w:rPr>
        <w:t xml:space="preserve">The management of patients with advanced liver disease has been greatly improved by the efforts made to identify the groups with high-risk for mortality,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numerous prognostic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This stratification has been of paramount importance for the in-hospital management, facilitating decisions such as admission to the intensive care unit, or urgent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traditional prognostic scores, namely Child-Pugh and MELD scores seem to be more adequate for the prediction of outcome in the setting of decompensated LC, but not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our study, the novel AARC score presented a good accuracy for predicting mortality, better than the Child-Pugh and MELD scores. Moreover, VA showed good accuracy for predicting the outcome, similarly to the accuracy of the MELD score. We identified a cut-off value of 152.5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for VA which accurately predicted mortality in our cohort. These observations are in accordance with recent data which supports the theory that ammonia has an independent role in the risk for short-term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discussed, VA levels can be increased in the presence of several conditions frequently associated with LC, among which sarcopenia, AKI, GI bleeding, and infection, thus ammonia levels could represent </w:t>
      </w:r>
      <w:r>
        <w:rPr>
          <w:rFonts w:ascii="Book Antiqua" w:eastAsia="Book Antiqua" w:hAnsi="Book Antiqua" w:cs="Book Antiqua"/>
          <w:color w:val="000000"/>
        </w:rPr>
        <w:lastRenderedPageBreak/>
        <w:t xml:space="preserve">an additional marker of advanced liver disease, indicative of the altered homeostasis of patients with LC and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VA could therefore aid in the stratification of ACLF patients regarding in-hospital prognostic and serve as a marker of severity for this category.</w:t>
      </w:r>
    </w:p>
    <w:p w14:paraId="0EA498C3" w14:textId="414FB206" w:rsidR="00A77B3E" w:rsidRDefault="007A61DA" w:rsidP="0019732C">
      <w:pPr>
        <w:spacing w:line="360" w:lineRule="auto"/>
        <w:ind w:firstLineChars="100" w:firstLine="240"/>
        <w:jc w:val="both"/>
      </w:pPr>
      <w:r>
        <w:rPr>
          <w:rFonts w:ascii="Book Antiqua" w:eastAsia="Book Antiqua" w:hAnsi="Book Antiqua" w:cs="Book Antiqua"/>
          <w:color w:val="000000"/>
        </w:rPr>
        <w:t xml:space="preserve">In our study, comprising of patients with advanced liver disease, the presence of HE, in general, was not associated with increased mortality. However, grade III or IV HE posed a statistically significant high risk for in-hospital death and was associated with high levels of VA. These results are in accordance with the findings reported by Bajaj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32C">
        <w:rPr>
          <w:rFonts w:ascii="Book Antiqua" w:eastAsia="Book Antiqua" w:hAnsi="Book Antiqua" w:cs="Book Antiqua"/>
          <w:color w:val="000000"/>
          <w:szCs w:val="30"/>
          <w:vertAlign w:val="superscript"/>
        </w:rPr>
        <w:t>[</w:t>
      </w:r>
      <w:proofErr w:type="gramEnd"/>
      <w:r w:rsidR="0019732C">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authors analyzed 1560 patients, from which 516 presented HE, 371 grade 1-2 and 145 grade 3-4. Grade 3-4 but not grad 1-2 HE was associated with both higher in-hospital and 30-day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Ammonia levels correlate with HE grade in ACLF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but high ammonia levels have also been associated with the development of organ failure in the setting of ACLF, other than HE, thus contributing to the unfavorable prognostic of these patients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Our data suggest that the main risk factor for in-hospital mortality in patients with high VA remains severe HE, thus optimal management of these patients is required.</w:t>
      </w:r>
    </w:p>
    <w:p w14:paraId="5B8527B0" w14:textId="77777777" w:rsidR="00A77B3E" w:rsidRDefault="007A61DA" w:rsidP="0019732C">
      <w:pPr>
        <w:spacing w:line="360" w:lineRule="auto"/>
        <w:ind w:firstLineChars="100" w:firstLine="240"/>
        <w:jc w:val="both"/>
      </w:pPr>
      <w:r>
        <w:rPr>
          <w:rFonts w:ascii="Book Antiqua" w:eastAsia="Book Antiqua" w:hAnsi="Book Antiqua" w:cs="Book Antiqua"/>
          <w:color w:val="000000"/>
        </w:rPr>
        <w:t>There are several limitations to our study. As a single-center retrospective study, the possibility of selection bias could not be eliminated. Also, as per hospital protocol, arterial ammonia was not available and therefore not comparable with VA regarding the outcome. Furthermore, CT cranial scan was not routinely performed for patients with ACLF and HE, thus the frequency and the impact of cerebral edema on survival could not be optimally analyzed.</w:t>
      </w:r>
    </w:p>
    <w:p w14:paraId="1E506348" w14:textId="77777777" w:rsidR="00A77B3E" w:rsidRDefault="00A77B3E" w:rsidP="0019732C">
      <w:pPr>
        <w:spacing w:line="360" w:lineRule="auto"/>
        <w:jc w:val="both"/>
      </w:pPr>
    </w:p>
    <w:p w14:paraId="0CFD7A8E" w14:textId="77777777" w:rsidR="00A77B3E" w:rsidRDefault="007A61DA">
      <w:pPr>
        <w:spacing w:line="360" w:lineRule="auto"/>
        <w:jc w:val="both"/>
      </w:pPr>
      <w:r>
        <w:rPr>
          <w:rFonts w:ascii="Book Antiqua" w:eastAsia="Book Antiqua" w:hAnsi="Book Antiqua" w:cs="Book Antiqua"/>
          <w:b/>
          <w:caps/>
          <w:color w:val="000000"/>
          <w:u w:val="single"/>
        </w:rPr>
        <w:t>CONCLUSION</w:t>
      </w:r>
    </w:p>
    <w:p w14:paraId="7353524E" w14:textId="77777777" w:rsidR="00A77B3E" w:rsidRDefault="007A61DA">
      <w:pPr>
        <w:spacing w:line="360" w:lineRule="auto"/>
        <w:jc w:val="both"/>
      </w:pPr>
      <w:r>
        <w:rPr>
          <w:rFonts w:ascii="Book Antiqua" w:eastAsia="Book Antiqua" w:hAnsi="Book Antiqua" w:cs="Book Antiqua"/>
          <w:color w:val="000000"/>
        </w:rPr>
        <w:t xml:space="preserve">Our results suggest that VA presents a good predictive value for in-hospital mortality in patients with ACLF and that high levels of VA are associated with severe HE. VA has the potential to be used as an additional prognostic marker in the evaluation of patients with ACLF. However, prospective additional studies are required to confirm whether </w:t>
      </w:r>
      <w:r>
        <w:rPr>
          <w:rFonts w:ascii="Book Antiqua" w:eastAsia="Book Antiqua" w:hAnsi="Book Antiqua" w:cs="Book Antiqua"/>
          <w:color w:val="000000"/>
        </w:rPr>
        <w:lastRenderedPageBreak/>
        <w:t xml:space="preserve">the use of ammonia lowering agents guided by VA levels can improve survival in these patients. </w:t>
      </w:r>
    </w:p>
    <w:p w14:paraId="5E89676E" w14:textId="77777777" w:rsidR="00A77B3E" w:rsidRDefault="00A77B3E">
      <w:pPr>
        <w:spacing w:line="360" w:lineRule="auto"/>
        <w:jc w:val="both"/>
      </w:pPr>
    </w:p>
    <w:p w14:paraId="5851D2C8" w14:textId="77777777" w:rsidR="00A77B3E" w:rsidRDefault="007A61DA">
      <w:pPr>
        <w:spacing w:line="360" w:lineRule="auto"/>
        <w:jc w:val="both"/>
      </w:pPr>
      <w:r>
        <w:rPr>
          <w:rFonts w:ascii="Book Antiqua" w:eastAsia="Book Antiqua" w:hAnsi="Book Antiqua" w:cs="Book Antiqua"/>
          <w:b/>
          <w:caps/>
          <w:color w:val="000000"/>
          <w:u w:val="single"/>
        </w:rPr>
        <w:t>ARTICLE HIGHLIGHTS</w:t>
      </w:r>
    </w:p>
    <w:p w14:paraId="56102B1B" w14:textId="77777777" w:rsidR="00A77B3E" w:rsidRDefault="007A61DA">
      <w:pPr>
        <w:spacing w:line="360" w:lineRule="auto"/>
        <w:jc w:val="both"/>
      </w:pPr>
      <w:r>
        <w:rPr>
          <w:rFonts w:ascii="Book Antiqua" w:eastAsia="Book Antiqua" w:hAnsi="Book Antiqua" w:cs="Book Antiqua"/>
          <w:b/>
          <w:i/>
          <w:color w:val="000000"/>
        </w:rPr>
        <w:t>Research background</w:t>
      </w:r>
    </w:p>
    <w:p w14:paraId="45528C97" w14:textId="77777777" w:rsidR="00A77B3E" w:rsidRDefault="007A61DA">
      <w:pPr>
        <w:spacing w:line="360" w:lineRule="auto"/>
        <w:jc w:val="both"/>
      </w:pPr>
      <w:r>
        <w:rPr>
          <w:rFonts w:ascii="Book Antiqua" w:eastAsia="Book Antiqua" w:hAnsi="Book Antiqua" w:cs="Book Antiqua"/>
          <w:color w:val="000000"/>
        </w:rPr>
        <w:t xml:space="preserve">High venous ammonia (VA) values have been proven to be a part of the mechanism of hepatic encephalopathy in patient with liver cirrhosis (LC) as well as acute hepatitis. Moreover, VA has been associated with poor prognosis and high mortality in these clinical settings. </w:t>
      </w:r>
    </w:p>
    <w:p w14:paraId="0AE85846" w14:textId="77777777" w:rsidR="00A77B3E" w:rsidRDefault="00A77B3E">
      <w:pPr>
        <w:spacing w:line="360" w:lineRule="auto"/>
        <w:jc w:val="both"/>
      </w:pPr>
    </w:p>
    <w:p w14:paraId="0E8F19A0" w14:textId="77777777" w:rsidR="00A77B3E" w:rsidRDefault="007A61DA">
      <w:pPr>
        <w:spacing w:line="360" w:lineRule="auto"/>
        <w:jc w:val="both"/>
      </w:pPr>
      <w:r>
        <w:rPr>
          <w:rFonts w:ascii="Book Antiqua" w:eastAsia="Book Antiqua" w:hAnsi="Book Antiqua" w:cs="Book Antiqua"/>
          <w:b/>
          <w:i/>
          <w:color w:val="000000"/>
        </w:rPr>
        <w:t>Research motivation</w:t>
      </w:r>
    </w:p>
    <w:p w14:paraId="22D6B856" w14:textId="77777777" w:rsidR="00A77B3E" w:rsidRDefault="007A61DA">
      <w:pPr>
        <w:spacing w:line="360" w:lineRule="auto"/>
        <w:jc w:val="both"/>
      </w:pPr>
      <w:r>
        <w:rPr>
          <w:rFonts w:ascii="Book Antiqua" w:eastAsia="Book Antiqua" w:hAnsi="Book Antiqua" w:cs="Book Antiqua"/>
          <w:color w:val="000000"/>
        </w:rPr>
        <w:t xml:space="preserve">VA has been associated with </w:t>
      </w:r>
      <w:r w:rsidR="0019732C">
        <w:rPr>
          <w:rFonts w:ascii="Book Antiqua" w:eastAsia="Book Antiqua" w:hAnsi="Book Antiqua" w:cs="Book Antiqua"/>
          <w:color w:val="000000"/>
        </w:rPr>
        <w:t>hepatic encephalopathy (HE)</w:t>
      </w:r>
      <w:r>
        <w:rPr>
          <w:rFonts w:ascii="Book Antiqua" w:eastAsia="Book Antiqua" w:hAnsi="Book Antiqua" w:cs="Book Antiqua"/>
          <w:color w:val="000000"/>
        </w:rPr>
        <w:t xml:space="preserve"> and mortality and has been used by clinicians in acute settings. However, the role of ammonia in acute-on-chronic liver failure (ACLF) has not yet been clearly established and a cut-off value for the prediction of in-hospital mortality is not currently available.</w:t>
      </w:r>
    </w:p>
    <w:p w14:paraId="226A9156" w14:textId="77777777" w:rsidR="00A77B3E" w:rsidRDefault="00A77B3E">
      <w:pPr>
        <w:spacing w:line="360" w:lineRule="auto"/>
        <w:jc w:val="both"/>
      </w:pPr>
    </w:p>
    <w:p w14:paraId="6D565EC4" w14:textId="77777777" w:rsidR="00A77B3E" w:rsidRDefault="007A61DA">
      <w:pPr>
        <w:spacing w:line="360" w:lineRule="auto"/>
        <w:jc w:val="both"/>
      </w:pPr>
      <w:r>
        <w:rPr>
          <w:rFonts w:ascii="Book Antiqua" w:eastAsia="Book Antiqua" w:hAnsi="Book Antiqua" w:cs="Book Antiqua"/>
          <w:b/>
          <w:i/>
          <w:color w:val="000000"/>
        </w:rPr>
        <w:t>Research objectives</w:t>
      </w:r>
    </w:p>
    <w:p w14:paraId="257E6CD5" w14:textId="296D7183" w:rsidR="00A77B3E" w:rsidRDefault="007A61DA">
      <w:pPr>
        <w:spacing w:line="360" w:lineRule="auto"/>
        <w:jc w:val="both"/>
      </w:pPr>
      <w:r>
        <w:rPr>
          <w:rFonts w:ascii="Book Antiqua" w:eastAsia="Book Antiqua" w:hAnsi="Book Antiqua" w:cs="Book Antiqua"/>
          <w:color w:val="000000"/>
        </w:rPr>
        <w:t>We aimed to adequately assess the role of VA in predicting in-hospital mortality of cirrhotic patients with ACLF in a tertiary care center and to establish a</w:t>
      </w:r>
      <w:r w:rsidR="00061D59">
        <w:rPr>
          <w:rFonts w:ascii="Book Antiqua" w:eastAsia="Book Antiqua" w:hAnsi="Book Antiqua" w:cs="Book Antiqua"/>
          <w:color w:val="000000"/>
        </w:rPr>
        <w:t>n indicative</w:t>
      </w:r>
      <w:r>
        <w:rPr>
          <w:rFonts w:ascii="Book Antiqua" w:eastAsia="Book Antiqua" w:hAnsi="Book Antiqua" w:cs="Book Antiqua"/>
          <w:color w:val="000000"/>
        </w:rPr>
        <w:t xml:space="preserve"> cut-off value for poor prognosis in these patients.</w:t>
      </w:r>
    </w:p>
    <w:p w14:paraId="7E21E2F2" w14:textId="77777777" w:rsidR="00A77B3E" w:rsidRDefault="00A77B3E">
      <w:pPr>
        <w:spacing w:line="360" w:lineRule="auto"/>
        <w:jc w:val="both"/>
      </w:pPr>
    </w:p>
    <w:p w14:paraId="750C4743" w14:textId="77777777" w:rsidR="00A77B3E" w:rsidRDefault="007A61DA">
      <w:pPr>
        <w:spacing w:line="360" w:lineRule="auto"/>
        <w:jc w:val="both"/>
      </w:pPr>
      <w:r>
        <w:rPr>
          <w:rFonts w:ascii="Book Antiqua" w:eastAsia="Book Antiqua" w:hAnsi="Book Antiqua" w:cs="Book Antiqua"/>
          <w:b/>
          <w:i/>
          <w:color w:val="000000"/>
        </w:rPr>
        <w:t>Research methods</w:t>
      </w:r>
    </w:p>
    <w:p w14:paraId="7316BE29" w14:textId="77777777" w:rsidR="00A77B3E" w:rsidRDefault="007A61DA">
      <w:pPr>
        <w:spacing w:line="360" w:lineRule="auto"/>
        <w:jc w:val="both"/>
      </w:pPr>
      <w:r>
        <w:rPr>
          <w:rFonts w:ascii="Book Antiqua" w:eastAsia="Book Antiqua" w:hAnsi="Book Antiqua" w:cs="Book Antiqua"/>
          <w:color w:val="000000"/>
        </w:rPr>
        <w:t xml:space="preserve">We retrospectively included consecutive cirrhotic patients fulfilling the </w:t>
      </w:r>
      <w:r w:rsidR="0019732C">
        <w:rPr>
          <w:rFonts w:ascii="Book Antiqua" w:eastAsia="Book Antiqua" w:hAnsi="Book Antiqua" w:cs="Book Antiqua"/>
          <w:color w:val="000000"/>
        </w:rPr>
        <w:t>Asian Pacific Association for the Study of the Liver (</w:t>
      </w:r>
      <w:r>
        <w:rPr>
          <w:rFonts w:ascii="Book Antiqua" w:eastAsia="Book Antiqua" w:hAnsi="Book Antiqua" w:cs="Book Antiqua"/>
          <w:color w:val="000000"/>
        </w:rPr>
        <w:t>APASL</w:t>
      </w:r>
      <w:r w:rsidR="0019732C">
        <w:rPr>
          <w:rFonts w:ascii="Book Antiqua" w:eastAsia="Book Antiqua" w:hAnsi="Book Antiqua" w:cs="Book Antiqua"/>
          <w:color w:val="000000"/>
        </w:rPr>
        <w:t>)</w:t>
      </w:r>
      <w:r>
        <w:rPr>
          <w:rFonts w:ascii="Book Antiqua" w:eastAsia="Book Antiqua" w:hAnsi="Book Antiqua" w:cs="Book Antiqua"/>
          <w:color w:val="000000"/>
        </w:rPr>
        <w:t xml:space="preserve"> criteria for ACLF that were hospitalized for acute non-elective indications such as ascites, HE, upper gastrointestinal bleeding, or bacterial infections. The study was conducted in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University Hospital, Iasi, Romania, a tertiary care center, between January 2017 and January 2019. Patients diagnosed with non-hepatic malignancy, human immunodeficiency virus infection, hematological disease as well as pregnant women were excluded. ACLF was defined </w:t>
      </w:r>
      <w:r>
        <w:rPr>
          <w:rFonts w:ascii="Book Antiqua" w:eastAsia="Book Antiqua" w:hAnsi="Book Antiqua" w:cs="Book Antiqua"/>
          <w:color w:val="000000"/>
        </w:rPr>
        <w:lastRenderedPageBreak/>
        <w:t xml:space="preserve">according to the APASL criteria. The </w:t>
      </w:r>
      <w:r w:rsidR="0019732C" w:rsidRPr="00534848">
        <w:rPr>
          <w:rFonts w:ascii="Book Antiqua" w:eastAsia="Book Antiqua" w:hAnsi="Book Antiqua" w:cs="Book Antiqua"/>
          <w:color w:val="000000"/>
        </w:rPr>
        <w:t>APASL ACLF Research Consortium</w:t>
      </w:r>
      <w:r w:rsidR="0019732C">
        <w:rPr>
          <w:rFonts w:ascii="Book Antiqua" w:eastAsia="Book Antiqua" w:hAnsi="Book Antiqua" w:cs="Book Antiqua"/>
          <w:color w:val="000000"/>
        </w:rPr>
        <w:t xml:space="preserve"> (</w:t>
      </w:r>
      <w:r>
        <w:rPr>
          <w:rFonts w:ascii="Book Antiqua" w:eastAsia="Book Antiqua" w:hAnsi="Book Antiqua" w:cs="Book Antiqua"/>
          <w:color w:val="000000"/>
        </w:rPr>
        <w:t>AARC</w:t>
      </w:r>
      <w:r w:rsidR="0019732C">
        <w:rPr>
          <w:rFonts w:ascii="Book Antiqua" w:eastAsia="Book Antiqua" w:hAnsi="Book Antiqua" w:cs="Book Antiqua"/>
          <w:color w:val="000000"/>
        </w:rPr>
        <w:t>)</w:t>
      </w:r>
      <w:r>
        <w:rPr>
          <w:rFonts w:ascii="Book Antiqua" w:eastAsia="Book Antiqua" w:hAnsi="Book Antiqua" w:cs="Book Antiqua"/>
          <w:color w:val="000000"/>
        </w:rPr>
        <w:t xml:space="preserve"> score was calculated and ACLF grade was established accordingly. West-haven classification was used for HE. Statistical analysis was performed using IBM SPSS version 22.0.</w:t>
      </w:r>
    </w:p>
    <w:p w14:paraId="4A8A2F98" w14:textId="77777777" w:rsidR="00A77B3E" w:rsidRDefault="00A77B3E">
      <w:pPr>
        <w:spacing w:line="360" w:lineRule="auto"/>
        <w:jc w:val="both"/>
      </w:pPr>
    </w:p>
    <w:p w14:paraId="3250A812" w14:textId="77777777" w:rsidR="00A77B3E" w:rsidRDefault="007A61DA">
      <w:pPr>
        <w:spacing w:line="360" w:lineRule="auto"/>
        <w:jc w:val="both"/>
      </w:pPr>
      <w:r>
        <w:rPr>
          <w:rFonts w:ascii="Book Antiqua" w:eastAsia="Book Antiqua" w:hAnsi="Book Antiqua" w:cs="Book Antiqua"/>
          <w:b/>
          <w:i/>
          <w:color w:val="000000"/>
        </w:rPr>
        <w:t>Research results</w:t>
      </w:r>
    </w:p>
    <w:p w14:paraId="5B4C89D0" w14:textId="408FF8CD" w:rsidR="00A77B3E" w:rsidRDefault="0019732C">
      <w:pPr>
        <w:spacing w:line="360" w:lineRule="auto"/>
        <w:jc w:val="both"/>
      </w:pPr>
      <w:r w:rsidRPr="00240E5D">
        <w:rPr>
          <w:rFonts w:ascii="Book Antiqua" w:eastAsia="Book Antiqua" w:hAnsi="Book Antiqua" w:cs="Book Antiqua"/>
          <w:color w:val="000000"/>
        </w:rPr>
        <w:t>Five hundred and twenty</w:t>
      </w:r>
      <w:r w:rsidR="007A61DA">
        <w:rPr>
          <w:rFonts w:ascii="Book Antiqua" w:eastAsia="Book Antiqua" w:hAnsi="Book Antiqua" w:cs="Book Antiqua"/>
          <w:color w:val="000000"/>
        </w:rPr>
        <w:t xml:space="preserve"> patients were screened and after applying the exclusion criteria 446 patients were included, aged 59 (50-65) years, 57.4% men. The main etiology of LC was alcohol (78.7%), followed by hepatitis C virus (HCV) infection (11.2%), hepatitis B virus (HBV) infection (6.1%), alcohol and HBV (1.8%), alcohol and HVC (1.3%), HBV and HVC (0.7%). 66.4% had ACLF grade I, 31.2% ACLF grade II, and 2.5% ACLF grade III. HE was diagnosed in 83.9%, 34% grade I, 37.2% grade II, 23.5% grade III, and 5.3% grade IV. Overall mortality was 7.8% and the mean survival of the deceased patients was 5 (3-10) d. ROC analysis showed good accuracy for the prediction of in-hospital mortality for the AARC score </w:t>
      </w:r>
      <w:r>
        <w:rPr>
          <w:rFonts w:ascii="Book Antiqua" w:eastAsia="Book Antiqua" w:hAnsi="Book Antiqua" w:cs="Book Antiqua"/>
          <w:color w:val="000000"/>
        </w:rPr>
        <w:t>[</w:t>
      </w:r>
      <w:r w:rsidRPr="00534848">
        <w:rPr>
          <w:rFonts w:ascii="Book Antiqua" w:eastAsia="Book Antiqua" w:hAnsi="Book Antiqua" w:cs="Book Antiqua"/>
          <w:color w:val="000000"/>
        </w:rPr>
        <w:t xml:space="preserve">Area under </w:t>
      </w:r>
      <w:r>
        <w:rPr>
          <w:rFonts w:ascii="Book Antiqua" w:eastAsia="Book Antiqua" w:hAnsi="Book Antiqua" w:cs="Book Antiqua"/>
          <w:color w:val="000000"/>
        </w:rPr>
        <w:t xml:space="preserve">the </w:t>
      </w:r>
      <w:r w:rsidRPr="00534848">
        <w:rPr>
          <w:rFonts w:ascii="Book Antiqua" w:eastAsia="Book Antiqua" w:hAnsi="Book Antiqua" w:cs="Book Antiqua"/>
          <w:color w:val="000000"/>
        </w:rPr>
        <w:t xml:space="preserve">curve </w:t>
      </w:r>
      <w:r>
        <w:rPr>
          <w:rFonts w:ascii="Book Antiqua" w:eastAsia="Book Antiqua" w:hAnsi="Book Antiqua" w:cs="Book Antiqua"/>
          <w:color w:val="000000"/>
        </w:rPr>
        <w:t xml:space="preserve">(AUC)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0.886</w:t>
      </w:r>
      <w:r>
        <w:rPr>
          <w:rFonts w:ascii="Book Antiqua" w:eastAsia="Book Antiqua" w:hAnsi="Book Antiqua" w:cs="Book Antiqua"/>
          <w:color w:val="000000"/>
        </w:rPr>
        <w:t xml:space="preserve">], </w:t>
      </w:r>
      <w:r w:rsidRPr="00534848">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w:t>
      </w:r>
      <w:r w:rsidR="007A61DA">
        <w:rPr>
          <w:rFonts w:ascii="Book Antiqua" w:eastAsia="Book Antiqua" w:hAnsi="Book Antiqua" w:cs="Book Antiqua"/>
          <w:color w:val="000000"/>
        </w:rPr>
        <w:t>MELD</w:t>
      </w:r>
      <w:r>
        <w:rPr>
          <w:rFonts w:ascii="Book Antiqua" w:eastAsia="Book Antiqua" w:hAnsi="Book Antiqua" w:cs="Book Antiqua"/>
          <w:color w:val="000000"/>
        </w:rPr>
        <w:t>)</w:t>
      </w:r>
      <w:r w:rsidR="007A61DA">
        <w:rPr>
          <w:rFonts w:ascii="Book Antiqua" w:eastAsia="Book Antiqua" w:hAnsi="Book Antiqua" w:cs="Book Antiqua"/>
          <w:color w:val="000000"/>
        </w:rPr>
        <w:t xml:space="preserve">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0.816), VA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0.812) and a fair accuracy for the Child-Pugh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 xml:space="preserve">0.799). A cut-off value for the prediction of mortality was identified for VA (152.5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/L, sensitivity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 xml:space="preserve">0.190). We identified acute kidney injury, severe HE (grade III or IV), VA ≥ 152.5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 xml:space="preserve">/L, MELD score ≥ 22.5, Child-Pugh score ≥ 12.5, and AARC score ≥ 8.5 to be associated with in-hospital mortality. Multivariate analysis found AARC score ≥ 8.5 and venous ammonia ≥ 152 </w:t>
      </w:r>
      <w:proofErr w:type="spellStart"/>
      <w:r w:rsidR="007A61DA">
        <w:rPr>
          <w:rFonts w:ascii="Book Antiqua" w:eastAsia="Book Antiqua" w:hAnsi="Book Antiqua" w:cs="Book Antiqua"/>
          <w:color w:val="000000"/>
        </w:rPr>
        <w:t>μmol</w:t>
      </w:r>
      <w:proofErr w:type="spellEnd"/>
      <w:r w:rsidR="007A61DA">
        <w:rPr>
          <w:rFonts w:ascii="Book Antiqua" w:eastAsia="Book Antiqua" w:hAnsi="Book Antiqua" w:cs="Book Antiqua"/>
          <w:color w:val="000000"/>
        </w:rPr>
        <w:t>/L to be independent predictors of in-hospital mortality.</w:t>
      </w:r>
    </w:p>
    <w:p w14:paraId="224FD126" w14:textId="77777777" w:rsidR="00A77B3E" w:rsidRDefault="00A77B3E">
      <w:pPr>
        <w:spacing w:line="360" w:lineRule="auto"/>
        <w:jc w:val="both"/>
      </w:pPr>
    </w:p>
    <w:p w14:paraId="6B175773" w14:textId="77777777" w:rsidR="00A77B3E" w:rsidRDefault="007A61DA">
      <w:pPr>
        <w:spacing w:line="360" w:lineRule="auto"/>
        <w:jc w:val="both"/>
      </w:pPr>
      <w:r>
        <w:rPr>
          <w:rFonts w:ascii="Book Antiqua" w:eastAsia="Book Antiqua" w:hAnsi="Book Antiqua" w:cs="Book Antiqua"/>
          <w:b/>
          <w:i/>
          <w:color w:val="000000"/>
        </w:rPr>
        <w:t>Research conclusions</w:t>
      </w:r>
    </w:p>
    <w:p w14:paraId="7982BCE7" w14:textId="5AC3BEC2" w:rsidR="00A77B3E" w:rsidRDefault="007A61DA">
      <w:pPr>
        <w:spacing w:line="360" w:lineRule="auto"/>
        <w:jc w:val="both"/>
      </w:pPr>
      <w:r>
        <w:rPr>
          <w:rFonts w:ascii="Book Antiqua" w:eastAsia="Book Antiqua" w:hAnsi="Book Antiqua" w:cs="Book Antiqua"/>
          <w:color w:val="000000"/>
        </w:rPr>
        <w:t xml:space="preserve">Our data indicated that VA represented a useful prognostic marker for patients with ACLF diagnosed according to the APASL definition. Moreover, the cut-off value of 152.5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was independently associated with the risk of death with a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0.706 for a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0.190. </w:t>
      </w:r>
    </w:p>
    <w:p w14:paraId="2795D9F0" w14:textId="77777777" w:rsidR="00A77B3E" w:rsidRDefault="00A77B3E">
      <w:pPr>
        <w:spacing w:line="360" w:lineRule="auto"/>
        <w:jc w:val="both"/>
      </w:pPr>
    </w:p>
    <w:p w14:paraId="3AD694F2" w14:textId="77777777" w:rsidR="00A77B3E" w:rsidRDefault="007A61DA">
      <w:pPr>
        <w:spacing w:line="360" w:lineRule="auto"/>
        <w:jc w:val="both"/>
      </w:pPr>
      <w:r>
        <w:rPr>
          <w:rFonts w:ascii="Book Antiqua" w:eastAsia="Book Antiqua" w:hAnsi="Book Antiqua" w:cs="Book Antiqua"/>
          <w:b/>
          <w:i/>
          <w:color w:val="000000"/>
        </w:rPr>
        <w:t>Research perspectives</w:t>
      </w:r>
    </w:p>
    <w:p w14:paraId="551CC9B3" w14:textId="77777777" w:rsidR="00A77B3E" w:rsidRDefault="007A61DA">
      <w:pPr>
        <w:spacing w:line="360" w:lineRule="auto"/>
        <w:jc w:val="both"/>
      </w:pPr>
      <w:r>
        <w:rPr>
          <w:rFonts w:ascii="Book Antiqua" w:eastAsia="Book Antiqua" w:hAnsi="Book Antiqua" w:cs="Book Antiqua"/>
          <w:color w:val="000000"/>
        </w:rPr>
        <w:lastRenderedPageBreak/>
        <w:t>Prospective large additional studies should be performed in order to confirm whether the use of ammonia lowering agents guided by VA levels could improve survival in patients with ACLF.</w:t>
      </w:r>
    </w:p>
    <w:p w14:paraId="4C72C44C" w14:textId="77777777" w:rsidR="00A77B3E" w:rsidRDefault="00A77B3E">
      <w:pPr>
        <w:spacing w:line="360" w:lineRule="auto"/>
        <w:jc w:val="both"/>
      </w:pPr>
    </w:p>
    <w:p w14:paraId="69E18381" w14:textId="77777777" w:rsidR="00A77B3E" w:rsidRDefault="007A61DA">
      <w:pPr>
        <w:spacing w:line="360" w:lineRule="auto"/>
        <w:jc w:val="both"/>
      </w:pPr>
      <w:r>
        <w:rPr>
          <w:rFonts w:ascii="Book Antiqua" w:eastAsia="Book Antiqua" w:hAnsi="Book Antiqua" w:cs="Book Antiqua"/>
          <w:b/>
          <w:color w:val="000000"/>
        </w:rPr>
        <w:t>REFERENCES</w:t>
      </w:r>
    </w:p>
    <w:p w14:paraId="0B7EDB49" w14:textId="77777777" w:rsidR="00A77B3E" w:rsidRDefault="007A61DA">
      <w:pPr>
        <w:spacing w:line="360" w:lineRule="auto"/>
        <w:jc w:val="both"/>
      </w:pPr>
      <w:bookmarkStart w:id="3" w:name="OLE_LINK2466"/>
      <w:bookmarkStart w:id="4" w:name="OLE_LINK2467"/>
      <w:r>
        <w:rPr>
          <w:rFonts w:ascii="Book Antiqua" w:eastAsia="Book Antiqua" w:hAnsi="Book Antiqua" w:cs="Book Antiqua"/>
          <w:color w:val="000000"/>
        </w:rPr>
        <w:t xml:space="preserve">1 </w:t>
      </w:r>
      <w:r>
        <w:rPr>
          <w:rFonts w:ascii="Book Antiqua" w:eastAsia="Book Antiqua" w:hAnsi="Book Antiqua" w:cs="Book Antiqua"/>
          <w:b/>
          <w:bCs/>
          <w:color w:val="000000"/>
        </w:rPr>
        <w:t>Jaeger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DeMorrow</w:t>
      </w:r>
      <w:proofErr w:type="spellEnd"/>
      <w:r>
        <w:rPr>
          <w:rFonts w:ascii="Book Antiqua" w:eastAsia="Book Antiqua" w:hAnsi="Book Antiqua" w:cs="Book Antiqua"/>
          <w:color w:val="000000"/>
        </w:rPr>
        <w:t xml:space="preserve"> S, McMillin M. The Direct Contribution of Astrocytes and Microglia to the Pathogenesis of Hepatic Encephalopathy.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352-361 [PMID: 31915605 DOI: 10.14218/JCTH.2019.00025]</w:t>
      </w:r>
    </w:p>
    <w:p w14:paraId="1CAF36D2" w14:textId="77777777" w:rsidR="00A77B3E" w:rsidRDefault="007A61D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Laish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Ben Ari Z. Noncirrhotic </w:t>
      </w:r>
      <w:proofErr w:type="spellStart"/>
      <w:r>
        <w:rPr>
          <w:rFonts w:ascii="Book Antiqua" w:eastAsia="Book Antiqua" w:hAnsi="Book Antiqua" w:cs="Book Antiqua"/>
          <w:color w:val="000000"/>
        </w:rPr>
        <w:t>hyperammonaemic</w:t>
      </w:r>
      <w:proofErr w:type="spellEnd"/>
      <w:r>
        <w:rPr>
          <w:rFonts w:ascii="Book Antiqua" w:eastAsia="Book Antiqua" w:hAnsi="Book Antiqua" w:cs="Book Antiqua"/>
          <w:color w:val="000000"/>
        </w:rPr>
        <w:t xml:space="preserve"> encephalopathy.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1259-1270 [PMID: 21745294 DOI: 10.1111/j.1478-3231.</w:t>
      </w:r>
      <w:proofErr w:type="gramStart"/>
      <w:r>
        <w:rPr>
          <w:rFonts w:ascii="Book Antiqua" w:eastAsia="Book Antiqua" w:hAnsi="Book Antiqua" w:cs="Book Antiqua"/>
          <w:color w:val="000000"/>
        </w:rPr>
        <w:t>2011.02550.x</w:t>
      </w:r>
      <w:proofErr w:type="gramEnd"/>
      <w:r>
        <w:rPr>
          <w:rFonts w:ascii="Book Antiqua" w:eastAsia="Book Antiqua" w:hAnsi="Book Antiqua" w:cs="Book Antiqua"/>
          <w:color w:val="000000"/>
        </w:rPr>
        <w:t>]</w:t>
      </w:r>
    </w:p>
    <w:p w14:paraId="08D6CBB7" w14:textId="77777777" w:rsidR="00A77B3E" w:rsidRDefault="007A61D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Triplett KE</w:t>
      </w:r>
      <w:r w:rsidRPr="000E198A">
        <w:rPr>
          <w:rFonts w:ascii="Book Antiqua" w:eastAsia="Book Antiqua" w:hAnsi="Book Antiqua" w:cs="Book Antiqua"/>
          <w:color w:val="000000"/>
        </w:rPr>
        <w:t xml:space="preserve">, </w:t>
      </w:r>
      <w:r>
        <w:rPr>
          <w:rFonts w:ascii="Book Antiqua" w:eastAsia="Book Antiqua" w:hAnsi="Book Antiqua" w:cs="Book Antiqua"/>
          <w:color w:val="000000"/>
        </w:rPr>
        <w:t xml:space="preserve">Murray R, Anstey M. Multifactorial non-cirrhotic </w:t>
      </w:r>
      <w:proofErr w:type="spellStart"/>
      <w:r>
        <w:rPr>
          <w:rFonts w:ascii="Book Antiqua" w:eastAsia="Book Antiqua" w:hAnsi="Book Antiqua" w:cs="Book Antiqua"/>
          <w:color w:val="000000"/>
        </w:rPr>
        <w:t>hyperammonaemic</w:t>
      </w:r>
      <w:proofErr w:type="spellEnd"/>
      <w:r>
        <w:rPr>
          <w:rFonts w:ascii="Book Antiqua" w:eastAsia="Book Antiqua" w:hAnsi="Book Antiqua" w:cs="Book Antiqua"/>
          <w:color w:val="000000"/>
        </w:rPr>
        <w:t xml:space="preserve"> encephalopathy. </w:t>
      </w:r>
      <w:r w:rsidRPr="000E198A">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sidRPr="000E198A">
        <w:rPr>
          <w:rFonts w:ascii="Book Antiqua" w:eastAsia="Book Antiqua" w:hAnsi="Book Antiqua" w:cs="Book Antiqua"/>
          <w:b/>
          <w:bCs/>
          <w:color w:val="000000"/>
        </w:rPr>
        <w:t>2018</w:t>
      </w:r>
      <w:r>
        <w:rPr>
          <w:rFonts w:ascii="Book Antiqua" w:eastAsia="Book Antiqua" w:hAnsi="Book Antiqua" w:cs="Book Antiqua"/>
          <w:color w:val="000000"/>
        </w:rPr>
        <w:t xml:space="preserve"> [PMID: </w:t>
      </w:r>
      <w:r w:rsidR="000E198A" w:rsidRPr="000E198A">
        <w:rPr>
          <w:rFonts w:ascii="Book Antiqua" w:eastAsia="Book Antiqua" w:hAnsi="Book Antiqua" w:cs="Book Antiqua"/>
          <w:color w:val="000000"/>
        </w:rPr>
        <w:t>29523611</w:t>
      </w:r>
      <w:r>
        <w:rPr>
          <w:rFonts w:ascii="Book Antiqua" w:eastAsia="Book Antiqua" w:hAnsi="Book Antiqua" w:cs="Book Antiqua"/>
          <w:color w:val="000000"/>
        </w:rPr>
        <w:t xml:space="preserve"> DOI: 10.1136/bcr-2017-223245]</w:t>
      </w:r>
    </w:p>
    <w:p w14:paraId="3351F283" w14:textId="77777777" w:rsidR="00A77B3E" w:rsidRDefault="007A61D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Sarin SK</w:t>
      </w:r>
      <w:r w:rsidRPr="000E198A">
        <w:rPr>
          <w:rFonts w:ascii="Book Antiqua" w:eastAsia="Book Antiqua" w:hAnsi="Book Antiqua" w:cs="Book Antiqua"/>
          <w:color w:val="000000"/>
        </w:rPr>
        <w:t xml:space="preserve">, </w:t>
      </w:r>
      <w:r>
        <w:rPr>
          <w:rFonts w:ascii="Book Antiqua" w:eastAsia="Book Antiqua" w:hAnsi="Book Antiqua" w:cs="Book Antiqua"/>
          <w:color w:val="000000"/>
        </w:rPr>
        <w:t xml:space="preserve">Choudhury A, Sharma MK, </w:t>
      </w:r>
      <w:proofErr w:type="spellStart"/>
      <w:r>
        <w:rPr>
          <w:rFonts w:ascii="Book Antiqua" w:eastAsia="Book Antiqua" w:hAnsi="Book Antiqua" w:cs="Book Antiqua"/>
          <w:color w:val="000000"/>
        </w:rPr>
        <w:t>Maiwall</w:t>
      </w:r>
      <w:proofErr w:type="spellEnd"/>
      <w:r>
        <w:rPr>
          <w:rFonts w:ascii="Book Antiqua" w:eastAsia="Book Antiqua" w:hAnsi="Book Antiqua" w:cs="Book Antiqua"/>
          <w:color w:val="000000"/>
        </w:rPr>
        <w:t xml:space="preserve"> R,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Rahman S, </w:t>
      </w:r>
      <w:proofErr w:type="spellStart"/>
      <w:r>
        <w:rPr>
          <w:rFonts w:ascii="Book Antiqua" w:eastAsia="Book Antiqua" w:hAnsi="Book Antiqua" w:cs="Book Antiqua"/>
          <w:color w:val="000000"/>
        </w:rPr>
        <w:t>Saigal</w:t>
      </w:r>
      <w:proofErr w:type="spellEnd"/>
      <w:r>
        <w:rPr>
          <w:rFonts w:ascii="Book Antiqua" w:eastAsia="Book Antiqua" w:hAnsi="Book Antiqua" w:cs="Book Antiqua"/>
          <w:color w:val="000000"/>
        </w:rPr>
        <w:t xml:space="preserve"> S, Saraf N,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Kim DJ, Dhiman RK,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Taneja S,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CE, Goel A, Ning Q, Chen T, Ma K, Duan Z, Yu C,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Hamid SS, Butt AS, Jafri W, Shukla A, Saraswat V, Tan SS,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Goyal O, </w:t>
      </w:r>
      <w:proofErr w:type="spellStart"/>
      <w:r>
        <w:rPr>
          <w:rFonts w:ascii="Book Antiqua" w:eastAsia="Book Antiqua" w:hAnsi="Book Antiqua" w:cs="Book Antiqua"/>
          <w:color w:val="000000"/>
        </w:rPr>
        <w:t>Ghazinyan</w:t>
      </w:r>
      <w:proofErr w:type="spellEnd"/>
      <w:r>
        <w:rPr>
          <w:rFonts w:ascii="Book Antiqua" w:eastAsia="Book Antiqua" w:hAnsi="Book Antiqua" w:cs="Book Antiqua"/>
          <w:color w:val="000000"/>
        </w:rPr>
        <w:t xml:space="preserve"> H, Arora A, Hu J,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M, Rao PN, Lee GH, Lim SG,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 Shah S, Prasad VGM,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Abbas Z,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JD, Carpio G, </w:t>
      </w:r>
      <w:proofErr w:type="spellStart"/>
      <w:r>
        <w:rPr>
          <w:rFonts w:ascii="Book Antiqua" w:eastAsia="Book Antiqua" w:hAnsi="Book Antiqua" w:cs="Book Antiqua"/>
          <w:color w:val="000000"/>
        </w:rPr>
        <w:t>Shresta</w:t>
      </w:r>
      <w:proofErr w:type="spellEnd"/>
      <w:r>
        <w:rPr>
          <w:rFonts w:ascii="Book Antiqua" w:eastAsia="Book Antiqua" w:hAnsi="Book Antiqua" w:cs="Book Antiqua"/>
          <w:color w:val="000000"/>
        </w:rPr>
        <w:t xml:space="preserve"> A, Lau GK, Fazal Karim M, </w:t>
      </w:r>
      <w:proofErr w:type="spellStart"/>
      <w:r>
        <w:rPr>
          <w:rFonts w:ascii="Book Antiqua" w:eastAsia="Book Antiqua" w:hAnsi="Book Antiqua" w:cs="Book Antiqua"/>
          <w:color w:val="000000"/>
        </w:rPr>
        <w:t>Shiha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KF, Yuen MF,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Khanna R,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V, Lal BB, </w:t>
      </w:r>
      <w:proofErr w:type="spellStart"/>
      <w:r>
        <w:rPr>
          <w:rFonts w:ascii="Book Antiqua" w:eastAsia="Book Antiqua" w:hAnsi="Book Antiqua" w:cs="Book Antiqua"/>
          <w:color w:val="000000"/>
        </w:rPr>
        <w:t>Pamecha</w:t>
      </w:r>
      <w:proofErr w:type="spellEnd"/>
      <w:r>
        <w:rPr>
          <w:rFonts w:ascii="Book Antiqua" w:eastAsia="Book Antiqua" w:hAnsi="Book Antiqua" w:cs="Book Antiqua"/>
          <w:color w:val="000000"/>
        </w:rPr>
        <w:t xml:space="preserve"> V, Jindal A,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V, Arora V, Yokosuka O, </w:t>
      </w:r>
      <w:proofErr w:type="spellStart"/>
      <w:r>
        <w:rPr>
          <w:rFonts w:ascii="Book Antiqua" w:eastAsia="Book Antiqua" w:hAnsi="Book Antiqua" w:cs="Book Antiqua"/>
          <w:color w:val="000000"/>
        </w:rPr>
        <w:t>Niriella</w:t>
      </w:r>
      <w:proofErr w:type="spellEnd"/>
      <w:r>
        <w:rPr>
          <w:rFonts w:ascii="Book Antiqua" w:eastAsia="Book Antiqua" w:hAnsi="Book Antiqua" w:cs="Book Antiqua"/>
          <w:color w:val="000000"/>
        </w:rPr>
        <w:t xml:space="preserve"> MA, Li H, Qi X, Tanaka A, Mochida S, Chaudhuri DR,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Win KM, Chen WT,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Kapoor D, Rastogi A, Kale P, Rastogi A, Sharma CB, Bajpai M, Singh 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Maharashi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Olithselvan</w:t>
      </w:r>
      <w:proofErr w:type="spellEnd"/>
      <w:r>
        <w:rPr>
          <w:rFonts w:ascii="Book Antiqua" w:eastAsia="Book Antiqua" w:hAnsi="Book Antiqua" w:cs="Book Antiqua"/>
          <w:color w:val="000000"/>
        </w:rPr>
        <w:t xml:space="preserve"> A, Philips CA, Srivastava A, </w:t>
      </w:r>
      <w:proofErr w:type="spellStart"/>
      <w:r>
        <w:rPr>
          <w:rFonts w:ascii="Book Antiqua" w:eastAsia="Book Antiqua" w:hAnsi="Book Antiqua" w:cs="Book Antiqua"/>
          <w:color w:val="000000"/>
        </w:rPr>
        <w:t>Yachha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ZA, Thapa BR, </w:t>
      </w:r>
      <w:proofErr w:type="spellStart"/>
      <w:r>
        <w:rPr>
          <w:rFonts w:ascii="Book Antiqua" w:eastAsia="Book Antiqua" w:hAnsi="Book Antiqua" w:cs="Book Antiqua"/>
          <w:color w:val="000000"/>
        </w:rPr>
        <w:t>Saraya</w:t>
      </w:r>
      <w:proofErr w:type="spellEnd"/>
      <w:r>
        <w:rPr>
          <w:rFonts w:ascii="Book Antiqua" w:eastAsia="Book Antiqua" w:hAnsi="Book Antiqua" w:cs="Book Antiqua"/>
          <w:color w:val="000000"/>
        </w:rPr>
        <w:t xml:space="preserve"> A, Shalimar, Kumar A, Wadhawan M, Gupta S, Madan K, </w:t>
      </w:r>
      <w:proofErr w:type="spellStart"/>
      <w:r>
        <w:rPr>
          <w:rFonts w:ascii="Book Antiqua" w:eastAsia="Book Antiqua" w:hAnsi="Book Antiqua" w:cs="Book Antiqua"/>
          <w:color w:val="000000"/>
        </w:rPr>
        <w:t>Sakhuja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V, Sharma BC, Garg H, Garg V, </w:t>
      </w:r>
      <w:proofErr w:type="spellStart"/>
      <w:r>
        <w:rPr>
          <w:rFonts w:ascii="Book Antiqua" w:eastAsia="Book Antiqua" w:hAnsi="Book Antiqua" w:cs="Book Antiqua"/>
          <w:color w:val="000000"/>
        </w:rPr>
        <w:t>Kalal</w:t>
      </w:r>
      <w:proofErr w:type="spellEnd"/>
      <w:r>
        <w:rPr>
          <w:rFonts w:ascii="Book Antiqua" w:eastAsia="Book Antiqua" w:hAnsi="Book Antiqua" w:cs="Book Antiqua"/>
          <w:color w:val="000000"/>
        </w:rPr>
        <w:t xml:space="preserve"> C, Anand L, Vyas T, Mathur RP, Kumar G, Jain P, </w:t>
      </w:r>
      <w:proofErr w:type="spellStart"/>
      <w:r>
        <w:rPr>
          <w:rFonts w:ascii="Book Antiqua" w:eastAsia="Book Antiqua" w:hAnsi="Book Antiqua" w:cs="Book Antiqua"/>
          <w:color w:val="000000"/>
        </w:rPr>
        <w:t>Pasupuleti</w:t>
      </w:r>
      <w:proofErr w:type="spellEnd"/>
      <w:r>
        <w:rPr>
          <w:rFonts w:ascii="Book Antiqua" w:eastAsia="Book Antiqua" w:hAnsi="Book Antiqua" w:cs="Book Antiqua"/>
          <w:color w:val="000000"/>
        </w:rPr>
        <w:t xml:space="preserve"> SSR, Chawla YK, Chowdhury A,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Song DS, Yang JM, Yoon EL; APASL ACLF Research Consortium (AARC) for APASL ACLF working Party. Acute-on-chronic liver failure: consensus recommendations of the Asian Pacific association for the study of the </w:t>
      </w:r>
      <w:r>
        <w:rPr>
          <w:rFonts w:ascii="Book Antiqua" w:eastAsia="Book Antiqua" w:hAnsi="Book Antiqua" w:cs="Book Antiqua"/>
          <w:color w:val="000000"/>
        </w:rPr>
        <w:lastRenderedPageBreak/>
        <w:t xml:space="preserve">liver (APASL): an update. </w:t>
      </w:r>
      <w:r w:rsidRPr="000E198A">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sidRPr="000E198A">
        <w:rPr>
          <w:rFonts w:ascii="Book Antiqua" w:eastAsia="Book Antiqua" w:hAnsi="Book Antiqua" w:cs="Book Antiqua"/>
          <w:b/>
          <w:bCs/>
          <w:color w:val="000000"/>
        </w:rPr>
        <w:t>13</w:t>
      </w:r>
      <w:r>
        <w:rPr>
          <w:rFonts w:ascii="Book Antiqua" w:eastAsia="Book Antiqua" w:hAnsi="Book Antiqua" w:cs="Book Antiqua"/>
          <w:color w:val="000000"/>
        </w:rPr>
        <w:t xml:space="preserve">: 353-390 [PMID: </w:t>
      </w:r>
      <w:r w:rsidR="000E198A" w:rsidRPr="000E198A">
        <w:rPr>
          <w:rFonts w:ascii="Book Antiqua" w:eastAsia="Book Antiqua" w:hAnsi="Book Antiqua" w:cs="Book Antiqua"/>
          <w:color w:val="000000"/>
        </w:rPr>
        <w:t>31172417</w:t>
      </w:r>
      <w:r>
        <w:rPr>
          <w:rFonts w:ascii="Book Antiqua" w:eastAsia="Book Antiqua" w:hAnsi="Book Antiqua" w:cs="Book Antiqua"/>
          <w:color w:val="000000"/>
        </w:rPr>
        <w:t xml:space="preserve"> DOI: 10.1007/s12072-019-09946-3]</w:t>
      </w:r>
    </w:p>
    <w:p w14:paraId="69D16CEB" w14:textId="77777777" w:rsidR="00A77B3E" w:rsidRDefault="007A61D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Favaretto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Tonon</w:t>
      </w:r>
      <w:proofErr w:type="spellEnd"/>
      <w:r>
        <w:rPr>
          <w:rFonts w:ascii="Book Antiqua" w:eastAsia="Book Antiqua" w:hAnsi="Book Antiqua" w:cs="Book Antiqua"/>
          <w:color w:val="000000"/>
        </w:rPr>
        <w:t xml:space="preserve"> M, Antonelli G, </w:t>
      </w:r>
      <w:proofErr w:type="spellStart"/>
      <w:r>
        <w:rPr>
          <w:rFonts w:ascii="Book Antiqua" w:eastAsia="Book Antiqua" w:hAnsi="Book Antiqua" w:cs="Book Antiqua"/>
          <w:color w:val="000000"/>
        </w:rPr>
        <w:t>Brocca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Sticca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Mareso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Gringeri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Scaroni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Russo FP, Burra P,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Including Relative Adrenal Insufficiency in Definition and Classification of Acute-on-Chronic Liver Failure.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1188-1196.e3 [PMID: 31589973 DOI: 10.1016/j.cgh.2019.09.035]</w:t>
      </w:r>
    </w:p>
    <w:p w14:paraId="224C71B4" w14:textId="77777777" w:rsidR="00A77B3E" w:rsidRDefault="007A61D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Update on adrenal insufficiency in patients with liver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445-456 [PMID: 23382623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4.445]</w:t>
      </w:r>
    </w:p>
    <w:p w14:paraId="69B2C34E" w14:textId="77777777" w:rsidR="00A77B3E" w:rsidRDefault="007A61D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Seyan</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Hughes RD,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DL. Changing face of hepatic encephalopathy: role of inflammation and oxidative stress.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3347-3357 [PMID: 20632436 DOI: 10.3748/</w:t>
      </w:r>
      <w:proofErr w:type="gramStart"/>
      <w:r>
        <w:rPr>
          <w:rFonts w:ascii="Book Antiqua" w:eastAsia="Book Antiqua" w:hAnsi="Book Antiqua" w:cs="Book Antiqua"/>
          <w:color w:val="000000"/>
        </w:rPr>
        <w:t>wjg.v16.i</w:t>
      </w:r>
      <w:proofErr w:type="gramEnd"/>
      <w:r>
        <w:rPr>
          <w:rFonts w:ascii="Book Antiqua" w:eastAsia="Book Antiqua" w:hAnsi="Book Antiqua" w:cs="Book Antiqua"/>
          <w:color w:val="000000"/>
        </w:rPr>
        <w:t>27.3347]</w:t>
      </w:r>
    </w:p>
    <w:p w14:paraId="09FB7B07" w14:textId="77777777" w:rsidR="00A77B3E" w:rsidRDefault="007A61D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Liotta EM</w:t>
      </w:r>
      <w:r>
        <w:rPr>
          <w:rFonts w:ascii="Book Antiqua" w:eastAsia="Book Antiqua" w:hAnsi="Book Antiqua" w:cs="Book Antiqua"/>
          <w:color w:val="000000"/>
        </w:rPr>
        <w:t xml:space="preserve">, Kimberly WT. Cerebral edema and liver disease: Classic perspectives and contemporary hypotheses on mechanism.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721</w:t>
      </w:r>
      <w:r>
        <w:rPr>
          <w:rFonts w:ascii="Book Antiqua" w:eastAsia="Book Antiqua" w:hAnsi="Book Antiqua" w:cs="Book Antiqua"/>
          <w:color w:val="000000"/>
        </w:rPr>
        <w:t>: 134818 [PMID: 32035166 DOI: 10.1016/j.neulet.2020.134818]</w:t>
      </w:r>
    </w:p>
    <w:p w14:paraId="0FAB8068" w14:textId="77777777" w:rsidR="00A77B3E" w:rsidRDefault="007A61D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Kale RA</w:t>
      </w:r>
      <w:r>
        <w:rPr>
          <w:rFonts w:ascii="Book Antiqua" w:eastAsia="Book Antiqua" w:hAnsi="Book Antiqua" w:cs="Book Antiqua"/>
          <w:color w:val="000000"/>
        </w:rPr>
        <w:t xml:space="preserve">, Gupta RK, Saraswat VA, Hasan KM, Trivedi R, Mishra AM, Ranjan P, Pandey CM, Narayana PA. Demonstration of interstitial cerebral edema with diffusion tensor MR imaging in type C hepatic encephalopathy.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698-706 [PMID: 16557540 DOI: 10.1002/hep.21114]</w:t>
      </w:r>
    </w:p>
    <w:p w14:paraId="4169C67C" w14:textId="77777777" w:rsidR="00A77B3E" w:rsidRDefault="007A61D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Häussinger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Low grade cerebral edema and the pathogenesis of hepatic encephalopathy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1187-1190 [PMID: 16729329 DOI: 10.1002/hep.21235]</w:t>
      </w:r>
    </w:p>
    <w:p w14:paraId="11F05F70" w14:textId="5F38BA4D" w:rsidR="00A77B3E" w:rsidRDefault="007A61D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Joshi D</w:t>
      </w:r>
      <w:r>
        <w:rPr>
          <w:rFonts w:ascii="Book Antiqua" w:eastAsia="Book Antiqua" w:hAnsi="Book Antiqua" w:cs="Book Antiqua"/>
          <w:color w:val="000000"/>
        </w:rPr>
        <w:t xml:space="preserve">, O'Grady J, Patel A,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D, Connor S, </w:t>
      </w:r>
      <w:proofErr w:type="spellStart"/>
      <w:r>
        <w:rPr>
          <w:rFonts w:ascii="Book Antiqua" w:eastAsia="Book Antiqua" w:hAnsi="Book Antiqua" w:cs="Book Antiqua"/>
          <w:color w:val="000000"/>
        </w:rPr>
        <w:t>Deasy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Willars</w:t>
      </w:r>
      <w:proofErr w:type="spellEnd"/>
      <w:r>
        <w:rPr>
          <w:rFonts w:ascii="Book Antiqua" w:eastAsia="Book Antiqua" w:hAnsi="Book Antiqua" w:cs="Book Antiqua"/>
          <w:color w:val="000000"/>
        </w:rPr>
        <w:t xml:space="preserve"> C, Bernal W,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Auzinger</w:t>
      </w:r>
      <w:proofErr w:type="spellEnd"/>
      <w:r>
        <w:rPr>
          <w:rFonts w:ascii="Book Antiqua" w:eastAsia="Book Antiqua" w:hAnsi="Book Antiqua" w:cs="Book Antiqua"/>
          <w:color w:val="000000"/>
        </w:rPr>
        <w:t xml:space="preserve"> G. Cerebral oedema is rare in acute-on-chronic liver failure patients presenting with high-grade hepatic encephalopathy.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362-366 [PMID: 23844567 DOI: 10.1111/</w:t>
      </w:r>
      <w:r w:rsidR="00A455CD">
        <w:rPr>
          <w:rFonts w:ascii="Book Antiqua" w:eastAsia="Book Antiqua" w:hAnsi="Book Antiqua" w:cs="Book Antiqua"/>
          <w:color w:val="000000"/>
        </w:rPr>
        <w:t>l</w:t>
      </w:r>
      <w:r>
        <w:rPr>
          <w:rFonts w:ascii="Book Antiqua" w:eastAsia="Book Antiqua" w:hAnsi="Book Antiqua" w:cs="Book Antiqua"/>
          <w:color w:val="000000"/>
        </w:rPr>
        <w:t>iv.12257]</w:t>
      </w:r>
    </w:p>
    <w:p w14:paraId="4D89FDBD" w14:textId="4C179F72" w:rsidR="00A77B3E" w:rsidRDefault="007A61D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Sawhney R</w:t>
      </w:r>
      <w:r>
        <w:rPr>
          <w:rFonts w:ascii="Book Antiqua" w:eastAsia="Book Antiqua" w:hAnsi="Book Antiqua" w:cs="Book Antiqua"/>
          <w:color w:val="000000"/>
        </w:rPr>
        <w:t xml:space="preserve">, Holland-Fischer P, </w:t>
      </w:r>
      <w:proofErr w:type="spellStart"/>
      <w:r>
        <w:rPr>
          <w:rFonts w:ascii="Book Antiqua" w:eastAsia="Book Antiqua" w:hAnsi="Book Antiqua" w:cs="Book Antiqua"/>
          <w:color w:val="000000"/>
        </w:rPr>
        <w:t>Rosselli</w:t>
      </w:r>
      <w:proofErr w:type="spellEnd"/>
      <w:r>
        <w:rPr>
          <w:rFonts w:ascii="Book Antiqua" w:eastAsia="Book Antiqua" w:hAnsi="Book Antiqua" w:cs="Book Antiqua"/>
          <w:color w:val="000000"/>
        </w:rPr>
        <w:t xml:space="preserve"> M, Mookerjee RP, Agarwal B, Jalan R. Role of ammonia, inflammation, and cerebral oxygenation in brain dysfunction of acute-on-</w:t>
      </w:r>
      <w:r>
        <w:rPr>
          <w:rFonts w:ascii="Book Antiqua" w:eastAsia="Book Antiqua" w:hAnsi="Book Antiqua" w:cs="Book Antiqua"/>
          <w:color w:val="000000"/>
        </w:rPr>
        <w:lastRenderedPageBreak/>
        <w:t xml:space="preserve">chronic liver failure patients.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732-742 [PMID: 27028317 DOI: 10.1002/</w:t>
      </w:r>
      <w:r w:rsidR="00A455CD">
        <w:rPr>
          <w:rFonts w:ascii="Book Antiqua" w:eastAsia="Book Antiqua" w:hAnsi="Book Antiqua" w:cs="Book Antiqua"/>
          <w:color w:val="000000"/>
        </w:rPr>
        <w:t>l</w:t>
      </w:r>
      <w:r>
        <w:rPr>
          <w:rFonts w:ascii="Book Antiqua" w:eastAsia="Book Antiqua" w:hAnsi="Book Antiqua" w:cs="Book Antiqua"/>
          <w:color w:val="000000"/>
        </w:rPr>
        <w:t>t.24443]</w:t>
      </w:r>
    </w:p>
    <w:p w14:paraId="41D82263" w14:textId="77777777" w:rsidR="00A77B3E" w:rsidRDefault="007A61D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 C</w:t>
      </w:r>
      <w:r>
        <w:rPr>
          <w:rFonts w:ascii="Book Antiqua" w:eastAsia="Book Antiqua" w:hAnsi="Book Antiqua" w:cs="Book Antiqua"/>
          <w:color w:val="000000"/>
        </w:rPr>
        <w:t xml:space="preserve">, Huang K, Zhao L, Zhang F, Wu Z, Li L. Serum ammonia is a strong prognostic factor for patients with acute-on-chronic liver failure.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16970 [PMID: 33046732 DOI: 10.1038/s41598-020-73603-1]</w:t>
      </w:r>
    </w:p>
    <w:p w14:paraId="1BAC0AEE" w14:textId="77777777" w:rsidR="00A77B3E" w:rsidRDefault="007A61D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Shalimar</w:t>
      </w:r>
      <w:r>
        <w:rPr>
          <w:rFonts w:ascii="Book Antiqua" w:eastAsia="Book Antiqua" w:hAnsi="Book Antiqua" w:cs="Book Antiqua"/>
          <w:color w:val="000000"/>
        </w:rPr>
        <w:t xml:space="preserve">, Sheikh MF, Mookerjee RP, Agarwal B, Acharya SK, Jalan R. Prognostic Role of Ammonia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982-994 [PMID: 30703853 DOI: 10.1002/hep.30534]</w:t>
      </w:r>
    </w:p>
    <w:p w14:paraId="322C1392" w14:textId="77777777" w:rsidR="00A77B3E" w:rsidRDefault="007A61D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Shalimar, Sharma H, Prakash S, Panda SK, </w:t>
      </w:r>
      <w:proofErr w:type="spellStart"/>
      <w:r>
        <w:rPr>
          <w:rFonts w:ascii="Book Antiqua" w:eastAsia="Book Antiqua" w:hAnsi="Book Antiqua" w:cs="Book Antiqua"/>
          <w:color w:val="000000"/>
        </w:rPr>
        <w:t>Khanal</w:t>
      </w:r>
      <w:proofErr w:type="spellEnd"/>
      <w:r>
        <w:rPr>
          <w:rFonts w:ascii="Book Antiqua" w:eastAsia="Book Antiqua" w:hAnsi="Book Antiqua" w:cs="Book Antiqua"/>
          <w:color w:val="000000"/>
        </w:rPr>
        <w:t xml:space="preserve"> S, Acharya SK. Persistent hyperammonemia is associated with complications and poor outcomes in patients with acute liver failure.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925-931 [PMID: 22521861 DOI: 10.1016/j.cgh.2012.04.011]</w:t>
      </w:r>
    </w:p>
    <w:p w14:paraId="5FF789F9" w14:textId="77777777" w:rsidR="00A77B3E" w:rsidRDefault="007A61D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Jacoby KJ</w:t>
      </w:r>
      <w:r>
        <w:rPr>
          <w:rFonts w:ascii="Book Antiqua" w:eastAsia="Book Antiqua" w:hAnsi="Book Antiqua" w:cs="Book Antiqua"/>
          <w:color w:val="000000"/>
        </w:rPr>
        <w:t xml:space="preserve">, Singh P, </w:t>
      </w:r>
      <w:proofErr w:type="spellStart"/>
      <w:r>
        <w:rPr>
          <w:rFonts w:ascii="Book Antiqua" w:eastAsia="Book Antiqua" w:hAnsi="Book Antiqua" w:cs="Book Antiqua"/>
          <w:color w:val="000000"/>
        </w:rPr>
        <w:t>Prekker</w:t>
      </w:r>
      <w:proofErr w:type="spellEnd"/>
      <w:r>
        <w:rPr>
          <w:rFonts w:ascii="Book Antiqua" w:eastAsia="Book Antiqua" w:hAnsi="Book Antiqua" w:cs="Book Antiqua"/>
          <w:color w:val="000000"/>
        </w:rPr>
        <w:t xml:space="preserve"> ME, Leatherman JW. Characteristics and outcomes of critically ill patients with severe hyperammonemia.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177-181 [PMID: 31935606 DOI: 10.1016/j.jcrc.2019.12.005]</w:t>
      </w:r>
    </w:p>
    <w:p w14:paraId="36750FAA" w14:textId="77777777" w:rsidR="00A77B3E" w:rsidRDefault="007A61D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Shawcross</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Sharifi Y, Canavan JB, Yeoman AD, Abeles RD, Taylor NJ, </w:t>
      </w:r>
      <w:proofErr w:type="spellStart"/>
      <w:r>
        <w:rPr>
          <w:rFonts w:ascii="Book Antiqua" w:eastAsia="Book Antiqua" w:hAnsi="Book Antiqua" w:cs="Book Antiqua"/>
          <w:color w:val="000000"/>
        </w:rPr>
        <w:t>Auzinger</w:t>
      </w:r>
      <w:proofErr w:type="spellEnd"/>
      <w:r>
        <w:rPr>
          <w:rFonts w:ascii="Book Antiqua" w:eastAsia="Book Antiqua" w:hAnsi="Book Antiqua" w:cs="Book Antiqua"/>
          <w:color w:val="000000"/>
        </w:rPr>
        <w:t xml:space="preserve"> G, Bernal W,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JA. Infection and systemic inflammation, not ammonia, are associated with Grade 3/4 hepatic encephalopathy, but not mortality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640-649 [PMID: 21163546 DOI: 10.1016/j.jhep.2010.07.045]</w:t>
      </w:r>
    </w:p>
    <w:p w14:paraId="43E6D06A" w14:textId="77777777" w:rsidR="00A77B3E" w:rsidRDefault="007A61D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Haj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Ammonia Levels Do Not Guide Clinical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Hepatic Encephalopathy Caused by Cirrhosis.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723-728 [PMID: 31658104 DOI: 10.14309/ajg.0000000000000343]</w:t>
      </w:r>
    </w:p>
    <w:p w14:paraId="08D63C51" w14:textId="77777777" w:rsidR="00A77B3E" w:rsidRDefault="007A61D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Dharel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Bajaj JS. Definition and nomenclature of hepatic encephalopathy.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S37-S41 [PMID: 26041955 DOI: 10.1016/j.jceh.2014.10.001]</w:t>
      </w:r>
    </w:p>
    <w:p w14:paraId="1DD49FAF" w14:textId="77777777" w:rsidR="00A77B3E" w:rsidRDefault="007A61D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Khwaja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KDIGO clinical practice guidelines for acute kidney injury. </w:t>
      </w:r>
      <w:r>
        <w:rPr>
          <w:rFonts w:ascii="Book Antiqua" w:eastAsia="Book Antiqua" w:hAnsi="Book Antiqua" w:cs="Book Antiqua"/>
          <w:i/>
          <w:iCs/>
          <w:color w:val="000000"/>
        </w:rPr>
        <w:t xml:space="preserve">Nephron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c179-c184 [PMID: 22890468 DOI: 10.1159/000339789]</w:t>
      </w:r>
    </w:p>
    <w:p w14:paraId="00FEAF28" w14:textId="77777777" w:rsidR="00A77B3E" w:rsidRDefault="007A61D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Ong JP</w:t>
      </w:r>
      <w:r>
        <w:rPr>
          <w:rFonts w:ascii="Book Antiqua" w:eastAsia="Book Antiqua" w:hAnsi="Book Antiqua" w:cs="Book Antiqua"/>
          <w:color w:val="000000"/>
        </w:rPr>
        <w:t xml:space="preserve">, Aggarwal A, Krieger D, Easley KA, </w:t>
      </w:r>
      <w:proofErr w:type="spellStart"/>
      <w:r>
        <w:rPr>
          <w:rFonts w:ascii="Book Antiqua" w:eastAsia="Book Antiqua" w:hAnsi="Book Antiqua" w:cs="Book Antiqua"/>
          <w:color w:val="000000"/>
        </w:rPr>
        <w:t>Karafa</w:t>
      </w:r>
      <w:proofErr w:type="spellEnd"/>
      <w:r>
        <w:rPr>
          <w:rFonts w:ascii="Book Antiqua" w:eastAsia="Book Antiqua" w:hAnsi="Book Antiqua" w:cs="Book Antiqua"/>
          <w:color w:val="000000"/>
        </w:rPr>
        <w:t xml:space="preserve"> MT, Van Lente F, </w:t>
      </w:r>
      <w:proofErr w:type="spellStart"/>
      <w:r>
        <w:rPr>
          <w:rFonts w:ascii="Book Antiqua" w:eastAsia="Book Antiqua" w:hAnsi="Book Antiqua" w:cs="Book Antiqua"/>
          <w:color w:val="000000"/>
        </w:rPr>
        <w:t>Arroliga</w:t>
      </w:r>
      <w:proofErr w:type="spellEnd"/>
      <w:r>
        <w:rPr>
          <w:rFonts w:ascii="Book Antiqua" w:eastAsia="Book Antiqua" w:hAnsi="Book Antiqua" w:cs="Book Antiqua"/>
          <w:color w:val="000000"/>
        </w:rPr>
        <w:t xml:space="preserve"> AC, Mullen KD. Correlation between ammonia levels and the severity of hepatic </w:t>
      </w:r>
      <w:r>
        <w:rPr>
          <w:rFonts w:ascii="Book Antiqua" w:eastAsia="Book Antiqua" w:hAnsi="Book Antiqua" w:cs="Book Antiqua"/>
          <w:color w:val="000000"/>
        </w:rPr>
        <w:lastRenderedPageBreak/>
        <w:t xml:space="preserve">encephalopathy.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114</w:t>
      </w:r>
      <w:r>
        <w:rPr>
          <w:rFonts w:ascii="Book Antiqua" w:eastAsia="Book Antiqua" w:hAnsi="Book Antiqua" w:cs="Book Antiqua"/>
          <w:color w:val="000000"/>
        </w:rPr>
        <w:t>: 188-193 [PMID: 12637132 DOI: 10.1016/s0002-9343(02)01477-8]</w:t>
      </w:r>
    </w:p>
    <w:p w14:paraId="459235F2" w14:textId="77777777" w:rsidR="00A77B3E" w:rsidRDefault="007A61D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Patwardhan VR</w:t>
      </w:r>
      <w:r>
        <w:rPr>
          <w:rFonts w:ascii="Book Antiqua" w:eastAsia="Book Antiqua" w:hAnsi="Book Antiqua" w:cs="Book Antiqua"/>
          <w:color w:val="000000"/>
        </w:rPr>
        <w:t xml:space="preserve">, Jiang ZG, </w:t>
      </w:r>
      <w:proofErr w:type="spellStart"/>
      <w:r>
        <w:rPr>
          <w:rFonts w:ascii="Book Antiqua" w:eastAsia="Book Antiqua" w:hAnsi="Book Antiqua" w:cs="Book Antiqua"/>
          <w:color w:val="000000"/>
        </w:rPr>
        <w:t>Risech</w:t>
      </w:r>
      <w:proofErr w:type="spellEnd"/>
      <w:r>
        <w:rPr>
          <w:rFonts w:ascii="Book Antiqua" w:eastAsia="Book Antiqua" w:hAnsi="Book Antiqua" w:cs="Book Antiqua"/>
          <w:color w:val="000000"/>
        </w:rPr>
        <w:t xml:space="preserve">-Neiman Y, Piatkowski G,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Mukamal</w:t>
      </w:r>
      <w:proofErr w:type="spellEnd"/>
      <w:r>
        <w:rPr>
          <w:rFonts w:ascii="Book Antiqua" w:eastAsia="Book Antiqua" w:hAnsi="Book Antiqua" w:cs="Book Antiqua"/>
          <w:color w:val="000000"/>
        </w:rPr>
        <w:t xml:space="preserve"> K, Curry MP, Tapper EB. Serum Ammonia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Transplant-free Survival in Hospitalized Patients With Acutely Decompensated Cirrhosis [corrected].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345-350 [PMID: 26565968 DOI: 10.1097/MCG.0000000000000443]</w:t>
      </w:r>
    </w:p>
    <w:p w14:paraId="152C6966" w14:textId="77777777" w:rsidR="00A77B3E" w:rsidRDefault="007A61D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Takaya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Namisaki</w:t>
      </w:r>
      <w:proofErr w:type="spellEnd"/>
      <w:r>
        <w:rPr>
          <w:rFonts w:ascii="Book Antiqua" w:eastAsia="Book Antiqua" w:hAnsi="Book Antiqua" w:cs="Book Antiqua"/>
          <w:color w:val="000000"/>
        </w:rPr>
        <w:t xml:space="preserve"> T, Sato S,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K, Tsuji Y, Kaya D, </w:t>
      </w:r>
      <w:proofErr w:type="spellStart"/>
      <w:r>
        <w:rPr>
          <w:rFonts w:ascii="Book Antiqua" w:eastAsia="Book Antiqua" w:hAnsi="Book Antiqua" w:cs="Book Antiqua"/>
          <w:color w:val="000000"/>
        </w:rPr>
        <w:t>Fujinaga</w:t>
      </w:r>
      <w:proofErr w:type="spellEnd"/>
      <w:r>
        <w:rPr>
          <w:rFonts w:ascii="Book Antiqua" w:eastAsia="Book Antiqua" w:hAnsi="Book Antiqua" w:cs="Book Antiqua"/>
          <w:color w:val="000000"/>
        </w:rPr>
        <w:t xml:space="preserve"> Y, Sawada Y, </w:t>
      </w:r>
      <w:proofErr w:type="spellStart"/>
      <w:r>
        <w:rPr>
          <w:rFonts w:ascii="Book Antiqua" w:eastAsia="Book Antiqua" w:hAnsi="Book Antiqua" w:cs="Book Antiqua"/>
          <w:color w:val="000000"/>
        </w:rPr>
        <w:t>Shimozato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Kawaratani</w:t>
      </w:r>
      <w:proofErr w:type="spellEnd"/>
      <w:r>
        <w:rPr>
          <w:rFonts w:ascii="Book Antiqua" w:eastAsia="Book Antiqua" w:hAnsi="Book Antiqua" w:cs="Book Antiqua"/>
          <w:color w:val="000000"/>
        </w:rPr>
        <w:t xml:space="preserve"> H, Moriya K, </w:t>
      </w:r>
      <w:proofErr w:type="spellStart"/>
      <w:r>
        <w:rPr>
          <w:rFonts w:ascii="Book Antiqua" w:eastAsia="Book Antiqua" w:hAnsi="Book Antiqua" w:cs="Book Antiqua"/>
          <w:color w:val="000000"/>
        </w:rPr>
        <w:t>Akahane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Mitoro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Yoshiji</w:t>
      </w:r>
      <w:proofErr w:type="spellEnd"/>
      <w:r>
        <w:rPr>
          <w:rFonts w:ascii="Book Antiqua" w:eastAsia="Book Antiqua" w:hAnsi="Book Antiqua" w:cs="Book Antiqua"/>
          <w:color w:val="000000"/>
        </w:rPr>
        <w:t xml:space="preserve"> H. Increased Endotoxin Activity Is Associated with the Risk of Developing Acute-on-Chronic Liver Failure.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32422875 DOI: 10.3390/jcm9051467]</w:t>
      </w:r>
    </w:p>
    <w:p w14:paraId="63D41CE2" w14:textId="77777777" w:rsidR="00A77B3E" w:rsidRDefault="007A61D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BH</w:t>
      </w:r>
      <w:r>
        <w:rPr>
          <w:rFonts w:ascii="Book Antiqua" w:eastAsia="Book Antiqua" w:hAnsi="Book Antiqua" w:cs="Book Antiqua"/>
          <w:color w:val="000000"/>
        </w:rPr>
        <w:t xml:space="preserve">, Tseng HJ, Chen WT, Chen PC, Ho YP, Huang CH, Lin CY. Comparing Eight Prognostic Scores in Predicting Mortality of Patients with Acute-On-Chronic Liver Failure Who Were Admitted to an ICU: A Single-Center Experience.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32443729 DOI: 10.3390/jcm9051540]</w:t>
      </w:r>
    </w:p>
    <w:p w14:paraId="5B64F818" w14:textId="386A61C0" w:rsidR="00A77B3E" w:rsidRDefault="007A61D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Trebicka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Sundaram V, Moreau R, Jalan R, Arroyo V. Liver Transplantation for Acute-on-Chronic Liver Failure: Science or Fiction?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906-915 [PMID: 32365422 DOI: 10.1002/</w:t>
      </w:r>
      <w:r w:rsidR="00A455CD">
        <w:rPr>
          <w:rFonts w:ascii="Book Antiqua" w:eastAsia="Book Antiqua" w:hAnsi="Book Antiqua" w:cs="Book Antiqua"/>
          <w:color w:val="000000"/>
        </w:rPr>
        <w:t>l</w:t>
      </w:r>
      <w:r>
        <w:rPr>
          <w:rFonts w:ascii="Book Antiqua" w:eastAsia="Book Antiqua" w:hAnsi="Book Antiqua" w:cs="Book Antiqua"/>
          <w:color w:val="000000"/>
        </w:rPr>
        <w:t>t.25788]</w:t>
      </w:r>
    </w:p>
    <w:p w14:paraId="4B8EA36F" w14:textId="77777777" w:rsidR="00A77B3E" w:rsidRDefault="007A61D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Weil D</w:t>
      </w:r>
      <w:r>
        <w:rPr>
          <w:rFonts w:ascii="Book Antiqua" w:eastAsia="Book Antiqua" w:hAnsi="Book Antiqua" w:cs="Book Antiqua"/>
          <w:color w:val="000000"/>
        </w:rPr>
        <w:t xml:space="preserve">, Levesque E, McPhail M, </w:t>
      </w:r>
      <w:proofErr w:type="spellStart"/>
      <w:r>
        <w:rPr>
          <w:rFonts w:ascii="Book Antiqua" w:eastAsia="Book Antiqua" w:hAnsi="Book Antiqua" w:cs="Book Antiqua"/>
          <w:color w:val="000000"/>
        </w:rPr>
        <w:t>Cavallazzi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Theocharidou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Galbois</w:t>
      </w:r>
      <w:proofErr w:type="spellEnd"/>
      <w:r>
        <w:rPr>
          <w:rFonts w:ascii="Book Antiqua" w:eastAsia="Book Antiqua" w:hAnsi="Book Antiqua" w:cs="Book Antiqua"/>
          <w:color w:val="000000"/>
        </w:rPr>
        <w:t xml:space="preserve"> A, Pan HC,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Sauneuf</w:t>
      </w:r>
      <w:proofErr w:type="spellEnd"/>
      <w:r>
        <w:rPr>
          <w:rFonts w:ascii="Book Antiqua" w:eastAsia="Book Antiqua" w:hAnsi="Book Antiqua" w:cs="Book Antiqua"/>
          <w:color w:val="000000"/>
        </w:rPr>
        <w:t xml:space="preserve"> B, Robert R, </w:t>
      </w:r>
      <w:proofErr w:type="spellStart"/>
      <w:r>
        <w:rPr>
          <w:rFonts w:ascii="Book Antiqua" w:eastAsia="Book Antiqua" w:hAnsi="Book Antiqua" w:cs="Book Antiqua"/>
          <w:color w:val="000000"/>
        </w:rPr>
        <w:t>Fichet</w:t>
      </w:r>
      <w:proofErr w:type="spellEnd"/>
      <w:r>
        <w:rPr>
          <w:rFonts w:ascii="Book Antiqua" w:eastAsia="Book Antiqua" w:hAnsi="Book Antiqua" w:cs="Book Antiqua"/>
          <w:color w:val="000000"/>
        </w:rPr>
        <w:t xml:space="preserve"> J, Piton G, </w:t>
      </w:r>
      <w:proofErr w:type="spellStart"/>
      <w:r>
        <w:rPr>
          <w:rFonts w:ascii="Book Antiqua" w:eastAsia="Book Antiqua" w:hAnsi="Book Antiqua" w:cs="Book Antiqua"/>
          <w:color w:val="000000"/>
        </w:rPr>
        <w:t>Thevenot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Capellier</w:t>
      </w:r>
      <w:proofErr w:type="spellEnd"/>
      <w:r>
        <w:rPr>
          <w:rFonts w:ascii="Book Antiqua" w:eastAsia="Book Antiqua" w:hAnsi="Book Antiqua" w:cs="Book Antiqua"/>
          <w:color w:val="000000"/>
        </w:rPr>
        <w:t xml:space="preserve"> G, Di Martino V; METAREACIR Group. Prognosis of cirrhotic patients admitted to intensive care unit: a meta-analysis.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33 [PMID: 28321803 DOI: 10.1186/s13613-017-0249-6]</w:t>
      </w:r>
    </w:p>
    <w:p w14:paraId="3A20B6B0" w14:textId="77777777" w:rsidR="00A77B3E" w:rsidRDefault="007A61D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O'Leary JG, Tandon P, Wong F, Garcia-Tsao G, Kamath PS, </w:t>
      </w:r>
      <w:proofErr w:type="spellStart"/>
      <w:r>
        <w:rPr>
          <w:rFonts w:ascii="Book Antiqua" w:eastAsia="Book Antiqua" w:hAnsi="Book Antiqua" w:cs="Book Antiqua"/>
          <w:color w:val="000000"/>
        </w:rPr>
        <w:t>Maliakkal</w:t>
      </w:r>
      <w:proofErr w:type="spellEnd"/>
      <w:r>
        <w:rPr>
          <w:rFonts w:ascii="Book Antiqua" w:eastAsia="Book Antiqua" w:hAnsi="Book Antiqua" w:cs="Book Antiqua"/>
          <w:color w:val="000000"/>
        </w:rPr>
        <w:t xml:space="preserve"> B, Biggins SW,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Fallon MB, Subramanian RM, Vargas HE, Lai J, Thacker LR, Reddy KR. Hepatic Encephalopathy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Mortality in Patients With Cirrhosis Independent of Other Extrahepatic Organ Failures.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565-574.e4 [PMID: 27720916 DOI: 10.1016/j.cgh.2016.09.157]</w:t>
      </w:r>
    </w:p>
    <w:bookmarkEnd w:id="3"/>
    <w:bookmarkEnd w:id="4"/>
    <w:p w14:paraId="140D3DD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0AABB6" w14:textId="77777777" w:rsidR="00A77B3E" w:rsidRDefault="007A61DA">
      <w:pPr>
        <w:spacing w:line="360" w:lineRule="auto"/>
        <w:jc w:val="both"/>
      </w:pPr>
      <w:r>
        <w:rPr>
          <w:rFonts w:ascii="Book Antiqua" w:eastAsia="Book Antiqua" w:hAnsi="Book Antiqua" w:cs="Book Antiqua"/>
          <w:b/>
          <w:color w:val="000000"/>
        </w:rPr>
        <w:lastRenderedPageBreak/>
        <w:t>Footnotes</w:t>
      </w:r>
    </w:p>
    <w:p w14:paraId="436A44F3" w14:textId="77777777" w:rsidR="00A77B3E" w:rsidRDefault="007A61DA">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This study was approved by the Ethics Committee of the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Iasi, Romania.</w:t>
      </w:r>
    </w:p>
    <w:p w14:paraId="5EE40454" w14:textId="77777777" w:rsidR="00A77B3E" w:rsidRDefault="00A77B3E">
      <w:pPr>
        <w:spacing w:line="360" w:lineRule="auto"/>
        <w:jc w:val="both"/>
      </w:pPr>
    </w:p>
    <w:p w14:paraId="6C86F37D" w14:textId="77777777" w:rsidR="00A77B3E" w:rsidRDefault="007A61D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There was no requirement for the informed written consent because of the retrospective nature of the study; all of the patients signed an informed consent upon hospitalization agreeing to receive treatment.</w:t>
      </w:r>
    </w:p>
    <w:p w14:paraId="1037EE9C" w14:textId="77777777" w:rsidR="00A77B3E" w:rsidRDefault="00A77B3E">
      <w:pPr>
        <w:spacing w:line="360" w:lineRule="auto"/>
        <w:jc w:val="both"/>
      </w:pPr>
    </w:p>
    <w:p w14:paraId="4CC9953D" w14:textId="77777777" w:rsidR="00A77B3E" w:rsidRDefault="007A61DA">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 in relation to this study.</w:t>
      </w:r>
    </w:p>
    <w:p w14:paraId="6C6F1255" w14:textId="77777777" w:rsidR="00A77B3E" w:rsidRDefault="00A77B3E">
      <w:pPr>
        <w:spacing w:line="360" w:lineRule="auto"/>
        <w:jc w:val="both"/>
      </w:pPr>
    </w:p>
    <w:p w14:paraId="7C1F4A86" w14:textId="77777777" w:rsidR="00A77B3E" w:rsidRDefault="007A61D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77AFC6D" w14:textId="77777777" w:rsidR="00A77B3E" w:rsidRDefault="00A77B3E">
      <w:pPr>
        <w:spacing w:line="360" w:lineRule="auto"/>
        <w:jc w:val="both"/>
      </w:pPr>
    </w:p>
    <w:p w14:paraId="2432C448" w14:textId="2279F025" w:rsidR="00A77B3E" w:rsidRDefault="007A61D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A0BA19" w14:textId="77777777" w:rsidR="00A77B3E" w:rsidRDefault="00A77B3E">
      <w:pPr>
        <w:spacing w:line="360" w:lineRule="auto"/>
        <w:jc w:val="both"/>
      </w:pPr>
    </w:p>
    <w:p w14:paraId="131036EA" w14:textId="77777777" w:rsidR="00A77B3E" w:rsidRDefault="007A61D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000FC">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0175CB6" w14:textId="77777777" w:rsidR="00A77B3E" w:rsidRDefault="00A77B3E">
      <w:pPr>
        <w:spacing w:line="360" w:lineRule="auto"/>
        <w:jc w:val="both"/>
      </w:pPr>
    </w:p>
    <w:p w14:paraId="4B4CAAAD" w14:textId="77777777" w:rsidR="00A77B3E" w:rsidRDefault="007A61D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 2020</w:t>
      </w:r>
    </w:p>
    <w:p w14:paraId="573C92BA" w14:textId="77777777" w:rsidR="00A77B3E" w:rsidRDefault="007A61D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49D5C848" w14:textId="77777777" w:rsidR="00A77B3E" w:rsidRDefault="007A61DA">
      <w:pPr>
        <w:spacing w:line="360" w:lineRule="auto"/>
        <w:jc w:val="both"/>
      </w:pPr>
      <w:r>
        <w:rPr>
          <w:rFonts w:ascii="Book Antiqua" w:eastAsia="Book Antiqua" w:hAnsi="Book Antiqua" w:cs="Book Antiqua"/>
          <w:b/>
          <w:color w:val="000000"/>
        </w:rPr>
        <w:t xml:space="preserve">Article in press: </w:t>
      </w:r>
    </w:p>
    <w:p w14:paraId="29713C69" w14:textId="77777777" w:rsidR="00A77B3E" w:rsidRDefault="00A77B3E">
      <w:pPr>
        <w:spacing w:line="360" w:lineRule="auto"/>
        <w:jc w:val="both"/>
      </w:pPr>
    </w:p>
    <w:p w14:paraId="78276235" w14:textId="77777777" w:rsidR="00A77B3E" w:rsidRDefault="007A61DA">
      <w:pPr>
        <w:spacing w:line="360" w:lineRule="auto"/>
        <w:jc w:val="both"/>
      </w:pPr>
      <w:r>
        <w:rPr>
          <w:rFonts w:ascii="Book Antiqua" w:eastAsia="Book Antiqua" w:hAnsi="Book Antiqua" w:cs="Book Antiqua"/>
          <w:b/>
          <w:color w:val="000000"/>
        </w:rPr>
        <w:t xml:space="preserve">Specialty type: </w:t>
      </w:r>
      <w:r w:rsidR="00B000FC" w:rsidRPr="00E700C2">
        <w:rPr>
          <w:rFonts w:ascii="Book Antiqua" w:eastAsia="微软雅黑" w:hAnsi="Book Antiqua" w:cs="宋体"/>
        </w:rPr>
        <w:t>Medicine, research and experimental</w:t>
      </w:r>
    </w:p>
    <w:p w14:paraId="19EF71D5" w14:textId="77777777" w:rsidR="00A77B3E" w:rsidRDefault="007A61DA">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Romania</w:t>
      </w:r>
    </w:p>
    <w:p w14:paraId="11EEC57C" w14:textId="77777777" w:rsidR="00A77B3E" w:rsidRDefault="007A61DA">
      <w:pPr>
        <w:spacing w:line="360" w:lineRule="auto"/>
        <w:jc w:val="both"/>
      </w:pPr>
      <w:r>
        <w:rPr>
          <w:rFonts w:ascii="Book Antiqua" w:eastAsia="Book Antiqua" w:hAnsi="Book Antiqua" w:cs="Book Antiqua"/>
          <w:b/>
          <w:color w:val="000000"/>
        </w:rPr>
        <w:t>Peer-review report’s scientific quality classification</w:t>
      </w:r>
    </w:p>
    <w:p w14:paraId="101AD601" w14:textId="77777777" w:rsidR="00A77B3E" w:rsidRDefault="007A61DA">
      <w:pPr>
        <w:spacing w:line="360" w:lineRule="auto"/>
        <w:jc w:val="both"/>
      </w:pPr>
      <w:r>
        <w:rPr>
          <w:rFonts w:ascii="Book Antiqua" w:eastAsia="Book Antiqua" w:hAnsi="Book Antiqua" w:cs="Book Antiqua"/>
          <w:color w:val="000000"/>
        </w:rPr>
        <w:t>Grade A (Excellent): 0</w:t>
      </w:r>
    </w:p>
    <w:p w14:paraId="7090A16D" w14:textId="77777777" w:rsidR="00A77B3E" w:rsidRDefault="007A61DA">
      <w:pPr>
        <w:spacing w:line="360" w:lineRule="auto"/>
        <w:jc w:val="both"/>
      </w:pPr>
      <w:r>
        <w:rPr>
          <w:rFonts w:ascii="Book Antiqua" w:eastAsia="Book Antiqua" w:hAnsi="Book Antiqua" w:cs="Book Antiqua"/>
          <w:color w:val="000000"/>
        </w:rPr>
        <w:t>Grade B (Very good): 0</w:t>
      </w:r>
    </w:p>
    <w:p w14:paraId="778DD438" w14:textId="77777777" w:rsidR="00A77B3E" w:rsidRDefault="007A61DA">
      <w:pPr>
        <w:spacing w:line="360" w:lineRule="auto"/>
        <w:jc w:val="both"/>
      </w:pPr>
      <w:r>
        <w:rPr>
          <w:rFonts w:ascii="Book Antiqua" w:eastAsia="Book Antiqua" w:hAnsi="Book Antiqua" w:cs="Book Antiqua"/>
          <w:color w:val="000000"/>
        </w:rPr>
        <w:t>Grade C (Good): C</w:t>
      </w:r>
      <w:r w:rsidR="00B000FC">
        <w:rPr>
          <w:rFonts w:ascii="Book Antiqua" w:eastAsia="Book Antiqua" w:hAnsi="Book Antiqua" w:cs="Book Antiqua"/>
          <w:color w:val="000000"/>
        </w:rPr>
        <w:t>, C</w:t>
      </w:r>
    </w:p>
    <w:p w14:paraId="171371D7" w14:textId="77777777" w:rsidR="00A77B3E" w:rsidRDefault="007A61DA">
      <w:pPr>
        <w:spacing w:line="360" w:lineRule="auto"/>
        <w:jc w:val="both"/>
      </w:pPr>
      <w:r>
        <w:rPr>
          <w:rFonts w:ascii="Book Antiqua" w:eastAsia="Book Antiqua" w:hAnsi="Book Antiqua" w:cs="Book Antiqua"/>
          <w:color w:val="000000"/>
        </w:rPr>
        <w:t>Grade D (Fair): 0</w:t>
      </w:r>
    </w:p>
    <w:p w14:paraId="60030491" w14:textId="77777777" w:rsidR="00A77B3E" w:rsidRDefault="007A61DA">
      <w:pPr>
        <w:spacing w:line="360" w:lineRule="auto"/>
        <w:jc w:val="both"/>
      </w:pPr>
      <w:r>
        <w:rPr>
          <w:rFonts w:ascii="Book Antiqua" w:eastAsia="Book Antiqua" w:hAnsi="Book Antiqua" w:cs="Book Antiqua"/>
          <w:color w:val="000000"/>
        </w:rPr>
        <w:t>Grade E (Poor): 0</w:t>
      </w:r>
    </w:p>
    <w:p w14:paraId="6ED3291B" w14:textId="77777777" w:rsidR="00A77B3E" w:rsidRDefault="00A77B3E">
      <w:pPr>
        <w:spacing w:line="360" w:lineRule="auto"/>
        <w:jc w:val="both"/>
      </w:pPr>
    </w:p>
    <w:p w14:paraId="35DCE95F" w14:textId="77777777" w:rsidR="00A77B3E" w:rsidRDefault="007A61D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Meng 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6F19F06" w14:textId="77777777" w:rsidR="00A77B3E" w:rsidRDefault="007A61D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6EAE41" w14:textId="77777777" w:rsidR="0019732C" w:rsidRDefault="00F235D5">
      <w:pPr>
        <w:spacing w:line="360" w:lineRule="auto"/>
        <w:jc w:val="both"/>
      </w:pPr>
      <w:r>
        <w:rPr>
          <w:noProof/>
        </w:rPr>
        <w:drawing>
          <wp:inline distT="0" distB="0" distL="0" distR="0" wp14:anchorId="092C5408" wp14:editId="04A05D20">
            <wp:extent cx="5943600" cy="3960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60495"/>
                    </a:xfrm>
                    <a:prstGeom prst="rect">
                      <a:avLst/>
                    </a:prstGeom>
                  </pic:spPr>
                </pic:pic>
              </a:graphicData>
            </a:graphic>
          </wp:inline>
        </w:drawing>
      </w:r>
    </w:p>
    <w:p w14:paraId="671FBDDD" w14:textId="6D1299B1" w:rsidR="00DA43C1" w:rsidRDefault="007A61D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bookmarkStart w:id="5" w:name="_Hlk58510954"/>
      <w:r>
        <w:rPr>
          <w:rFonts w:ascii="Book Antiqua" w:eastAsia="Book Antiqua" w:hAnsi="Book Antiqua" w:cs="Book Antiqua"/>
          <w:b/>
          <w:bCs/>
          <w:color w:val="000000"/>
        </w:rPr>
        <w:t>Receiver operating characteristics</w:t>
      </w:r>
      <w:bookmarkEnd w:id="5"/>
      <w:r>
        <w:rPr>
          <w:rFonts w:ascii="Book Antiqua" w:eastAsia="Book Antiqua" w:hAnsi="Book Antiqua" w:cs="Book Antiqua"/>
          <w:b/>
          <w:bCs/>
          <w:color w:val="000000"/>
        </w:rPr>
        <w:t xml:space="preserve"> curve analysis.</w:t>
      </w:r>
      <w:r w:rsidR="00E17FA4">
        <w:rPr>
          <w:rFonts w:ascii="Book Antiqua" w:eastAsia="Book Antiqua" w:hAnsi="Book Antiqua" w:cs="Book Antiqua"/>
          <w:b/>
          <w:bCs/>
          <w:color w:val="000000"/>
        </w:rPr>
        <w:t xml:space="preserve"> </w:t>
      </w:r>
      <w:r w:rsidR="0019732C" w:rsidRPr="0019732C">
        <w:rPr>
          <w:rFonts w:ascii="Book Antiqua" w:eastAsia="Book Antiqua" w:hAnsi="Book Antiqua" w:cs="Book Antiqua"/>
          <w:color w:val="000000"/>
        </w:rPr>
        <w:t>Diagonal segments are produced by ties.</w:t>
      </w:r>
      <w:r w:rsidR="0019732C">
        <w:rPr>
          <w:rFonts w:ascii="Book Antiqua" w:eastAsia="Book Antiqua" w:hAnsi="Book Antiqua" w:cs="Book Antiqua"/>
          <w:color w:val="000000"/>
        </w:rPr>
        <w:t xml:space="preserve"> ROC: </w:t>
      </w:r>
      <w:r w:rsidR="0019732C" w:rsidRPr="0019732C">
        <w:rPr>
          <w:rFonts w:ascii="Book Antiqua" w:eastAsia="Book Antiqua" w:hAnsi="Book Antiqua" w:cs="Book Antiqua"/>
          <w:color w:val="000000"/>
        </w:rPr>
        <w:t>Receiver operating characteristics</w:t>
      </w:r>
      <w:r w:rsidR="0019732C">
        <w:rPr>
          <w:rFonts w:ascii="Book Antiqua" w:eastAsia="Book Antiqua" w:hAnsi="Book Antiqua" w:cs="Book Antiqua"/>
          <w:color w:val="000000"/>
        </w:rPr>
        <w:t>; MELD: M</w:t>
      </w:r>
      <w:r w:rsidR="0019732C" w:rsidRPr="0019732C">
        <w:rPr>
          <w:rFonts w:ascii="Book Antiqua" w:eastAsia="Book Antiqua" w:hAnsi="Book Antiqua" w:cs="Book Antiqua"/>
          <w:color w:val="000000"/>
        </w:rPr>
        <w:t>odel for end-stage liver disease</w:t>
      </w:r>
      <w:r w:rsidR="0019732C">
        <w:rPr>
          <w:rFonts w:ascii="Book Antiqua" w:eastAsia="Book Antiqua" w:hAnsi="Book Antiqua" w:cs="Book Antiqua"/>
          <w:color w:val="000000"/>
        </w:rPr>
        <w:t>; AARC: Asian Pacific Association for the Study of the Liver</w:t>
      </w:r>
      <w:r w:rsidR="00EB3419">
        <w:rPr>
          <w:rFonts w:ascii="Book Antiqua" w:eastAsia="Book Antiqua" w:hAnsi="Book Antiqua" w:cs="Book Antiqua"/>
          <w:color w:val="000000"/>
        </w:rPr>
        <w:t xml:space="preserve"> </w:t>
      </w:r>
      <w:r w:rsidR="0019732C">
        <w:rPr>
          <w:rFonts w:ascii="Book Antiqua" w:eastAsia="Book Antiqua" w:hAnsi="Book Antiqua" w:cs="Book Antiqua"/>
          <w:color w:val="000000"/>
        </w:rPr>
        <w:t>Acute-on-chronic Liver Failure</w:t>
      </w:r>
      <w:r w:rsidR="0019732C" w:rsidRPr="00534848">
        <w:rPr>
          <w:rFonts w:ascii="Book Antiqua" w:eastAsia="Book Antiqua" w:hAnsi="Book Antiqua" w:cs="Book Antiqua"/>
          <w:color w:val="000000"/>
        </w:rPr>
        <w:t xml:space="preserve"> Research Consortium</w:t>
      </w:r>
      <w:r w:rsidR="0019732C">
        <w:rPr>
          <w:rFonts w:ascii="Book Antiqua" w:eastAsia="Book Antiqua" w:hAnsi="Book Antiqua" w:cs="Book Antiqua"/>
          <w:color w:val="000000"/>
        </w:rPr>
        <w:t>.</w:t>
      </w:r>
    </w:p>
    <w:p w14:paraId="47C3C7B6" w14:textId="77777777" w:rsidR="00A77B3E" w:rsidRDefault="00DA43C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A43C1">
        <w:rPr>
          <w:rFonts w:ascii="Book Antiqua" w:eastAsia="Book Antiqua" w:hAnsi="Book Antiqua" w:cs="Book Antiqua"/>
          <w:b/>
          <w:bCs/>
          <w:color w:val="000000"/>
        </w:rPr>
        <w:lastRenderedPageBreak/>
        <w:t>Table 1 General cohort characteristics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43C1" w:rsidRPr="00DA43C1" w14:paraId="02C5B9A7" w14:textId="77777777" w:rsidTr="00A06B29">
        <w:tc>
          <w:tcPr>
            <w:tcW w:w="4508" w:type="dxa"/>
            <w:tcBorders>
              <w:top w:val="single" w:sz="4" w:space="0" w:color="auto"/>
              <w:bottom w:val="single" w:sz="4" w:space="0" w:color="auto"/>
            </w:tcBorders>
          </w:tcPr>
          <w:p w14:paraId="3CD177B2" w14:textId="77777777" w:rsidR="00DA43C1" w:rsidRPr="00DA43C1" w:rsidRDefault="00DA43C1" w:rsidP="00DA43C1">
            <w:pPr>
              <w:autoSpaceDE w:val="0"/>
              <w:autoSpaceDN w:val="0"/>
              <w:adjustRightInd w:val="0"/>
              <w:spacing w:line="360" w:lineRule="auto"/>
              <w:jc w:val="both"/>
              <w:rPr>
                <w:rFonts w:ascii="Book Antiqua" w:hAnsi="Book Antiqua" w:cs="Times New Roman"/>
                <w:b/>
              </w:rPr>
            </w:pPr>
            <w:r w:rsidRPr="00DA43C1">
              <w:rPr>
                <w:rFonts w:ascii="Book Antiqua" w:hAnsi="Book Antiqua" w:cs="Times New Roman"/>
                <w:b/>
              </w:rPr>
              <w:t>Variable</w:t>
            </w:r>
          </w:p>
        </w:tc>
        <w:tc>
          <w:tcPr>
            <w:tcW w:w="4508" w:type="dxa"/>
            <w:tcBorders>
              <w:top w:val="single" w:sz="4" w:space="0" w:color="auto"/>
              <w:bottom w:val="single" w:sz="4" w:space="0" w:color="auto"/>
            </w:tcBorders>
          </w:tcPr>
          <w:p w14:paraId="4AE9B4B1" w14:textId="77777777" w:rsidR="00DA43C1" w:rsidRPr="00DA43C1" w:rsidRDefault="00DA43C1" w:rsidP="00DA43C1">
            <w:pPr>
              <w:autoSpaceDE w:val="0"/>
              <w:autoSpaceDN w:val="0"/>
              <w:adjustRightInd w:val="0"/>
              <w:spacing w:line="360" w:lineRule="auto"/>
              <w:jc w:val="both"/>
              <w:rPr>
                <w:rFonts w:ascii="Book Antiqua" w:hAnsi="Book Antiqua" w:cs="Times New Roman"/>
                <w:b/>
              </w:rPr>
            </w:pPr>
            <w:r w:rsidRPr="00DA43C1">
              <w:rPr>
                <w:rFonts w:ascii="Book Antiqua" w:hAnsi="Book Antiqua" w:cs="Times New Roman"/>
                <w:b/>
              </w:rPr>
              <w:t>Value</w:t>
            </w:r>
          </w:p>
        </w:tc>
      </w:tr>
      <w:tr w:rsidR="00DA43C1" w:rsidRPr="00DA43C1" w14:paraId="71366AEB" w14:textId="77777777" w:rsidTr="00A06B29">
        <w:tc>
          <w:tcPr>
            <w:tcW w:w="4508" w:type="dxa"/>
            <w:tcBorders>
              <w:top w:val="single" w:sz="4" w:space="0" w:color="auto"/>
            </w:tcBorders>
          </w:tcPr>
          <w:p w14:paraId="766FFCDA"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Age, median (IQR) </w:t>
            </w:r>
          </w:p>
        </w:tc>
        <w:tc>
          <w:tcPr>
            <w:tcW w:w="4508" w:type="dxa"/>
            <w:tcBorders>
              <w:top w:val="single" w:sz="4" w:space="0" w:color="auto"/>
            </w:tcBorders>
          </w:tcPr>
          <w:p w14:paraId="41443873"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59 (50-65)</w:t>
            </w:r>
          </w:p>
        </w:tc>
      </w:tr>
      <w:tr w:rsidR="00DA43C1" w:rsidRPr="00DA43C1" w14:paraId="5C654820" w14:textId="77777777" w:rsidTr="00A06B29">
        <w:tc>
          <w:tcPr>
            <w:tcW w:w="4508" w:type="dxa"/>
          </w:tcPr>
          <w:p w14:paraId="4FB09CBA"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Male sex, </w:t>
            </w:r>
            <w:r w:rsidRPr="00AF07A9">
              <w:rPr>
                <w:rFonts w:ascii="Book Antiqua" w:hAnsi="Book Antiqua" w:cs="Times New Roman"/>
                <w:i/>
                <w:iCs/>
              </w:rPr>
              <w:t>n</w:t>
            </w:r>
            <w:r w:rsidRPr="00DA43C1">
              <w:rPr>
                <w:rFonts w:ascii="Book Antiqua" w:hAnsi="Book Antiqua" w:cs="Times New Roman"/>
              </w:rPr>
              <w:t xml:space="preserve"> (%)</w:t>
            </w:r>
          </w:p>
        </w:tc>
        <w:tc>
          <w:tcPr>
            <w:tcW w:w="4508" w:type="dxa"/>
          </w:tcPr>
          <w:p w14:paraId="45796004"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256 (57.4)</w:t>
            </w:r>
          </w:p>
        </w:tc>
      </w:tr>
      <w:tr w:rsidR="00DA43C1" w:rsidRPr="00DA43C1" w14:paraId="0CA0C5DB" w14:textId="77777777" w:rsidTr="00A06B29">
        <w:tc>
          <w:tcPr>
            <w:tcW w:w="4508" w:type="dxa"/>
          </w:tcPr>
          <w:p w14:paraId="348CE93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Etiology of liver disease,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1CDAB00E" w14:textId="77777777" w:rsidR="00DA43C1" w:rsidRPr="00DA43C1" w:rsidRDefault="00DA43C1" w:rsidP="00DA43C1">
            <w:pPr>
              <w:autoSpaceDE w:val="0"/>
              <w:autoSpaceDN w:val="0"/>
              <w:adjustRightInd w:val="0"/>
              <w:spacing w:line="360" w:lineRule="auto"/>
              <w:jc w:val="both"/>
              <w:rPr>
                <w:rFonts w:ascii="Book Antiqua" w:hAnsi="Book Antiqua" w:cs="Times New Roman"/>
              </w:rPr>
            </w:pPr>
          </w:p>
        </w:tc>
      </w:tr>
      <w:tr w:rsidR="00DA43C1" w:rsidRPr="00DA43C1" w14:paraId="6C48438E" w14:textId="77777777" w:rsidTr="00A06B29">
        <w:tc>
          <w:tcPr>
            <w:tcW w:w="4508" w:type="dxa"/>
          </w:tcPr>
          <w:p w14:paraId="0ED321F4"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Alcohol</w:t>
            </w:r>
          </w:p>
        </w:tc>
        <w:tc>
          <w:tcPr>
            <w:tcW w:w="4508" w:type="dxa"/>
          </w:tcPr>
          <w:p w14:paraId="54CA346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351 (78.7)</w:t>
            </w:r>
          </w:p>
        </w:tc>
      </w:tr>
      <w:tr w:rsidR="00DA43C1" w:rsidRPr="00DA43C1" w14:paraId="559A6555" w14:textId="77777777" w:rsidTr="00A06B29">
        <w:tc>
          <w:tcPr>
            <w:tcW w:w="4508" w:type="dxa"/>
          </w:tcPr>
          <w:p w14:paraId="2B548204"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Hepatitis C virus</w:t>
            </w:r>
          </w:p>
        </w:tc>
        <w:tc>
          <w:tcPr>
            <w:tcW w:w="4508" w:type="dxa"/>
          </w:tcPr>
          <w:p w14:paraId="640CAECA"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50 (11.2)</w:t>
            </w:r>
          </w:p>
        </w:tc>
      </w:tr>
      <w:tr w:rsidR="00DA43C1" w:rsidRPr="00DA43C1" w14:paraId="43D7C94F" w14:textId="77777777" w:rsidTr="00A06B29">
        <w:tc>
          <w:tcPr>
            <w:tcW w:w="4508" w:type="dxa"/>
          </w:tcPr>
          <w:p w14:paraId="1F2E4193"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Hepatitis B virus</w:t>
            </w:r>
          </w:p>
        </w:tc>
        <w:tc>
          <w:tcPr>
            <w:tcW w:w="4508" w:type="dxa"/>
          </w:tcPr>
          <w:p w14:paraId="4C967A1F"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28 (6.1)</w:t>
            </w:r>
          </w:p>
        </w:tc>
      </w:tr>
      <w:tr w:rsidR="00DA43C1" w:rsidRPr="00DA43C1" w14:paraId="7E2E0C04" w14:textId="77777777" w:rsidTr="00A06B29">
        <w:tc>
          <w:tcPr>
            <w:tcW w:w="4508" w:type="dxa"/>
          </w:tcPr>
          <w:p w14:paraId="4852B191"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 xml:space="preserve">Alcohol + </w:t>
            </w:r>
            <w:r w:rsidR="007A61DA" w:rsidRPr="00DA43C1">
              <w:rPr>
                <w:rFonts w:ascii="Book Antiqua" w:hAnsi="Book Antiqua" w:cs="Times New Roman"/>
              </w:rPr>
              <w:t>h</w:t>
            </w:r>
            <w:r w:rsidRPr="00DA43C1">
              <w:rPr>
                <w:rFonts w:ascii="Book Antiqua" w:hAnsi="Book Antiqua" w:cs="Times New Roman"/>
              </w:rPr>
              <w:t>epatitis B virus</w:t>
            </w:r>
          </w:p>
        </w:tc>
        <w:tc>
          <w:tcPr>
            <w:tcW w:w="4508" w:type="dxa"/>
          </w:tcPr>
          <w:p w14:paraId="2772E7A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 (1.8)</w:t>
            </w:r>
          </w:p>
        </w:tc>
      </w:tr>
      <w:tr w:rsidR="00DA43C1" w:rsidRPr="00DA43C1" w14:paraId="7FE26397" w14:textId="77777777" w:rsidTr="00A06B29">
        <w:tc>
          <w:tcPr>
            <w:tcW w:w="4508" w:type="dxa"/>
          </w:tcPr>
          <w:p w14:paraId="478FFC8C"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 xml:space="preserve">Alcohol + </w:t>
            </w:r>
            <w:r w:rsidR="007A61DA" w:rsidRPr="00DA43C1">
              <w:rPr>
                <w:rFonts w:ascii="Book Antiqua" w:hAnsi="Book Antiqua" w:cs="Times New Roman"/>
              </w:rPr>
              <w:t>h</w:t>
            </w:r>
            <w:r w:rsidRPr="00DA43C1">
              <w:rPr>
                <w:rFonts w:ascii="Book Antiqua" w:hAnsi="Book Antiqua" w:cs="Times New Roman"/>
              </w:rPr>
              <w:t>epatitis C virus</w:t>
            </w:r>
          </w:p>
        </w:tc>
        <w:tc>
          <w:tcPr>
            <w:tcW w:w="4508" w:type="dxa"/>
          </w:tcPr>
          <w:p w14:paraId="79D873E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6 (1.3)</w:t>
            </w:r>
          </w:p>
        </w:tc>
      </w:tr>
      <w:tr w:rsidR="00DA43C1" w:rsidRPr="00DA43C1" w14:paraId="5E2A57F3" w14:textId="77777777" w:rsidTr="00A06B29">
        <w:tc>
          <w:tcPr>
            <w:tcW w:w="4508" w:type="dxa"/>
          </w:tcPr>
          <w:p w14:paraId="2B138494"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Hepatitis B and C virus</w:t>
            </w:r>
          </w:p>
        </w:tc>
        <w:tc>
          <w:tcPr>
            <w:tcW w:w="4508" w:type="dxa"/>
          </w:tcPr>
          <w:p w14:paraId="26D1EAD3"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 (0.7%)</w:t>
            </w:r>
          </w:p>
        </w:tc>
      </w:tr>
      <w:tr w:rsidR="00DA43C1" w:rsidRPr="00DA43C1" w14:paraId="4A21A296" w14:textId="77777777" w:rsidTr="00A06B29">
        <w:tc>
          <w:tcPr>
            <w:tcW w:w="4508" w:type="dxa"/>
          </w:tcPr>
          <w:p w14:paraId="197CE11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Albumin (g/dL), mean ± SD</w:t>
            </w:r>
          </w:p>
        </w:tc>
        <w:tc>
          <w:tcPr>
            <w:tcW w:w="4508" w:type="dxa"/>
          </w:tcPr>
          <w:p w14:paraId="66D31035"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2.38 ± 0.59</w:t>
            </w:r>
          </w:p>
        </w:tc>
      </w:tr>
      <w:tr w:rsidR="00DA43C1" w:rsidRPr="00DA43C1" w14:paraId="48975758" w14:textId="77777777" w:rsidTr="00A06B29">
        <w:tc>
          <w:tcPr>
            <w:tcW w:w="4508" w:type="dxa"/>
          </w:tcPr>
          <w:p w14:paraId="07672C76"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Bilirubin (mg/dL), median (IQR)</w:t>
            </w:r>
          </w:p>
        </w:tc>
        <w:tc>
          <w:tcPr>
            <w:tcW w:w="4508" w:type="dxa"/>
          </w:tcPr>
          <w:p w14:paraId="1C2167C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2.53 (1.41-4.82)</w:t>
            </w:r>
          </w:p>
        </w:tc>
      </w:tr>
      <w:tr w:rsidR="00DA43C1" w:rsidRPr="00DA43C1" w14:paraId="7EB1BD2E" w14:textId="77777777" w:rsidTr="00A06B29">
        <w:tc>
          <w:tcPr>
            <w:tcW w:w="4508" w:type="dxa"/>
          </w:tcPr>
          <w:p w14:paraId="70FEB63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INR, median (IQR)</w:t>
            </w:r>
          </w:p>
        </w:tc>
        <w:tc>
          <w:tcPr>
            <w:tcW w:w="4508" w:type="dxa"/>
          </w:tcPr>
          <w:p w14:paraId="76A04CDD"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1.47 (1.29-1.74)</w:t>
            </w:r>
          </w:p>
        </w:tc>
      </w:tr>
      <w:tr w:rsidR="00DA43C1" w:rsidRPr="00DA43C1" w14:paraId="1F63191B" w14:textId="77777777" w:rsidTr="00A06B29">
        <w:tc>
          <w:tcPr>
            <w:tcW w:w="4508" w:type="dxa"/>
          </w:tcPr>
          <w:p w14:paraId="03B39A8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Platelets (</w:t>
            </w:r>
            <w:r w:rsidR="007A61DA" w:rsidRPr="007A61DA">
              <w:rPr>
                <w:rFonts w:ascii="Book Antiqua" w:eastAsia="宋体" w:hAnsi="Book Antiqua" w:cs="Times New Roman"/>
              </w:rPr>
              <w:t>×</w:t>
            </w:r>
            <w:r w:rsidRPr="00DA43C1">
              <w:rPr>
                <w:rFonts w:ascii="Book Antiqua" w:hAnsi="Book Antiqua" w:cs="Times New Roman"/>
              </w:rPr>
              <w:t xml:space="preserve"> 10</w:t>
            </w:r>
            <w:r w:rsidRPr="007A61DA">
              <w:rPr>
                <w:rFonts w:ascii="Book Antiqua" w:hAnsi="Book Antiqua" w:cs="Times New Roman"/>
                <w:vertAlign w:val="superscript"/>
              </w:rPr>
              <w:t>9</w:t>
            </w:r>
            <w:r w:rsidRPr="00DA43C1">
              <w:rPr>
                <w:rFonts w:ascii="Book Antiqua" w:hAnsi="Book Antiqua" w:cs="Times New Roman"/>
              </w:rPr>
              <w:t>/L), median (IQR)</w:t>
            </w:r>
          </w:p>
        </w:tc>
        <w:tc>
          <w:tcPr>
            <w:tcW w:w="4508" w:type="dxa"/>
          </w:tcPr>
          <w:p w14:paraId="1C3B0608"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128 (90-178)</w:t>
            </w:r>
          </w:p>
        </w:tc>
      </w:tr>
      <w:tr w:rsidR="00DA43C1" w:rsidRPr="00DA43C1" w14:paraId="0F96EE4B" w14:textId="77777777" w:rsidTr="00A06B29">
        <w:tc>
          <w:tcPr>
            <w:tcW w:w="4508" w:type="dxa"/>
          </w:tcPr>
          <w:p w14:paraId="37C6DD2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WBC (</w:t>
            </w:r>
            <w:r w:rsidR="007A61DA" w:rsidRPr="007A61DA">
              <w:rPr>
                <w:rFonts w:ascii="Book Antiqua" w:eastAsia="宋体" w:hAnsi="Book Antiqua" w:cs="Times New Roman"/>
              </w:rPr>
              <w:t>×</w:t>
            </w:r>
            <w:r w:rsidR="007A61DA" w:rsidRPr="00DA43C1">
              <w:rPr>
                <w:rFonts w:ascii="Book Antiqua" w:hAnsi="Book Antiqua" w:cs="Times New Roman"/>
              </w:rPr>
              <w:t xml:space="preserve"> 10</w:t>
            </w:r>
            <w:r w:rsidR="007A61DA" w:rsidRPr="007A61DA">
              <w:rPr>
                <w:rFonts w:ascii="Book Antiqua" w:hAnsi="Book Antiqua" w:cs="Times New Roman"/>
                <w:vertAlign w:val="superscript"/>
              </w:rPr>
              <w:t>9</w:t>
            </w:r>
            <w:r w:rsidRPr="00DA43C1">
              <w:rPr>
                <w:rFonts w:ascii="Book Antiqua" w:hAnsi="Book Antiqua" w:cs="Times New Roman"/>
              </w:rPr>
              <w:t>/L), median (IQR)</w:t>
            </w:r>
          </w:p>
        </w:tc>
        <w:tc>
          <w:tcPr>
            <w:tcW w:w="4508" w:type="dxa"/>
          </w:tcPr>
          <w:p w14:paraId="631DF6EE"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7.41 (5.45-10.36)</w:t>
            </w:r>
          </w:p>
        </w:tc>
      </w:tr>
      <w:tr w:rsidR="00DA43C1" w:rsidRPr="00DA43C1" w14:paraId="3614EF8C" w14:textId="77777777" w:rsidTr="00A06B29">
        <w:tc>
          <w:tcPr>
            <w:tcW w:w="4508" w:type="dxa"/>
          </w:tcPr>
          <w:p w14:paraId="2C4060F4"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CRP (mg/dL), median (IQR)</w:t>
            </w:r>
          </w:p>
        </w:tc>
        <w:tc>
          <w:tcPr>
            <w:tcW w:w="4508" w:type="dxa"/>
          </w:tcPr>
          <w:p w14:paraId="3CD442D6"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1.51 (0.82-3.1)</w:t>
            </w:r>
          </w:p>
        </w:tc>
      </w:tr>
      <w:tr w:rsidR="00DA43C1" w:rsidRPr="00DA43C1" w14:paraId="2466CA7B" w14:textId="77777777" w:rsidTr="00A06B29">
        <w:tc>
          <w:tcPr>
            <w:tcW w:w="4508" w:type="dxa"/>
          </w:tcPr>
          <w:p w14:paraId="5C36A59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Venous ammonia (</w:t>
            </w:r>
            <w:proofErr w:type="spellStart"/>
            <w:r w:rsidRPr="00DA43C1">
              <w:rPr>
                <w:rFonts w:ascii="Book Antiqua" w:hAnsi="Book Antiqua" w:cs="Times New Roman"/>
              </w:rPr>
              <w:t>μmol</w:t>
            </w:r>
            <w:proofErr w:type="spellEnd"/>
            <w:r w:rsidRPr="00DA43C1">
              <w:rPr>
                <w:rFonts w:ascii="Book Antiqua" w:hAnsi="Book Antiqua" w:cs="Times New Roman"/>
              </w:rPr>
              <w:t>/L), median (IQR)</w:t>
            </w:r>
          </w:p>
        </w:tc>
        <w:tc>
          <w:tcPr>
            <w:tcW w:w="4508" w:type="dxa"/>
          </w:tcPr>
          <w:p w14:paraId="377BD352"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103 (78-148)</w:t>
            </w:r>
          </w:p>
        </w:tc>
      </w:tr>
      <w:tr w:rsidR="00DA43C1" w:rsidRPr="00DA43C1" w14:paraId="62975856" w14:textId="77777777" w:rsidTr="00A06B29">
        <w:tc>
          <w:tcPr>
            <w:tcW w:w="4508" w:type="dxa"/>
          </w:tcPr>
          <w:p w14:paraId="1672946C"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Sodium (mmol/L), median (IQR)</w:t>
            </w:r>
          </w:p>
        </w:tc>
        <w:tc>
          <w:tcPr>
            <w:tcW w:w="4508" w:type="dxa"/>
          </w:tcPr>
          <w:p w14:paraId="44B4AE8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134 (130-137)</w:t>
            </w:r>
          </w:p>
        </w:tc>
      </w:tr>
      <w:tr w:rsidR="00DA43C1" w:rsidRPr="00DA43C1" w14:paraId="59FB21A8" w14:textId="77777777" w:rsidTr="00A06B29">
        <w:tc>
          <w:tcPr>
            <w:tcW w:w="4508" w:type="dxa"/>
          </w:tcPr>
          <w:p w14:paraId="6324D466"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Creatinine (mg/dL), median (IQR)</w:t>
            </w:r>
          </w:p>
        </w:tc>
        <w:tc>
          <w:tcPr>
            <w:tcW w:w="4508" w:type="dxa"/>
          </w:tcPr>
          <w:p w14:paraId="16F5423F"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0.815 (0.63-1.27)</w:t>
            </w:r>
          </w:p>
        </w:tc>
      </w:tr>
      <w:tr w:rsidR="00DA43C1" w:rsidRPr="00DA43C1" w14:paraId="3B924457" w14:textId="77777777" w:rsidTr="00A06B29">
        <w:tc>
          <w:tcPr>
            <w:tcW w:w="4508" w:type="dxa"/>
          </w:tcPr>
          <w:p w14:paraId="124721C5"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Lactate (mmol/L), median (IQR)</w:t>
            </w:r>
          </w:p>
        </w:tc>
        <w:tc>
          <w:tcPr>
            <w:tcW w:w="4508" w:type="dxa"/>
          </w:tcPr>
          <w:p w14:paraId="4DE74015"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1.7 (1.2-2.1)</w:t>
            </w:r>
          </w:p>
        </w:tc>
      </w:tr>
      <w:tr w:rsidR="00DA43C1" w:rsidRPr="00DA43C1" w14:paraId="07E69647" w14:textId="77777777" w:rsidTr="00A06B29">
        <w:tc>
          <w:tcPr>
            <w:tcW w:w="4508" w:type="dxa"/>
          </w:tcPr>
          <w:p w14:paraId="755487DB"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Child-Pugh score, median (IQR)</w:t>
            </w:r>
          </w:p>
        </w:tc>
        <w:tc>
          <w:tcPr>
            <w:tcW w:w="4508" w:type="dxa"/>
          </w:tcPr>
          <w:p w14:paraId="46ECDCFC"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 (10-12)</w:t>
            </w:r>
          </w:p>
        </w:tc>
      </w:tr>
      <w:tr w:rsidR="007A61DA" w:rsidRPr="00DA43C1" w14:paraId="30E22569" w14:textId="77777777" w:rsidTr="00A06B29">
        <w:tc>
          <w:tcPr>
            <w:tcW w:w="4508" w:type="dxa"/>
          </w:tcPr>
          <w:p w14:paraId="341FD665"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Child-Pugh class,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4470A7CC" w14:textId="77777777" w:rsidR="007A61DA" w:rsidRPr="00DA43C1" w:rsidRDefault="007A61DA" w:rsidP="00DA43C1">
            <w:pPr>
              <w:autoSpaceDE w:val="0"/>
              <w:autoSpaceDN w:val="0"/>
              <w:adjustRightInd w:val="0"/>
              <w:spacing w:line="360" w:lineRule="auto"/>
              <w:jc w:val="both"/>
              <w:rPr>
                <w:rFonts w:ascii="Book Antiqua" w:hAnsi="Book Antiqua"/>
              </w:rPr>
            </w:pPr>
          </w:p>
        </w:tc>
      </w:tr>
      <w:tr w:rsidR="007A61DA" w:rsidRPr="00DA43C1" w14:paraId="3756FDA2" w14:textId="77777777" w:rsidTr="00A06B29">
        <w:tc>
          <w:tcPr>
            <w:tcW w:w="4508" w:type="dxa"/>
          </w:tcPr>
          <w:p w14:paraId="6EC200FD"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A</w:t>
            </w:r>
          </w:p>
        </w:tc>
        <w:tc>
          <w:tcPr>
            <w:tcW w:w="4508" w:type="dxa"/>
          </w:tcPr>
          <w:p w14:paraId="23ACCD91"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 (0.7)</w:t>
            </w:r>
          </w:p>
        </w:tc>
      </w:tr>
      <w:tr w:rsidR="007A61DA" w:rsidRPr="00DA43C1" w14:paraId="06093432" w14:textId="77777777" w:rsidTr="00A06B29">
        <w:tc>
          <w:tcPr>
            <w:tcW w:w="4508" w:type="dxa"/>
          </w:tcPr>
          <w:p w14:paraId="1F4CEE0B"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4508" w:type="dxa"/>
          </w:tcPr>
          <w:p w14:paraId="6554ECB1"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84 (19.2)</w:t>
            </w:r>
          </w:p>
        </w:tc>
      </w:tr>
      <w:tr w:rsidR="00DA43C1" w:rsidRPr="00DA43C1" w14:paraId="16B37965" w14:textId="77777777" w:rsidTr="00A06B29">
        <w:tc>
          <w:tcPr>
            <w:tcW w:w="4508" w:type="dxa"/>
          </w:tcPr>
          <w:p w14:paraId="2A24193D"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C</w:t>
            </w:r>
          </w:p>
        </w:tc>
        <w:tc>
          <w:tcPr>
            <w:tcW w:w="4508" w:type="dxa"/>
          </w:tcPr>
          <w:p w14:paraId="45E9000B"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350 (80.1)</w:t>
            </w:r>
          </w:p>
        </w:tc>
      </w:tr>
      <w:tr w:rsidR="00DA43C1" w:rsidRPr="00DA43C1" w14:paraId="4D4CF96B" w14:textId="77777777" w:rsidTr="00A06B29">
        <w:tc>
          <w:tcPr>
            <w:tcW w:w="4508" w:type="dxa"/>
          </w:tcPr>
          <w:p w14:paraId="7E44D188"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MELD, mean ± SD</w:t>
            </w:r>
          </w:p>
        </w:tc>
        <w:tc>
          <w:tcPr>
            <w:tcW w:w="4508" w:type="dxa"/>
          </w:tcPr>
          <w:p w14:paraId="3127574D"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19.13 ± 6.79</w:t>
            </w:r>
          </w:p>
        </w:tc>
      </w:tr>
      <w:tr w:rsidR="00DA43C1" w:rsidRPr="00DA43C1" w14:paraId="57BA2710" w14:textId="77777777" w:rsidTr="00A06B29">
        <w:tc>
          <w:tcPr>
            <w:tcW w:w="4508" w:type="dxa"/>
          </w:tcPr>
          <w:p w14:paraId="1D094C8C"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lastRenderedPageBreak/>
              <w:t>AARC score, median (IQR)</w:t>
            </w:r>
          </w:p>
        </w:tc>
        <w:tc>
          <w:tcPr>
            <w:tcW w:w="4508" w:type="dxa"/>
          </w:tcPr>
          <w:p w14:paraId="08CA661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 (6-8)</w:t>
            </w:r>
          </w:p>
        </w:tc>
      </w:tr>
      <w:tr w:rsidR="00DA43C1" w:rsidRPr="00DA43C1" w14:paraId="4B9ADF70" w14:textId="77777777" w:rsidTr="00A06B29">
        <w:tc>
          <w:tcPr>
            <w:tcW w:w="4508" w:type="dxa"/>
          </w:tcPr>
          <w:p w14:paraId="1B7973F2"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ACLF,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1D61CA4E" w14:textId="77777777" w:rsidR="00DA43C1" w:rsidRPr="00DA43C1" w:rsidRDefault="00DA43C1" w:rsidP="00DA43C1">
            <w:pPr>
              <w:autoSpaceDE w:val="0"/>
              <w:autoSpaceDN w:val="0"/>
              <w:adjustRightInd w:val="0"/>
              <w:spacing w:line="360" w:lineRule="auto"/>
              <w:jc w:val="both"/>
              <w:rPr>
                <w:rFonts w:ascii="Book Antiqua" w:hAnsi="Book Antiqua" w:cs="Times New Roman"/>
              </w:rPr>
            </w:pPr>
          </w:p>
        </w:tc>
      </w:tr>
      <w:tr w:rsidR="007A61DA" w:rsidRPr="00DA43C1" w14:paraId="6D20BE02" w14:textId="77777777" w:rsidTr="00A06B29">
        <w:tc>
          <w:tcPr>
            <w:tcW w:w="4508" w:type="dxa"/>
          </w:tcPr>
          <w:p w14:paraId="0F7AA20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w:t>
            </w:r>
          </w:p>
        </w:tc>
        <w:tc>
          <w:tcPr>
            <w:tcW w:w="4508" w:type="dxa"/>
          </w:tcPr>
          <w:p w14:paraId="6EA5E3CA"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296 (66.4)</w:t>
            </w:r>
          </w:p>
        </w:tc>
      </w:tr>
      <w:tr w:rsidR="007A61DA" w:rsidRPr="00DA43C1" w14:paraId="1E01C209" w14:textId="77777777" w:rsidTr="00A06B29">
        <w:tc>
          <w:tcPr>
            <w:tcW w:w="4508" w:type="dxa"/>
          </w:tcPr>
          <w:p w14:paraId="1C2635DC"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w:t>
            </w:r>
          </w:p>
        </w:tc>
        <w:tc>
          <w:tcPr>
            <w:tcW w:w="4508" w:type="dxa"/>
          </w:tcPr>
          <w:p w14:paraId="00ECF864"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139 (31.2)</w:t>
            </w:r>
          </w:p>
        </w:tc>
      </w:tr>
      <w:tr w:rsidR="007A61DA" w:rsidRPr="00DA43C1" w14:paraId="2ADE2F20" w14:textId="77777777" w:rsidTr="00A06B29">
        <w:tc>
          <w:tcPr>
            <w:tcW w:w="4508" w:type="dxa"/>
          </w:tcPr>
          <w:p w14:paraId="447DA578"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III</w:t>
            </w:r>
          </w:p>
        </w:tc>
        <w:tc>
          <w:tcPr>
            <w:tcW w:w="4508" w:type="dxa"/>
          </w:tcPr>
          <w:p w14:paraId="2341B58A" w14:textId="77777777" w:rsidR="007A61DA" w:rsidRPr="00DA43C1" w:rsidRDefault="007A61DA" w:rsidP="00DA43C1">
            <w:pPr>
              <w:autoSpaceDE w:val="0"/>
              <w:autoSpaceDN w:val="0"/>
              <w:adjustRightInd w:val="0"/>
              <w:spacing w:line="360" w:lineRule="auto"/>
              <w:jc w:val="both"/>
              <w:rPr>
                <w:rFonts w:ascii="Book Antiqua" w:hAnsi="Book Antiqua"/>
              </w:rPr>
            </w:pPr>
            <w:r w:rsidRPr="00DA43C1">
              <w:rPr>
                <w:rFonts w:ascii="Book Antiqua" w:hAnsi="Book Antiqua" w:cs="Times New Roman"/>
              </w:rPr>
              <w:t>11(2.5)</w:t>
            </w:r>
          </w:p>
        </w:tc>
      </w:tr>
      <w:tr w:rsidR="00DA43C1" w:rsidRPr="00DA43C1" w14:paraId="34EA1A83" w14:textId="77777777" w:rsidTr="00A06B29">
        <w:tc>
          <w:tcPr>
            <w:tcW w:w="4508" w:type="dxa"/>
          </w:tcPr>
          <w:p w14:paraId="28C296BF" w14:textId="77777777" w:rsidR="00DA43C1" w:rsidRPr="00DA43C1" w:rsidRDefault="00DA43C1"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Ascites,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4C1DF91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408 (91.5)</w:t>
            </w:r>
          </w:p>
        </w:tc>
      </w:tr>
      <w:tr w:rsidR="007A61DA" w:rsidRPr="00DA43C1" w14:paraId="6D388346" w14:textId="77777777" w:rsidTr="00A06B29">
        <w:tc>
          <w:tcPr>
            <w:tcW w:w="4508" w:type="dxa"/>
          </w:tcPr>
          <w:p w14:paraId="1407D2AF"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w:t>
            </w:r>
          </w:p>
        </w:tc>
        <w:tc>
          <w:tcPr>
            <w:tcW w:w="4508" w:type="dxa"/>
          </w:tcPr>
          <w:p w14:paraId="0B2A34CE"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37(9.1)</w:t>
            </w:r>
          </w:p>
        </w:tc>
      </w:tr>
      <w:tr w:rsidR="007A61DA" w:rsidRPr="00DA43C1" w14:paraId="133B1E1D" w14:textId="77777777" w:rsidTr="00A06B29">
        <w:tc>
          <w:tcPr>
            <w:tcW w:w="4508" w:type="dxa"/>
          </w:tcPr>
          <w:p w14:paraId="2C10F65D"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w:t>
            </w:r>
          </w:p>
        </w:tc>
        <w:tc>
          <w:tcPr>
            <w:tcW w:w="4508" w:type="dxa"/>
          </w:tcPr>
          <w:p w14:paraId="21C810D9"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112 (27.5)</w:t>
            </w:r>
          </w:p>
        </w:tc>
      </w:tr>
      <w:tr w:rsidR="007A61DA" w:rsidRPr="00DA43C1" w14:paraId="21AE4826" w14:textId="77777777" w:rsidTr="00A06B29">
        <w:tc>
          <w:tcPr>
            <w:tcW w:w="4508" w:type="dxa"/>
          </w:tcPr>
          <w:p w14:paraId="5DFF0ABC"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III</w:t>
            </w:r>
          </w:p>
        </w:tc>
        <w:tc>
          <w:tcPr>
            <w:tcW w:w="4508" w:type="dxa"/>
          </w:tcPr>
          <w:p w14:paraId="1C4BC416"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259 (63.5)</w:t>
            </w:r>
          </w:p>
        </w:tc>
      </w:tr>
      <w:tr w:rsidR="007A61DA" w:rsidRPr="00DA43C1" w14:paraId="30F874E9" w14:textId="77777777" w:rsidTr="00A06B29">
        <w:tc>
          <w:tcPr>
            <w:tcW w:w="4508" w:type="dxa"/>
          </w:tcPr>
          <w:p w14:paraId="3612B093"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HE,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060CB7EB"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374 (83.9)</w:t>
            </w:r>
          </w:p>
        </w:tc>
      </w:tr>
      <w:tr w:rsidR="007A61DA" w:rsidRPr="00DA43C1" w14:paraId="0F5EB999" w14:textId="77777777" w:rsidTr="00A06B29">
        <w:tc>
          <w:tcPr>
            <w:tcW w:w="4508" w:type="dxa"/>
          </w:tcPr>
          <w:p w14:paraId="46A9CD8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w:t>
            </w:r>
          </w:p>
        </w:tc>
        <w:tc>
          <w:tcPr>
            <w:tcW w:w="4508" w:type="dxa"/>
          </w:tcPr>
          <w:p w14:paraId="7B3DDD46"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127 (34)</w:t>
            </w:r>
          </w:p>
        </w:tc>
      </w:tr>
      <w:tr w:rsidR="007A61DA" w:rsidRPr="00DA43C1" w14:paraId="2E239360" w14:textId="77777777" w:rsidTr="00A06B29">
        <w:tc>
          <w:tcPr>
            <w:tcW w:w="4508" w:type="dxa"/>
          </w:tcPr>
          <w:p w14:paraId="4002DD1A"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w:t>
            </w:r>
          </w:p>
        </w:tc>
        <w:tc>
          <w:tcPr>
            <w:tcW w:w="4508" w:type="dxa"/>
          </w:tcPr>
          <w:p w14:paraId="48E902F7"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139 (37.2)</w:t>
            </w:r>
          </w:p>
        </w:tc>
      </w:tr>
      <w:tr w:rsidR="007A61DA" w:rsidRPr="00DA43C1" w14:paraId="17EDB619" w14:textId="77777777" w:rsidTr="00A06B29">
        <w:tc>
          <w:tcPr>
            <w:tcW w:w="4508" w:type="dxa"/>
          </w:tcPr>
          <w:p w14:paraId="25D994F4"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III</w:t>
            </w:r>
          </w:p>
        </w:tc>
        <w:tc>
          <w:tcPr>
            <w:tcW w:w="4508" w:type="dxa"/>
          </w:tcPr>
          <w:p w14:paraId="27342EA2"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88(23.5)</w:t>
            </w:r>
          </w:p>
        </w:tc>
      </w:tr>
      <w:tr w:rsidR="007A61DA" w:rsidRPr="00DA43C1" w14:paraId="42C36CDB" w14:textId="77777777" w:rsidTr="00A06B29">
        <w:tc>
          <w:tcPr>
            <w:tcW w:w="4508" w:type="dxa"/>
          </w:tcPr>
          <w:p w14:paraId="156FAE3B"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IV</w:t>
            </w:r>
          </w:p>
        </w:tc>
        <w:tc>
          <w:tcPr>
            <w:tcW w:w="4508" w:type="dxa"/>
          </w:tcPr>
          <w:p w14:paraId="787BDC68"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20(5.3)</w:t>
            </w:r>
          </w:p>
        </w:tc>
      </w:tr>
      <w:tr w:rsidR="007A61DA" w:rsidRPr="00DA43C1" w14:paraId="2075B63C" w14:textId="77777777" w:rsidTr="00A06B29">
        <w:tc>
          <w:tcPr>
            <w:tcW w:w="4508" w:type="dxa"/>
          </w:tcPr>
          <w:p w14:paraId="5E33D6C3"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Precipitating factors,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05C2E271" w14:textId="77777777" w:rsidR="007A61DA" w:rsidRPr="00DA43C1" w:rsidRDefault="007A61DA" w:rsidP="007A61DA">
            <w:pPr>
              <w:autoSpaceDE w:val="0"/>
              <w:autoSpaceDN w:val="0"/>
              <w:adjustRightInd w:val="0"/>
              <w:spacing w:line="360" w:lineRule="auto"/>
              <w:jc w:val="both"/>
              <w:rPr>
                <w:rFonts w:ascii="Book Antiqua" w:hAnsi="Book Antiqua" w:cs="Times New Roman"/>
              </w:rPr>
            </w:pPr>
          </w:p>
        </w:tc>
      </w:tr>
      <w:tr w:rsidR="007A61DA" w:rsidRPr="00DA43C1" w14:paraId="15FE1135" w14:textId="77777777" w:rsidTr="00A06B29">
        <w:tc>
          <w:tcPr>
            <w:tcW w:w="4508" w:type="dxa"/>
          </w:tcPr>
          <w:p w14:paraId="5EDCE394"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Alcohol</w:t>
            </w:r>
          </w:p>
        </w:tc>
        <w:tc>
          <w:tcPr>
            <w:tcW w:w="4508" w:type="dxa"/>
          </w:tcPr>
          <w:p w14:paraId="5B137F0E"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146 (32.7)</w:t>
            </w:r>
          </w:p>
        </w:tc>
      </w:tr>
      <w:tr w:rsidR="007A61DA" w:rsidRPr="00DA43C1" w14:paraId="23D41475" w14:textId="77777777" w:rsidTr="00A06B29">
        <w:tc>
          <w:tcPr>
            <w:tcW w:w="4508" w:type="dxa"/>
          </w:tcPr>
          <w:p w14:paraId="4EE6DEEB"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Upper GI bleeding</w:t>
            </w:r>
          </w:p>
        </w:tc>
        <w:tc>
          <w:tcPr>
            <w:tcW w:w="4508" w:type="dxa"/>
          </w:tcPr>
          <w:p w14:paraId="0A02ADD9"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89 (19.9)</w:t>
            </w:r>
          </w:p>
        </w:tc>
      </w:tr>
      <w:tr w:rsidR="007A61DA" w:rsidRPr="00DA43C1" w14:paraId="397972A9" w14:textId="77777777" w:rsidTr="00A06B29">
        <w:tc>
          <w:tcPr>
            <w:tcW w:w="4508" w:type="dxa"/>
          </w:tcPr>
          <w:p w14:paraId="1A218FF1"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Infections</w:t>
            </w:r>
          </w:p>
        </w:tc>
        <w:tc>
          <w:tcPr>
            <w:tcW w:w="4508" w:type="dxa"/>
          </w:tcPr>
          <w:p w14:paraId="149BD650"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94 (21)</w:t>
            </w:r>
          </w:p>
        </w:tc>
      </w:tr>
      <w:tr w:rsidR="007A61DA" w:rsidRPr="00DA43C1" w14:paraId="1D0B6F74" w14:textId="77777777" w:rsidTr="00A06B29">
        <w:tc>
          <w:tcPr>
            <w:tcW w:w="4508" w:type="dxa"/>
          </w:tcPr>
          <w:p w14:paraId="03308EB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Hepatitis B virus activation</w:t>
            </w:r>
          </w:p>
        </w:tc>
        <w:tc>
          <w:tcPr>
            <w:tcW w:w="4508" w:type="dxa"/>
          </w:tcPr>
          <w:p w14:paraId="78DEF935"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 (1.5)</w:t>
            </w:r>
          </w:p>
        </w:tc>
      </w:tr>
      <w:tr w:rsidR="007A61DA" w:rsidRPr="00DA43C1" w14:paraId="081738A8" w14:textId="77777777" w:rsidTr="00A06B29">
        <w:tc>
          <w:tcPr>
            <w:tcW w:w="4508" w:type="dxa"/>
          </w:tcPr>
          <w:p w14:paraId="5ABF6FA9"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Unknown</w:t>
            </w:r>
          </w:p>
        </w:tc>
        <w:tc>
          <w:tcPr>
            <w:tcW w:w="4508" w:type="dxa"/>
          </w:tcPr>
          <w:p w14:paraId="7D2B7AE9"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110 (24.6)</w:t>
            </w:r>
          </w:p>
        </w:tc>
      </w:tr>
      <w:tr w:rsidR="007A61DA" w:rsidRPr="00DA43C1" w14:paraId="2E9AD287" w14:textId="77777777" w:rsidTr="00A06B29">
        <w:tc>
          <w:tcPr>
            <w:tcW w:w="4508" w:type="dxa"/>
          </w:tcPr>
          <w:p w14:paraId="7DE529D1"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Upper GI bleeding,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5B823E3F"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89 (20)</w:t>
            </w:r>
          </w:p>
        </w:tc>
      </w:tr>
      <w:tr w:rsidR="007A61DA" w:rsidRPr="00DA43C1" w14:paraId="42BA2419" w14:textId="77777777" w:rsidTr="00A06B29">
        <w:tc>
          <w:tcPr>
            <w:tcW w:w="4508" w:type="dxa"/>
          </w:tcPr>
          <w:p w14:paraId="048B3E24"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SBP,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6CDBAE49"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24 (5.4)</w:t>
            </w:r>
          </w:p>
        </w:tc>
      </w:tr>
      <w:tr w:rsidR="007A61DA" w:rsidRPr="00DA43C1" w14:paraId="351C8E44" w14:textId="77777777" w:rsidTr="00A06B29">
        <w:tc>
          <w:tcPr>
            <w:tcW w:w="4508" w:type="dxa"/>
          </w:tcPr>
          <w:p w14:paraId="7A07BD67"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Other infections,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15FA0EF5"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70 (15.7)</w:t>
            </w:r>
          </w:p>
        </w:tc>
      </w:tr>
      <w:tr w:rsidR="007A61DA" w:rsidRPr="00DA43C1" w14:paraId="2C567B50" w14:textId="77777777" w:rsidTr="00A06B29">
        <w:tc>
          <w:tcPr>
            <w:tcW w:w="4508" w:type="dxa"/>
          </w:tcPr>
          <w:p w14:paraId="238AA890"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UTI</w:t>
            </w:r>
          </w:p>
        </w:tc>
        <w:tc>
          <w:tcPr>
            <w:tcW w:w="4508" w:type="dxa"/>
          </w:tcPr>
          <w:p w14:paraId="19715855"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28 (38.4)</w:t>
            </w:r>
          </w:p>
        </w:tc>
      </w:tr>
      <w:tr w:rsidR="007A61DA" w:rsidRPr="00DA43C1" w14:paraId="3ED0A0AE" w14:textId="77777777" w:rsidTr="00A06B29">
        <w:tc>
          <w:tcPr>
            <w:tcW w:w="4508" w:type="dxa"/>
          </w:tcPr>
          <w:p w14:paraId="0CC57C04"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Pneumonia</w:t>
            </w:r>
          </w:p>
        </w:tc>
        <w:tc>
          <w:tcPr>
            <w:tcW w:w="4508" w:type="dxa"/>
          </w:tcPr>
          <w:p w14:paraId="0F3351AA"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 (9.6)</w:t>
            </w:r>
          </w:p>
        </w:tc>
      </w:tr>
      <w:tr w:rsidR="007A61DA" w:rsidRPr="00DA43C1" w14:paraId="13D61037" w14:textId="77777777" w:rsidTr="00A06B29">
        <w:tc>
          <w:tcPr>
            <w:tcW w:w="4508" w:type="dxa"/>
          </w:tcPr>
          <w:p w14:paraId="64B0F658"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CDI</w:t>
            </w:r>
          </w:p>
        </w:tc>
        <w:tc>
          <w:tcPr>
            <w:tcW w:w="4508" w:type="dxa"/>
          </w:tcPr>
          <w:p w14:paraId="73E78494"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20 (27.4)</w:t>
            </w:r>
          </w:p>
        </w:tc>
      </w:tr>
      <w:tr w:rsidR="007A61DA" w:rsidRPr="00DA43C1" w14:paraId="7234392B" w14:textId="77777777" w:rsidTr="00A06B29">
        <w:tc>
          <w:tcPr>
            <w:tcW w:w="4508" w:type="dxa"/>
          </w:tcPr>
          <w:p w14:paraId="1638B79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Sepsis</w:t>
            </w:r>
          </w:p>
        </w:tc>
        <w:tc>
          <w:tcPr>
            <w:tcW w:w="4508" w:type="dxa"/>
          </w:tcPr>
          <w:p w14:paraId="18E70840"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5 (6.8)</w:t>
            </w:r>
          </w:p>
        </w:tc>
      </w:tr>
      <w:tr w:rsidR="007A61DA" w:rsidRPr="00DA43C1" w14:paraId="7BC47AAB" w14:textId="77777777" w:rsidTr="00A06B29">
        <w:tc>
          <w:tcPr>
            <w:tcW w:w="4508" w:type="dxa"/>
          </w:tcPr>
          <w:p w14:paraId="5882101E"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Cutaneous</w:t>
            </w:r>
          </w:p>
        </w:tc>
        <w:tc>
          <w:tcPr>
            <w:tcW w:w="4508" w:type="dxa"/>
          </w:tcPr>
          <w:p w14:paraId="10B14583"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 (15.1)</w:t>
            </w:r>
          </w:p>
        </w:tc>
      </w:tr>
      <w:tr w:rsidR="007A61DA" w:rsidRPr="00DA43C1" w14:paraId="27C08991" w14:textId="77777777" w:rsidTr="00A06B29">
        <w:tc>
          <w:tcPr>
            <w:tcW w:w="4508" w:type="dxa"/>
          </w:tcPr>
          <w:p w14:paraId="3BA2E849"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lastRenderedPageBreak/>
              <w:t>Oral candidiasis</w:t>
            </w:r>
          </w:p>
        </w:tc>
        <w:tc>
          <w:tcPr>
            <w:tcW w:w="4508" w:type="dxa"/>
          </w:tcPr>
          <w:p w14:paraId="73B5FD3A"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2 (2.7)</w:t>
            </w:r>
          </w:p>
        </w:tc>
      </w:tr>
      <w:tr w:rsidR="007A61DA" w:rsidRPr="00DA43C1" w14:paraId="25AF11C1" w14:textId="77777777" w:rsidTr="00A06B29">
        <w:tc>
          <w:tcPr>
            <w:tcW w:w="4508" w:type="dxa"/>
          </w:tcPr>
          <w:p w14:paraId="206A3DF2"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 xml:space="preserve">AKI,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26D71E38"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52 (11.7)</w:t>
            </w:r>
          </w:p>
        </w:tc>
      </w:tr>
      <w:tr w:rsidR="007A61DA" w:rsidRPr="00DA43C1" w14:paraId="424596A3" w14:textId="77777777" w:rsidTr="00A06B29">
        <w:tc>
          <w:tcPr>
            <w:tcW w:w="4508" w:type="dxa"/>
          </w:tcPr>
          <w:p w14:paraId="4848D08F"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HCC,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2C75E7AD"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 (2.5)</w:t>
            </w:r>
          </w:p>
        </w:tc>
      </w:tr>
      <w:tr w:rsidR="007A61DA" w:rsidRPr="00DA43C1" w14:paraId="21CE1AD8" w14:textId="77777777" w:rsidTr="00A06B29">
        <w:tc>
          <w:tcPr>
            <w:tcW w:w="4508" w:type="dxa"/>
          </w:tcPr>
          <w:p w14:paraId="02B0CD4D"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Hospital stay (d), median (IQR)</w:t>
            </w:r>
          </w:p>
        </w:tc>
        <w:tc>
          <w:tcPr>
            <w:tcW w:w="4508" w:type="dxa"/>
          </w:tcPr>
          <w:p w14:paraId="53C0AD88"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 (5-11)</w:t>
            </w:r>
          </w:p>
        </w:tc>
      </w:tr>
      <w:tr w:rsidR="007A61DA" w:rsidRPr="00DA43C1" w14:paraId="039E671D" w14:textId="77777777" w:rsidTr="00A06B29">
        <w:tc>
          <w:tcPr>
            <w:tcW w:w="4508" w:type="dxa"/>
            <w:tcBorders>
              <w:bottom w:val="single" w:sz="4" w:space="0" w:color="auto"/>
            </w:tcBorders>
          </w:tcPr>
          <w:p w14:paraId="7AE8922D"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In-hospital death rate,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Borders>
              <w:bottom w:val="single" w:sz="4" w:space="0" w:color="auto"/>
            </w:tcBorders>
          </w:tcPr>
          <w:p w14:paraId="473CD404"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35 (7.8)</w:t>
            </w:r>
          </w:p>
        </w:tc>
      </w:tr>
    </w:tbl>
    <w:p w14:paraId="6EE665DA" w14:textId="77777777" w:rsidR="00A06B29" w:rsidRDefault="00DA43C1" w:rsidP="00A06B29">
      <w:pPr>
        <w:autoSpaceDE w:val="0"/>
        <w:autoSpaceDN w:val="0"/>
        <w:adjustRightInd w:val="0"/>
        <w:spacing w:line="360" w:lineRule="auto"/>
        <w:jc w:val="both"/>
        <w:rPr>
          <w:rFonts w:ascii="Book Antiqua" w:hAnsi="Book Antiqua"/>
        </w:rPr>
      </w:pPr>
      <w:r w:rsidRPr="008F74E3">
        <w:rPr>
          <w:rFonts w:ascii="Book Antiqua" w:hAnsi="Book Antiqua"/>
        </w:rPr>
        <w:t xml:space="preserve">IQR: </w:t>
      </w:r>
      <w:r w:rsidR="007A61DA">
        <w:rPr>
          <w:rFonts w:ascii="Book Antiqua" w:hAnsi="Book Antiqua"/>
        </w:rPr>
        <w:t>I</w:t>
      </w:r>
      <w:r w:rsidRPr="008F74E3">
        <w:rPr>
          <w:rFonts w:ascii="Book Antiqua" w:hAnsi="Book Antiqua"/>
        </w:rPr>
        <w:t xml:space="preserve">nterquartile range; SD: </w:t>
      </w:r>
      <w:r w:rsidR="007A61DA">
        <w:rPr>
          <w:rFonts w:ascii="Book Antiqua" w:hAnsi="Book Antiqua"/>
        </w:rPr>
        <w:t>S</w:t>
      </w:r>
      <w:r w:rsidRPr="008F74E3">
        <w:rPr>
          <w:rFonts w:ascii="Book Antiqua" w:hAnsi="Book Antiqua"/>
        </w:rPr>
        <w:t xml:space="preserve">tandard deviation; INR: </w:t>
      </w:r>
      <w:r w:rsidR="007A61DA">
        <w:rPr>
          <w:rFonts w:ascii="Book Antiqua" w:hAnsi="Book Antiqua"/>
        </w:rPr>
        <w:t>I</w:t>
      </w:r>
      <w:r w:rsidRPr="008F74E3">
        <w:rPr>
          <w:rFonts w:ascii="Book Antiqua" w:hAnsi="Book Antiqua"/>
        </w:rPr>
        <w:t xml:space="preserve">nternational normalized ratio; WBC: </w:t>
      </w:r>
      <w:r w:rsidR="007A61DA">
        <w:rPr>
          <w:rFonts w:ascii="Book Antiqua" w:hAnsi="Book Antiqua"/>
        </w:rPr>
        <w:t>W</w:t>
      </w:r>
      <w:r w:rsidRPr="008F74E3">
        <w:rPr>
          <w:rFonts w:ascii="Book Antiqua" w:hAnsi="Book Antiqua"/>
        </w:rPr>
        <w:t xml:space="preserve">hite blood cells; CRP: C-reactive protein; MELD: Model for end-stage liver disease; AARC score: APASL ACLF Research Consortium score; HE: </w:t>
      </w:r>
      <w:r w:rsidR="00A06B29">
        <w:rPr>
          <w:rFonts w:ascii="Book Antiqua" w:hAnsi="Book Antiqua"/>
        </w:rPr>
        <w:t>H</w:t>
      </w:r>
      <w:r w:rsidRPr="008F74E3">
        <w:rPr>
          <w:rFonts w:ascii="Book Antiqua" w:hAnsi="Book Antiqua"/>
        </w:rPr>
        <w:t xml:space="preserve">epatic encephalopathy; GI: </w:t>
      </w:r>
      <w:r w:rsidR="00A06B29">
        <w:rPr>
          <w:rFonts w:ascii="Book Antiqua" w:hAnsi="Book Antiqua"/>
        </w:rPr>
        <w:t>G</w:t>
      </w:r>
      <w:r w:rsidRPr="008F74E3">
        <w:rPr>
          <w:rFonts w:ascii="Book Antiqua" w:hAnsi="Book Antiqua"/>
        </w:rPr>
        <w:t xml:space="preserve">astrointestinal; UTI: </w:t>
      </w:r>
      <w:r w:rsidR="00A06B29">
        <w:rPr>
          <w:rFonts w:ascii="Book Antiqua" w:hAnsi="Book Antiqua"/>
        </w:rPr>
        <w:t>U</w:t>
      </w:r>
      <w:r w:rsidRPr="008F74E3">
        <w:rPr>
          <w:rFonts w:ascii="Book Antiqua" w:hAnsi="Book Antiqua"/>
        </w:rPr>
        <w:t xml:space="preserve">rinary tract infection; CDI: </w:t>
      </w:r>
      <w:r w:rsidRPr="008F74E3">
        <w:rPr>
          <w:rFonts w:ascii="Book Antiqua" w:hAnsi="Book Antiqua"/>
          <w:i/>
        </w:rPr>
        <w:t>Clostridium Difficile</w:t>
      </w:r>
      <w:r w:rsidRPr="008F74E3">
        <w:rPr>
          <w:rFonts w:ascii="Book Antiqua" w:hAnsi="Book Antiqua"/>
        </w:rPr>
        <w:t xml:space="preserve"> infection; AKI: </w:t>
      </w:r>
      <w:r w:rsidR="00A06B29">
        <w:rPr>
          <w:rFonts w:ascii="Book Antiqua" w:hAnsi="Book Antiqua"/>
        </w:rPr>
        <w:t>A</w:t>
      </w:r>
      <w:r w:rsidRPr="008F74E3">
        <w:rPr>
          <w:rFonts w:ascii="Book Antiqua" w:hAnsi="Book Antiqua"/>
        </w:rPr>
        <w:t xml:space="preserve">cute kidney injury; SBP: </w:t>
      </w:r>
      <w:r w:rsidR="00A06B29">
        <w:rPr>
          <w:rFonts w:ascii="Book Antiqua" w:hAnsi="Book Antiqua"/>
        </w:rPr>
        <w:t>S</w:t>
      </w:r>
      <w:r w:rsidRPr="008F74E3">
        <w:rPr>
          <w:rFonts w:ascii="Book Antiqua" w:hAnsi="Book Antiqua"/>
        </w:rPr>
        <w:t xml:space="preserve">pontaneous bacterial peritonitis; HCC: </w:t>
      </w:r>
      <w:r w:rsidR="00A06B29">
        <w:rPr>
          <w:rFonts w:ascii="Book Antiqua" w:hAnsi="Book Antiqua"/>
        </w:rPr>
        <w:t>H</w:t>
      </w:r>
      <w:r w:rsidRPr="008F74E3">
        <w:rPr>
          <w:rFonts w:ascii="Book Antiqua" w:hAnsi="Book Antiqua"/>
        </w:rPr>
        <w:t>epatocellular carcinoma.</w:t>
      </w:r>
    </w:p>
    <w:p w14:paraId="17DE3D61" w14:textId="77777777" w:rsidR="00DA43C1" w:rsidRDefault="00A06B29" w:rsidP="00A06B29">
      <w:pPr>
        <w:autoSpaceDE w:val="0"/>
        <w:autoSpaceDN w:val="0"/>
        <w:adjustRightInd w:val="0"/>
        <w:spacing w:line="360" w:lineRule="auto"/>
        <w:jc w:val="both"/>
        <w:rPr>
          <w:rFonts w:ascii="Book Antiqua" w:hAnsi="Book Antiqua"/>
          <w:b/>
          <w:bCs/>
        </w:rPr>
      </w:pPr>
      <w:r>
        <w:rPr>
          <w:rFonts w:ascii="Book Antiqua" w:hAnsi="Book Antiqua"/>
        </w:rPr>
        <w:br w:type="page"/>
      </w:r>
      <w:r w:rsidRPr="00A06B29">
        <w:rPr>
          <w:rFonts w:ascii="Book Antiqua" w:hAnsi="Book Antiqua"/>
          <w:b/>
          <w:bCs/>
        </w:rPr>
        <w:lastRenderedPageBreak/>
        <w:t>Table 2 Mortality analysis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2307"/>
        <w:gridCol w:w="902"/>
      </w:tblGrid>
      <w:tr w:rsidR="00A06B29" w:rsidRPr="00A06B29" w14:paraId="3172712B" w14:textId="77777777" w:rsidTr="00A06B29">
        <w:tc>
          <w:tcPr>
            <w:tcW w:w="3539" w:type="dxa"/>
            <w:tcBorders>
              <w:top w:val="single" w:sz="4" w:space="0" w:color="auto"/>
              <w:bottom w:val="single" w:sz="4" w:space="0" w:color="auto"/>
            </w:tcBorders>
          </w:tcPr>
          <w:p w14:paraId="43E57C58" w14:textId="77777777" w:rsidR="00A06B29" w:rsidRPr="00A06B29" w:rsidRDefault="00A06B29" w:rsidP="00A06B29">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rPr>
              <w:t>Variable</w:t>
            </w:r>
          </w:p>
        </w:tc>
        <w:tc>
          <w:tcPr>
            <w:tcW w:w="2268" w:type="dxa"/>
            <w:tcBorders>
              <w:top w:val="single" w:sz="4" w:space="0" w:color="auto"/>
              <w:bottom w:val="single" w:sz="4" w:space="0" w:color="auto"/>
            </w:tcBorders>
          </w:tcPr>
          <w:p w14:paraId="0EA36F8B" w14:textId="6CFC294D" w:rsidR="00A06B29" w:rsidRPr="00A06B29" w:rsidRDefault="00A06B29" w:rsidP="00A963D0">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rPr>
              <w:t xml:space="preserve">Survivors, </w:t>
            </w:r>
            <w:r w:rsidRPr="00A06B29">
              <w:rPr>
                <w:rFonts w:ascii="Book Antiqua" w:hAnsi="Book Antiqua" w:cs="Times New Roman"/>
                <w:b/>
                <w:i/>
                <w:iCs/>
              </w:rPr>
              <w:t>n</w:t>
            </w:r>
            <w:r w:rsidRPr="00A06B29">
              <w:rPr>
                <w:rFonts w:ascii="Book Antiqua" w:hAnsi="Book Antiqua" w:cs="Times New Roman"/>
                <w:b/>
              </w:rPr>
              <w:t xml:space="preserve"> (%)</w:t>
            </w:r>
            <w:r w:rsidR="00A963D0">
              <w:rPr>
                <w:rFonts w:ascii="Book Antiqua" w:hAnsi="Book Antiqua" w:cs="Times New Roman"/>
                <w:b/>
              </w:rPr>
              <w:t xml:space="preserve"> </w:t>
            </w:r>
            <w:r w:rsidRPr="00A06B29">
              <w:rPr>
                <w:rFonts w:ascii="Book Antiqua" w:hAnsi="Book Antiqua" w:cs="Times New Roman"/>
                <w:b/>
              </w:rPr>
              <w:t>411 (92.2)</w:t>
            </w:r>
          </w:p>
        </w:tc>
        <w:tc>
          <w:tcPr>
            <w:tcW w:w="2307" w:type="dxa"/>
            <w:tcBorders>
              <w:top w:val="single" w:sz="4" w:space="0" w:color="auto"/>
              <w:bottom w:val="single" w:sz="4" w:space="0" w:color="auto"/>
            </w:tcBorders>
          </w:tcPr>
          <w:p w14:paraId="2EFACD69" w14:textId="3AFE82D9" w:rsidR="00A06B29" w:rsidRPr="00A06B29" w:rsidRDefault="00A06B29" w:rsidP="00A06B29">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rPr>
              <w:t xml:space="preserve">Non-survivors, </w:t>
            </w:r>
            <w:r w:rsidRPr="00A06B29">
              <w:rPr>
                <w:rFonts w:ascii="Book Antiqua" w:hAnsi="Book Antiqua" w:cs="Times New Roman"/>
                <w:b/>
                <w:i/>
                <w:iCs/>
              </w:rPr>
              <w:t>n</w:t>
            </w:r>
            <w:r w:rsidRPr="00A06B29">
              <w:rPr>
                <w:rFonts w:ascii="Book Antiqua" w:hAnsi="Book Antiqua" w:cs="Times New Roman"/>
                <w:b/>
              </w:rPr>
              <w:t xml:space="preserve"> (%)</w:t>
            </w:r>
            <w:r w:rsidR="00A963D0">
              <w:rPr>
                <w:rFonts w:ascii="Book Antiqua" w:hAnsi="Book Antiqua" w:cs="Times New Roman"/>
                <w:b/>
              </w:rPr>
              <w:t xml:space="preserve"> </w:t>
            </w:r>
            <w:r w:rsidRPr="00A06B29">
              <w:rPr>
                <w:rFonts w:ascii="Book Antiqua" w:hAnsi="Book Antiqua" w:cs="Times New Roman"/>
                <w:b/>
              </w:rPr>
              <w:t>35 (7.8)</w:t>
            </w:r>
          </w:p>
        </w:tc>
        <w:tc>
          <w:tcPr>
            <w:tcW w:w="902" w:type="dxa"/>
            <w:tcBorders>
              <w:top w:val="single" w:sz="4" w:space="0" w:color="auto"/>
              <w:bottom w:val="single" w:sz="4" w:space="0" w:color="auto"/>
            </w:tcBorders>
          </w:tcPr>
          <w:p w14:paraId="66A70B89" w14:textId="20C95421" w:rsidR="00A06B29" w:rsidRPr="00A06B29" w:rsidRDefault="00A06B29" w:rsidP="00A06B29">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i/>
                <w:iCs/>
              </w:rPr>
              <w:t>P</w:t>
            </w:r>
            <w:r w:rsidR="00A963D0">
              <w:rPr>
                <w:rFonts w:ascii="Book Antiqua" w:hAnsi="Book Antiqua" w:cs="Times New Roman"/>
                <w:b/>
                <w:i/>
                <w:iCs/>
              </w:rPr>
              <w:t xml:space="preserve"> </w:t>
            </w:r>
            <w:r w:rsidRPr="00A06B29">
              <w:rPr>
                <w:rFonts w:ascii="Book Antiqua" w:hAnsi="Book Antiqua" w:cs="Times New Roman"/>
                <w:b/>
              </w:rPr>
              <w:t>value</w:t>
            </w:r>
          </w:p>
        </w:tc>
      </w:tr>
      <w:tr w:rsidR="00A06B29" w:rsidRPr="00A06B29" w14:paraId="698497B1" w14:textId="77777777" w:rsidTr="00A06B29">
        <w:tc>
          <w:tcPr>
            <w:tcW w:w="3539" w:type="dxa"/>
            <w:tcBorders>
              <w:top w:val="single" w:sz="4" w:space="0" w:color="auto"/>
            </w:tcBorders>
          </w:tcPr>
          <w:p w14:paraId="0E6C55C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Age, median (IQR) </w:t>
            </w:r>
          </w:p>
        </w:tc>
        <w:tc>
          <w:tcPr>
            <w:tcW w:w="2268" w:type="dxa"/>
            <w:tcBorders>
              <w:top w:val="single" w:sz="4" w:space="0" w:color="auto"/>
            </w:tcBorders>
          </w:tcPr>
          <w:p w14:paraId="6D22FD3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59 (50-65)</w:t>
            </w:r>
          </w:p>
        </w:tc>
        <w:tc>
          <w:tcPr>
            <w:tcW w:w="2307" w:type="dxa"/>
            <w:tcBorders>
              <w:top w:val="single" w:sz="4" w:space="0" w:color="auto"/>
            </w:tcBorders>
          </w:tcPr>
          <w:p w14:paraId="72583B7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60 (49-66)</w:t>
            </w:r>
          </w:p>
        </w:tc>
        <w:tc>
          <w:tcPr>
            <w:tcW w:w="902" w:type="dxa"/>
            <w:tcBorders>
              <w:top w:val="single" w:sz="4" w:space="0" w:color="auto"/>
            </w:tcBorders>
          </w:tcPr>
          <w:p w14:paraId="3DEDDEA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0.956</w:t>
            </w:r>
          </w:p>
        </w:tc>
      </w:tr>
      <w:tr w:rsidR="00A06B29" w:rsidRPr="00A06B29" w14:paraId="31AFD83E" w14:textId="77777777" w:rsidTr="00A06B29">
        <w:tc>
          <w:tcPr>
            <w:tcW w:w="3539" w:type="dxa"/>
          </w:tcPr>
          <w:p w14:paraId="1EBC63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Male sex,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C3D404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239 (58.2)</w:t>
            </w:r>
          </w:p>
        </w:tc>
        <w:tc>
          <w:tcPr>
            <w:tcW w:w="2307" w:type="dxa"/>
          </w:tcPr>
          <w:p w14:paraId="14D8AF6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17 (48.6)</w:t>
            </w:r>
          </w:p>
        </w:tc>
        <w:tc>
          <w:tcPr>
            <w:tcW w:w="902" w:type="dxa"/>
          </w:tcPr>
          <w:p w14:paraId="57CEC03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0.271</w:t>
            </w:r>
          </w:p>
        </w:tc>
      </w:tr>
      <w:tr w:rsidR="00A06B29" w:rsidRPr="00A06B29" w14:paraId="14C0808D" w14:textId="77777777" w:rsidTr="00A06B29">
        <w:tc>
          <w:tcPr>
            <w:tcW w:w="3539" w:type="dxa"/>
          </w:tcPr>
          <w:p w14:paraId="42077E1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Albumin (g/dL), mean ± SD</w:t>
            </w:r>
          </w:p>
        </w:tc>
        <w:tc>
          <w:tcPr>
            <w:tcW w:w="2268" w:type="dxa"/>
          </w:tcPr>
          <w:p w14:paraId="347D21B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2.4 ± 0.59</w:t>
            </w:r>
          </w:p>
        </w:tc>
        <w:tc>
          <w:tcPr>
            <w:tcW w:w="2307" w:type="dxa"/>
          </w:tcPr>
          <w:p w14:paraId="3F82DF1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2.16 ± 0.5</w:t>
            </w:r>
          </w:p>
        </w:tc>
        <w:tc>
          <w:tcPr>
            <w:tcW w:w="902" w:type="dxa"/>
          </w:tcPr>
          <w:p w14:paraId="1AB45F80"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0.022</w:t>
            </w:r>
          </w:p>
        </w:tc>
      </w:tr>
      <w:tr w:rsidR="00A06B29" w:rsidRPr="00A06B29" w14:paraId="0C8D3606" w14:textId="77777777" w:rsidTr="00A06B29">
        <w:tc>
          <w:tcPr>
            <w:tcW w:w="3539" w:type="dxa"/>
          </w:tcPr>
          <w:p w14:paraId="38106CE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Bilirubin (mg/dL), median (IQR)</w:t>
            </w:r>
          </w:p>
        </w:tc>
        <w:tc>
          <w:tcPr>
            <w:tcW w:w="2268" w:type="dxa"/>
          </w:tcPr>
          <w:p w14:paraId="692E9EE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2.33 (1.37-4.67)</w:t>
            </w:r>
          </w:p>
        </w:tc>
        <w:tc>
          <w:tcPr>
            <w:tcW w:w="2307" w:type="dxa"/>
          </w:tcPr>
          <w:p w14:paraId="3C93CF1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3.52 (1.93-6.49)</w:t>
            </w:r>
          </w:p>
        </w:tc>
        <w:tc>
          <w:tcPr>
            <w:tcW w:w="902" w:type="dxa"/>
          </w:tcPr>
          <w:p w14:paraId="0D7CEC98"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0.013</w:t>
            </w:r>
          </w:p>
        </w:tc>
      </w:tr>
      <w:tr w:rsidR="00A06B29" w:rsidRPr="00A06B29" w14:paraId="03A5F5A4" w14:textId="77777777" w:rsidTr="00A06B29">
        <w:tc>
          <w:tcPr>
            <w:tcW w:w="3539" w:type="dxa"/>
          </w:tcPr>
          <w:p w14:paraId="205E3D8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INR, median (IQR)</w:t>
            </w:r>
          </w:p>
        </w:tc>
        <w:tc>
          <w:tcPr>
            <w:tcW w:w="2268" w:type="dxa"/>
          </w:tcPr>
          <w:p w14:paraId="5A6A2F9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1.45 (1.27-1.68)</w:t>
            </w:r>
          </w:p>
        </w:tc>
        <w:tc>
          <w:tcPr>
            <w:tcW w:w="2307" w:type="dxa"/>
          </w:tcPr>
          <w:p w14:paraId="36B18B4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1.81 (1.5-2.6)</w:t>
            </w:r>
          </w:p>
        </w:tc>
        <w:tc>
          <w:tcPr>
            <w:tcW w:w="902" w:type="dxa"/>
          </w:tcPr>
          <w:p w14:paraId="543801B2"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0.005</w:t>
            </w:r>
          </w:p>
        </w:tc>
      </w:tr>
      <w:tr w:rsidR="00A06B29" w:rsidRPr="00A06B29" w14:paraId="645B8ECA" w14:textId="77777777" w:rsidTr="00A06B29">
        <w:tc>
          <w:tcPr>
            <w:tcW w:w="3539" w:type="dxa"/>
          </w:tcPr>
          <w:p w14:paraId="10CD3E3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Creatinine (mg/dL), median (IQR)</w:t>
            </w:r>
          </w:p>
        </w:tc>
        <w:tc>
          <w:tcPr>
            <w:tcW w:w="2268" w:type="dxa"/>
          </w:tcPr>
          <w:p w14:paraId="2CD983B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0.82 (0.63-1.26)</w:t>
            </w:r>
          </w:p>
        </w:tc>
        <w:tc>
          <w:tcPr>
            <w:tcW w:w="2307" w:type="dxa"/>
          </w:tcPr>
          <w:p w14:paraId="2F9E463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0.77 (0.62-1.32)</w:t>
            </w:r>
          </w:p>
        </w:tc>
        <w:tc>
          <w:tcPr>
            <w:tcW w:w="902" w:type="dxa"/>
          </w:tcPr>
          <w:p w14:paraId="65F7894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0.397</w:t>
            </w:r>
          </w:p>
        </w:tc>
      </w:tr>
      <w:tr w:rsidR="00A06B29" w:rsidRPr="00A06B29" w14:paraId="2CC3313C" w14:textId="77777777" w:rsidTr="00A06B29">
        <w:tc>
          <w:tcPr>
            <w:tcW w:w="3539" w:type="dxa"/>
          </w:tcPr>
          <w:p w14:paraId="2781B53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Platelets (</w:t>
            </w:r>
            <w:r w:rsidRPr="00A06B29">
              <w:rPr>
                <w:rFonts w:ascii="Book Antiqua" w:eastAsia="宋体" w:hAnsi="Book Antiqua" w:cs="Times New Roman"/>
              </w:rPr>
              <w:t>×</w:t>
            </w:r>
            <w:r w:rsidRPr="00A06B29">
              <w:rPr>
                <w:rFonts w:ascii="Book Antiqua" w:hAnsi="Book Antiqua" w:cs="Times New Roman"/>
              </w:rPr>
              <w:t xml:space="preserve"> 10</w:t>
            </w:r>
            <w:r w:rsidRPr="00A06B29">
              <w:rPr>
                <w:rFonts w:ascii="Book Antiqua" w:hAnsi="Book Antiqua" w:cs="Times New Roman"/>
                <w:vertAlign w:val="superscript"/>
              </w:rPr>
              <w:t>9</w:t>
            </w:r>
            <w:r w:rsidRPr="00A06B29">
              <w:rPr>
                <w:rFonts w:ascii="Book Antiqua" w:hAnsi="Book Antiqua" w:cs="Times New Roman"/>
              </w:rPr>
              <w:t>/L), median (IQR)</w:t>
            </w:r>
          </w:p>
        </w:tc>
        <w:tc>
          <w:tcPr>
            <w:tcW w:w="2268" w:type="dxa"/>
          </w:tcPr>
          <w:p w14:paraId="36121D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132 (92-180)</w:t>
            </w:r>
          </w:p>
        </w:tc>
        <w:tc>
          <w:tcPr>
            <w:tcW w:w="2307" w:type="dxa"/>
          </w:tcPr>
          <w:p w14:paraId="6FFDEBA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123 (82-173)</w:t>
            </w:r>
          </w:p>
        </w:tc>
        <w:tc>
          <w:tcPr>
            <w:tcW w:w="902" w:type="dxa"/>
          </w:tcPr>
          <w:p w14:paraId="7B454DB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0.481</w:t>
            </w:r>
          </w:p>
        </w:tc>
      </w:tr>
      <w:tr w:rsidR="00A06B29" w:rsidRPr="00A06B29" w14:paraId="67E460BF" w14:textId="77777777" w:rsidTr="00A06B29">
        <w:tc>
          <w:tcPr>
            <w:tcW w:w="3539" w:type="dxa"/>
          </w:tcPr>
          <w:p w14:paraId="574496D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WBC (</w:t>
            </w:r>
            <w:r w:rsidRPr="00A06B29">
              <w:rPr>
                <w:rFonts w:ascii="Book Antiqua" w:eastAsia="宋体" w:hAnsi="Book Antiqua" w:cs="Times New Roman"/>
              </w:rPr>
              <w:t>×</w:t>
            </w:r>
            <w:r w:rsidRPr="00A06B29">
              <w:rPr>
                <w:rFonts w:ascii="Book Antiqua" w:hAnsi="Book Antiqua" w:cs="Times New Roman"/>
              </w:rPr>
              <w:t xml:space="preserve"> 10</w:t>
            </w:r>
            <w:r w:rsidRPr="00A06B29">
              <w:rPr>
                <w:rFonts w:ascii="Book Antiqua" w:hAnsi="Book Antiqua" w:cs="Times New Roman"/>
                <w:vertAlign w:val="superscript"/>
              </w:rPr>
              <w:t>9</w:t>
            </w:r>
            <w:r w:rsidRPr="00A06B29">
              <w:rPr>
                <w:rFonts w:ascii="Book Antiqua" w:hAnsi="Book Antiqua" w:cs="Times New Roman"/>
              </w:rPr>
              <w:t>/L), median (IQR)</w:t>
            </w:r>
          </w:p>
        </w:tc>
        <w:tc>
          <w:tcPr>
            <w:tcW w:w="2268" w:type="dxa"/>
          </w:tcPr>
          <w:p w14:paraId="7D5BEAA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7.24 (5.37-9.89)</w:t>
            </w:r>
          </w:p>
        </w:tc>
        <w:tc>
          <w:tcPr>
            <w:tcW w:w="2307" w:type="dxa"/>
          </w:tcPr>
          <w:p w14:paraId="4A470BF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11.04 (6.79-13.45)</w:t>
            </w:r>
          </w:p>
        </w:tc>
        <w:tc>
          <w:tcPr>
            <w:tcW w:w="902" w:type="dxa"/>
          </w:tcPr>
          <w:p w14:paraId="22A3258D"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0.014</w:t>
            </w:r>
          </w:p>
        </w:tc>
      </w:tr>
      <w:tr w:rsidR="00A06B29" w:rsidRPr="00A06B29" w14:paraId="19C128D1" w14:textId="77777777" w:rsidTr="00A06B29">
        <w:tc>
          <w:tcPr>
            <w:tcW w:w="3539" w:type="dxa"/>
          </w:tcPr>
          <w:p w14:paraId="3F60670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CRP (mg/dL), median (IQR)</w:t>
            </w:r>
          </w:p>
        </w:tc>
        <w:tc>
          <w:tcPr>
            <w:tcW w:w="2268" w:type="dxa"/>
          </w:tcPr>
          <w:p w14:paraId="705CBFF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1.36 (0.8-2.98)</w:t>
            </w:r>
          </w:p>
        </w:tc>
        <w:tc>
          <w:tcPr>
            <w:tcW w:w="2307" w:type="dxa"/>
          </w:tcPr>
          <w:p w14:paraId="313C894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3.15 (1.7-4.67)</w:t>
            </w:r>
          </w:p>
        </w:tc>
        <w:tc>
          <w:tcPr>
            <w:tcW w:w="902" w:type="dxa"/>
          </w:tcPr>
          <w:p w14:paraId="7A6BEF1D"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0.001</w:t>
            </w:r>
          </w:p>
        </w:tc>
      </w:tr>
      <w:tr w:rsidR="00A06B29" w:rsidRPr="00A06B29" w14:paraId="41320DA0" w14:textId="77777777" w:rsidTr="00A06B29">
        <w:tc>
          <w:tcPr>
            <w:tcW w:w="3539" w:type="dxa"/>
          </w:tcPr>
          <w:p w14:paraId="2247A8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Venous ammonia (</w:t>
            </w:r>
            <w:proofErr w:type="spellStart"/>
            <w:r w:rsidRPr="00A06B29">
              <w:rPr>
                <w:rFonts w:ascii="Book Antiqua" w:hAnsi="Book Antiqua" w:cs="Times New Roman"/>
              </w:rPr>
              <w:t>μmol</w:t>
            </w:r>
            <w:proofErr w:type="spellEnd"/>
            <w:r w:rsidRPr="00A06B29">
              <w:rPr>
                <w:rFonts w:ascii="Book Antiqua" w:hAnsi="Book Antiqua" w:cs="Times New Roman"/>
              </w:rPr>
              <w:t>/L), median (IQR)</w:t>
            </w:r>
          </w:p>
        </w:tc>
        <w:tc>
          <w:tcPr>
            <w:tcW w:w="2268" w:type="dxa"/>
          </w:tcPr>
          <w:p w14:paraId="32134B8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100 (75-139)</w:t>
            </w:r>
          </w:p>
        </w:tc>
        <w:tc>
          <w:tcPr>
            <w:tcW w:w="2307" w:type="dxa"/>
          </w:tcPr>
          <w:p w14:paraId="2945866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198 (125-345)</w:t>
            </w:r>
          </w:p>
        </w:tc>
        <w:tc>
          <w:tcPr>
            <w:tcW w:w="902" w:type="dxa"/>
          </w:tcPr>
          <w:p w14:paraId="6B413F9B" w14:textId="66AD31DB"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6A68EA7C" w14:textId="77777777" w:rsidTr="00A06B29">
        <w:tc>
          <w:tcPr>
            <w:tcW w:w="3539" w:type="dxa"/>
          </w:tcPr>
          <w:p w14:paraId="384197C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Venous ammonia &gt; 152.5 </w:t>
            </w:r>
            <w:proofErr w:type="spellStart"/>
            <w:r w:rsidRPr="00A06B29">
              <w:rPr>
                <w:rFonts w:ascii="Book Antiqua" w:hAnsi="Book Antiqua" w:cs="Times New Roman"/>
              </w:rPr>
              <w:t>μmol</w:t>
            </w:r>
            <w:proofErr w:type="spellEnd"/>
            <w:r w:rsidRPr="00A06B29">
              <w:rPr>
                <w:rFonts w:ascii="Book Antiqua" w:hAnsi="Book Antiqua" w:cs="Times New Roman"/>
              </w:rPr>
              <w:t xml:space="preserve">/L,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47679EC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75 (19)</w:t>
            </w:r>
          </w:p>
        </w:tc>
        <w:tc>
          <w:tcPr>
            <w:tcW w:w="2307" w:type="dxa"/>
          </w:tcPr>
          <w:p w14:paraId="6D43260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24 (70.6)</w:t>
            </w:r>
          </w:p>
        </w:tc>
        <w:tc>
          <w:tcPr>
            <w:tcW w:w="902" w:type="dxa"/>
          </w:tcPr>
          <w:p w14:paraId="4418119F" w14:textId="1D5E7D6C"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0452D5D2" w14:textId="77777777" w:rsidTr="00A06B29">
        <w:tc>
          <w:tcPr>
            <w:tcW w:w="3539" w:type="dxa"/>
          </w:tcPr>
          <w:p w14:paraId="55F87C3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Sodium (mmol/L), median (IQR)</w:t>
            </w:r>
          </w:p>
        </w:tc>
        <w:tc>
          <w:tcPr>
            <w:tcW w:w="2268" w:type="dxa"/>
          </w:tcPr>
          <w:p w14:paraId="38C1929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134 (130-137)</w:t>
            </w:r>
          </w:p>
        </w:tc>
        <w:tc>
          <w:tcPr>
            <w:tcW w:w="2307" w:type="dxa"/>
          </w:tcPr>
          <w:p w14:paraId="75223B9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133 (130-137)</w:t>
            </w:r>
          </w:p>
        </w:tc>
        <w:tc>
          <w:tcPr>
            <w:tcW w:w="902" w:type="dxa"/>
          </w:tcPr>
          <w:p w14:paraId="3D5516A7"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0.215</w:t>
            </w:r>
          </w:p>
        </w:tc>
      </w:tr>
      <w:tr w:rsidR="00A06B29" w:rsidRPr="00A06B29" w14:paraId="17CA63F9" w14:textId="77777777" w:rsidTr="00A06B29">
        <w:tc>
          <w:tcPr>
            <w:tcW w:w="3539" w:type="dxa"/>
          </w:tcPr>
          <w:p w14:paraId="78E181E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Child-Pugh score, median (IQR)</w:t>
            </w:r>
          </w:p>
        </w:tc>
        <w:tc>
          <w:tcPr>
            <w:tcW w:w="2268" w:type="dxa"/>
          </w:tcPr>
          <w:p w14:paraId="7E413FA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 (10-12)</w:t>
            </w:r>
          </w:p>
        </w:tc>
        <w:tc>
          <w:tcPr>
            <w:tcW w:w="2307" w:type="dxa"/>
          </w:tcPr>
          <w:p w14:paraId="2832CCB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 (11-15)</w:t>
            </w:r>
          </w:p>
        </w:tc>
        <w:tc>
          <w:tcPr>
            <w:tcW w:w="902" w:type="dxa"/>
          </w:tcPr>
          <w:p w14:paraId="3FE38DF9" w14:textId="4CFE4A10"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59E60C85" w14:textId="77777777" w:rsidTr="00A06B29">
        <w:tc>
          <w:tcPr>
            <w:tcW w:w="3539" w:type="dxa"/>
          </w:tcPr>
          <w:p w14:paraId="4A6A0B1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Child-Pugh score ≥ 12.5</w:t>
            </w:r>
          </w:p>
        </w:tc>
        <w:tc>
          <w:tcPr>
            <w:tcW w:w="2268" w:type="dxa"/>
          </w:tcPr>
          <w:p w14:paraId="6139588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58 (14.4)</w:t>
            </w:r>
          </w:p>
        </w:tc>
        <w:tc>
          <w:tcPr>
            <w:tcW w:w="2307" w:type="dxa"/>
          </w:tcPr>
          <w:p w14:paraId="70075DE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19 (57.6)</w:t>
            </w:r>
          </w:p>
        </w:tc>
        <w:tc>
          <w:tcPr>
            <w:tcW w:w="902" w:type="dxa"/>
          </w:tcPr>
          <w:p w14:paraId="65AA8610" w14:textId="526C19A2"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64D54A10" w14:textId="77777777" w:rsidTr="00A06B29">
        <w:tc>
          <w:tcPr>
            <w:tcW w:w="3539" w:type="dxa"/>
          </w:tcPr>
          <w:p w14:paraId="697B3C0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Child-Pugh class,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7BBDAF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2307" w:type="dxa"/>
          </w:tcPr>
          <w:p w14:paraId="3CCB6B6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902" w:type="dxa"/>
          </w:tcPr>
          <w:p w14:paraId="62E4211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r>
      <w:tr w:rsidR="00A06B29" w:rsidRPr="00A06B29" w14:paraId="0F5287DE" w14:textId="77777777" w:rsidTr="00A06B29">
        <w:tc>
          <w:tcPr>
            <w:tcW w:w="3539" w:type="dxa"/>
          </w:tcPr>
          <w:p w14:paraId="65872D30"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A</w:t>
            </w:r>
          </w:p>
        </w:tc>
        <w:tc>
          <w:tcPr>
            <w:tcW w:w="2268" w:type="dxa"/>
          </w:tcPr>
          <w:p w14:paraId="0DDD816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 (0.7)</w:t>
            </w:r>
          </w:p>
        </w:tc>
        <w:tc>
          <w:tcPr>
            <w:tcW w:w="2307" w:type="dxa"/>
          </w:tcPr>
          <w:p w14:paraId="05BAF729" w14:textId="77777777" w:rsidR="00A06B29" w:rsidRPr="00A06B29" w:rsidRDefault="00A06B29" w:rsidP="00A06B29">
            <w:pPr>
              <w:autoSpaceDE w:val="0"/>
              <w:autoSpaceDN w:val="0"/>
              <w:adjustRightInd w:val="0"/>
              <w:spacing w:line="360" w:lineRule="auto"/>
              <w:jc w:val="both"/>
              <w:rPr>
                <w:rFonts w:ascii="Book Antiqua" w:hAnsi="Book Antiqua" w:cs="Times New Roman"/>
                <w:lang w:eastAsia="zh-CN"/>
              </w:rPr>
            </w:pPr>
            <w:r>
              <w:rPr>
                <w:rFonts w:ascii="Book Antiqua" w:hAnsi="Book Antiqua" w:cs="Times New Roman" w:hint="eastAsia"/>
                <w:lang w:eastAsia="zh-CN"/>
              </w:rPr>
              <w:t>0</w:t>
            </w:r>
          </w:p>
        </w:tc>
        <w:tc>
          <w:tcPr>
            <w:tcW w:w="902" w:type="dxa"/>
          </w:tcPr>
          <w:p w14:paraId="70A89B16" w14:textId="77777777" w:rsidR="00A06B29" w:rsidRPr="00A06B29" w:rsidRDefault="00A06B29" w:rsidP="00A06B29">
            <w:pPr>
              <w:autoSpaceDE w:val="0"/>
              <w:autoSpaceDN w:val="0"/>
              <w:adjustRightInd w:val="0"/>
              <w:spacing w:line="360" w:lineRule="auto"/>
              <w:jc w:val="both"/>
              <w:rPr>
                <w:rFonts w:ascii="Book Antiqua" w:hAnsi="Book Antiqua" w:cs="Times New Roman"/>
                <w:b/>
              </w:rPr>
            </w:pPr>
          </w:p>
        </w:tc>
      </w:tr>
      <w:tr w:rsidR="00A06B29" w:rsidRPr="00A06B29" w14:paraId="745EA3AB" w14:textId="77777777" w:rsidTr="00A06B29">
        <w:tc>
          <w:tcPr>
            <w:tcW w:w="3539" w:type="dxa"/>
          </w:tcPr>
          <w:p w14:paraId="6C330046"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2268" w:type="dxa"/>
          </w:tcPr>
          <w:p w14:paraId="7B9E793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84 (20.8)</w:t>
            </w:r>
          </w:p>
        </w:tc>
        <w:tc>
          <w:tcPr>
            <w:tcW w:w="2307" w:type="dxa"/>
          </w:tcPr>
          <w:p w14:paraId="099CE928" w14:textId="77777777" w:rsidR="00A06B29" w:rsidRPr="00A06B29" w:rsidRDefault="00A06B29" w:rsidP="00A06B29">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0</w:t>
            </w:r>
          </w:p>
        </w:tc>
        <w:tc>
          <w:tcPr>
            <w:tcW w:w="902" w:type="dxa"/>
          </w:tcPr>
          <w:p w14:paraId="63A96398" w14:textId="77777777" w:rsidR="00A06B29" w:rsidRPr="00A06B29" w:rsidRDefault="00A06B29" w:rsidP="00A06B29">
            <w:pPr>
              <w:autoSpaceDE w:val="0"/>
              <w:autoSpaceDN w:val="0"/>
              <w:adjustRightInd w:val="0"/>
              <w:spacing w:line="360" w:lineRule="auto"/>
              <w:jc w:val="both"/>
              <w:rPr>
                <w:rFonts w:ascii="Book Antiqua" w:hAnsi="Book Antiqua"/>
                <w:b/>
              </w:rPr>
            </w:pPr>
          </w:p>
        </w:tc>
      </w:tr>
      <w:tr w:rsidR="00A06B29" w:rsidRPr="00A06B29" w14:paraId="0148FB7D" w14:textId="77777777" w:rsidTr="00A06B29">
        <w:tc>
          <w:tcPr>
            <w:tcW w:w="3539" w:type="dxa"/>
          </w:tcPr>
          <w:p w14:paraId="6DB9D513"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C</w:t>
            </w:r>
          </w:p>
        </w:tc>
        <w:tc>
          <w:tcPr>
            <w:tcW w:w="2268" w:type="dxa"/>
          </w:tcPr>
          <w:p w14:paraId="0D3020C8"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317 (78.5)</w:t>
            </w:r>
          </w:p>
        </w:tc>
        <w:tc>
          <w:tcPr>
            <w:tcW w:w="2307" w:type="dxa"/>
          </w:tcPr>
          <w:p w14:paraId="0A665B45"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33 (100)</w:t>
            </w:r>
          </w:p>
        </w:tc>
        <w:tc>
          <w:tcPr>
            <w:tcW w:w="902" w:type="dxa"/>
          </w:tcPr>
          <w:p w14:paraId="13C82BE7" w14:textId="77777777" w:rsidR="00A06B29" w:rsidRPr="00A06B29" w:rsidRDefault="00A06B29" w:rsidP="00A06B29">
            <w:pPr>
              <w:autoSpaceDE w:val="0"/>
              <w:autoSpaceDN w:val="0"/>
              <w:adjustRightInd w:val="0"/>
              <w:spacing w:line="360" w:lineRule="auto"/>
              <w:jc w:val="both"/>
              <w:rPr>
                <w:rFonts w:ascii="Book Antiqua" w:hAnsi="Book Antiqua"/>
                <w:b/>
              </w:rPr>
            </w:pPr>
          </w:p>
        </w:tc>
      </w:tr>
      <w:tr w:rsidR="00A06B29" w:rsidRPr="00A06B29" w14:paraId="6B46A5EE" w14:textId="77777777" w:rsidTr="00A06B29">
        <w:tc>
          <w:tcPr>
            <w:tcW w:w="3539" w:type="dxa"/>
          </w:tcPr>
          <w:p w14:paraId="67E49139"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lastRenderedPageBreak/>
              <w:t>MELD score, mean ± SD</w:t>
            </w:r>
          </w:p>
        </w:tc>
        <w:tc>
          <w:tcPr>
            <w:tcW w:w="2268" w:type="dxa"/>
          </w:tcPr>
          <w:p w14:paraId="46A414FE"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18.43 ± 6.26</w:t>
            </w:r>
          </w:p>
        </w:tc>
        <w:tc>
          <w:tcPr>
            <w:tcW w:w="2307" w:type="dxa"/>
          </w:tcPr>
          <w:p w14:paraId="1FC63F0C"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27.31 ± 7.37</w:t>
            </w:r>
          </w:p>
        </w:tc>
        <w:tc>
          <w:tcPr>
            <w:tcW w:w="902" w:type="dxa"/>
          </w:tcPr>
          <w:p w14:paraId="136D82FB" w14:textId="1820432E" w:rsidR="00A06B29" w:rsidRPr="00A06B29" w:rsidRDefault="00A06B29" w:rsidP="00A06B29">
            <w:pPr>
              <w:autoSpaceDE w:val="0"/>
              <w:autoSpaceDN w:val="0"/>
              <w:adjustRightInd w:val="0"/>
              <w:spacing w:line="360" w:lineRule="auto"/>
              <w:jc w:val="both"/>
              <w:rPr>
                <w:rFonts w:ascii="Book Antiqua" w:hAnsi="Book Antiqua"/>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1B5C31E4" w14:textId="77777777" w:rsidTr="00A06B29">
        <w:tc>
          <w:tcPr>
            <w:tcW w:w="3539" w:type="dxa"/>
          </w:tcPr>
          <w:p w14:paraId="105897F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MELD score ≥ 22.5</w:t>
            </w:r>
          </w:p>
        </w:tc>
        <w:tc>
          <w:tcPr>
            <w:tcW w:w="2268" w:type="dxa"/>
          </w:tcPr>
          <w:p w14:paraId="31CBC0EB"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119 (29)</w:t>
            </w:r>
          </w:p>
        </w:tc>
        <w:tc>
          <w:tcPr>
            <w:tcW w:w="2307" w:type="dxa"/>
          </w:tcPr>
          <w:p w14:paraId="70B4C27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27 (77.1)</w:t>
            </w:r>
          </w:p>
        </w:tc>
        <w:tc>
          <w:tcPr>
            <w:tcW w:w="902" w:type="dxa"/>
          </w:tcPr>
          <w:p w14:paraId="61948FC4" w14:textId="28BE01B2"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2BAB31E4" w14:textId="77777777" w:rsidTr="00A06B29">
        <w:tc>
          <w:tcPr>
            <w:tcW w:w="3539" w:type="dxa"/>
          </w:tcPr>
          <w:p w14:paraId="3AF2A99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AARC score, median (IQR)</w:t>
            </w:r>
          </w:p>
        </w:tc>
        <w:tc>
          <w:tcPr>
            <w:tcW w:w="2268" w:type="dxa"/>
          </w:tcPr>
          <w:p w14:paraId="0A6083F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 (6-8)</w:t>
            </w:r>
          </w:p>
        </w:tc>
        <w:tc>
          <w:tcPr>
            <w:tcW w:w="2307" w:type="dxa"/>
          </w:tcPr>
          <w:p w14:paraId="33B41FA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9 (9-11)</w:t>
            </w:r>
          </w:p>
        </w:tc>
        <w:tc>
          <w:tcPr>
            <w:tcW w:w="902" w:type="dxa"/>
          </w:tcPr>
          <w:p w14:paraId="202E4F76" w14:textId="1C53D62B"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086CEAD5" w14:textId="77777777" w:rsidTr="00A06B29">
        <w:tc>
          <w:tcPr>
            <w:tcW w:w="3539" w:type="dxa"/>
          </w:tcPr>
          <w:p w14:paraId="61A5D15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AARC score ≥ 8.5</w:t>
            </w:r>
          </w:p>
        </w:tc>
        <w:tc>
          <w:tcPr>
            <w:tcW w:w="2268" w:type="dxa"/>
          </w:tcPr>
          <w:p w14:paraId="315DDF5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42 (10.2)</w:t>
            </w:r>
          </w:p>
        </w:tc>
        <w:tc>
          <w:tcPr>
            <w:tcW w:w="2307" w:type="dxa"/>
          </w:tcPr>
          <w:p w14:paraId="794CC39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26 (74.3)</w:t>
            </w:r>
          </w:p>
        </w:tc>
        <w:tc>
          <w:tcPr>
            <w:tcW w:w="902" w:type="dxa"/>
          </w:tcPr>
          <w:p w14:paraId="10F7AB22" w14:textId="574BF48E"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16BD0B46" w14:textId="77777777" w:rsidTr="00A06B29">
        <w:tc>
          <w:tcPr>
            <w:tcW w:w="3539" w:type="dxa"/>
          </w:tcPr>
          <w:p w14:paraId="557998B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ACLF,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4E3715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2307" w:type="dxa"/>
          </w:tcPr>
          <w:p w14:paraId="147F71B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902" w:type="dxa"/>
          </w:tcPr>
          <w:p w14:paraId="783B51C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r>
      <w:tr w:rsidR="00A06B29" w:rsidRPr="00A06B29" w14:paraId="17E55A50" w14:textId="77777777" w:rsidTr="00A06B29">
        <w:tc>
          <w:tcPr>
            <w:tcW w:w="3539" w:type="dxa"/>
          </w:tcPr>
          <w:p w14:paraId="6D663719"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w:t>
            </w:r>
          </w:p>
        </w:tc>
        <w:tc>
          <w:tcPr>
            <w:tcW w:w="2268" w:type="dxa"/>
          </w:tcPr>
          <w:p w14:paraId="055C9C8B"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291 (70.8)</w:t>
            </w:r>
          </w:p>
        </w:tc>
        <w:tc>
          <w:tcPr>
            <w:tcW w:w="2307" w:type="dxa"/>
          </w:tcPr>
          <w:p w14:paraId="4CEE27A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5(14.3)</w:t>
            </w:r>
          </w:p>
        </w:tc>
        <w:tc>
          <w:tcPr>
            <w:tcW w:w="902" w:type="dxa"/>
          </w:tcPr>
          <w:p w14:paraId="67753E56"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72F98071" w14:textId="77777777" w:rsidTr="00A06B29">
        <w:tc>
          <w:tcPr>
            <w:tcW w:w="3539" w:type="dxa"/>
          </w:tcPr>
          <w:p w14:paraId="54C66635"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w:t>
            </w:r>
          </w:p>
        </w:tc>
        <w:tc>
          <w:tcPr>
            <w:tcW w:w="2268" w:type="dxa"/>
          </w:tcPr>
          <w:p w14:paraId="5A4BF37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117 (28.5)</w:t>
            </w:r>
          </w:p>
        </w:tc>
        <w:tc>
          <w:tcPr>
            <w:tcW w:w="2307" w:type="dxa"/>
          </w:tcPr>
          <w:p w14:paraId="2EC811D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22 (62.9)</w:t>
            </w:r>
          </w:p>
        </w:tc>
        <w:tc>
          <w:tcPr>
            <w:tcW w:w="902" w:type="dxa"/>
          </w:tcPr>
          <w:p w14:paraId="4C62523B"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1B4AD58F" w14:textId="77777777" w:rsidTr="00A06B29">
        <w:tc>
          <w:tcPr>
            <w:tcW w:w="3539" w:type="dxa"/>
          </w:tcPr>
          <w:p w14:paraId="68C1552D"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III</w:t>
            </w:r>
          </w:p>
        </w:tc>
        <w:tc>
          <w:tcPr>
            <w:tcW w:w="2268" w:type="dxa"/>
          </w:tcPr>
          <w:p w14:paraId="5BED8F5D"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3 (0.7)</w:t>
            </w:r>
          </w:p>
        </w:tc>
        <w:tc>
          <w:tcPr>
            <w:tcW w:w="2307" w:type="dxa"/>
          </w:tcPr>
          <w:p w14:paraId="43A1D1D4"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8(22.9)</w:t>
            </w:r>
          </w:p>
        </w:tc>
        <w:tc>
          <w:tcPr>
            <w:tcW w:w="902" w:type="dxa"/>
          </w:tcPr>
          <w:p w14:paraId="31FB9333"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39BE2FC5" w14:textId="77777777" w:rsidTr="00A06B29">
        <w:tc>
          <w:tcPr>
            <w:tcW w:w="3539" w:type="dxa"/>
          </w:tcPr>
          <w:p w14:paraId="20EF941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Ascites,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2211C2C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376 (91.5)</w:t>
            </w:r>
          </w:p>
        </w:tc>
        <w:tc>
          <w:tcPr>
            <w:tcW w:w="2307" w:type="dxa"/>
          </w:tcPr>
          <w:p w14:paraId="1E690BA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32 (91.4)</w:t>
            </w:r>
          </w:p>
        </w:tc>
        <w:tc>
          <w:tcPr>
            <w:tcW w:w="902" w:type="dxa"/>
          </w:tcPr>
          <w:p w14:paraId="3EF0DF9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0.991</w:t>
            </w:r>
          </w:p>
        </w:tc>
      </w:tr>
      <w:tr w:rsidR="00A06B29" w:rsidRPr="00A06B29" w14:paraId="38913C19" w14:textId="77777777" w:rsidTr="00A06B29">
        <w:tc>
          <w:tcPr>
            <w:tcW w:w="3539" w:type="dxa"/>
          </w:tcPr>
          <w:p w14:paraId="503B6DD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HE,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12F1795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341 (83)</w:t>
            </w:r>
          </w:p>
        </w:tc>
        <w:tc>
          <w:tcPr>
            <w:tcW w:w="2307" w:type="dxa"/>
          </w:tcPr>
          <w:p w14:paraId="54C8ED3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33 (94.3)</w:t>
            </w:r>
          </w:p>
        </w:tc>
        <w:tc>
          <w:tcPr>
            <w:tcW w:w="902" w:type="dxa"/>
          </w:tcPr>
          <w:p w14:paraId="3B409B4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0.081</w:t>
            </w:r>
          </w:p>
        </w:tc>
      </w:tr>
      <w:tr w:rsidR="00A06B29" w:rsidRPr="00A06B29" w14:paraId="7C2B3874" w14:textId="77777777" w:rsidTr="00A06B29">
        <w:tc>
          <w:tcPr>
            <w:tcW w:w="3539" w:type="dxa"/>
          </w:tcPr>
          <w:p w14:paraId="36BB4DFE"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w:t>
            </w:r>
          </w:p>
        </w:tc>
        <w:tc>
          <w:tcPr>
            <w:tcW w:w="2268" w:type="dxa"/>
          </w:tcPr>
          <w:p w14:paraId="4AABEAFB"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126 (37)</w:t>
            </w:r>
          </w:p>
        </w:tc>
        <w:tc>
          <w:tcPr>
            <w:tcW w:w="2307" w:type="dxa"/>
          </w:tcPr>
          <w:p w14:paraId="406273A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 (3)</w:t>
            </w:r>
          </w:p>
        </w:tc>
        <w:tc>
          <w:tcPr>
            <w:tcW w:w="902" w:type="dxa"/>
          </w:tcPr>
          <w:p w14:paraId="1BFAB62A"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61F4526F" w14:textId="77777777" w:rsidTr="00A06B29">
        <w:tc>
          <w:tcPr>
            <w:tcW w:w="3539" w:type="dxa"/>
          </w:tcPr>
          <w:p w14:paraId="2121BA1F"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w:t>
            </w:r>
          </w:p>
        </w:tc>
        <w:tc>
          <w:tcPr>
            <w:tcW w:w="2268" w:type="dxa"/>
          </w:tcPr>
          <w:p w14:paraId="25EDF40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135 (39.6)</w:t>
            </w:r>
          </w:p>
        </w:tc>
        <w:tc>
          <w:tcPr>
            <w:tcW w:w="2307" w:type="dxa"/>
          </w:tcPr>
          <w:p w14:paraId="34B7964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4 (12.1)</w:t>
            </w:r>
          </w:p>
        </w:tc>
        <w:tc>
          <w:tcPr>
            <w:tcW w:w="902" w:type="dxa"/>
          </w:tcPr>
          <w:p w14:paraId="020DAEB7"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3539C45C" w14:textId="77777777" w:rsidTr="00A06B29">
        <w:tc>
          <w:tcPr>
            <w:tcW w:w="3539" w:type="dxa"/>
          </w:tcPr>
          <w:p w14:paraId="750B4FC1"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III</w:t>
            </w:r>
          </w:p>
        </w:tc>
        <w:tc>
          <w:tcPr>
            <w:tcW w:w="2268" w:type="dxa"/>
          </w:tcPr>
          <w:p w14:paraId="4DFF91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76 (22.3)</w:t>
            </w:r>
          </w:p>
        </w:tc>
        <w:tc>
          <w:tcPr>
            <w:tcW w:w="2307" w:type="dxa"/>
          </w:tcPr>
          <w:p w14:paraId="6079103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12 (36.4)</w:t>
            </w:r>
          </w:p>
        </w:tc>
        <w:tc>
          <w:tcPr>
            <w:tcW w:w="902" w:type="dxa"/>
          </w:tcPr>
          <w:p w14:paraId="1F7060AE"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73F404E4" w14:textId="77777777" w:rsidTr="00A06B29">
        <w:tc>
          <w:tcPr>
            <w:tcW w:w="3539" w:type="dxa"/>
          </w:tcPr>
          <w:p w14:paraId="042ECC66"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IV</w:t>
            </w:r>
          </w:p>
        </w:tc>
        <w:tc>
          <w:tcPr>
            <w:tcW w:w="2268" w:type="dxa"/>
          </w:tcPr>
          <w:p w14:paraId="126429C4"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4 (1.2)</w:t>
            </w:r>
          </w:p>
        </w:tc>
        <w:tc>
          <w:tcPr>
            <w:tcW w:w="2307" w:type="dxa"/>
          </w:tcPr>
          <w:p w14:paraId="27A30D56"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16 (48.5)</w:t>
            </w:r>
          </w:p>
        </w:tc>
        <w:tc>
          <w:tcPr>
            <w:tcW w:w="902" w:type="dxa"/>
          </w:tcPr>
          <w:p w14:paraId="35435A82"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4802218D" w14:textId="77777777" w:rsidTr="00A06B29">
        <w:trPr>
          <w:trHeight w:val="810"/>
        </w:trPr>
        <w:tc>
          <w:tcPr>
            <w:tcW w:w="3539" w:type="dxa"/>
          </w:tcPr>
          <w:p w14:paraId="736C8C9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Grade I or II HE,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265AA77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261 (76.5)</w:t>
            </w:r>
          </w:p>
        </w:tc>
        <w:tc>
          <w:tcPr>
            <w:tcW w:w="2307" w:type="dxa"/>
          </w:tcPr>
          <w:p w14:paraId="7ED770F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 (15.2)</w:t>
            </w:r>
          </w:p>
        </w:tc>
        <w:tc>
          <w:tcPr>
            <w:tcW w:w="902" w:type="dxa"/>
            <w:vMerge w:val="restart"/>
          </w:tcPr>
          <w:p w14:paraId="2A16CEA4" w14:textId="17F1C9A0"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5A22D15A" w14:textId="77777777" w:rsidTr="00A06B29">
        <w:trPr>
          <w:trHeight w:val="810"/>
        </w:trPr>
        <w:tc>
          <w:tcPr>
            <w:tcW w:w="3539" w:type="dxa"/>
          </w:tcPr>
          <w:p w14:paraId="14CDEC00"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 xml:space="preserve">Grade III or IV HE,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AE3844E"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80 (23.5)</w:t>
            </w:r>
          </w:p>
        </w:tc>
        <w:tc>
          <w:tcPr>
            <w:tcW w:w="2307" w:type="dxa"/>
          </w:tcPr>
          <w:p w14:paraId="4557890A"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84.8 (28)</w:t>
            </w:r>
          </w:p>
        </w:tc>
        <w:tc>
          <w:tcPr>
            <w:tcW w:w="902" w:type="dxa"/>
            <w:vMerge/>
          </w:tcPr>
          <w:p w14:paraId="4A312344" w14:textId="77777777" w:rsidR="00A06B29" w:rsidRPr="00A06B29" w:rsidRDefault="00A06B29" w:rsidP="00A06B29">
            <w:pPr>
              <w:autoSpaceDE w:val="0"/>
              <w:autoSpaceDN w:val="0"/>
              <w:adjustRightInd w:val="0"/>
              <w:spacing w:line="360" w:lineRule="auto"/>
              <w:jc w:val="both"/>
              <w:rPr>
                <w:rFonts w:ascii="Book Antiqua" w:hAnsi="Book Antiqua"/>
                <w:b/>
              </w:rPr>
            </w:pPr>
          </w:p>
        </w:tc>
      </w:tr>
      <w:tr w:rsidR="00A06B29" w:rsidRPr="00A06B29" w14:paraId="596E5BF2" w14:textId="77777777" w:rsidTr="00A06B29">
        <w:tc>
          <w:tcPr>
            <w:tcW w:w="3539" w:type="dxa"/>
          </w:tcPr>
          <w:p w14:paraId="04C647E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Upper GI bleeding,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45C068F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82 (20)</w:t>
            </w:r>
          </w:p>
        </w:tc>
        <w:tc>
          <w:tcPr>
            <w:tcW w:w="2307" w:type="dxa"/>
          </w:tcPr>
          <w:p w14:paraId="0186B61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 (21.2)</w:t>
            </w:r>
          </w:p>
        </w:tc>
        <w:tc>
          <w:tcPr>
            <w:tcW w:w="902" w:type="dxa"/>
          </w:tcPr>
          <w:p w14:paraId="2804C10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0.862</w:t>
            </w:r>
          </w:p>
        </w:tc>
      </w:tr>
      <w:tr w:rsidR="00A06B29" w:rsidRPr="00A06B29" w14:paraId="7DCDC8F6" w14:textId="77777777" w:rsidTr="00A06B29">
        <w:tc>
          <w:tcPr>
            <w:tcW w:w="3539" w:type="dxa"/>
          </w:tcPr>
          <w:p w14:paraId="79CA4AE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SBP,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60A8B5B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22 (5.4)</w:t>
            </w:r>
          </w:p>
        </w:tc>
        <w:tc>
          <w:tcPr>
            <w:tcW w:w="2307" w:type="dxa"/>
          </w:tcPr>
          <w:p w14:paraId="434F3A9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 (5.9)</w:t>
            </w:r>
          </w:p>
        </w:tc>
        <w:tc>
          <w:tcPr>
            <w:tcW w:w="902" w:type="dxa"/>
          </w:tcPr>
          <w:p w14:paraId="518887C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0.705</w:t>
            </w:r>
          </w:p>
        </w:tc>
      </w:tr>
      <w:tr w:rsidR="00A06B29" w:rsidRPr="00A06B29" w14:paraId="5179AB37" w14:textId="77777777" w:rsidTr="00A06B29">
        <w:tc>
          <w:tcPr>
            <w:tcW w:w="3539" w:type="dxa"/>
          </w:tcPr>
          <w:p w14:paraId="5AA3863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Other infections,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4E61E28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63 (15.3)</w:t>
            </w:r>
          </w:p>
        </w:tc>
        <w:tc>
          <w:tcPr>
            <w:tcW w:w="2307" w:type="dxa"/>
          </w:tcPr>
          <w:p w14:paraId="1C3CEF8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 (20)</w:t>
            </w:r>
          </w:p>
        </w:tc>
        <w:tc>
          <w:tcPr>
            <w:tcW w:w="902" w:type="dxa"/>
          </w:tcPr>
          <w:p w14:paraId="68BDB94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0.466</w:t>
            </w:r>
          </w:p>
        </w:tc>
      </w:tr>
      <w:tr w:rsidR="00A06B29" w:rsidRPr="00A06B29" w14:paraId="36C84D1D" w14:textId="77777777" w:rsidTr="00A06B29">
        <w:tc>
          <w:tcPr>
            <w:tcW w:w="3539" w:type="dxa"/>
          </w:tcPr>
          <w:p w14:paraId="43AA2F5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AKI,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72E674E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39 (9.5)</w:t>
            </w:r>
          </w:p>
        </w:tc>
        <w:tc>
          <w:tcPr>
            <w:tcW w:w="2307" w:type="dxa"/>
          </w:tcPr>
          <w:p w14:paraId="0E1F44B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 (38.1)</w:t>
            </w:r>
          </w:p>
        </w:tc>
        <w:tc>
          <w:tcPr>
            <w:tcW w:w="902" w:type="dxa"/>
          </w:tcPr>
          <w:p w14:paraId="609B0980"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 0.001</w:t>
            </w:r>
          </w:p>
        </w:tc>
      </w:tr>
      <w:tr w:rsidR="00A06B29" w:rsidRPr="00A06B29" w14:paraId="7C86A9D3" w14:textId="77777777" w:rsidTr="00A06B29">
        <w:tc>
          <w:tcPr>
            <w:tcW w:w="3539" w:type="dxa"/>
          </w:tcPr>
          <w:p w14:paraId="3D4334A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HCC,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5648438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9 (2.2)</w:t>
            </w:r>
          </w:p>
        </w:tc>
        <w:tc>
          <w:tcPr>
            <w:tcW w:w="2307" w:type="dxa"/>
          </w:tcPr>
          <w:p w14:paraId="2D52C5B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 (5.7)</w:t>
            </w:r>
          </w:p>
        </w:tc>
        <w:tc>
          <w:tcPr>
            <w:tcW w:w="902" w:type="dxa"/>
          </w:tcPr>
          <w:p w14:paraId="5B76ED9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0.211</w:t>
            </w:r>
          </w:p>
        </w:tc>
      </w:tr>
      <w:tr w:rsidR="00A06B29" w:rsidRPr="00A06B29" w14:paraId="23DB2DE9" w14:textId="77777777" w:rsidTr="00A06B29">
        <w:tc>
          <w:tcPr>
            <w:tcW w:w="3539" w:type="dxa"/>
            <w:tcBorders>
              <w:bottom w:val="single" w:sz="4" w:space="0" w:color="auto"/>
            </w:tcBorders>
          </w:tcPr>
          <w:p w14:paraId="552E054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Hospital stay (d), median </w:t>
            </w:r>
            <w:r w:rsidRPr="00A06B29">
              <w:rPr>
                <w:rFonts w:ascii="Book Antiqua" w:hAnsi="Book Antiqua" w:cs="Times New Roman"/>
              </w:rPr>
              <w:lastRenderedPageBreak/>
              <w:t>(IQR)</w:t>
            </w:r>
          </w:p>
        </w:tc>
        <w:tc>
          <w:tcPr>
            <w:tcW w:w="2268" w:type="dxa"/>
            <w:tcBorders>
              <w:bottom w:val="single" w:sz="4" w:space="0" w:color="auto"/>
            </w:tcBorders>
          </w:tcPr>
          <w:p w14:paraId="618D57E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lastRenderedPageBreak/>
              <w:t>8 (6-11)</w:t>
            </w:r>
          </w:p>
        </w:tc>
        <w:tc>
          <w:tcPr>
            <w:tcW w:w="2307" w:type="dxa"/>
            <w:tcBorders>
              <w:bottom w:val="single" w:sz="4" w:space="0" w:color="auto"/>
            </w:tcBorders>
          </w:tcPr>
          <w:p w14:paraId="0672DE7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 (3-10)</w:t>
            </w:r>
          </w:p>
        </w:tc>
        <w:tc>
          <w:tcPr>
            <w:tcW w:w="902" w:type="dxa"/>
            <w:tcBorders>
              <w:bottom w:val="single" w:sz="4" w:space="0" w:color="auto"/>
            </w:tcBorders>
          </w:tcPr>
          <w:p w14:paraId="7FCE2E8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0.160</w:t>
            </w:r>
          </w:p>
        </w:tc>
      </w:tr>
    </w:tbl>
    <w:p w14:paraId="2A7D00B6" w14:textId="77777777" w:rsidR="00E75A09" w:rsidRDefault="00A06B29" w:rsidP="00F02470">
      <w:pPr>
        <w:autoSpaceDE w:val="0"/>
        <w:autoSpaceDN w:val="0"/>
        <w:adjustRightInd w:val="0"/>
        <w:spacing w:line="400" w:lineRule="atLeast"/>
        <w:jc w:val="both"/>
        <w:rPr>
          <w:rFonts w:ascii="Book Antiqua" w:hAnsi="Book Antiqua"/>
        </w:rPr>
      </w:pPr>
      <w:r w:rsidRPr="005D5E50">
        <w:rPr>
          <w:rFonts w:ascii="Book Antiqua" w:hAnsi="Book Antiqua"/>
        </w:rPr>
        <w:t xml:space="preserve">IQR: </w:t>
      </w:r>
      <w:r>
        <w:rPr>
          <w:rFonts w:ascii="Book Antiqua" w:hAnsi="Book Antiqua"/>
        </w:rPr>
        <w:t>I</w:t>
      </w:r>
      <w:r w:rsidRPr="005D5E50">
        <w:rPr>
          <w:rFonts w:ascii="Book Antiqua" w:hAnsi="Book Antiqua"/>
        </w:rPr>
        <w:t xml:space="preserve">nterquartile range; SD: </w:t>
      </w:r>
      <w:r>
        <w:rPr>
          <w:rFonts w:ascii="Book Antiqua" w:hAnsi="Book Antiqua"/>
        </w:rPr>
        <w:t>S</w:t>
      </w:r>
      <w:r w:rsidRPr="005D5E50">
        <w:rPr>
          <w:rFonts w:ascii="Book Antiqua" w:hAnsi="Book Antiqua"/>
        </w:rPr>
        <w:t xml:space="preserve">tandard deviation; INR: </w:t>
      </w:r>
      <w:r>
        <w:rPr>
          <w:rFonts w:ascii="Book Antiqua" w:hAnsi="Book Antiqua"/>
        </w:rPr>
        <w:t>I</w:t>
      </w:r>
      <w:r w:rsidRPr="005D5E50">
        <w:rPr>
          <w:rFonts w:ascii="Book Antiqua" w:hAnsi="Book Antiqua"/>
        </w:rPr>
        <w:t xml:space="preserve">nternational normalized ratio; WBC: </w:t>
      </w:r>
      <w:r>
        <w:rPr>
          <w:rFonts w:ascii="Book Antiqua" w:hAnsi="Book Antiqua"/>
        </w:rPr>
        <w:t>W</w:t>
      </w:r>
      <w:r w:rsidRPr="005D5E50">
        <w:rPr>
          <w:rFonts w:ascii="Book Antiqua" w:hAnsi="Book Antiqua"/>
        </w:rPr>
        <w:t xml:space="preserve">hite blood cells; CRP: C-reactive protein; MELD: Model for end-stage liver disease; AARC score: APASL ACLF Research Consortium score; HE: </w:t>
      </w:r>
      <w:r w:rsidR="00F02470">
        <w:rPr>
          <w:rFonts w:ascii="Book Antiqua" w:hAnsi="Book Antiqua"/>
        </w:rPr>
        <w:t>H</w:t>
      </w:r>
      <w:r w:rsidRPr="005D5E50">
        <w:rPr>
          <w:rFonts w:ascii="Book Antiqua" w:hAnsi="Book Antiqua"/>
        </w:rPr>
        <w:t xml:space="preserve">epatic encephalopathy; GI: </w:t>
      </w:r>
      <w:r w:rsidR="00F02470">
        <w:rPr>
          <w:rFonts w:ascii="Book Antiqua" w:hAnsi="Book Antiqua"/>
        </w:rPr>
        <w:t>G</w:t>
      </w:r>
      <w:r w:rsidRPr="005D5E50">
        <w:rPr>
          <w:rFonts w:ascii="Book Antiqua" w:hAnsi="Book Antiqua"/>
        </w:rPr>
        <w:t xml:space="preserve">astrointestinal; AKI: </w:t>
      </w:r>
      <w:r w:rsidR="00F02470">
        <w:rPr>
          <w:rFonts w:ascii="Book Antiqua" w:hAnsi="Book Antiqua"/>
        </w:rPr>
        <w:t>A</w:t>
      </w:r>
      <w:r w:rsidRPr="005D5E50">
        <w:rPr>
          <w:rFonts w:ascii="Book Antiqua" w:hAnsi="Book Antiqua"/>
        </w:rPr>
        <w:t xml:space="preserve">cute kidney injury; SBP: </w:t>
      </w:r>
      <w:r w:rsidR="00F02470">
        <w:rPr>
          <w:rFonts w:ascii="Book Antiqua" w:hAnsi="Book Antiqua"/>
        </w:rPr>
        <w:t>S</w:t>
      </w:r>
      <w:r w:rsidRPr="005D5E50">
        <w:rPr>
          <w:rFonts w:ascii="Book Antiqua" w:hAnsi="Book Antiqua"/>
        </w:rPr>
        <w:t xml:space="preserve">pontaneous bacterial peritonitis; HCC: </w:t>
      </w:r>
      <w:r w:rsidR="00F02470">
        <w:rPr>
          <w:rFonts w:ascii="Book Antiqua" w:hAnsi="Book Antiqua"/>
        </w:rPr>
        <w:t>H</w:t>
      </w:r>
      <w:r w:rsidRPr="005D5E50">
        <w:rPr>
          <w:rFonts w:ascii="Book Antiqua" w:hAnsi="Book Antiqua"/>
        </w:rPr>
        <w:t>epatocellular carcinoma.</w:t>
      </w:r>
    </w:p>
    <w:p w14:paraId="18912162" w14:textId="77777777" w:rsidR="00A06B29" w:rsidRDefault="00E75A09" w:rsidP="00E75A09">
      <w:pPr>
        <w:autoSpaceDE w:val="0"/>
        <w:autoSpaceDN w:val="0"/>
        <w:adjustRightInd w:val="0"/>
        <w:spacing w:line="360" w:lineRule="auto"/>
        <w:jc w:val="both"/>
        <w:rPr>
          <w:rFonts w:ascii="Book Antiqua" w:hAnsi="Book Antiqua"/>
          <w:b/>
          <w:bCs/>
        </w:rPr>
      </w:pPr>
      <w:r>
        <w:rPr>
          <w:rFonts w:ascii="Book Antiqua" w:hAnsi="Book Antiqua"/>
        </w:rPr>
        <w:br w:type="page"/>
      </w:r>
      <w:r w:rsidRPr="00E75A09">
        <w:rPr>
          <w:rFonts w:ascii="Book Antiqua" w:hAnsi="Book Antiqua"/>
          <w:b/>
          <w:bCs/>
        </w:rPr>
        <w:lastRenderedPageBreak/>
        <w:t>Table 3 Multivariate analysis of the predictive factors for in-hospital mortality</w:t>
      </w:r>
    </w:p>
    <w:tbl>
      <w:tblPr>
        <w:tblW w:w="5000" w:type="pct"/>
        <w:tblLayout w:type="fixed"/>
        <w:tblCellMar>
          <w:left w:w="0" w:type="dxa"/>
          <w:right w:w="0" w:type="dxa"/>
        </w:tblCellMar>
        <w:tblLook w:val="0000" w:firstRow="0" w:lastRow="0" w:firstColumn="0" w:lastColumn="0" w:noHBand="0" w:noVBand="0"/>
      </w:tblPr>
      <w:tblGrid>
        <w:gridCol w:w="1563"/>
        <w:gridCol w:w="817"/>
        <w:gridCol w:w="1165"/>
        <w:gridCol w:w="1083"/>
        <w:gridCol w:w="473"/>
        <w:gridCol w:w="674"/>
        <w:gridCol w:w="1027"/>
        <w:gridCol w:w="1020"/>
        <w:gridCol w:w="1538"/>
      </w:tblGrid>
      <w:tr w:rsidR="00E75A09" w:rsidRPr="00E75A09" w14:paraId="4393373D" w14:textId="77777777" w:rsidTr="00E75A09">
        <w:trPr>
          <w:cantSplit/>
        </w:trPr>
        <w:tc>
          <w:tcPr>
            <w:tcW w:w="1565" w:type="dxa"/>
            <w:tcBorders>
              <w:top w:val="single" w:sz="4" w:space="0" w:color="auto"/>
              <w:bottom w:val="single" w:sz="4" w:space="0" w:color="auto"/>
            </w:tcBorders>
            <w:shd w:val="clear" w:color="auto" w:fill="FFFFFF"/>
          </w:tcPr>
          <w:p w14:paraId="12BA6939"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p>
        </w:tc>
        <w:tc>
          <w:tcPr>
            <w:tcW w:w="7805" w:type="dxa"/>
            <w:gridSpan w:val="8"/>
            <w:tcBorders>
              <w:top w:val="single" w:sz="4" w:space="0" w:color="auto"/>
              <w:bottom w:val="single" w:sz="4" w:space="0" w:color="auto"/>
            </w:tcBorders>
            <w:shd w:val="clear" w:color="auto" w:fill="FFFFFF"/>
          </w:tcPr>
          <w:p w14:paraId="1463612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b/>
                <w:bCs/>
              </w:rPr>
              <w:t>Variables in the equation</w:t>
            </w:r>
          </w:p>
        </w:tc>
      </w:tr>
      <w:tr w:rsidR="00E75A09" w:rsidRPr="00E75A09" w14:paraId="7E464397" w14:textId="77777777" w:rsidTr="00E75A09">
        <w:trPr>
          <w:cantSplit/>
        </w:trPr>
        <w:tc>
          <w:tcPr>
            <w:tcW w:w="1565" w:type="dxa"/>
            <w:vMerge w:val="restart"/>
            <w:tcBorders>
              <w:top w:val="single" w:sz="4" w:space="0" w:color="auto"/>
            </w:tcBorders>
            <w:shd w:val="clear" w:color="auto" w:fill="FFFFFF"/>
          </w:tcPr>
          <w:p w14:paraId="01BAF4BB"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Step 1</w:t>
            </w:r>
            <w:r>
              <w:rPr>
                <w:rFonts w:ascii="Book Antiqua" w:hAnsi="Book Antiqua"/>
                <w:b/>
                <w:bCs/>
                <w:vertAlign w:val="superscript"/>
              </w:rPr>
              <w:t>1</w:t>
            </w:r>
          </w:p>
        </w:tc>
        <w:tc>
          <w:tcPr>
            <w:tcW w:w="818" w:type="dxa"/>
            <w:vMerge w:val="restart"/>
            <w:tcBorders>
              <w:top w:val="single" w:sz="4" w:space="0" w:color="auto"/>
            </w:tcBorders>
            <w:shd w:val="clear" w:color="auto" w:fill="FFFFFF"/>
          </w:tcPr>
          <w:p w14:paraId="7C4B6E0A"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B</w:t>
            </w:r>
          </w:p>
        </w:tc>
        <w:tc>
          <w:tcPr>
            <w:tcW w:w="1166" w:type="dxa"/>
            <w:vMerge w:val="restart"/>
            <w:tcBorders>
              <w:top w:val="single" w:sz="4" w:space="0" w:color="auto"/>
            </w:tcBorders>
            <w:shd w:val="clear" w:color="auto" w:fill="FFFFFF"/>
          </w:tcPr>
          <w:p w14:paraId="74C97A1B"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SE</w:t>
            </w:r>
          </w:p>
        </w:tc>
        <w:tc>
          <w:tcPr>
            <w:tcW w:w="1084" w:type="dxa"/>
            <w:vMerge w:val="restart"/>
            <w:tcBorders>
              <w:top w:val="single" w:sz="4" w:space="0" w:color="auto"/>
            </w:tcBorders>
            <w:shd w:val="clear" w:color="auto" w:fill="FFFFFF"/>
          </w:tcPr>
          <w:p w14:paraId="705E541E"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Wald</w:t>
            </w:r>
          </w:p>
        </w:tc>
        <w:tc>
          <w:tcPr>
            <w:tcW w:w="473" w:type="dxa"/>
            <w:vMerge w:val="restart"/>
            <w:tcBorders>
              <w:top w:val="single" w:sz="4" w:space="0" w:color="auto"/>
            </w:tcBorders>
            <w:shd w:val="clear" w:color="auto" w:fill="FFFFFF"/>
          </w:tcPr>
          <w:p w14:paraId="6DCDFBE8"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df</w:t>
            </w:r>
          </w:p>
        </w:tc>
        <w:tc>
          <w:tcPr>
            <w:tcW w:w="675" w:type="dxa"/>
            <w:vMerge w:val="restart"/>
            <w:tcBorders>
              <w:top w:val="single" w:sz="4" w:space="0" w:color="auto"/>
            </w:tcBorders>
            <w:shd w:val="clear" w:color="auto" w:fill="FFFFFF"/>
          </w:tcPr>
          <w:p w14:paraId="1245DA9C"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Sig</w:t>
            </w:r>
          </w:p>
        </w:tc>
        <w:tc>
          <w:tcPr>
            <w:tcW w:w="1028" w:type="dxa"/>
            <w:vMerge w:val="restart"/>
            <w:tcBorders>
              <w:top w:val="single" w:sz="4" w:space="0" w:color="auto"/>
            </w:tcBorders>
            <w:shd w:val="clear" w:color="auto" w:fill="FFFFFF"/>
          </w:tcPr>
          <w:p w14:paraId="1CE058BB"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Exp(B)</w:t>
            </w:r>
          </w:p>
        </w:tc>
        <w:tc>
          <w:tcPr>
            <w:tcW w:w="2561" w:type="dxa"/>
            <w:gridSpan w:val="2"/>
            <w:tcBorders>
              <w:top w:val="single" w:sz="4" w:space="0" w:color="auto"/>
              <w:bottom w:val="single" w:sz="4" w:space="0" w:color="auto"/>
            </w:tcBorders>
            <w:shd w:val="clear" w:color="auto" w:fill="FFFFFF"/>
          </w:tcPr>
          <w:p w14:paraId="65B8D167" w14:textId="2E243256"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95%CI</w:t>
            </w:r>
            <w:r w:rsidR="00A963D0">
              <w:rPr>
                <w:rFonts w:ascii="Book Antiqua" w:hAnsi="Book Antiqua"/>
                <w:b/>
                <w:bCs/>
              </w:rPr>
              <w:t xml:space="preserve"> </w:t>
            </w:r>
            <w:r w:rsidRPr="00E75A09">
              <w:rPr>
                <w:rFonts w:ascii="Book Antiqua" w:hAnsi="Book Antiqua"/>
                <w:b/>
                <w:bCs/>
              </w:rPr>
              <w:t>for EXP</w:t>
            </w:r>
            <w:r w:rsidR="00A963D0">
              <w:rPr>
                <w:rFonts w:ascii="Book Antiqua" w:hAnsi="Book Antiqua"/>
                <w:b/>
                <w:bCs/>
              </w:rPr>
              <w:t xml:space="preserve"> </w:t>
            </w:r>
            <w:r w:rsidRPr="00E75A09">
              <w:rPr>
                <w:rFonts w:ascii="Book Antiqua" w:hAnsi="Book Antiqua"/>
                <w:b/>
                <w:bCs/>
              </w:rPr>
              <w:t>(B)</w:t>
            </w:r>
          </w:p>
        </w:tc>
      </w:tr>
      <w:tr w:rsidR="00E75A09" w:rsidRPr="00E75A09" w14:paraId="73D414FF" w14:textId="77777777" w:rsidTr="00E75A09">
        <w:trPr>
          <w:cantSplit/>
        </w:trPr>
        <w:tc>
          <w:tcPr>
            <w:tcW w:w="1565" w:type="dxa"/>
            <w:vMerge/>
            <w:tcBorders>
              <w:bottom w:val="single" w:sz="4" w:space="0" w:color="auto"/>
            </w:tcBorders>
            <w:shd w:val="clear" w:color="auto" w:fill="FFFFFF"/>
          </w:tcPr>
          <w:p w14:paraId="689BFCA0"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818" w:type="dxa"/>
            <w:vMerge/>
            <w:tcBorders>
              <w:bottom w:val="single" w:sz="4" w:space="0" w:color="auto"/>
            </w:tcBorders>
            <w:shd w:val="clear" w:color="auto" w:fill="FFFFFF"/>
          </w:tcPr>
          <w:p w14:paraId="4337813B"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166" w:type="dxa"/>
            <w:vMerge/>
            <w:tcBorders>
              <w:bottom w:val="single" w:sz="4" w:space="0" w:color="auto"/>
            </w:tcBorders>
            <w:shd w:val="clear" w:color="auto" w:fill="FFFFFF"/>
          </w:tcPr>
          <w:p w14:paraId="43659EFB"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084" w:type="dxa"/>
            <w:vMerge/>
            <w:tcBorders>
              <w:bottom w:val="single" w:sz="4" w:space="0" w:color="auto"/>
            </w:tcBorders>
            <w:shd w:val="clear" w:color="auto" w:fill="FFFFFF"/>
          </w:tcPr>
          <w:p w14:paraId="2C90E843"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473" w:type="dxa"/>
            <w:vMerge/>
            <w:tcBorders>
              <w:bottom w:val="single" w:sz="4" w:space="0" w:color="auto"/>
            </w:tcBorders>
            <w:shd w:val="clear" w:color="auto" w:fill="FFFFFF"/>
          </w:tcPr>
          <w:p w14:paraId="4E2B2D74"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675" w:type="dxa"/>
            <w:vMerge/>
            <w:tcBorders>
              <w:bottom w:val="single" w:sz="4" w:space="0" w:color="auto"/>
            </w:tcBorders>
            <w:shd w:val="clear" w:color="auto" w:fill="FFFFFF"/>
          </w:tcPr>
          <w:p w14:paraId="697B902F"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028" w:type="dxa"/>
            <w:vMerge/>
            <w:tcBorders>
              <w:bottom w:val="single" w:sz="4" w:space="0" w:color="auto"/>
            </w:tcBorders>
            <w:shd w:val="clear" w:color="auto" w:fill="FFFFFF"/>
          </w:tcPr>
          <w:p w14:paraId="44573B22"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021" w:type="dxa"/>
            <w:tcBorders>
              <w:top w:val="single" w:sz="4" w:space="0" w:color="auto"/>
              <w:bottom w:val="single" w:sz="4" w:space="0" w:color="auto"/>
            </w:tcBorders>
            <w:shd w:val="clear" w:color="auto" w:fill="FFFFFF"/>
          </w:tcPr>
          <w:p w14:paraId="61845BF2"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Lower</w:t>
            </w:r>
          </w:p>
        </w:tc>
        <w:tc>
          <w:tcPr>
            <w:tcW w:w="1540" w:type="dxa"/>
            <w:tcBorders>
              <w:top w:val="single" w:sz="4" w:space="0" w:color="auto"/>
              <w:bottom w:val="single" w:sz="4" w:space="0" w:color="auto"/>
            </w:tcBorders>
            <w:shd w:val="clear" w:color="auto" w:fill="FFFFFF"/>
          </w:tcPr>
          <w:p w14:paraId="2DC82F87"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Upper</w:t>
            </w:r>
          </w:p>
        </w:tc>
      </w:tr>
      <w:tr w:rsidR="00E75A09" w:rsidRPr="00E75A09" w14:paraId="6F225F7B" w14:textId="77777777" w:rsidTr="00E75A09">
        <w:trPr>
          <w:cantSplit/>
        </w:trPr>
        <w:tc>
          <w:tcPr>
            <w:tcW w:w="1565" w:type="dxa"/>
            <w:tcBorders>
              <w:top w:val="single" w:sz="4" w:space="0" w:color="auto"/>
            </w:tcBorders>
            <w:shd w:val="clear" w:color="auto" w:fill="FFFFFF"/>
          </w:tcPr>
          <w:p w14:paraId="2A367B5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AKI</w:t>
            </w:r>
          </w:p>
        </w:tc>
        <w:tc>
          <w:tcPr>
            <w:tcW w:w="818" w:type="dxa"/>
            <w:tcBorders>
              <w:top w:val="single" w:sz="4" w:space="0" w:color="auto"/>
            </w:tcBorders>
            <w:shd w:val="clear" w:color="auto" w:fill="FFFFFF"/>
          </w:tcPr>
          <w:p w14:paraId="07277B07"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.593</w:t>
            </w:r>
          </w:p>
        </w:tc>
        <w:tc>
          <w:tcPr>
            <w:tcW w:w="1166" w:type="dxa"/>
            <w:tcBorders>
              <w:top w:val="single" w:sz="4" w:space="0" w:color="auto"/>
            </w:tcBorders>
            <w:shd w:val="clear" w:color="auto" w:fill="FFFFFF"/>
          </w:tcPr>
          <w:p w14:paraId="10A75FA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.577</w:t>
            </w:r>
          </w:p>
        </w:tc>
        <w:tc>
          <w:tcPr>
            <w:tcW w:w="1084" w:type="dxa"/>
            <w:tcBorders>
              <w:top w:val="single" w:sz="4" w:space="0" w:color="auto"/>
            </w:tcBorders>
            <w:shd w:val="clear" w:color="auto" w:fill="FFFFFF"/>
          </w:tcPr>
          <w:p w14:paraId="000D9F01"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1.055</w:t>
            </w:r>
          </w:p>
        </w:tc>
        <w:tc>
          <w:tcPr>
            <w:tcW w:w="473" w:type="dxa"/>
            <w:tcBorders>
              <w:top w:val="single" w:sz="4" w:space="0" w:color="auto"/>
            </w:tcBorders>
            <w:shd w:val="clear" w:color="auto" w:fill="FFFFFF"/>
          </w:tcPr>
          <w:p w14:paraId="25999D37"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tcBorders>
              <w:top w:val="single" w:sz="4" w:space="0" w:color="auto"/>
            </w:tcBorders>
            <w:shd w:val="clear" w:color="auto" w:fill="FFFFFF"/>
          </w:tcPr>
          <w:p w14:paraId="1131152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0.304</w:t>
            </w:r>
          </w:p>
        </w:tc>
        <w:tc>
          <w:tcPr>
            <w:tcW w:w="1028" w:type="dxa"/>
            <w:tcBorders>
              <w:top w:val="single" w:sz="4" w:space="0" w:color="auto"/>
            </w:tcBorders>
            <w:shd w:val="clear" w:color="auto" w:fill="FFFFFF"/>
          </w:tcPr>
          <w:p w14:paraId="23048BC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1.809</w:t>
            </w:r>
          </w:p>
        </w:tc>
        <w:tc>
          <w:tcPr>
            <w:tcW w:w="1021" w:type="dxa"/>
            <w:tcBorders>
              <w:top w:val="single" w:sz="4" w:space="0" w:color="auto"/>
            </w:tcBorders>
            <w:shd w:val="clear" w:color="auto" w:fill="FFFFFF"/>
          </w:tcPr>
          <w:p w14:paraId="0072FD48"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0.584</w:t>
            </w:r>
          </w:p>
        </w:tc>
        <w:tc>
          <w:tcPr>
            <w:tcW w:w="1540" w:type="dxa"/>
            <w:tcBorders>
              <w:top w:val="single" w:sz="4" w:space="0" w:color="auto"/>
            </w:tcBorders>
            <w:shd w:val="clear" w:color="auto" w:fill="FFFFFF"/>
          </w:tcPr>
          <w:p w14:paraId="566B582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5.607</w:t>
            </w:r>
          </w:p>
        </w:tc>
      </w:tr>
      <w:tr w:rsidR="00E75A09" w:rsidRPr="00E75A09" w14:paraId="3C161A02" w14:textId="77777777" w:rsidTr="00E75A09">
        <w:trPr>
          <w:cantSplit/>
        </w:trPr>
        <w:tc>
          <w:tcPr>
            <w:tcW w:w="1565" w:type="dxa"/>
            <w:shd w:val="clear" w:color="auto" w:fill="FFFFFF"/>
          </w:tcPr>
          <w:p w14:paraId="14B5F2A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MELD score ≥ 22.5</w:t>
            </w:r>
          </w:p>
        </w:tc>
        <w:tc>
          <w:tcPr>
            <w:tcW w:w="818" w:type="dxa"/>
            <w:shd w:val="clear" w:color="auto" w:fill="FFFFFF"/>
          </w:tcPr>
          <w:p w14:paraId="232A21EC"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.815</w:t>
            </w:r>
          </w:p>
        </w:tc>
        <w:tc>
          <w:tcPr>
            <w:tcW w:w="1166" w:type="dxa"/>
            <w:shd w:val="clear" w:color="auto" w:fill="FFFFFF"/>
          </w:tcPr>
          <w:p w14:paraId="226411E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.610</w:t>
            </w:r>
          </w:p>
        </w:tc>
        <w:tc>
          <w:tcPr>
            <w:tcW w:w="1084" w:type="dxa"/>
            <w:shd w:val="clear" w:color="auto" w:fill="FFFFFF"/>
          </w:tcPr>
          <w:p w14:paraId="740ED8F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1.787</w:t>
            </w:r>
          </w:p>
        </w:tc>
        <w:tc>
          <w:tcPr>
            <w:tcW w:w="473" w:type="dxa"/>
            <w:shd w:val="clear" w:color="auto" w:fill="FFFFFF"/>
          </w:tcPr>
          <w:p w14:paraId="78A5D7E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0D590CBE"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0.181</w:t>
            </w:r>
          </w:p>
        </w:tc>
        <w:tc>
          <w:tcPr>
            <w:tcW w:w="1028" w:type="dxa"/>
            <w:shd w:val="clear" w:color="auto" w:fill="FFFFFF"/>
          </w:tcPr>
          <w:p w14:paraId="2C4A9BA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2.259</w:t>
            </w:r>
          </w:p>
        </w:tc>
        <w:tc>
          <w:tcPr>
            <w:tcW w:w="1021" w:type="dxa"/>
            <w:shd w:val="clear" w:color="auto" w:fill="FFFFFF"/>
          </w:tcPr>
          <w:p w14:paraId="4543471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0.684</w:t>
            </w:r>
          </w:p>
        </w:tc>
        <w:tc>
          <w:tcPr>
            <w:tcW w:w="1540" w:type="dxa"/>
            <w:shd w:val="clear" w:color="auto" w:fill="FFFFFF"/>
          </w:tcPr>
          <w:p w14:paraId="410A1D6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7.463</w:t>
            </w:r>
          </w:p>
        </w:tc>
      </w:tr>
      <w:tr w:rsidR="00E75A09" w:rsidRPr="00E75A09" w14:paraId="2D24DC36" w14:textId="77777777" w:rsidTr="00E75A09">
        <w:trPr>
          <w:cantSplit/>
        </w:trPr>
        <w:tc>
          <w:tcPr>
            <w:tcW w:w="1565" w:type="dxa"/>
            <w:shd w:val="clear" w:color="auto" w:fill="FFFFFF"/>
          </w:tcPr>
          <w:p w14:paraId="36F09DA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Child-Pugh score ≥ 12.5</w:t>
            </w:r>
          </w:p>
        </w:tc>
        <w:tc>
          <w:tcPr>
            <w:tcW w:w="818" w:type="dxa"/>
            <w:shd w:val="clear" w:color="auto" w:fill="FFFFFF"/>
          </w:tcPr>
          <w:p w14:paraId="47DD3B8E"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.366</w:t>
            </w:r>
          </w:p>
        </w:tc>
        <w:tc>
          <w:tcPr>
            <w:tcW w:w="1166" w:type="dxa"/>
            <w:shd w:val="clear" w:color="auto" w:fill="FFFFFF"/>
          </w:tcPr>
          <w:p w14:paraId="0D42844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.568</w:t>
            </w:r>
          </w:p>
        </w:tc>
        <w:tc>
          <w:tcPr>
            <w:tcW w:w="1084" w:type="dxa"/>
            <w:shd w:val="clear" w:color="auto" w:fill="FFFFFF"/>
          </w:tcPr>
          <w:p w14:paraId="4BD9CC38"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.415</w:t>
            </w:r>
          </w:p>
        </w:tc>
        <w:tc>
          <w:tcPr>
            <w:tcW w:w="473" w:type="dxa"/>
            <w:shd w:val="clear" w:color="auto" w:fill="FFFFFF"/>
          </w:tcPr>
          <w:p w14:paraId="7D7C692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28DB74E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0.520</w:t>
            </w:r>
          </w:p>
        </w:tc>
        <w:tc>
          <w:tcPr>
            <w:tcW w:w="1028" w:type="dxa"/>
            <w:shd w:val="clear" w:color="auto" w:fill="FFFFFF"/>
          </w:tcPr>
          <w:p w14:paraId="061FC91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1.442</w:t>
            </w:r>
          </w:p>
        </w:tc>
        <w:tc>
          <w:tcPr>
            <w:tcW w:w="1021" w:type="dxa"/>
            <w:shd w:val="clear" w:color="auto" w:fill="FFFFFF"/>
          </w:tcPr>
          <w:p w14:paraId="0C711ED1"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0.473</w:t>
            </w:r>
          </w:p>
        </w:tc>
        <w:tc>
          <w:tcPr>
            <w:tcW w:w="1540" w:type="dxa"/>
            <w:shd w:val="clear" w:color="auto" w:fill="FFFFFF"/>
          </w:tcPr>
          <w:p w14:paraId="6AB7EDA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4.394</w:t>
            </w:r>
          </w:p>
        </w:tc>
      </w:tr>
      <w:tr w:rsidR="00E75A09" w:rsidRPr="00E75A09" w14:paraId="438C2F58" w14:textId="77777777" w:rsidTr="00E75A09">
        <w:trPr>
          <w:cantSplit/>
        </w:trPr>
        <w:tc>
          <w:tcPr>
            <w:tcW w:w="1565" w:type="dxa"/>
            <w:shd w:val="clear" w:color="auto" w:fill="FFFFFF"/>
          </w:tcPr>
          <w:p w14:paraId="7A20D47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AARC score ≥ 8.5</w:t>
            </w:r>
          </w:p>
        </w:tc>
        <w:tc>
          <w:tcPr>
            <w:tcW w:w="818" w:type="dxa"/>
            <w:shd w:val="clear" w:color="auto" w:fill="FFFFFF"/>
          </w:tcPr>
          <w:p w14:paraId="5883B2B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1.849</w:t>
            </w:r>
          </w:p>
        </w:tc>
        <w:tc>
          <w:tcPr>
            <w:tcW w:w="1166" w:type="dxa"/>
            <w:shd w:val="clear" w:color="auto" w:fill="FFFFFF"/>
          </w:tcPr>
          <w:p w14:paraId="4F6B2C0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.642</w:t>
            </w:r>
          </w:p>
        </w:tc>
        <w:tc>
          <w:tcPr>
            <w:tcW w:w="1084" w:type="dxa"/>
            <w:shd w:val="clear" w:color="auto" w:fill="FFFFFF"/>
          </w:tcPr>
          <w:p w14:paraId="5D841E4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8.305</w:t>
            </w:r>
          </w:p>
        </w:tc>
        <w:tc>
          <w:tcPr>
            <w:tcW w:w="473" w:type="dxa"/>
            <w:shd w:val="clear" w:color="auto" w:fill="FFFFFF"/>
          </w:tcPr>
          <w:p w14:paraId="308B0DB8"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619A29F4"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0.004</w:t>
            </w:r>
          </w:p>
        </w:tc>
        <w:tc>
          <w:tcPr>
            <w:tcW w:w="1028" w:type="dxa"/>
            <w:shd w:val="clear" w:color="auto" w:fill="FFFFFF"/>
          </w:tcPr>
          <w:p w14:paraId="724854D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6.354</w:t>
            </w:r>
          </w:p>
        </w:tc>
        <w:tc>
          <w:tcPr>
            <w:tcW w:w="1021" w:type="dxa"/>
            <w:shd w:val="clear" w:color="auto" w:fill="FFFFFF"/>
          </w:tcPr>
          <w:p w14:paraId="5BECEA0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1.807</w:t>
            </w:r>
          </w:p>
        </w:tc>
        <w:tc>
          <w:tcPr>
            <w:tcW w:w="1540" w:type="dxa"/>
            <w:shd w:val="clear" w:color="auto" w:fill="FFFFFF"/>
          </w:tcPr>
          <w:p w14:paraId="2ADB8BB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22.349</w:t>
            </w:r>
          </w:p>
        </w:tc>
      </w:tr>
      <w:tr w:rsidR="00E75A09" w:rsidRPr="00E75A09" w14:paraId="32D02FA0" w14:textId="77777777" w:rsidTr="00E75A09">
        <w:trPr>
          <w:cantSplit/>
        </w:trPr>
        <w:tc>
          <w:tcPr>
            <w:tcW w:w="1565" w:type="dxa"/>
            <w:shd w:val="clear" w:color="auto" w:fill="FFFFFF"/>
          </w:tcPr>
          <w:p w14:paraId="7401157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 xml:space="preserve">HE </w:t>
            </w:r>
            <w:proofErr w:type="gramStart"/>
            <w:r w:rsidRPr="00E75A09">
              <w:rPr>
                <w:rFonts w:ascii="Book Antiqua" w:hAnsi="Book Antiqua"/>
              </w:rPr>
              <w:t>grade</w:t>
            </w:r>
            <w:proofErr w:type="gramEnd"/>
            <w:r w:rsidRPr="00E75A09">
              <w:rPr>
                <w:rFonts w:ascii="Book Antiqua" w:hAnsi="Book Antiqua"/>
              </w:rPr>
              <w:t xml:space="preserve"> III or IV</w:t>
            </w:r>
          </w:p>
        </w:tc>
        <w:tc>
          <w:tcPr>
            <w:tcW w:w="818" w:type="dxa"/>
            <w:shd w:val="clear" w:color="auto" w:fill="FFFFFF"/>
          </w:tcPr>
          <w:p w14:paraId="68A14F8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1.154</w:t>
            </w:r>
          </w:p>
        </w:tc>
        <w:tc>
          <w:tcPr>
            <w:tcW w:w="1166" w:type="dxa"/>
            <w:shd w:val="clear" w:color="auto" w:fill="FFFFFF"/>
          </w:tcPr>
          <w:p w14:paraId="0F75751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.628</w:t>
            </w:r>
          </w:p>
        </w:tc>
        <w:tc>
          <w:tcPr>
            <w:tcW w:w="1084" w:type="dxa"/>
            <w:shd w:val="clear" w:color="auto" w:fill="FFFFFF"/>
          </w:tcPr>
          <w:p w14:paraId="281ACFC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3.383</w:t>
            </w:r>
          </w:p>
        </w:tc>
        <w:tc>
          <w:tcPr>
            <w:tcW w:w="473" w:type="dxa"/>
            <w:shd w:val="clear" w:color="auto" w:fill="FFFFFF"/>
          </w:tcPr>
          <w:p w14:paraId="27A1AA8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001807D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0.066</w:t>
            </w:r>
          </w:p>
        </w:tc>
        <w:tc>
          <w:tcPr>
            <w:tcW w:w="1028" w:type="dxa"/>
            <w:shd w:val="clear" w:color="auto" w:fill="FFFFFF"/>
          </w:tcPr>
          <w:p w14:paraId="34F0795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3.172</w:t>
            </w:r>
          </w:p>
        </w:tc>
        <w:tc>
          <w:tcPr>
            <w:tcW w:w="1021" w:type="dxa"/>
            <w:shd w:val="clear" w:color="auto" w:fill="FFFFFF"/>
          </w:tcPr>
          <w:p w14:paraId="086B38E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0.927</w:t>
            </w:r>
          </w:p>
        </w:tc>
        <w:tc>
          <w:tcPr>
            <w:tcW w:w="1540" w:type="dxa"/>
            <w:shd w:val="clear" w:color="auto" w:fill="FFFFFF"/>
          </w:tcPr>
          <w:p w14:paraId="1473A01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10.853</w:t>
            </w:r>
          </w:p>
        </w:tc>
      </w:tr>
      <w:tr w:rsidR="00E75A09" w:rsidRPr="00E75A09" w14:paraId="0381EE24" w14:textId="77777777" w:rsidTr="00E75A09">
        <w:trPr>
          <w:cantSplit/>
        </w:trPr>
        <w:tc>
          <w:tcPr>
            <w:tcW w:w="1565" w:type="dxa"/>
            <w:shd w:val="clear" w:color="auto" w:fill="FFFFFF"/>
          </w:tcPr>
          <w:p w14:paraId="77BFCE3C"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 xml:space="preserve">Venous ammonia ≥ 152 </w:t>
            </w:r>
            <w:proofErr w:type="spellStart"/>
            <w:r w:rsidRPr="00E75A09">
              <w:rPr>
                <w:rFonts w:ascii="Book Antiqua" w:hAnsi="Book Antiqua"/>
              </w:rPr>
              <w:t>μmol</w:t>
            </w:r>
            <w:proofErr w:type="spellEnd"/>
            <w:r w:rsidRPr="00E75A09">
              <w:rPr>
                <w:rFonts w:ascii="Book Antiqua" w:hAnsi="Book Antiqua"/>
              </w:rPr>
              <w:t>/L</w:t>
            </w:r>
          </w:p>
        </w:tc>
        <w:tc>
          <w:tcPr>
            <w:tcW w:w="818" w:type="dxa"/>
            <w:shd w:val="clear" w:color="auto" w:fill="FFFFFF"/>
          </w:tcPr>
          <w:p w14:paraId="1457CE15"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-1.813</w:t>
            </w:r>
          </w:p>
        </w:tc>
        <w:tc>
          <w:tcPr>
            <w:tcW w:w="1166" w:type="dxa"/>
            <w:shd w:val="clear" w:color="auto" w:fill="FFFFFF"/>
          </w:tcPr>
          <w:p w14:paraId="0789BFE4"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.508</w:t>
            </w:r>
          </w:p>
        </w:tc>
        <w:tc>
          <w:tcPr>
            <w:tcW w:w="1084" w:type="dxa"/>
            <w:shd w:val="clear" w:color="auto" w:fill="FFFFFF"/>
          </w:tcPr>
          <w:p w14:paraId="4A93538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12.763</w:t>
            </w:r>
          </w:p>
        </w:tc>
        <w:tc>
          <w:tcPr>
            <w:tcW w:w="473" w:type="dxa"/>
            <w:shd w:val="clear" w:color="auto" w:fill="FFFFFF"/>
          </w:tcPr>
          <w:p w14:paraId="10F79F9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06B1EC8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0.000</w:t>
            </w:r>
          </w:p>
        </w:tc>
        <w:tc>
          <w:tcPr>
            <w:tcW w:w="1028" w:type="dxa"/>
            <w:shd w:val="clear" w:color="auto" w:fill="FFFFFF"/>
          </w:tcPr>
          <w:p w14:paraId="72CC9365"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0.163</w:t>
            </w:r>
          </w:p>
        </w:tc>
        <w:tc>
          <w:tcPr>
            <w:tcW w:w="1021" w:type="dxa"/>
            <w:shd w:val="clear" w:color="auto" w:fill="FFFFFF"/>
          </w:tcPr>
          <w:p w14:paraId="2D3F700C"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0.060</w:t>
            </w:r>
          </w:p>
        </w:tc>
        <w:tc>
          <w:tcPr>
            <w:tcW w:w="1540" w:type="dxa"/>
            <w:shd w:val="clear" w:color="auto" w:fill="FFFFFF"/>
          </w:tcPr>
          <w:p w14:paraId="75BA34A1"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0.441</w:t>
            </w:r>
          </w:p>
        </w:tc>
      </w:tr>
      <w:tr w:rsidR="00E75A09" w:rsidRPr="00E75A09" w14:paraId="2621966E" w14:textId="77777777" w:rsidTr="00E75A09">
        <w:trPr>
          <w:cantSplit/>
          <w:trHeight w:val="70"/>
        </w:trPr>
        <w:tc>
          <w:tcPr>
            <w:tcW w:w="1565" w:type="dxa"/>
            <w:tcBorders>
              <w:bottom w:val="single" w:sz="4" w:space="0" w:color="auto"/>
            </w:tcBorders>
            <w:shd w:val="clear" w:color="auto" w:fill="FFFFFF"/>
          </w:tcPr>
          <w:p w14:paraId="2A99930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Constant</w:t>
            </w:r>
          </w:p>
        </w:tc>
        <w:tc>
          <w:tcPr>
            <w:tcW w:w="818" w:type="dxa"/>
            <w:tcBorders>
              <w:bottom w:val="single" w:sz="4" w:space="0" w:color="auto"/>
            </w:tcBorders>
            <w:shd w:val="clear" w:color="auto" w:fill="FFFFFF"/>
          </w:tcPr>
          <w:p w14:paraId="60AB277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-2.795</w:t>
            </w:r>
          </w:p>
        </w:tc>
        <w:tc>
          <w:tcPr>
            <w:tcW w:w="1166" w:type="dxa"/>
            <w:tcBorders>
              <w:bottom w:val="single" w:sz="4" w:space="0" w:color="auto"/>
            </w:tcBorders>
            <w:shd w:val="clear" w:color="auto" w:fill="FFFFFF"/>
          </w:tcPr>
          <w:p w14:paraId="211721C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1.368</w:t>
            </w:r>
          </w:p>
        </w:tc>
        <w:tc>
          <w:tcPr>
            <w:tcW w:w="1084" w:type="dxa"/>
            <w:tcBorders>
              <w:bottom w:val="single" w:sz="4" w:space="0" w:color="auto"/>
            </w:tcBorders>
            <w:shd w:val="clear" w:color="auto" w:fill="FFFFFF"/>
          </w:tcPr>
          <w:p w14:paraId="0F78C08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4.172</w:t>
            </w:r>
          </w:p>
        </w:tc>
        <w:tc>
          <w:tcPr>
            <w:tcW w:w="473" w:type="dxa"/>
            <w:tcBorders>
              <w:bottom w:val="single" w:sz="4" w:space="0" w:color="auto"/>
            </w:tcBorders>
            <w:shd w:val="clear" w:color="auto" w:fill="FFFFFF"/>
          </w:tcPr>
          <w:p w14:paraId="267F4CC5"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tcBorders>
              <w:bottom w:val="single" w:sz="4" w:space="0" w:color="auto"/>
            </w:tcBorders>
            <w:shd w:val="clear" w:color="auto" w:fill="FFFFFF"/>
          </w:tcPr>
          <w:p w14:paraId="7CB0E4D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0.041</w:t>
            </w:r>
          </w:p>
        </w:tc>
        <w:tc>
          <w:tcPr>
            <w:tcW w:w="1028" w:type="dxa"/>
            <w:tcBorders>
              <w:bottom w:val="single" w:sz="4" w:space="0" w:color="auto"/>
            </w:tcBorders>
            <w:shd w:val="clear" w:color="auto" w:fill="FFFFFF"/>
          </w:tcPr>
          <w:p w14:paraId="29485D6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0.061</w:t>
            </w:r>
          </w:p>
        </w:tc>
        <w:tc>
          <w:tcPr>
            <w:tcW w:w="1021" w:type="dxa"/>
            <w:tcBorders>
              <w:bottom w:val="single" w:sz="4" w:space="0" w:color="auto"/>
            </w:tcBorders>
            <w:shd w:val="clear" w:color="auto" w:fill="FFFFFF"/>
          </w:tcPr>
          <w:p w14:paraId="58333884" w14:textId="77777777" w:rsidR="00E75A09" w:rsidRPr="00E75A09" w:rsidRDefault="00E75A09" w:rsidP="00E75A09">
            <w:pPr>
              <w:autoSpaceDE w:val="0"/>
              <w:autoSpaceDN w:val="0"/>
              <w:adjustRightInd w:val="0"/>
              <w:spacing w:line="360" w:lineRule="auto"/>
              <w:jc w:val="both"/>
              <w:rPr>
                <w:rFonts w:ascii="Book Antiqua" w:hAnsi="Book Antiqua"/>
              </w:rPr>
            </w:pPr>
          </w:p>
        </w:tc>
        <w:tc>
          <w:tcPr>
            <w:tcW w:w="1540" w:type="dxa"/>
            <w:tcBorders>
              <w:bottom w:val="single" w:sz="4" w:space="0" w:color="auto"/>
            </w:tcBorders>
            <w:shd w:val="clear" w:color="auto" w:fill="FFFFFF"/>
          </w:tcPr>
          <w:p w14:paraId="400BF778" w14:textId="77777777" w:rsidR="00E75A09" w:rsidRPr="00E75A09" w:rsidRDefault="00E75A09" w:rsidP="00E75A09">
            <w:pPr>
              <w:autoSpaceDE w:val="0"/>
              <w:autoSpaceDN w:val="0"/>
              <w:adjustRightInd w:val="0"/>
              <w:spacing w:line="360" w:lineRule="auto"/>
              <w:jc w:val="both"/>
              <w:rPr>
                <w:rFonts w:ascii="Book Antiqua" w:hAnsi="Book Antiqua"/>
              </w:rPr>
            </w:pPr>
          </w:p>
        </w:tc>
      </w:tr>
    </w:tbl>
    <w:p w14:paraId="7194B9A6" w14:textId="77777777" w:rsidR="006437FE" w:rsidRDefault="00E75A09" w:rsidP="00E75A09">
      <w:pPr>
        <w:autoSpaceDE w:val="0"/>
        <w:autoSpaceDN w:val="0"/>
        <w:adjustRightInd w:val="0"/>
        <w:spacing w:line="360" w:lineRule="auto"/>
        <w:jc w:val="both"/>
        <w:rPr>
          <w:rFonts w:ascii="Book Antiqua" w:hAnsi="Book Antiqua"/>
        </w:rPr>
      </w:pPr>
      <w:r w:rsidRPr="00E75A09">
        <w:rPr>
          <w:rFonts w:ascii="Book Antiqua" w:hAnsi="Book Antiqua"/>
          <w:vertAlign w:val="superscript"/>
        </w:rPr>
        <w:t>1</w:t>
      </w:r>
      <w:r w:rsidRPr="00E75A09">
        <w:rPr>
          <w:rFonts w:ascii="Book Antiqua" w:hAnsi="Book Antiqua"/>
        </w:rPr>
        <w:t xml:space="preserve">Variable(s) entered on step 1: AKI, MELD score ≥ 22.5, Child-Pugh score ≥ 12.5, AARC score ≥ 8.5, HE </w:t>
      </w:r>
      <w:proofErr w:type="gramStart"/>
      <w:r w:rsidRPr="00E75A09">
        <w:rPr>
          <w:rFonts w:ascii="Book Antiqua" w:hAnsi="Book Antiqua"/>
        </w:rPr>
        <w:t>grade</w:t>
      </w:r>
      <w:proofErr w:type="gramEnd"/>
      <w:r w:rsidRPr="00E75A09">
        <w:rPr>
          <w:rFonts w:ascii="Book Antiqua" w:hAnsi="Book Antiqua"/>
        </w:rPr>
        <w:t xml:space="preserve"> III or IV, Venous ammonia ≥ 152 </w:t>
      </w:r>
      <w:proofErr w:type="spellStart"/>
      <w:r w:rsidRPr="00E75A09">
        <w:rPr>
          <w:rFonts w:ascii="Book Antiqua" w:hAnsi="Book Antiqua"/>
        </w:rPr>
        <w:t>μmol</w:t>
      </w:r>
      <w:proofErr w:type="spellEnd"/>
      <w:r w:rsidRPr="00E75A09">
        <w:rPr>
          <w:rFonts w:ascii="Book Antiqua" w:hAnsi="Book Antiqua"/>
        </w:rPr>
        <w:t xml:space="preserve">/L.AKI: </w:t>
      </w:r>
      <w:r>
        <w:rPr>
          <w:rFonts w:ascii="Book Antiqua" w:hAnsi="Book Antiqua"/>
        </w:rPr>
        <w:t>A</w:t>
      </w:r>
      <w:r w:rsidRPr="00E75A09">
        <w:rPr>
          <w:rFonts w:ascii="Book Antiqua" w:hAnsi="Book Antiqua"/>
        </w:rPr>
        <w:t xml:space="preserve">cute kidney injury; MELD: Model for end-stage liver disease; AARC score: APASL ACLF Research Consortium score; HE: </w:t>
      </w:r>
      <w:bookmarkStart w:id="6" w:name="_Hlk58513017"/>
      <w:r>
        <w:rPr>
          <w:rFonts w:ascii="Book Antiqua" w:hAnsi="Book Antiqua"/>
        </w:rPr>
        <w:t>H</w:t>
      </w:r>
      <w:r w:rsidRPr="00E75A09">
        <w:rPr>
          <w:rFonts w:ascii="Book Antiqua" w:hAnsi="Book Antiqua"/>
        </w:rPr>
        <w:t>epatic encephalopathy</w:t>
      </w:r>
      <w:bookmarkEnd w:id="6"/>
      <w:r>
        <w:rPr>
          <w:rFonts w:ascii="Book Antiqua" w:hAnsi="Book Antiqua"/>
        </w:rPr>
        <w:t>; Sig: S</w:t>
      </w:r>
      <w:r w:rsidRPr="00E75A09">
        <w:rPr>
          <w:rFonts w:ascii="Book Antiqua" w:hAnsi="Book Antiqua"/>
        </w:rPr>
        <w:t>ignificant</w:t>
      </w:r>
      <w:r>
        <w:rPr>
          <w:rFonts w:ascii="Book Antiqua" w:hAnsi="Book Antiqua"/>
        </w:rPr>
        <w:t xml:space="preserve">; SE: </w:t>
      </w:r>
      <w:r w:rsidRPr="00E75A09">
        <w:rPr>
          <w:rFonts w:ascii="Book Antiqua" w:hAnsi="Book Antiqua"/>
        </w:rPr>
        <w:t>Standard error</w:t>
      </w:r>
      <w:r>
        <w:rPr>
          <w:rFonts w:ascii="Book Antiqua" w:hAnsi="Book Antiqua"/>
        </w:rPr>
        <w:t>; CI: C</w:t>
      </w:r>
      <w:r w:rsidRPr="00E75A09">
        <w:rPr>
          <w:rFonts w:ascii="Book Antiqua" w:hAnsi="Book Antiqua"/>
        </w:rPr>
        <w:t>onfidence interval</w:t>
      </w:r>
      <w:r>
        <w:rPr>
          <w:rFonts w:ascii="Book Antiqua" w:hAnsi="Book Antiqua"/>
        </w:rPr>
        <w:t>.</w:t>
      </w:r>
    </w:p>
    <w:p w14:paraId="71A2FE47" w14:textId="77777777" w:rsidR="00E75A09" w:rsidRDefault="006437FE" w:rsidP="006437FE">
      <w:pPr>
        <w:spacing w:line="360" w:lineRule="auto"/>
        <w:rPr>
          <w:rFonts w:ascii="Book Antiqua" w:hAnsi="Book Antiqua"/>
          <w:b/>
          <w:bCs/>
        </w:rPr>
      </w:pPr>
      <w:r>
        <w:rPr>
          <w:rFonts w:ascii="Book Antiqua" w:hAnsi="Book Antiqua"/>
        </w:rPr>
        <w:br w:type="page"/>
      </w:r>
      <w:r w:rsidRPr="006437FE">
        <w:rPr>
          <w:rFonts w:ascii="Book Antiqua" w:hAnsi="Book Antiqua"/>
          <w:b/>
          <w:bCs/>
        </w:rPr>
        <w:lastRenderedPageBreak/>
        <w:t xml:space="preserve">Table 4 Comparison of patient characteristics based on the presence of </w:t>
      </w:r>
      <w:r>
        <w:rPr>
          <w:rFonts w:ascii="Book Antiqua" w:hAnsi="Book Antiqua"/>
          <w:b/>
          <w:bCs/>
        </w:rPr>
        <w:t>h</w:t>
      </w:r>
      <w:r w:rsidRPr="006437FE">
        <w:rPr>
          <w:rFonts w:ascii="Book Antiqua" w:hAnsi="Book Antiqua"/>
          <w:b/>
          <w:bCs/>
        </w:rPr>
        <w:t>epatic encephalopathy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0"/>
        <w:gridCol w:w="2165"/>
        <w:gridCol w:w="902"/>
      </w:tblGrid>
      <w:tr w:rsidR="006437FE" w:rsidRPr="006437FE" w14:paraId="2FE4A867" w14:textId="77777777" w:rsidTr="00634538">
        <w:tc>
          <w:tcPr>
            <w:tcW w:w="3539" w:type="dxa"/>
            <w:tcBorders>
              <w:top w:val="single" w:sz="4" w:space="0" w:color="auto"/>
              <w:bottom w:val="single" w:sz="4" w:space="0" w:color="auto"/>
            </w:tcBorders>
          </w:tcPr>
          <w:p w14:paraId="1501D611" w14:textId="77777777" w:rsidR="006437FE" w:rsidRPr="006437FE" w:rsidRDefault="006437FE" w:rsidP="006437FE">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rPr>
              <w:t>Variable</w:t>
            </w:r>
          </w:p>
        </w:tc>
        <w:tc>
          <w:tcPr>
            <w:tcW w:w="2410" w:type="dxa"/>
            <w:tcBorders>
              <w:top w:val="single" w:sz="4" w:space="0" w:color="auto"/>
              <w:bottom w:val="single" w:sz="4" w:space="0" w:color="auto"/>
            </w:tcBorders>
          </w:tcPr>
          <w:p w14:paraId="3930620B" w14:textId="0274745B" w:rsidR="006437FE" w:rsidRPr="006437FE" w:rsidRDefault="006437FE" w:rsidP="00A963D0">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rPr>
              <w:t xml:space="preserve">HE, </w:t>
            </w:r>
            <w:r w:rsidRPr="00634538">
              <w:rPr>
                <w:rFonts w:ascii="Book Antiqua" w:hAnsi="Book Antiqua" w:cs="Times New Roman"/>
                <w:b/>
                <w:i/>
                <w:iCs/>
              </w:rPr>
              <w:t>n</w:t>
            </w:r>
            <w:r w:rsidRPr="006437FE">
              <w:rPr>
                <w:rFonts w:ascii="Book Antiqua" w:hAnsi="Book Antiqua" w:cs="Times New Roman"/>
                <w:b/>
              </w:rPr>
              <w:t xml:space="preserve"> (%)</w:t>
            </w:r>
            <w:r w:rsidR="00A963D0">
              <w:rPr>
                <w:rFonts w:ascii="Book Antiqua" w:hAnsi="Book Antiqua" w:cs="Times New Roman"/>
                <w:b/>
              </w:rPr>
              <w:t xml:space="preserve"> </w:t>
            </w:r>
            <w:r w:rsidRPr="006437FE">
              <w:rPr>
                <w:rFonts w:ascii="Book Antiqua" w:hAnsi="Book Antiqua" w:cs="Times New Roman"/>
                <w:b/>
              </w:rPr>
              <w:t>374 (83.9)</w:t>
            </w:r>
          </w:p>
        </w:tc>
        <w:tc>
          <w:tcPr>
            <w:tcW w:w="2165" w:type="dxa"/>
            <w:tcBorders>
              <w:top w:val="single" w:sz="4" w:space="0" w:color="auto"/>
              <w:bottom w:val="single" w:sz="4" w:space="0" w:color="auto"/>
            </w:tcBorders>
          </w:tcPr>
          <w:p w14:paraId="53968FEF" w14:textId="4D02E88B" w:rsidR="006437FE" w:rsidRPr="006437FE" w:rsidRDefault="006437FE" w:rsidP="00A963D0">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rPr>
              <w:t>No</w:t>
            </w:r>
            <w:r w:rsidR="00634538">
              <w:rPr>
                <w:rFonts w:ascii="Book Antiqua" w:hAnsi="Book Antiqua" w:cs="Times New Roman"/>
                <w:b/>
              </w:rPr>
              <w:t>.</w:t>
            </w:r>
            <w:r w:rsidRPr="006437FE">
              <w:rPr>
                <w:rFonts w:ascii="Book Antiqua" w:hAnsi="Book Antiqua" w:cs="Times New Roman"/>
                <w:b/>
              </w:rPr>
              <w:t xml:space="preserve"> HE, </w:t>
            </w:r>
            <w:r w:rsidRPr="00634538">
              <w:rPr>
                <w:rFonts w:ascii="Book Antiqua" w:hAnsi="Book Antiqua" w:cs="Times New Roman"/>
                <w:b/>
                <w:i/>
                <w:iCs/>
              </w:rPr>
              <w:t>n</w:t>
            </w:r>
            <w:r w:rsidRPr="006437FE">
              <w:rPr>
                <w:rFonts w:ascii="Book Antiqua" w:hAnsi="Book Antiqua" w:cs="Times New Roman"/>
                <w:b/>
              </w:rPr>
              <w:t xml:space="preserve"> (%)</w:t>
            </w:r>
            <w:r w:rsidR="00A963D0">
              <w:rPr>
                <w:rFonts w:ascii="Book Antiqua" w:hAnsi="Book Antiqua" w:cs="Times New Roman"/>
                <w:b/>
              </w:rPr>
              <w:t xml:space="preserve"> </w:t>
            </w:r>
            <w:r w:rsidRPr="006437FE">
              <w:rPr>
                <w:rFonts w:ascii="Book Antiqua" w:hAnsi="Book Antiqua" w:cs="Times New Roman"/>
                <w:b/>
              </w:rPr>
              <w:t>72 (16.1)</w:t>
            </w:r>
          </w:p>
        </w:tc>
        <w:tc>
          <w:tcPr>
            <w:tcW w:w="902" w:type="dxa"/>
            <w:tcBorders>
              <w:top w:val="single" w:sz="4" w:space="0" w:color="auto"/>
              <w:bottom w:val="single" w:sz="4" w:space="0" w:color="auto"/>
            </w:tcBorders>
          </w:tcPr>
          <w:p w14:paraId="521CA4A1" w14:textId="77777777" w:rsidR="006437FE" w:rsidRPr="006437FE" w:rsidRDefault="006437FE" w:rsidP="006437FE">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i/>
                <w:iCs/>
              </w:rPr>
              <w:t>P</w:t>
            </w:r>
            <w:r>
              <w:rPr>
                <w:rFonts w:ascii="Book Antiqua" w:hAnsi="Book Antiqua" w:cs="Times New Roman"/>
                <w:b/>
              </w:rPr>
              <w:t xml:space="preserve"> value</w:t>
            </w:r>
          </w:p>
        </w:tc>
      </w:tr>
      <w:tr w:rsidR="006437FE" w:rsidRPr="006437FE" w14:paraId="76DAC619" w14:textId="77777777" w:rsidTr="00634538">
        <w:tc>
          <w:tcPr>
            <w:tcW w:w="3539" w:type="dxa"/>
            <w:tcBorders>
              <w:top w:val="single" w:sz="4" w:space="0" w:color="auto"/>
            </w:tcBorders>
          </w:tcPr>
          <w:p w14:paraId="721D512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Age, median (IQR) </w:t>
            </w:r>
          </w:p>
        </w:tc>
        <w:tc>
          <w:tcPr>
            <w:tcW w:w="2410" w:type="dxa"/>
            <w:tcBorders>
              <w:top w:val="single" w:sz="4" w:space="0" w:color="auto"/>
            </w:tcBorders>
          </w:tcPr>
          <w:p w14:paraId="69C042C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60 (50-65)</w:t>
            </w:r>
          </w:p>
        </w:tc>
        <w:tc>
          <w:tcPr>
            <w:tcW w:w="2165" w:type="dxa"/>
            <w:tcBorders>
              <w:top w:val="single" w:sz="4" w:space="0" w:color="auto"/>
            </w:tcBorders>
          </w:tcPr>
          <w:p w14:paraId="0FCEA9E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56 (47-65)</w:t>
            </w:r>
          </w:p>
        </w:tc>
        <w:tc>
          <w:tcPr>
            <w:tcW w:w="902" w:type="dxa"/>
            <w:tcBorders>
              <w:top w:val="single" w:sz="4" w:space="0" w:color="auto"/>
            </w:tcBorders>
          </w:tcPr>
          <w:p w14:paraId="0657F190"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0.413</w:t>
            </w:r>
          </w:p>
        </w:tc>
      </w:tr>
      <w:tr w:rsidR="006437FE" w:rsidRPr="006437FE" w14:paraId="1DD67293" w14:textId="77777777" w:rsidTr="00634538">
        <w:tc>
          <w:tcPr>
            <w:tcW w:w="3539" w:type="dxa"/>
          </w:tcPr>
          <w:p w14:paraId="41EEB46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Male sex,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7D8BAF0D"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211 (56.4)</w:t>
            </w:r>
          </w:p>
        </w:tc>
        <w:tc>
          <w:tcPr>
            <w:tcW w:w="2165" w:type="dxa"/>
          </w:tcPr>
          <w:p w14:paraId="72C78B8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45 (62.5)</w:t>
            </w:r>
          </w:p>
        </w:tc>
        <w:tc>
          <w:tcPr>
            <w:tcW w:w="902" w:type="dxa"/>
          </w:tcPr>
          <w:p w14:paraId="6C413D38"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0.339</w:t>
            </w:r>
          </w:p>
        </w:tc>
      </w:tr>
      <w:tr w:rsidR="006437FE" w:rsidRPr="006437FE" w14:paraId="04ED708A" w14:textId="77777777" w:rsidTr="00634538">
        <w:tc>
          <w:tcPr>
            <w:tcW w:w="3539" w:type="dxa"/>
          </w:tcPr>
          <w:p w14:paraId="46F6342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Albumin (g/dL), mean ± SD</w:t>
            </w:r>
          </w:p>
        </w:tc>
        <w:tc>
          <w:tcPr>
            <w:tcW w:w="2410" w:type="dxa"/>
          </w:tcPr>
          <w:p w14:paraId="6E3C0306"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2.33 ± 0.55</w:t>
            </w:r>
          </w:p>
        </w:tc>
        <w:tc>
          <w:tcPr>
            <w:tcW w:w="2165" w:type="dxa"/>
          </w:tcPr>
          <w:p w14:paraId="0F4D003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2.60 ± 0.74</w:t>
            </w:r>
          </w:p>
        </w:tc>
        <w:tc>
          <w:tcPr>
            <w:tcW w:w="902" w:type="dxa"/>
          </w:tcPr>
          <w:p w14:paraId="180EA570" w14:textId="039FED0C"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5FDA9FAD" w14:textId="77777777" w:rsidTr="00634538">
        <w:tc>
          <w:tcPr>
            <w:tcW w:w="3539" w:type="dxa"/>
          </w:tcPr>
          <w:p w14:paraId="2403101D"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Bilirubin (mg/dL), median (IQR)</w:t>
            </w:r>
          </w:p>
        </w:tc>
        <w:tc>
          <w:tcPr>
            <w:tcW w:w="2410" w:type="dxa"/>
          </w:tcPr>
          <w:p w14:paraId="248DE1EF"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2.62 (1.54-5.11)</w:t>
            </w:r>
          </w:p>
        </w:tc>
        <w:tc>
          <w:tcPr>
            <w:tcW w:w="2165" w:type="dxa"/>
          </w:tcPr>
          <w:p w14:paraId="7221468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1.72 (0.73-3.30)</w:t>
            </w:r>
          </w:p>
        </w:tc>
        <w:tc>
          <w:tcPr>
            <w:tcW w:w="902" w:type="dxa"/>
          </w:tcPr>
          <w:p w14:paraId="019C2F99" w14:textId="77777777"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0.015</w:t>
            </w:r>
          </w:p>
        </w:tc>
      </w:tr>
      <w:tr w:rsidR="006437FE" w:rsidRPr="006437FE" w14:paraId="7436835C" w14:textId="77777777" w:rsidTr="00634538">
        <w:tc>
          <w:tcPr>
            <w:tcW w:w="3539" w:type="dxa"/>
          </w:tcPr>
          <w:p w14:paraId="612C984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INR, median (IQR)</w:t>
            </w:r>
          </w:p>
        </w:tc>
        <w:tc>
          <w:tcPr>
            <w:tcW w:w="2410" w:type="dxa"/>
          </w:tcPr>
          <w:p w14:paraId="06DB88D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1.49 (1.31-1.75)</w:t>
            </w:r>
          </w:p>
        </w:tc>
        <w:tc>
          <w:tcPr>
            <w:tcW w:w="2165" w:type="dxa"/>
          </w:tcPr>
          <w:p w14:paraId="2F1E0CF5"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1.34 (1.14-1.57)</w:t>
            </w:r>
          </w:p>
        </w:tc>
        <w:tc>
          <w:tcPr>
            <w:tcW w:w="902" w:type="dxa"/>
          </w:tcPr>
          <w:p w14:paraId="2EE3CCD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0.054</w:t>
            </w:r>
          </w:p>
        </w:tc>
      </w:tr>
      <w:tr w:rsidR="006437FE" w:rsidRPr="006437FE" w14:paraId="57B8C7CA" w14:textId="77777777" w:rsidTr="00634538">
        <w:tc>
          <w:tcPr>
            <w:tcW w:w="3539" w:type="dxa"/>
          </w:tcPr>
          <w:p w14:paraId="6A5A5B2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Creatinine (mg/dL), median (IQR)</w:t>
            </w:r>
          </w:p>
        </w:tc>
        <w:tc>
          <w:tcPr>
            <w:tcW w:w="2410" w:type="dxa"/>
          </w:tcPr>
          <w:p w14:paraId="2767D564"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0.82 (0.63-1.26)</w:t>
            </w:r>
          </w:p>
        </w:tc>
        <w:tc>
          <w:tcPr>
            <w:tcW w:w="2165" w:type="dxa"/>
          </w:tcPr>
          <w:p w14:paraId="55721839"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0.77 (0.62-1.32)</w:t>
            </w:r>
          </w:p>
        </w:tc>
        <w:tc>
          <w:tcPr>
            <w:tcW w:w="902" w:type="dxa"/>
          </w:tcPr>
          <w:p w14:paraId="151813B5"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0.520</w:t>
            </w:r>
          </w:p>
        </w:tc>
      </w:tr>
      <w:tr w:rsidR="006437FE" w:rsidRPr="006437FE" w14:paraId="7B8AFFB0" w14:textId="77777777" w:rsidTr="00634538">
        <w:tc>
          <w:tcPr>
            <w:tcW w:w="3539" w:type="dxa"/>
          </w:tcPr>
          <w:p w14:paraId="66D583B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Platelets (</w:t>
            </w:r>
            <w:r w:rsidR="00634538" w:rsidRPr="00634538">
              <w:rPr>
                <w:rFonts w:ascii="Book Antiqua" w:eastAsia="宋体" w:hAnsi="Book Antiqua" w:cs="Times New Roman"/>
              </w:rPr>
              <w:t>×</w:t>
            </w:r>
            <w:r w:rsidRPr="006437FE">
              <w:rPr>
                <w:rFonts w:ascii="Book Antiqua" w:hAnsi="Book Antiqua" w:cs="Times New Roman"/>
              </w:rPr>
              <w:t xml:space="preserve"> 10</w:t>
            </w:r>
            <w:r w:rsidRPr="006437FE">
              <w:rPr>
                <w:rFonts w:ascii="Book Antiqua" w:hAnsi="Book Antiqua" w:cs="Times New Roman"/>
                <w:vertAlign w:val="superscript"/>
              </w:rPr>
              <w:t>9</w:t>
            </w:r>
            <w:r w:rsidRPr="006437FE">
              <w:rPr>
                <w:rFonts w:ascii="Book Antiqua" w:hAnsi="Book Antiqua" w:cs="Times New Roman"/>
              </w:rPr>
              <w:t>/L), median (IQR)</w:t>
            </w:r>
          </w:p>
        </w:tc>
        <w:tc>
          <w:tcPr>
            <w:tcW w:w="2410" w:type="dxa"/>
          </w:tcPr>
          <w:p w14:paraId="282A3269"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127 (90-173)</w:t>
            </w:r>
          </w:p>
        </w:tc>
        <w:tc>
          <w:tcPr>
            <w:tcW w:w="2165" w:type="dxa"/>
          </w:tcPr>
          <w:p w14:paraId="75DCAB73"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154 (93-193.5)</w:t>
            </w:r>
          </w:p>
        </w:tc>
        <w:tc>
          <w:tcPr>
            <w:tcW w:w="902" w:type="dxa"/>
          </w:tcPr>
          <w:p w14:paraId="2DAA5BA8"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0.054</w:t>
            </w:r>
          </w:p>
        </w:tc>
      </w:tr>
      <w:tr w:rsidR="006437FE" w:rsidRPr="006437FE" w14:paraId="2E1C3C8E" w14:textId="77777777" w:rsidTr="00634538">
        <w:tc>
          <w:tcPr>
            <w:tcW w:w="3539" w:type="dxa"/>
          </w:tcPr>
          <w:p w14:paraId="1E8003F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WBC (</w:t>
            </w:r>
            <w:r w:rsidR="00634538" w:rsidRPr="00634538">
              <w:rPr>
                <w:rFonts w:ascii="Book Antiqua" w:eastAsia="宋体" w:hAnsi="Book Antiqua" w:cs="Times New Roman"/>
              </w:rPr>
              <w:t>×</w:t>
            </w:r>
            <w:r w:rsidRPr="006437FE">
              <w:rPr>
                <w:rFonts w:ascii="Book Antiqua" w:hAnsi="Book Antiqua" w:cs="Times New Roman"/>
              </w:rPr>
              <w:t>10</w:t>
            </w:r>
            <w:r w:rsidRPr="006437FE">
              <w:rPr>
                <w:rFonts w:ascii="Book Antiqua" w:hAnsi="Book Antiqua" w:cs="Times New Roman"/>
                <w:vertAlign w:val="superscript"/>
              </w:rPr>
              <w:t>9</w:t>
            </w:r>
            <w:r w:rsidRPr="006437FE">
              <w:rPr>
                <w:rFonts w:ascii="Book Antiqua" w:hAnsi="Book Antiqua" w:cs="Times New Roman"/>
              </w:rPr>
              <w:t>/L), median (IQR)</w:t>
            </w:r>
          </w:p>
        </w:tc>
        <w:tc>
          <w:tcPr>
            <w:tcW w:w="2410" w:type="dxa"/>
          </w:tcPr>
          <w:p w14:paraId="3024EC7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7.5 (5.41-10.45)</w:t>
            </w:r>
          </w:p>
        </w:tc>
        <w:tc>
          <w:tcPr>
            <w:tcW w:w="2165" w:type="dxa"/>
          </w:tcPr>
          <w:p w14:paraId="1390E4A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7.12 (5.76-9.09)</w:t>
            </w:r>
          </w:p>
        </w:tc>
        <w:tc>
          <w:tcPr>
            <w:tcW w:w="902" w:type="dxa"/>
          </w:tcPr>
          <w:p w14:paraId="38A1B151"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0.898</w:t>
            </w:r>
          </w:p>
        </w:tc>
      </w:tr>
      <w:tr w:rsidR="006437FE" w:rsidRPr="006437FE" w14:paraId="5134D214" w14:textId="77777777" w:rsidTr="00634538">
        <w:tc>
          <w:tcPr>
            <w:tcW w:w="3539" w:type="dxa"/>
          </w:tcPr>
          <w:p w14:paraId="0C4BDC0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CRP (mg/dL), median (IQR)</w:t>
            </w:r>
          </w:p>
        </w:tc>
        <w:tc>
          <w:tcPr>
            <w:tcW w:w="2410" w:type="dxa"/>
          </w:tcPr>
          <w:p w14:paraId="55455E46"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1.53 (0.83-3.15)</w:t>
            </w:r>
          </w:p>
        </w:tc>
        <w:tc>
          <w:tcPr>
            <w:tcW w:w="2165" w:type="dxa"/>
          </w:tcPr>
          <w:p w14:paraId="613E79D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1.29 (0.72-2.24)</w:t>
            </w:r>
          </w:p>
        </w:tc>
        <w:tc>
          <w:tcPr>
            <w:tcW w:w="902" w:type="dxa"/>
          </w:tcPr>
          <w:p w14:paraId="34D457B0"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0.795</w:t>
            </w:r>
          </w:p>
        </w:tc>
      </w:tr>
      <w:tr w:rsidR="006437FE" w:rsidRPr="006437FE" w14:paraId="3DAE167F" w14:textId="77777777" w:rsidTr="00634538">
        <w:tc>
          <w:tcPr>
            <w:tcW w:w="3539" w:type="dxa"/>
          </w:tcPr>
          <w:p w14:paraId="726C2C9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Venous ammonia (</w:t>
            </w:r>
            <w:proofErr w:type="spellStart"/>
            <w:r w:rsidRPr="006437FE">
              <w:rPr>
                <w:rFonts w:ascii="Book Antiqua" w:hAnsi="Book Antiqua" w:cs="Times New Roman"/>
              </w:rPr>
              <w:t>μmol</w:t>
            </w:r>
            <w:proofErr w:type="spellEnd"/>
            <w:r w:rsidRPr="006437FE">
              <w:rPr>
                <w:rFonts w:ascii="Book Antiqua" w:hAnsi="Book Antiqua" w:cs="Times New Roman"/>
              </w:rPr>
              <w:t>/L), median (IQR)</w:t>
            </w:r>
          </w:p>
        </w:tc>
        <w:tc>
          <w:tcPr>
            <w:tcW w:w="2410" w:type="dxa"/>
          </w:tcPr>
          <w:p w14:paraId="3AF8A40F"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111 (86-158)</w:t>
            </w:r>
          </w:p>
        </w:tc>
        <w:tc>
          <w:tcPr>
            <w:tcW w:w="2165" w:type="dxa"/>
          </w:tcPr>
          <w:p w14:paraId="6FBA944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74 (60-93)</w:t>
            </w:r>
          </w:p>
        </w:tc>
        <w:tc>
          <w:tcPr>
            <w:tcW w:w="902" w:type="dxa"/>
          </w:tcPr>
          <w:p w14:paraId="63D6ACBF" w14:textId="2955A2F4"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30469E29" w14:textId="77777777" w:rsidTr="00634538">
        <w:tc>
          <w:tcPr>
            <w:tcW w:w="3539" w:type="dxa"/>
          </w:tcPr>
          <w:p w14:paraId="5AA1CA5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Venous ammonia &gt; 152.5 </w:t>
            </w:r>
            <w:proofErr w:type="spellStart"/>
            <w:r w:rsidRPr="006437FE">
              <w:rPr>
                <w:rFonts w:ascii="Book Antiqua" w:hAnsi="Book Antiqua" w:cs="Times New Roman"/>
              </w:rPr>
              <w:t>μmol</w:t>
            </w:r>
            <w:proofErr w:type="spellEnd"/>
            <w:r w:rsidRPr="006437FE">
              <w:rPr>
                <w:rFonts w:ascii="Book Antiqua" w:hAnsi="Book Antiqua" w:cs="Times New Roman"/>
              </w:rPr>
              <w:t xml:space="preserve">/L,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0BDB90DF"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96 (26.6)</w:t>
            </w:r>
          </w:p>
        </w:tc>
        <w:tc>
          <w:tcPr>
            <w:tcW w:w="2165" w:type="dxa"/>
          </w:tcPr>
          <w:p w14:paraId="01516FC4"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 (4.5)</w:t>
            </w:r>
          </w:p>
        </w:tc>
        <w:tc>
          <w:tcPr>
            <w:tcW w:w="902" w:type="dxa"/>
          </w:tcPr>
          <w:p w14:paraId="2C3960E3" w14:textId="555929F4"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4FB26F7E" w14:textId="77777777" w:rsidTr="00634538">
        <w:tc>
          <w:tcPr>
            <w:tcW w:w="3539" w:type="dxa"/>
          </w:tcPr>
          <w:p w14:paraId="202E6AF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Sodium (mmol/L), median (IQR)</w:t>
            </w:r>
          </w:p>
        </w:tc>
        <w:tc>
          <w:tcPr>
            <w:tcW w:w="2410" w:type="dxa"/>
          </w:tcPr>
          <w:p w14:paraId="2FCB572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134 (129-137)</w:t>
            </w:r>
          </w:p>
        </w:tc>
        <w:tc>
          <w:tcPr>
            <w:tcW w:w="2165" w:type="dxa"/>
          </w:tcPr>
          <w:p w14:paraId="26DBFA5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135 (131-138)</w:t>
            </w:r>
          </w:p>
        </w:tc>
        <w:tc>
          <w:tcPr>
            <w:tcW w:w="902" w:type="dxa"/>
          </w:tcPr>
          <w:p w14:paraId="60203C34" w14:textId="77777777"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0.883</w:t>
            </w:r>
          </w:p>
        </w:tc>
      </w:tr>
      <w:tr w:rsidR="006437FE" w:rsidRPr="006437FE" w14:paraId="232AC1DB" w14:textId="77777777" w:rsidTr="00634538">
        <w:tc>
          <w:tcPr>
            <w:tcW w:w="3539" w:type="dxa"/>
          </w:tcPr>
          <w:p w14:paraId="0B6C19C8"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Child-Pugh score, median (IQR)</w:t>
            </w:r>
          </w:p>
        </w:tc>
        <w:tc>
          <w:tcPr>
            <w:tcW w:w="2410" w:type="dxa"/>
          </w:tcPr>
          <w:p w14:paraId="4D25BB70"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11 (10-12)</w:t>
            </w:r>
          </w:p>
        </w:tc>
        <w:tc>
          <w:tcPr>
            <w:tcW w:w="2165" w:type="dxa"/>
          </w:tcPr>
          <w:p w14:paraId="3B9490D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9 (8-11)</w:t>
            </w:r>
          </w:p>
        </w:tc>
        <w:tc>
          <w:tcPr>
            <w:tcW w:w="902" w:type="dxa"/>
          </w:tcPr>
          <w:p w14:paraId="4D85DAE1" w14:textId="58AB6223"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54FE920B" w14:textId="77777777" w:rsidTr="00634538">
        <w:tc>
          <w:tcPr>
            <w:tcW w:w="3539" w:type="dxa"/>
          </w:tcPr>
          <w:p w14:paraId="3A5BB96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Child-Pugh class,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6BE4DC9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c>
          <w:tcPr>
            <w:tcW w:w="2165" w:type="dxa"/>
          </w:tcPr>
          <w:p w14:paraId="45EF78D4"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c>
          <w:tcPr>
            <w:tcW w:w="902" w:type="dxa"/>
          </w:tcPr>
          <w:p w14:paraId="0EFB2D1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r>
      <w:tr w:rsidR="006437FE" w:rsidRPr="006437FE" w14:paraId="422ABF8E" w14:textId="77777777" w:rsidTr="00634538">
        <w:tc>
          <w:tcPr>
            <w:tcW w:w="3539" w:type="dxa"/>
          </w:tcPr>
          <w:p w14:paraId="45358809" w14:textId="77777777" w:rsidR="006437FE" w:rsidRPr="006437FE" w:rsidRDefault="00634538" w:rsidP="005A30BF">
            <w:pPr>
              <w:autoSpaceDE w:val="0"/>
              <w:autoSpaceDN w:val="0"/>
              <w:adjustRightInd w:val="0"/>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A</w:t>
            </w:r>
          </w:p>
        </w:tc>
        <w:tc>
          <w:tcPr>
            <w:tcW w:w="2410" w:type="dxa"/>
          </w:tcPr>
          <w:p w14:paraId="31B0AB85" w14:textId="77777777" w:rsidR="006437FE"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(0.3)</w:t>
            </w:r>
          </w:p>
        </w:tc>
        <w:tc>
          <w:tcPr>
            <w:tcW w:w="2165" w:type="dxa"/>
          </w:tcPr>
          <w:p w14:paraId="61B0D685" w14:textId="77777777" w:rsidR="006437FE"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 (3)</w:t>
            </w:r>
          </w:p>
        </w:tc>
        <w:tc>
          <w:tcPr>
            <w:tcW w:w="902" w:type="dxa"/>
          </w:tcPr>
          <w:p w14:paraId="582297E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r>
      <w:tr w:rsidR="00634538" w:rsidRPr="006437FE" w14:paraId="4776F0A6" w14:textId="77777777" w:rsidTr="00634538">
        <w:tc>
          <w:tcPr>
            <w:tcW w:w="3539" w:type="dxa"/>
          </w:tcPr>
          <w:p w14:paraId="7D03725D"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2410" w:type="dxa"/>
          </w:tcPr>
          <w:p w14:paraId="08475A71"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47 (12.7)</w:t>
            </w:r>
          </w:p>
        </w:tc>
        <w:tc>
          <w:tcPr>
            <w:tcW w:w="2165" w:type="dxa"/>
          </w:tcPr>
          <w:p w14:paraId="34654FE2"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37 (55.2)</w:t>
            </w:r>
          </w:p>
        </w:tc>
        <w:tc>
          <w:tcPr>
            <w:tcW w:w="902" w:type="dxa"/>
          </w:tcPr>
          <w:p w14:paraId="2DB658BC"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2009E453" w14:textId="77777777" w:rsidTr="00634538">
        <w:tc>
          <w:tcPr>
            <w:tcW w:w="3539" w:type="dxa"/>
          </w:tcPr>
          <w:p w14:paraId="38FAEDAB"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C</w:t>
            </w:r>
          </w:p>
        </w:tc>
        <w:tc>
          <w:tcPr>
            <w:tcW w:w="2410" w:type="dxa"/>
          </w:tcPr>
          <w:p w14:paraId="0D7C790A"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322 (87)</w:t>
            </w:r>
          </w:p>
        </w:tc>
        <w:tc>
          <w:tcPr>
            <w:tcW w:w="2165" w:type="dxa"/>
          </w:tcPr>
          <w:p w14:paraId="7B3C25C8"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28 (41.8)</w:t>
            </w:r>
          </w:p>
        </w:tc>
        <w:tc>
          <w:tcPr>
            <w:tcW w:w="902" w:type="dxa"/>
          </w:tcPr>
          <w:p w14:paraId="4D826FDA"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41C06DFE" w14:textId="77777777" w:rsidTr="00634538">
        <w:tc>
          <w:tcPr>
            <w:tcW w:w="3539" w:type="dxa"/>
          </w:tcPr>
          <w:p w14:paraId="36890DBC"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lastRenderedPageBreak/>
              <w:t>MELD, mean ± SD</w:t>
            </w:r>
          </w:p>
        </w:tc>
        <w:tc>
          <w:tcPr>
            <w:tcW w:w="2410" w:type="dxa"/>
          </w:tcPr>
          <w:p w14:paraId="42E0A702"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19.74 ± 6.88</w:t>
            </w:r>
          </w:p>
        </w:tc>
        <w:tc>
          <w:tcPr>
            <w:tcW w:w="2165" w:type="dxa"/>
          </w:tcPr>
          <w:p w14:paraId="3F73DD08"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15.97 ± 5.24</w:t>
            </w:r>
          </w:p>
        </w:tc>
        <w:tc>
          <w:tcPr>
            <w:tcW w:w="902" w:type="dxa"/>
          </w:tcPr>
          <w:p w14:paraId="5AF3458F" w14:textId="41E0B327" w:rsidR="00634538" w:rsidRPr="00634538" w:rsidRDefault="00634538" w:rsidP="00634538">
            <w:pPr>
              <w:autoSpaceDE w:val="0"/>
              <w:autoSpaceDN w:val="0"/>
              <w:adjustRightInd w:val="0"/>
              <w:spacing w:line="360" w:lineRule="auto"/>
              <w:jc w:val="both"/>
              <w:rPr>
                <w:rFonts w:ascii="Book Antiqua" w:hAnsi="Book Antiqua"/>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34538" w:rsidRPr="006437FE" w14:paraId="29FA7689" w14:textId="77777777" w:rsidTr="00634538">
        <w:tc>
          <w:tcPr>
            <w:tcW w:w="3539" w:type="dxa"/>
          </w:tcPr>
          <w:p w14:paraId="0E488A7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AARC score, median (IQR)</w:t>
            </w:r>
          </w:p>
        </w:tc>
        <w:tc>
          <w:tcPr>
            <w:tcW w:w="2410" w:type="dxa"/>
          </w:tcPr>
          <w:p w14:paraId="0FF47489"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 (6-8)</w:t>
            </w:r>
          </w:p>
        </w:tc>
        <w:tc>
          <w:tcPr>
            <w:tcW w:w="2165" w:type="dxa"/>
          </w:tcPr>
          <w:p w14:paraId="302770EE"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9 (9-11)</w:t>
            </w:r>
          </w:p>
        </w:tc>
        <w:tc>
          <w:tcPr>
            <w:tcW w:w="902" w:type="dxa"/>
          </w:tcPr>
          <w:p w14:paraId="74242709" w14:textId="6445C239"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34538" w:rsidRPr="006437FE" w14:paraId="6323AFCB" w14:textId="77777777" w:rsidTr="00634538">
        <w:tc>
          <w:tcPr>
            <w:tcW w:w="3539" w:type="dxa"/>
          </w:tcPr>
          <w:p w14:paraId="08A23FC3"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ACLF,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5374D516" w14:textId="77777777" w:rsidR="00634538" w:rsidRPr="006437FE" w:rsidRDefault="00634538" w:rsidP="00634538">
            <w:pPr>
              <w:autoSpaceDE w:val="0"/>
              <w:autoSpaceDN w:val="0"/>
              <w:adjustRightInd w:val="0"/>
              <w:spacing w:line="360" w:lineRule="auto"/>
              <w:jc w:val="both"/>
              <w:rPr>
                <w:rFonts w:ascii="Book Antiqua" w:hAnsi="Book Antiqua" w:cs="Times New Roman"/>
              </w:rPr>
            </w:pPr>
          </w:p>
        </w:tc>
        <w:tc>
          <w:tcPr>
            <w:tcW w:w="2165" w:type="dxa"/>
          </w:tcPr>
          <w:p w14:paraId="441F7E24" w14:textId="77777777" w:rsidR="00634538" w:rsidRPr="006437FE" w:rsidRDefault="00634538" w:rsidP="00634538">
            <w:pPr>
              <w:autoSpaceDE w:val="0"/>
              <w:autoSpaceDN w:val="0"/>
              <w:adjustRightInd w:val="0"/>
              <w:spacing w:line="360" w:lineRule="auto"/>
              <w:jc w:val="both"/>
              <w:rPr>
                <w:rFonts w:ascii="Book Antiqua" w:hAnsi="Book Antiqua" w:cs="Times New Roman"/>
              </w:rPr>
            </w:pPr>
          </w:p>
        </w:tc>
        <w:tc>
          <w:tcPr>
            <w:tcW w:w="902" w:type="dxa"/>
          </w:tcPr>
          <w:p w14:paraId="0736FA0E" w14:textId="77777777" w:rsidR="00634538" w:rsidRPr="006437FE" w:rsidRDefault="00634538" w:rsidP="00634538">
            <w:pPr>
              <w:autoSpaceDE w:val="0"/>
              <w:autoSpaceDN w:val="0"/>
              <w:adjustRightInd w:val="0"/>
              <w:spacing w:line="360" w:lineRule="auto"/>
              <w:jc w:val="both"/>
              <w:rPr>
                <w:rFonts w:ascii="Book Antiqua" w:hAnsi="Book Antiqua" w:cs="Times New Roman"/>
              </w:rPr>
            </w:pPr>
          </w:p>
        </w:tc>
      </w:tr>
      <w:tr w:rsidR="00634538" w:rsidRPr="006437FE" w14:paraId="1DCE06B1" w14:textId="77777777" w:rsidTr="00634538">
        <w:tc>
          <w:tcPr>
            <w:tcW w:w="3539" w:type="dxa"/>
          </w:tcPr>
          <w:p w14:paraId="6B1BEE3D"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rPr>
            </w:pPr>
            <w:r w:rsidRPr="006437FE">
              <w:rPr>
                <w:rFonts w:ascii="Book Antiqua" w:hAnsi="Book Antiqua" w:cs="Times New Roman"/>
              </w:rPr>
              <w:t>Grade I</w:t>
            </w:r>
          </w:p>
        </w:tc>
        <w:tc>
          <w:tcPr>
            <w:tcW w:w="2410" w:type="dxa"/>
          </w:tcPr>
          <w:p w14:paraId="298F7ECA"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224 (59.9)</w:t>
            </w:r>
          </w:p>
        </w:tc>
        <w:tc>
          <w:tcPr>
            <w:tcW w:w="2165" w:type="dxa"/>
          </w:tcPr>
          <w:p w14:paraId="00FFE321"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72(100)</w:t>
            </w:r>
          </w:p>
        </w:tc>
        <w:tc>
          <w:tcPr>
            <w:tcW w:w="902" w:type="dxa"/>
          </w:tcPr>
          <w:p w14:paraId="73B910FF"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71D60E6D" w14:textId="77777777" w:rsidTr="00634538">
        <w:tc>
          <w:tcPr>
            <w:tcW w:w="3539" w:type="dxa"/>
          </w:tcPr>
          <w:p w14:paraId="03E383A7"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rPr>
            </w:pPr>
            <w:r w:rsidRPr="006437FE">
              <w:rPr>
                <w:rFonts w:ascii="Book Antiqua" w:hAnsi="Book Antiqua" w:cs="Times New Roman"/>
              </w:rPr>
              <w:t>Grade II</w:t>
            </w:r>
          </w:p>
        </w:tc>
        <w:tc>
          <w:tcPr>
            <w:tcW w:w="2410" w:type="dxa"/>
          </w:tcPr>
          <w:p w14:paraId="4A3E5EDB"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139 (37.2)</w:t>
            </w:r>
          </w:p>
        </w:tc>
        <w:tc>
          <w:tcPr>
            <w:tcW w:w="2165" w:type="dxa"/>
          </w:tcPr>
          <w:p w14:paraId="55C9D272" w14:textId="77777777" w:rsidR="00634538" w:rsidRPr="006437FE" w:rsidRDefault="00634538" w:rsidP="00634538">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0</w:t>
            </w:r>
          </w:p>
        </w:tc>
        <w:tc>
          <w:tcPr>
            <w:tcW w:w="902" w:type="dxa"/>
          </w:tcPr>
          <w:p w14:paraId="3A9B45EB"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5590EA1A" w14:textId="77777777" w:rsidTr="00634538">
        <w:tc>
          <w:tcPr>
            <w:tcW w:w="3539" w:type="dxa"/>
          </w:tcPr>
          <w:p w14:paraId="3BF4656F"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rPr>
            </w:pPr>
            <w:r w:rsidRPr="006437FE">
              <w:rPr>
                <w:rFonts w:ascii="Book Antiqua" w:hAnsi="Book Antiqua" w:cs="Times New Roman"/>
              </w:rPr>
              <w:t>Grade III</w:t>
            </w:r>
          </w:p>
        </w:tc>
        <w:tc>
          <w:tcPr>
            <w:tcW w:w="2410" w:type="dxa"/>
          </w:tcPr>
          <w:p w14:paraId="29E4144A"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11 (2.9)</w:t>
            </w:r>
          </w:p>
        </w:tc>
        <w:tc>
          <w:tcPr>
            <w:tcW w:w="2165" w:type="dxa"/>
          </w:tcPr>
          <w:p w14:paraId="2DEB20DE" w14:textId="77777777" w:rsidR="00634538" w:rsidRPr="006437FE" w:rsidRDefault="00634538" w:rsidP="00634538">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0</w:t>
            </w:r>
          </w:p>
        </w:tc>
        <w:tc>
          <w:tcPr>
            <w:tcW w:w="902" w:type="dxa"/>
          </w:tcPr>
          <w:p w14:paraId="3058B127"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7DC696F5" w14:textId="77777777" w:rsidTr="00634538">
        <w:tc>
          <w:tcPr>
            <w:tcW w:w="3539" w:type="dxa"/>
          </w:tcPr>
          <w:p w14:paraId="3371C57B"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Ascites,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2EB1D7F3"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337 (90.1)</w:t>
            </w:r>
          </w:p>
        </w:tc>
        <w:tc>
          <w:tcPr>
            <w:tcW w:w="2165" w:type="dxa"/>
          </w:tcPr>
          <w:p w14:paraId="77B65E10"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71 (98.6)</w:t>
            </w:r>
          </w:p>
        </w:tc>
        <w:tc>
          <w:tcPr>
            <w:tcW w:w="902" w:type="dxa"/>
          </w:tcPr>
          <w:p w14:paraId="2A439562"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0.018</w:t>
            </w:r>
          </w:p>
        </w:tc>
      </w:tr>
      <w:tr w:rsidR="00634538" w:rsidRPr="006437FE" w14:paraId="3BFD686D" w14:textId="77777777" w:rsidTr="00634538">
        <w:tc>
          <w:tcPr>
            <w:tcW w:w="3539" w:type="dxa"/>
          </w:tcPr>
          <w:p w14:paraId="469A2459"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Upper GI bleeding,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2271412D"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71 (19)</w:t>
            </w:r>
          </w:p>
        </w:tc>
        <w:tc>
          <w:tcPr>
            <w:tcW w:w="2165" w:type="dxa"/>
          </w:tcPr>
          <w:p w14:paraId="6DDE22D4"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18 (25)</w:t>
            </w:r>
          </w:p>
        </w:tc>
        <w:tc>
          <w:tcPr>
            <w:tcW w:w="902" w:type="dxa"/>
          </w:tcPr>
          <w:p w14:paraId="7DEB03CA"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0.247</w:t>
            </w:r>
          </w:p>
        </w:tc>
      </w:tr>
      <w:tr w:rsidR="00634538" w:rsidRPr="006437FE" w14:paraId="309AF676" w14:textId="77777777" w:rsidTr="00634538">
        <w:tc>
          <w:tcPr>
            <w:tcW w:w="3539" w:type="dxa"/>
          </w:tcPr>
          <w:p w14:paraId="039BE3CF"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SBP,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0E7F373F"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23 (6.1)</w:t>
            </w:r>
          </w:p>
        </w:tc>
        <w:tc>
          <w:tcPr>
            <w:tcW w:w="2165" w:type="dxa"/>
          </w:tcPr>
          <w:p w14:paraId="4177247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(1.4)</w:t>
            </w:r>
          </w:p>
        </w:tc>
        <w:tc>
          <w:tcPr>
            <w:tcW w:w="902" w:type="dxa"/>
          </w:tcPr>
          <w:p w14:paraId="12BE7BAA"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0.150</w:t>
            </w:r>
          </w:p>
        </w:tc>
      </w:tr>
      <w:tr w:rsidR="00634538" w:rsidRPr="006437FE" w14:paraId="7F0D61CD" w14:textId="77777777" w:rsidTr="00634538">
        <w:tc>
          <w:tcPr>
            <w:tcW w:w="3539" w:type="dxa"/>
          </w:tcPr>
          <w:p w14:paraId="43EDCE34"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Other infections,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150C89B8"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64 (17.1)</w:t>
            </w:r>
          </w:p>
        </w:tc>
        <w:tc>
          <w:tcPr>
            <w:tcW w:w="2165" w:type="dxa"/>
          </w:tcPr>
          <w:p w14:paraId="1D0C0FBE"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6 (8.3)</w:t>
            </w:r>
          </w:p>
        </w:tc>
        <w:tc>
          <w:tcPr>
            <w:tcW w:w="902" w:type="dxa"/>
          </w:tcPr>
          <w:p w14:paraId="72C4B2D4"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0.061</w:t>
            </w:r>
          </w:p>
        </w:tc>
      </w:tr>
      <w:tr w:rsidR="00634538" w:rsidRPr="006437FE" w14:paraId="0E5A538B" w14:textId="77777777" w:rsidTr="00634538">
        <w:tc>
          <w:tcPr>
            <w:tcW w:w="3539" w:type="dxa"/>
          </w:tcPr>
          <w:p w14:paraId="3F6E002A"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AKI,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7A092D7C"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51 (13.6)</w:t>
            </w:r>
          </w:p>
        </w:tc>
        <w:tc>
          <w:tcPr>
            <w:tcW w:w="2165" w:type="dxa"/>
          </w:tcPr>
          <w:p w14:paraId="4D22F34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(1.4)</w:t>
            </w:r>
          </w:p>
        </w:tc>
        <w:tc>
          <w:tcPr>
            <w:tcW w:w="902" w:type="dxa"/>
          </w:tcPr>
          <w:p w14:paraId="50DB7668"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0.003</w:t>
            </w:r>
          </w:p>
        </w:tc>
      </w:tr>
      <w:tr w:rsidR="00634538" w:rsidRPr="006437FE" w14:paraId="70973ACF" w14:textId="77777777" w:rsidTr="00634538">
        <w:tc>
          <w:tcPr>
            <w:tcW w:w="3539" w:type="dxa"/>
          </w:tcPr>
          <w:p w14:paraId="3A43B438"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HCC,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52658F13"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10 (2.7)</w:t>
            </w:r>
          </w:p>
        </w:tc>
        <w:tc>
          <w:tcPr>
            <w:tcW w:w="2165" w:type="dxa"/>
          </w:tcPr>
          <w:p w14:paraId="1D2EB7BA"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(1.4)</w:t>
            </w:r>
          </w:p>
        </w:tc>
        <w:tc>
          <w:tcPr>
            <w:tcW w:w="902" w:type="dxa"/>
          </w:tcPr>
          <w:p w14:paraId="244B1CA9"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0.520</w:t>
            </w:r>
          </w:p>
        </w:tc>
      </w:tr>
      <w:tr w:rsidR="00634538" w:rsidRPr="006437FE" w14:paraId="3DE1EF6D" w14:textId="77777777" w:rsidTr="00634538">
        <w:tc>
          <w:tcPr>
            <w:tcW w:w="3539" w:type="dxa"/>
          </w:tcPr>
          <w:p w14:paraId="74B818F9"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Hospital stay (d), median (IQR)</w:t>
            </w:r>
          </w:p>
        </w:tc>
        <w:tc>
          <w:tcPr>
            <w:tcW w:w="2410" w:type="dxa"/>
          </w:tcPr>
          <w:p w14:paraId="55A2F95F"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8 (6-11)</w:t>
            </w:r>
          </w:p>
        </w:tc>
        <w:tc>
          <w:tcPr>
            <w:tcW w:w="2165" w:type="dxa"/>
          </w:tcPr>
          <w:p w14:paraId="6845A786"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5 (3-10)</w:t>
            </w:r>
          </w:p>
        </w:tc>
        <w:tc>
          <w:tcPr>
            <w:tcW w:w="902" w:type="dxa"/>
          </w:tcPr>
          <w:p w14:paraId="53389CBD"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0.061</w:t>
            </w:r>
          </w:p>
        </w:tc>
      </w:tr>
      <w:tr w:rsidR="00634538" w:rsidRPr="006437FE" w14:paraId="33AB6857" w14:textId="77777777" w:rsidTr="00634538">
        <w:tc>
          <w:tcPr>
            <w:tcW w:w="3539" w:type="dxa"/>
            <w:tcBorders>
              <w:bottom w:val="single" w:sz="4" w:space="0" w:color="auto"/>
            </w:tcBorders>
          </w:tcPr>
          <w:p w14:paraId="1FAB109A"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In-hospital death rate,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Borders>
              <w:bottom w:val="single" w:sz="4" w:space="0" w:color="auto"/>
            </w:tcBorders>
          </w:tcPr>
          <w:p w14:paraId="00A89BEC"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33 (8.8)</w:t>
            </w:r>
          </w:p>
        </w:tc>
        <w:tc>
          <w:tcPr>
            <w:tcW w:w="2165" w:type="dxa"/>
            <w:tcBorders>
              <w:bottom w:val="single" w:sz="4" w:space="0" w:color="auto"/>
            </w:tcBorders>
          </w:tcPr>
          <w:p w14:paraId="5F72542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 (2.8)</w:t>
            </w:r>
          </w:p>
        </w:tc>
        <w:tc>
          <w:tcPr>
            <w:tcW w:w="902" w:type="dxa"/>
            <w:tcBorders>
              <w:bottom w:val="single" w:sz="4" w:space="0" w:color="auto"/>
            </w:tcBorders>
          </w:tcPr>
          <w:p w14:paraId="4012FE1D"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0.081</w:t>
            </w:r>
          </w:p>
        </w:tc>
      </w:tr>
    </w:tbl>
    <w:p w14:paraId="51CEA839" w14:textId="77777777" w:rsidR="003C55B1" w:rsidRDefault="00634538" w:rsidP="00634538">
      <w:pPr>
        <w:spacing w:line="360" w:lineRule="auto"/>
        <w:jc w:val="both"/>
        <w:rPr>
          <w:rFonts w:ascii="Book Antiqua" w:hAnsi="Book Antiqua"/>
        </w:rPr>
      </w:pPr>
      <w:r w:rsidRPr="00634538">
        <w:rPr>
          <w:rFonts w:ascii="Book Antiqua" w:hAnsi="Book Antiqua"/>
        </w:rPr>
        <w:t xml:space="preserve">IQR: </w:t>
      </w:r>
      <w:r>
        <w:rPr>
          <w:rFonts w:ascii="Book Antiqua" w:hAnsi="Book Antiqua"/>
        </w:rPr>
        <w:t>I</w:t>
      </w:r>
      <w:r w:rsidRPr="00634538">
        <w:rPr>
          <w:rFonts w:ascii="Book Antiqua" w:hAnsi="Book Antiqua"/>
        </w:rPr>
        <w:t xml:space="preserve">nterquartile range; SD: </w:t>
      </w:r>
      <w:r>
        <w:rPr>
          <w:rFonts w:ascii="Book Antiqua" w:hAnsi="Book Antiqua"/>
        </w:rPr>
        <w:t>S</w:t>
      </w:r>
      <w:r w:rsidRPr="00634538">
        <w:rPr>
          <w:rFonts w:ascii="Book Antiqua" w:hAnsi="Book Antiqua"/>
        </w:rPr>
        <w:t xml:space="preserve">tandard deviation; INR: </w:t>
      </w:r>
      <w:r>
        <w:rPr>
          <w:rFonts w:ascii="Book Antiqua" w:hAnsi="Book Antiqua"/>
        </w:rPr>
        <w:t>I</w:t>
      </w:r>
      <w:r w:rsidRPr="00634538">
        <w:rPr>
          <w:rFonts w:ascii="Book Antiqua" w:hAnsi="Book Antiqua"/>
        </w:rPr>
        <w:t xml:space="preserve">nternational normalized ratio; WBC: </w:t>
      </w:r>
      <w:r>
        <w:rPr>
          <w:rFonts w:ascii="Book Antiqua" w:hAnsi="Book Antiqua"/>
        </w:rPr>
        <w:t>W</w:t>
      </w:r>
      <w:r w:rsidRPr="00634538">
        <w:rPr>
          <w:rFonts w:ascii="Book Antiqua" w:hAnsi="Book Antiqua"/>
        </w:rPr>
        <w:t xml:space="preserve">hite blood cells; CRP: C-reactive protein; MELD: Model for end-stage liver disease; AARC score: APASL ACLF Research Consortium score; HE: </w:t>
      </w:r>
      <w:r>
        <w:rPr>
          <w:rFonts w:ascii="Book Antiqua" w:hAnsi="Book Antiqua"/>
        </w:rPr>
        <w:t>H</w:t>
      </w:r>
      <w:r w:rsidRPr="00634538">
        <w:rPr>
          <w:rFonts w:ascii="Book Antiqua" w:hAnsi="Book Antiqua"/>
        </w:rPr>
        <w:t xml:space="preserve">epatic encephalopathy; GI: </w:t>
      </w:r>
      <w:r>
        <w:rPr>
          <w:rFonts w:ascii="Book Antiqua" w:hAnsi="Book Antiqua"/>
        </w:rPr>
        <w:t>G</w:t>
      </w:r>
      <w:r w:rsidRPr="00634538">
        <w:rPr>
          <w:rFonts w:ascii="Book Antiqua" w:hAnsi="Book Antiqua"/>
        </w:rPr>
        <w:t xml:space="preserve">astrointestinal; AKI: </w:t>
      </w:r>
      <w:r>
        <w:rPr>
          <w:rFonts w:ascii="Book Antiqua" w:hAnsi="Book Antiqua"/>
        </w:rPr>
        <w:t>A</w:t>
      </w:r>
      <w:r w:rsidRPr="00634538">
        <w:rPr>
          <w:rFonts w:ascii="Book Antiqua" w:hAnsi="Book Antiqua"/>
        </w:rPr>
        <w:t xml:space="preserve">cute kidney injury; SBP: </w:t>
      </w:r>
      <w:r>
        <w:rPr>
          <w:rFonts w:ascii="Book Antiqua" w:hAnsi="Book Antiqua"/>
        </w:rPr>
        <w:t>S</w:t>
      </w:r>
      <w:r w:rsidRPr="00634538">
        <w:rPr>
          <w:rFonts w:ascii="Book Antiqua" w:hAnsi="Book Antiqua"/>
        </w:rPr>
        <w:t xml:space="preserve">pontaneous bacterial peritonitis; HCC: </w:t>
      </w:r>
      <w:r>
        <w:rPr>
          <w:rFonts w:ascii="Book Antiqua" w:hAnsi="Book Antiqua"/>
        </w:rPr>
        <w:t>H</w:t>
      </w:r>
      <w:r w:rsidRPr="00634538">
        <w:rPr>
          <w:rFonts w:ascii="Book Antiqua" w:hAnsi="Book Antiqua"/>
        </w:rPr>
        <w:t>epatocellular carcinoma.</w:t>
      </w:r>
    </w:p>
    <w:p w14:paraId="00186BA7" w14:textId="77777777" w:rsidR="006437FE" w:rsidRDefault="003C55B1" w:rsidP="00634538">
      <w:pPr>
        <w:spacing w:line="360" w:lineRule="auto"/>
        <w:jc w:val="both"/>
        <w:rPr>
          <w:rFonts w:ascii="Book Antiqua" w:hAnsi="Book Antiqua"/>
          <w:b/>
          <w:bCs/>
        </w:rPr>
      </w:pPr>
      <w:r>
        <w:rPr>
          <w:rFonts w:ascii="Book Antiqua" w:hAnsi="Book Antiqua"/>
        </w:rPr>
        <w:br w:type="page"/>
      </w:r>
      <w:r w:rsidRPr="003C55B1">
        <w:rPr>
          <w:rFonts w:ascii="Book Antiqua" w:hAnsi="Book Antiqua"/>
          <w:b/>
          <w:bCs/>
        </w:rPr>
        <w:lastRenderedPageBreak/>
        <w:t>Table 5 Comparison of patient characteristics based on the presence of high venous ammonia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0"/>
        <w:gridCol w:w="2165"/>
        <w:gridCol w:w="902"/>
      </w:tblGrid>
      <w:tr w:rsidR="003C55B1" w:rsidRPr="003C55B1" w14:paraId="38212794" w14:textId="77777777" w:rsidTr="00044C48">
        <w:trPr>
          <w:trHeight w:val="1200"/>
        </w:trPr>
        <w:tc>
          <w:tcPr>
            <w:tcW w:w="3539" w:type="dxa"/>
            <w:tcBorders>
              <w:top w:val="single" w:sz="4" w:space="0" w:color="auto"/>
              <w:bottom w:val="single" w:sz="4" w:space="0" w:color="auto"/>
            </w:tcBorders>
          </w:tcPr>
          <w:p w14:paraId="43E68A15"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rPr>
              <w:t>Variable</w:t>
            </w:r>
          </w:p>
        </w:tc>
        <w:tc>
          <w:tcPr>
            <w:tcW w:w="2410" w:type="dxa"/>
            <w:tcBorders>
              <w:top w:val="single" w:sz="4" w:space="0" w:color="auto"/>
              <w:bottom w:val="single" w:sz="4" w:space="0" w:color="auto"/>
            </w:tcBorders>
          </w:tcPr>
          <w:p w14:paraId="7E4C2C1B"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rPr>
              <w:t xml:space="preserve">Venous ammonia &gt; 152.5 </w:t>
            </w:r>
            <w:proofErr w:type="spellStart"/>
            <w:r w:rsidRPr="003C55B1">
              <w:rPr>
                <w:rFonts w:ascii="Book Antiqua" w:hAnsi="Book Antiqua" w:cs="Times New Roman"/>
                <w:b/>
              </w:rPr>
              <w:t>μmol</w:t>
            </w:r>
            <w:proofErr w:type="spellEnd"/>
            <w:r w:rsidRPr="003C55B1">
              <w:rPr>
                <w:rFonts w:ascii="Book Antiqua" w:hAnsi="Book Antiqua" w:cs="Times New Roman"/>
                <w:b/>
              </w:rPr>
              <w:t xml:space="preserve">/L, </w:t>
            </w:r>
            <w:r w:rsidRPr="003C55B1">
              <w:rPr>
                <w:rFonts w:ascii="Book Antiqua" w:hAnsi="Book Antiqua" w:cs="Times New Roman"/>
                <w:b/>
                <w:i/>
                <w:iCs/>
              </w:rPr>
              <w:t>n</w:t>
            </w:r>
            <w:r w:rsidRPr="003C55B1">
              <w:rPr>
                <w:rFonts w:ascii="Book Antiqua" w:hAnsi="Book Antiqua" w:cs="Times New Roman"/>
                <w:b/>
              </w:rPr>
              <w:t xml:space="preserve"> (%) 99 (23.1)</w:t>
            </w:r>
          </w:p>
        </w:tc>
        <w:tc>
          <w:tcPr>
            <w:tcW w:w="2165" w:type="dxa"/>
            <w:tcBorders>
              <w:top w:val="single" w:sz="4" w:space="0" w:color="auto"/>
              <w:bottom w:val="single" w:sz="4" w:space="0" w:color="auto"/>
            </w:tcBorders>
          </w:tcPr>
          <w:p w14:paraId="4B45058A"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rPr>
              <w:t xml:space="preserve">Venous ammonia ≤ 152.5 </w:t>
            </w:r>
            <w:proofErr w:type="spellStart"/>
            <w:r w:rsidRPr="003C55B1">
              <w:rPr>
                <w:rFonts w:ascii="Book Antiqua" w:hAnsi="Book Antiqua" w:cs="Times New Roman"/>
                <w:b/>
              </w:rPr>
              <w:t>μmol</w:t>
            </w:r>
            <w:proofErr w:type="spellEnd"/>
            <w:r w:rsidRPr="003C55B1">
              <w:rPr>
                <w:rFonts w:ascii="Book Antiqua" w:hAnsi="Book Antiqua" w:cs="Times New Roman"/>
                <w:b/>
              </w:rPr>
              <w:t xml:space="preserve">/L, </w:t>
            </w:r>
            <w:r w:rsidRPr="003C55B1">
              <w:rPr>
                <w:rFonts w:ascii="Book Antiqua" w:hAnsi="Book Antiqua" w:cs="Times New Roman"/>
                <w:b/>
                <w:i/>
                <w:iCs/>
              </w:rPr>
              <w:t>n</w:t>
            </w:r>
            <w:r w:rsidRPr="003C55B1">
              <w:rPr>
                <w:rFonts w:ascii="Book Antiqua" w:hAnsi="Book Antiqua" w:cs="Times New Roman"/>
                <w:b/>
              </w:rPr>
              <w:t xml:space="preserve"> (%) 329 (76.9)</w:t>
            </w:r>
          </w:p>
        </w:tc>
        <w:tc>
          <w:tcPr>
            <w:tcW w:w="902" w:type="dxa"/>
            <w:tcBorders>
              <w:top w:val="single" w:sz="4" w:space="0" w:color="auto"/>
              <w:bottom w:val="single" w:sz="4" w:space="0" w:color="auto"/>
            </w:tcBorders>
          </w:tcPr>
          <w:p w14:paraId="31F2512E"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i/>
                <w:iCs/>
              </w:rPr>
              <w:t xml:space="preserve">P </w:t>
            </w:r>
            <w:r>
              <w:rPr>
                <w:rFonts w:ascii="Book Antiqua" w:hAnsi="Book Antiqua" w:cs="Times New Roman"/>
                <w:b/>
              </w:rPr>
              <w:t>value</w:t>
            </w:r>
          </w:p>
        </w:tc>
      </w:tr>
      <w:tr w:rsidR="003C55B1" w:rsidRPr="003C55B1" w14:paraId="19B6F880" w14:textId="77777777" w:rsidTr="00044C48">
        <w:tc>
          <w:tcPr>
            <w:tcW w:w="3539" w:type="dxa"/>
            <w:tcBorders>
              <w:top w:val="single" w:sz="4" w:space="0" w:color="auto"/>
            </w:tcBorders>
          </w:tcPr>
          <w:p w14:paraId="6AF838B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Age, median (IQR) </w:t>
            </w:r>
          </w:p>
        </w:tc>
        <w:tc>
          <w:tcPr>
            <w:tcW w:w="2410" w:type="dxa"/>
            <w:tcBorders>
              <w:top w:val="single" w:sz="4" w:space="0" w:color="auto"/>
            </w:tcBorders>
          </w:tcPr>
          <w:p w14:paraId="4FA5EB6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57 (48-65)</w:t>
            </w:r>
          </w:p>
        </w:tc>
        <w:tc>
          <w:tcPr>
            <w:tcW w:w="2165" w:type="dxa"/>
            <w:tcBorders>
              <w:top w:val="single" w:sz="4" w:space="0" w:color="auto"/>
            </w:tcBorders>
          </w:tcPr>
          <w:p w14:paraId="2B43A29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60 (50-65)</w:t>
            </w:r>
          </w:p>
        </w:tc>
        <w:tc>
          <w:tcPr>
            <w:tcW w:w="902" w:type="dxa"/>
            <w:tcBorders>
              <w:top w:val="single" w:sz="4" w:space="0" w:color="auto"/>
            </w:tcBorders>
          </w:tcPr>
          <w:p w14:paraId="5CC2014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0.481</w:t>
            </w:r>
          </w:p>
        </w:tc>
      </w:tr>
      <w:tr w:rsidR="003C55B1" w:rsidRPr="003C55B1" w14:paraId="67ABA858" w14:textId="77777777" w:rsidTr="00044C48">
        <w:tc>
          <w:tcPr>
            <w:tcW w:w="3539" w:type="dxa"/>
          </w:tcPr>
          <w:p w14:paraId="1B6810D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Male sex,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025A760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58 (58.6)</w:t>
            </w:r>
          </w:p>
        </w:tc>
        <w:tc>
          <w:tcPr>
            <w:tcW w:w="2165" w:type="dxa"/>
          </w:tcPr>
          <w:p w14:paraId="636F8CD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190 (57.8)</w:t>
            </w:r>
          </w:p>
        </w:tc>
        <w:tc>
          <w:tcPr>
            <w:tcW w:w="902" w:type="dxa"/>
          </w:tcPr>
          <w:p w14:paraId="4979FB5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0.883</w:t>
            </w:r>
          </w:p>
        </w:tc>
      </w:tr>
      <w:tr w:rsidR="003C55B1" w:rsidRPr="003C55B1" w14:paraId="3B0EAD06" w14:textId="77777777" w:rsidTr="00044C48">
        <w:tc>
          <w:tcPr>
            <w:tcW w:w="3539" w:type="dxa"/>
          </w:tcPr>
          <w:p w14:paraId="3F66283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Albumin (g/dL), mean ± SD</w:t>
            </w:r>
          </w:p>
        </w:tc>
        <w:tc>
          <w:tcPr>
            <w:tcW w:w="2410" w:type="dxa"/>
          </w:tcPr>
          <w:p w14:paraId="4D217D3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2.33 ± 0.54</w:t>
            </w:r>
          </w:p>
        </w:tc>
        <w:tc>
          <w:tcPr>
            <w:tcW w:w="2165" w:type="dxa"/>
          </w:tcPr>
          <w:p w14:paraId="18CD08B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2.38 ± 0.59</w:t>
            </w:r>
          </w:p>
        </w:tc>
        <w:tc>
          <w:tcPr>
            <w:tcW w:w="902" w:type="dxa"/>
          </w:tcPr>
          <w:p w14:paraId="0CD3F94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0.452</w:t>
            </w:r>
          </w:p>
        </w:tc>
      </w:tr>
      <w:tr w:rsidR="003C55B1" w:rsidRPr="003C55B1" w14:paraId="5564C0E6" w14:textId="77777777" w:rsidTr="00044C48">
        <w:tc>
          <w:tcPr>
            <w:tcW w:w="3539" w:type="dxa"/>
          </w:tcPr>
          <w:p w14:paraId="3D109AAB"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Bilirubin (mg/dL), median (IQR)</w:t>
            </w:r>
          </w:p>
        </w:tc>
        <w:tc>
          <w:tcPr>
            <w:tcW w:w="2410" w:type="dxa"/>
          </w:tcPr>
          <w:p w14:paraId="410A63A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2.7 (1.48-5)</w:t>
            </w:r>
          </w:p>
        </w:tc>
        <w:tc>
          <w:tcPr>
            <w:tcW w:w="2165" w:type="dxa"/>
          </w:tcPr>
          <w:p w14:paraId="469D7C6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2.33 (1.37-4.7)</w:t>
            </w:r>
          </w:p>
        </w:tc>
        <w:tc>
          <w:tcPr>
            <w:tcW w:w="902" w:type="dxa"/>
          </w:tcPr>
          <w:p w14:paraId="22BA0529"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0.230</w:t>
            </w:r>
          </w:p>
        </w:tc>
      </w:tr>
      <w:tr w:rsidR="003C55B1" w:rsidRPr="003C55B1" w14:paraId="62EE9693" w14:textId="77777777" w:rsidTr="00044C48">
        <w:tc>
          <w:tcPr>
            <w:tcW w:w="3539" w:type="dxa"/>
          </w:tcPr>
          <w:p w14:paraId="15490A9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INR, median (IQR)</w:t>
            </w:r>
          </w:p>
        </w:tc>
        <w:tc>
          <w:tcPr>
            <w:tcW w:w="2410" w:type="dxa"/>
          </w:tcPr>
          <w:p w14:paraId="2E278D2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1.5 (1.31-1.83)</w:t>
            </w:r>
          </w:p>
        </w:tc>
        <w:tc>
          <w:tcPr>
            <w:tcW w:w="2165" w:type="dxa"/>
          </w:tcPr>
          <w:p w14:paraId="3E5E222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1.46 (1.27-1.72)</w:t>
            </w:r>
          </w:p>
        </w:tc>
        <w:tc>
          <w:tcPr>
            <w:tcW w:w="902" w:type="dxa"/>
          </w:tcPr>
          <w:p w14:paraId="3C4FF81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0.584</w:t>
            </w:r>
          </w:p>
        </w:tc>
      </w:tr>
      <w:tr w:rsidR="003C55B1" w:rsidRPr="003C55B1" w14:paraId="5AA1EF83" w14:textId="77777777" w:rsidTr="00044C48">
        <w:tc>
          <w:tcPr>
            <w:tcW w:w="3539" w:type="dxa"/>
          </w:tcPr>
          <w:p w14:paraId="7613730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Creatinine (mg/dL), median (IQR)</w:t>
            </w:r>
          </w:p>
        </w:tc>
        <w:tc>
          <w:tcPr>
            <w:tcW w:w="2410" w:type="dxa"/>
          </w:tcPr>
          <w:p w14:paraId="63307D0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0.85 (0.63-1.54)</w:t>
            </w:r>
          </w:p>
        </w:tc>
        <w:tc>
          <w:tcPr>
            <w:tcW w:w="2165" w:type="dxa"/>
          </w:tcPr>
          <w:p w14:paraId="563A4DD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0.81 (0.63-1.18)</w:t>
            </w:r>
          </w:p>
        </w:tc>
        <w:tc>
          <w:tcPr>
            <w:tcW w:w="902" w:type="dxa"/>
          </w:tcPr>
          <w:p w14:paraId="15C8FD1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0.397</w:t>
            </w:r>
          </w:p>
        </w:tc>
      </w:tr>
      <w:tr w:rsidR="003C55B1" w:rsidRPr="003C55B1" w14:paraId="3B14DD4E" w14:textId="77777777" w:rsidTr="00044C48">
        <w:tc>
          <w:tcPr>
            <w:tcW w:w="3539" w:type="dxa"/>
          </w:tcPr>
          <w:p w14:paraId="116E491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Platelets (</w:t>
            </w:r>
            <w:r w:rsidRPr="003C55B1">
              <w:rPr>
                <w:rFonts w:ascii="Book Antiqua" w:eastAsia="宋体" w:hAnsi="Book Antiqua" w:cs="Times New Roman"/>
              </w:rPr>
              <w:t>×</w:t>
            </w:r>
            <w:r w:rsidRPr="003C55B1">
              <w:rPr>
                <w:rFonts w:ascii="Book Antiqua" w:hAnsi="Book Antiqua" w:cs="Times New Roman"/>
              </w:rPr>
              <w:t xml:space="preserve"> 10</w:t>
            </w:r>
            <w:r w:rsidRPr="003C55B1">
              <w:rPr>
                <w:rFonts w:ascii="Book Antiqua" w:hAnsi="Book Antiqua" w:cs="Times New Roman"/>
                <w:vertAlign w:val="superscript"/>
              </w:rPr>
              <w:t>9</w:t>
            </w:r>
            <w:r w:rsidRPr="003C55B1">
              <w:rPr>
                <w:rFonts w:ascii="Book Antiqua" w:hAnsi="Book Antiqua" w:cs="Times New Roman"/>
              </w:rPr>
              <w:t>/L), median (IQR)</w:t>
            </w:r>
          </w:p>
        </w:tc>
        <w:tc>
          <w:tcPr>
            <w:tcW w:w="2410" w:type="dxa"/>
          </w:tcPr>
          <w:p w14:paraId="4EF78CD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121 (73-173)</w:t>
            </w:r>
          </w:p>
        </w:tc>
        <w:tc>
          <w:tcPr>
            <w:tcW w:w="2165" w:type="dxa"/>
          </w:tcPr>
          <w:p w14:paraId="09E1F90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134 (93-182)</w:t>
            </w:r>
          </w:p>
        </w:tc>
        <w:tc>
          <w:tcPr>
            <w:tcW w:w="902" w:type="dxa"/>
          </w:tcPr>
          <w:p w14:paraId="3D1A755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0.134</w:t>
            </w:r>
          </w:p>
        </w:tc>
      </w:tr>
      <w:tr w:rsidR="003C55B1" w:rsidRPr="003C55B1" w14:paraId="6CD03AA1" w14:textId="77777777" w:rsidTr="00044C48">
        <w:tc>
          <w:tcPr>
            <w:tcW w:w="3539" w:type="dxa"/>
          </w:tcPr>
          <w:p w14:paraId="2A7ACA7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WBC (</w:t>
            </w:r>
            <w:r w:rsidRPr="003C55B1">
              <w:rPr>
                <w:rFonts w:ascii="Book Antiqua" w:eastAsia="宋体" w:hAnsi="Book Antiqua" w:cs="Times New Roman"/>
              </w:rPr>
              <w:t>×</w:t>
            </w:r>
            <w:r w:rsidRPr="003C55B1">
              <w:rPr>
                <w:rFonts w:ascii="Book Antiqua" w:hAnsi="Book Antiqua" w:cs="Times New Roman"/>
              </w:rPr>
              <w:t xml:space="preserve"> 10</w:t>
            </w:r>
            <w:r w:rsidRPr="003C55B1">
              <w:rPr>
                <w:rFonts w:ascii="Book Antiqua" w:hAnsi="Book Antiqua" w:cs="Times New Roman"/>
                <w:vertAlign w:val="superscript"/>
              </w:rPr>
              <w:t>9</w:t>
            </w:r>
            <w:r w:rsidRPr="003C55B1">
              <w:rPr>
                <w:rFonts w:ascii="Book Antiqua" w:hAnsi="Book Antiqua" w:cs="Times New Roman"/>
              </w:rPr>
              <w:t>/L), median (IQR)</w:t>
            </w:r>
          </w:p>
        </w:tc>
        <w:tc>
          <w:tcPr>
            <w:tcW w:w="2410" w:type="dxa"/>
          </w:tcPr>
          <w:p w14:paraId="43B6C60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8.39 (5.251-11.02)</w:t>
            </w:r>
          </w:p>
        </w:tc>
        <w:tc>
          <w:tcPr>
            <w:tcW w:w="2165" w:type="dxa"/>
          </w:tcPr>
          <w:p w14:paraId="55D798E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7.26 (5.47-9.92)</w:t>
            </w:r>
          </w:p>
        </w:tc>
        <w:tc>
          <w:tcPr>
            <w:tcW w:w="902" w:type="dxa"/>
          </w:tcPr>
          <w:p w14:paraId="4B112BF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0.359</w:t>
            </w:r>
          </w:p>
        </w:tc>
      </w:tr>
      <w:tr w:rsidR="003C55B1" w:rsidRPr="003C55B1" w14:paraId="1A2922E9" w14:textId="77777777" w:rsidTr="00044C48">
        <w:tc>
          <w:tcPr>
            <w:tcW w:w="3539" w:type="dxa"/>
          </w:tcPr>
          <w:p w14:paraId="0B66308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CRP (mg/dL), median (IQR)</w:t>
            </w:r>
          </w:p>
        </w:tc>
        <w:tc>
          <w:tcPr>
            <w:tcW w:w="2410" w:type="dxa"/>
          </w:tcPr>
          <w:p w14:paraId="6A6025D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1.4 (0.84-4.16)</w:t>
            </w:r>
          </w:p>
        </w:tc>
        <w:tc>
          <w:tcPr>
            <w:tcW w:w="2165" w:type="dxa"/>
          </w:tcPr>
          <w:p w14:paraId="0599C7C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1.5 (0.8-2.98)</w:t>
            </w:r>
          </w:p>
        </w:tc>
        <w:tc>
          <w:tcPr>
            <w:tcW w:w="902" w:type="dxa"/>
          </w:tcPr>
          <w:p w14:paraId="77913EF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0.682</w:t>
            </w:r>
          </w:p>
        </w:tc>
      </w:tr>
      <w:tr w:rsidR="003C55B1" w:rsidRPr="003C55B1" w14:paraId="294CCEE9" w14:textId="77777777" w:rsidTr="00044C48">
        <w:tc>
          <w:tcPr>
            <w:tcW w:w="3539" w:type="dxa"/>
          </w:tcPr>
          <w:p w14:paraId="372CF95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HE,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53658CD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265 (80.5)</w:t>
            </w:r>
          </w:p>
        </w:tc>
        <w:tc>
          <w:tcPr>
            <w:tcW w:w="2165" w:type="dxa"/>
          </w:tcPr>
          <w:p w14:paraId="79D9DE7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96 (97)</w:t>
            </w:r>
          </w:p>
        </w:tc>
        <w:tc>
          <w:tcPr>
            <w:tcW w:w="902" w:type="dxa"/>
          </w:tcPr>
          <w:p w14:paraId="36384F73" w14:textId="5A59777B"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&lt;</w:t>
            </w:r>
            <w:r w:rsidR="00630B37">
              <w:rPr>
                <w:rFonts w:ascii="Book Antiqua" w:hAnsi="Book Antiqua" w:cs="Times New Roman"/>
                <w:bCs/>
              </w:rPr>
              <w:t xml:space="preserve"> </w:t>
            </w:r>
            <w:r w:rsidRPr="003C55B1">
              <w:rPr>
                <w:rFonts w:ascii="Book Antiqua" w:hAnsi="Book Antiqua" w:cs="Times New Roman"/>
                <w:bCs/>
              </w:rPr>
              <w:t>0.001</w:t>
            </w:r>
          </w:p>
        </w:tc>
      </w:tr>
      <w:tr w:rsidR="003C55B1" w:rsidRPr="003C55B1" w14:paraId="3B2A23DE" w14:textId="77777777" w:rsidTr="00044C48">
        <w:tc>
          <w:tcPr>
            <w:tcW w:w="3539" w:type="dxa"/>
          </w:tcPr>
          <w:p w14:paraId="02AA9C3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HE </w:t>
            </w:r>
            <w:proofErr w:type="gramStart"/>
            <w:r w:rsidRPr="003C55B1">
              <w:rPr>
                <w:rFonts w:ascii="Book Antiqua" w:hAnsi="Book Antiqua" w:cs="Times New Roman"/>
              </w:rPr>
              <w:t>grade</w:t>
            </w:r>
            <w:proofErr w:type="gramEnd"/>
            <w:r w:rsidRPr="003C55B1">
              <w:rPr>
                <w:rFonts w:ascii="Book Antiqua" w:hAnsi="Book Antiqua" w:cs="Times New Roman"/>
              </w:rPr>
              <w:t xml:space="preserve"> III or IV,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663775BE"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55 (20.8)</w:t>
            </w:r>
          </w:p>
        </w:tc>
        <w:tc>
          <w:tcPr>
            <w:tcW w:w="2165" w:type="dxa"/>
          </w:tcPr>
          <w:p w14:paraId="78ACE7B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49 (51)</w:t>
            </w:r>
          </w:p>
        </w:tc>
        <w:tc>
          <w:tcPr>
            <w:tcW w:w="902" w:type="dxa"/>
          </w:tcPr>
          <w:p w14:paraId="1C426BB1" w14:textId="35498506"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&lt;</w:t>
            </w:r>
            <w:r w:rsidR="00630B37">
              <w:rPr>
                <w:rFonts w:ascii="Book Antiqua" w:hAnsi="Book Antiqua" w:cs="Times New Roman"/>
                <w:bCs/>
              </w:rPr>
              <w:t xml:space="preserve"> </w:t>
            </w:r>
            <w:r w:rsidRPr="003C55B1">
              <w:rPr>
                <w:rFonts w:ascii="Book Antiqua" w:hAnsi="Book Antiqua" w:cs="Times New Roman"/>
                <w:bCs/>
              </w:rPr>
              <w:t>0.001</w:t>
            </w:r>
          </w:p>
        </w:tc>
      </w:tr>
      <w:tr w:rsidR="003C55B1" w:rsidRPr="003C55B1" w14:paraId="46E7B763" w14:textId="77777777" w:rsidTr="00044C48">
        <w:tc>
          <w:tcPr>
            <w:tcW w:w="3539" w:type="dxa"/>
          </w:tcPr>
          <w:p w14:paraId="5AAEC8D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Sodium (mmol/L), median (IQR)</w:t>
            </w:r>
          </w:p>
        </w:tc>
        <w:tc>
          <w:tcPr>
            <w:tcW w:w="2410" w:type="dxa"/>
          </w:tcPr>
          <w:p w14:paraId="7E5B23E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134 (131-137)</w:t>
            </w:r>
          </w:p>
        </w:tc>
        <w:tc>
          <w:tcPr>
            <w:tcW w:w="2165" w:type="dxa"/>
          </w:tcPr>
          <w:p w14:paraId="097E8D8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134 (129-137)</w:t>
            </w:r>
          </w:p>
        </w:tc>
        <w:tc>
          <w:tcPr>
            <w:tcW w:w="902" w:type="dxa"/>
          </w:tcPr>
          <w:p w14:paraId="57071CC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0.970</w:t>
            </w:r>
          </w:p>
        </w:tc>
      </w:tr>
      <w:tr w:rsidR="003C55B1" w:rsidRPr="003C55B1" w14:paraId="3743CE84" w14:textId="77777777" w:rsidTr="00044C48">
        <w:tc>
          <w:tcPr>
            <w:tcW w:w="3539" w:type="dxa"/>
          </w:tcPr>
          <w:p w14:paraId="42733A8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Child-Pugh score, median (IQR)</w:t>
            </w:r>
          </w:p>
        </w:tc>
        <w:tc>
          <w:tcPr>
            <w:tcW w:w="2410" w:type="dxa"/>
          </w:tcPr>
          <w:p w14:paraId="59999759"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11 (10-12)</w:t>
            </w:r>
          </w:p>
        </w:tc>
        <w:tc>
          <w:tcPr>
            <w:tcW w:w="2165" w:type="dxa"/>
          </w:tcPr>
          <w:p w14:paraId="74501BA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11 (10-12)</w:t>
            </w:r>
          </w:p>
        </w:tc>
        <w:tc>
          <w:tcPr>
            <w:tcW w:w="902" w:type="dxa"/>
          </w:tcPr>
          <w:p w14:paraId="4041CC3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0.173</w:t>
            </w:r>
          </w:p>
        </w:tc>
      </w:tr>
      <w:tr w:rsidR="003C55B1" w:rsidRPr="003C55B1" w14:paraId="4C38CCE9" w14:textId="77777777" w:rsidTr="00044C48">
        <w:tc>
          <w:tcPr>
            <w:tcW w:w="3539" w:type="dxa"/>
          </w:tcPr>
          <w:p w14:paraId="3F567FC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Child-Pugh class,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74720A9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2165" w:type="dxa"/>
          </w:tcPr>
          <w:p w14:paraId="560CBC8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902" w:type="dxa"/>
          </w:tcPr>
          <w:p w14:paraId="41AAB04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r>
      <w:tr w:rsidR="003C55B1" w:rsidRPr="003C55B1" w14:paraId="204ED1AC" w14:textId="77777777" w:rsidTr="00044C48">
        <w:tc>
          <w:tcPr>
            <w:tcW w:w="3539" w:type="dxa"/>
          </w:tcPr>
          <w:p w14:paraId="3A19E6EE"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A</w:t>
            </w:r>
          </w:p>
        </w:tc>
        <w:tc>
          <w:tcPr>
            <w:tcW w:w="2410" w:type="dxa"/>
          </w:tcPr>
          <w:p w14:paraId="0EBCFB9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 (1)</w:t>
            </w:r>
          </w:p>
        </w:tc>
        <w:tc>
          <w:tcPr>
            <w:tcW w:w="2165" w:type="dxa"/>
          </w:tcPr>
          <w:p w14:paraId="030CECD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 (0.6)</w:t>
            </w:r>
          </w:p>
        </w:tc>
        <w:tc>
          <w:tcPr>
            <w:tcW w:w="902" w:type="dxa"/>
          </w:tcPr>
          <w:p w14:paraId="21E66F76" w14:textId="77777777" w:rsidR="003C55B1" w:rsidRPr="003C55B1" w:rsidRDefault="003C55B1" w:rsidP="00044C48">
            <w:pPr>
              <w:autoSpaceDE w:val="0"/>
              <w:autoSpaceDN w:val="0"/>
              <w:adjustRightInd w:val="0"/>
              <w:spacing w:line="360" w:lineRule="auto"/>
              <w:jc w:val="both"/>
              <w:rPr>
                <w:rFonts w:ascii="Book Antiqua" w:hAnsi="Book Antiqua" w:cs="Times New Roman"/>
                <w:b/>
              </w:rPr>
            </w:pPr>
          </w:p>
        </w:tc>
      </w:tr>
      <w:tr w:rsidR="003C55B1" w:rsidRPr="003C55B1" w14:paraId="07178865" w14:textId="77777777" w:rsidTr="00044C48">
        <w:tc>
          <w:tcPr>
            <w:tcW w:w="3539" w:type="dxa"/>
          </w:tcPr>
          <w:p w14:paraId="0ACE68C3"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2410" w:type="dxa"/>
          </w:tcPr>
          <w:p w14:paraId="2B95B9F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12 (12.4)</w:t>
            </w:r>
          </w:p>
        </w:tc>
        <w:tc>
          <w:tcPr>
            <w:tcW w:w="2165" w:type="dxa"/>
          </w:tcPr>
          <w:p w14:paraId="2A0AEF6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70 (21.4)</w:t>
            </w:r>
          </w:p>
        </w:tc>
        <w:tc>
          <w:tcPr>
            <w:tcW w:w="902" w:type="dxa"/>
          </w:tcPr>
          <w:p w14:paraId="008EF347" w14:textId="77777777" w:rsidR="003C55B1" w:rsidRPr="003C55B1" w:rsidRDefault="003C55B1" w:rsidP="00044C48">
            <w:pPr>
              <w:autoSpaceDE w:val="0"/>
              <w:autoSpaceDN w:val="0"/>
              <w:adjustRightInd w:val="0"/>
              <w:spacing w:line="360" w:lineRule="auto"/>
              <w:jc w:val="both"/>
              <w:rPr>
                <w:rFonts w:ascii="Book Antiqua" w:hAnsi="Book Antiqua"/>
                <w:b/>
              </w:rPr>
            </w:pPr>
          </w:p>
        </w:tc>
      </w:tr>
      <w:tr w:rsidR="003C55B1" w:rsidRPr="003C55B1" w14:paraId="03F95D44" w14:textId="77777777" w:rsidTr="00044C48">
        <w:tc>
          <w:tcPr>
            <w:tcW w:w="3539" w:type="dxa"/>
          </w:tcPr>
          <w:p w14:paraId="2CD83481"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C</w:t>
            </w:r>
          </w:p>
        </w:tc>
        <w:tc>
          <w:tcPr>
            <w:tcW w:w="2410" w:type="dxa"/>
          </w:tcPr>
          <w:p w14:paraId="7D630579"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84 (86.6)</w:t>
            </w:r>
          </w:p>
        </w:tc>
        <w:tc>
          <w:tcPr>
            <w:tcW w:w="2165" w:type="dxa"/>
          </w:tcPr>
          <w:p w14:paraId="5AD5FBE3"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255 (78)</w:t>
            </w:r>
          </w:p>
        </w:tc>
        <w:tc>
          <w:tcPr>
            <w:tcW w:w="902" w:type="dxa"/>
          </w:tcPr>
          <w:p w14:paraId="5E2D1E89" w14:textId="77777777" w:rsidR="003C55B1" w:rsidRPr="003C55B1" w:rsidRDefault="003C55B1" w:rsidP="00044C48">
            <w:pPr>
              <w:autoSpaceDE w:val="0"/>
              <w:autoSpaceDN w:val="0"/>
              <w:adjustRightInd w:val="0"/>
              <w:spacing w:line="360" w:lineRule="auto"/>
              <w:jc w:val="both"/>
              <w:rPr>
                <w:rFonts w:ascii="Book Antiqua" w:hAnsi="Book Antiqua"/>
                <w:b/>
              </w:rPr>
            </w:pPr>
          </w:p>
        </w:tc>
      </w:tr>
      <w:tr w:rsidR="003C55B1" w:rsidRPr="003C55B1" w14:paraId="1F363843" w14:textId="77777777" w:rsidTr="00044C48">
        <w:tc>
          <w:tcPr>
            <w:tcW w:w="3539" w:type="dxa"/>
          </w:tcPr>
          <w:p w14:paraId="107BB7F9"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lastRenderedPageBreak/>
              <w:t>MELD, mean ± SD</w:t>
            </w:r>
          </w:p>
        </w:tc>
        <w:tc>
          <w:tcPr>
            <w:tcW w:w="2410" w:type="dxa"/>
          </w:tcPr>
          <w:p w14:paraId="754D7CC2"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20.76 ± 7.72</w:t>
            </w:r>
          </w:p>
        </w:tc>
        <w:tc>
          <w:tcPr>
            <w:tcW w:w="2165" w:type="dxa"/>
          </w:tcPr>
          <w:p w14:paraId="38B80C3F"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18.61 ± 6.34</w:t>
            </w:r>
          </w:p>
        </w:tc>
        <w:tc>
          <w:tcPr>
            <w:tcW w:w="902" w:type="dxa"/>
          </w:tcPr>
          <w:p w14:paraId="07BAAAC7" w14:textId="77777777" w:rsidR="003C55B1" w:rsidRPr="003C55B1" w:rsidRDefault="003C55B1" w:rsidP="00044C48">
            <w:pPr>
              <w:autoSpaceDE w:val="0"/>
              <w:autoSpaceDN w:val="0"/>
              <w:adjustRightInd w:val="0"/>
              <w:spacing w:line="360" w:lineRule="auto"/>
              <w:jc w:val="both"/>
              <w:rPr>
                <w:rFonts w:ascii="Book Antiqua" w:hAnsi="Book Antiqua"/>
                <w:bCs/>
              </w:rPr>
            </w:pPr>
            <w:r w:rsidRPr="003C55B1">
              <w:rPr>
                <w:rFonts w:ascii="Book Antiqua" w:hAnsi="Book Antiqua" w:cs="Times New Roman"/>
                <w:bCs/>
              </w:rPr>
              <w:t>0.013</w:t>
            </w:r>
          </w:p>
        </w:tc>
      </w:tr>
      <w:tr w:rsidR="003C55B1" w:rsidRPr="003C55B1" w14:paraId="3E13CC88" w14:textId="77777777" w:rsidTr="00044C48">
        <w:tc>
          <w:tcPr>
            <w:tcW w:w="3539" w:type="dxa"/>
          </w:tcPr>
          <w:p w14:paraId="7E191D0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AARC score, median (IQR)</w:t>
            </w:r>
          </w:p>
        </w:tc>
        <w:tc>
          <w:tcPr>
            <w:tcW w:w="2410" w:type="dxa"/>
          </w:tcPr>
          <w:p w14:paraId="247AB82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7 (6-8)</w:t>
            </w:r>
          </w:p>
        </w:tc>
        <w:tc>
          <w:tcPr>
            <w:tcW w:w="2165" w:type="dxa"/>
          </w:tcPr>
          <w:p w14:paraId="12F8B0A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9 (9-11)</w:t>
            </w:r>
          </w:p>
        </w:tc>
        <w:tc>
          <w:tcPr>
            <w:tcW w:w="902" w:type="dxa"/>
          </w:tcPr>
          <w:p w14:paraId="699CC3E3" w14:textId="6080FAC3"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&lt;</w:t>
            </w:r>
            <w:r w:rsidR="00630B37">
              <w:rPr>
                <w:rFonts w:ascii="Book Antiqua" w:hAnsi="Book Antiqua" w:cs="Times New Roman"/>
                <w:bCs/>
              </w:rPr>
              <w:t xml:space="preserve"> </w:t>
            </w:r>
            <w:r w:rsidRPr="003C55B1">
              <w:rPr>
                <w:rFonts w:ascii="Book Antiqua" w:hAnsi="Book Antiqua" w:cs="Times New Roman"/>
                <w:bCs/>
              </w:rPr>
              <w:t>0.001</w:t>
            </w:r>
          </w:p>
        </w:tc>
      </w:tr>
      <w:tr w:rsidR="003C55B1" w:rsidRPr="003C55B1" w14:paraId="039EDAF5" w14:textId="77777777" w:rsidTr="00044C48">
        <w:tc>
          <w:tcPr>
            <w:tcW w:w="3539" w:type="dxa"/>
          </w:tcPr>
          <w:p w14:paraId="189A5AEB"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ACLF,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749EB73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2165" w:type="dxa"/>
          </w:tcPr>
          <w:p w14:paraId="07E7D4F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902" w:type="dxa"/>
          </w:tcPr>
          <w:p w14:paraId="63E281EA" w14:textId="77777777" w:rsidR="003C55B1" w:rsidRPr="003C55B1" w:rsidRDefault="003C55B1" w:rsidP="00044C48">
            <w:pPr>
              <w:autoSpaceDE w:val="0"/>
              <w:autoSpaceDN w:val="0"/>
              <w:adjustRightInd w:val="0"/>
              <w:spacing w:line="360" w:lineRule="auto"/>
              <w:jc w:val="both"/>
              <w:rPr>
                <w:rFonts w:ascii="Book Antiqua" w:hAnsi="Book Antiqua" w:cs="Times New Roman"/>
                <w:bCs/>
              </w:rPr>
            </w:pPr>
          </w:p>
        </w:tc>
      </w:tr>
      <w:tr w:rsidR="003C55B1" w:rsidRPr="003C55B1" w14:paraId="60A02943" w14:textId="77777777" w:rsidTr="00044C48">
        <w:tc>
          <w:tcPr>
            <w:tcW w:w="3539" w:type="dxa"/>
          </w:tcPr>
          <w:p w14:paraId="0042A088"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rPr>
            </w:pPr>
            <w:r w:rsidRPr="003C55B1">
              <w:rPr>
                <w:rFonts w:ascii="Book Antiqua" w:hAnsi="Book Antiqua" w:cs="Times New Roman"/>
              </w:rPr>
              <w:t>Grade I</w:t>
            </w:r>
          </w:p>
        </w:tc>
        <w:tc>
          <w:tcPr>
            <w:tcW w:w="2410" w:type="dxa"/>
          </w:tcPr>
          <w:p w14:paraId="1715256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47 (47.5)</w:t>
            </w:r>
          </w:p>
        </w:tc>
        <w:tc>
          <w:tcPr>
            <w:tcW w:w="2165" w:type="dxa"/>
          </w:tcPr>
          <w:p w14:paraId="21478E8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238 (72.3)</w:t>
            </w:r>
          </w:p>
        </w:tc>
        <w:tc>
          <w:tcPr>
            <w:tcW w:w="902" w:type="dxa"/>
          </w:tcPr>
          <w:p w14:paraId="51345B52" w14:textId="77777777" w:rsidR="003C55B1" w:rsidRPr="003C55B1" w:rsidRDefault="003C55B1" w:rsidP="00044C48">
            <w:pPr>
              <w:autoSpaceDE w:val="0"/>
              <w:autoSpaceDN w:val="0"/>
              <w:adjustRightInd w:val="0"/>
              <w:spacing w:line="360" w:lineRule="auto"/>
              <w:jc w:val="both"/>
              <w:rPr>
                <w:rFonts w:ascii="Book Antiqua" w:hAnsi="Book Antiqua"/>
                <w:bCs/>
              </w:rPr>
            </w:pPr>
          </w:p>
        </w:tc>
      </w:tr>
      <w:tr w:rsidR="003C55B1" w:rsidRPr="003C55B1" w14:paraId="675864C0" w14:textId="77777777" w:rsidTr="00044C48">
        <w:tc>
          <w:tcPr>
            <w:tcW w:w="3539" w:type="dxa"/>
          </w:tcPr>
          <w:p w14:paraId="7B5BCC53"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rPr>
            </w:pPr>
            <w:r w:rsidRPr="003C55B1">
              <w:rPr>
                <w:rFonts w:ascii="Book Antiqua" w:hAnsi="Book Antiqua" w:cs="Times New Roman"/>
              </w:rPr>
              <w:t>Grade II</w:t>
            </w:r>
          </w:p>
        </w:tc>
        <w:tc>
          <w:tcPr>
            <w:tcW w:w="2410" w:type="dxa"/>
          </w:tcPr>
          <w:p w14:paraId="0BBA75F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46 (46.5)</w:t>
            </w:r>
          </w:p>
        </w:tc>
        <w:tc>
          <w:tcPr>
            <w:tcW w:w="2165" w:type="dxa"/>
          </w:tcPr>
          <w:p w14:paraId="0B4BD76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87 (26.4)</w:t>
            </w:r>
          </w:p>
        </w:tc>
        <w:tc>
          <w:tcPr>
            <w:tcW w:w="902" w:type="dxa"/>
          </w:tcPr>
          <w:p w14:paraId="77934203" w14:textId="77777777" w:rsidR="003C55B1" w:rsidRPr="003C55B1" w:rsidRDefault="003C55B1" w:rsidP="00044C48">
            <w:pPr>
              <w:autoSpaceDE w:val="0"/>
              <w:autoSpaceDN w:val="0"/>
              <w:adjustRightInd w:val="0"/>
              <w:spacing w:line="360" w:lineRule="auto"/>
              <w:jc w:val="both"/>
              <w:rPr>
                <w:rFonts w:ascii="Book Antiqua" w:hAnsi="Book Antiqua"/>
                <w:bCs/>
              </w:rPr>
            </w:pPr>
          </w:p>
        </w:tc>
      </w:tr>
      <w:tr w:rsidR="003C55B1" w:rsidRPr="003C55B1" w14:paraId="178D43A0" w14:textId="77777777" w:rsidTr="00044C48">
        <w:tc>
          <w:tcPr>
            <w:tcW w:w="3539" w:type="dxa"/>
          </w:tcPr>
          <w:p w14:paraId="451DF6BC"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rPr>
            </w:pPr>
            <w:r w:rsidRPr="003C55B1">
              <w:rPr>
                <w:rFonts w:ascii="Book Antiqua" w:hAnsi="Book Antiqua" w:cs="Times New Roman"/>
              </w:rPr>
              <w:t>Grade III</w:t>
            </w:r>
          </w:p>
        </w:tc>
        <w:tc>
          <w:tcPr>
            <w:tcW w:w="2410" w:type="dxa"/>
          </w:tcPr>
          <w:p w14:paraId="298F7419"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6 (6.1)</w:t>
            </w:r>
          </w:p>
        </w:tc>
        <w:tc>
          <w:tcPr>
            <w:tcW w:w="2165" w:type="dxa"/>
          </w:tcPr>
          <w:p w14:paraId="7F65A8D6"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4 (1.2)</w:t>
            </w:r>
          </w:p>
        </w:tc>
        <w:tc>
          <w:tcPr>
            <w:tcW w:w="902" w:type="dxa"/>
          </w:tcPr>
          <w:p w14:paraId="7A0B1E10" w14:textId="77777777" w:rsidR="003C55B1" w:rsidRPr="003C55B1" w:rsidRDefault="003C55B1" w:rsidP="00044C48">
            <w:pPr>
              <w:autoSpaceDE w:val="0"/>
              <w:autoSpaceDN w:val="0"/>
              <w:adjustRightInd w:val="0"/>
              <w:spacing w:line="360" w:lineRule="auto"/>
              <w:jc w:val="both"/>
              <w:rPr>
                <w:rFonts w:ascii="Book Antiqua" w:hAnsi="Book Antiqua"/>
                <w:bCs/>
              </w:rPr>
            </w:pPr>
          </w:p>
        </w:tc>
      </w:tr>
      <w:tr w:rsidR="003C55B1" w:rsidRPr="003C55B1" w14:paraId="7799D68D" w14:textId="77777777" w:rsidTr="00044C48">
        <w:tc>
          <w:tcPr>
            <w:tcW w:w="3539" w:type="dxa"/>
          </w:tcPr>
          <w:p w14:paraId="216815B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Ascites,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3114BC2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82 (82.8)</w:t>
            </w:r>
          </w:p>
        </w:tc>
        <w:tc>
          <w:tcPr>
            <w:tcW w:w="2165" w:type="dxa"/>
          </w:tcPr>
          <w:p w14:paraId="03822AD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308 (93.6)</w:t>
            </w:r>
          </w:p>
        </w:tc>
        <w:tc>
          <w:tcPr>
            <w:tcW w:w="902" w:type="dxa"/>
          </w:tcPr>
          <w:p w14:paraId="33B310D7" w14:textId="77777777"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0.001</w:t>
            </w:r>
          </w:p>
        </w:tc>
      </w:tr>
      <w:tr w:rsidR="003C55B1" w:rsidRPr="003C55B1" w14:paraId="271CC0AD" w14:textId="77777777" w:rsidTr="00044C48">
        <w:tc>
          <w:tcPr>
            <w:tcW w:w="3539" w:type="dxa"/>
          </w:tcPr>
          <w:p w14:paraId="63C8E63E"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Upper GI bleeding,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2D35BEA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22 (22.4)</w:t>
            </w:r>
          </w:p>
        </w:tc>
        <w:tc>
          <w:tcPr>
            <w:tcW w:w="2165" w:type="dxa"/>
          </w:tcPr>
          <w:p w14:paraId="01DFD64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57 (17.3)</w:t>
            </w:r>
          </w:p>
        </w:tc>
        <w:tc>
          <w:tcPr>
            <w:tcW w:w="902" w:type="dxa"/>
          </w:tcPr>
          <w:p w14:paraId="032B16F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0.252</w:t>
            </w:r>
          </w:p>
        </w:tc>
      </w:tr>
      <w:tr w:rsidR="003C55B1" w:rsidRPr="003C55B1" w14:paraId="1600898B" w14:textId="77777777" w:rsidTr="00044C48">
        <w:tc>
          <w:tcPr>
            <w:tcW w:w="3539" w:type="dxa"/>
          </w:tcPr>
          <w:p w14:paraId="1518672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SBP,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6439880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 (4)</w:t>
            </w:r>
          </w:p>
        </w:tc>
        <w:tc>
          <w:tcPr>
            <w:tcW w:w="2165" w:type="dxa"/>
          </w:tcPr>
          <w:p w14:paraId="0E25288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20 (6.1)</w:t>
            </w:r>
          </w:p>
        </w:tc>
        <w:tc>
          <w:tcPr>
            <w:tcW w:w="902" w:type="dxa"/>
          </w:tcPr>
          <w:p w14:paraId="428F7ECE"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0.440</w:t>
            </w:r>
          </w:p>
        </w:tc>
      </w:tr>
      <w:tr w:rsidR="003C55B1" w:rsidRPr="003C55B1" w14:paraId="215A2C9A" w14:textId="77777777" w:rsidTr="00044C48">
        <w:tc>
          <w:tcPr>
            <w:tcW w:w="3539" w:type="dxa"/>
          </w:tcPr>
          <w:p w14:paraId="2DA951C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Other infections, </w:t>
            </w:r>
            <w:r w:rsidR="00044C48"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53B2B5D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16 (16.2)</w:t>
            </w:r>
          </w:p>
        </w:tc>
        <w:tc>
          <w:tcPr>
            <w:tcW w:w="2165" w:type="dxa"/>
          </w:tcPr>
          <w:p w14:paraId="09F74A6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49 (14.9)</w:t>
            </w:r>
          </w:p>
        </w:tc>
        <w:tc>
          <w:tcPr>
            <w:tcW w:w="902" w:type="dxa"/>
          </w:tcPr>
          <w:p w14:paraId="6EED517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0.758</w:t>
            </w:r>
          </w:p>
        </w:tc>
      </w:tr>
      <w:tr w:rsidR="003C55B1" w:rsidRPr="003C55B1" w14:paraId="7783B80D" w14:textId="77777777" w:rsidTr="00044C48">
        <w:tc>
          <w:tcPr>
            <w:tcW w:w="3539" w:type="dxa"/>
          </w:tcPr>
          <w:p w14:paraId="1B6DCD9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AKI,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5E75C65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16 (16.2)</w:t>
            </w:r>
          </w:p>
        </w:tc>
        <w:tc>
          <w:tcPr>
            <w:tcW w:w="2165" w:type="dxa"/>
          </w:tcPr>
          <w:p w14:paraId="6745F9C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32 (9.7)</w:t>
            </w:r>
          </w:p>
        </w:tc>
        <w:tc>
          <w:tcPr>
            <w:tcW w:w="902" w:type="dxa"/>
          </w:tcPr>
          <w:p w14:paraId="028D084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0.075</w:t>
            </w:r>
          </w:p>
        </w:tc>
      </w:tr>
      <w:tr w:rsidR="003C55B1" w:rsidRPr="003C55B1" w14:paraId="45F81685" w14:textId="77777777" w:rsidTr="00044C48">
        <w:tc>
          <w:tcPr>
            <w:tcW w:w="3539" w:type="dxa"/>
          </w:tcPr>
          <w:p w14:paraId="1338BB4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HCC,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027509E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 (5.1)</w:t>
            </w:r>
          </w:p>
        </w:tc>
        <w:tc>
          <w:tcPr>
            <w:tcW w:w="2165" w:type="dxa"/>
          </w:tcPr>
          <w:p w14:paraId="5F08BEF9"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6 (1.8)</w:t>
            </w:r>
          </w:p>
        </w:tc>
        <w:tc>
          <w:tcPr>
            <w:tcW w:w="902" w:type="dxa"/>
          </w:tcPr>
          <w:p w14:paraId="6D93462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0.137</w:t>
            </w:r>
          </w:p>
        </w:tc>
      </w:tr>
      <w:tr w:rsidR="003C55B1" w:rsidRPr="003C55B1" w14:paraId="5ADAC06A" w14:textId="77777777" w:rsidTr="00044C48">
        <w:tc>
          <w:tcPr>
            <w:tcW w:w="3539" w:type="dxa"/>
          </w:tcPr>
          <w:p w14:paraId="5984D4F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Hospital stay (d), median (IQR)</w:t>
            </w:r>
          </w:p>
        </w:tc>
        <w:tc>
          <w:tcPr>
            <w:tcW w:w="2410" w:type="dxa"/>
          </w:tcPr>
          <w:p w14:paraId="57EBE49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 (6-11)</w:t>
            </w:r>
          </w:p>
        </w:tc>
        <w:tc>
          <w:tcPr>
            <w:tcW w:w="2165" w:type="dxa"/>
          </w:tcPr>
          <w:p w14:paraId="0FAD90A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 (3-10)</w:t>
            </w:r>
          </w:p>
        </w:tc>
        <w:tc>
          <w:tcPr>
            <w:tcW w:w="902" w:type="dxa"/>
          </w:tcPr>
          <w:p w14:paraId="1092628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0.969</w:t>
            </w:r>
          </w:p>
        </w:tc>
      </w:tr>
      <w:tr w:rsidR="003C55B1" w:rsidRPr="003C55B1" w14:paraId="7F52FC56" w14:textId="77777777" w:rsidTr="00044C48">
        <w:tc>
          <w:tcPr>
            <w:tcW w:w="3539" w:type="dxa"/>
            <w:tcBorders>
              <w:bottom w:val="single" w:sz="4" w:space="0" w:color="auto"/>
            </w:tcBorders>
          </w:tcPr>
          <w:p w14:paraId="1514878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In-hospital death rate,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Borders>
              <w:bottom w:val="single" w:sz="4" w:space="0" w:color="auto"/>
            </w:tcBorders>
          </w:tcPr>
          <w:p w14:paraId="4F9F80B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24 (24.2)</w:t>
            </w:r>
          </w:p>
        </w:tc>
        <w:tc>
          <w:tcPr>
            <w:tcW w:w="2165" w:type="dxa"/>
            <w:tcBorders>
              <w:bottom w:val="single" w:sz="4" w:space="0" w:color="auto"/>
            </w:tcBorders>
          </w:tcPr>
          <w:p w14:paraId="351A857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10 (3)</w:t>
            </w:r>
          </w:p>
        </w:tc>
        <w:tc>
          <w:tcPr>
            <w:tcW w:w="902" w:type="dxa"/>
            <w:tcBorders>
              <w:bottom w:val="single" w:sz="4" w:space="0" w:color="auto"/>
            </w:tcBorders>
          </w:tcPr>
          <w:p w14:paraId="557EDF8D" w14:textId="4F2104E6" w:rsidR="003C55B1" w:rsidRPr="00044C48" w:rsidRDefault="003C55B1" w:rsidP="00044C48">
            <w:pPr>
              <w:autoSpaceDE w:val="0"/>
              <w:autoSpaceDN w:val="0"/>
              <w:adjustRightInd w:val="0"/>
              <w:spacing w:line="360" w:lineRule="auto"/>
              <w:jc w:val="both"/>
              <w:rPr>
                <w:rFonts w:ascii="Book Antiqua" w:hAnsi="Book Antiqua" w:cs="Times New Roman"/>
                <w:bCs/>
              </w:rPr>
            </w:pPr>
            <w:r w:rsidRPr="00044C48">
              <w:rPr>
                <w:rFonts w:ascii="Book Antiqua" w:hAnsi="Book Antiqua" w:cs="Times New Roman"/>
                <w:bCs/>
              </w:rPr>
              <w:t>&lt;</w:t>
            </w:r>
            <w:r w:rsidR="00630B37">
              <w:rPr>
                <w:rFonts w:ascii="Book Antiqua" w:hAnsi="Book Antiqua" w:cs="Times New Roman"/>
                <w:bCs/>
              </w:rPr>
              <w:t xml:space="preserve"> </w:t>
            </w:r>
            <w:r w:rsidRPr="00044C48">
              <w:rPr>
                <w:rFonts w:ascii="Book Antiqua" w:hAnsi="Book Antiqua" w:cs="Times New Roman"/>
                <w:bCs/>
              </w:rPr>
              <w:t>0.001</w:t>
            </w:r>
          </w:p>
        </w:tc>
      </w:tr>
    </w:tbl>
    <w:p w14:paraId="2DA76076" w14:textId="77777777" w:rsidR="003C55B1" w:rsidRPr="003C55B1" w:rsidRDefault="003C55B1" w:rsidP="00044C48">
      <w:pPr>
        <w:autoSpaceDE w:val="0"/>
        <w:autoSpaceDN w:val="0"/>
        <w:adjustRightInd w:val="0"/>
        <w:spacing w:line="360" w:lineRule="auto"/>
        <w:jc w:val="both"/>
        <w:rPr>
          <w:rFonts w:ascii="Book Antiqua" w:hAnsi="Book Antiqua"/>
          <w:b/>
          <w:bCs/>
        </w:rPr>
      </w:pPr>
      <w:r w:rsidRPr="00567B7A">
        <w:rPr>
          <w:rFonts w:ascii="Book Antiqua" w:hAnsi="Book Antiqua"/>
        </w:rPr>
        <w:t xml:space="preserve">IQR: </w:t>
      </w:r>
      <w:r w:rsidR="00044C48">
        <w:rPr>
          <w:rFonts w:ascii="Book Antiqua" w:hAnsi="Book Antiqua"/>
        </w:rPr>
        <w:t>I</w:t>
      </w:r>
      <w:r w:rsidRPr="00567B7A">
        <w:rPr>
          <w:rFonts w:ascii="Book Antiqua" w:hAnsi="Book Antiqua"/>
        </w:rPr>
        <w:t xml:space="preserve">nterquartile range; SD: </w:t>
      </w:r>
      <w:r w:rsidR="00044C48">
        <w:rPr>
          <w:rFonts w:ascii="Book Antiqua" w:hAnsi="Book Antiqua"/>
        </w:rPr>
        <w:t>S</w:t>
      </w:r>
      <w:r w:rsidRPr="00567B7A">
        <w:rPr>
          <w:rFonts w:ascii="Book Antiqua" w:hAnsi="Book Antiqua"/>
        </w:rPr>
        <w:t xml:space="preserve">tandard deviation; INR: </w:t>
      </w:r>
      <w:r w:rsidR="00044C48">
        <w:rPr>
          <w:rFonts w:ascii="Book Antiqua" w:hAnsi="Book Antiqua"/>
        </w:rPr>
        <w:t>I</w:t>
      </w:r>
      <w:r w:rsidRPr="00567B7A">
        <w:rPr>
          <w:rFonts w:ascii="Book Antiqua" w:hAnsi="Book Antiqua"/>
        </w:rPr>
        <w:t xml:space="preserve">nternational normalized ratio; WBC: </w:t>
      </w:r>
      <w:r w:rsidR="00044C48">
        <w:rPr>
          <w:rFonts w:ascii="Book Antiqua" w:hAnsi="Book Antiqua"/>
        </w:rPr>
        <w:t>W</w:t>
      </w:r>
      <w:r w:rsidRPr="00567B7A">
        <w:rPr>
          <w:rFonts w:ascii="Book Antiqua" w:hAnsi="Book Antiqua"/>
        </w:rPr>
        <w:t xml:space="preserve">hite blood cells; CRP: C-reactive protein; MELD: Model for end-stage liver disease; AARC score: APASL ACLF Research Consortium score; HE: </w:t>
      </w:r>
      <w:r w:rsidR="00044C48">
        <w:rPr>
          <w:rFonts w:ascii="Book Antiqua" w:hAnsi="Book Antiqua"/>
        </w:rPr>
        <w:t>H</w:t>
      </w:r>
      <w:r w:rsidRPr="00567B7A">
        <w:rPr>
          <w:rFonts w:ascii="Book Antiqua" w:hAnsi="Book Antiqua"/>
        </w:rPr>
        <w:t xml:space="preserve">epatic encephalopathy; GI: </w:t>
      </w:r>
      <w:r w:rsidR="00044C48">
        <w:rPr>
          <w:rFonts w:ascii="Book Antiqua" w:hAnsi="Book Antiqua"/>
        </w:rPr>
        <w:t>G</w:t>
      </w:r>
      <w:r w:rsidRPr="00567B7A">
        <w:rPr>
          <w:rFonts w:ascii="Book Antiqua" w:hAnsi="Book Antiqua"/>
        </w:rPr>
        <w:t xml:space="preserve">astrointestinal; AKI: </w:t>
      </w:r>
      <w:r w:rsidR="00044C48">
        <w:rPr>
          <w:rFonts w:ascii="Book Antiqua" w:hAnsi="Book Antiqua"/>
        </w:rPr>
        <w:t>A</w:t>
      </w:r>
      <w:r w:rsidRPr="00567B7A">
        <w:rPr>
          <w:rFonts w:ascii="Book Antiqua" w:hAnsi="Book Antiqua"/>
        </w:rPr>
        <w:t xml:space="preserve">cute kidney injury; SBP: </w:t>
      </w:r>
      <w:r w:rsidR="00044C48">
        <w:rPr>
          <w:rFonts w:ascii="Book Antiqua" w:hAnsi="Book Antiqua"/>
        </w:rPr>
        <w:t>S</w:t>
      </w:r>
      <w:r w:rsidRPr="00567B7A">
        <w:rPr>
          <w:rFonts w:ascii="Book Antiqua" w:hAnsi="Book Antiqua"/>
        </w:rPr>
        <w:t xml:space="preserve">pontaneous bacterial peritonitis; HCC: </w:t>
      </w:r>
      <w:proofErr w:type="spellStart"/>
      <w:r w:rsidR="00044C48">
        <w:rPr>
          <w:rFonts w:ascii="Book Antiqua" w:hAnsi="Book Antiqua"/>
        </w:rPr>
        <w:t>H</w:t>
      </w:r>
      <w:r w:rsidRPr="00567B7A">
        <w:rPr>
          <w:rFonts w:ascii="Book Antiqua" w:hAnsi="Book Antiqua"/>
        </w:rPr>
        <w:t>epatocelular</w:t>
      </w:r>
      <w:proofErr w:type="spellEnd"/>
      <w:r w:rsidRPr="00567B7A">
        <w:rPr>
          <w:rFonts w:ascii="Book Antiqua" w:hAnsi="Book Antiqua"/>
        </w:rPr>
        <w:t xml:space="preserve"> carcinoma.</w:t>
      </w:r>
    </w:p>
    <w:sectPr w:rsidR="003C55B1" w:rsidRPr="003C55B1" w:rsidSect="00613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3228" w14:textId="77777777" w:rsidR="00EF58B2" w:rsidRDefault="00EF58B2" w:rsidP="000E198A">
      <w:r>
        <w:separator/>
      </w:r>
    </w:p>
  </w:endnote>
  <w:endnote w:type="continuationSeparator" w:id="0">
    <w:p w14:paraId="2185C81A" w14:textId="77777777" w:rsidR="00EF58B2" w:rsidRDefault="00EF58B2" w:rsidP="000E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51949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AC05949" w14:textId="77777777" w:rsidR="00A963D0" w:rsidRPr="005E02E8" w:rsidRDefault="00A963D0" w:rsidP="005E02E8">
            <w:pPr>
              <w:pStyle w:val="a5"/>
              <w:jc w:val="right"/>
              <w:rPr>
                <w:rFonts w:ascii="Book Antiqua" w:hAnsi="Book Antiqua"/>
                <w:sz w:val="24"/>
                <w:szCs w:val="24"/>
              </w:rPr>
            </w:pPr>
            <w:r w:rsidRPr="005E02E8">
              <w:rPr>
                <w:rFonts w:ascii="Book Antiqua" w:hAnsi="Book Antiqua"/>
                <w:sz w:val="24"/>
                <w:szCs w:val="24"/>
              </w:rPr>
              <w:fldChar w:fldCharType="begin"/>
            </w:r>
            <w:r w:rsidRPr="005E02E8">
              <w:rPr>
                <w:rFonts w:ascii="Book Antiqua" w:hAnsi="Book Antiqua"/>
                <w:sz w:val="24"/>
                <w:szCs w:val="24"/>
              </w:rPr>
              <w:instrText>PAGE</w:instrText>
            </w:r>
            <w:r w:rsidRPr="005E02E8">
              <w:rPr>
                <w:rFonts w:ascii="Book Antiqua" w:hAnsi="Book Antiqua"/>
                <w:sz w:val="24"/>
                <w:szCs w:val="24"/>
              </w:rPr>
              <w:fldChar w:fldCharType="separate"/>
            </w:r>
            <w:r>
              <w:rPr>
                <w:rFonts w:ascii="Book Antiqua" w:hAnsi="Book Antiqua"/>
                <w:noProof/>
                <w:sz w:val="24"/>
                <w:szCs w:val="24"/>
              </w:rPr>
              <w:t>1</w:t>
            </w:r>
            <w:r w:rsidRPr="005E02E8">
              <w:rPr>
                <w:rFonts w:ascii="Book Antiqua" w:hAnsi="Book Antiqua"/>
                <w:sz w:val="24"/>
                <w:szCs w:val="24"/>
              </w:rPr>
              <w:fldChar w:fldCharType="end"/>
            </w:r>
            <w:r w:rsidRPr="005E02E8">
              <w:rPr>
                <w:rFonts w:ascii="Book Antiqua" w:hAnsi="Book Antiqua"/>
                <w:sz w:val="24"/>
                <w:szCs w:val="24"/>
                <w:lang w:val="zh-CN" w:eastAsia="zh-CN"/>
              </w:rPr>
              <w:t xml:space="preserve"> / </w:t>
            </w:r>
            <w:r w:rsidRPr="005E02E8">
              <w:rPr>
                <w:rFonts w:ascii="Book Antiqua" w:hAnsi="Book Antiqua"/>
                <w:sz w:val="24"/>
                <w:szCs w:val="24"/>
              </w:rPr>
              <w:fldChar w:fldCharType="begin"/>
            </w:r>
            <w:r w:rsidRPr="005E02E8">
              <w:rPr>
                <w:rFonts w:ascii="Book Antiqua" w:hAnsi="Book Antiqua"/>
                <w:sz w:val="24"/>
                <w:szCs w:val="24"/>
              </w:rPr>
              <w:instrText>NUMPAGES</w:instrText>
            </w:r>
            <w:r w:rsidRPr="005E02E8">
              <w:rPr>
                <w:rFonts w:ascii="Book Antiqua" w:hAnsi="Book Antiqua"/>
                <w:sz w:val="24"/>
                <w:szCs w:val="24"/>
              </w:rPr>
              <w:fldChar w:fldCharType="separate"/>
            </w:r>
            <w:r>
              <w:rPr>
                <w:rFonts w:ascii="Book Antiqua" w:hAnsi="Book Antiqua"/>
                <w:noProof/>
                <w:sz w:val="24"/>
                <w:szCs w:val="24"/>
              </w:rPr>
              <w:t>32</w:t>
            </w:r>
            <w:r w:rsidRPr="005E02E8">
              <w:rPr>
                <w:rFonts w:ascii="Book Antiqua" w:hAnsi="Book Antiqua"/>
                <w:sz w:val="24"/>
                <w:szCs w:val="24"/>
              </w:rPr>
              <w:fldChar w:fldCharType="end"/>
            </w:r>
          </w:p>
        </w:sdtContent>
      </w:sdt>
    </w:sdtContent>
  </w:sdt>
  <w:p w14:paraId="202E291A" w14:textId="77777777" w:rsidR="00A963D0" w:rsidRDefault="00A963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5DBD" w14:textId="77777777" w:rsidR="00EF58B2" w:rsidRDefault="00EF58B2" w:rsidP="000E198A">
      <w:r>
        <w:separator/>
      </w:r>
    </w:p>
  </w:footnote>
  <w:footnote w:type="continuationSeparator" w:id="0">
    <w:p w14:paraId="014A979C" w14:textId="77777777" w:rsidR="00EF58B2" w:rsidRDefault="00EF58B2" w:rsidP="000E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C48"/>
    <w:rsid w:val="00061D59"/>
    <w:rsid w:val="00085D58"/>
    <w:rsid w:val="000E198A"/>
    <w:rsid w:val="0011031E"/>
    <w:rsid w:val="0019732C"/>
    <w:rsid w:val="001B62AA"/>
    <w:rsid w:val="001D4694"/>
    <w:rsid w:val="002033FE"/>
    <w:rsid w:val="00240E5D"/>
    <w:rsid w:val="0035333D"/>
    <w:rsid w:val="00355D15"/>
    <w:rsid w:val="003C55B1"/>
    <w:rsid w:val="00435561"/>
    <w:rsid w:val="00455EB9"/>
    <w:rsid w:val="004F679A"/>
    <w:rsid w:val="005248EF"/>
    <w:rsid w:val="00534848"/>
    <w:rsid w:val="005A30BF"/>
    <w:rsid w:val="005C62E9"/>
    <w:rsid w:val="005D28B8"/>
    <w:rsid w:val="005E02E8"/>
    <w:rsid w:val="00613815"/>
    <w:rsid w:val="00630B37"/>
    <w:rsid w:val="00634538"/>
    <w:rsid w:val="006437FE"/>
    <w:rsid w:val="0065079A"/>
    <w:rsid w:val="00681BCD"/>
    <w:rsid w:val="007A61DA"/>
    <w:rsid w:val="007D5BE8"/>
    <w:rsid w:val="00880B93"/>
    <w:rsid w:val="00982D1A"/>
    <w:rsid w:val="00990600"/>
    <w:rsid w:val="00A06B29"/>
    <w:rsid w:val="00A455CD"/>
    <w:rsid w:val="00A77B3E"/>
    <w:rsid w:val="00A963D0"/>
    <w:rsid w:val="00AC0610"/>
    <w:rsid w:val="00AF07A9"/>
    <w:rsid w:val="00B000FC"/>
    <w:rsid w:val="00B86A3A"/>
    <w:rsid w:val="00BC440F"/>
    <w:rsid w:val="00BD555E"/>
    <w:rsid w:val="00CA2A55"/>
    <w:rsid w:val="00DA43C1"/>
    <w:rsid w:val="00DB1F64"/>
    <w:rsid w:val="00E17FA4"/>
    <w:rsid w:val="00E75A09"/>
    <w:rsid w:val="00EB3419"/>
    <w:rsid w:val="00EC724C"/>
    <w:rsid w:val="00EF58B2"/>
    <w:rsid w:val="00F02470"/>
    <w:rsid w:val="00F235D5"/>
    <w:rsid w:val="00F65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74AC8"/>
  <w15:docId w15:val="{8F277FE7-E241-480B-AB70-B5DF547B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8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E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198A"/>
    <w:rPr>
      <w:sz w:val="18"/>
      <w:szCs w:val="18"/>
    </w:rPr>
  </w:style>
  <w:style w:type="paragraph" w:styleId="a5">
    <w:name w:val="footer"/>
    <w:basedOn w:val="a"/>
    <w:link w:val="a6"/>
    <w:uiPriority w:val="99"/>
    <w:unhideWhenUsed/>
    <w:rsid w:val="000E198A"/>
    <w:pPr>
      <w:tabs>
        <w:tab w:val="center" w:pos="4153"/>
        <w:tab w:val="right" w:pos="8306"/>
      </w:tabs>
      <w:snapToGrid w:val="0"/>
    </w:pPr>
    <w:rPr>
      <w:sz w:val="18"/>
      <w:szCs w:val="18"/>
    </w:rPr>
  </w:style>
  <w:style w:type="character" w:customStyle="1" w:styleId="a6">
    <w:name w:val="页脚 字符"/>
    <w:basedOn w:val="a0"/>
    <w:link w:val="a5"/>
    <w:uiPriority w:val="99"/>
    <w:rsid w:val="000E198A"/>
    <w:rPr>
      <w:sz w:val="18"/>
      <w:szCs w:val="18"/>
    </w:rPr>
  </w:style>
  <w:style w:type="paragraph" w:styleId="a7">
    <w:name w:val="Balloon Text"/>
    <w:basedOn w:val="a"/>
    <w:link w:val="a8"/>
    <w:rsid w:val="00240E5D"/>
    <w:rPr>
      <w:sz w:val="18"/>
      <w:szCs w:val="18"/>
    </w:rPr>
  </w:style>
  <w:style w:type="character" w:customStyle="1" w:styleId="a8">
    <w:name w:val="批注框文本 字符"/>
    <w:basedOn w:val="a0"/>
    <w:link w:val="a7"/>
    <w:rsid w:val="00240E5D"/>
    <w:rPr>
      <w:sz w:val="18"/>
      <w:szCs w:val="18"/>
    </w:rPr>
  </w:style>
  <w:style w:type="table" w:styleId="a9">
    <w:name w:val="Table Grid"/>
    <w:basedOn w:val="a1"/>
    <w:uiPriority w:val="39"/>
    <w:rsid w:val="00DA43C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4783">
      <w:bodyDiv w:val="1"/>
      <w:marLeft w:val="0"/>
      <w:marRight w:val="0"/>
      <w:marTop w:val="0"/>
      <w:marBottom w:val="0"/>
      <w:divBdr>
        <w:top w:val="none" w:sz="0" w:space="0" w:color="auto"/>
        <w:left w:val="none" w:sz="0" w:space="0" w:color="auto"/>
        <w:bottom w:val="none" w:sz="0" w:space="0" w:color="auto"/>
        <w:right w:val="none" w:sz="0" w:space="0" w:color="auto"/>
      </w:divBdr>
    </w:div>
    <w:div w:id="1842042872">
      <w:bodyDiv w:val="1"/>
      <w:marLeft w:val="0"/>
      <w:marRight w:val="0"/>
      <w:marTop w:val="0"/>
      <w:marBottom w:val="0"/>
      <w:divBdr>
        <w:top w:val="none" w:sz="0" w:space="0" w:color="auto"/>
        <w:left w:val="none" w:sz="0" w:space="0" w:color="auto"/>
        <w:bottom w:val="none" w:sz="0" w:space="0" w:color="auto"/>
        <w:right w:val="none" w:sz="0" w:space="0" w:color="auto"/>
      </w:divBdr>
    </w:div>
    <w:div w:id="2096899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6825</Words>
  <Characters>38905</Characters>
  <Application>Microsoft Office Word</Application>
  <DocSecurity>0</DocSecurity>
  <Lines>324</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2020-12-16T00:41:00Z</dcterms:created>
  <dcterms:modified xsi:type="dcterms:W3CDTF">2020-12-16T00:41:00Z</dcterms:modified>
</cp:coreProperties>
</file>