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32B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Name of Journal: </w:t>
      </w:r>
      <w:r w:rsidRPr="0018453E">
        <w:rPr>
          <w:rFonts w:ascii="Book Antiqua" w:eastAsia="Book Antiqua" w:hAnsi="Book Antiqua" w:cs="Book Antiqua"/>
          <w:i/>
          <w:sz w:val="24"/>
          <w:szCs w:val="24"/>
        </w:rPr>
        <w:t>World Journal of Clinical Cases</w:t>
      </w:r>
    </w:p>
    <w:p w14:paraId="1080462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NO: </w:t>
      </w:r>
      <w:r w:rsidRPr="0018453E">
        <w:rPr>
          <w:rFonts w:ascii="Book Antiqua" w:eastAsia="Book Antiqua" w:hAnsi="Book Antiqua" w:cs="Book Antiqua"/>
          <w:sz w:val="24"/>
          <w:szCs w:val="24"/>
        </w:rPr>
        <w:t>60348</w:t>
      </w:r>
    </w:p>
    <w:p w14:paraId="24109A7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Type: </w:t>
      </w:r>
      <w:r w:rsidRPr="0018453E">
        <w:rPr>
          <w:rFonts w:ascii="Book Antiqua" w:eastAsia="Book Antiqua" w:hAnsi="Book Antiqua" w:cs="Book Antiqua"/>
          <w:sz w:val="24"/>
          <w:szCs w:val="24"/>
        </w:rPr>
        <w:t>ORIGINAL ARTICLE</w:t>
      </w:r>
    </w:p>
    <w:p w14:paraId="2C01AB1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570D09C9"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Retrospective Study</w:t>
      </w:r>
    </w:p>
    <w:p w14:paraId="2A3D56F6" w14:textId="52CD09A2"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Management and implementation strategies of pre-screening triage in children during </w:t>
      </w:r>
      <w:r w:rsidR="00F3689D" w:rsidRPr="00AA598D">
        <w:rPr>
          <w:rFonts w:ascii="Book Antiqua" w:eastAsia="Book Antiqua" w:hAnsi="Book Antiqua" w:cs="Book Antiqua"/>
          <w:b/>
          <w:bCs/>
          <w:sz w:val="24"/>
          <w:szCs w:val="24"/>
        </w:rPr>
        <w:t>coronavirus disease 2019</w:t>
      </w:r>
      <w:r w:rsidRPr="00AA598D">
        <w:rPr>
          <w:rFonts w:ascii="Book Antiqua" w:eastAsia="Book Antiqua" w:hAnsi="Book Antiqua" w:cs="Book Antiqua"/>
          <w:b/>
          <w:bCs/>
          <w:sz w:val="24"/>
          <w:szCs w:val="24"/>
        </w:rPr>
        <w:t xml:space="preserve"> pandemic</w:t>
      </w:r>
      <w:r w:rsidRPr="0018453E">
        <w:rPr>
          <w:rFonts w:ascii="Book Antiqua" w:eastAsia="Book Antiqua" w:hAnsi="Book Antiqua" w:cs="Book Antiqua"/>
          <w:b/>
          <w:sz w:val="24"/>
          <w:szCs w:val="24"/>
        </w:rPr>
        <w:t xml:space="preserve"> in Guangzhou, China</w:t>
      </w:r>
    </w:p>
    <w:p w14:paraId="0E3DE74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7DE1BF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Shi X </w:t>
      </w:r>
      <w:r w:rsidRPr="0018453E">
        <w:rPr>
          <w:rFonts w:ascii="Book Antiqua" w:eastAsia="Book Antiqua" w:hAnsi="Book Antiqua" w:cs="Book Antiqua"/>
          <w:i/>
          <w:iCs/>
          <w:sz w:val="24"/>
          <w:szCs w:val="24"/>
        </w:rPr>
        <w:t>et al</w:t>
      </w:r>
      <w:r w:rsidRPr="0018453E">
        <w:rPr>
          <w:rFonts w:ascii="Book Antiqua" w:eastAsia="Book Antiqua" w:hAnsi="Book Antiqua" w:cs="Book Antiqua"/>
          <w:sz w:val="24"/>
          <w:szCs w:val="24"/>
        </w:rPr>
        <w:t>. Pre-screening triage of COVID-19 in children</w:t>
      </w:r>
    </w:p>
    <w:p w14:paraId="1EE444D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63127F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Xuan Shi, Yu-Tao Cai, Xian Cai, Xiu-Lan Wen, Jing-Yan Wang, Wen-Cheng Ma, Jun Shen, Jin-Xia Wu, Hai-Yan Liu, Jing Sun, Pei-Qin He, Yan Lin, Dan-Yang Zhao, Pei-Qing Li</w:t>
      </w:r>
    </w:p>
    <w:p w14:paraId="16D8373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FCAB05C" w14:textId="4D969BFF"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Xuan Shi, Jing-Yan Wang, Wen-Cheng Ma, Jin-Xia Wu, Pei-Qin He, Pei-Qing Li, </w:t>
      </w:r>
      <w:r w:rsidRPr="0018453E">
        <w:rPr>
          <w:rFonts w:ascii="Book Antiqua" w:eastAsia="Book Antiqua" w:hAnsi="Book Antiqua" w:cs="Book Antiqua"/>
          <w:sz w:val="24"/>
          <w:szCs w:val="24"/>
        </w:rPr>
        <w:t>Department of Pediatric Emergency,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1DDCBDE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86DD96D" w14:textId="6F911DD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Yu-Tao Cai, Hai-Yan Liu, </w:t>
      </w:r>
      <w:r w:rsidRPr="0018453E">
        <w:rPr>
          <w:rFonts w:ascii="Book Antiqua" w:eastAsia="Book Antiqua" w:hAnsi="Book Antiqua" w:cs="Book Antiqua"/>
          <w:sz w:val="24"/>
          <w:szCs w:val="24"/>
        </w:rPr>
        <w:t xml:space="preserve">Outpatient </w:t>
      </w:r>
      <w:r w:rsidR="00CB5E08" w:rsidRPr="0018453E">
        <w:rPr>
          <w:rFonts w:ascii="Book Antiqua" w:eastAsia="Book Antiqua" w:hAnsi="Book Antiqua" w:cs="Book Antiqua"/>
          <w:sz w:val="24"/>
          <w:szCs w:val="24"/>
        </w:rPr>
        <w:t>D</w:t>
      </w:r>
      <w:r w:rsidRPr="0018453E">
        <w:rPr>
          <w:rFonts w:ascii="Book Antiqua" w:eastAsia="Book Antiqua" w:hAnsi="Book Antiqua" w:cs="Book Antiqua"/>
          <w:sz w:val="24"/>
          <w:szCs w:val="24"/>
        </w:rPr>
        <w:t xml:space="preserve">epartment of </w:t>
      </w:r>
      <w:r w:rsidR="00CB5E08" w:rsidRPr="0018453E">
        <w:rPr>
          <w:rFonts w:ascii="Book Antiqua" w:eastAsia="Book Antiqua" w:hAnsi="Book Antiqua" w:cs="Book Antiqua"/>
          <w:sz w:val="24"/>
          <w:szCs w:val="24"/>
        </w:rPr>
        <w:t>P</w:t>
      </w:r>
      <w:r w:rsidRPr="0018453E">
        <w:rPr>
          <w:rFonts w:ascii="Book Antiqua" w:eastAsia="Book Antiqua" w:hAnsi="Book Antiqua" w:cs="Book Antiqua"/>
          <w:sz w:val="24"/>
          <w:szCs w:val="24"/>
        </w:rPr>
        <w:t>ediatrics,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693AFF4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75FB749" w14:textId="7CB91A0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Xian Cai, Jing Sun, </w:t>
      </w:r>
      <w:r w:rsidRPr="0018453E">
        <w:rPr>
          <w:rFonts w:ascii="Book Antiqua" w:eastAsia="Book Antiqua" w:hAnsi="Book Antiqua" w:cs="Book Antiqua"/>
          <w:sz w:val="24"/>
          <w:szCs w:val="24"/>
        </w:rPr>
        <w:t>Emergency General Ward,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4E072E5B" w14:textId="77777777" w:rsidR="00940440" w:rsidRPr="00333C9C" w:rsidRDefault="00940440" w:rsidP="0018453E">
      <w:pPr>
        <w:adjustRightInd w:val="0"/>
        <w:snapToGrid w:val="0"/>
        <w:spacing w:line="360" w:lineRule="auto"/>
        <w:rPr>
          <w:rFonts w:ascii="Book Antiqua" w:hAnsi="Book Antiqua" w:cs="Book Antiqua"/>
          <w:sz w:val="24"/>
          <w:szCs w:val="24"/>
        </w:rPr>
      </w:pPr>
    </w:p>
    <w:p w14:paraId="048A33CD" w14:textId="278116D6"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Xiu-Lan Wen, Yan Lin, </w:t>
      </w:r>
      <w:r w:rsidRPr="0018453E">
        <w:rPr>
          <w:rFonts w:ascii="Book Antiqua" w:eastAsia="Book Antiqua" w:hAnsi="Book Antiqua" w:cs="Book Antiqua"/>
          <w:sz w:val="24"/>
          <w:szCs w:val="24"/>
        </w:rPr>
        <w:t>Department of Nursing, Guangzhou 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44F1F1A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0D14827" w14:textId="6078F01A"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Jun Shen, Dan-Yang Zhao, </w:t>
      </w:r>
      <w:r w:rsidRPr="0018453E">
        <w:rPr>
          <w:rFonts w:ascii="Book Antiqua" w:eastAsia="Book Antiqua" w:hAnsi="Book Antiqua" w:cs="Book Antiqua"/>
          <w:sz w:val="24"/>
          <w:szCs w:val="24"/>
        </w:rPr>
        <w:t xml:space="preserve">Department of Disease Control and Prevention, Guangzhou </w:t>
      </w:r>
      <w:r w:rsidRPr="0018453E">
        <w:rPr>
          <w:rFonts w:ascii="Book Antiqua" w:eastAsia="Book Antiqua" w:hAnsi="Book Antiqua" w:cs="Book Antiqua"/>
          <w:sz w:val="24"/>
          <w:szCs w:val="24"/>
        </w:rPr>
        <w:lastRenderedPageBreak/>
        <w:t>Women and Children’s Medical Center, Guangzhou Medical University,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w:t>
      </w:r>
    </w:p>
    <w:p w14:paraId="47C9AC8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EEC7EE7" w14:textId="1295198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Author contributions: </w:t>
      </w:r>
      <w:r w:rsidRPr="0018453E">
        <w:rPr>
          <w:rFonts w:ascii="Book Antiqua" w:eastAsia="Book Antiqua" w:hAnsi="Book Antiqua" w:cs="Book Antiqua"/>
          <w:sz w:val="24"/>
          <w:szCs w:val="24"/>
        </w:rPr>
        <w:t>Shi X, Cai Y</w:t>
      </w:r>
      <w:r w:rsidR="001D3E85">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Cai X carried out the studies, participated in collecting data, and drafted the manuscript; Wen X, Zhao D, Lin Y</w:t>
      </w:r>
      <w:r w:rsidR="001D3E85">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Li PQ performed the statistical analysis and participated in its design; Wang J, Ma W, Shen J, Wu J, Liu H, Sun J, and He P participated in </w:t>
      </w:r>
      <w:r w:rsidR="001D3E85">
        <w:rPr>
          <w:rFonts w:ascii="Book Antiqua" w:eastAsia="Book Antiqua" w:hAnsi="Book Antiqua" w:cs="Book Antiqua"/>
          <w:sz w:val="24"/>
          <w:szCs w:val="24"/>
        </w:rPr>
        <w:t xml:space="preserve">data </w:t>
      </w:r>
      <w:r w:rsidRPr="0018453E">
        <w:rPr>
          <w:rFonts w:ascii="Book Antiqua" w:eastAsia="Book Antiqua" w:hAnsi="Book Antiqua" w:cs="Book Antiqua"/>
          <w:sz w:val="24"/>
          <w:szCs w:val="24"/>
        </w:rPr>
        <w:t xml:space="preserve">acquisition, analysis, </w:t>
      </w:r>
      <w:r w:rsidR="001D3E85">
        <w:rPr>
          <w:rFonts w:ascii="Book Antiqua" w:eastAsia="Book Antiqua" w:hAnsi="Book Antiqua" w:cs="Book Antiqua"/>
          <w:sz w:val="24"/>
          <w:szCs w:val="24"/>
        </w:rPr>
        <w:t>and</w:t>
      </w:r>
      <w:r w:rsidRPr="0018453E">
        <w:rPr>
          <w:rFonts w:ascii="Book Antiqua" w:eastAsia="Book Antiqua" w:hAnsi="Book Antiqua" w:cs="Book Antiqua"/>
          <w:sz w:val="24"/>
          <w:szCs w:val="24"/>
        </w:rPr>
        <w:t xml:space="preserve"> interpretation of data and draft</w:t>
      </w:r>
      <w:r w:rsidR="001D3E85">
        <w:rPr>
          <w:rFonts w:ascii="Book Antiqua" w:eastAsia="Book Antiqua" w:hAnsi="Book Antiqua" w:cs="Book Antiqua"/>
          <w:sz w:val="24"/>
          <w:szCs w:val="24"/>
        </w:rPr>
        <w:t>ed</w:t>
      </w:r>
      <w:r w:rsidRPr="0018453E">
        <w:rPr>
          <w:rFonts w:ascii="Book Antiqua" w:eastAsia="Book Antiqua" w:hAnsi="Book Antiqua" w:cs="Book Antiqua"/>
          <w:sz w:val="24"/>
          <w:szCs w:val="24"/>
        </w:rPr>
        <w:t xml:space="preserve"> the manuscript; </w:t>
      </w:r>
      <w:r w:rsidR="00F3689D">
        <w:rPr>
          <w:rFonts w:ascii="Book Antiqua" w:eastAsia="Book Antiqua" w:hAnsi="Book Antiqua" w:cs="Book Antiqua"/>
          <w:sz w:val="24"/>
          <w:szCs w:val="24"/>
        </w:rPr>
        <w:t>A</w:t>
      </w:r>
      <w:r w:rsidRPr="0018453E">
        <w:rPr>
          <w:rFonts w:ascii="Book Antiqua" w:eastAsia="Book Antiqua" w:hAnsi="Book Antiqua" w:cs="Book Antiqua"/>
          <w:sz w:val="24"/>
          <w:szCs w:val="24"/>
        </w:rPr>
        <w:t>ll authors read and approved the final manuscript.</w:t>
      </w:r>
    </w:p>
    <w:p w14:paraId="71CD1ECF"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523E28F" w14:textId="0A53E8C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Corresponding author: Pei-Qing Li, MD, Chief Physician, Director, </w:t>
      </w:r>
      <w:r w:rsidRPr="0018453E">
        <w:rPr>
          <w:rFonts w:ascii="Book Antiqua" w:eastAsia="Book Antiqua" w:hAnsi="Book Antiqua" w:cs="Book Antiqua"/>
          <w:sz w:val="24"/>
          <w:szCs w:val="24"/>
        </w:rPr>
        <w:t>Department of Pediatric Emergency, Guangzhou Women and Children’s Medical Center, Guangzhou Medical University, No. 9 Jinsui Road, Guangzhou 510000, Guangdong</w:t>
      </w:r>
      <w:r w:rsidR="00333C9C">
        <w:rPr>
          <w:rFonts w:ascii="Book Antiqua" w:eastAsia="Book Antiqua" w:hAnsi="Book Antiqua" w:cs="Book Antiqua"/>
          <w:sz w:val="24"/>
          <w:szCs w:val="24"/>
        </w:rPr>
        <w:t xml:space="preserve"> Province</w:t>
      </w:r>
      <w:r w:rsidRPr="0018453E">
        <w:rPr>
          <w:rFonts w:ascii="Book Antiqua" w:eastAsia="Book Antiqua" w:hAnsi="Book Antiqua" w:cs="Book Antiqua"/>
          <w:sz w:val="24"/>
          <w:szCs w:val="24"/>
        </w:rPr>
        <w:t>, China. annie_129@126.com</w:t>
      </w:r>
    </w:p>
    <w:p w14:paraId="2CB76F6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43A7C8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Received: </w:t>
      </w:r>
      <w:r w:rsidRPr="0018453E">
        <w:rPr>
          <w:rFonts w:ascii="Book Antiqua" w:eastAsia="Book Antiqua" w:hAnsi="Book Antiqua" w:cs="Book Antiqua"/>
          <w:sz w:val="24"/>
          <w:szCs w:val="24"/>
        </w:rPr>
        <w:t>October 28, 2020</w:t>
      </w:r>
    </w:p>
    <w:p w14:paraId="22C7BE9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Revised: </w:t>
      </w:r>
      <w:r w:rsidRPr="0018453E">
        <w:rPr>
          <w:rFonts w:ascii="Book Antiqua" w:eastAsia="Book Antiqua" w:hAnsi="Book Antiqua" w:cs="Book Antiqua"/>
          <w:sz w:val="24"/>
          <w:szCs w:val="24"/>
        </w:rPr>
        <w:t>December 28, 2020</w:t>
      </w:r>
    </w:p>
    <w:p w14:paraId="63E6F972" w14:textId="79ED4AB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Accepted: </w:t>
      </w:r>
      <w:r w:rsidR="00405876" w:rsidRPr="00405876">
        <w:rPr>
          <w:rFonts w:ascii="Book Antiqua" w:eastAsia="Book Antiqua" w:hAnsi="Book Antiqua" w:cs="Book Antiqua"/>
          <w:sz w:val="24"/>
          <w:szCs w:val="24"/>
        </w:rPr>
        <w:t>March 8, 2021</w:t>
      </w:r>
    </w:p>
    <w:p w14:paraId="2EFC87C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Published online: </w:t>
      </w:r>
    </w:p>
    <w:p w14:paraId="28F165FD" w14:textId="77777777" w:rsidR="00940440" w:rsidRPr="0018453E" w:rsidRDefault="00940440" w:rsidP="0018453E">
      <w:pPr>
        <w:adjustRightInd w:val="0"/>
        <w:snapToGrid w:val="0"/>
        <w:spacing w:line="360" w:lineRule="auto"/>
        <w:rPr>
          <w:rFonts w:ascii="Book Antiqua" w:hAnsi="Book Antiqua" w:cs="Book Antiqua"/>
          <w:sz w:val="24"/>
          <w:szCs w:val="24"/>
        </w:rPr>
        <w:sectPr w:rsidR="00940440" w:rsidRPr="0018453E">
          <w:footerReference w:type="default" r:id="rId8"/>
          <w:pgSz w:w="12240" w:h="15840"/>
          <w:pgMar w:top="1440" w:right="1440" w:bottom="1440" w:left="1440" w:header="720" w:footer="720" w:gutter="0"/>
          <w:cols w:space="720"/>
          <w:docGrid w:linePitch="360"/>
        </w:sectPr>
      </w:pPr>
    </w:p>
    <w:p w14:paraId="4FE2511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lastRenderedPageBreak/>
        <w:t>Abstract</w:t>
      </w:r>
    </w:p>
    <w:p w14:paraId="384D78F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BACKGROUND</w:t>
      </w:r>
    </w:p>
    <w:p w14:paraId="0F2713AC" w14:textId="2F2F661B"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Emerging infectious diseases are a constant threat to the public’s health and health care systems around the world. Coronavirus disease 2019, which was defined by the World Health Organization as pandemic, has rapidly emerged as a global health threat. Outbreak evolution and prevention of international implications require substantial flexibility of frontline health care facilities in their response.</w:t>
      </w:r>
    </w:p>
    <w:p w14:paraId="692A62D5"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A1E6BC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AIM</w:t>
      </w:r>
    </w:p>
    <w:p w14:paraId="1C1AA34B" w14:textId="486CDBF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To explore the effect of the implementation and management strategy of pre-screening triage in children during </w:t>
      </w:r>
      <w:r w:rsidR="001D3E85">
        <w:rPr>
          <w:rFonts w:ascii="Book Antiqua" w:eastAsia="Book Antiqua" w:hAnsi="Book Antiqua" w:cs="Book Antiqua"/>
          <w:sz w:val="24"/>
          <w:szCs w:val="24"/>
        </w:rPr>
        <w:t>coronavirus disease 2019</w:t>
      </w:r>
      <w:r w:rsidRPr="0018453E">
        <w:rPr>
          <w:rFonts w:ascii="Book Antiqua" w:hAnsi="Book Antiqua" w:cs="Book Antiqua"/>
          <w:sz w:val="24"/>
          <w:szCs w:val="24"/>
        </w:rPr>
        <w:t xml:space="preserve"> </w:t>
      </w:r>
      <w:r w:rsidRPr="0018453E">
        <w:rPr>
          <w:rFonts w:ascii="Book Antiqua" w:eastAsia="Book Antiqua" w:hAnsi="Book Antiqua" w:cs="Book Antiqua"/>
          <w:sz w:val="24"/>
          <w:szCs w:val="24"/>
        </w:rPr>
        <w:t>pandemic.</w:t>
      </w:r>
    </w:p>
    <w:p w14:paraId="44F7257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586579C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METHODS</w:t>
      </w:r>
    </w:p>
    <w:p w14:paraId="47FCE968" w14:textId="133FA1D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standardized triage screening procedures included a standardized triage screening questionnaire, setup of pre-screening triage station, multi-point temperature monitoring, extensive screenings, and two-way protection. In order to ensure the implementation of the pre-screening triage, the prevention and control management strategies included training, emergency exercise, and staff protection. Statistical analysis was performed on the data from all the children hospitalized from January 20, 2020 to March 20, 2020 at solstice during the</w:t>
      </w:r>
      <w:r w:rsidRPr="0018453E">
        <w:rPr>
          <w:rFonts w:ascii="Book Antiqua" w:hAnsi="Book Antiqua" w:cs="Book Antiqua"/>
          <w:sz w:val="24"/>
          <w:szCs w:val="24"/>
        </w:rPr>
        <w:t xml:space="preserve"> </w:t>
      </w:r>
      <w:r w:rsidRPr="0018453E">
        <w:rPr>
          <w:rFonts w:ascii="Book Antiqua" w:eastAsia="Book Antiqua" w:hAnsi="Book Antiqua" w:cs="Book Antiqua"/>
          <w:sz w:val="24"/>
          <w:szCs w:val="24"/>
        </w:rPr>
        <w:t xml:space="preserve">pandemic period. Data were obtained from questionnaires and </w:t>
      </w:r>
      <w:r w:rsidR="000E5389">
        <w:rPr>
          <w:rFonts w:ascii="Book Antiqua" w:eastAsia="Book Antiqua" w:hAnsi="Book Antiqua" w:cs="Book Antiqua"/>
          <w:sz w:val="24"/>
          <w:szCs w:val="24"/>
        </w:rPr>
        <w:t>electronic medical record</w:t>
      </w:r>
      <w:r w:rsidRPr="0018453E">
        <w:rPr>
          <w:rFonts w:ascii="Book Antiqua" w:eastAsia="Book Antiqua" w:hAnsi="Book Antiqua" w:cs="Book Antiqua"/>
          <w:sz w:val="24"/>
          <w:szCs w:val="24"/>
        </w:rPr>
        <w:t xml:space="preserve"> systems. </w:t>
      </w:r>
    </w:p>
    <w:p w14:paraId="4C93242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3DDEEA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RESULTS</w:t>
      </w:r>
    </w:p>
    <w:p w14:paraId="3419C015" w14:textId="0B30B2C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A total of 17561 children, including 2652 who met the criteria for screening, 192 suspected cases, and two confirmed cases without omission, were screened from January 20, 2020 to March 20, 2020 at solstice during the pandemic period. There </w:t>
      </w:r>
      <w:r w:rsidR="000E5389">
        <w:rPr>
          <w:rFonts w:ascii="Book Antiqua" w:eastAsia="Book Antiqua" w:hAnsi="Book Antiqua" w:cs="Book Antiqua"/>
          <w:sz w:val="24"/>
          <w:szCs w:val="24"/>
        </w:rPr>
        <w:t>was</w:t>
      </w:r>
      <w:r w:rsidRPr="0018453E">
        <w:rPr>
          <w:rFonts w:ascii="Book Antiqua" w:eastAsia="Book Antiqua" w:hAnsi="Book Antiqua" w:cs="Book Antiqua"/>
          <w:sz w:val="24"/>
          <w:szCs w:val="24"/>
        </w:rPr>
        <w:t xml:space="preserve"> zero transmission of the infection to any medical staff. </w:t>
      </w:r>
    </w:p>
    <w:p w14:paraId="5AEAB4A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92242E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CONCLUSION</w:t>
      </w:r>
    </w:p>
    <w:p w14:paraId="326CE9D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The effective strategies for pre-screening triage have an essential role in the prevention </w:t>
      </w:r>
      <w:r w:rsidRPr="0018453E">
        <w:rPr>
          <w:rFonts w:ascii="Book Antiqua" w:eastAsia="Book Antiqua" w:hAnsi="Book Antiqua" w:cs="Book Antiqua"/>
          <w:sz w:val="24"/>
          <w:szCs w:val="24"/>
        </w:rPr>
        <w:lastRenderedPageBreak/>
        <w:t>and control of hospital infection.</w:t>
      </w:r>
    </w:p>
    <w:p w14:paraId="17539BD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D8DA266" w14:textId="77777777" w:rsidR="00940440" w:rsidRPr="0018453E" w:rsidRDefault="00B744AA" w:rsidP="0018453E">
      <w:pPr>
        <w:adjustRightInd w:val="0"/>
        <w:snapToGrid w:val="0"/>
        <w:spacing w:line="360" w:lineRule="auto"/>
        <w:rPr>
          <w:rFonts w:ascii="Book Antiqua" w:eastAsia="Book Antiqua" w:hAnsi="Book Antiqua" w:cs="Book Antiqua"/>
          <w:sz w:val="24"/>
          <w:szCs w:val="24"/>
        </w:rPr>
      </w:pPr>
      <w:r w:rsidRPr="0018453E">
        <w:rPr>
          <w:rFonts w:ascii="Book Antiqua" w:eastAsia="Book Antiqua" w:hAnsi="Book Antiqua" w:cs="Book Antiqua"/>
          <w:b/>
          <w:bCs/>
          <w:sz w:val="24"/>
          <w:szCs w:val="24"/>
        </w:rPr>
        <w:t xml:space="preserve">Key Words: </w:t>
      </w:r>
      <w:r w:rsidRPr="0018453E">
        <w:rPr>
          <w:rFonts w:ascii="Book Antiqua" w:eastAsia="Book Antiqua" w:hAnsi="Book Antiqua" w:cs="Book Antiqua"/>
          <w:sz w:val="24"/>
          <w:szCs w:val="24"/>
        </w:rPr>
        <w:t xml:space="preserve">COVID-19; Pre-screening triage; Management; Implementation; Strategies; </w:t>
      </w:r>
      <w:r w:rsidRPr="0018453E">
        <w:rPr>
          <w:rFonts w:ascii="Book Antiqua" w:hAnsi="Book Antiqua" w:cs="Book Antiqua"/>
          <w:sz w:val="24"/>
          <w:szCs w:val="24"/>
        </w:rPr>
        <w:t>P</w:t>
      </w:r>
      <w:r w:rsidRPr="0018453E">
        <w:rPr>
          <w:rFonts w:ascii="Book Antiqua" w:eastAsia="Book Antiqua" w:hAnsi="Book Antiqua" w:cs="Book Antiqua"/>
          <w:sz w:val="24"/>
          <w:szCs w:val="24"/>
        </w:rPr>
        <w:t>andemic</w:t>
      </w:r>
    </w:p>
    <w:p w14:paraId="3D9C1E76" w14:textId="77777777" w:rsidR="00940440" w:rsidRPr="0018453E" w:rsidRDefault="00940440" w:rsidP="0018453E">
      <w:pPr>
        <w:adjustRightInd w:val="0"/>
        <w:snapToGrid w:val="0"/>
        <w:spacing w:line="360" w:lineRule="auto"/>
        <w:rPr>
          <w:rFonts w:ascii="Book Antiqua" w:eastAsia="Book Antiqua" w:hAnsi="Book Antiqua" w:cs="Book Antiqua"/>
          <w:sz w:val="24"/>
          <w:szCs w:val="24"/>
        </w:rPr>
      </w:pPr>
    </w:p>
    <w:p w14:paraId="29497500" w14:textId="6646ADC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Shi X, Cai YT, Cai X, Wen XL, Wang JY, Ma WC, Shen J, Wu JX, Liu HY, Sun J, He PQ, Lin Y, Zhao DY, Li PQ. </w:t>
      </w:r>
      <w:r w:rsidR="00AD6765" w:rsidRPr="00AD6765">
        <w:rPr>
          <w:rFonts w:ascii="Book Antiqua" w:eastAsia="Book Antiqua" w:hAnsi="Book Antiqua" w:cs="Book Antiqua"/>
          <w:sz w:val="24"/>
          <w:szCs w:val="24"/>
        </w:rPr>
        <w:t xml:space="preserve">Management and implementation strategies of pre-screening triage in children during </w:t>
      </w:r>
      <w:r w:rsidR="00F3689D">
        <w:rPr>
          <w:rFonts w:ascii="Book Antiqua" w:eastAsia="Book Antiqua" w:hAnsi="Book Antiqua" w:cs="Book Antiqua"/>
          <w:sz w:val="24"/>
          <w:szCs w:val="24"/>
        </w:rPr>
        <w:t>coronavirus disease 2019</w:t>
      </w:r>
      <w:r w:rsidR="00F3689D" w:rsidRPr="0018453E">
        <w:rPr>
          <w:rFonts w:ascii="Book Antiqua" w:hAnsi="Book Antiqua" w:cs="Book Antiqua"/>
          <w:sz w:val="24"/>
          <w:szCs w:val="24"/>
        </w:rPr>
        <w:t xml:space="preserve"> </w:t>
      </w:r>
      <w:r w:rsidR="00AD6765" w:rsidRPr="00AD6765">
        <w:rPr>
          <w:rFonts w:ascii="Book Antiqua" w:eastAsia="Book Antiqua" w:hAnsi="Book Antiqua" w:cs="Book Antiqua"/>
          <w:sz w:val="24"/>
          <w:szCs w:val="24"/>
        </w:rPr>
        <w:t>pandemic in Guangzhou, China</w:t>
      </w:r>
      <w:r w:rsidRPr="0018453E">
        <w:rPr>
          <w:rFonts w:ascii="Book Antiqua" w:eastAsia="Book Antiqua" w:hAnsi="Book Antiqua" w:cs="Book Antiqua"/>
          <w:sz w:val="24"/>
          <w:szCs w:val="24"/>
        </w:rPr>
        <w:t xml:space="preserve">. </w:t>
      </w:r>
      <w:r w:rsidRPr="0018453E">
        <w:rPr>
          <w:rFonts w:ascii="Book Antiqua" w:eastAsia="Book Antiqua" w:hAnsi="Book Antiqua" w:cs="Book Antiqua"/>
          <w:i/>
          <w:iCs/>
          <w:sz w:val="24"/>
          <w:szCs w:val="24"/>
        </w:rPr>
        <w:t>World J Clin Cases</w:t>
      </w:r>
      <w:r w:rsidRPr="0018453E">
        <w:rPr>
          <w:rFonts w:ascii="Book Antiqua" w:eastAsia="Book Antiqua" w:hAnsi="Book Antiqua" w:cs="Book Antiqua"/>
          <w:sz w:val="24"/>
          <w:szCs w:val="24"/>
        </w:rPr>
        <w:t xml:space="preserve"> 2021; In press</w:t>
      </w:r>
    </w:p>
    <w:p w14:paraId="021A5C9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85DD8CD" w14:textId="6DC7EDFB"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Core Tip: </w:t>
      </w:r>
      <w:r w:rsidRPr="0018453E">
        <w:rPr>
          <w:rFonts w:ascii="Book Antiqua" w:eastAsia="Book Antiqua" w:hAnsi="Book Antiqua" w:cs="Book Antiqua"/>
          <w:sz w:val="24"/>
          <w:szCs w:val="24"/>
        </w:rPr>
        <w:t xml:space="preserve">As the designated treatment center for children with </w:t>
      </w:r>
      <w:r w:rsidR="00333C9C" w:rsidRPr="0018453E">
        <w:rPr>
          <w:rFonts w:ascii="Book Antiqua" w:eastAsia="Book Antiqua" w:hAnsi="Book Antiqua" w:cs="Book Antiqua"/>
          <w:sz w:val="24"/>
          <w:szCs w:val="24"/>
        </w:rPr>
        <w:t>severe acute respiratory syndrome coronavirus 2</w:t>
      </w:r>
      <w:r w:rsidRPr="0018453E">
        <w:rPr>
          <w:rFonts w:ascii="Book Antiqua" w:eastAsia="Book Antiqua" w:hAnsi="Book Antiqua" w:cs="Book Antiqua"/>
          <w:sz w:val="24"/>
          <w:szCs w:val="24"/>
        </w:rPr>
        <w:t xml:space="preserve"> infection in Guangdong Province during the pandemic period, we developed standardized triage screening procedures to assist health care providers with next steps</w:t>
      </w:r>
      <w:r w:rsidR="000E5389">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 simple but crucial questionnaire </w:t>
      </w:r>
      <w:r w:rsidR="000E5389">
        <w:rPr>
          <w:rFonts w:ascii="Book Antiqua" w:eastAsia="Book Antiqua" w:hAnsi="Book Antiqua" w:cs="Book Antiqua"/>
          <w:sz w:val="24"/>
          <w:szCs w:val="24"/>
        </w:rPr>
        <w:t>wa</w:t>
      </w:r>
      <w:r w:rsidRPr="0018453E">
        <w:rPr>
          <w:rFonts w:ascii="Book Antiqua" w:eastAsia="Book Antiqua" w:hAnsi="Book Antiqua" w:cs="Book Antiqua"/>
          <w:sz w:val="24"/>
          <w:szCs w:val="24"/>
        </w:rPr>
        <w:t xml:space="preserve">s designed to assist diagnosing patients. </w:t>
      </w:r>
      <w:r w:rsidR="000E5389">
        <w:rPr>
          <w:rFonts w:ascii="Book Antiqua" w:eastAsia="Book Antiqua" w:hAnsi="Book Antiqua" w:cs="Book Antiqua"/>
          <w:sz w:val="24"/>
          <w:szCs w:val="24"/>
        </w:rPr>
        <w:t>All interventions, including</w:t>
      </w:r>
      <w:r w:rsidRPr="0018453E">
        <w:rPr>
          <w:rFonts w:ascii="Book Antiqua" w:eastAsia="Book Antiqua" w:hAnsi="Book Antiqua" w:cs="Book Antiqua"/>
          <w:sz w:val="24"/>
          <w:szCs w:val="24"/>
        </w:rPr>
        <w:t xml:space="preserve"> multi-point temperature monitoring and screening, extensive screenings, and two-way protection, effectively prevent</w:t>
      </w:r>
      <w:r w:rsidR="000E5389">
        <w:rPr>
          <w:rFonts w:ascii="Book Antiqua" w:eastAsia="Book Antiqua" w:hAnsi="Book Antiqua" w:cs="Book Antiqua"/>
          <w:sz w:val="24"/>
          <w:szCs w:val="24"/>
        </w:rPr>
        <w:t>ed</w:t>
      </w:r>
      <w:r w:rsidRPr="0018453E">
        <w:rPr>
          <w:rFonts w:ascii="Book Antiqua" w:eastAsia="Book Antiqua" w:hAnsi="Book Antiqua" w:cs="Book Antiqua"/>
          <w:sz w:val="24"/>
          <w:szCs w:val="24"/>
        </w:rPr>
        <w:t xml:space="preserve"> the spread of the epidemic. There were no infected patients missed</w:t>
      </w:r>
      <w:r w:rsidR="000E5389">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w:t>
      </w:r>
      <w:r w:rsidR="000E5389">
        <w:rPr>
          <w:rFonts w:ascii="Book Antiqua" w:eastAsia="Book Antiqua" w:hAnsi="Book Antiqua" w:cs="Book Antiqua"/>
          <w:sz w:val="24"/>
          <w:szCs w:val="24"/>
        </w:rPr>
        <w:t>there was</w:t>
      </w:r>
      <w:r w:rsidRPr="0018453E">
        <w:rPr>
          <w:rFonts w:ascii="Book Antiqua" w:eastAsia="Book Antiqua" w:hAnsi="Book Antiqua" w:cs="Book Antiqua"/>
          <w:sz w:val="24"/>
          <w:szCs w:val="24"/>
        </w:rPr>
        <w:t xml:space="preserve"> zero transmission of the infection to any medical staff.</w:t>
      </w:r>
    </w:p>
    <w:p w14:paraId="28A03D6B" w14:textId="77777777" w:rsidR="00333C9C" w:rsidRDefault="00333C9C" w:rsidP="0018453E">
      <w:pPr>
        <w:adjustRightInd w:val="0"/>
        <w:snapToGrid w:val="0"/>
        <w:spacing w:line="360" w:lineRule="auto"/>
        <w:rPr>
          <w:rFonts w:ascii="Book Antiqua" w:hAnsi="Book Antiqua" w:cs="Book Antiqua"/>
          <w:sz w:val="24"/>
          <w:szCs w:val="24"/>
        </w:rPr>
        <w:sectPr w:rsidR="00333C9C">
          <w:pgSz w:w="12240" w:h="15840"/>
          <w:pgMar w:top="1440" w:right="1440" w:bottom="1440" w:left="1440" w:header="720" w:footer="720" w:gutter="0"/>
          <w:cols w:space="720"/>
          <w:docGrid w:linePitch="360"/>
        </w:sectPr>
      </w:pPr>
    </w:p>
    <w:p w14:paraId="36B9457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lastRenderedPageBreak/>
        <w:t>INTRODUCTION</w:t>
      </w:r>
    </w:p>
    <w:p w14:paraId="7CAACB01" w14:textId="73FF974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Emerging infectious diseases are a constant threat to the public’s health and health care systems around the world</w:t>
      </w:r>
      <w:r w:rsidRPr="0018453E">
        <w:rPr>
          <w:rFonts w:ascii="Book Antiqua" w:eastAsia="Book Antiqua" w:hAnsi="Book Antiqua" w:cs="Book Antiqua"/>
          <w:sz w:val="24"/>
          <w:szCs w:val="24"/>
          <w:vertAlign w:val="superscript"/>
        </w:rPr>
        <w:t>[1]</w:t>
      </w:r>
      <w:r w:rsidRPr="0018453E">
        <w:rPr>
          <w:rFonts w:ascii="Book Antiqua" w:eastAsia="Book Antiqua" w:hAnsi="Book Antiqua" w:cs="Book Antiqua"/>
          <w:sz w:val="24"/>
          <w:szCs w:val="24"/>
        </w:rPr>
        <w:t>. Coronavirus disease 2019 (COVID-19), which was defined by the World Health Organization as pandemic</w:t>
      </w:r>
      <w:r w:rsidRPr="0018453E">
        <w:rPr>
          <w:rFonts w:ascii="Book Antiqua" w:eastAsia="Book Antiqua" w:hAnsi="Book Antiqua" w:cs="Book Antiqua"/>
          <w:sz w:val="24"/>
          <w:szCs w:val="24"/>
          <w:vertAlign w:val="superscript"/>
        </w:rPr>
        <w:t>[2]</w:t>
      </w:r>
      <w:r w:rsidRPr="0018453E">
        <w:rPr>
          <w:rFonts w:ascii="Book Antiqua" w:eastAsia="Book Antiqua" w:hAnsi="Book Antiqua" w:cs="Book Antiqua"/>
          <w:sz w:val="24"/>
          <w:szCs w:val="24"/>
        </w:rPr>
        <w:t>, has rapidly emerged as a global health threat</w:t>
      </w:r>
      <w:r w:rsidRPr="0018453E">
        <w:rPr>
          <w:rFonts w:ascii="Book Antiqua" w:eastAsia="Book Antiqua" w:hAnsi="Book Antiqua" w:cs="Book Antiqua"/>
          <w:sz w:val="24"/>
          <w:szCs w:val="24"/>
          <w:vertAlign w:val="superscript"/>
        </w:rPr>
        <w:t>[3]</w:t>
      </w:r>
      <w:r w:rsidRPr="0018453E">
        <w:rPr>
          <w:rFonts w:ascii="Book Antiqua" w:eastAsia="Book Antiqua" w:hAnsi="Book Antiqua" w:cs="Book Antiqua"/>
          <w:sz w:val="24"/>
          <w:szCs w:val="24"/>
        </w:rPr>
        <w:t>. The virus was officially named as severe acute respiratory syndrome coronavirus 2 (SARS-CoV-2)</w:t>
      </w:r>
      <w:r w:rsidRPr="0018453E">
        <w:rPr>
          <w:rFonts w:ascii="Book Antiqua" w:eastAsia="Book Antiqua" w:hAnsi="Book Antiqua" w:cs="Book Antiqua"/>
          <w:sz w:val="24"/>
          <w:szCs w:val="24"/>
          <w:vertAlign w:val="superscript"/>
        </w:rPr>
        <w:t>[4]</w:t>
      </w:r>
      <w:r w:rsidRPr="0018453E">
        <w:rPr>
          <w:rFonts w:ascii="Book Antiqua" w:eastAsia="Book Antiqua" w:hAnsi="Book Antiqua" w:cs="Book Antiqua"/>
          <w:sz w:val="24"/>
          <w:szCs w:val="24"/>
        </w:rPr>
        <w:t>. To curb the transmission of the virus, health care professionals, committees, and governments have combined many approaches, such as extensive COVID-19 screening, effective patient triage, the transparent provision of information, and the use of information technology</w:t>
      </w:r>
      <w:r w:rsidRPr="0018453E">
        <w:rPr>
          <w:rFonts w:ascii="Book Antiqua" w:eastAsia="Book Antiqua" w:hAnsi="Book Antiqua" w:cs="Book Antiqua"/>
          <w:sz w:val="24"/>
          <w:szCs w:val="24"/>
          <w:vertAlign w:val="superscript"/>
        </w:rPr>
        <w:t>[5]</w:t>
      </w:r>
      <w:r w:rsidRPr="0018453E">
        <w:rPr>
          <w:rFonts w:ascii="Book Antiqua" w:eastAsia="Book Antiqua" w:hAnsi="Book Antiqua" w:cs="Book Antiqua"/>
          <w:sz w:val="24"/>
          <w:szCs w:val="24"/>
        </w:rPr>
        <w:t>.</w:t>
      </w:r>
    </w:p>
    <w:p w14:paraId="3F3AF154" w14:textId="6AB40F3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Compared with the adult cases, most of the cases found in children are obviously mild, where children tend to recover quickly and have a good prognosis. Currently, the incubation period of the virus in children has been reported to be 1 d to 14 d, most of which are 3 d to 7 d. Early general symptoms include fever, fatigue, cough, nasal congestion, runny nose, cough sputum, nausea, vomiting, diarrhea, headache, dizziness, and similar, most of which disappear in 1 wk. If the condition worsens, dyspnea and cyanosis may appear. These often appear 1 wk after the illness and may be accompanied by systemic poisoning symptoms such as malaise or restlessness, difficulty in feeding, loss of appetite, reduced crying</w:t>
      </w:r>
      <w:r w:rsidR="00843BD7">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and reduced body movement</w:t>
      </w:r>
      <w:r w:rsidRPr="0018453E">
        <w:rPr>
          <w:rFonts w:ascii="Book Antiqua" w:eastAsia="Book Antiqua" w:hAnsi="Book Antiqua" w:cs="Book Antiqua"/>
          <w:sz w:val="24"/>
          <w:szCs w:val="24"/>
          <w:vertAlign w:val="superscript"/>
        </w:rPr>
        <w:t>[6]</w:t>
      </w:r>
      <w:r w:rsidRPr="0018453E">
        <w:rPr>
          <w:rFonts w:ascii="Book Antiqua" w:eastAsia="Book Antiqua" w:hAnsi="Book Antiqua" w:cs="Book Antiqua"/>
          <w:sz w:val="24"/>
          <w:szCs w:val="24"/>
        </w:rPr>
        <w:t>. Mild and atypical presentations of the infection in children may make the identification of the disease challenging</w:t>
      </w:r>
      <w:r w:rsidRPr="0018453E">
        <w:rPr>
          <w:rFonts w:ascii="Book Antiqua" w:eastAsia="Book Antiqua" w:hAnsi="Book Antiqua" w:cs="Book Antiqua"/>
          <w:sz w:val="24"/>
          <w:szCs w:val="24"/>
          <w:vertAlign w:val="superscript"/>
        </w:rPr>
        <w:t>[7]</w:t>
      </w:r>
      <w:r w:rsidRPr="0018453E">
        <w:rPr>
          <w:rFonts w:ascii="Book Antiqua" w:eastAsia="Book Antiqua" w:hAnsi="Book Antiqua" w:cs="Book Antiqua"/>
          <w:sz w:val="24"/>
          <w:szCs w:val="24"/>
        </w:rPr>
        <w:t>.</w:t>
      </w:r>
    </w:p>
    <w:p w14:paraId="5349090B" w14:textId="2A019C16"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Outbreak evolution and prevention of international implications require substantial flexibility of frontline health care facilities in their response</w:t>
      </w:r>
      <w:r w:rsidRPr="0018453E">
        <w:rPr>
          <w:rFonts w:ascii="Book Antiqua" w:eastAsia="Book Antiqua" w:hAnsi="Book Antiqua" w:cs="Book Antiqua"/>
          <w:sz w:val="24"/>
          <w:szCs w:val="24"/>
          <w:vertAlign w:val="superscript"/>
        </w:rPr>
        <w:t>[8]</w:t>
      </w:r>
      <w:r w:rsidRPr="0018453E">
        <w:rPr>
          <w:rFonts w:ascii="Book Antiqua" w:eastAsia="Book Antiqua" w:hAnsi="Book Antiqua" w:cs="Book Antiqua"/>
          <w:sz w:val="24"/>
          <w:szCs w:val="24"/>
        </w:rPr>
        <w:t xml:space="preserve">. Guangzhou Women and Children’s Medical Center, located in Guangzhou, Guangdong Province, China, is a specialized tertiary pediatric hospital caring for children under 18 years of age, which is the designated treatment center for children with SARS-Cov-2 infection in Guangdong Province during the epidemic period. To </w:t>
      </w:r>
      <w:r w:rsidR="008672F0">
        <w:rPr>
          <w:rFonts w:ascii="Book Antiqua" w:eastAsia="Book Antiqua" w:hAnsi="Book Antiqua" w:cs="Book Antiqua"/>
          <w:sz w:val="24"/>
          <w:szCs w:val="24"/>
        </w:rPr>
        <w:t xml:space="preserve">respond </w:t>
      </w:r>
      <w:r w:rsidRPr="0018453E">
        <w:rPr>
          <w:rFonts w:ascii="Book Antiqua" w:eastAsia="Book Antiqua" w:hAnsi="Book Antiqua" w:cs="Book Antiqua"/>
          <w:sz w:val="24"/>
          <w:szCs w:val="24"/>
        </w:rPr>
        <w:t xml:space="preserve">effectively to the epidemic prevention and control, this hospital has done a lot of work in the prevention of virus transmission, cross-infection, and medical staff infection. The effective strategies for pre-screening triage have an essential role in the prevention and control of hospital infection. The aim of this study was to explore the effect of the implementation and management strategy </w:t>
      </w:r>
      <w:r w:rsidRPr="0018453E">
        <w:rPr>
          <w:rFonts w:ascii="Book Antiqua" w:eastAsia="Book Antiqua" w:hAnsi="Book Antiqua" w:cs="Book Antiqua"/>
          <w:sz w:val="24"/>
          <w:szCs w:val="24"/>
        </w:rPr>
        <w:lastRenderedPageBreak/>
        <w:t>of pre-screening triage in children with the COVID-19 pandemic who consulted the Guangzhou Women and Children’s Medical Center.</w:t>
      </w:r>
    </w:p>
    <w:p w14:paraId="33ECC98F"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1DFD2F4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MATERIALS AND METHODS</w:t>
      </w:r>
    </w:p>
    <w:p w14:paraId="150B260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 xml:space="preserve">Standardized triage screening procedures </w:t>
      </w:r>
    </w:p>
    <w:p w14:paraId="67BE008D" w14:textId="6525A7FB"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Development of a standardized triage screening questionnaire: </w:t>
      </w:r>
      <w:r w:rsidRPr="0018453E">
        <w:rPr>
          <w:rFonts w:ascii="Book Antiqua" w:eastAsia="Book Antiqua" w:hAnsi="Book Antiqua" w:cs="Book Antiqua"/>
          <w:sz w:val="24"/>
          <w:szCs w:val="24"/>
        </w:rPr>
        <w:t xml:space="preserve">Standardized triage screening procedures </w:t>
      </w:r>
      <w:r w:rsidR="003458D4">
        <w:rPr>
          <w:rFonts w:ascii="Book Antiqua" w:eastAsia="Book Antiqua" w:hAnsi="Book Antiqua" w:cs="Book Antiqua"/>
          <w:sz w:val="24"/>
          <w:szCs w:val="24"/>
        </w:rPr>
        <w:t>are</w:t>
      </w:r>
      <w:r w:rsidRPr="0018453E">
        <w:rPr>
          <w:rFonts w:ascii="Book Antiqua" w:eastAsia="Book Antiqua" w:hAnsi="Book Antiqua" w:cs="Book Antiqua"/>
          <w:sz w:val="24"/>
          <w:szCs w:val="24"/>
        </w:rPr>
        <w:t xml:space="preserve"> shown in</w:t>
      </w:r>
      <w:r w:rsidRPr="0018453E">
        <w:rPr>
          <w:rFonts w:ascii="Book Antiqua" w:eastAsia="Book Antiqua" w:hAnsi="Book Antiqua" w:cs="Book Antiqua"/>
          <w:b/>
          <w:bCs/>
          <w:sz w:val="24"/>
          <w:szCs w:val="24"/>
        </w:rPr>
        <w:t xml:space="preserve"> </w:t>
      </w:r>
      <w:r w:rsidRPr="0018453E">
        <w:rPr>
          <w:rFonts w:ascii="Book Antiqua" w:eastAsia="Book Antiqua" w:hAnsi="Book Antiqua" w:cs="Book Antiqua"/>
          <w:sz w:val="24"/>
          <w:szCs w:val="24"/>
        </w:rPr>
        <w:t>Figure 1.</w:t>
      </w:r>
      <w:r w:rsidRPr="0018453E">
        <w:rPr>
          <w:rFonts w:ascii="Book Antiqua" w:eastAsia="Book Antiqua" w:hAnsi="Book Antiqua" w:cs="Book Antiqua"/>
          <w:b/>
          <w:bCs/>
          <w:sz w:val="24"/>
          <w:szCs w:val="24"/>
        </w:rPr>
        <w:t xml:space="preserve"> </w:t>
      </w:r>
      <w:r w:rsidRPr="0018453E">
        <w:rPr>
          <w:rFonts w:ascii="Book Antiqua" w:eastAsia="Book Antiqua" w:hAnsi="Book Antiqua" w:cs="Book Antiqua"/>
          <w:sz w:val="24"/>
          <w:szCs w:val="24"/>
        </w:rPr>
        <w:t>Standardized triage screening questionnaire was designed to assist health care providers with the next steps, which was about symptoms of fever, respiratory symptoms, fatigue, diarrhea, conjunctival congestion, and their travel history and any history of contact with people with confirmed cases of COVID-19.</w:t>
      </w:r>
    </w:p>
    <w:p w14:paraId="7F281BA7" w14:textId="7777777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All patients who visited the hospital, regardless of the reason for their visit, were required to fill out this questionnaire before entering the hospital. People with a mobile phone could fill out the questionnaire by scanning the QR code, which reduced the time of collecting information, minimized the risk of potential contamination by touching the pen and paper, and also shortened the waiting time. After this step, people were allowed to enter the hospital, depending on their symptoms. If the symptoms were combined with epidemiological risk, the patients were isolated, appropriate infection prevention and control measures were implemented, and testing for SARS-CoV-2 was initiated.</w:t>
      </w:r>
    </w:p>
    <w:p w14:paraId="40B9CE3A"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33296AF3" w14:textId="70AA2C5C"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Setup of pre-screening triage station</w:t>
      </w:r>
      <w:r w:rsidRPr="00AA598D">
        <w:rPr>
          <w:rFonts w:ascii="Book Antiqua" w:eastAsia="Book Antiqua" w:hAnsi="Book Antiqua" w:cs="Book Antiqua"/>
          <w:b/>
          <w:bCs/>
          <w:sz w:val="24"/>
          <w:szCs w:val="24"/>
        </w:rPr>
        <w:t>:</w:t>
      </w:r>
      <w:r w:rsidRPr="0018453E">
        <w:rPr>
          <w:rFonts w:ascii="Book Antiqua" w:eastAsia="Book Antiqua" w:hAnsi="Book Antiqua" w:cs="Book Antiqua"/>
          <w:sz w:val="24"/>
          <w:szCs w:val="24"/>
        </w:rPr>
        <w:t xml:space="preserve"> The triage station was located outside the entrance of the outpatient hall with highlighted signs. All patients had to enter the hospital from the pre-screening triage office. The medical guide nurse guided the patients to the pre-screening station for screening first and then to the corresponding general department after the initial exclusion of specific infectious diseases. The suspected cases were registered, and the patient was escorted to the fever clinic by designated routes. </w:t>
      </w:r>
    </w:p>
    <w:p w14:paraId="56F8CAFC"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190162B" w14:textId="4B74C001"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Multi-point temperature monitoring and screening:</w:t>
      </w:r>
      <w:r w:rsidRPr="0018453E">
        <w:rPr>
          <w:rFonts w:ascii="Book Antiqua" w:eastAsia="Book Antiqua" w:hAnsi="Book Antiqua" w:cs="Book Antiqua"/>
          <w:sz w:val="24"/>
          <w:szCs w:val="24"/>
        </w:rPr>
        <w:t xml:space="preserve"> Temperature monitoring was performed three times: </w:t>
      </w:r>
      <w:r w:rsidR="00CA4CAB">
        <w:rPr>
          <w:rFonts w:ascii="Book Antiqua" w:eastAsia="Book Antiqua" w:hAnsi="Book Antiqua" w:cs="Book Antiqua"/>
          <w:sz w:val="24"/>
          <w:szCs w:val="24"/>
        </w:rPr>
        <w:t>F</w:t>
      </w:r>
      <w:r w:rsidRPr="0018453E">
        <w:rPr>
          <w:rFonts w:ascii="Book Antiqua" w:eastAsia="Book Antiqua" w:hAnsi="Book Antiqua" w:cs="Book Antiqua"/>
          <w:sz w:val="24"/>
          <w:szCs w:val="24"/>
        </w:rPr>
        <w:t xml:space="preserve">irst, when the children and their relatives reached the entrance of the hospital, the security guard used the mobile infrared thermometer to measure their </w:t>
      </w:r>
      <w:r w:rsidRPr="0018453E">
        <w:rPr>
          <w:rFonts w:ascii="Book Antiqua" w:eastAsia="Book Antiqua" w:hAnsi="Book Antiqua" w:cs="Book Antiqua"/>
          <w:sz w:val="24"/>
          <w:szCs w:val="24"/>
        </w:rPr>
        <w:lastRenderedPageBreak/>
        <w:t xml:space="preserve">body temperature. Second, when they went to the pre-screening triage station, the triage nurse measured the body temperature again while they were filling out of the standardized triage screening questionnaire. Third, they needed to stop at the secondary triage table before the doctor’s visit presenting the registration report and taking the temperature, where the nurse would also ask about the epidemic history. </w:t>
      </w:r>
    </w:p>
    <w:p w14:paraId="2FAF2353" w14:textId="7C9567E8"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When the doctor received a pediatric patient, he would again carefully ask about the epidemic history and comprehensively evaluate the symptoms of the child. In any of the four links, if the child’s situation was consistent with the suspected case, he</w:t>
      </w:r>
      <w:r w:rsidR="00FE284C">
        <w:rPr>
          <w:rFonts w:ascii="Book Antiqua" w:eastAsia="Book Antiqua" w:hAnsi="Book Antiqua" w:cs="Book Antiqua"/>
          <w:sz w:val="24"/>
          <w:szCs w:val="24"/>
        </w:rPr>
        <w:t>/she</w:t>
      </w:r>
      <w:r w:rsidRPr="0018453E">
        <w:rPr>
          <w:rFonts w:ascii="Book Antiqua" w:eastAsia="Book Antiqua" w:hAnsi="Book Antiqua" w:cs="Book Antiqua"/>
          <w:sz w:val="24"/>
          <w:szCs w:val="24"/>
        </w:rPr>
        <w:t xml:space="preserve"> was escorted to the fever clinic for further treatment.</w:t>
      </w:r>
    </w:p>
    <w:p w14:paraId="6CEAE75D"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0ABACE2E"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Extensive screenings</w:t>
      </w:r>
    </w:p>
    <w:p w14:paraId="3B8463B3" w14:textId="58F6C67F"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To </w:t>
      </w:r>
      <w:r w:rsidR="00E50D61">
        <w:rPr>
          <w:rFonts w:ascii="Book Antiqua" w:eastAsia="Book Antiqua" w:hAnsi="Book Antiqua" w:cs="Book Antiqua"/>
          <w:sz w:val="24"/>
          <w:szCs w:val="24"/>
        </w:rPr>
        <w:t xml:space="preserve">respond </w:t>
      </w:r>
      <w:r w:rsidRPr="0018453E">
        <w:rPr>
          <w:rFonts w:ascii="Book Antiqua" w:eastAsia="Book Antiqua" w:hAnsi="Book Antiqua" w:cs="Book Antiqua"/>
          <w:sz w:val="24"/>
          <w:szCs w:val="24"/>
        </w:rPr>
        <w:t>effectively to the epidemic prevention and control work, all children with fever or respiratory symptoms were tested for SARS-CoV-2 during the pandemic.</w:t>
      </w:r>
    </w:p>
    <w:p w14:paraId="60F18B37"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D7697D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Two-way protection</w:t>
      </w:r>
    </w:p>
    <w:p w14:paraId="39AD0627" w14:textId="0E29D1B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Based on the prevention and control measures of contact isolation and droplet isolation and air isolation, an intensive preventive and control of hospital infection strategy for novel coronavirus were adopted to prevent both transmissions of the disease from the patient to the medical staff and from the medical staff to the patients and cross-infection among the patients by emphasizing the "two-way protection".</w:t>
      </w:r>
      <w:r w:rsidR="00E50D61">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Trained physicians and nurses wearing personal protective equipment worked together for initial assessment and the differential diagnosis of the fever. Routine hand sanitizers were made ready to be used at any time. Hands were washed, or a quick hand disinfectant was used after each contact with the patient, and the outpatient environment was kept clean and well ventilated. A prompt reminder was given to those not wearing masks, and timely distribution of masks was provided for those not wearing masks.</w:t>
      </w:r>
    </w:p>
    <w:p w14:paraId="3DD1CC3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494A08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Prevention and control management strategy</w:t>
      </w:r>
    </w:p>
    <w:p w14:paraId="44DFB54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Training and emergency exercise: </w:t>
      </w:r>
      <w:r w:rsidRPr="0018453E">
        <w:rPr>
          <w:rFonts w:ascii="Book Antiqua" w:eastAsia="Book Antiqua" w:hAnsi="Book Antiqua" w:cs="Book Antiqua"/>
          <w:sz w:val="24"/>
          <w:szCs w:val="24"/>
        </w:rPr>
        <w:t xml:space="preserve">In order to cope with the changing situation of the epidemic, the prevention and control measures were also accordingly adjusted. The </w:t>
      </w:r>
      <w:r w:rsidRPr="0018453E">
        <w:rPr>
          <w:rFonts w:ascii="Book Antiqua" w:eastAsia="Book Antiqua" w:hAnsi="Book Antiqua" w:cs="Book Antiqua"/>
          <w:sz w:val="24"/>
          <w:szCs w:val="24"/>
        </w:rPr>
        <w:lastRenderedPageBreak/>
        <w:t>emergency work manual at our hospital was updated from the first edition to the 18</w:t>
      </w:r>
      <w:r w:rsidRPr="00333C9C">
        <w:rPr>
          <w:rFonts w:ascii="Book Antiqua" w:eastAsia="Book Antiqua" w:hAnsi="Book Antiqua" w:cs="Book Antiqua"/>
          <w:sz w:val="24"/>
          <w:szCs w:val="24"/>
          <w:vertAlign w:val="superscript"/>
        </w:rPr>
        <w:t>th</w:t>
      </w:r>
      <w:r w:rsidRPr="0018453E">
        <w:rPr>
          <w:rFonts w:ascii="Book Antiqua" w:eastAsia="Book Antiqua" w:hAnsi="Book Antiqua" w:cs="Book Antiqua"/>
          <w:sz w:val="24"/>
          <w:szCs w:val="24"/>
        </w:rPr>
        <w:t xml:space="preserve"> edition. For each edition, the staff was organized to study and take exams. On the basis of training and examination, the emergency exercises were organized, and all of the staff was enabled to master the triage screening process through repeated simulation drills.</w:t>
      </w:r>
    </w:p>
    <w:p w14:paraId="553B761C"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52EE4EA"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Staff protection:</w:t>
      </w:r>
      <w:r w:rsidRPr="0018453E">
        <w:rPr>
          <w:rFonts w:ascii="Book Antiqua" w:eastAsia="Book Antiqua" w:hAnsi="Book Antiqua" w:cs="Book Antiqua"/>
          <w:sz w:val="24"/>
          <w:szCs w:val="24"/>
        </w:rPr>
        <w:t xml:space="preserve"> According to the outpatient flow, and flexible scheduling, it was assured for triage nurses to take turns to rest and avoid overwork. Managers strived to understand the psychological activities of employees and timely conduct psychological counseling.</w:t>
      </w:r>
    </w:p>
    <w:p w14:paraId="5310CF8E" w14:textId="77777777" w:rsidR="00940440" w:rsidRPr="0018453E" w:rsidRDefault="00B744AA" w:rsidP="0018453E">
      <w:pPr>
        <w:adjustRightInd w:val="0"/>
        <w:snapToGrid w:val="0"/>
        <w:spacing w:line="360" w:lineRule="auto"/>
        <w:ind w:firstLine="420"/>
        <w:rPr>
          <w:rFonts w:ascii="Book Antiqua" w:hAnsi="Book Antiqua" w:cs="Book Antiqua"/>
          <w:sz w:val="24"/>
          <w:szCs w:val="24"/>
        </w:rPr>
      </w:pPr>
      <w:r w:rsidRPr="0018453E">
        <w:rPr>
          <w:rFonts w:ascii="Book Antiqua" w:eastAsia="Book Antiqua" w:hAnsi="Book Antiqua" w:cs="Book Antiqua"/>
          <w:sz w:val="24"/>
          <w:szCs w:val="24"/>
        </w:rPr>
        <w:t xml:space="preserve">The department's infection control team was set up to monitor the physical health of all employees, and the staff was monitored, and their body temperature was recorded twice a day, while the abnormal symptoms were reported on time. Once the employee was found to have a fever (above 37.3 ºC), cough, and other symptoms related to COVID-19, he/she immediately stopped working. The virus pathogen samples were collected for inspection at the department twice within 24 h, and the observation was performed in the designated areas. </w:t>
      </w:r>
    </w:p>
    <w:p w14:paraId="46F75FAA" w14:textId="77777777" w:rsidR="00940440" w:rsidRPr="0018453E" w:rsidRDefault="00940440" w:rsidP="0018453E">
      <w:pPr>
        <w:adjustRightInd w:val="0"/>
        <w:snapToGrid w:val="0"/>
        <w:spacing w:line="360" w:lineRule="auto"/>
        <w:ind w:firstLine="420"/>
        <w:rPr>
          <w:rFonts w:ascii="Book Antiqua" w:hAnsi="Book Antiqua" w:cs="Book Antiqua"/>
          <w:sz w:val="24"/>
          <w:szCs w:val="24"/>
        </w:rPr>
      </w:pPr>
    </w:p>
    <w:p w14:paraId="1B1DD7E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Data collection</w:t>
      </w:r>
    </w:p>
    <w:p w14:paraId="62EF5B0E" w14:textId="755E9884"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Statistical analysis was performed on the data from all children hospitalized from January 20, 2020 to March 20, 2020 at solstice during the epidemic period. The age, gender, clinical manifestation, epidemic history, time of onset, and other relevant data were collected by questionnaires and </w:t>
      </w:r>
      <w:r w:rsidR="000E5389">
        <w:rPr>
          <w:rFonts w:ascii="Book Antiqua" w:eastAsia="Book Antiqua" w:hAnsi="Book Antiqua" w:cs="Book Antiqua"/>
          <w:sz w:val="24"/>
          <w:szCs w:val="24"/>
        </w:rPr>
        <w:t>electronic medical record</w:t>
      </w:r>
      <w:r w:rsidRPr="0018453E">
        <w:rPr>
          <w:rFonts w:ascii="Book Antiqua" w:eastAsia="Book Antiqua" w:hAnsi="Book Antiqua" w:cs="Book Antiqua"/>
          <w:sz w:val="24"/>
          <w:szCs w:val="24"/>
        </w:rPr>
        <w:t xml:space="preserve"> systems.</w:t>
      </w:r>
    </w:p>
    <w:p w14:paraId="13850826"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196480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i/>
          <w:iCs/>
          <w:sz w:val="24"/>
          <w:szCs w:val="24"/>
        </w:rPr>
        <w:t xml:space="preserve">Ethics approval </w:t>
      </w:r>
    </w:p>
    <w:p w14:paraId="2D565DE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Ethics approval was obtained from the Ethics Committee of Guangzhou Women and Children’s Medical Center.</w:t>
      </w:r>
    </w:p>
    <w:p w14:paraId="655C6E0F"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5F70FD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RESULTS</w:t>
      </w:r>
    </w:p>
    <w:p w14:paraId="12267AA7" w14:textId="0AC03D46"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A total of 17561 children, including 2652 who met the criteria for screening, 192 suspected cases, and two confirmed cases without omission</w:t>
      </w:r>
      <w:r w:rsidR="00FE284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were screened from January 20, 2020 </w:t>
      </w:r>
      <w:r w:rsidRPr="0018453E">
        <w:rPr>
          <w:rFonts w:ascii="Book Antiqua" w:eastAsia="Book Antiqua" w:hAnsi="Book Antiqua" w:cs="Book Antiqua"/>
          <w:sz w:val="24"/>
          <w:szCs w:val="24"/>
        </w:rPr>
        <w:lastRenderedPageBreak/>
        <w:t>to March 20, 2020 at solstice during the pandemic period (Table1).</w:t>
      </w:r>
    </w:p>
    <w:p w14:paraId="693C1535" w14:textId="762D5DAC" w:rsidR="00940440" w:rsidRPr="0018453E" w:rsidRDefault="00B744AA" w:rsidP="0018453E">
      <w:pPr>
        <w:adjustRightInd w:val="0"/>
        <w:snapToGrid w:val="0"/>
        <w:spacing w:line="360" w:lineRule="auto"/>
        <w:ind w:firstLineChars="100" w:firstLine="240"/>
        <w:rPr>
          <w:rFonts w:ascii="Book Antiqua" w:hAnsi="Book Antiqua" w:cs="Book Antiqua"/>
          <w:sz w:val="24"/>
          <w:szCs w:val="24"/>
        </w:rPr>
      </w:pPr>
      <w:r w:rsidRPr="0018453E">
        <w:rPr>
          <w:rFonts w:ascii="Book Antiqua" w:eastAsia="Book Antiqua" w:hAnsi="Book Antiqua" w:cs="Book Antiqua"/>
          <w:sz w:val="24"/>
          <w:szCs w:val="24"/>
        </w:rPr>
        <w:t>Forty-two point six seven percent of the children were female with a median age of 48 mo, 68.</w:t>
      </w:r>
      <w:r w:rsidRPr="0018453E">
        <w:rPr>
          <w:rFonts w:ascii="Book Antiqua" w:hAnsi="Book Antiqua" w:cs="Book Antiqua"/>
          <w:sz w:val="24"/>
          <w:szCs w:val="24"/>
        </w:rPr>
        <w:t>9</w:t>
      </w:r>
      <w:r w:rsidRPr="0018453E">
        <w:rPr>
          <w:rFonts w:ascii="Book Antiqua" w:eastAsia="Book Antiqua" w:hAnsi="Book Antiqua" w:cs="Book Antiqua"/>
          <w:sz w:val="24"/>
          <w:szCs w:val="24"/>
        </w:rPr>
        <w:t>% were from local areas, 20.2% had a history of prevalence, and the median onset time was 1 d. The average time to fill out the questionnaire was 2.9</w:t>
      </w:r>
      <w:r w:rsidRPr="0018453E">
        <w:rPr>
          <w:rFonts w:ascii="Book Antiqua" w:hAnsi="Book Antiqua" w:cs="Book Antiqua"/>
          <w:sz w:val="24"/>
          <w:szCs w:val="24"/>
        </w:rPr>
        <w:t xml:space="preserve"> </w:t>
      </w:r>
      <w:r w:rsidRPr="0018453E">
        <w:rPr>
          <w:rFonts w:ascii="Book Antiqua" w:eastAsia="Book Antiqua" w:hAnsi="Book Antiqua" w:cs="Book Antiqua"/>
          <w:sz w:val="24"/>
          <w:szCs w:val="24"/>
        </w:rPr>
        <w:t>± 3.</w:t>
      </w:r>
      <w:r w:rsidRPr="0018453E">
        <w:rPr>
          <w:rFonts w:ascii="Book Antiqua" w:hAnsi="Book Antiqua" w:cs="Book Antiqua"/>
          <w:sz w:val="24"/>
          <w:szCs w:val="24"/>
        </w:rPr>
        <w:t>5</w:t>
      </w:r>
      <w:r w:rsidRPr="0018453E">
        <w:rPr>
          <w:rFonts w:ascii="Book Antiqua" w:eastAsia="Book Antiqua" w:hAnsi="Book Antiqua" w:cs="Book Antiqua"/>
          <w:sz w:val="24"/>
          <w:szCs w:val="24"/>
        </w:rPr>
        <w:t xml:space="preserve"> min. There has been a zero transmission of the infection to any medical staff. </w:t>
      </w:r>
    </w:p>
    <w:p w14:paraId="41068977"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2D473B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DISCUSSION</w:t>
      </w:r>
    </w:p>
    <w:p w14:paraId="1B6748DC" w14:textId="3A564D03" w:rsidR="00940440" w:rsidRPr="0018453E" w:rsidRDefault="00B744AA" w:rsidP="00AA598D">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It has been reported that COVID-19 can spread through droplets, aerosols, contact</w:t>
      </w:r>
      <w:r w:rsidR="00F32792">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or digestive tract</w:t>
      </w:r>
      <w:r w:rsidRPr="0018453E">
        <w:rPr>
          <w:rFonts w:ascii="Book Antiqua" w:eastAsia="Book Antiqua" w:hAnsi="Book Antiqua" w:cs="Book Antiqua"/>
          <w:sz w:val="24"/>
          <w:szCs w:val="24"/>
          <w:vertAlign w:val="superscript"/>
        </w:rPr>
        <w:t>[9,10]</w:t>
      </w:r>
      <w:r w:rsidRPr="0018453E">
        <w:rPr>
          <w:rFonts w:ascii="Book Antiqua" w:eastAsia="Book Antiqua" w:hAnsi="Book Antiqua" w:cs="Book Antiqua"/>
          <w:sz w:val="24"/>
          <w:szCs w:val="24"/>
        </w:rPr>
        <w:t>. The hospital is a high-risk area for nosocomial transmission, and the most vital strategy for minimizing the risk of nosocomial infection starts from the triage stations</w:t>
      </w:r>
      <w:r w:rsidRPr="0018453E">
        <w:rPr>
          <w:rFonts w:ascii="Book Antiqua" w:eastAsia="Book Antiqua" w:hAnsi="Book Antiqua" w:cs="Book Antiqua"/>
          <w:sz w:val="24"/>
          <w:szCs w:val="24"/>
          <w:vertAlign w:val="superscript"/>
        </w:rPr>
        <w:t>[11]</w:t>
      </w:r>
      <w:r w:rsidRPr="0018453E">
        <w:rPr>
          <w:rFonts w:ascii="Book Antiqua" w:eastAsia="Book Antiqua" w:hAnsi="Book Antiqua" w:cs="Book Antiqua"/>
          <w:sz w:val="24"/>
          <w:szCs w:val="24"/>
        </w:rPr>
        <w:t xml:space="preserve">. </w:t>
      </w:r>
    </w:p>
    <w:p w14:paraId="6462E78D" w14:textId="7777777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As the designated treatment center for children with SARS-Cov-2 infection in Guangdong Province during the epidemic period, we developed standardized triage screening procedures to assist health care providers. A simple, questionnaire addressing crucial points was designed to assist diagnosing patients. The multi-point temperature monitoring and screening, extensive screenings, and two-way protection are all effective methods for preventing the spread of the pandemic. There were no missed infected patients or transmission of the infection to any medical staff.</w:t>
      </w:r>
    </w:p>
    <w:p w14:paraId="4159FEF0" w14:textId="77777777"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Similar studies have shown that, in Western Chongqing, COVID-2019 has been rapidly and well controlled in all of the counties, which was mainly due to qualified triage station and fever clinics in combination with community isolation, quarantine, and medical support</w:t>
      </w:r>
      <w:r w:rsidRPr="0018453E">
        <w:rPr>
          <w:rFonts w:ascii="Book Antiqua" w:eastAsia="Book Antiqua" w:hAnsi="Book Antiqua" w:cs="Book Antiqua"/>
          <w:sz w:val="24"/>
          <w:szCs w:val="24"/>
          <w:vertAlign w:val="superscript"/>
        </w:rPr>
        <w:t>[12]</w:t>
      </w:r>
      <w:r w:rsidRPr="0018453E">
        <w:rPr>
          <w:rFonts w:ascii="Book Antiqua" w:eastAsia="Book Antiqua" w:hAnsi="Book Antiqua" w:cs="Book Antiqua"/>
          <w:sz w:val="24"/>
          <w:szCs w:val="24"/>
        </w:rPr>
        <w:t>. The initiated first fever screening system has an important role in the prevention and control of hospital infection in the third people's hospital of Shenzhen China</w:t>
      </w:r>
      <w:r w:rsidRPr="0018453E">
        <w:rPr>
          <w:rFonts w:ascii="Book Antiqua" w:eastAsia="Book Antiqua" w:hAnsi="Book Antiqua" w:cs="Book Antiqua"/>
          <w:sz w:val="24"/>
          <w:szCs w:val="24"/>
          <w:vertAlign w:val="superscript"/>
        </w:rPr>
        <w:t>[13]</w:t>
      </w:r>
      <w:r w:rsidRPr="0018453E">
        <w:rPr>
          <w:rFonts w:ascii="Book Antiqua" w:eastAsia="Book Antiqua" w:hAnsi="Book Antiqua" w:cs="Book Antiqua"/>
          <w:sz w:val="24"/>
          <w:szCs w:val="24"/>
        </w:rPr>
        <w:t>.</w:t>
      </w:r>
    </w:p>
    <w:p w14:paraId="34961A8D" w14:textId="01CAE9A9"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Compared with the adult cases, most of those found in children were obviously mild</w:t>
      </w:r>
      <w:r w:rsidRPr="0018453E">
        <w:rPr>
          <w:rFonts w:ascii="Book Antiqua" w:eastAsia="Book Antiqua" w:hAnsi="Book Antiqua" w:cs="Book Antiqua"/>
          <w:sz w:val="24"/>
          <w:szCs w:val="24"/>
          <w:vertAlign w:val="superscript"/>
        </w:rPr>
        <w:t>[6]</w:t>
      </w:r>
      <w:r w:rsidRPr="0018453E">
        <w:rPr>
          <w:rFonts w:ascii="Book Antiqua" w:eastAsia="Book Antiqua" w:hAnsi="Book Antiqua" w:cs="Book Antiqua"/>
          <w:sz w:val="24"/>
          <w:szCs w:val="24"/>
        </w:rPr>
        <w:t>. Mild and atypical presentations of the infection in children may make the infection challenging to detect</w:t>
      </w:r>
      <w:r w:rsidRPr="0018453E">
        <w:rPr>
          <w:rFonts w:ascii="Book Antiqua" w:eastAsia="Book Antiqua" w:hAnsi="Book Antiqua" w:cs="Book Antiqua"/>
          <w:sz w:val="24"/>
          <w:szCs w:val="24"/>
          <w:vertAlign w:val="superscript"/>
        </w:rPr>
        <w:t>[7]</w:t>
      </w:r>
      <w:r w:rsidRPr="0018453E">
        <w:rPr>
          <w:rFonts w:ascii="Book Antiqua" w:eastAsia="Book Antiqua" w:hAnsi="Book Antiqua" w:cs="Book Antiqua"/>
          <w:sz w:val="24"/>
          <w:szCs w:val="24"/>
        </w:rPr>
        <w:t>. Extensive screenings allowed the early identification of asymptomatic or mild patients who had viral loads.</w:t>
      </w:r>
    </w:p>
    <w:p w14:paraId="7D855322" w14:textId="5AA2BB36" w:rsidR="00940440" w:rsidRPr="0018453E" w:rsidRDefault="00B744AA" w:rsidP="0018453E">
      <w:pPr>
        <w:adjustRightInd w:val="0"/>
        <w:snapToGrid w:val="0"/>
        <w:spacing w:line="360" w:lineRule="auto"/>
        <w:ind w:firstLine="440"/>
        <w:rPr>
          <w:rFonts w:ascii="Book Antiqua" w:hAnsi="Book Antiqua" w:cs="Book Antiqua"/>
          <w:sz w:val="24"/>
          <w:szCs w:val="24"/>
        </w:rPr>
      </w:pPr>
      <w:r w:rsidRPr="0018453E">
        <w:rPr>
          <w:rFonts w:ascii="Book Antiqua" w:eastAsia="Book Antiqua" w:hAnsi="Book Antiqua" w:cs="Book Antiqua"/>
          <w:sz w:val="24"/>
          <w:szCs w:val="24"/>
        </w:rPr>
        <w:t>Infectious disease risk screening, similar to other disaster plans, must be flexible enough to adapt to specific emergency situations</w:t>
      </w:r>
      <w:r w:rsidRPr="0018453E">
        <w:rPr>
          <w:rFonts w:ascii="Book Antiqua" w:eastAsia="Book Antiqua" w:hAnsi="Book Antiqua" w:cs="Book Antiqua"/>
          <w:sz w:val="24"/>
          <w:szCs w:val="24"/>
          <w:vertAlign w:val="superscript"/>
        </w:rPr>
        <w:t>[14]</w:t>
      </w:r>
      <w:r w:rsidRPr="0018453E">
        <w:rPr>
          <w:rFonts w:ascii="Book Antiqua" w:eastAsia="Book Antiqua" w:hAnsi="Book Antiqua" w:cs="Book Antiqua"/>
          <w:sz w:val="24"/>
          <w:szCs w:val="24"/>
        </w:rPr>
        <w:t xml:space="preserve">. In order to cope with the changing </w:t>
      </w:r>
      <w:r w:rsidRPr="0018453E">
        <w:rPr>
          <w:rFonts w:ascii="Book Antiqua" w:eastAsia="Book Antiqua" w:hAnsi="Book Antiqua" w:cs="Book Antiqua"/>
          <w:sz w:val="24"/>
          <w:szCs w:val="24"/>
        </w:rPr>
        <w:lastRenderedPageBreak/>
        <w:t xml:space="preserve">situation of the pandemic, the prevention and control measures are also being adjusted accordingly. Recent research have shown that obesity plays an important role in the pathogenesis and transmission of COVID-19 </w:t>
      </w:r>
      <w:proofErr w:type="gramStart"/>
      <w:r w:rsidRPr="0018453E">
        <w:rPr>
          <w:rFonts w:ascii="Book Antiqua" w:eastAsia="Book Antiqua" w:hAnsi="Book Antiqua" w:cs="Book Antiqua"/>
          <w:sz w:val="24"/>
          <w:szCs w:val="24"/>
        </w:rPr>
        <w:t>infection</w:t>
      </w:r>
      <w:r w:rsidRPr="0018453E">
        <w:rPr>
          <w:rFonts w:ascii="Book Antiqua" w:eastAsia="Book Antiqua" w:hAnsi="Book Antiqua" w:cs="Book Antiqua"/>
          <w:sz w:val="24"/>
          <w:szCs w:val="24"/>
          <w:vertAlign w:val="superscript"/>
        </w:rPr>
        <w:t>[</w:t>
      </w:r>
      <w:proofErr w:type="gramEnd"/>
      <w:r w:rsidRPr="0018453E">
        <w:rPr>
          <w:rFonts w:ascii="Book Antiqua" w:eastAsia="Book Antiqua" w:hAnsi="Book Antiqua" w:cs="Book Antiqua"/>
          <w:sz w:val="24"/>
          <w:szCs w:val="24"/>
          <w:vertAlign w:val="superscript"/>
        </w:rPr>
        <w:t>15]</w:t>
      </w:r>
      <w:r w:rsidRPr="0018453E">
        <w:rPr>
          <w:rFonts w:ascii="Book Antiqua" w:eastAsia="Book Antiqua" w:hAnsi="Book Antiqua" w:cs="Book Antiqua"/>
          <w:sz w:val="24"/>
          <w:szCs w:val="24"/>
        </w:rPr>
        <w:t xml:space="preserve"> and may be a risk factor for COVID-19-related mortality, while thrombotic events were an aggravating cause of death</w:t>
      </w:r>
      <w:r w:rsidRPr="0018453E">
        <w:rPr>
          <w:rFonts w:ascii="Book Antiqua" w:eastAsia="Book Antiqua" w:hAnsi="Book Antiqua" w:cs="Book Antiqua"/>
          <w:sz w:val="24"/>
          <w:szCs w:val="24"/>
          <w:vertAlign w:val="superscript"/>
        </w:rPr>
        <w:t>[16]</w:t>
      </w:r>
      <w:r w:rsidRPr="0018453E">
        <w:rPr>
          <w:rFonts w:ascii="Book Antiqua" w:eastAsia="Book Antiqua" w:hAnsi="Book Antiqua" w:cs="Book Antiqua"/>
          <w:sz w:val="24"/>
          <w:szCs w:val="24"/>
        </w:rPr>
        <w:t>. An endothelial damage w</w:t>
      </w:r>
      <w:r w:rsidR="00F32792">
        <w:rPr>
          <w:rFonts w:ascii="Book Antiqua" w:eastAsia="Book Antiqua" w:hAnsi="Book Antiqua" w:cs="Book Antiqua"/>
          <w:sz w:val="24"/>
          <w:szCs w:val="24"/>
        </w:rPr>
        <w:t>as</w:t>
      </w:r>
      <w:r w:rsidRPr="0018453E">
        <w:rPr>
          <w:rFonts w:ascii="Book Antiqua" w:eastAsia="Book Antiqua" w:hAnsi="Book Antiqua" w:cs="Book Antiqua"/>
          <w:sz w:val="24"/>
          <w:szCs w:val="24"/>
        </w:rPr>
        <w:t xml:space="preserve"> found in obese children,</w:t>
      </w:r>
      <w:r w:rsidR="0018453E">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which w</w:t>
      </w:r>
      <w:r w:rsidR="00F32792">
        <w:rPr>
          <w:rFonts w:ascii="Book Antiqua" w:eastAsia="Book Antiqua" w:hAnsi="Book Antiqua" w:cs="Book Antiqua"/>
          <w:sz w:val="24"/>
          <w:szCs w:val="24"/>
        </w:rPr>
        <w:t>as</w:t>
      </w:r>
      <w:r w:rsidRPr="0018453E">
        <w:rPr>
          <w:rFonts w:ascii="Book Antiqua" w:eastAsia="Book Antiqua" w:hAnsi="Book Antiqua" w:cs="Book Antiqua"/>
          <w:sz w:val="24"/>
          <w:szCs w:val="24"/>
        </w:rPr>
        <w:t xml:space="preserve"> confirmed by increased </w:t>
      </w:r>
      <w:r w:rsidR="00F32792">
        <w:rPr>
          <w:rFonts w:ascii="Book Antiqua" w:eastAsia="Book Antiqua" w:hAnsi="Book Antiqua" w:cs="Book Antiqua"/>
          <w:sz w:val="24"/>
          <w:szCs w:val="24"/>
        </w:rPr>
        <w:t>carotid intima-media thickness</w:t>
      </w:r>
      <w:r w:rsidRPr="0018453E">
        <w:rPr>
          <w:rFonts w:ascii="Book Antiqua" w:eastAsia="Book Antiqua" w:hAnsi="Book Antiqua" w:cs="Book Antiqua"/>
          <w:sz w:val="24"/>
          <w:szCs w:val="24"/>
        </w:rPr>
        <w:t xml:space="preserve"> </w:t>
      </w:r>
      <w:proofErr w:type="gramStart"/>
      <w:r w:rsidRPr="0018453E">
        <w:rPr>
          <w:rFonts w:ascii="Book Antiqua" w:eastAsia="Book Antiqua" w:hAnsi="Book Antiqua" w:cs="Book Antiqua"/>
          <w:sz w:val="24"/>
          <w:szCs w:val="24"/>
        </w:rPr>
        <w:t>values</w:t>
      </w:r>
      <w:r w:rsidRPr="0018453E">
        <w:rPr>
          <w:rFonts w:ascii="Book Antiqua" w:eastAsia="Book Antiqua" w:hAnsi="Book Antiqua" w:cs="Book Antiqua"/>
          <w:sz w:val="24"/>
          <w:szCs w:val="24"/>
          <w:vertAlign w:val="superscript"/>
        </w:rPr>
        <w:t>[</w:t>
      </w:r>
      <w:proofErr w:type="gramEnd"/>
      <w:r w:rsidRPr="0018453E">
        <w:rPr>
          <w:rFonts w:ascii="Book Antiqua" w:eastAsia="Book Antiqua" w:hAnsi="Book Antiqua" w:cs="Book Antiqua"/>
          <w:sz w:val="24"/>
          <w:szCs w:val="24"/>
          <w:vertAlign w:val="superscript"/>
        </w:rPr>
        <w:t>17]</w:t>
      </w:r>
      <w:r w:rsidRPr="0018453E">
        <w:rPr>
          <w:rFonts w:ascii="Book Antiqua" w:eastAsia="Book Antiqua" w:hAnsi="Book Antiqua" w:cs="Book Antiqua"/>
          <w:sz w:val="24"/>
          <w:szCs w:val="24"/>
        </w:rPr>
        <w:t>. These outcomes recommend that we should pay extra attention for patients with obesity in the screening of COVID-19 during this pandemic.</w:t>
      </w:r>
    </w:p>
    <w:p w14:paraId="7ED33D3A" w14:textId="77777777" w:rsidR="00940440" w:rsidRPr="0018453E" w:rsidRDefault="00B744AA" w:rsidP="0018453E">
      <w:pPr>
        <w:adjustRightInd w:val="0"/>
        <w:snapToGrid w:val="0"/>
        <w:spacing w:line="360" w:lineRule="auto"/>
        <w:ind w:firstLine="330"/>
        <w:rPr>
          <w:rFonts w:ascii="Book Antiqua" w:hAnsi="Book Antiqua" w:cs="Book Antiqua"/>
          <w:sz w:val="24"/>
          <w:szCs w:val="24"/>
        </w:rPr>
      </w:pPr>
      <w:r w:rsidRPr="0018453E">
        <w:rPr>
          <w:rFonts w:ascii="Book Antiqua" w:eastAsia="Book Antiqua" w:hAnsi="Book Antiqua" w:cs="Book Antiqua"/>
          <w:sz w:val="24"/>
          <w:szCs w:val="24"/>
        </w:rPr>
        <w:t>This study has a few limitations. First, this is a retrospective single-center study. Second, the pre-screening triage process is not unique, and it is based on national or local policies to a large extent.</w:t>
      </w:r>
    </w:p>
    <w:p w14:paraId="08E0E045" w14:textId="77777777" w:rsidR="00940440" w:rsidRPr="0018453E" w:rsidRDefault="00940440" w:rsidP="00333C9C">
      <w:pPr>
        <w:adjustRightInd w:val="0"/>
        <w:snapToGrid w:val="0"/>
        <w:spacing w:line="360" w:lineRule="auto"/>
        <w:rPr>
          <w:rFonts w:ascii="Book Antiqua" w:hAnsi="Book Antiqua" w:cs="Book Antiqua"/>
          <w:sz w:val="24"/>
          <w:szCs w:val="24"/>
        </w:rPr>
      </w:pPr>
    </w:p>
    <w:p w14:paraId="360876D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CONCLUSION</w:t>
      </w:r>
    </w:p>
    <w:p w14:paraId="7DC392F4" w14:textId="77777777" w:rsidR="00940440" w:rsidRPr="0018453E" w:rsidRDefault="00B744AA" w:rsidP="00333C9C">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effective strategies of pre-screening triage have an important role in the prevention and control of hospital infection. As the situation with epidemic changes, it is necessary to timely adjust preventive and control strategies.</w:t>
      </w:r>
    </w:p>
    <w:p w14:paraId="52E9A914" w14:textId="77777777" w:rsidR="00940440" w:rsidRPr="0018453E" w:rsidRDefault="00940440" w:rsidP="0018453E">
      <w:pPr>
        <w:adjustRightInd w:val="0"/>
        <w:snapToGrid w:val="0"/>
        <w:spacing w:line="360" w:lineRule="auto"/>
        <w:ind w:firstLine="440"/>
        <w:rPr>
          <w:rFonts w:ascii="Book Antiqua" w:hAnsi="Book Antiqua" w:cs="Book Antiqua"/>
          <w:sz w:val="24"/>
          <w:szCs w:val="24"/>
        </w:rPr>
      </w:pPr>
    </w:p>
    <w:p w14:paraId="690849A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caps/>
          <w:sz w:val="24"/>
          <w:szCs w:val="24"/>
          <w:u w:val="single"/>
        </w:rPr>
        <w:t>ARTICLE HIGHLIGHTS</w:t>
      </w:r>
    </w:p>
    <w:p w14:paraId="7DFE0F9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background</w:t>
      </w:r>
    </w:p>
    <w:p w14:paraId="16A7F2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Coronavirus disease 2019 (COVID-19), which was defined by the World Health Organization as pandemic, has rapidly emerged as a global health threat. Compared with the adult cases, most of the cases found in children are obviously mild, where children tend to recover quickly and have a good prognosis. Mild and atypical presentations of the infection in children may make the identification of the disease challenging. The implementation and management of pre-screening triage in children played an important role in the prevention and control of the pandemic.</w:t>
      </w:r>
    </w:p>
    <w:p w14:paraId="4404C96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B04E7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motivation</w:t>
      </w:r>
    </w:p>
    <w:p w14:paraId="34BDF17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The hospital is a high-risk area for nosocomial transmission, and the most vital strategy for minimizing the risk of nosocomial infection starts from the triage stations. The </w:t>
      </w:r>
      <w:r w:rsidRPr="0018453E">
        <w:rPr>
          <w:rFonts w:ascii="Book Antiqua" w:eastAsia="Book Antiqua" w:hAnsi="Book Antiqua" w:cs="Book Antiqua"/>
          <w:sz w:val="24"/>
          <w:szCs w:val="24"/>
        </w:rPr>
        <w:lastRenderedPageBreak/>
        <w:t>effective strategies for pre-screening triage have an essential role in the prevention and control of hospital infection. Outbreak evolution and prevention of international implications require substantial flexibility of frontline health care facilities in their response. The prevention and control measures need to adjust accordingly, in order to cope with the changing situation of the pandemic.</w:t>
      </w:r>
    </w:p>
    <w:p w14:paraId="75E5F0D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156782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objectives</w:t>
      </w:r>
    </w:p>
    <w:p w14:paraId="3D4C1B4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To explore the effect of the implementation and management strategy of pre-screening triage in children during COVID-19 pandemic.</w:t>
      </w:r>
    </w:p>
    <w:p w14:paraId="2BBE511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F3A06A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methods</w:t>
      </w:r>
    </w:p>
    <w:p w14:paraId="301EBF1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The standardized triage screening procedures included a standardized triage screening questionnaire, setup of pre-screening triage station, multi-point temperature monitoring, extensive screenings, and two-way protection. In order to ensure the implementation of the pre-screening triage, the prevention and control management strategies included training, emergency exercise, and staff protection. Statistical analysis was performed on the data from all the children hospitalized from January 20, 2020 to March 20, 2020 at solstice during the pandemic period.</w:t>
      </w:r>
    </w:p>
    <w:p w14:paraId="2696921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96EDB3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results</w:t>
      </w:r>
    </w:p>
    <w:p w14:paraId="2CDD8210" w14:textId="2FF4EC25"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A total of 17561 children, including 2652 who met the criteria for screening, 192 suspected cases, and two confirmed cases without omission, were screened from January 20, 2020 to March 20, 2020 at solstice during the pandemic period. There has been zero transmission of the infection to any medical staff. </w:t>
      </w:r>
    </w:p>
    <w:p w14:paraId="48D35DA1"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6FBBBDB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conclusions</w:t>
      </w:r>
    </w:p>
    <w:p w14:paraId="1069A8E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We developed standardized triage screening procedures to assist health care providers. A simple, questionnaire addressing crucial points was designed to assist diagnosing patients. The multi-point temperature monitoring and screening, extensive screenings, and two-way protection are all effective methods for preventing the spread of the </w:t>
      </w:r>
      <w:r w:rsidRPr="0018453E">
        <w:rPr>
          <w:rFonts w:ascii="Book Antiqua" w:eastAsia="Book Antiqua" w:hAnsi="Book Antiqua" w:cs="Book Antiqua"/>
          <w:sz w:val="24"/>
          <w:szCs w:val="24"/>
        </w:rPr>
        <w:lastRenderedPageBreak/>
        <w:t>epidemic. There were no missed infected patients or transmission of the infection to any medical staff. The effective strategies for pre-screening triage have an essential role in the prevention and control of hospital infection.</w:t>
      </w:r>
    </w:p>
    <w:p w14:paraId="4080E81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C550CE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i/>
          <w:sz w:val="24"/>
          <w:szCs w:val="24"/>
        </w:rPr>
        <w:t>Research perspectives</w:t>
      </w:r>
    </w:p>
    <w:p w14:paraId="55DCE37E" w14:textId="3A02B0A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Recent research has shown that obesity plays an important role in the pathogenesis and transmission of COVID-19 infection. Extra attention for patients with obesity in the screening of COVID-19 during this epidemic is the direction of future research.</w:t>
      </w:r>
    </w:p>
    <w:p w14:paraId="16102FF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0DE7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REFERENCES</w:t>
      </w:r>
    </w:p>
    <w:p w14:paraId="5E6CB8F8" w14:textId="77777777" w:rsidR="00940440" w:rsidRPr="0018453E" w:rsidRDefault="00B744AA" w:rsidP="0018453E">
      <w:pPr>
        <w:adjustRightInd w:val="0"/>
        <w:snapToGrid w:val="0"/>
        <w:spacing w:line="360" w:lineRule="auto"/>
        <w:rPr>
          <w:rFonts w:ascii="Book Antiqua" w:hAnsi="Book Antiqua" w:cs="Book Antiqua"/>
          <w:sz w:val="24"/>
          <w:szCs w:val="24"/>
        </w:rPr>
      </w:pPr>
      <w:bookmarkStart w:id="0" w:name="OLE_LINK2616"/>
      <w:bookmarkStart w:id="1" w:name="OLE_LINK2617"/>
      <w:r w:rsidRPr="0018453E">
        <w:rPr>
          <w:rFonts w:ascii="Book Antiqua" w:eastAsia="Book Antiqua" w:hAnsi="Book Antiqua" w:cs="Book Antiqua"/>
          <w:sz w:val="24"/>
          <w:szCs w:val="24"/>
        </w:rPr>
        <w:t xml:space="preserve">1 </w:t>
      </w:r>
      <w:r w:rsidRPr="0018453E">
        <w:rPr>
          <w:rFonts w:ascii="Book Antiqua" w:eastAsia="Book Antiqua" w:hAnsi="Book Antiqua" w:cs="Book Antiqua"/>
          <w:b/>
          <w:bCs/>
          <w:sz w:val="24"/>
          <w:szCs w:val="24"/>
        </w:rPr>
        <w:t>Yaffee AQ</w:t>
      </w:r>
      <w:r w:rsidRPr="0018453E">
        <w:rPr>
          <w:rFonts w:ascii="Book Antiqua" w:eastAsia="Book Antiqua" w:hAnsi="Book Antiqua" w:cs="Book Antiqua"/>
          <w:sz w:val="24"/>
          <w:szCs w:val="24"/>
        </w:rPr>
        <w:t>, Isakov A, Wu HM. How Can Emergency Departments Better Prepare for Emerging Infectious Disease Threats? A Returned Traveler With Fever Walks Into Triage</w:t>
      </w:r>
      <w:r w:rsidRPr="0018453E">
        <w:rPr>
          <w:rFonts w:ascii="Book Antiqua" w:hAnsi="Book Antiqua" w:cs="Book Antiqua"/>
          <w:sz w:val="24"/>
          <w:szCs w:val="24"/>
        </w:rPr>
        <w:t>.</w:t>
      </w:r>
      <w:r w:rsidRPr="0018453E">
        <w:rPr>
          <w:rFonts w:ascii="Book Antiqua" w:eastAsia="Book Antiqua" w:hAnsi="Book Antiqua" w:cs="Book Antiqua"/>
          <w:sz w:val="24"/>
          <w:szCs w:val="24"/>
        </w:rPr>
        <w:t xml:space="preserve"> </w:t>
      </w:r>
      <w:r w:rsidRPr="0018453E">
        <w:rPr>
          <w:rFonts w:ascii="Book Antiqua" w:eastAsia="Book Antiqua" w:hAnsi="Book Antiqua" w:cs="Book Antiqua"/>
          <w:i/>
          <w:iCs/>
          <w:sz w:val="24"/>
          <w:szCs w:val="24"/>
        </w:rPr>
        <w:t xml:space="preserve">J </w:t>
      </w:r>
      <w:proofErr w:type="spellStart"/>
      <w:r w:rsidRPr="0018453E">
        <w:rPr>
          <w:rFonts w:ascii="Book Antiqua" w:eastAsia="Book Antiqua" w:hAnsi="Book Antiqua" w:cs="Book Antiqua"/>
          <w:i/>
          <w:iCs/>
          <w:sz w:val="24"/>
          <w:szCs w:val="24"/>
        </w:rPr>
        <w:t>Emerg</w:t>
      </w:r>
      <w:proofErr w:type="spellEnd"/>
      <w:r w:rsidRPr="0018453E">
        <w:rPr>
          <w:rFonts w:ascii="Book Antiqua" w:eastAsia="Book Antiqua" w:hAnsi="Book Antiqua" w:cs="Book Antiqua"/>
          <w:i/>
          <w:iCs/>
          <w:sz w:val="24"/>
          <w:szCs w:val="24"/>
        </w:rPr>
        <w:t xml:space="preserve"> Med</w:t>
      </w:r>
      <w:r w:rsidRPr="0018453E">
        <w:rPr>
          <w:rFonts w:ascii="Book Antiqua" w:eastAsia="Book Antiqua" w:hAnsi="Book Antiqua" w:cs="Book Antiqua"/>
          <w:sz w:val="24"/>
          <w:szCs w:val="24"/>
        </w:rPr>
        <w:t xml:space="preserve"> 2019; </w:t>
      </w:r>
      <w:r w:rsidRPr="0018453E">
        <w:rPr>
          <w:rFonts w:ascii="Book Antiqua" w:eastAsia="Book Antiqua" w:hAnsi="Book Antiqua" w:cs="Book Antiqua"/>
          <w:b/>
          <w:bCs/>
          <w:sz w:val="24"/>
          <w:szCs w:val="24"/>
        </w:rPr>
        <w:t>56</w:t>
      </w:r>
      <w:r w:rsidRPr="0018453E">
        <w:rPr>
          <w:rFonts w:ascii="Book Antiqua" w:eastAsia="Book Antiqua" w:hAnsi="Book Antiqua" w:cs="Book Antiqua"/>
          <w:sz w:val="24"/>
          <w:szCs w:val="24"/>
        </w:rPr>
        <w:t>: 568-570 [PMID: 31036160 DOI: 10.1016/j.jemermed.2018.12.049]</w:t>
      </w:r>
    </w:p>
    <w:p w14:paraId="0C00E99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2 </w:t>
      </w:r>
      <w:r w:rsidRPr="0018453E">
        <w:rPr>
          <w:rFonts w:ascii="Book Antiqua" w:eastAsia="Book Antiqua" w:hAnsi="Book Antiqua" w:cs="Book Antiqua"/>
          <w:b/>
          <w:bCs/>
          <w:sz w:val="24"/>
          <w:szCs w:val="24"/>
        </w:rPr>
        <w:t>Gregg EW</w:t>
      </w:r>
      <w:r w:rsidRPr="0018453E">
        <w:rPr>
          <w:rFonts w:ascii="Book Antiqua" w:eastAsia="Book Antiqua" w:hAnsi="Book Antiqua" w:cs="Book Antiqua"/>
          <w:sz w:val="24"/>
          <w:szCs w:val="24"/>
        </w:rPr>
        <w:t xml:space="preserve">, Cheng YJ, Srinivasan M, Lin J, Geiss LS, Albright AL, </w:t>
      </w:r>
      <w:proofErr w:type="spellStart"/>
      <w:r w:rsidRPr="0018453E">
        <w:rPr>
          <w:rFonts w:ascii="Book Antiqua" w:eastAsia="Book Antiqua" w:hAnsi="Book Antiqua" w:cs="Book Antiqua"/>
          <w:sz w:val="24"/>
          <w:szCs w:val="24"/>
        </w:rPr>
        <w:t>Imperatore</w:t>
      </w:r>
      <w:proofErr w:type="spellEnd"/>
      <w:r w:rsidRPr="0018453E">
        <w:rPr>
          <w:rFonts w:ascii="Book Antiqua" w:eastAsia="Book Antiqua" w:hAnsi="Book Antiqua" w:cs="Book Antiqua"/>
          <w:sz w:val="24"/>
          <w:szCs w:val="24"/>
        </w:rPr>
        <w:t xml:space="preserve"> G. Trends in cause-specific mortality among adults with and without diagnosed diabetes in the USA: an epidemiological analysis of linked national survey and vital statistics data. </w:t>
      </w:r>
      <w:r w:rsidRPr="0018453E">
        <w:rPr>
          <w:rFonts w:ascii="Book Antiqua" w:eastAsia="Book Antiqua" w:hAnsi="Book Antiqua" w:cs="Book Antiqua"/>
          <w:i/>
          <w:iCs/>
          <w:sz w:val="24"/>
          <w:szCs w:val="24"/>
        </w:rPr>
        <w:t>Lancet</w:t>
      </w:r>
      <w:r w:rsidRPr="0018453E">
        <w:rPr>
          <w:rFonts w:ascii="Book Antiqua" w:eastAsia="Book Antiqua" w:hAnsi="Book Antiqua" w:cs="Book Antiqua"/>
          <w:sz w:val="24"/>
          <w:szCs w:val="24"/>
        </w:rPr>
        <w:t xml:space="preserve"> 2018; </w:t>
      </w:r>
      <w:r w:rsidRPr="0018453E">
        <w:rPr>
          <w:rFonts w:ascii="Book Antiqua" w:eastAsia="Book Antiqua" w:hAnsi="Book Antiqua" w:cs="Book Antiqua"/>
          <w:b/>
          <w:bCs/>
          <w:sz w:val="24"/>
          <w:szCs w:val="24"/>
        </w:rPr>
        <w:t>391</w:t>
      </w:r>
      <w:r w:rsidRPr="0018453E">
        <w:rPr>
          <w:rFonts w:ascii="Book Antiqua" w:eastAsia="Book Antiqua" w:hAnsi="Book Antiqua" w:cs="Book Antiqua"/>
          <w:sz w:val="24"/>
          <w:szCs w:val="24"/>
        </w:rPr>
        <w:t>: 2430-2440 [PMID: 29784146 DOI: 10.1016/S0140-6736(18)30314-3]</w:t>
      </w:r>
    </w:p>
    <w:p w14:paraId="1A0D59F6"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3 </w:t>
      </w:r>
      <w:r w:rsidRPr="0018453E">
        <w:rPr>
          <w:rFonts w:ascii="Book Antiqua" w:eastAsia="Book Antiqua" w:hAnsi="Book Antiqua" w:cs="Book Antiqua"/>
          <w:b/>
          <w:bCs/>
          <w:sz w:val="24"/>
          <w:szCs w:val="24"/>
        </w:rPr>
        <w:t>Lai THT</w:t>
      </w:r>
      <w:r w:rsidRPr="0018453E">
        <w:rPr>
          <w:rFonts w:ascii="Book Antiqua" w:eastAsia="Book Antiqua" w:hAnsi="Book Antiqua" w:cs="Book Antiqua"/>
          <w:sz w:val="24"/>
          <w:szCs w:val="24"/>
        </w:rPr>
        <w:t xml:space="preserve">, Tang EWH, Chau SKY, Fung KSC, Li KKW. Stepping up infection control measures in ophthalmology during the novel coronavirus outbreak: an experience from Hong Kong. </w:t>
      </w:r>
      <w:proofErr w:type="spellStart"/>
      <w:r w:rsidRPr="0018453E">
        <w:rPr>
          <w:rFonts w:ascii="Book Antiqua" w:eastAsia="Book Antiqua" w:hAnsi="Book Antiqua" w:cs="Book Antiqua"/>
          <w:i/>
          <w:iCs/>
          <w:sz w:val="24"/>
          <w:szCs w:val="24"/>
        </w:rPr>
        <w:t>Graefes</w:t>
      </w:r>
      <w:proofErr w:type="spellEnd"/>
      <w:r w:rsidRPr="0018453E">
        <w:rPr>
          <w:rFonts w:ascii="Book Antiqua" w:eastAsia="Book Antiqua" w:hAnsi="Book Antiqua" w:cs="Book Antiqua"/>
          <w:i/>
          <w:iCs/>
          <w:sz w:val="24"/>
          <w:szCs w:val="24"/>
        </w:rPr>
        <w:t xml:space="preserve"> Arch Clin Exp </w:t>
      </w:r>
      <w:proofErr w:type="spellStart"/>
      <w:r w:rsidRPr="0018453E">
        <w:rPr>
          <w:rFonts w:ascii="Book Antiqua" w:eastAsia="Book Antiqua" w:hAnsi="Book Antiqua" w:cs="Book Antiqua"/>
          <w:i/>
          <w:iCs/>
          <w:sz w:val="24"/>
          <w:szCs w:val="24"/>
        </w:rPr>
        <w:t>Ophthalmol</w:t>
      </w:r>
      <w:proofErr w:type="spellEnd"/>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258</w:t>
      </w:r>
      <w:r w:rsidRPr="0018453E">
        <w:rPr>
          <w:rFonts w:ascii="Book Antiqua" w:eastAsia="Book Antiqua" w:hAnsi="Book Antiqua" w:cs="Book Antiqua"/>
          <w:sz w:val="24"/>
          <w:szCs w:val="24"/>
        </w:rPr>
        <w:t>: 1049-1055 [PMID: 32124000 DOI: 10.1007/s00417-020-04641-8]</w:t>
      </w:r>
    </w:p>
    <w:p w14:paraId="0D40F6A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4 </w:t>
      </w:r>
      <w:proofErr w:type="spellStart"/>
      <w:r w:rsidRPr="0018453E">
        <w:rPr>
          <w:rFonts w:ascii="Book Antiqua" w:eastAsia="Book Antiqua" w:hAnsi="Book Antiqua" w:cs="Book Antiqua"/>
          <w:b/>
          <w:bCs/>
          <w:sz w:val="24"/>
          <w:szCs w:val="24"/>
        </w:rPr>
        <w:t>Mokdad</w:t>
      </w:r>
      <w:proofErr w:type="spellEnd"/>
      <w:r w:rsidRPr="0018453E">
        <w:rPr>
          <w:rFonts w:ascii="Book Antiqua" w:eastAsia="Book Antiqua" w:hAnsi="Book Antiqua" w:cs="Book Antiqua"/>
          <w:b/>
          <w:bCs/>
          <w:sz w:val="24"/>
          <w:szCs w:val="24"/>
        </w:rPr>
        <w:t xml:space="preserve"> AH</w:t>
      </w:r>
      <w:r w:rsidRPr="0018453E">
        <w:rPr>
          <w:rFonts w:ascii="Book Antiqua" w:eastAsia="Book Antiqua" w:hAnsi="Book Antiqua" w:cs="Book Antiqua"/>
          <w:sz w:val="24"/>
          <w:szCs w:val="24"/>
        </w:rPr>
        <w:t xml:space="preserve">, Ford ES, Bowman BA, Dietz WH, </w:t>
      </w:r>
      <w:proofErr w:type="spellStart"/>
      <w:r w:rsidRPr="0018453E">
        <w:rPr>
          <w:rFonts w:ascii="Book Antiqua" w:eastAsia="Book Antiqua" w:hAnsi="Book Antiqua" w:cs="Book Antiqua"/>
          <w:sz w:val="24"/>
          <w:szCs w:val="24"/>
        </w:rPr>
        <w:t>Vinicor</w:t>
      </w:r>
      <w:proofErr w:type="spellEnd"/>
      <w:r w:rsidRPr="0018453E">
        <w:rPr>
          <w:rFonts w:ascii="Book Antiqua" w:eastAsia="Book Antiqua" w:hAnsi="Book Antiqua" w:cs="Book Antiqua"/>
          <w:sz w:val="24"/>
          <w:szCs w:val="24"/>
        </w:rPr>
        <w:t xml:space="preserve"> F, Bales VS, Marks JS. Prevalence of obesity, diabetes, and obesity-related health risk factors, 2001. </w:t>
      </w:r>
      <w:r w:rsidRPr="0018453E">
        <w:rPr>
          <w:rFonts w:ascii="Book Antiqua" w:eastAsia="Book Antiqua" w:hAnsi="Book Antiqua" w:cs="Book Antiqua"/>
          <w:i/>
          <w:iCs/>
          <w:sz w:val="24"/>
          <w:szCs w:val="24"/>
        </w:rPr>
        <w:t>JAMA</w:t>
      </w:r>
      <w:r w:rsidRPr="0018453E">
        <w:rPr>
          <w:rFonts w:ascii="Book Antiqua" w:eastAsia="Book Antiqua" w:hAnsi="Book Antiqua" w:cs="Book Antiqua"/>
          <w:sz w:val="24"/>
          <w:szCs w:val="24"/>
        </w:rPr>
        <w:t xml:space="preserve"> 2003; </w:t>
      </w:r>
      <w:r w:rsidRPr="0018453E">
        <w:rPr>
          <w:rFonts w:ascii="Book Antiqua" w:eastAsia="Book Antiqua" w:hAnsi="Book Antiqua" w:cs="Book Antiqua"/>
          <w:b/>
          <w:bCs/>
          <w:sz w:val="24"/>
          <w:szCs w:val="24"/>
        </w:rPr>
        <w:t>289</w:t>
      </w:r>
      <w:r w:rsidRPr="0018453E">
        <w:rPr>
          <w:rFonts w:ascii="Book Antiqua" w:eastAsia="Book Antiqua" w:hAnsi="Book Antiqua" w:cs="Book Antiqua"/>
          <w:sz w:val="24"/>
          <w:szCs w:val="24"/>
        </w:rPr>
        <w:t>: 76-79 [PMID: 12503980 DOI: 10.1001/jama.289.1.76]</w:t>
      </w:r>
    </w:p>
    <w:p w14:paraId="1042442D" w14:textId="4E5DC0B3"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5 </w:t>
      </w:r>
      <w:r w:rsidRPr="0018453E">
        <w:rPr>
          <w:rFonts w:ascii="Book Antiqua" w:eastAsia="Book Antiqua" w:hAnsi="Book Antiqua" w:cs="Book Antiqua"/>
          <w:b/>
          <w:bCs/>
          <w:sz w:val="24"/>
          <w:szCs w:val="24"/>
        </w:rPr>
        <w:t>Her M</w:t>
      </w:r>
      <w:r w:rsidRPr="0018453E">
        <w:rPr>
          <w:rFonts w:ascii="Book Antiqua" w:eastAsia="Book Antiqua" w:hAnsi="Book Antiqua" w:cs="Book Antiqua"/>
          <w:sz w:val="24"/>
          <w:szCs w:val="24"/>
        </w:rPr>
        <w:t xml:space="preserve">. How Is COVID-19 Affecting South Korea? What Is Our Current Strategy? </w:t>
      </w:r>
      <w:r w:rsidRPr="0018453E">
        <w:rPr>
          <w:rFonts w:ascii="Book Antiqua" w:eastAsia="Book Antiqua" w:hAnsi="Book Antiqua" w:cs="Book Antiqua"/>
          <w:i/>
          <w:iCs/>
          <w:sz w:val="24"/>
          <w:szCs w:val="24"/>
        </w:rPr>
        <w:t>Disaster Med Public Health Prep</w:t>
      </w:r>
      <w:r w:rsidRPr="0018453E">
        <w:rPr>
          <w:rFonts w:ascii="Book Antiqua" w:eastAsia="Book Antiqua" w:hAnsi="Book Antiqua" w:cs="Book Antiqua"/>
          <w:sz w:val="24"/>
          <w:szCs w:val="24"/>
        </w:rPr>
        <w:t xml:space="preserve"> 2020: </w:t>
      </w:r>
      <w:r w:rsidR="0018453E" w:rsidRPr="0018453E">
        <w:rPr>
          <w:rFonts w:ascii="Book Antiqua" w:eastAsiaTheme="minorEastAsia" w:hAnsi="Book Antiqua" w:cs="Book Antiqua"/>
          <w:b/>
          <w:bCs/>
          <w:sz w:val="24"/>
          <w:szCs w:val="24"/>
        </w:rPr>
        <w:t>14</w:t>
      </w:r>
      <w:r w:rsidR="0018453E" w:rsidRPr="0018453E">
        <w:rPr>
          <w:rFonts w:ascii="Book Antiqua" w:eastAsiaTheme="minorEastAsia" w:hAnsi="Book Antiqua" w:cs="Book Antiqua"/>
          <w:sz w:val="24"/>
          <w:szCs w:val="24"/>
        </w:rPr>
        <w:t xml:space="preserve">: </w:t>
      </w:r>
      <w:r w:rsidR="0018453E" w:rsidRPr="0018453E">
        <w:rPr>
          <w:rFonts w:ascii="Book Antiqua" w:eastAsia="Book Antiqua" w:hAnsi="Book Antiqua" w:cs="Book Antiqua"/>
          <w:sz w:val="24"/>
          <w:szCs w:val="24"/>
        </w:rPr>
        <w:t>684-686</w:t>
      </w:r>
      <w:r w:rsidRPr="0018453E">
        <w:rPr>
          <w:rFonts w:ascii="Book Antiqua" w:eastAsia="Book Antiqua" w:hAnsi="Book Antiqua" w:cs="Book Antiqua"/>
          <w:sz w:val="24"/>
          <w:szCs w:val="24"/>
        </w:rPr>
        <w:t xml:space="preserve"> [PMID: 32241325 DOI: 10.1017/dmp.2020.69]</w:t>
      </w:r>
    </w:p>
    <w:p w14:paraId="593E22FA" w14:textId="45200FBD"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6 </w:t>
      </w:r>
      <w:r w:rsidRPr="0018453E">
        <w:rPr>
          <w:rFonts w:ascii="Book Antiqua" w:eastAsia="Book Antiqua" w:hAnsi="Book Antiqua" w:cs="Book Antiqua"/>
          <w:b/>
          <w:bCs/>
          <w:sz w:val="24"/>
          <w:szCs w:val="24"/>
        </w:rPr>
        <w:t>Yang B</w:t>
      </w:r>
      <w:r w:rsidRPr="00333C9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Zhu Y. Epidemiology and treatment of novel coronavirus pneumonia (COVID-19) in children and adults. </w:t>
      </w:r>
      <w:r w:rsidRPr="0018453E">
        <w:rPr>
          <w:rFonts w:ascii="Book Antiqua" w:eastAsia="Book Antiqua" w:hAnsi="Book Antiqua" w:cs="Book Antiqua"/>
          <w:i/>
          <w:iCs/>
          <w:sz w:val="24"/>
          <w:szCs w:val="24"/>
        </w:rPr>
        <w:t xml:space="preserve">Xi'an </w:t>
      </w:r>
      <w:proofErr w:type="spellStart"/>
      <w:r w:rsidRPr="0018453E">
        <w:rPr>
          <w:rFonts w:ascii="Book Antiqua" w:eastAsia="Book Antiqua" w:hAnsi="Book Antiqua" w:cs="Book Antiqua"/>
          <w:i/>
          <w:iCs/>
          <w:sz w:val="24"/>
          <w:szCs w:val="24"/>
        </w:rPr>
        <w:t>Jiaotong</w:t>
      </w:r>
      <w:proofErr w:type="spellEnd"/>
      <w:r w:rsidRPr="0018453E">
        <w:rPr>
          <w:rFonts w:ascii="Book Antiqua" w:eastAsia="Book Antiqua" w:hAnsi="Book Antiqua" w:cs="Book Antiqua"/>
          <w:i/>
          <w:iCs/>
          <w:sz w:val="24"/>
          <w:szCs w:val="24"/>
        </w:rPr>
        <w:t xml:space="preserve"> </w:t>
      </w:r>
      <w:proofErr w:type="spellStart"/>
      <w:r w:rsidRPr="0018453E">
        <w:rPr>
          <w:rFonts w:ascii="Book Antiqua" w:eastAsia="Book Antiqua" w:hAnsi="Book Antiqua" w:cs="Book Antiqua"/>
          <w:i/>
          <w:iCs/>
          <w:sz w:val="24"/>
          <w:szCs w:val="24"/>
        </w:rPr>
        <w:t>Daxue</w:t>
      </w:r>
      <w:proofErr w:type="spellEnd"/>
      <w:r w:rsidRPr="0018453E">
        <w:rPr>
          <w:rFonts w:ascii="Book Antiqua" w:eastAsia="Book Antiqua" w:hAnsi="Book Antiqua" w:cs="Book Antiqua"/>
          <w:i/>
          <w:iCs/>
          <w:sz w:val="24"/>
          <w:szCs w:val="24"/>
        </w:rPr>
        <w:t xml:space="preserve"> </w:t>
      </w:r>
      <w:proofErr w:type="spellStart"/>
      <w:r w:rsidRPr="0018453E">
        <w:rPr>
          <w:rFonts w:ascii="Book Antiqua" w:eastAsia="Book Antiqua" w:hAnsi="Book Antiqua" w:cs="Book Antiqua"/>
          <w:i/>
          <w:iCs/>
          <w:sz w:val="24"/>
          <w:szCs w:val="24"/>
        </w:rPr>
        <w:t>Xuebao</w:t>
      </w:r>
      <w:proofErr w:type="spellEnd"/>
      <w:r w:rsidRPr="0018453E">
        <w:rPr>
          <w:rFonts w:ascii="Book Antiqua" w:eastAsia="Book Antiqua" w:hAnsi="Book Antiqua" w:cs="Book Antiqua"/>
          <w:sz w:val="24"/>
          <w:szCs w:val="24"/>
        </w:rPr>
        <w:t xml:space="preserve"> 2020</w:t>
      </w:r>
      <w:r w:rsidR="00333C9C">
        <w:rPr>
          <w:rFonts w:ascii="Book Antiqua" w:eastAsia="Book Antiqua" w:hAnsi="Book Antiqua" w:cs="Book Antiqua"/>
          <w:sz w:val="24"/>
          <w:szCs w:val="24"/>
        </w:rPr>
        <w:t>:</w:t>
      </w:r>
      <w:r w:rsidRPr="0018453E">
        <w:rPr>
          <w:rFonts w:ascii="Book Antiqua" w:eastAsia="Book Antiqua" w:hAnsi="Book Antiqua" w:cs="Book Antiqua"/>
          <w:sz w:val="24"/>
          <w:szCs w:val="24"/>
        </w:rPr>
        <w:t xml:space="preserve"> 1-10 </w:t>
      </w:r>
    </w:p>
    <w:p w14:paraId="3FD0A63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7 </w:t>
      </w:r>
      <w:r w:rsidRPr="0018453E">
        <w:rPr>
          <w:rFonts w:ascii="Book Antiqua" w:eastAsia="Book Antiqua" w:hAnsi="Book Antiqua" w:cs="Book Antiqua"/>
          <w:b/>
          <w:bCs/>
          <w:sz w:val="24"/>
          <w:szCs w:val="24"/>
        </w:rPr>
        <w:t>Xu Y</w:t>
      </w:r>
      <w:r w:rsidRPr="0018453E">
        <w:rPr>
          <w:rFonts w:ascii="Book Antiqua" w:eastAsia="Book Antiqua" w:hAnsi="Book Antiqua" w:cs="Book Antiqua"/>
          <w:sz w:val="24"/>
          <w:szCs w:val="24"/>
        </w:rPr>
        <w:t xml:space="preserve">, Li X, Zhu B, Liang H, Fang C, Gong Y, Guo Q, Sun X, Zhao D, Shen J, Zhang H, </w:t>
      </w:r>
      <w:r w:rsidRPr="0018453E">
        <w:rPr>
          <w:rFonts w:ascii="Book Antiqua" w:eastAsia="Book Antiqua" w:hAnsi="Book Antiqua" w:cs="Book Antiqua"/>
          <w:sz w:val="24"/>
          <w:szCs w:val="24"/>
        </w:rPr>
        <w:lastRenderedPageBreak/>
        <w:t xml:space="preserve">Liu H, Xia H, Tang J, Zhang K, Gong S. Characteristics of pediatric SARS-CoV-2 infection and potential evidence for persistent fecal viral shedding. </w:t>
      </w:r>
      <w:r w:rsidRPr="0018453E">
        <w:rPr>
          <w:rFonts w:ascii="Book Antiqua" w:eastAsia="Book Antiqua" w:hAnsi="Book Antiqua" w:cs="Book Antiqua"/>
          <w:i/>
          <w:iCs/>
          <w:sz w:val="24"/>
          <w:szCs w:val="24"/>
        </w:rPr>
        <w:t>Nat Med</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26</w:t>
      </w:r>
      <w:r w:rsidRPr="0018453E">
        <w:rPr>
          <w:rFonts w:ascii="Book Antiqua" w:eastAsia="Book Antiqua" w:hAnsi="Book Antiqua" w:cs="Book Antiqua"/>
          <w:sz w:val="24"/>
          <w:szCs w:val="24"/>
        </w:rPr>
        <w:t>: 502-505 [PMID: 32284613 DOI: 10.1038/s41591-020-0817-4]</w:t>
      </w:r>
    </w:p>
    <w:p w14:paraId="42864EB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8 </w:t>
      </w:r>
      <w:r w:rsidRPr="0018453E">
        <w:rPr>
          <w:rFonts w:ascii="Book Antiqua" w:eastAsia="Book Antiqua" w:hAnsi="Book Antiqua" w:cs="Book Antiqua"/>
          <w:b/>
          <w:bCs/>
          <w:sz w:val="24"/>
          <w:szCs w:val="24"/>
        </w:rPr>
        <w:t>Barajas G</w:t>
      </w:r>
      <w:r w:rsidRPr="0018453E">
        <w:rPr>
          <w:rFonts w:ascii="Book Antiqua" w:eastAsia="Book Antiqua" w:hAnsi="Book Antiqua" w:cs="Book Antiqua"/>
          <w:sz w:val="24"/>
          <w:szCs w:val="24"/>
        </w:rPr>
        <w:t xml:space="preserve">, </w:t>
      </w:r>
      <w:proofErr w:type="spellStart"/>
      <w:r w:rsidRPr="0018453E">
        <w:rPr>
          <w:rFonts w:ascii="Book Antiqua" w:eastAsia="Book Antiqua" w:hAnsi="Book Antiqua" w:cs="Book Antiqua"/>
          <w:sz w:val="24"/>
          <w:szCs w:val="24"/>
        </w:rPr>
        <w:t>Zembower</w:t>
      </w:r>
      <w:proofErr w:type="spellEnd"/>
      <w:r w:rsidRPr="0018453E">
        <w:rPr>
          <w:rFonts w:ascii="Book Antiqua" w:eastAsia="Book Antiqua" w:hAnsi="Book Antiqua" w:cs="Book Antiqua"/>
          <w:sz w:val="24"/>
          <w:szCs w:val="24"/>
        </w:rPr>
        <w:t xml:space="preserve"> T, </w:t>
      </w:r>
      <w:proofErr w:type="spellStart"/>
      <w:r w:rsidRPr="0018453E">
        <w:rPr>
          <w:rFonts w:ascii="Book Antiqua" w:eastAsia="Book Antiqua" w:hAnsi="Book Antiqua" w:cs="Book Antiqua"/>
          <w:sz w:val="24"/>
          <w:szCs w:val="24"/>
        </w:rPr>
        <w:t>Silkaitis</w:t>
      </w:r>
      <w:proofErr w:type="spellEnd"/>
      <w:r w:rsidRPr="0018453E">
        <w:rPr>
          <w:rFonts w:ascii="Book Antiqua" w:eastAsia="Book Antiqua" w:hAnsi="Book Antiqua" w:cs="Book Antiqua"/>
          <w:sz w:val="24"/>
          <w:szCs w:val="24"/>
        </w:rPr>
        <w:t xml:space="preserve"> C, Brennan J, </w:t>
      </w:r>
      <w:proofErr w:type="spellStart"/>
      <w:r w:rsidRPr="0018453E">
        <w:rPr>
          <w:rFonts w:ascii="Book Antiqua" w:eastAsia="Book Antiqua" w:hAnsi="Book Antiqua" w:cs="Book Antiqua"/>
          <w:sz w:val="24"/>
          <w:szCs w:val="24"/>
        </w:rPr>
        <w:t>Brassil</w:t>
      </w:r>
      <w:proofErr w:type="spellEnd"/>
      <w:r w:rsidRPr="0018453E">
        <w:rPr>
          <w:rFonts w:ascii="Book Antiqua" w:eastAsia="Book Antiqua" w:hAnsi="Book Antiqua" w:cs="Book Antiqua"/>
          <w:sz w:val="24"/>
          <w:szCs w:val="24"/>
        </w:rPr>
        <w:t xml:space="preserve"> E, </w:t>
      </w:r>
      <w:proofErr w:type="spellStart"/>
      <w:r w:rsidRPr="0018453E">
        <w:rPr>
          <w:rFonts w:ascii="Book Antiqua" w:eastAsia="Book Antiqua" w:hAnsi="Book Antiqua" w:cs="Book Antiqua"/>
          <w:sz w:val="24"/>
          <w:szCs w:val="24"/>
        </w:rPr>
        <w:t>Nozicka</w:t>
      </w:r>
      <w:proofErr w:type="spellEnd"/>
      <w:r w:rsidRPr="0018453E">
        <w:rPr>
          <w:rFonts w:ascii="Book Antiqua" w:eastAsia="Book Antiqua" w:hAnsi="Book Antiqua" w:cs="Book Antiqua"/>
          <w:sz w:val="24"/>
          <w:szCs w:val="24"/>
        </w:rPr>
        <w:t xml:space="preserve"> N, </w:t>
      </w:r>
      <w:proofErr w:type="spellStart"/>
      <w:r w:rsidRPr="0018453E">
        <w:rPr>
          <w:rFonts w:ascii="Book Antiqua" w:eastAsia="Book Antiqua" w:hAnsi="Book Antiqua" w:cs="Book Antiqua"/>
          <w:sz w:val="24"/>
          <w:szCs w:val="24"/>
        </w:rPr>
        <w:t>Groth</w:t>
      </w:r>
      <w:proofErr w:type="spellEnd"/>
      <w:r w:rsidRPr="0018453E">
        <w:rPr>
          <w:rFonts w:ascii="Book Antiqua" w:eastAsia="Book Antiqua" w:hAnsi="Book Antiqua" w:cs="Book Antiqua"/>
          <w:sz w:val="24"/>
          <w:szCs w:val="24"/>
        </w:rPr>
        <w:t xml:space="preserve"> M, Ward-Fore S, Lau M, Sanders L, Hamilton O. Triage documentation-based decision support to improve infectious disease risk screening and mitigate exposure. </w:t>
      </w:r>
      <w:r w:rsidRPr="0018453E">
        <w:rPr>
          <w:rFonts w:ascii="Book Antiqua" w:eastAsia="Book Antiqua" w:hAnsi="Book Antiqua" w:cs="Book Antiqua"/>
          <w:i/>
          <w:iCs/>
          <w:sz w:val="24"/>
          <w:szCs w:val="24"/>
        </w:rPr>
        <w:t>Am J Infect Control</w:t>
      </w:r>
      <w:r w:rsidRPr="0018453E">
        <w:rPr>
          <w:rFonts w:ascii="Book Antiqua" w:eastAsia="Book Antiqua" w:hAnsi="Book Antiqua" w:cs="Book Antiqua"/>
          <w:sz w:val="24"/>
          <w:szCs w:val="24"/>
        </w:rPr>
        <w:t xml:space="preserve"> 2016; </w:t>
      </w:r>
      <w:r w:rsidRPr="0018453E">
        <w:rPr>
          <w:rFonts w:ascii="Book Antiqua" w:eastAsia="Book Antiqua" w:hAnsi="Book Antiqua" w:cs="Book Antiqua"/>
          <w:b/>
          <w:bCs/>
          <w:sz w:val="24"/>
          <w:szCs w:val="24"/>
        </w:rPr>
        <w:t>44</w:t>
      </w:r>
      <w:r w:rsidRPr="0018453E">
        <w:rPr>
          <w:rFonts w:ascii="Book Antiqua" w:eastAsia="Book Antiqua" w:hAnsi="Book Antiqua" w:cs="Book Antiqua"/>
          <w:sz w:val="24"/>
          <w:szCs w:val="24"/>
        </w:rPr>
        <w:t>: 1063-1065 [PMID: 27086906 DOI: 10.1016/j.ajic.2016.02.025]</w:t>
      </w:r>
    </w:p>
    <w:p w14:paraId="3585E904" w14:textId="0DC07518"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9 </w:t>
      </w:r>
      <w:proofErr w:type="spellStart"/>
      <w:r w:rsidRPr="0018453E">
        <w:rPr>
          <w:rFonts w:ascii="Book Antiqua" w:eastAsia="Book Antiqua" w:hAnsi="Book Antiqua" w:cs="Book Antiqua"/>
          <w:b/>
          <w:bCs/>
          <w:sz w:val="24"/>
          <w:szCs w:val="24"/>
        </w:rPr>
        <w:t>Zuo</w:t>
      </w:r>
      <w:proofErr w:type="spellEnd"/>
      <w:r w:rsidRPr="0018453E">
        <w:rPr>
          <w:rFonts w:ascii="Book Antiqua" w:eastAsia="Book Antiqua" w:hAnsi="Book Antiqua" w:cs="Book Antiqua"/>
          <w:b/>
          <w:bCs/>
          <w:sz w:val="24"/>
          <w:szCs w:val="24"/>
        </w:rPr>
        <w:t xml:space="preserve"> MZ</w:t>
      </w:r>
      <w:r w:rsidRPr="0018453E">
        <w:rPr>
          <w:rFonts w:ascii="Book Antiqua" w:eastAsia="Book Antiqua" w:hAnsi="Book Antiqua" w:cs="Book Antiqua"/>
          <w:sz w:val="24"/>
          <w:szCs w:val="24"/>
        </w:rPr>
        <w:t xml:space="preserve">, Huang YG, Ma WH, Xue ZG, Zhang JQ, Gong YH, Che L; Chinese Society of Anesthesiology Task Force on Airway Management, Airway Management Chinese Society of Anesthesiology Task Force on. Expert Recommendations for Tracheal Intubation in Critically ill Patients with </w:t>
      </w:r>
      <w:proofErr w:type="spellStart"/>
      <w:r w:rsidRPr="0018453E">
        <w:rPr>
          <w:rFonts w:ascii="Book Antiqua" w:eastAsia="Book Antiqua" w:hAnsi="Book Antiqua" w:cs="Book Antiqua"/>
          <w:sz w:val="24"/>
          <w:szCs w:val="24"/>
        </w:rPr>
        <w:t>Noval</w:t>
      </w:r>
      <w:proofErr w:type="spellEnd"/>
      <w:r w:rsidRPr="0018453E">
        <w:rPr>
          <w:rFonts w:ascii="Book Antiqua" w:eastAsia="Book Antiqua" w:hAnsi="Book Antiqua" w:cs="Book Antiqua"/>
          <w:sz w:val="24"/>
          <w:szCs w:val="24"/>
        </w:rPr>
        <w:t xml:space="preserve"> Coronavirus Disease 2019. </w:t>
      </w:r>
      <w:r w:rsidRPr="0018453E">
        <w:rPr>
          <w:rFonts w:ascii="Book Antiqua" w:eastAsia="Book Antiqua" w:hAnsi="Book Antiqua" w:cs="Book Antiqua"/>
          <w:i/>
          <w:iCs/>
          <w:sz w:val="24"/>
          <w:szCs w:val="24"/>
        </w:rPr>
        <w:t>Chin Med Sci J</w:t>
      </w:r>
      <w:r w:rsidRPr="0018453E">
        <w:rPr>
          <w:rFonts w:ascii="Book Antiqua" w:eastAsia="Book Antiqua" w:hAnsi="Book Antiqua" w:cs="Book Antiqua"/>
          <w:sz w:val="24"/>
          <w:szCs w:val="24"/>
        </w:rPr>
        <w:t xml:space="preserve"> 2020 </w:t>
      </w:r>
      <w:proofErr w:type="spellStart"/>
      <w:r w:rsidR="002B78B0" w:rsidRPr="0018453E">
        <w:rPr>
          <w:rFonts w:ascii="Book Antiqua" w:hAnsi="Book Antiqua"/>
          <w:sz w:val="24"/>
          <w:szCs w:val="24"/>
        </w:rPr>
        <w:t>epub</w:t>
      </w:r>
      <w:proofErr w:type="spellEnd"/>
      <w:r w:rsidR="002B78B0" w:rsidRPr="0018453E">
        <w:rPr>
          <w:rFonts w:ascii="Book Antiqua" w:hAnsi="Book Antiqua"/>
          <w:sz w:val="24"/>
          <w:szCs w:val="24"/>
        </w:rPr>
        <w:t xml:space="preserve"> ahead of print</w:t>
      </w:r>
      <w:r w:rsidR="002B78B0" w:rsidRPr="0018453E">
        <w:rPr>
          <w:rFonts w:ascii="Book Antiqua" w:eastAsia="Book Antiqua" w:hAnsi="Book Antiqua" w:cs="Book Antiqua"/>
          <w:sz w:val="24"/>
          <w:szCs w:val="24"/>
        </w:rPr>
        <w:t xml:space="preserve"> </w:t>
      </w:r>
      <w:r w:rsidRPr="0018453E">
        <w:rPr>
          <w:rFonts w:ascii="Book Antiqua" w:eastAsia="Book Antiqua" w:hAnsi="Book Antiqua" w:cs="Book Antiqua"/>
          <w:sz w:val="24"/>
          <w:szCs w:val="24"/>
        </w:rPr>
        <w:t>[PMID: 32102726 DOI: 10.24920/003724]</w:t>
      </w:r>
    </w:p>
    <w:p w14:paraId="6D491CE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10 </w:t>
      </w:r>
      <w:r w:rsidRPr="0018453E">
        <w:rPr>
          <w:rFonts w:ascii="Book Antiqua" w:eastAsia="Book Antiqua" w:hAnsi="Book Antiqua" w:cs="Book Antiqua"/>
          <w:b/>
          <w:bCs/>
          <w:sz w:val="24"/>
          <w:szCs w:val="24"/>
        </w:rPr>
        <w:t>Cheng VCC</w:t>
      </w:r>
      <w:r w:rsidRPr="0018453E">
        <w:rPr>
          <w:rFonts w:ascii="Book Antiqua" w:eastAsia="Book Antiqua" w:hAnsi="Book Antiqua" w:cs="Book Antiqua"/>
          <w:sz w:val="24"/>
          <w:szCs w:val="24"/>
        </w:rPr>
        <w:t xml:space="preserve">, Wong SC, Chen JHK, Yip CCY, Chuang VWM, Tsang OTY, Sridhar S, Chan JFW, Ho PL, Yuen KY. Escalating infection control response to the rapidly evolving epidemiology of the coronavirus disease 2019 (COVID-19) due to SARS-CoV-2 in Hong Kong. </w:t>
      </w:r>
      <w:r w:rsidRPr="0018453E">
        <w:rPr>
          <w:rFonts w:ascii="Book Antiqua" w:eastAsia="Book Antiqua" w:hAnsi="Book Antiqua" w:cs="Book Antiqua"/>
          <w:i/>
          <w:iCs/>
          <w:sz w:val="24"/>
          <w:szCs w:val="24"/>
        </w:rPr>
        <w:t>Infect Control Hosp Epidemiol</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41</w:t>
      </w:r>
      <w:r w:rsidRPr="0018453E">
        <w:rPr>
          <w:rFonts w:ascii="Book Antiqua" w:eastAsia="Book Antiqua" w:hAnsi="Book Antiqua" w:cs="Book Antiqua"/>
          <w:sz w:val="24"/>
          <w:szCs w:val="24"/>
        </w:rPr>
        <w:t>: 493-498 [PMID: 32131908 DOI: 10.1017/ice.2020.58]</w:t>
      </w:r>
    </w:p>
    <w:p w14:paraId="28E7FEE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11 </w:t>
      </w:r>
      <w:r w:rsidRPr="0018453E">
        <w:rPr>
          <w:rFonts w:ascii="Book Antiqua" w:eastAsia="Book Antiqua" w:hAnsi="Book Antiqua" w:cs="Book Antiqua"/>
          <w:b/>
          <w:bCs/>
          <w:sz w:val="24"/>
          <w:szCs w:val="24"/>
        </w:rPr>
        <w:t>Wu X</w:t>
      </w:r>
      <w:r w:rsidRPr="0018453E">
        <w:rPr>
          <w:rFonts w:ascii="Book Antiqua" w:eastAsia="Book Antiqua" w:hAnsi="Book Antiqua" w:cs="Book Antiqua"/>
          <w:sz w:val="24"/>
          <w:szCs w:val="24"/>
        </w:rPr>
        <w:t xml:space="preserve">, Zhou H, Wu X, Huang W, Jia B. Strategies for qualified triage stations and fever clinics during the outbreak of COVID-2019 in the county hospitals of Western Chongqing. </w:t>
      </w:r>
      <w:r w:rsidRPr="0018453E">
        <w:rPr>
          <w:rFonts w:ascii="Book Antiqua" w:eastAsia="Book Antiqua" w:hAnsi="Book Antiqua" w:cs="Book Antiqua"/>
          <w:i/>
          <w:iCs/>
          <w:sz w:val="24"/>
          <w:szCs w:val="24"/>
        </w:rPr>
        <w:t>J Hosp Infect</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105</w:t>
      </w:r>
      <w:r w:rsidRPr="0018453E">
        <w:rPr>
          <w:rFonts w:ascii="Book Antiqua" w:eastAsia="Book Antiqua" w:hAnsi="Book Antiqua" w:cs="Book Antiqua"/>
          <w:sz w:val="24"/>
          <w:szCs w:val="24"/>
        </w:rPr>
        <w:t>: 128-129 [PMID: 32205161 DOI: 10.1016/j.jhin.2020.03.021]</w:t>
      </w:r>
    </w:p>
    <w:p w14:paraId="672AA3F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12 </w:t>
      </w:r>
      <w:r w:rsidRPr="0018453E">
        <w:rPr>
          <w:rFonts w:ascii="Book Antiqua" w:eastAsia="Book Antiqua" w:hAnsi="Book Antiqua" w:cs="Book Antiqua"/>
          <w:b/>
          <w:bCs/>
          <w:sz w:val="24"/>
          <w:szCs w:val="24"/>
        </w:rPr>
        <w:t>Pan L</w:t>
      </w:r>
      <w:r w:rsidRPr="0018453E">
        <w:rPr>
          <w:rFonts w:ascii="Book Antiqua" w:eastAsia="Book Antiqua" w:hAnsi="Book Antiqua" w:cs="Book Antiqua"/>
          <w:sz w:val="24"/>
          <w:szCs w:val="24"/>
        </w:rPr>
        <w:t xml:space="preserve">, Wang L, Huang X. How to face the novel coronavirus infection during the 2019-2020 epidemic: the experience of Sichuan Provincial People's Hospital. </w:t>
      </w:r>
      <w:r w:rsidRPr="0018453E">
        <w:rPr>
          <w:rFonts w:ascii="Book Antiqua" w:eastAsia="Book Antiqua" w:hAnsi="Book Antiqua" w:cs="Book Antiqua"/>
          <w:i/>
          <w:iCs/>
          <w:sz w:val="24"/>
          <w:szCs w:val="24"/>
        </w:rPr>
        <w:t>Intensive Care Med</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46</w:t>
      </w:r>
      <w:r w:rsidRPr="0018453E">
        <w:rPr>
          <w:rFonts w:ascii="Book Antiqua" w:eastAsia="Book Antiqua" w:hAnsi="Book Antiqua" w:cs="Book Antiqua"/>
          <w:sz w:val="24"/>
          <w:szCs w:val="24"/>
        </w:rPr>
        <w:t>: 573-575 [PMID: 32072300 DOI: 10.1007/s00134-020-05964-0]</w:t>
      </w:r>
    </w:p>
    <w:p w14:paraId="69E1B9A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13 </w:t>
      </w:r>
      <w:r w:rsidRPr="0018453E">
        <w:rPr>
          <w:rFonts w:ascii="Book Antiqua" w:eastAsia="Book Antiqua" w:hAnsi="Book Antiqua" w:cs="Book Antiqua"/>
          <w:b/>
          <w:bCs/>
          <w:sz w:val="24"/>
          <w:szCs w:val="24"/>
        </w:rPr>
        <w:t>Huang T</w:t>
      </w:r>
      <w:r w:rsidRPr="0018453E">
        <w:rPr>
          <w:rFonts w:ascii="Book Antiqua" w:eastAsia="Book Antiqua" w:hAnsi="Book Antiqua" w:cs="Book Antiqua"/>
          <w:sz w:val="24"/>
          <w:szCs w:val="24"/>
        </w:rPr>
        <w:t xml:space="preserve">, Guo Y, Li S, Zheng Y, Lei L, Zeng X, Zhong Q, Liu Y, Liu L. Application and effects of fever screening system in the prevention of nosocomial infection in the only designated hospital of coronavirus disease 2019 (COVID-19) in Shenzhen, China. </w:t>
      </w:r>
      <w:r w:rsidRPr="0018453E">
        <w:rPr>
          <w:rFonts w:ascii="Book Antiqua" w:eastAsia="Book Antiqua" w:hAnsi="Book Antiqua" w:cs="Book Antiqua"/>
          <w:i/>
          <w:iCs/>
          <w:sz w:val="24"/>
          <w:szCs w:val="24"/>
        </w:rPr>
        <w:t>Infect Control Hosp Epidemiol</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41</w:t>
      </w:r>
      <w:r w:rsidRPr="0018453E">
        <w:rPr>
          <w:rFonts w:ascii="Book Antiqua" w:eastAsia="Book Antiqua" w:hAnsi="Book Antiqua" w:cs="Book Antiqua"/>
          <w:sz w:val="24"/>
          <w:szCs w:val="24"/>
        </w:rPr>
        <w:t>: 978-981 [PMID: 32279675 DOI: 10.1017/ice.2020.119]</w:t>
      </w:r>
    </w:p>
    <w:p w14:paraId="139B79CF"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14 </w:t>
      </w:r>
      <w:r w:rsidRPr="0018453E">
        <w:rPr>
          <w:rFonts w:ascii="Book Antiqua" w:eastAsia="Book Antiqua" w:hAnsi="Book Antiqua" w:cs="Book Antiqua"/>
          <w:b/>
          <w:bCs/>
          <w:sz w:val="24"/>
          <w:szCs w:val="24"/>
        </w:rPr>
        <w:t>Higgins JP</w:t>
      </w:r>
      <w:r w:rsidRPr="0018453E">
        <w:rPr>
          <w:rFonts w:ascii="Book Antiqua" w:eastAsia="Book Antiqua" w:hAnsi="Book Antiqua" w:cs="Book Antiqua"/>
          <w:sz w:val="24"/>
          <w:szCs w:val="24"/>
        </w:rPr>
        <w:t xml:space="preserve">, Thompson SG, </w:t>
      </w:r>
      <w:proofErr w:type="spellStart"/>
      <w:r w:rsidRPr="0018453E">
        <w:rPr>
          <w:rFonts w:ascii="Book Antiqua" w:eastAsia="Book Antiqua" w:hAnsi="Book Antiqua" w:cs="Book Antiqua"/>
          <w:sz w:val="24"/>
          <w:szCs w:val="24"/>
        </w:rPr>
        <w:t>Deeks</w:t>
      </w:r>
      <w:proofErr w:type="spellEnd"/>
      <w:r w:rsidRPr="0018453E">
        <w:rPr>
          <w:rFonts w:ascii="Book Antiqua" w:eastAsia="Book Antiqua" w:hAnsi="Book Antiqua" w:cs="Book Antiqua"/>
          <w:sz w:val="24"/>
          <w:szCs w:val="24"/>
        </w:rPr>
        <w:t xml:space="preserve"> JJ, Altman DG. Measuring inconsistency in meta-analyses. </w:t>
      </w:r>
      <w:r w:rsidRPr="0018453E">
        <w:rPr>
          <w:rFonts w:ascii="Book Antiqua" w:eastAsia="Book Antiqua" w:hAnsi="Book Antiqua" w:cs="Book Antiqua"/>
          <w:i/>
          <w:iCs/>
          <w:sz w:val="24"/>
          <w:szCs w:val="24"/>
        </w:rPr>
        <w:t>BMJ</w:t>
      </w:r>
      <w:r w:rsidRPr="0018453E">
        <w:rPr>
          <w:rFonts w:ascii="Book Antiqua" w:eastAsia="Book Antiqua" w:hAnsi="Book Antiqua" w:cs="Book Antiqua"/>
          <w:sz w:val="24"/>
          <w:szCs w:val="24"/>
        </w:rPr>
        <w:t xml:space="preserve"> 2003; </w:t>
      </w:r>
      <w:r w:rsidRPr="0018453E">
        <w:rPr>
          <w:rFonts w:ascii="Book Antiqua" w:eastAsia="Book Antiqua" w:hAnsi="Book Antiqua" w:cs="Book Antiqua"/>
          <w:b/>
          <w:bCs/>
          <w:sz w:val="24"/>
          <w:szCs w:val="24"/>
        </w:rPr>
        <w:t>327</w:t>
      </w:r>
      <w:r w:rsidRPr="0018453E">
        <w:rPr>
          <w:rFonts w:ascii="Book Antiqua" w:eastAsia="Book Antiqua" w:hAnsi="Book Antiqua" w:cs="Book Antiqua"/>
          <w:sz w:val="24"/>
          <w:szCs w:val="24"/>
        </w:rPr>
        <w:t>: 557-560 [PMID: 12958120 DOI: 10.1136/bmj.327.7414.557]</w:t>
      </w:r>
    </w:p>
    <w:p w14:paraId="4E9CBAA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15 </w:t>
      </w:r>
      <w:proofErr w:type="spellStart"/>
      <w:r w:rsidRPr="0018453E">
        <w:rPr>
          <w:rFonts w:ascii="Book Antiqua" w:eastAsia="Book Antiqua" w:hAnsi="Book Antiqua" w:cs="Book Antiqua"/>
          <w:b/>
          <w:bCs/>
          <w:sz w:val="24"/>
          <w:szCs w:val="24"/>
        </w:rPr>
        <w:t>Kassir</w:t>
      </w:r>
      <w:proofErr w:type="spellEnd"/>
      <w:r w:rsidRPr="0018453E">
        <w:rPr>
          <w:rFonts w:ascii="Book Antiqua" w:eastAsia="Book Antiqua" w:hAnsi="Book Antiqua" w:cs="Book Antiqua"/>
          <w:b/>
          <w:bCs/>
          <w:sz w:val="24"/>
          <w:szCs w:val="24"/>
        </w:rPr>
        <w:t xml:space="preserve"> R</w:t>
      </w:r>
      <w:r w:rsidRPr="0018453E">
        <w:rPr>
          <w:rFonts w:ascii="Book Antiqua" w:eastAsia="Book Antiqua" w:hAnsi="Book Antiqua" w:cs="Book Antiqua"/>
          <w:sz w:val="24"/>
          <w:szCs w:val="24"/>
        </w:rPr>
        <w:t xml:space="preserve">. Risk of COVID-19 for patients with obesity. </w:t>
      </w:r>
      <w:proofErr w:type="spellStart"/>
      <w:r w:rsidRPr="0018453E">
        <w:rPr>
          <w:rFonts w:ascii="Book Antiqua" w:eastAsia="Book Antiqua" w:hAnsi="Book Antiqua" w:cs="Book Antiqua"/>
          <w:i/>
          <w:iCs/>
          <w:sz w:val="24"/>
          <w:szCs w:val="24"/>
        </w:rPr>
        <w:t>Obes</w:t>
      </w:r>
      <w:proofErr w:type="spellEnd"/>
      <w:r w:rsidRPr="0018453E">
        <w:rPr>
          <w:rFonts w:ascii="Book Antiqua" w:eastAsia="Book Antiqua" w:hAnsi="Book Antiqua" w:cs="Book Antiqua"/>
          <w:i/>
          <w:iCs/>
          <w:sz w:val="24"/>
          <w:szCs w:val="24"/>
        </w:rPr>
        <w:t xml:space="preserve"> Rev</w:t>
      </w:r>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21</w:t>
      </w:r>
      <w:r w:rsidRPr="0018453E">
        <w:rPr>
          <w:rFonts w:ascii="Book Antiqua" w:eastAsia="Book Antiqua" w:hAnsi="Book Antiqua" w:cs="Book Antiqua"/>
          <w:sz w:val="24"/>
          <w:szCs w:val="24"/>
        </w:rPr>
        <w:t xml:space="preserve">: e13034 [PMID: </w:t>
      </w:r>
      <w:r w:rsidRPr="0018453E">
        <w:rPr>
          <w:rFonts w:ascii="Book Antiqua" w:eastAsia="Book Antiqua" w:hAnsi="Book Antiqua" w:cs="Book Antiqua"/>
          <w:sz w:val="24"/>
          <w:szCs w:val="24"/>
        </w:rPr>
        <w:lastRenderedPageBreak/>
        <w:t>32281287 DOI: 10.1111/obr.13034]</w:t>
      </w:r>
    </w:p>
    <w:p w14:paraId="6DB0E12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16 </w:t>
      </w:r>
      <w:r w:rsidRPr="0018453E">
        <w:rPr>
          <w:rFonts w:ascii="Book Antiqua" w:eastAsia="Book Antiqua" w:hAnsi="Book Antiqua" w:cs="Book Antiqua"/>
          <w:b/>
          <w:bCs/>
          <w:sz w:val="24"/>
          <w:szCs w:val="24"/>
        </w:rPr>
        <w:t>Peng YD</w:t>
      </w:r>
      <w:r w:rsidRPr="0018453E">
        <w:rPr>
          <w:rFonts w:ascii="Book Antiqua" w:eastAsia="Book Antiqua" w:hAnsi="Book Antiqua" w:cs="Book Antiqua"/>
          <w:sz w:val="24"/>
          <w:szCs w:val="24"/>
        </w:rPr>
        <w:t xml:space="preserve">, Meng K, Guan HQ, </w:t>
      </w:r>
      <w:proofErr w:type="spellStart"/>
      <w:r w:rsidRPr="0018453E">
        <w:rPr>
          <w:rFonts w:ascii="Book Antiqua" w:eastAsia="Book Antiqua" w:hAnsi="Book Antiqua" w:cs="Book Antiqua"/>
          <w:sz w:val="24"/>
          <w:szCs w:val="24"/>
        </w:rPr>
        <w:t>Leng</w:t>
      </w:r>
      <w:proofErr w:type="spellEnd"/>
      <w:r w:rsidRPr="0018453E">
        <w:rPr>
          <w:rFonts w:ascii="Book Antiqua" w:eastAsia="Book Antiqua" w:hAnsi="Book Antiqua" w:cs="Book Antiqua"/>
          <w:sz w:val="24"/>
          <w:szCs w:val="24"/>
        </w:rPr>
        <w:t xml:space="preserve"> L, Zhu RR, Wang BY, He MA, Cheng LX, Huang K, Zeng QT. [Clinical characteristics and outcomes of 112 cardiovascular disease patients infected by 2019-nCoV]. </w:t>
      </w:r>
      <w:proofErr w:type="spellStart"/>
      <w:r w:rsidRPr="0018453E">
        <w:rPr>
          <w:rFonts w:ascii="Book Antiqua" w:eastAsia="Book Antiqua" w:hAnsi="Book Antiqua" w:cs="Book Antiqua"/>
          <w:i/>
          <w:iCs/>
          <w:sz w:val="24"/>
          <w:szCs w:val="24"/>
        </w:rPr>
        <w:t>Zhonghua</w:t>
      </w:r>
      <w:proofErr w:type="spellEnd"/>
      <w:r w:rsidRPr="0018453E">
        <w:rPr>
          <w:rFonts w:ascii="Book Antiqua" w:eastAsia="Book Antiqua" w:hAnsi="Book Antiqua" w:cs="Book Antiqua"/>
          <w:i/>
          <w:iCs/>
          <w:sz w:val="24"/>
          <w:szCs w:val="24"/>
        </w:rPr>
        <w:t xml:space="preserve"> </w:t>
      </w:r>
      <w:proofErr w:type="spellStart"/>
      <w:r w:rsidRPr="0018453E">
        <w:rPr>
          <w:rFonts w:ascii="Book Antiqua" w:eastAsia="Book Antiqua" w:hAnsi="Book Antiqua" w:cs="Book Antiqua"/>
          <w:i/>
          <w:iCs/>
          <w:sz w:val="24"/>
          <w:szCs w:val="24"/>
        </w:rPr>
        <w:t>Xinxue</w:t>
      </w:r>
      <w:proofErr w:type="spellEnd"/>
      <w:r w:rsidRPr="0018453E">
        <w:rPr>
          <w:rFonts w:ascii="Book Antiqua" w:eastAsia="Book Antiqua" w:hAnsi="Book Antiqua" w:cs="Book Antiqua"/>
          <w:i/>
          <w:iCs/>
          <w:sz w:val="24"/>
          <w:szCs w:val="24"/>
        </w:rPr>
        <w:t xml:space="preserve"> </w:t>
      </w:r>
      <w:proofErr w:type="spellStart"/>
      <w:r w:rsidRPr="0018453E">
        <w:rPr>
          <w:rFonts w:ascii="Book Antiqua" w:eastAsia="Book Antiqua" w:hAnsi="Book Antiqua" w:cs="Book Antiqua"/>
          <w:i/>
          <w:iCs/>
          <w:sz w:val="24"/>
          <w:szCs w:val="24"/>
        </w:rPr>
        <w:t>Guanbing</w:t>
      </w:r>
      <w:proofErr w:type="spellEnd"/>
      <w:r w:rsidRPr="0018453E">
        <w:rPr>
          <w:rFonts w:ascii="Book Antiqua" w:eastAsia="Book Antiqua" w:hAnsi="Book Antiqua" w:cs="Book Antiqua"/>
          <w:i/>
          <w:iCs/>
          <w:sz w:val="24"/>
          <w:szCs w:val="24"/>
        </w:rPr>
        <w:t xml:space="preserve"> </w:t>
      </w:r>
      <w:proofErr w:type="spellStart"/>
      <w:r w:rsidRPr="0018453E">
        <w:rPr>
          <w:rFonts w:ascii="Book Antiqua" w:eastAsia="Book Antiqua" w:hAnsi="Book Antiqua" w:cs="Book Antiqua"/>
          <w:i/>
          <w:iCs/>
          <w:sz w:val="24"/>
          <w:szCs w:val="24"/>
        </w:rPr>
        <w:t>Zazhi</w:t>
      </w:r>
      <w:proofErr w:type="spellEnd"/>
      <w:r w:rsidRPr="0018453E">
        <w:rPr>
          <w:rFonts w:ascii="Book Antiqua" w:eastAsia="Book Antiqua" w:hAnsi="Book Antiqua" w:cs="Book Antiqua"/>
          <w:sz w:val="24"/>
          <w:szCs w:val="24"/>
        </w:rPr>
        <w:t xml:space="preserve"> 2020; </w:t>
      </w:r>
      <w:r w:rsidRPr="0018453E">
        <w:rPr>
          <w:rFonts w:ascii="Book Antiqua" w:eastAsia="Book Antiqua" w:hAnsi="Book Antiqua" w:cs="Book Antiqua"/>
          <w:b/>
          <w:bCs/>
          <w:sz w:val="24"/>
          <w:szCs w:val="24"/>
        </w:rPr>
        <w:t>48</w:t>
      </w:r>
      <w:r w:rsidRPr="0018453E">
        <w:rPr>
          <w:rFonts w:ascii="Book Antiqua" w:eastAsia="Book Antiqua" w:hAnsi="Book Antiqua" w:cs="Book Antiqua"/>
          <w:sz w:val="24"/>
          <w:szCs w:val="24"/>
        </w:rPr>
        <w:t>: 450-455 [PMID: 32120458 DOI: 10.3760/cma.j.cn112148-20200220-00105]</w:t>
      </w:r>
    </w:p>
    <w:p w14:paraId="35BA31C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17 </w:t>
      </w:r>
      <w:proofErr w:type="spellStart"/>
      <w:r w:rsidRPr="0018453E">
        <w:rPr>
          <w:rFonts w:ascii="Book Antiqua" w:eastAsia="Book Antiqua" w:hAnsi="Book Antiqua" w:cs="Book Antiqua"/>
          <w:b/>
          <w:bCs/>
          <w:sz w:val="24"/>
          <w:szCs w:val="24"/>
        </w:rPr>
        <w:t>Faienza</w:t>
      </w:r>
      <w:proofErr w:type="spellEnd"/>
      <w:r w:rsidRPr="0018453E">
        <w:rPr>
          <w:rFonts w:ascii="Book Antiqua" w:eastAsia="Book Antiqua" w:hAnsi="Book Antiqua" w:cs="Book Antiqua"/>
          <w:b/>
          <w:bCs/>
          <w:sz w:val="24"/>
          <w:szCs w:val="24"/>
        </w:rPr>
        <w:t xml:space="preserve"> MF</w:t>
      </w:r>
      <w:r w:rsidRPr="0018453E">
        <w:rPr>
          <w:rFonts w:ascii="Book Antiqua" w:eastAsia="Book Antiqua" w:hAnsi="Book Antiqua" w:cs="Book Antiqua"/>
          <w:sz w:val="24"/>
          <w:szCs w:val="24"/>
        </w:rPr>
        <w:t xml:space="preserve">, </w:t>
      </w:r>
      <w:proofErr w:type="spellStart"/>
      <w:r w:rsidRPr="0018453E">
        <w:rPr>
          <w:rFonts w:ascii="Book Antiqua" w:eastAsia="Book Antiqua" w:hAnsi="Book Antiqua" w:cs="Book Antiqua"/>
          <w:sz w:val="24"/>
          <w:szCs w:val="24"/>
        </w:rPr>
        <w:t>Acquafredda</w:t>
      </w:r>
      <w:proofErr w:type="spellEnd"/>
      <w:r w:rsidRPr="0018453E">
        <w:rPr>
          <w:rFonts w:ascii="Book Antiqua" w:eastAsia="Book Antiqua" w:hAnsi="Book Antiqua" w:cs="Book Antiqua"/>
          <w:sz w:val="24"/>
          <w:szCs w:val="24"/>
        </w:rPr>
        <w:t xml:space="preserve"> A, </w:t>
      </w:r>
      <w:proofErr w:type="spellStart"/>
      <w:r w:rsidRPr="0018453E">
        <w:rPr>
          <w:rFonts w:ascii="Book Antiqua" w:eastAsia="Book Antiqua" w:hAnsi="Book Antiqua" w:cs="Book Antiqua"/>
          <w:sz w:val="24"/>
          <w:szCs w:val="24"/>
        </w:rPr>
        <w:t>Tesse</w:t>
      </w:r>
      <w:proofErr w:type="spellEnd"/>
      <w:r w:rsidRPr="0018453E">
        <w:rPr>
          <w:rFonts w:ascii="Book Antiqua" w:eastAsia="Book Antiqua" w:hAnsi="Book Antiqua" w:cs="Book Antiqua"/>
          <w:sz w:val="24"/>
          <w:szCs w:val="24"/>
        </w:rPr>
        <w:t xml:space="preserve"> R, Luce V, Ventura A, </w:t>
      </w:r>
      <w:proofErr w:type="spellStart"/>
      <w:r w:rsidRPr="0018453E">
        <w:rPr>
          <w:rFonts w:ascii="Book Antiqua" w:eastAsia="Book Antiqua" w:hAnsi="Book Antiqua" w:cs="Book Antiqua"/>
          <w:sz w:val="24"/>
          <w:szCs w:val="24"/>
        </w:rPr>
        <w:t>Maggialetti</w:t>
      </w:r>
      <w:proofErr w:type="spellEnd"/>
      <w:r w:rsidRPr="0018453E">
        <w:rPr>
          <w:rFonts w:ascii="Book Antiqua" w:eastAsia="Book Antiqua" w:hAnsi="Book Antiqua" w:cs="Book Antiqua"/>
          <w:sz w:val="24"/>
          <w:szCs w:val="24"/>
        </w:rPr>
        <w:t xml:space="preserve"> N, </w:t>
      </w:r>
      <w:proofErr w:type="spellStart"/>
      <w:r w:rsidRPr="0018453E">
        <w:rPr>
          <w:rFonts w:ascii="Book Antiqua" w:eastAsia="Book Antiqua" w:hAnsi="Book Antiqua" w:cs="Book Antiqua"/>
          <w:sz w:val="24"/>
          <w:szCs w:val="24"/>
        </w:rPr>
        <w:t>Monteduro</w:t>
      </w:r>
      <w:proofErr w:type="spellEnd"/>
      <w:r w:rsidRPr="0018453E">
        <w:rPr>
          <w:rFonts w:ascii="Book Antiqua" w:eastAsia="Book Antiqua" w:hAnsi="Book Antiqua" w:cs="Book Antiqua"/>
          <w:sz w:val="24"/>
          <w:szCs w:val="24"/>
        </w:rPr>
        <w:t xml:space="preserve"> M, Giordano P, Cavallo L. Risk factors for subclinical atherosclerosis in diabetic and obese children. </w:t>
      </w:r>
      <w:r w:rsidRPr="0018453E">
        <w:rPr>
          <w:rFonts w:ascii="Book Antiqua" w:eastAsia="Book Antiqua" w:hAnsi="Book Antiqua" w:cs="Book Antiqua"/>
          <w:i/>
          <w:iCs/>
          <w:sz w:val="24"/>
          <w:szCs w:val="24"/>
        </w:rPr>
        <w:t>Int J Med Sci</w:t>
      </w:r>
      <w:r w:rsidRPr="0018453E">
        <w:rPr>
          <w:rFonts w:ascii="Book Antiqua" w:eastAsia="Book Antiqua" w:hAnsi="Book Antiqua" w:cs="Book Antiqua"/>
          <w:sz w:val="24"/>
          <w:szCs w:val="24"/>
        </w:rPr>
        <w:t xml:space="preserve"> 2013; </w:t>
      </w:r>
      <w:r w:rsidRPr="0018453E">
        <w:rPr>
          <w:rFonts w:ascii="Book Antiqua" w:eastAsia="Book Antiqua" w:hAnsi="Book Antiqua" w:cs="Book Antiqua"/>
          <w:b/>
          <w:bCs/>
          <w:sz w:val="24"/>
          <w:szCs w:val="24"/>
        </w:rPr>
        <w:t>10</w:t>
      </w:r>
      <w:r w:rsidRPr="0018453E">
        <w:rPr>
          <w:rFonts w:ascii="Book Antiqua" w:eastAsia="Book Antiqua" w:hAnsi="Book Antiqua" w:cs="Book Antiqua"/>
          <w:sz w:val="24"/>
          <w:szCs w:val="24"/>
        </w:rPr>
        <w:t>: 338-343 [PMID: 23423872 DOI: 10.7150/ijms.5181]</w:t>
      </w:r>
    </w:p>
    <w:bookmarkEnd w:id="0"/>
    <w:bookmarkEnd w:id="1"/>
    <w:p w14:paraId="4314FB35" w14:textId="77777777" w:rsidR="00940440" w:rsidRPr="0018453E" w:rsidRDefault="00940440" w:rsidP="0018453E">
      <w:pPr>
        <w:adjustRightInd w:val="0"/>
        <w:snapToGrid w:val="0"/>
        <w:spacing w:line="360" w:lineRule="auto"/>
        <w:rPr>
          <w:rFonts w:ascii="Book Antiqua" w:hAnsi="Book Antiqua" w:cs="Book Antiqua"/>
          <w:sz w:val="24"/>
          <w:szCs w:val="24"/>
        </w:rPr>
        <w:sectPr w:rsidR="00940440" w:rsidRPr="0018453E">
          <w:pgSz w:w="12240" w:h="15840"/>
          <w:pgMar w:top="1440" w:right="1440" w:bottom="1440" w:left="1440" w:header="720" w:footer="720" w:gutter="0"/>
          <w:cols w:space="720"/>
          <w:docGrid w:linePitch="360"/>
        </w:sectPr>
      </w:pPr>
    </w:p>
    <w:p w14:paraId="16F5FE8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lastRenderedPageBreak/>
        <w:t>Footnotes</w:t>
      </w:r>
    </w:p>
    <w:p w14:paraId="7631D4C2"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Institutional review board statement: </w:t>
      </w:r>
      <w:r w:rsidRPr="0018453E">
        <w:rPr>
          <w:rFonts w:ascii="Book Antiqua" w:eastAsia="Book Antiqua" w:hAnsi="Book Antiqua" w:cs="Book Antiqua"/>
          <w:sz w:val="24"/>
          <w:szCs w:val="24"/>
        </w:rPr>
        <w:t>This study was supported by the Ethics Committee of Guangzhou Women and Children’s Medical Center.</w:t>
      </w:r>
    </w:p>
    <w:p w14:paraId="70BC094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78BC5A07"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Informed consent statement: </w:t>
      </w:r>
      <w:r w:rsidRPr="0018453E">
        <w:rPr>
          <w:rFonts w:ascii="Book Antiqua" w:eastAsia="Book Antiqua" w:hAnsi="Book Antiqua" w:cs="Book Antiqua"/>
          <w:sz w:val="24"/>
          <w:szCs w:val="24"/>
        </w:rPr>
        <w:t>Patients were not required to give informed consent to the study because the analysis used anonymous clinical data that were obtained after each patient agreed to treatment by written consent.</w:t>
      </w:r>
    </w:p>
    <w:p w14:paraId="6CD6C723"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06A268A7" w14:textId="1440E585"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Conflict-of-interest statement: </w:t>
      </w:r>
      <w:r w:rsidR="00F3689D">
        <w:rPr>
          <w:rFonts w:ascii="Book Antiqua" w:eastAsia="Book Antiqua" w:hAnsi="Book Antiqua" w:cs="Book Antiqua"/>
          <w:sz w:val="24"/>
          <w:szCs w:val="24"/>
        </w:rPr>
        <w:t>The authors declare that they</w:t>
      </w:r>
      <w:r w:rsidRPr="0018453E">
        <w:rPr>
          <w:rFonts w:ascii="Book Antiqua" w:eastAsia="Book Antiqua" w:hAnsi="Book Antiqua" w:cs="Book Antiqua"/>
          <w:sz w:val="24"/>
          <w:szCs w:val="24"/>
        </w:rPr>
        <w:t xml:space="preserve"> have no conflict</w:t>
      </w:r>
      <w:r w:rsidR="00F3689D">
        <w:rPr>
          <w:rFonts w:ascii="Book Antiqua" w:eastAsia="Book Antiqua" w:hAnsi="Book Antiqua" w:cs="Book Antiqua"/>
          <w:sz w:val="24"/>
          <w:szCs w:val="24"/>
        </w:rPr>
        <w:t>s of interest</w:t>
      </w:r>
      <w:r w:rsidRPr="0018453E">
        <w:rPr>
          <w:rFonts w:ascii="Book Antiqua" w:eastAsia="Book Antiqua" w:hAnsi="Book Antiqua" w:cs="Book Antiqua"/>
          <w:sz w:val="24"/>
          <w:szCs w:val="24"/>
        </w:rPr>
        <w:t xml:space="preserve"> to disclose.</w:t>
      </w:r>
    </w:p>
    <w:p w14:paraId="1F95878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467D8DCD"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Data sharing statement: </w:t>
      </w:r>
      <w:r w:rsidRPr="0018453E">
        <w:rPr>
          <w:rFonts w:ascii="Book Antiqua" w:eastAsia="Book Antiqua" w:hAnsi="Book Antiqua" w:cs="Book Antiqua"/>
          <w:sz w:val="24"/>
          <w:szCs w:val="24"/>
        </w:rPr>
        <w:t>No additional data are available.</w:t>
      </w:r>
    </w:p>
    <w:p w14:paraId="59B5D50D"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FBB3CEC"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bCs/>
          <w:sz w:val="24"/>
          <w:szCs w:val="24"/>
        </w:rPr>
        <w:t xml:space="preserve">Open-Access: </w:t>
      </w:r>
      <w:r w:rsidRPr="0018453E">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D0479"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1D416E86" w14:textId="36BF2FFA"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Manuscript source: </w:t>
      </w:r>
      <w:r w:rsidRPr="0018453E">
        <w:rPr>
          <w:rFonts w:ascii="Book Antiqua" w:eastAsia="Book Antiqua" w:hAnsi="Book Antiqua" w:cs="Book Antiqua"/>
          <w:sz w:val="24"/>
          <w:szCs w:val="24"/>
        </w:rPr>
        <w:t xml:space="preserve">Unsolicited </w:t>
      </w:r>
      <w:r w:rsidR="00333C9C">
        <w:rPr>
          <w:rFonts w:ascii="Book Antiqua" w:eastAsia="Book Antiqua" w:hAnsi="Book Antiqua" w:cs="Book Antiqua"/>
          <w:sz w:val="24"/>
          <w:szCs w:val="24"/>
        </w:rPr>
        <w:t>m</w:t>
      </w:r>
      <w:r w:rsidRPr="0018453E">
        <w:rPr>
          <w:rFonts w:ascii="Book Antiqua" w:eastAsia="Book Antiqua" w:hAnsi="Book Antiqua" w:cs="Book Antiqua"/>
          <w:sz w:val="24"/>
          <w:szCs w:val="24"/>
        </w:rPr>
        <w:t>anuscript</w:t>
      </w:r>
    </w:p>
    <w:p w14:paraId="7239D8FA"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3045E7E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Peer-review started: </w:t>
      </w:r>
      <w:r w:rsidRPr="0018453E">
        <w:rPr>
          <w:rFonts w:ascii="Book Antiqua" w:eastAsia="Book Antiqua" w:hAnsi="Book Antiqua" w:cs="Book Antiqua"/>
          <w:sz w:val="24"/>
          <w:szCs w:val="24"/>
        </w:rPr>
        <w:t>October 28, 2020</w:t>
      </w:r>
    </w:p>
    <w:p w14:paraId="04DE772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First decision: </w:t>
      </w:r>
      <w:r w:rsidRPr="0018453E">
        <w:rPr>
          <w:rFonts w:ascii="Book Antiqua" w:eastAsia="Book Antiqua" w:hAnsi="Book Antiqua" w:cs="Book Antiqua"/>
          <w:sz w:val="24"/>
          <w:szCs w:val="24"/>
        </w:rPr>
        <w:t>November 20, 2020</w:t>
      </w:r>
    </w:p>
    <w:p w14:paraId="658D5AF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Article in press: </w:t>
      </w:r>
    </w:p>
    <w:p w14:paraId="7AE7D374"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AA7F08B"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Specialty type: </w:t>
      </w:r>
      <w:r w:rsidRPr="0018453E">
        <w:rPr>
          <w:rFonts w:ascii="Book Antiqua" w:eastAsia="Book Antiqua" w:hAnsi="Book Antiqua" w:cs="Book Antiqua"/>
          <w:sz w:val="24"/>
          <w:szCs w:val="24"/>
        </w:rPr>
        <w:t>Respiratory System</w:t>
      </w:r>
    </w:p>
    <w:p w14:paraId="07C3D174"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 xml:space="preserve">Country/Territory of origin: </w:t>
      </w:r>
      <w:r w:rsidRPr="0018453E">
        <w:rPr>
          <w:rFonts w:ascii="Book Antiqua" w:eastAsia="Book Antiqua" w:hAnsi="Book Antiqua" w:cs="Book Antiqua"/>
          <w:sz w:val="24"/>
          <w:szCs w:val="24"/>
        </w:rPr>
        <w:t>China</w:t>
      </w:r>
    </w:p>
    <w:p w14:paraId="7E46F128"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sz w:val="24"/>
          <w:szCs w:val="24"/>
        </w:rPr>
        <w:t>Peer-review report’s scientific quality classification</w:t>
      </w:r>
    </w:p>
    <w:p w14:paraId="029E7735"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A (Excellent): 0</w:t>
      </w:r>
    </w:p>
    <w:p w14:paraId="144FE07B" w14:textId="6018FA21"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lastRenderedPageBreak/>
        <w:t xml:space="preserve">Grade B (Very good): </w:t>
      </w:r>
      <w:r w:rsidR="002B78B0" w:rsidRPr="0018453E">
        <w:rPr>
          <w:rFonts w:ascii="Book Antiqua" w:eastAsiaTheme="minorEastAsia" w:hAnsi="Book Antiqua" w:cs="Book Antiqua"/>
          <w:sz w:val="24"/>
          <w:szCs w:val="24"/>
        </w:rPr>
        <w:t>0</w:t>
      </w:r>
    </w:p>
    <w:p w14:paraId="57639950"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C (Good): 0</w:t>
      </w:r>
    </w:p>
    <w:p w14:paraId="22FD7F9C" w14:textId="040F84D9"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 xml:space="preserve">Grade D (Fair): </w:t>
      </w:r>
      <w:r w:rsidR="002B78B0" w:rsidRPr="0018453E">
        <w:rPr>
          <w:rFonts w:ascii="Book Antiqua" w:eastAsia="Book Antiqua" w:hAnsi="Book Antiqua" w:cs="Book Antiqua"/>
          <w:sz w:val="24"/>
          <w:szCs w:val="24"/>
        </w:rPr>
        <w:t>D</w:t>
      </w:r>
    </w:p>
    <w:p w14:paraId="72154C93"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sz w:val="24"/>
          <w:szCs w:val="24"/>
        </w:rPr>
        <w:t>Grade E (Poor): 0</w:t>
      </w:r>
    </w:p>
    <w:p w14:paraId="3627997E" w14:textId="77777777" w:rsidR="00940440" w:rsidRPr="0018453E" w:rsidRDefault="00940440" w:rsidP="0018453E">
      <w:pPr>
        <w:adjustRightInd w:val="0"/>
        <w:snapToGrid w:val="0"/>
        <w:spacing w:line="360" w:lineRule="auto"/>
        <w:rPr>
          <w:rFonts w:ascii="Book Antiqua" w:hAnsi="Book Antiqua" w:cs="Book Antiqua"/>
          <w:sz w:val="24"/>
          <w:szCs w:val="24"/>
        </w:rPr>
      </w:pPr>
    </w:p>
    <w:p w14:paraId="28383471" w14:textId="6BA7AE2B" w:rsidR="00940440" w:rsidRPr="0018453E" w:rsidRDefault="00B744AA" w:rsidP="0018453E">
      <w:pPr>
        <w:adjustRightInd w:val="0"/>
        <w:snapToGrid w:val="0"/>
        <w:spacing w:line="360" w:lineRule="auto"/>
        <w:rPr>
          <w:rFonts w:ascii="Book Antiqua" w:hAnsi="Book Antiqua" w:cs="Book Antiqua"/>
          <w:sz w:val="24"/>
          <w:szCs w:val="24"/>
        </w:rPr>
        <w:sectPr w:rsidR="00940440" w:rsidRPr="0018453E">
          <w:pgSz w:w="12240" w:h="15840"/>
          <w:pgMar w:top="1440" w:right="1440" w:bottom="1440" w:left="1440" w:header="720" w:footer="720" w:gutter="0"/>
          <w:cols w:space="720"/>
          <w:docGrid w:linePitch="360"/>
        </w:sectPr>
      </w:pPr>
      <w:r w:rsidRPr="0018453E">
        <w:rPr>
          <w:rFonts w:ascii="Book Antiqua" w:eastAsia="Book Antiqua" w:hAnsi="Book Antiqua" w:cs="Book Antiqua"/>
          <w:b/>
          <w:sz w:val="24"/>
          <w:szCs w:val="24"/>
        </w:rPr>
        <w:t xml:space="preserve">P-Reviewer: </w:t>
      </w:r>
      <w:r w:rsidR="002B78B0" w:rsidRPr="0018453E">
        <w:rPr>
          <w:rFonts w:ascii="Book Antiqua" w:eastAsia="Book Antiqua" w:hAnsi="Book Antiqua" w:cs="Book Antiqua"/>
          <w:sz w:val="24"/>
          <w:szCs w:val="24"/>
        </w:rPr>
        <w:t>Lal</w:t>
      </w:r>
      <w:r w:rsidRPr="0018453E">
        <w:rPr>
          <w:rFonts w:ascii="Book Antiqua" w:eastAsia="Book Antiqua" w:hAnsi="Book Antiqua" w:cs="Book Antiqua"/>
          <w:sz w:val="24"/>
          <w:szCs w:val="24"/>
        </w:rPr>
        <w:t xml:space="preserve"> </w:t>
      </w:r>
      <w:r w:rsidR="002B78B0" w:rsidRPr="0018453E">
        <w:rPr>
          <w:rFonts w:ascii="Book Antiqua" w:eastAsia="Book Antiqua" w:hAnsi="Book Antiqua" w:cs="Book Antiqua"/>
          <w:sz w:val="24"/>
          <w:szCs w:val="24"/>
        </w:rPr>
        <w:t>A</w:t>
      </w:r>
      <w:r w:rsidRPr="0018453E">
        <w:rPr>
          <w:rFonts w:ascii="Book Antiqua" w:eastAsia="Book Antiqua" w:hAnsi="Book Antiqua" w:cs="Book Antiqua"/>
          <w:b/>
          <w:sz w:val="24"/>
          <w:szCs w:val="24"/>
        </w:rPr>
        <w:t xml:space="preserve"> S-Editor: </w:t>
      </w:r>
      <w:r w:rsidRPr="0018453E">
        <w:rPr>
          <w:rFonts w:ascii="Book Antiqua" w:eastAsia="Book Antiqua" w:hAnsi="Book Antiqua" w:cs="Book Antiqua"/>
          <w:sz w:val="24"/>
          <w:szCs w:val="24"/>
        </w:rPr>
        <w:t>Liu M</w:t>
      </w:r>
      <w:r w:rsidRPr="0018453E">
        <w:rPr>
          <w:rFonts w:ascii="Book Antiqua" w:eastAsia="Book Antiqua" w:hAnsi="Book Antiqua" w:cs="Book Antiqua"/>
          <w:b/>
          <w:sz w:val="24"/>
          <w:szCs w:val="24"/>
        </w:rPr>
        <w:t xml:space="preserve"> L-Editor:</w:t>
      </w:r>
      <w:r w:rsidR="00220C30">
        <w:rPr>
          <w:rFonts w:ascii="Book Antiqua" w:eastAsia="Book Antiqua" w:hAnsi="Book Antiqua" w:cs="Book Antiqua"/>
          <w:b/>
          <w:sz w:val="24"/>
          <w:szCs w:val="24"/>
        </w:rPr>
        <w:t xml:space="preserve"> </w:t>
      </w:r>
      <w:r w:rsidR="00220C30">
        <w:rPr>
          <w:rFonts w:ascii="Book Antiqua" w:eastAsia="Book Antiqua" w:hAnsi="Book Antiqua" w:cs="Book Antiqua"/>
          <w:bCs/>
          <w:sz w:val="24"/>
          <w:szCs w:val="24"/>
        </w:rPr>
        <w:t>Filipodia</w:t>
      </w:r>
      <w:r w:rsidRPr="0018453E">
        <w:rPr>
          <w:rFonts w:ascii="Book Antiqua" w:eastAsia="Book Antiqua" w:hAnsi="Book Antiqua" w:cs="Book Antiqua"/>
          <w:b/>
          <w:sz w:val="24"/>
          <w:szCs w:val="24"/>
        </w:rPr>
        <w:t xml:space="preserve"> P-Editor: </w:t>
      </w:r>
    </w:p>
    <w:p w14:paraId="0F409956" w14:textId="77777777" w:rsidR="00940440" w:rsidRPr="0018453E" w:rsidRDefault="00B744AA" w:rsidP="0018453E">
      <w:pPr>
        <w:adjustRightInd w:val="0"/>
        <w:snapToGrid w:val="0"/>
        <w:spacing w:line="360" w:lineRule="auto"/>
        <w:rPr>
          <w:rFonts w:ascii="Book Antiqua" w:eastAsia="Book Antiqua" w:hAnsi="Book Antiqua" w:cs="Book Antiqua"/>
          <w:b/>
          <w:sz w:val="24"/>
          <w:szCs w:val="24"/>
        </w:rPr>
      </w:pPr>
      <w:r w:rsidRPr="0018453E">
        <w:rPr>
          <w:rFonts w:ascii="Book Antiqua" w:eastAsia="Book Antiqua" w:hAnsi="Book Antiqua" w:cs="Book Antiqua"/>
          <w:b/>
          <w:sz w:val="24"/>
          <w:szCs w:val="24"/>
        </w:rPr>
        <w:lastRenderedPageBreak/>
        <w:t>Figure Legends</w:t>
      </w:r>
    </w:p>
    <w:p w14:paraId="3C473A41" w14:textId="77777777"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eastAsia="Book Antiqua" w:hAnsi="Book Antiqua" w:cs="Book Antiqua"/>
          <w:b/>
          <w:noProof/>
          <w:sz w:val="24"/>
          <w:szCs w:val="24"/>
        </w:rPr>
        <w:drawing>
          <wp:inline distT="0" distB="0" distL="0" distR="0" wp14:anchorId="3F4C22B3" wp14:editId="66DBFD6C">
            <wp:extent cx="5042535" cy="4015105"/>
            <wp:effectExtent l="0" t="0" r="571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007" cy="4019789"/>
                    </a:xfrm>
                    <a:prstGeom prst="rect">
                      <a:avLst/>
                    </a:prstGeom>
                    <a:noFill/>
                  </pic:spPr>
                </pic:pic>
              </a:graphicData>
            </a:graphic>
          </wp:inline>
        </w:drawing>
      </w:r>
    </w:p>
    <w:p w14:paraId="1392AA6E" w14:textId="77777777" w:rsidR="00940440" w:rsidRPr="0018453E" w:rsidRDefault="00B744AA" w:rsidP="0018453E">
      <w:pPr>
        <w:adjustRightInd w:val="0"/>
        <w:snapToGrid w:val="0"/>
        <w:spacing w:line="360" w:lineRule="auto"/>
        <w:rPr>
          <w:rFonts w:ascii="Book Antiqua" w:eastAsia="Book Antiqua" w:hAnsi="Book Antiqua" w:cs="Book Antiqua"/>
          <w:b/>
          <w:bCs/>
          <w:sz w:val="24"/>
          <w:szCs w:val="24"/>
        </w:rPr>
      </w:pPr>
      <w:r w:rsidRPr="0018453E">
        <w:rPr>
          <w:rFonts w:ascii="Book Antiqua" w:eastAsia="Book Antiqua" w:hAnsi="Book Antiqua" w:cs="Book Antiqua"/>
          <w:b/>
          <w:bCs/>
          <w:sz w:val="24"/>
          <w:szCs w:val="24"/>
        </w:rPr>
        <w:t>Figure 1 Guangzhou Women and Children Medical Center pediatric outpatient emergency treatment process and triage screening procedures.</w:t>
      </w:r>
    </w:p>
    <w:p w14:paraId="7CA0F721" w14:textId="0F581216" w:rsidR="00940440" w:rsidRPr="0018453E" w:rsidRDefault="00B744AA" w:rsidP="0018453E">
      <w:pPr>
        <w:pStyle w:val="NormalWeb"/>
        <w:adjustRightInd w:val="0"/>
        <w:snapToGrid w:val="0"/>
        <w:spacing w:line="360" w:lineRule="auto"/>
        <w:jc w:val="both"/>
        <w:rPr>
          <w:rFonts w:ascii="Book Antiqua" w:hAnsi="Book Antiqua" w:cs="Book Antiqua"/>
          <w:b/>
          <w:bCs/>
        </w:rPr>
      </w:pPr>
      <w:r w:rsidRPr="0018453E">
        <w:rPr>
          <w:rFonts w:ascii="Book Antiqua" w:eastAsia="Book Antiqua" w:hAnsi="Book Antiqua" w:cs="Book Antiqua"/>
          <w:b/>
          <w:bCs/>
        </w:rPr>
        <w:br w:type="page"/>
      </w:r>
      <w:r w:rsidRPr="0018453E">
        <w:rPr>
          <w:rFonts w:ascii="Book Antiqua" w:hAnsi="Book Antiqua" w:cs="Book Antiqua"/>
          <w:b/>
          <w:kern w:val="2"/>
        </w:rPr>
        <w:lastRenderedPageBreak/>
        <w:t>Table 1 Screening data of hospitalized children</w:t>
      </w:r>
    </w:p>
    <w:tbl>
      <w:tblPr>
        <w:tblW w:w="9087" w:type="dxa"/>
        <w:tblBorders>
          <w:top w:val="single" w:sz="6" w:space="0" w:color="auto"/>
          <w:bottom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3058"/>
        <w:gridCol w:w="1510"/>
        <w:gridCol w:w="1542"/>
        <w:gridCol w:w="1559"/>
      </w:tblGrid>
      <w:tr w:rsidR="00B744AA" w:rsidRPr="0018453E" w14:paraId="7EBE36FC" w14:textId="77777777">
        <w:trPr>
          <w:trHeight w:val="270"/>
        </w:trPr>
        <w:tc>
          <w:tcPr>
            <w:tcW w:w="4476" w:type="dxa"/>
            <w:gridSpan w:val="2"/>
            <w:tcBorders>
              <w:top w:val="single" w:sz="6" w:space="0" w:color="auto"/>
              <w:bottom w:val="single" w:sz="4" w:space="0" w:color="auto"/>
            </w:tcBorders>
            <w:shd w:val="clear" w:color="auto" w:fill="auto"/>
            <w:vAlign w:val="center"/>
          </w:tcPr>
          <w:p w14:paraId="46359D88" w14:textId="40BA8E57" w:rsidR="00940440" w:rsidRPr="0018453E" w:rsidRDefault="00B744AA" w:rsidP="0018453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Variable</w:t>
            </w:r>
            <w:r w:rsidR="00F3689D">
              <w:rPr>
                <w:rFonts w:ascii="Book Antiqua" w:hAnsi="Book Antiqua" w:cs="Book Antiqua"/>
                <w:b/>
                <w:bCs/>
                <w:sz w:val="24"/>
                <w:szCs w:val="24"/>
                <w:lang w:bidi="ar"/>
              </w:rPr>
              <w:t>s</w:t>
            </w:r>
          </w:p>
        </w:tc>
        <w:tc>
          <w:tcPr>
            <w:tcW w:w="1510" w:type="dxa"/>
            <w:tcBorders>
              <w:top w:val="single" w:sz="6" w:space="0" w:color="auto"/>
              <w:bottom w:val="single" w:sz="4" w:space="0" w:color="auto"/>
            </w:tcBorders>
            <w:shd w:val="clear" w:color="auto" w:fill="auto"/>
            <w:vAlign w:val="center"/>
          </w:tcPr>
          <w:p w14:paraId="11E93DA8"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i/>
                <w:iCs/>
                <w:sz w:val="24"/>
                <w:szCs w:val="24"/>
                <w:lang w:bidi="ar"/>
              </w:rPr>
              <w:t>n</w:t>
            </w:r>
            <w:r w:rsidRPr="0018453E">
              <w:rPr>
                <w:rFonts w:ascii="Book Antiqua" w:hAnsi="Book Antiqua" w:cs="Book Antiqua"/>
                <w:b/>
                <w:bCs/>
                <w:sz w:val="24"/>
                <w:szCs w:val="24"/>
                <w:lang w:bidi="ar"/>
              </w:rPr>
              <w:t xml:space="preserve"> (%)</w:t>
            </w:r>
          </w:p>
        </w:tc>
        <w:tc>
          <w:tcPr>
            <w:tcW w:w="1542" w:type="dxa"/>
            <w:tcBorders>
              <w:top w:val="single" w:sz="6" w:space="0" w:color="auto"/>
              <w:bottom w:val="single" w:sz="4" w:space="0" w:color="auto"/>
            </w:tcBorders>
            <w:shd w:val="clear" w:color="auto" w:fill="auto"/>
            <w:vAlign w:val="center"/>
          </w:tcPr>
          <w:p w14:paraId="3BEF01F1"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 xml:space="preserve">Mean </w:t>
            </w:r>
            <w:r w:rsidRPr="0018453E">
              <w:rPr>
                <w:rFonts w:ascii="Book Antiqua" w:hAnsi="Book Antiqua" w:cs="Book Antiqua"/>
                <w:b/>
                <w:bCs/>
                <w:sz w:val="24"/>
                <w:szCs w:val="24"/>
              </w:rPr>
              <w:t>± SD</w:t>
            </w:r>
          </w:p>
        </w:tc>
        <w:tc>
          <w:tcPr>
            <w:tcW w:w="1559" w:type="dxa"/>
            <w:tcBorders>
              <w:top w:val="single" w:sz="6" w:space="0" w:color="auto"/>
              <w:bottom w:val="single" w:sz="4" w:space="0" w:color="auto"/>
            </w:tcBorders>
            <w:shd w:val="clear" w:color="auto" w:fill="auto"/>
            <w:vAlign w:val="center"/>
          </w:tcPr>
          <w:p w14:paraId="5B2A3EF5"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
                <w:bCs/>
                <w:sz w:val="24"/>
                <w:szCs w:val="24"/>
              </w:rPr>
            </w:pPr>
            <w:r w:rsidRPr="0018453E">
              <w:rPr>
                <w:rFonts w:ascii="Book Antiqua" w:hAnsi="Book Antiqua" w:cs="Book Antiqua"/>
                <w:b/>
                <w:bCs/>
                <w:sz w:val="24"/>
                <w:szCs w:val="24"/>
                <w:lang w:bidi="ar"/>
              </w:rPr>
              <w:t>Median (IQR)</w:t>
            </w:r>
          </w:p>
        </w:tc>
      </w:tr>
      <w:tr w:rsidR="00B744AA" w:rsidRPr="0018453E" w14:paraId="45919CF8" w14:textId="77777777">
        <w:trPr>
          <w:trHeight w:val="285"/>
        </w:trPr>
        <w:tc>
          <w:tcPr>
            <w:tcW w:w="1418" w:type="dxa"/>
            <w:vMerge w:val="restart"/>
            <w:tcBorders>
              <w:top w:val="single" w:sz="4" w:space="0" w:color="auto"/>
              <w:bottom w:val="nil"/>
              <w:right w:val="nil"/>
            </w:tcBorders>
            <w:shd w:val="clear" w:color="auto" w:fill="auto"/>
            <w:vAlign w:val="center"/>
          </w:tcPr>
          <w:p w14:paraId="625056A8"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General characteristics</w:t>
            </w:r>
          </w:p>
        </w:tc>
        <w:tc>
          <w:tcPr>
            <w:tcW w:w="3058" w:type="dxa"/>
            <w:tcBorders>
              <w:top w:val="single" w:sz="4" w:space="0" w:color="auto"/>
              <w:left w:val="nil"/>
              <w:bottom w:val="nil"/>
              <w:right w:val="nil"/>
            </w:tcBorders>
            <w:shd w:val="clear" w:color="auto" w:fill="auto"/>
            <w:vAlign w:val="center"/>
          </w:tcPr>
          <w:p w14:paraId="3F1967A3"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Sex (female)</w:t>
            </w:r>
          </w:p>
        </w:tc>
        <w:tc>
          <w:tcPr>
            <w:tcW w:w="1510" w:type="dxa"/>
            <w:tcBorders>
              <w:top w:val="single" w:sz="4" w:space="0" w:color="auto"/>
              <w:left w:val="nil"/>
              <w:bottom w:val="nil"/>
              <w:right w:val="nil"/>
            </w:tcBorders>
            <w:shd w:val="clear" w:color="auto" w:fill="auto"/>
            <w:vAlign w:val="center"/>
          </w:tcPr>
          <w:p w14:paraId="4CA9B4AD"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7493 (42.7)</w:t>
            </w:r>
          </w:p>
        </w:tc>
        <w:tc>
          <w:tcPr>
            <w:tcW w:w="1542" w:type="dxa"/>
            <w:tcBorders>
              <w:top w:val="single" w:sz="4" w:space="0" w:color="auto"/>
              <w:left w:val="nil"/>
              <w:bottom w:val="nil"/>
              <w:right w:val="nil"/>
            </w:tcBorders>
            <w:shd w:val="clear" w:color="auto" w:fill="auto"/>
            <w:vAlign w:val="center"/>
          </w:tcPr>
          <w:p w14:paraId="2585303C"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single" w:sz="4" w:space="0" w:color="auto"/>
              <w:left w:val="nil"/>
              <w:bottom w:val="nil"/>
            </w:tcBorders>
            <w:shd w:val="clear" w:color="auto" w:fill="auto"/>
            <w:vAlign w:val="center"/>
          </w:tcPr>
          <w:p w14:paraId="01982A0B"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7FD94C0D" w14:textId="77777777">
        <w:trPr>
          <w:trHeight w:val="285"/>
        </w:trPr>
        <w:tc>
          <w:tcPr>
            <w:tcW w:w="1418" w:type="dxa"/>
            <w:vMerge/>
            <w:tcBorders>
              <w:top w:val="nil"/>
              <w:bottom w:val="nil"/>
              <w:right w:val="nil"/>
            </w:tcBorders>
            <w:shd w:val="clear" w:color="auto" w:fill="auto"/>
            <w:vAlign w:val="center"/>
          </w:tcPr>
          <w:p w14:paraId="7E3FC00A"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EB74527"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Age, mo</w:t>
            </w:r>
          </w:p>
        </w:tc>
        <w:tc>
          <w:tcPr>
            <w:tcW w:w="1510" w:type="dxa"/>
            <w:tcBorders>
              <w:top w:val="nil"/>
              <w:left w:val="nil"/>
              <w:bottom w:val="nil"/>
              <w:right w:val="nil"/>
            </w:tcBorders>
            <w:shd w:val="clear" w:color="auto" w:fill="auto"/>
            <w:vAlign w:val="center"/>
          </w:tcPr>
          <w:p w14:paraId="07E4DD63"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720DC7F3"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15BC9CD5"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48 (56)</w:t>
            </w:r>
          </w:p>
        </w:tc>
      </w:tr>
      <w:tr w:rsidR="00B744AA" w:rsidRPr="0018453E" w14:paraId="5B31F8D7" w14:textId="77777777">
        <w:trPr>
          <w:trHeight w:val="285"/>
        </w:trPr>
        <w:tc>
          <w:tcPr>
            <w:tcW w:w="1418" w:type="dxa"/>
            <w:vMerge/>
            <w:tcBorders>
              <w:top w:val="nil"/>
              <w:bottom w:val="nil"/>
              <w:right w:val="nil"/>
            </w:tcBorders>
            <w:shd w:val="clear" w:color="auto" w:fill="auto"/>
            <w:vAlign w:val="center"/>
          </w:tcPr>
          <w:p w14:paraId="4E478329"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287FA03A" w14:textId="2E2938DD" w:rsidR="00940440" w:rsidRPr="0018453E" w:rsidRDefault="00B744AA" w:rsidP="0018453E">
            <w:pPr>
              <w:pStyle w:val="NormalWeb"/>
              <w:adjustRightInd w:val="0"/>
              <w:snapToGrid w:val="0"/>
              <w:spacing w:line="360" w:lineRule="auto"/>
              <w:jc w:val="both"/>
              <w:rPr>
                <w:rFonts w:ascii="Book Antiqua" w:hAnsi="Book Antiqua" w:cs="Book Antiqua"/>
                <w:bCs/>
              </w:rPr>
            </w:pPr>
            <w:r w:rsidRPr="0018453E">
              <w:rPr>
                <w:rStyle w:val="font01"/>
                <w:rFonts w:ascii="Book Antiqua" w:hAnsi="Book Antiqua" w:cs="Book Antiqua"/>
                <w:bCs/>
                <w:color w:val="auto"/>
                <w:sz w:val="24"/>
                <w:szCs w:val="24"/>
                <w:lang w:bidi="ar"/>
              </w:rPr>
              <w:t>Patients</w:t>
            </w:r>
            <w:r w:rsidR="00333C9C">
              <w:rPr>
                <w:rStyle w:val="font01"/>
                <w:rFonts w:ascii="Book Antiqua" w:hAnsi="Book Antiqua" w:cs="Book Antiqua"/>
                <w:bCs/>
                <w:color w:val="auto"/>
                <w:sz w:val="24"/>
                <w:szCs w:val="24"/>
                <w:lang w:bidi="ar"/>
              </w:rPr>
              <w:t>’</w:t>
            </w:r>
            <w:r w:rsidRPr="0018453E">
              <w:rPr>
                <w:rStyle w:val="font01"/>
                <w:rFonts w:ascii="Book Antiqua" w:hAnsi="Book Antiqua" w:cs="Book Antiqua"/>
                <w:bCs/>
                <w:color w:val="auto"/>
                <w:sz w:val="24"/>
                <w:szCs w:val="24"/>
                <w:lang w:bidi="ar"/>
              </w:rPr>
              <w:t xml:space="preserve"> residence</w:t>
            </w:r>
            <w:r w:rsidR="00333C9C">
              <w:rPr>
                <w:rStyle w:val="font01"/>
                <w:rFonts w:ascii="Book Antiqua" w:hAnsi="Book Antiqua" w:cs="Book Antiqua"/>
                <w:bCs/>
                <w:color w:val="auto"/>
                <w:sz w:val="24"/>
                <w:szCs w:val="24"/>
                <w:lang w:bidi="ar"/>
              </w:rPr>
              <w:t xml:space="preserve"> </w:t>
            </w:r>
            <w:r w:rsidRPr="0018453E">
              <w:rPr>
                <w:rStyle w:val="font01"/>
                <w:rFonts w:ascii="Book Antiqua" w:hAnsi="Book Antiqua" w:cs="Book Antiqua"/>
                <w:bCs/>
                <w:color w:val="auto"/>
                <w:sz w:val="24"/>
                <w:szCs w:val="24"/>
                <w:lang w:bidi="ar"/>
              </w:rPr>
              <w:t>(local)</w:t>
            </w:r>
          </w:p>
        </w:tc>
        <w:tc>
          <w:tcPr>
            <w:tcW w:w="1510" w:type="dxa"/>
            <w:tcBorders>
              <w:top w:val="nil"/>
              <w:left w:val="nil"/>
              <w:bottom w:val="nil"/>
              <w:right w:val="nil"/>
            </w:tcBorders>
            <w:shd w:val="clear" w:color="auto" w:fill="auto"/>
            <w:vAlign w:val="center"/>
          </w:tcPr>
          <w:p w14:paraId="43328CDD"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12091 (68.9)</w:t>
            </w:r>
          </w:p>
        </w:tc>
        <w:tc>
          <w:tcPr>
            <w:tcW w:w="1542" w:type="dxa"/>
            <w:tcBorders>
              <w:top w:val="nil"/>
              <w:left w:val="nil"/>
              <w:bottom w:val="nil"/>
              <w:right w:val="nil"/>
            </w:tcBorders>
            <w:shd w:val="clear" w:color="auto" w:fill="auto"/>
            <w:vAlign w:val="center"/>
          </w:tcPr>
          <w:p w14:paraId="0552D22E"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5555E4A9"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4FCDD5CE" w14:textId="77777777">
        <w:trPr>
          <w:trHeight w:val="285"/>
        </w:trPr>
        <w:tc>
          <w:tcPr>
            <w:tcW w:w="1418" w:type="dxa"/>
            <w:vMerge/>
            <w:tcBorders>
              <w:top w:val="nil"/>
              <w:bottom w:val="nil"/>
              <w:right w:val="nil"/>
            </w:tcBorders>
            <w:shd w:val="clear" w:color="auto" w:fill="auto"/>
            <w:vAlign w:val="center"/>
          </w:tcPr>
          <w:p w14:paraId="27243AF4"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33F67D3B"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Epidemiology (have)</w:t>
            </w:r>
          </w:p>
        </w:tc>
        <w:tc>
          <w:tcPr>
            <w:tcW w:w="1510" w:type="dxa"/>
            <w:tcBorders>
              <w:top w:val="nil"/>
              <w:left w:val="nil"/>
              <w:bottom w:val="nil"/>
              <w:right w:val="nil"/>
            </w:tcBorders>
            <w:shd w:val="clear" w:color="auto" w:fill="auto"/>
            <w:vAlign w:val="center"/>
          </w:tcPr>
          <w:p w14:paraId="122F0B11"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3547 (20.2)</w:t>
            </w:r>
          </w:p>
        </w:tc>
        <w:tc>
          <w:tcPr>
            <w:tcW w:w="1542" w:type="dxa"/>
            <w:tcBorders>
              <w:top w:val="nil"/>
              <w:left w:val="nil"/>
              <w:bottom w:val="nil"/>
              <w:right w:val="nil"/>
            </w:tcBorders>
            <w:shd w:val="clear" w:color="auto" w:fill="auto"/>
            <w:vAlign w:val="center"/>
          </w:tcPr>
          <w:p w14:paraId="31C83B5B"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6999E407"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0660B0AC" w14:textId="77777777">
        <w:trPr>
          <w:trHeight w:val="285"/>
        </w:trPr>
        <w:tc>
          <w:tcPr>
            <w:tcW w:w="1418" w:type="dxa"/>
            <w:vMerge/>
            <w:tcBorders>
              <w:top w:val="nil"/>
              <w:bottom w:val="nil"/>
              <w:right w:val="nil"/>
            </w:tcBorders>
            <w:shd w:val="clear" w:color="auto" w:fill="auto"/>
            <w:vAlign w:val="center"/>
          </w:tcPr>
          <w:p w14:paraId="269023F1"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02BFA1CE"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Onset, d</w:t>
            </w:r>
          </w:p>
        </w:tc>
        <w:tc>
          <w:tcPr>
            <w:tcW w:w="1510" w:type="dxa"/>
            <w:tcBorders>
              <w:top w:val="nil"/>
              <w:left w:val="nil"/>
              <w:bottom w:val="nil"/>
              <w:right w:val="nil"/>
            </w:tcBorders>
            <w:shd w:val="clear" w:color="auto" w:fill="auto"/>
            <w:vAlign w:val="center"/>
          </w:tcPr>
          <w:p w14:paraId="0CAF19BB"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347ACFC3"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6681387B"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 (2)</w:t>
            </w:r>
          </w:p>
        </w:tc>
      </w:tr>
      <w:tr w:rsidR="00B744AA" w:rsidRPr="0018453E" w14:paraId="3B787812" w14:textId="77777777">
        <w:trPr>
          <w:trHeight w:val="510"/>
        </w:trPr>
        <w:tc>
          <w:tcPr>
            <w:tcW w:w="1418" w:type="dxa"/>
            <w:vMerge/>
            <w:tcBorders>
              <w:top w:val="nil"/>
              <w:bottom w:val="nil"/>
              <w:right w:val="nil"/>
            </w:tcBorders>
            <w:shd w:val="clear" w:color="auto" w:fill="auto"/>
            <w:vAlign w:val="center"/>
          </w:tcPr>
          <w:p w14:paraId="46667A85"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4771775"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Minutes to complete the screening WeChat</w:t>
            </w:r>
          </w:p>
        </w:tc>
        <w:tc>
          <w:tcPr>
            <w:tcW w:w="1510" w:type="dxa"/>
            <w:tcBorders>
              <w:top w:val="nil"/>
              <w:left w:val="nil"/>
              <w:bottom w:val="nil"/>
              <w:right w:val="nil"/>
            </w:tcBorders>
            <w:shd w:val="clear" w:color="auto" w:fill="auto"/>
            <w:vAlign w:val="center"/>
          </w:tcPr>
          <w:p w14:paraId="47CBC6DC"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42" w:type="dxa"/>
            <w:tcBorders>
              <w:top w:val="nil"/>
              <w:left w:val="nil"/>
              <w:bottom w:val="nil"/>
              <w:right w:val="nil"/>
            </w:tcBorders>
            <w:shd w:val="clear" w:color="auto" w:fill="auto"/>
            <w:vAlign w:val="center"/>
          </w:tcPr>
          <w:p w14:paraId="6F98BA37"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2.9 ± 3.5</w:t>
            </w:r>
          </w:p>
        </w:tc>
        <w:tc>
          <w:tcPr>
            <w:tcW w:w="1559" w:type="dxa"/>
            <w:tcBorders>
              <w:top w:val="nil"/>
              <w:left w:val="nil"/>
              <w:bottom w:val="nil"/>
            </w:tcBorders>
            <w:shd w:val="clear" w:color="auto" w:fill="auto"/>
            <w:vAlign w:val="center"/>
          </w:tcPr>
          <w:p w14:paraId="512CB715"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3BD87906" w14:textId="77777777">
        <w:trPr>
          <w:trHeight w:val="255"/>
        </w:trPr>
        <w:tc>
          <w:tcPr>
            <w:tcW w:w="1418" w:type="dxa"/>
            <w:vMerge w:val="restart"/>
            <w:tcBorders>
              <w:top w:val="nil"/>
              <w:bottom w:val="nil"/>
              <w:right w:val="nil"/>
            </w:tcBorders>
            <w:shd w:val="clear" w:color="auto" w:fill="auto"/>
            <w:vAlign w:val="center"/>
          </w:tcPr>
          <w:p w14:paraId="17A32368"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lang w:val="it-IT"/>
              </w:rPr>
            </w:pPr>
            <w:r w:rsidRPr="0018453E">
              <w:rPr>
                <w:rFonts w:ascii="Book Antiqua" w:hAnsi="Book Antiqua" w:cs="Book Antiqua"/>
                <w:bCs/>
                <w:sz w:val="24"/>
                <w:szCs w:val="24"/>
                <w:lang w:val="it-IT" w:bidi="ar"/>
              </w:rPr>
              <w:t xml:space="preserve">Clinical manifestations </w:t>
            </w:r>
          </w:p>
        </w:tc>
        <w:tc>
          <w:tcPr>
            <w:tcW w:w="3058" w:type="dxa"/>
            <w:tcBorders>
              <w:top w:val="nil"/>
              <w:left w:val="nil"/>
              <w:bottom w:val="nil"/>
              <w:right w:val="nil"/>
            </w:tcBorders>
            <w:shd w:val="clear" w:color="auto" w:fill="auto"/>
            <w:vAlign w:val="center"/>
          </w:tcPr>
          <w:p w14:paraId="68921097"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Fever</w:t>
            </w:r>
          </w:p>
        </w:tc>
        <w:tc>
          <w:tcPr>
            <w:tcW w:w="1510" w:type="dxa"/>
            <w:tcBorders>
              <w:top w:val="nil"/>
              <w:left w:val="nil"/>
              <w:bottom w:val="nil"/>
              <w:right w:val="nil"/>
            </w:tcBorders>
            <w:shd w:val="clear" w:color="auto" w:fill="auto"/>
            <w:vAlign w:val="center"/>
          </w:tcPr>
          <w:p w14:paraId="46935975"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5134 (29.2)</w:t>
            </w:r>
          </w:p>
        </w:tc>
        <w:tc>
          <w:tcPr>
            <w:tcW w:w="1542" w:type="dxa"/>
            <w:tcBorders>
              <w:top w:val="nil"/>
              <w:left w:val="nil"/>
              <w:bottom w:val="nil"/>
              <w:right w:val="nil"/>
            </w:tcBorders>
            <w:shd w:val="clear" w:color="auto" w:fill="auto"/>
            <w:vAlign w:val="center"/>
          </w:tcPr>
          <w:p w14:paraId="1DDBA6DC"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0E9D1918"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10FA2774" w14:textId="77777777">
        <w:trPr>
          <w:trHeight w:val="255"/>
        </w:trPr>
        <w:tc>
          <w:tcPr>
            <w:tcW w:w="1418" w:type="dxa"/>
            <w:vMerge/>
            <w:tcBorders>
              <w:top w:val="nil"/>
              <w:bottom w:val="nil"/>
              <w:right w:val="nil"/>
            </w:tcBorders>
            <w:shd w:val="clear" w:color="auto" w:fill="auto"/>
            <w:vAlign w:val="center"/>
          </w:tcPr>
          <w:p w14:paraId="7AA7A3B5"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0C40505E"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Cough</w:t>
            </w:r>
          </w:p>
        </w:tc>
        <w:tc>
          <w:tcPr>
            <w:tcW w:w="1510" w:type="dxa"/>
            <w:tcBorders>
              <w:top w:val="nil"/>
              <w:left w:val="nil"/>
              <w:bottom w:val="nil"/>
              <w:right w:val="nil"/>
            </w:tcBorders>
            <w:shd w:val="clear" w:color="auto" w:fill="auto"/>
            <w:vAlign w:val="center"/>
          </w:tcPr>
          <w:p w14:paraId="1A57D222"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2229 (12.7)</w:t>
            </w:r>
          </w:p>
        </w:tc>
        <w:tc>
          <w:tcPr>
            <w:tcW w:w="1542" w:type="dxa"/>
            <w:tcBorders>
              <w:top w:val="nil"/>
              <w:left w:val="nil"/>
              <w:bottom w:val="nil"/>
              <w:right w:val="nil"/>
            </w:tcBorders>
            <w:shd w:val="clear" w:color="auto" w:fill="auto"/>
            <w:vAlign w:val="center"/>
          </w:tcPr>
          <w:p w14:paraId="36252DBB"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B582E6F"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643EB842" w14:textId="77777777">
        <w:trPr>
          <w:trHeight w:val="255"/>
        </w:trPr>
        <w:tc>
          <w:tcPr>
            <w:tcW w:w="1418" w:type="dxa"/>
            <w:vMerge/>
            <w:tcBorders>
              <w:top w:val="nil"/>
              <w:bottom w:val="nil"/>
              <w:right w:val="nil"/>
            </w:tcBorders>
            <w:shd w:val="clear" w:color="auto" w:fill="auto"/>
            <w:vAlign w:val="center"/>
          </w:tcPr>
          <w:p w14:paraId="67C8396C"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074FCB7D"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rPr>
              <w:t>Diarrhea</w:t>
            </w:r>
          </w:p>
        </w:tc>
        <w:tc>
          <w:tcPr>
            <w:tcW w:w="1510" w:type="dxa"/>
            <w:tcBorders>
              <w:top w:val="nil"/>
              <w:left w:val="nil"/>
              <w:bottom w:val="nil"/>
              <w:right w:val="nil"/>
            </w:tcBorders>
            <w:shd w:val="clear" w:color="auto" w:fill="auto"/>
            <w:vAlign w:val="center"/>
          </w:tcPr>
          <w:p w14:paraId="1B3E396D"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909 (5.2)</w:t>
            </w:r>
          </w:p>
        </w:tc>
        <w:tc>
          <w:tcPr>
            <w:tcW w:w="1542" w:type="dxa"/>
            <w:tcBorders>
              <w:top w:val="nil"/>
              <w:left w:val="nil"/>
              <w:bottom w:val="nil"/>
              <w:right w:val="nil"/>
            </w:tcBorders>
            <w:shd w:val="clear" w:color="auto" w:fill="auto"/>
            <w:vAlign w:val="center"/>
          </w:tcPr>
          <w:p w14:paraId="3D2DDB39"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33FDE45"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66F385BA" w14:textId="77777777">
        <w:trPr>
          <w:trHeight w:val="255"/>
        </w:trPr>
        <w:tc>
          <w:tcPr>
            <w:tcW w:w="1418" w:type="dxa"/>
            <w:vMerge/>
            <w:tcBorders>
              <w:top w:val="nil"/>
              <w:bottom w:val="nil"/>
              <w:right w:val="nil"/>
            </w:tcBorders>
            <w:shd w:val="clear" w:color="auto" w:fill="auto"/>
            <w:vAlign w:val="center"/>
          </w:tcPr>
          <w:p w14:paraId="552FA8D9"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206D63C0"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S</w:t>
            </w:r>
            <w:r w:rsidRPr="0018453E">
              <w:rPr>
                <w:rFonts w:ascii="Book Antiqua" w:hAnsi="Book Antiqua" w:cs="Book Antiqua"/>
                <w:bCs/>
                <w:sz w:val="24"/>
                <w:szCs w:val="24"/>
              </w:rPr>
              <w:t>hortness of breath</w:t>
            </w:r>
          </w:p>
        </w:tc>
        <w:tc>
          <w:tcPr>
            <w:tcW w:w="1510" w:type="dxa"/>
            <w:tcBorders>
              <w:top w:val="nil"/>
              <w:left w:val="nil"/>
              <w:bottom w:val="nil"/>
              <w:right w:val="nil"/>
            </w:tcBorders>
            <w:shd w:val="clear" w:color="auto" w:fill="auto"/>
            <w:vAlign w:val="center"/>
          </w:tcPr>
          <w:p w14:paraId="1F988B34"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273 (15.6)</w:t>
            </w:r>
          </w:p>
        </w:tc>
        <w:tc>
          <w:tcPr>
            <w:tcW w:w="1542" w:type="dxa"/>
            <w:tcBorders>
              <w:top w:val="nil"/>
              <w:left w:val="nil"/>
              <w:bottom w:val="nil"/>
              <w:right w:val="nil"/>
            </w:tcBorders>
            <w:shd w:val="clear" w:color="auto" w:fill="auto"/>
            <w:vAlign w:val="center"/>
          </w:tcPr>
          <w:p w14:paraId="3A21042F"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1FAA650E"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73451C37" w14:textId="77777777">
        <w:trPr>
          <w:trHeight w:val="307"/>
        </w:trPr>
        <w:tc>
          <w:tcPr>
            <w:tcW w:w="1418" w:type="dxa"/>
            <w:vMerge/>
            <w:tcBorders>
              <w:top w:val="nil"/>
              <w:bottom w:val="nil"/>
              <w:right w:val="nil"/>
            </w:tcBorders>
            <w:shd w:val="clear" w:color="auto" w:fill="auto"/>
            <w:vAlign w:val="center"/>
          </w:tcPr>
          <w:p w14:paraId="275E20E4"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61208904" w14:textId="77777777" w:rsidR="00940440" w:rsidRPr="0018453E" w:rsidRDefault="00B744AA" w:rsidP="0018453E">
            <w:pPr>
              <w:pStyle w:val="NormalWeb"/>
              <w:adjustRightInd w:val="0"/>
              <w:snapToGrid w:val="0"/>
              <w:spacing w:line="360" w:lineRule="auto"/>
              <w:jc w:val="both"/>
              <w:rPr>
                <w:rFonts w:ascii="Book Antiqua" w:hAnsi="Book Antiqua" w:cs="Book Antiqua"/>
                <w:bCs/>
              </w:rPr>
            </w:pPr>
            <w:r w:rsidRPr="0018453E">
              <w:rPr>
                <w:rFonts w:ascii="Book Antiqua" w:hAnsi="Book Antiqua" w:cs="Book Antiqua"/>
                <w:bCs/>
              </w:rPr>
              <w:t>Fatigue</w:t>
            </w:r>
          </w:p>
        </w:tc>
        <w:tc>
          <w:tcPr>
            <w:tcW w:w="1510" w:type="dxa"/>
            <w:tcBorders>
              <w:top w:val="nil"/>
              <w:left w:val="nil"/>
              <w:bottom w:val="nil"/>
              <w:right w:val="nil"/>
            </w:tcBorders>
            <w:shd w:val="clear" w:color="auto" w:fill="auto"/>
            <w:vAlign w:val="center"/>
          </w:tcPr>
          <w:p w14:paraId="38355584"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417 (23.8)</w:t>
            </w:r>
          </w:p>
        </w:tc>
        <w:tc>
          <w:tcPr>
            <w:tcW w:w="1542" w:type="dxa"/>
            <w:tcBorders>
              <w:top w:val="nil"/>
              <w:left w:val="nil"/>
              <w:bottom w:val="nil"/>
              <w:right w:val="nil"/>
            </w:tcBorders>
            <w:shd w:val="clear" w:color="auto" w:fill="auto"/>
            <w:vAlign w:val="center"/>
          </w:tcPr>
          <w:p w14:paraId="711E747A"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3867701F"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39332979" w14:textId="77777777">
        <w:trPr>
          <w:trHeight w:val="255"/>
        </w:trPr>
        <w:tc>
          <w:tcPr>
            <w:tcW w:w="1418" w:type="dxa"/>
            <w:vMerge w:val="restart"/>
            <w:tcBorders>
              <w:top w:val="nil"/>
              <w:bottom w:val="nil"/>
              <w:right w:val="nil"/>
            </w:tcBorders>
            <w:shd w:val="clear" w:color="auto" w:fill="auto"/>
            <w:vAlign w:val="center"/>
          </w:tcPr>
          <w:p w14:paraId="3D586AB5"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Diagnosis</w:t>
            </w:r>
          </w:p>
        </w:tc>
        <w:tc>
          <w:tcPr>
            <w:tcW w:w="3058" w:type="dxa"/>
            <w:tcBorders>
              <w:top w:val="nil"/>
              <w:left w:val="nil"/>
              <w:bottom w:val="nil"/>
              <w:right w:val="nil"/>
            </w:tcBorders>
            <w:shd w:val="clear" w:color="auto" w:fill="auto"/>
            <w:vAlign w:val="center"/>
          </w:tcPr>
          <w:p w14:paraId="04027DFF"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Screening cases</w:t>
            </w:r>
          </w:p>
        </w:tc>
        <w:tc>
          <w:tcPr>
            <w:tcW w:w="1510" w:type="dxa"/>
            <w:tcBorders>
              <w:top w:val="nil"/>
              <w:left w:val="nil"/>
              <w:bottom w:val="nil"/>
              <w:right w:val="nil"/>
            </w:tcBorders>
            <w:shd w:val="clear" w:color="auto" w:fill="auto"/>
            <w:vAlign w:val="center"/>
          </w:tcPr>
          <w:p w14:paraId="6EA843C0"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2652 (15.1)</w:t>
            </w:r>
          </w:p>
        </w:tc>
        <w:tc>
          <w:tcPr>
            <w:tcW w:w="1542" w:type="dxa"/>
            <w:tcBorders>
              <w:top w:val="nil"/>
              <w:left w:val="nil"/>
              <w:bottom w:val="nil"/>
              <w:right w:val="nil"/>
            </w:tcBorders>
            <w:shd w:val="clear" w:color="auto" w:fill="auto"/>
            <w:vAlign w:val="center"/>
          </w:tcPr>
          <w:p w14:paraId="483C0BB8"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29A6C22"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1F527173" w14:textId="77777777">
        <w:trPr>
          <w:trHeight w:val="255"/>
        </w:trPr>
        <w:tc>
          <w:tcPr>
            <w:tcW w:w="1418" w:type="dxa"/>
            <w:vMerge/>
            <w:tcBorders>
              <w:top w:val="nil"/>
              <w:bottom w:val="nil"/>
              <w:right w:val="nil"/>
            </w:tcBorders>
            <w:shd w:val="clear" w:color="auto" w:fill="auto"/>
            <w:vAlign w:val="center"/>
          </w:tcPr>
          <w:p w14:paraId="7ACAC79E"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5058EF3C"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Suspected case</w:t>
            </w:r>
          </w:p>
        </w:tc>
        <w:tc>
          <w:tcPr>
            <w:tcW w:w="1510" w:type="dxa"/>
            <w:tcBorders>
              <w:top w:val="nil"/>
              <w:left w:val="nil"/>
              <w:bottom w:val="nil"/>
              <w:right w:val="nil"/>
            </w:tcBorders>
            <w:shd w:val="clear" w:color="auto" w:fill="auto"/>
            <w:vAlign w:val="center"/>
          </w:tcPr>
          <w:p w14:paraId="7EDEADEE"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192 (10.9)</w:t>
            </w:r>
          </w:p>
        </w:tc>
        <w:tc>
          <w:tcPr>
            <w:tcW w:w="1542" w:type="dxa"/>
            <w:tcBorders>
              <w:top w:val="nil"/>
              <w:left w:val="nil"/>
              <w:bottom w:val="nil"/>
              <w:right w:val="nil"/>
            </w:tcBorders>
            <w:shd w:val="clear" w:color="auto" w:fill="auto"/>
            <w:vAlign w:val="center"/>
          </w:tcPr>
          <w:p w14:paraId="3FC37B32"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95A1131"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304FED08" w14:textId="77777777">
        <w:trPr>
          <w:trHeight w:val="255"/>
        </w:trPr>
        <w:tc>
          <w:tcPr>
            <w:tcW w:w="1418" w:type="dxa"/>
            <w:vMerge/>
            <w:tcBorders>
              <w:top w:val="nil"/>
              <w:bottom w:val="nil"/>
              <w:right w:val="nil"/>
            </w:tcBorders>
            <w:shd w:val="clear" w:color="auto" w:fill="auto"/>
            <w:vAlign w:val="center"/>
          </w:tcPr>
          <w:p w14:paraId="38D70ACA"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2CC5C233"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Confirmed case</w:t>
            </w:r>
          </w:p>
        </w:tc>
        <w:tc>
          <w:tcPr>
            <w:tcW w:w="1510" w:type="dxa"/>
            <w:tcBorders>
              <w:top w:val="nil"/>
              <w:left w:val="nil"/>
              <w:bottom w:val="nil"/>
              <w:right w:val="nil"/>
            </w:tcBorders>
            <w:shd w:val="clear" w:color="auto" w:fill="auto"/>
            <w:vAlign w:val="center"/>
          </w:tcPr>
          <w:p w14:paraId="39B7D7B3"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 (0.01)</w:t>
            </w:r>
          </w:p>
        </w:tc>
        <w:tc>
          <w:tcPr>
            <w:tcW w:w="1542" w:type="dxa"/>
            <w:tcBorders>
              <w:top w:val="nil"/>
              <w:left w:val="nil"/>
              <w:bottom w:val="nil"/>
              <w:right w:val="nil"/>
            </w:tcBorders>
            <w:shd w:val="clear" w:color="auto" w:fill="auto"/>
            <w:vAlign w:val="center"/>
          </w:tcPr>
          <w:p w14:paraId="5CDAB834"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4DD99C59"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669C2B4B" w14:textId="77777777">
        <w:trPr>
          <w:trHeight w:val="255"/>
        </w:trPr>
        <w:tc>
          <w:tcPr>
            <w:tcW w:w="1418" w:type="dxa"/>
            <w:vMerge w:val="restart"/>
            <w:tcBorders>
              <w:top w:val="nil"/>
              <w:bottom w:val="nil"/>
              <w:right w:val="nil"/>
            </w:tcBorders>
            <w:shd w:val="clear" w:color="auto" w:fill="auto"/>
            <w:vAlign w:val="center"/>
          </w:tcPr>
          <w:p w14:paraId="05451890"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Fonts w:ascii="Book Antiqua" w:hAnsi="Book Antiqua" w:cs="Book Antiqua"/>
                <w:bCs/>
                <w:sz w:val="24"/>
                <w:szCs w:val="24"/>
                <w:lang w:bidi="ar"/>
              </w:rPr>
              <w:t>Distribution</w:t>
            </w:r>
          </w:p>
        </w:tc>
        <w:tc>
          <w:tcPr>
            <w:tcW w:w="3058" w:type="dxa"/>
            <w:tcBorders>
              <w:top w:val="nil"/>
              <w:left w:val="nil"/>
              <w:bottom w:val="nil"/>
              <w:right w:val="nil"/>
            </w:tcBorders>
            <w:shd w:val="clear" w:color="auto" w:fill="auto"/>
            <w:vAlign w:val="center"/>
          </w:tcPr>
          <w:p w14:paraId="46CBF8D2"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Fever isolation clinic</w:t>
            </w:r>
          </w:p>
        </w:tc>
        <w:tc>
          <w:tcPr>
            <w:tcW w:w="1510" w:type="dxa"/>
            <w:tcBorders>
              <w:top w:val="nil"/>
              <w:left w:val="nil"/>
              <w:bottom w:val="nil"/>
              <w:right w:val="nil"/>
            </w:tcBorders>
            <w:shd w:val="clear" w:color="auto" w:fill="auto"/>
            <w:vAlign w:val="center"/>
          </w:tcPr>
          <w:p w14:paraId="1A156616"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2652 (15.1)</w:t>
            </w:r>
          </w:p>
        </w:tc>
        <w:tc>
          <w:tcPr>
            <w:tcW w:w="1542" w:type="dxa"/>
            <w:tcBorders>
              <w:top w:val="nil"/>
              <w:left w:val="nil"/>
              <w:bottom w:val="nil"/>
              <w:right w:val="nil"/>
            </w:tcBorders>
            <w:shd w:val="clear" w:color="auto" w:fill="auto"/>
            <w:vAlign w:val="center"/>
          </w:tcPr>
          <w:p w14:paraId="41FA0CA5"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30C3E7B0"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00AB0703" w14:textId="77777777">
        <w:trPr>
          <w:trHeight w:val="255"/>
        </w:trPr>
        <w:tc>
          <w:tcPr>
            <w:tcW w:w="1418" w:type="dxa"/>
            <w:vMerge/>
            <w:tcBorders>
              <w:top w:val="nil"/>
              <w:bottom w:val="nil"/>
              <w:right w:val="nil"/>
            </w:tcBorders>
            <w:shd w:val="clear" w:color="auto" w:fill="auto"/>
            <w:vAlign w:val="center"/>
          </w:tcPr>
          <w:p w14:paraId="1035CCB7"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nil"/>
              <w:right w:val="nil"/>
            </w:tcBorders>
            <w:shd w:val="clear" w:color="auto" w:fill="auto"/>
            <w:vAlign w:val="center"/>
          </w:tcPr>
          <w:p w14:paraId="7AFB549B" w14:textId="77777777" w:rsidR="00940440" w:rsidRPr="0018453E" w:rsidRDefault="00B744AA" w:rsidP="0018453E">
            <w:pPr>
              <w:adjustRightInd w:val="0"/>
              <w:snapToGrid w:val="0"/>
              <w:spacing w:before="100" w:beforeAutospacing="1" w:line="360" w:lineRule="auto"/>
              <w:textAlignment w:val="center"/>
              <w:rPr>
                <w:rFonts w:ascii="Book Antiqua" w:hAnsi="Book Antiqua" w:cs="Book Antiqua"/>
                <w:bCs/>
                <w:sz w:val="24"/>
                <w:szCs w:val="24"/>
              </w:rPr>
            </w:pPr>
            <w:r w:rsidRPr="0018453E">
              <w:rPr>
                <w:rStyle w:val="font01"/>
                <w:rFonts w:ascii="Book Antiqua" w:hAnsi="Book Antiqua" w:cs="Book Antiqua"/>
                <w:bCs/>
                <w:color w:val="auto"/>
                <w:sz w:val="24"/>
                <w:szCs w:val="24"/>
                <w:lang w:bidi="ar"/>
              </w:rPr>
              <w:t>Non-isolation fever clinic</w:t>
            </w:r>
          </w:p>
        </w:tc>
        <w:tc>
          <w:tcPr>
            <w:tcW w:w="1510" w:type="dxa"/>
            <w:tcBorders>
              <w:top w:val="nil"/>
              <w:left w:val="nil"/>
              <w:bottom w:val="nil"/>
              <w:right w:val="nil"/>
            </w:tcBorders>
            <w:shd w:val="clear" w:color="auto" w:fill="auto"/>
            <w:vAlign w:val="center"/>
          </w:tcPr>
          <w:p w14:paraId="16E9AD21"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3091 (17.6)</w:t>
            </w:r>
          </w:p>
        </w:tc>
        <w:tc>
          <w:tcPr>
            <w:tcW w:w="1542" w:type="dxa"/>
            <w:tcBorders>
              <w:top w:val="nil"/>
              <w:left w:val="nil"/>
              <w:bottom w:val="nil"/>
              <w:right w:val="nil"/>
            </w:tcBorders>
            <w:shd w:val="clear" w:color="auto" w:fill="auto"/>
            <w:vAlign w:val="center"/>
          </w:tcPr>
          <w:p w14:paraId="1DA39758"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nil"/>
            </w:tcBorders>
            <w:shd w:val="clear" w:color="auto" w:fill="auto"/>
            <w:vAlign w:val="center"/>
          </w:tcPr>
          <w:p w14:paraId="27F1C1F8"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r w:rsidR="00B744AA" w:rsidRPr="0018453E" w14:paraId="760C68E8" w14:textId="77777777">
        <w:trPr>
          <w:trHeight w:val="255"/>
        </w:trPr>
        <w:tc>
          <w:tcPr>
            <w:tcW w:w="1418" w:type="dxa"/>
            <w:vMerge/>
            <w:tcBorders>
              <w:top w:val="nil"/>
              <w:bottom w:val="single" w:sz="6" w:space="0" w:color="auto"/>
              <w:right w:val="nil"/>
            </w:tcBorders>
            <w:shd w:val="clear" w:color="auto" w:fill="auto"/>
            <w:vAlign w:val="center"/>
          </w:tcPr>
          <w:p w14:paraId="3C38AF3E"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3058" w:type="dxa"/>
            <w:tcBorders>
              <w:top w:val="nil"/>
              <w:left w:val="nil"/>
              <w:bottom w:val="single" w:sz="6" w:space="0" w:color="auto"/>
              <w:right w:val="nil"/>
            </w:tcBorders>
            <w:shd w:val="clear" w:color="auto" w:fill="auto"/>
            <w:vAlign w:val="center"/>
          </w:tcPr>
          <w:p w14:paraId="65A7BD5B" w14:textId="77777777" w:rsidR="00940440" w:rsidRPr="0018453E" w:rsidRDefault="00B744AA" w:rsidP="0018453E">
            <w:pPr>
              <w:pStyle w:val="NormalWeb"/>
              <w:adjustRightInd w:val="0"/>
              <w:snapToGrid w:val="0"/>
              <w:spacing w:line="360" w:lineRule="auto"/>
              <w:jc w:val="both"/>
              <w:rPr>
                <w:rFonts w:ascii="Book Antiqua" w:hAnsi="Book Antiqua" w:cs="Book Antiqua"/>
                <w:bCs/>
              </w:rPr>
            </w:pPr>
            <w:r w:rsidRPr="0018453E">
              <w:rPr>
                <w:rStyle w:val="font01"/>
                <w:rFonts w:ascii="Book Antiqua" w:hAnsi="Book Antiqua" w:cs="Book Antiqua"/>
                <w:bCs/>
                <w:color w:val="auto"/>
                <w:kern w:val="2"/>
                <w:sz w:val="24"/>
                <w:szCs w:val="24"/>
                <w:lang w:bidi="ar"/>
              </w:rPr>
              <w:t>General outpatient and emergency</w:t>
            </w:r>
          </w:p>
        </w:tc>
        <w:tc>
          <w:tcPr>
            <w:tcW w:w="1510" w:type="dxa"/>
            <w:tcBorders>
              <w:top w:val="nil"/>
              <w:left w:val="nil"/>
              <w:bottom w:val="single" w:sz="6" w:space="0" w:color="auto"/>
              <w:right w:val="nil"/>
            </w:tcBorders>
            <w:shd w:val="clear" w:color="auto" w:fill="auto"/>
            <w:vAlign w:val="center"/>
          </w:tcPr>
          <w:p w14:paraId="6F183D93" w14:textId="77777777" w:rsidR="00940440" w:rsidRPr="0018453E" w:rsidRDefault="00B744AA" w:rsidP="0018453E">
            <w:pPr>
              <w:adjustRightInd w:val="0"/>
              <w:snapToGrid w:val="0"/>
              <w:spacing w:before="100" w:beforeAutospacing="1" w:line="360" w:lineRule="auto"/>
              <w:rPr>
                <w:rFonts w:ascii="Book Antiqua" w:hAnsi="Book Antiqua" w:cs="Book Antiqua"/>
                <w:bCs/>
                <w:sz w:val="24"/>
                <w:szCs w:val="24"/>
              </w:rPr>
            </w:pPr>
            <w:r w:rsidRPr="0018453E">
              <w:rPr>
                <w:rFonts w:ascii="Book Antiqua" w:hAnsi="Book Antiqua" w:cs="Book Antiqua"/>
                <w:bCs/>
                <w:sz w:val="24"/>
                <w:szCs w:val="24"/>
              </w:rPr>
              <w:t>11818 (67.3)</w:t>
            </w:r>
          </w:p>
        </w:tc>
        <w:tc>
          <w:tcPr>
            <w:tcW w:w="1542" w:type="dxa"/>
            <w:tcBorders>
              <w:top w:val="nil"/>
              <w:left w:val="nil"/>
              <w:bottom w:val="single" w:sz="6" w:space="0" w:color="auto"/>
              <w:right w:val="nil"/>
            </w:tcBorders>
            <w:shd w:val="clear" w:color="auto" w:fill="auto"/>
            <w:vAlign w:val="center"/>
          </w:tcPr>
          <w:p w14:paraId="0FFF115D"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c>
          <w:tcPr>
            <w:tcW w:w="1559" w:type="dxa"/>
            <w:tcBorders>
              <w:top w:val="nil"/>
              <w:left w:val="nil"/>
              <w:bottom w:val="single" w:sz="6" w:space="0" w:color="auto"/>
            </w:tcBorders>
            <w:shd w:val="clear" w:color="auto" w:fill="auto"/>
            <w:vAlign w:val="center"/>
          </w:tcPr>
          <w:p w14:paraId="4749D20F" w14:textId="77777777" w:rsidR="00940440" w:rsidRPr="0018453E" w:rsidRDefault="00940440" w:rsidP="0018453E">
            <w:pPr>
              <w:adjustRightInd w:val="0"/>
              <w:snapToGrid w:val="0"/>
              <w:spacing w:before="100" w:beforeAutospacing="1" w:line="360" w:lineRule="auto"/>
              <w:rPr>
                <w:rFonts w:ascii="Book Antiqua" w:hAnsi="Book Antiqua" w:cs="Book Antiqua"/>
                <w:bCs/>
                <w:sz w:val="24"/>
                <w:szCs w:val="24"/>
              </w:rPr>
            </w:pPr>
          </w:p>
        </w:tc>
      </w:tr>
    </w:tbl>
    <w:p w14:paraId="552175DB" w14:textId="330EAE3E" w:rsidR="00940440" w:rsidRPr="0018453E" w:rsidRDefault="00B744AA" w:rsidP="0018453E">
      <w:pPr>
        <w:adjustRightInd w:val="0"/>
        <w:snapToGrid w:val="0"/>
        <w:spacing w:line="360" w:lineRule="auto"/>
        <w:rPr>
          <w:rFonts w:ascii="Book Antiqua" w:hAnsi="Book Antiqua" w:cs="Book Antiqua"/>
          <w:sz w:val="24"/>
          <w:szCs w:val="24"/>
        </w:rPr>
      </w:pPr>
      <w:r w:rsidRPr="0018453E">
        <w:rPr>
          <w:rFonts w:ascii="Book Antiqua" w:hAnsi="Book Antiqua" w:cs="Book Antiqua"/>
          <w:sz w:val="24"/>
          <w:szCs w:val="24"/>
          <w:shd w:val="clear" w:color="auto" w:fill="FFFFFF"/>
        </w:rPr>
        <w:t>IQR: Interquartile range</w:t>
      </w:r>
      <w:r w:rsidR="007D063F">
        <w:rPr>
          <w:rFonts w:ascii="Book Antiqua" w:hAnsi="Book Antiqua" w:cs="Book Antiqua"/>
          <w:sz w:val="24"/>
          <w:szCs w:val="24"/>
          <w:shd w:val="clear" w:color="auto" w:fill="FFFFFF"/>
        </w:rPr>
        <w:t>; SD: Standard deviation</w:t>
      </w:r>
      <w:r w:rsidRPr="0018453E">
        <w:rPr>
          <w:rFonts w:ascii="Book Antiqua" w:hAnsi="Book Antiqua" w:cs="Book Antiqua"/>
          <w:sz w:val="24"/>
          <w:szCs w:val="24"/>
          <w:shd w:val="clear" w:color="auto" w:fill="FFFFFF"/>
        </w:rPr>
        <w:t>.</w:t>
      </w:r>
    </w:p>
    <w:sectPr w:rsidR="00940440" w:rsidRPr="001845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B634" w14:textId="77777777" w:rsidR="002615EA" w:rsidRDefault="002615EA">
      <w:r>
        <w:separator/>
      </w:r>
    </w:p>
  </w:endnote>
  <w:endnote w:type="continuationSeparator" w:id="0">
    <w:p w14:paraId="0BC1FFA6" w14:textId="77777777" w:rsidR="002615EA" w:rsidRDefault="002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FMono-Regular">
    <w:altName w:val="Segoe Print"/>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8868153"/>
      <w:docPartObj>
        <w:docPartGallery w:val="Page Numbers (Bottom of Page)"/>
        <w:docPartUnique/>
      </w:docPartObj>
    </w:sdtPr>
    <w:sdtEndPr>
      <w:rPr>
        <w:noProof/>
      </w:rPr>
    </w:sdtEndPr>
    <w:sdtContent>
      <w:p w14:paraId="0FDEF03B" w14:textId="17DE46D8" w:rsidR="001D3E85" w:rsidRPr="001D3E85" w:rsidRDefault="001D3E85">
        <w:pPr>
          <w:pStyle w:val="Footer"/>
          <w:jc w:val="right"/>
          <w:rPr>
            <w:rFonts w:ascii="Book Antiqua" w:hAnsi="Book Antiqua"/>
            <w:sz w:val="24"/>
            <w:szCs w:val="24"/>
          </w:rPr>
        </w:pPr>
        <w:r w:rsidRPr="001D3E85">
          <w:rPr>
            <w:rFonts w:ascii="Book Antiqua" w:hAnsi="Book Antiqua"/>
            <w:sz w:val="24"/>
            <w:szCs w:val="24"/>
          </w:rPr>
          <w:fldChar w:fldCharType="begin"/>
        </w:r>
        <w:r w:rsidRPr="001D3E85">
          <w:rPr>
            <w:rFonts w:ascii="Book Antiqua" w:hAnsi="Book Antiqua"/>
            <w:sz w:val="24"/>
            <w:szCs w:val="24"/>
          </w:rPr>
          <w:instrText xml:space="preserve"> PAGE   \* MERGEFORMAT </w:instrText>
        </w:r>
        <w:r w:rsidRPr="001D3E85">
          <w:rPr>
            <w:rFonts w:ascii="Book Antiqua" w:hAnsi="Book Antiqua"/>
            <w:sz w:val="24"/>
            <w:szCs w:val="24"/>
          </w:rPr>
          <w:fldChar w:fldCharType="separate"/>
        </w:r>
        <w:r w:rsidRPr="001D3E85">
          <w:rPr>
            <w:rFonts w:ascii="Book Antiqua" w:hAnsi="Book Antiqua"/>
            <w:noProof/>
            <w:sz w:val="24"/>
            <w:szCs w:val="24"/>
          </w:rPr>
          <w:t>2</w:t>
        </w:r>
        <w:r w:rsidRPr="001D3E85">
          <w:rPr>
            <w:rFonts w:ascii="Book Antiqua" w:hAnsi="Book Antiqua"/>
            <w:noProof/>
            <w:sz w:val="24"/>
            <w:szCs w:val="24"/>
          </w:rPr>
          <w:fldChar w:fldCharType="end"/>
        </w:r>
        <w:r w:rsidRPr="001D3E85">
          <w:rPr>
            <w:rFonts w:ascii="Book Antiqua" w:hAnsi="Book Antiqua"/>
            <w:noProof/>
            <w:sz w:val="24"/>
            <w:szCs w:val="24"/>
          </w:rPr>
          <w:t xml:space="preserve"> / 18</w:t>
        </w:r>
      </w:p>
    </w:sdtContent>
  </w:sdt>
  <w:p w14:paraId="61F1071E" w14:textId="77777777" w:rsidR="00940440" w:rsidRDefault="0094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6288" w14:textId="77777777" w:rsidR="002615EA" w:rsidRDefault="002615EA">
      <w:r>
        <w:separator/>
      </w:r>
    </w:p>
  </w:footnote>
  <w:footnote w:type="continuationSeparator" w:id="0">
    <w:p w14:paraId="7A5D6878" w14:textId="77777777" w:rsidR="002615EA" w:rsidRDefault="0026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40"/>
    <w:rsid w:val="000211FE"/>
    <w:rsid w:val="000A233B"/>
    <w:rsid w:val="000E5389"/>
    <w:rsid w:val="0018453E"/>
    <w:rsid w:val="001D3E85"/>
    <w:rsid w:val="00213E31"/>
    <w:rsid w:val="00220C30"/>
    <w:rsid w:val="002615EA"/>
    <w:rsid w:val="002B78B0"/>
    <w:rsid w:val="00333C9C"/>
    <w:rsid w:val="003458D4"/>
    <w:rsid w:val="00405876"/>
    <w:rsid w:val="00566E3C"/>
    <w:rsid w:val="006D6D05"/>
    <w:rsid w:val="007D063F"/>
    <w:rsid w:val="00843BD7"/>
    <w:rsid w:val="008672F0"/>
    <w:rsid w:val="00940440"/>
    <w:rsid w:val="00AA598D"/>
    <w:rsid w:val="00AD6765"/>
    <w:rsid w:val="00B44934"/>
    <w:rsid w:val="00B744AA"/>
    <w:rsid w:val="00BA46DD"/>
    <w:rsid w:val="00CA4CAB"/>
    <w:rsid w:val="00CB5E08"/>
    <w:rsid w:val="00E50D61"/>
    <w:rsid w:val="00F32792"/>
    <w:rsid w:val="00F3689D"/>
    <w:rsid w:val="00FA6E20"/>
    <w:rsid w:val="00FE284C"/>
    <w:rsid w:val="0450710C"/>
    <w:rsid w:val="073C7840"/>
    <w:rsid w:val="0A40768C"/>
    <w:rsid w:val="0ADC3B93"/>
    <w:rsid w:val="13B400B1"/>
    <w:rsid w:val="18692445"/>
    <w:rsid w:val="1AEC1891"/>
    <w:rsid w:val="1C624DD9"/>
    <w:rsid w:val="2BA37E28"/>
    <w:rsid w:val="2D5A6052"/>
    <w:rsid w:val="2F9C6FC9"/>
    <w:rsid w:val="331969DB"/>
    <w:rsid w:val="42753798"/>
    <w:rsid w:val="4A955768"/>
    <w:rsid w:val="4BC630BE"/>
    <w:rsid w:val="4E38104E"/>
    <w:rsid w:val="520A2A4D"/>
    <w:rsid w:val="52B01082"/>
    <w:rsid w:val="5B23177D"/>
    <w:rsid w:val="5DF04FE7"/>
    <w:rsid w:val="610A37F4"/>
    <w:rsid w:val="62BA7224"/>
    <w:rsid w:val="66773EE5"/>
    <w:rsid w:val="6D7814FF"/>
    <w:rsid w:val="70CF7BEA"/>
    <w:rsid w:val="71FD5146"/>
    <w:rsid w:val="75230189"/>
    <w:rsid w:val="77CB1B39"/>
    <w:rsid w:val="7942582D"/>
    <w:rsid w:val="7A98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46AD4"/>
  <w15:docId w15:val="{06306DE0-4BF8-47B9-8E79-FF7506A4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basedOn w:val="Normal"/>
    <w:qFormat/>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qFormat/>
    <w:rPr>
      <w:b/>
    </w:rPr>
  </w:style>
  <w:style w:type="character" w:styleId="FollowedHyperlink">
    <w:name w:val="FollowedHyperlink"/>
    <w:basedOn w:val="DefaultParagraphFont"/>
    <w:qFormat/>
    <w:rPr>
      <w:color w:val="007BFF"/>
      <w:u w:val="none"/>
    </w:rPr>
  </w:style>
  <w:style w:type="character" w:styleId="Emphasis">
    <w:name w:val="Emphasis"/>
    <w:basedOn w:val="DefaultParagraphFont"/>
    <w:qFormat/>
  </w:style>
  <w:style w:type="character" w:styleId="HTMLDefinition">
    <w:name w:val="HTML Definition"/>
    <w:basedOn w:val="DefaultParagraphFont"/>
    <w:qFormat/>
    <w:rPr>
      <w:i/>
    </w:rPr>
  </w:style>
  <w:style w:type="character" w:styleId="Hyperlink">
    <w:name w:val="Hyperlink"/>
    <w:basedOn w:val="DefaultParagraphFont"/>
    <w:qFormat/>
    <w:rPr>
      <w:color w:val="4F4F4F"/>
      <w:u w:val="none"/>
    </w:rPr>
  </w:style>
  <w:style w:type="character" w:styleId="HTMLCode">
    <w:name w:val="HTML Code"/>
    <w:basedOn w:val="DefaultParagraphFont"/>
    <w:qFormat/>
    <w:rPr>
      <w:rFonts w:ascii="SFMono-Regular" w:eastAsia="SFMono-Regular" w:hAnsi="SFMono-Regular" w:cs="SFMono-Regular" w:hint="default"/>
      <w:color w:val="E83E8C"/>
      <w:sz w:val="21"/>
      <w:szCs w:val="21"/>
    </w:rPr>
  </w:style>
  <w:style w:type="character" w:styleId="HTMLCite">
    <w:name w:val="HTML Cite"/>
    <w:basedOn w:val="DefaultParagraphFont"/>
    <w:qFormat/>
    <w:rPr>
      <w:i/>
    </w:rPr>
  </w:style>
  <w:style w:type="character" w:styleId="HTMLKeyboard">
    <w:name w:val="HTML Keyboard"/>
    <w:basedOn w:val="DefaultParagraphFont"/>
    <w:qFormat/>
    <w:rPr>
      <w:rFonts w:ascii="SFMono-Regular" w:eastAsia="SFMono-Regular" w:hAnsi="SFMono-Regular" w:cs="SFMono-Regular"/>
      <w:color w:val="FFFFFF"/>
      <w:sz w:val="21"/>
      <w:szCs w:val="21"/>
      <w:shd w:val="clear" w:color="auto" w:fill="212529"/>
    </w:rPr>
  </w:style>
  <w:style w:type="character" w:styleId="HTMLSample">
    <w:name w:val="HTML Sample"/>
    <w:basedOn w:val="DefaultParagraphFont"/>
    <w:qFormat/>
    <w:rPr>
      <w:rFonts w:ascii="SFMono-Regular" w:eastAsia="SFMono-Regular" w:hAnsi="SFMono-Regular" w:cs="SFMono-Regular" w:hint="default"/>
      <w:color w:val="0056B3"/>
      <w:sz w:val="21"/>
      <w:szCs w:val="21"/>
      <w:u w:val="none"/>
    </w:rPr>
  </w:style>
  <w:style w:type="character" w:customStyle="1" w:styleId="ind-instru-info">
    <w:name w:val="ind-instru-info"/>
    <w:basedOn w:val="DefaultParagraphFont"/>
    <w:qFormat/>
    <w:rPr>
      <w:color w:val="4385F5"/>
    </w:rPr>
  </w:style>
  <w:style w:type="character" w:customStyle="1" w:styleId="field-content">
    <w:name w:val="field-content"/>
    <w:basedOn w:val="DefaultParagraphFont"/>
    <w:qFormat/>
    <w:rPr>
      <w:vanish/>
    </w:rPr>
  </w:style>
  <w:style w:type="character" w:customStyle="1" w:styleId="caret">
    <w:name w:val="caret"/>
    <w:basedOn w:val="DefaultParagraphFont"/>
    <w:qFormat/>
  </w:style>
  <w:style w:type="character" w:customStyle="1" w:styleId="hover16">
    <w:name w:val="hover16"/>
    <w:basedOn w:val="DefaultParagraphFont"/>
  </w:style>
  <w:style w:type="character" w:customStyle="1" w:styleId="hover17">
    <w:name w:val="hover17"/>
    <w:basedOn w:val="DefaultParagraphFont"/>
    <w:qFormat/>
  </w:style>
  <w:style w:type="character" w:customStyle="1" w:styleId="hover18">
    <w:name w:val="hover18"/>
    <w:basedOn w:val="DefaultParagraphFont"/>
    <w:qFormat/>
  </w:style>
  <w:style w:type="character" w:customStyle="1" w:styleId="hover19">
    <w:name w:val="hover19"/>
    <w:basedOn w:val="DefaultParagraphFont"/>
    <w:qFormat/>
  </w:style>
  <w:style w:type="character" w:customStyle="1" w:styleId="hover20">
    <w:name w:val="hover20"/>
    <w:basedOn w:val="DefaultParagraphFont"/>
    <w:qFormat/>
  </w:style>
  <w:style w:type="character" w:customStyle="1" w:styleId="hover21">
    <w:name w:val="hover21"/>
    <w:basedOn w:val="DefaultParagraphFont"/>
    <w:qFormat/>
  </w:style>
  <w:style w:type="character" w:customStyle="1" w:styleId="hover22">
    <w:name w:val="hover22"/>
    <w:basedOn w:val="DefaultParagraphFont"/>
    <w:qFormat/>
  </w:style>
  <w:style w:type="character" w:customStyle="1" w:styleId="hover23">
    <w:name w:val="hover23"/>
    <w:basedOn w:val="DefaultParagraphFont"/>
    <w:qFormat/>
  </w:style>
  <w:style w:type="character" w:customStyle="1" w:styleId="hover24">
    <w:name w:val="hover24"/>
    <w:basedOn w:val="DefaultParagraphFont"/>
    <w:qFormat/>
  </w:style>
  <w:style w:type="character" w:customStyle="1" w:styleId="hover25">
    <w:name w:val="hover25"/>
    <w:basedOn w:val="DefaultParagraphFont"/>
    <w:qFormat/>
  </w:style>
  <w:style w:type="character" w:customStyle="1" w:styleId="hover26">
    <w:name w:val="hover26"/>
    <w:basedOn w:val="DefaultParagraphFont"/>
    <w:qFormat/>
  </w:style>
  <w:style w:type="character" w:customStyle="1" w:styleId="hover27">
    <w:name w:val="hover27"/>
    <w:basedOn w:val="DefaultParagraphFont"/>
    <w:qFormat/>
  </w:style>
  <w:style w:type="character" w:customStyle="1" w:styleId="hover28">
    <w:name w:val="hover28"/>
    <w:basedOn w:val="DefaultParagraphFont"/>
    <w:qFormat/>
  </w:style>
  <w:style w:type="character" w:customStyle="1" w:styleId="hover29">
    <w:name w:val="hover29"/>
    <w:basedOn w:val="DefaultParagraphFont"/>
    <w:qFormat/>
    <w:rPr>
      <w:color w:val="004FFE"/>
    </w:rPr>
  </w:style>
  <w:style w:type="character" w:customStyle="1" w:styleId="hover30">
    <w:name w:val="hover30"/>
    <w:basedOn w:val="DefaultParagraphFont"/>
    <w:qFormat/>
    <w:rPr>
      <w:color w:val="004FFE"/>
    </w:rPr>
  </w:style>
  <w:style w:type="character" w:customStyle="1" w:styleId="trnding">
    <w:name w:val="trnding"/>
    <w:basedOn w:val="DefaultParagraphFont"/>
    <w:qFormat/>
  </w:style>
  <w:style w:type="character" w:customStyle="1" w:styleId="trending2">
    <w:name w:val="trending2"/>
    <w:basedOn w:val="DefaultParagraphFont"/>
    <w:qFormat/>
    <w:rPr>
      <w:color w:val="000000"/>
    </w:rPr>
  </w:style>
  <w:style w:type="character" w:customStyle="1" w:styleId="trending3">
    <w:name w:val="trending3"/>
    <w:basedOn w:val="DefaultParagraphFont"/>
    <w:qFormat/>
  </w:style>
  <w:style w:type="character" w:customStyle="1" w:styleId="nth-child3n1">
    <w:name w:val="nth-child(3n+1)"/>
    <w:basedOn w:val="DefaultParagraphFont"/>
  </w:style>
  <w:style w:type="character" w:customStyle="1" w:styleId="name">
    <w:name w:val="name"/>
    <w:basedOn w:val="DefaultParagraphFont"/>
    <w:qFormat/>
    <w:rPr>
      <w:color w:val="555666"/>
      <w:sz w:val="21"/>
      <w:szCs w:val="21"/>
    </w:rPr>
  </w:style>
  <w:style w:type="character" w:customStyle="1" w:styleId="red">
    <w:name w:val="red"/>
    <w:basedOn w:val="DefaultParagraphFont"/>
    <w:qFormat/>
    <w:rPr>
      <w:color w:val="FF0000"/>
    </w:rPr>
  </w:style>
  <w:style w:type="character" w:customStyle="1" w:styleId="reward-close">
    <w:name w:val="reward-close"/>
    <w:basedOn w:val="DefaultParagraphFont"/>
    <w:qFormat/>
  </w:style>
  <w:style w:type="character" w:customStyle="1" w:styleId="hover4">
    <w:name w:val="hover4"/>
    <w:basedOn w:val="DefaultParagraphFont"/>
    <w:qFormat/>
    <w:rPr>
      <w:color w:val="FC5531"/>
      <w:bdr w:val="single" w:sz="6" w:space="0" w:color="FC5531"/>
    </w:rPr>
  </w:style>
  <w:style w:type="character" w:customStyle="1" w:styleId="choosed">
    <w:name w:val="choosed"/>
    <w:basedOn w:val="DefaultParagraphFont"/>
    <w:qFormat/>
    <w:rPr>
      <w:color w:val="FC5531"/>
      <w:bdr w:val="single" w:sz="6" w:space="0" w:color="FC5531"/>
    </w:rPr>
  </w:style>
  <w:style w:type="character" w:customStyle="1" w:styleId="txt">
    <w:name w:val="txt"/>
    <w:basedOn w:val="DefaultParagraphFont"/>
    <w:qFormat/>
  </w:style>
  <w:style w:type="character" w:customStyle="1" w:styleId="1">
    <w:name w:val="引用1"/>
    <w:basedOn w:val="DefaultParagraphFont"/>
    <w:qFormat/>
    <w:rPr>
      <w:color w:val="6B6B6B"/>
      <w:sz w:val="18"/>
      <w:szCs w:val="18"/>
    </w:rPr>
  </w:style>
  <w:style w:type="character" w:customStyle="1" w:styleId="quote1">
    <w:name w:val="quote1"/>
    <w:basedOn w:val="DefaultParagraphFont"/>
    <w:qFormat/>
    <w:rPr>
      <w:color w:val="6B6B6B"/>
      <w:sz w:val="18"/>
      <w:szCs w:val="18"/>
    </w:rPr>
  </w:style>
  <w:style w:type="character" w:customStyle="1" w:styleId="quote2">
    <w:name w:val="quote2"/>
    <w:basedOn w:val="DefaultParagraphFont"/>
    <w:qFormat/>
    <w:rPr>
      <w:color w:val="6B6B6B"/>
      <w:sz w:val="18"/>
      <w:szCs w:val="18"/>
    </w:rPr>
  </w:style>
  <w:style w:type="character" w:customStyle="1" w:styleId="quote3">
    <w:name w:val="quote3"/>
    <w:basedOn w:val="DefaultParagraphFont"/>
    <w:qFormat/>
    <w:rPr>
      <w:color w:val="6B6B6B"/>
      <w:sz w:val="18"/>
      <w:szCs w:val="18"/>
    </w:rPr>
  </w:style>
  <w:style w:type="character" w:customStyle="1" w:styleId="tip">
    <w:name w:val="tip"/>
    <w:basedOn w:val="DefaultParagraphFont"/>
    <w:qFormat/>
    <w:rPr>
      <w:color w:val="999AAA"/>
      <w:sz w:val="18"/>
      <w:szCs w:val="18"/>
    </w:rPr>
  </w:style>
  <w:style w:type="character" w:customStyle="1" w:styleId="advert-count-people">
    <w:name w:val="advert-count-people"/>
    <w:basedOn w:val="DefaultParagraphFont"/>
    <w:qFormat/>
    <w:rPr>
      <w:color w:val="FC5531"/>
      <w:sz w:val="21"/>
      <w:szCs w:val="21"/>
    </w:rPr>
  </w:style>
  <w:style w:type="character" w:customStyle="1" w:styleId="toolbar-adver-btn">
    <w:name w:val="toolbar-adver-btn"/>
    <w:basedOn w:val="DefaultParagraphFont"/>
    <w:qFormat/>
    <w:rPr>
      <w:color w:val="FFFFFF"/>
      <w:sz w:val="33"/>
      <w:szCs w:val="33"/>
    </w:rPr>
  </w:style>
  <w:style w:type="character" w:customStyle="1" w:styleId="toolbar-adver-btn1">
    <w:name w:val="toolbar-adver-btn1"/>
    <w:basedOn w:val="DefaultParagraphFont"/>
    <w:qFormat/>
    <w:rPr>
      <w:color w:val="FFFFFF"/>
      <w:sz w:val="33"/>
      <w:szCs w:val="33"/>
    </w:rPr>
  </w:style>
  <w:style w:type="character" w:customStyle="1" w:styleId="count">
    <w:name w:val="count"/>
    <w:basedOn w:val="DefaultParagraphFont"/>
    <w:qFormat/>
    <w:rPr>
      <w:color w:val="999AAA"/>
      <w:sz w:val="18"/>
      <w:szCs w:val="18"/>
    </w:rPr>
  </w:style>
  <w:style w:type="character" w:customStyle="1" w:styleId="count1">
    <w:name w:val="count1"/>
    <w:basedOn w:val="DefaultParagraphFont"/>
    <w:qFormat/>
    <w:rPr>
      <w:color w:val="555666"/>
      <w:sz w:val="21"/>
      <w:szCs w:val="21"/>
    </w:rPr>
  </w:style>
  <w:style w:type="character" w:customStyle="1" w:styleId="text10">
    <w:name w:val="text10"/>
    <w:basedOn w:val="DefaultParagraphFont"/>
    <w:qFormat/>
    <w:rPr>
      <w:vertAlign w:val="superscript"/>
    </w:rPr>
  </w:style>
  <w:style w:type="character" w:customStyle="1" w:styleId="advert-money">
    <w:name w:val="advert-money"/>
    <w:basedOn w:val="DefaultParagraphFont"/>
    <w:qFormat/>
    <w:rPr>
      <w:b/>
      <w:color w:val="FC5531"/>
      <w:sz w:val="24"/>
      <w:szCs w:val="24"/>
    </w:rPr>
  </w:style>
  <w:style w:type="character" w:customStyle="1" w:styleId="countx">
    <w:name w:val="countx"/>
    <w:basedOn w:val="DefaultParagraphFont"/>
    <w:qFormat/>
    <w:rPr>
      <w:sz w:val="18"/>
      <w:szCs w:val="18"/>
    </w:rPr>
  </w:style>
  <w:style w:type="character" w:customStyle="1" w:styleId="ckedialoguibutton">
    <w:name w:val="cke_dialog_ui_button"/>
    <w:basedOn w:val="DefaultParagraphFont"/>
    <w:qFormat/>
    <w:rPr>
      <w:color w:val="FFFFFF"/>
      <w:bdr w:val="single" w:sz="2" w:space="0" w:color="F0F0F0"/>
    </w:rPr>
  </w:style>
  <w:style w:type="character" w:customStyle="1" w:styleId="opened">
    <w:name w:val="opened"/>
    <w:basedOn w:val="DefaultParagraphFont"/>
    <w:qFormat/>
  </w:style>
  <w:style w:type="character" w:customStyle="1" w:styleId="active6">
    <w:name w:val="active6"/>
    <w:basedOn w:val="DefaultParagraphFont"/>
    <w:qFormat/>
  </w:style>
  <w:style w:type="character" w:customStyle="1" w:styleId="rp-number">
    <w:name w:val="rp-number"/>
    <w:basedOn w:val="DefaultParagraphFont"/>
    <w:qFormat/>
    <w:rPr>
      <w:color w:val="999999"/>
    </w:rPr>
  </w:style>
  <w:style w:type="character" w:customStyle="1" w:styleId="anonymous">
    <w:name w:val="anonymous"/>
    <w:basedOn w:val="DefaultParagraphFont"/>
    <w:qFormat/>
    <w:rPr>
      <w:bdr w:val="single" w:sz="6" w:space="0" w:color="E9E9E9"/>
    </w:rPr>
  </w:style>
  <w:style w:type="character" w:customStyle="1" w:styleId="focus2">
    <w:name w:val="focus2"/>
    <w:basedOn w:val="DefaultParagraphFont"/>
    <w:qFormat/>
    <w:rPr>
      <w:color w:val="6353A9"/>
      <w:shd w:val="clear" w:color="auto" w:fill="FFFFFF"/>
    </w:rPr>
  </w:style>
  <w:style w:type="character" w:customStyle="1" w:styleId="p-ranking">
    <w:name w:val="p-ranking"/>
    <w:basedOn w:val="DefaultParagraphFont"/>
    <w:qFormat/>
    <w:rPr>
      <w:color w:val="FFFFFF"/>
      <w:sz w:val="13"/>
      <w:szCs w:val="13"/>
      <w:bdr w:val="single" w:sz="6" w:space="0" w:color="999999"/>
      <w:shd w:val="clear" w:color="auto" w:fill="A4A4A4"/>
    </w:rPr>
  </w:style>
  <w:style w:type="character" w:customStyle="1" w:styleId="color-p-r">
    <w:name w:val="color-p-r"/>
    <w:basedOn w:val="DefaultParagraphFont"/>
    <w:qFormat/>
    <w:rPr>
      <w:shd w:val="clear" w:color="auto" w:fill="9693C0"/>
    </w:rPr>
  </w:style>
  <w:style w:type="character" w:customStyle="1" w:styleId="icon17">
    <w:name w:val="icon17"/>
    <w:basedOn w:val="DefaultParagraphFont"/>
    <w:qFormat/>
  </w:style>
  <w:style w:type="character" w:customStyle="1" w:styleId="font01">
    <w:name w:val="font01"/>
    <w:basedOn w:val="DefaultParagraphFont"/>
    <w:qFormat/>
    <w:rPr>
      <w:rFonts w:ascii="Times New Roman" w:hAnsi="Times New Roman" w:cs="Times New Roman" w:hint="default"/>
      <w:color w:val="000000"/>
      <w:sz w:val="20"/>
      <w:szCs w:val="20"/>
      <w:u w:val="none"/>
    </w:rPr>
  </w:style>
  <w:style w:type="paragraph" w:styleId="Header">
    <w:name w:val="header"/>
    <w:basedOn w:val="Normal"/>
    <w:link w:val="HeaderChar"/>
    <w:rsid w:val="00B744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744AA"/>
    <w:rPr>
      <w:rFonts w:ascii="Calibri" w:hAnsi="Calibri"/>
      <w:kern w:val="2"/>
      <w:sz w:val="18"/>
      <w:szCs w:val="18"/>
    </w:rPr>
  </w:style>
  <w:style w:type="character" w:customStyle="1" w:styleId="FooterChar">
    <w:name w:val="Footer Char"/>
    <w:basedOn w:val="DefaultParagraphFont"/>
    <w:link w:val="Footer"/>
    <w:uiPriority w:val="99"/>
    <w:rsid w:val="001D3E8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70D6F-D030-4E90-85A0-DA90B11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3957</Words>
  <Characters>22560</Characters>
  <Application>Microsoft Office Word</Application>
  <DocSecurity>0</DocSecurity>
  <Lines>188</Lines>
  <Paragraphs>52</Paragraphs>
  <ScaleCrop>false</ScaleCrop>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2021-03-12T23:53:00Z</dcterms:created>
  <dcterms:modified xsi:type="dcterms:W3CDTF">2021-03-12T23:53:00Z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