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3E6C"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Name of Journal: </w:t>
      </w:r>
      <w:r w:rsidRPr="00AE67E1">
        <w:rPr>
          <w:rFonts w:ascii="Book Antiqua" w:eastAsia="Book Antiqua" w:hAnsi="Book Antiqua" w:cs="Book Antiqua"/>
          <w:i/>
          <w:color w:val="000000"/>
        </w:rPr>
        <w:t>World Journal of Clinical Cases</w:t>
      </w:r>
    </w:p>
    <w:p w14:paraId="10989AFD"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Manuscript NO: </w:t>
      </w:r>
      <w:r w:rsidRPr="00AE67E1">
        <w:rPr>
          <w:rFonts w:ascii="Book Antiqua" w:eastAsia="Book Antiqua" w:hAnsi="Book Antiqua" w:cs="Book Antiqua"/>
          <w:color w:val="000000"/>
        </w:rPr>
        <w:t>60852</w:t>
      </w:r>
    </w:p>
    <w:p w14:paraId="497EA90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Manuscript Type: </w:t>
      </w:r>
      <w:r w:rsidRPr="00AE67E1">
        <w:rPr>
          <w:rFonts w:ascii="Book Antiqua" w:eastAsia="Book Antiqua" w:hAnsi="Book Antiqua" w:cs="Book Antiqua"/>
          <w:color w:val="000000"/>
        </w:rPr>
        <w:t>ORIGINAL ARTICLE</w:t>
      </w:r>
    </w:p>
    <w:p w14:paraId="1B26AE69" w14:textId="77777777" w:rsidR="00F07400" w:rsidRPr="00AE67E1" w:rsidRDefault="00F07400" w:rsidP="00AE67E1">
      <w:pPr>
        <w:spacing w:line="360" w:lineRule="auto"/>
        <w:jc w:val="both"/>
        <w:rPr>
          <w:rFonts w:ascii="Book Antiqua" w:hAnsi="Book Antiqua"/>
        </w:rPr>
      </w:pPr>
    </w:p>
    <w:p w14:paraId="35FDAF36"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Clinical and Translational Research</w:t>
      </w:r>
    </w:p>
    <w:p w14:paraId="603785E1" w14:textId="77777777" w:rsidR="00F07400" w:rsidRPr="00AE67E1" w:rsidRDefault="00C430B4" w:rsidP="00AE67E1">
      <w:pPr>
        <w:spacing w:line="360" w:lineRule="auto"/>
        <w:jc w:val="both"/>
        <w:rPr>
          <w:rFonts w:ascii="Book Antiqua" w:hAnsi="Book Antiqua"/>
        </w:rPr>
      </w:pPr>
      <w:bookmarkStart w:id="0" w:name="OLE_LINK305"/>
      <w:r w:rsidRPr="00AE67E1">
        <w:rPr>
          <w:rFonts w:ascii="Book Antiqua" w:eastAsia="Book Antiqua" w:hAnsi="Book Antiqua" w:cs="Book Antiqua"/>
          <w:b/>
          <w:color w:val="000000"/>
        </w:rPr>
        <w:t>Circulating tumor cells with epithelial-mesenchymal transition markers as potential biomarker</w:t>
      </w:r>
      <w:r w:rsidR="009A35B4">
        <w:rPr>
          <w:rFonts w:ascii="Book Antiqua" w:eastAsia="Book Antiqua" w:hAnsi="Book Antiqua" w:cs="Book Antiqua"/>
          <w:b/>
          <w:color w:val="000000"/>
        </w:rPr>
        <w:t>s</w:t>
      </w:r>
      <w:r w:rsidRPr="00AE67E1">
        <w:rPr>
          <w:rFonts w:ascii="Book Antiqua" w:eastAsia="Book Antiqua" w:hAnsi="Book Antiqua" w:cs="Book Antiqua"/>
          <w:b/>
          <w:color w:val="000000"/>
        </w:rPr>
        <w:t xml:space="preserve"> for the diagnosis of lung cancer</w:t>
      </w:r>
    </w:p>
    <w:bookmarkEnd w:id="0"/>
    <w:p w14:paraId="4D17EBB8" w14:textId="77777777" w:rsidR="00F07400" w:rsidRPr="00AE67E1" w:rsidRDefault="00F07400" w:rsidP="00AE67E1">
      <w:pPr>
        <w:spacing w:line="360" w:lineRule="auto"/>
        <w:jc w:val="both"/>
        <w:rPr>
          <w:rFonts w:ascii="Book Antiqua" w:hAnsi="Book Antiqua"/>
        </w:rPr>
      </w:pPr>
    </w:p>
    <w:p w14:paraId="29BAC9A9" w14:textId="77777777" w:rsidR="00F07400" w:rsidRPr="00AE67E1" w:rsidRDefault="00966E8E" w:rsidP="00AE67E1">
      <w:pPr>
        <w:spacing w:line="360" w:lineRule="auto"/>
        <w:jc w:val="both"/>
        <w:rPr>
          <w:rFonts w:ascii="Book Antiqua" w:hAnsi="Book Antiqua"/>
        </w:rPr>
      </w:pPr>
      <w:r w:rsidRPr="00AE67E1">
        <w:rPr>
          <w:rFonts w:ascii="Book Antiqua" w:eastAsia="Book Antiqua" w:hAnsi="Book Antiqua" w:cs="Book Antiqua"/>
          <w:color w:val="000000"/>
        </w:rPr>
        <w:t xml:space="preserve">Jiang </w:t>
      </w:r>
      <w:r>
        <w:rPr>
          <w:rFonts w:ascii="Book Antiqua" w:eastAsia="Book Antiqua" w:hAnsi="Book Antiqua" w:cs="Book Antiqua"/>
          <w:color w:val="000000"/>
        </w:rPr>
        <w:t xml:space="preserve">SS </w:t>
      </w:r>
      <w:r w:rsidRPr="00966E8E">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306"/>
      <w:bookmarkStart w:id="2" w:name="OLE_LINK346"/>
      <w:r w:rsidR="00C430B4" w:rsidRPr="00AE67E1">
        <w:rPr>
          <w:rFonts w:ascii="Book Antiqua" w:eastAsia="Book Antiqua" w:hAnsi="Book Antiqua" w:cs="Book Antiqua"/>
          <w:color w:val="000000"/>
        </w:rPr>
        <w:t>CTCs categorized by EMT markers in LC</w:t>
      </w:r>
    </w:p>
    <w:bookmarkEnd w:id="1"/>
    <w:bookmarkEnd w:id="2"/>
    <w:p w14:paraId="7DD72DBC" w14:textId="77777777" w:rsidR="00F07400" w:rsidRPr="00AE67E1" w:rsidRDefault="00F07400" w:rsidP="00AE67E1">
      <w:pPr>
        <w:spacing w:line="360" w:lineRule="auto"/>
        <w:jc w:val="both"/>
        <w:rPr>
          <w:rFonts w:ascii="Book Antiqua" w:hAnsi="Book Antiqua"/>
        </w:rPr>
      </w:pPr>
    </w:p>
    <w:p w14:paraId="4302813A"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Sha-Sha Jiang, Chun-</w:t>
      </w:r>
      <w:r w:rsidR="00AF4936">
        <w:rPr>
          <w:rFonts w:ascii="Book Antiqua" w:eastAsia="Book Antiqua" w:hAnsi="Book Antiqua" w:cs="Book Antiqua"/>
          <w:color w:val="000000"/>
        </w:rPr>
        <w:t>G</w:t>
      </w:r>
      <w:r w:rsidRPr="00AE67E1">
        <w:rPr>
          <w:rFonts w:ascii="Book Antiqua" w:eastAsia="Book Antiqua" w:hAnsi="Book Antiqua" w:cs="Book Antiqua"/>
          <w:color w:val="000000"/>
        </w:rPr>
        <w:t>uo Mao, Yong-</w:t>
      </w:r>
      <w:r w:rsidR="00AF4936">
        <w:rPr>
          <w:rFonts w:ascii="Book Antiqua" w:eastAsia="Book Antiqua" w:hAnsi="Book Antiqua" w:cs="Book Antiqua"/>
          <w:color w:val="000000"/>
        </w:rPr>
        <w:t>G</w:t>
      </w:r>
      <w:r w:rsidRPr="00AE67E1">
        <w:rPr>
          <w:rFonts w:ascii="Book Antiqua" w:eastAsia="Book Antiqua" w:hAnsi="Book Antiqua" w:cs="Book Antiqua"/>
          <w:color w:val="000000"/>
        </w:rPr>
        <w:t>eng Feng, Bin Jiang, Shao-</w:t>
      </w:r>
      <w:r w:rsidR="00AF4936">
        <w:rPr>
          <w:rFonts w:ascii="Book Antiqua" w:eastAsia="Book Antiqua" w:hAnsi="Book Antiqua" w:cs="Book Antiqua"/>
          <w:color w:val="000000"/>
        </w:rPr>
        <w:t>L</w:t>
      </w:r>
      <w:r w:rsidRPr="00AE67E1">
        <w:rPr>
          <w:rFonts w:ascii="Book Antiqua" w:eastAsia="Book Antiqua" w:hAnsi="Book Antiqua" w:cs="Book Antiqua"/>
          <w:color w:val="000000"/>
        </w:rPr>
        <w:t>in Tao, Qun-</w:t>
      </w:r>
      <w:r w:rsidR="00AF4936">
        <w:rPr>
          <w:rFonts w:ascii="Book Antiqua" w:eastAsia="Book Antiqua" w:hAnsi="Book Antiqua" w:cs="Book Antiqua"/>
          <w:color w:val="000000"/>
        </w:rPr>
        <w:t>Y</w:t>
      </w:r>
      <w:r w:rsidRPr="00AE67E1">
        <w:rPr>
          <w:rFonts w:ascii="Book Antiqua" w:eastAsia="Book Antiqua" w:hAnsi="Book Antiqua" w:cs="Book Antiqua"/>
          <w:color w:val="000000"/>
        </w:rPr>
        <w:t>ou Tan, Bo Deng</w:t>
      </w:r>
    </w:p>
    <w:p w14:paraId="522478B1" w14:textId="77777777" w:rsidR="00F07400" w:rsidRPr="00AE67E1" w:rsidRDefault="00F07400" w:rsidP="00AE67E1">
      <w:pPr>
        <w:spacing w:line="360" w:lineRule="auto"/>
        <w:jc w:val="both"/>
        <w:rPr>
          <w:rFonts w:ascii="Book Antiqua" w:hAnsi="Book Antiqua"/>
        </w:rPr>
      </w:pPr>
    </w:p>
    <w:p w14:paraId="5C370A59" w14:textId="77777777" w:rsidR="00F07400" w:rsidRPr="00AE67E1" w:rsidRDefault="00D84015" w:rsidP="00AE67E1">
      <w:pPr>
        <w:spacing w:line="360" w:lineRule="auto"/>
        <w:jc w:val="both"/>
        <w:rPr>
          <w:rFonts w:ascii="Book Antiqua" w:hAnsi="Book Antiqua"/>
        </w:rPr>
      </w:pPr>
      <w:r w:rsidRPr="00AE67E1">
        <w:rPr>
          <w:rFonts w:ascii="Book Antiqua" w:eastAsia="Book Antiqua" w:hAnsi="Book Antiqua" w:cs="Book Antiqua"/>
          <w:b/>
          <w:bCs/>
          <w:color w:val="000000"/>
        </w:rPr>
        <w:t>Sha-Sha Jiang, Chun-</w:t>
      </w:r>
      <w:r>
        <w:rPr>
          <w:rFonts w:ascii="Book Antiqua" w:eastAsia="Book Antiqua" w:hAnsi="Book Antiqua" w:cs="Book Antiqua"/>
          <w:b/>
          <w:bCs/>
          <w:color w:val="000000"/>
        </w:rPr>
        <w:t>G</w:t>
      </w:r>
      <w:r w:rsidRPr="00AE67E1">
        <w:rPr>
          <w:rFonts w:ascii="Book Antiqua" w:eastAsia="Book Antiqua" w:hAnsi="Book Antiqua" w:cs="Book Antiqua"/>
          <w:b/>
          <w:bCs/>
          <w:color w:val="000000"/>
        </w:rPr>
        <w:t>uo Mao, Yong-</w:t>
      </w:r>
      <w:r>
        <w:rPr>
          <w:rFonts w:ascii="Book Antiqua" w:eastAsia="Book Antiqua" w:hAnsi="Book Antiqua" w:cs="Book Antiqua"/>
          <w:b/>
          <w:bCs/>
          <w:color w:val="000000"/>
        </w:rPr>
        <w:t>G</w:t>
      </w:r>
      <w:r w:rsidRPr="00AE67E1">
        <w:rPr>
          <w:rFonts w:ascii="Book Antiqua" w:eastAsia="Book Antiqua" w:hAnsi="Book Antiqua" w:cs="Book Antiqua"/>
          <w:b/>
          <w:bCs/>
          <w:color w:val="000000"/>
        </w:rPr>
        <w:t>eng Feng, Bin Jiang, Shao-</w:t>
      </w:r>
      <w:r>
        <w:rPr>
          <w:rFonts w:ascii="Book Antiqua" w:eastAsia="Book Antiqua" w:hAnsi="Book Antiqua" w:cs="Book Antiqua"/>
          <w:b/>
          <w:bCs/>
          <w:color w:val="000000"/>
        </w:rPr>
        <w:t>L</w:t>
      </w:r>
      <w:r w:rsidRPr="00AE67E1">
        <w:rPr>
          <w:rFonts w:ascii="Book Antiqua" w:eastAsia="Book Antiqua" w:hAnsi="Book Antiqua" w:cs="Book Antiqua"/>
          <w:b/>
          <w:bCs/>
          <w:color w:val="000000"/>
        </w:rPr>
        <w:t>in Tao, Qun-</w:t>
      </w:r>
      <w:r>
        <w:rPr>
          <w:rFonts w:ascii="Book Antiqua" w:eastAsia="Book Antiqua" w:hAnsi="Book Antiqua" w:cs="Book Antiqua"/>
          <w:b/>
          <w:bCs/>
          <w:color w:val="000000"/>
        </w:rPr>
        <w:t>Y</w:t>
      </w:r>
      <w:r w:rsidRPr="00AE67E1">
        <w:rPr>
          <w:rFonts w:ascii="Book Antiqua" w:eastAsia="Book Antiqua" w:hAnsi="Book Antiqua" w:cs="Book Antiqua"/>
          <w:b/>
          <w:bCs/>
          <w:color w:val="000000"/>
        </w:rPr>
        <w:t xml:space="preserve">ou Tan, </w:t>
      </w:r>
      <w:r w:rsidR="00C430B4" w:rsidRPr="00AE67E1">
        <w:rPr>
          <w:rFonts w:ascii="Book Antiqua" w:eastAsia="Book Antiqua" w:hAnsi="Book Antiqua" w:cs="Book Antiqua"/>
          <w:b/>
          <w:bCs/>
          <w:color w:val="000000"/>
        </w:rPr>
        <w:t xml:space="preserve">Bo Deng, </w:t>
      </w:r>
      <w:bookmarkStart w:id="3" w:name="OLE_LINK307"/>
      <w:bookmarkStart w:id="4" w:name="OLE_LINK308"/>
      <w:bookmarkStart w:id="5" w:name="OLE_LINK311"/>
      <w:bookmarkStart w:id="6" w:name="OLE_LINK312"/>
      <w:bookmarkStart w:id="7" w:name="OLE_LINK315"/>
      <w:bookmarkStart w:id="8" w:name="OLE_LINK317"/>
      <w:bookmarkStart w:id="9" w:name="OLE_LINK319"/>
      <w:bookmarkStart w:id="10" w:name="OLE_LINK321"/>
      <w:r w:rsidR="00AF4936" w:rsidRPr="00AE67E1">
        <w:rPr>
          <w:rFonts w:ascii="Book Antiqua" w:eastAsia="Book Antiqua" w:hAnsi="Book Antiqua" w:cs="Book Antiqua"/>
          <w:color w:val="000000"/>
        </w:rPr>
        <w:t xml:space="preserve">Department of </w:t>
      </w:r>
      <w:r w:rsidR="00C430B4" w:rsidRPr="00AE67E1">
        <w:rPr>
          <w:rFonts w:ascii="Book Antiqua" w:eastAsia="Book Antiqua" w:hAnsi="Book Antiqua" w:cs="Book Antiqua"/>
          <w:color w:val="000000"/>
        </w:rPr>
        <w:t>Thoracic Surgery</w:t>
      </w:r>
      <w:bookmarkEnd w:id="3"/>
      <w:bookmarkEnd w:id="4"/>
      <w:bookmarkEnd w:id="5"/>
      <w:bookmarkEnd w:id="6"/>
      <w:bookmarkEnd w:id="7"/>
      <w:bookmarkEnd w:id="8"/>
      <w:bookmarkEnd w:id="9"/>
      <w:bookmarkEnd w:id="10"/>
      <w:r w:rsidR="00C430B4" w:rsidRPr="00AE67E1">
        <w:rPr>
          <w:rFonts w:ascii="Book Antiqua" w:eastAsia="Book Antiqua" w:hAnsi="Book Antiqua" w:cs="Book Antiqua"/>
          <w:color w:val="000000"/>
        </w:rPr>
        <w:t xml:space="preserve">, </w:t>
      </w:r>
      <w:bookmarkStart w:id="11" w:name="OLE_LINK309"/>
      <w:bookmarkStart w:id="12" w:name="OLE_LINK310"/>
      <w:bookmarkStart w:id="13" w:name="OLE_LINK313"/>
      <w:bookmarkStart w:id="14" w:name="OLE_LINK314"/>
      <w:bookmarkStart w:id="15" w:name="OLE_LINK316"/>
      <w:bookmarkStart w:id="16" w:name="OLE_LINK318"/>
      <w:bookmarkStart w:id="17" w:name="OLE_LINK320"/>
      <w:bookmarkStart w:id="18" w:name="OLE_LINK322"/>
      <w:r w:rsidR="00C430B4" w:rsidRPr="00AE67E1">
        <w:rPr>
          <w:rFonts w:ascii="Book Antiqua" w:eastAsia="Book Antiqua" w:hAnsi="Book Antiqua" w:cs="Book Antiqua"/>
          <w:color w:val="000000"/>
        </w:rPr>
        <w:t>Institute of Surgery Research, Daping Hospital, Army Medical University</w:t>
      </w:r>
      <w:bookmarkEnd w:id="11"/>
      <w:bookmarkEnd w:id="12"/>
      <w:bookmarkEnd w:id="13"/>
      <w:bookmarkEnd w:id="14"/>
      <w:bookmarkEnd w:id="15"/>
      <w:bookmarkEnd w:id="16"/>
      <w:bookmarkEnd w:id="17"/>
      <w:bookmarkEnd w:id="18"/>
      <w:r w:rsidR="00C430B4" w:rsidRPr="00AE67E1">
        <w:rPr>
          <w:rFonts w:ascii="Book Antiqua" w:eastAsia="Book Antiqua" w:hAnsi="Book Antiqua" w:cs="Book Antiqua"/>
          <w:color w:val="000000"/>
        </w:rPr>
        <w:t>, Chongqing 400042, China</w:t>
      </w:r>
    </w:p>
    <w:p w14:paraId="4694CF53" w14:textId="77777777" w:rsidR="00F07400" w:rsidRPr="00AE67E1" w:rsidRDefault="00F07400" w:rsidP="00AE67E1">
      <w:pPr>
        <w:spacing w:line="360" w:lineRule="auto"/>
        <w:jc w:val="both"/>
        <w:rPr>
          <w:rFonts w:ascii="Book Antiqua" w:hAnsi="Book Antiqua"/>
        </w:rPr>
      </w:pPr>
    </w:p>
    <w:p w14:paraId="55E27892"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Author contributions: </w:t>
      </w:r>
      <w:r w:rsidRPr="00AE67E1">
        <w:rPr>
          <w:rFonts w:ascii="Book Antiqua" w:eastAsia="Book Antiqua" w:hAnsi="Book Antiqua" w:cs="Book Antiqua"/>
          <w:color w:val="000000"/>
        </w:rPr>
        <w:t xml:space="preserve">Jiang </w:t>
      </w:r>
      <w:r w:rsidR="00D84015">
        <w:rPr>
          <w:rFonts w:ascii="Book Antiqua" w:eastAsia="Book Antiqua" w:hAnsi="Book Antiqua" w:cs="Book Antiqua"/>
          <w:color w:val="000000"/>
        </w:rPr>
        <w:t xml:space="preserve">SS </w:t>
      </w:r>
      <w:r w:rsidRPr="00AE67E1">
        <w:rPr>
          <w:rFonts w:ascii="Book Antiqua" w:eastAsia="Book Antiqua" w:hAnsi="Book Antiqua" w:cs="Book Antiqua"/>
          <w:color w:val="000000"/>
        </w:rPr>
        <w:t xml:space="preserve">and Mao </w:t>
      </w:r>
      <w:r w:rsidR="00D84015">
        <w:rPr>
          <w:rFonts w:ascii="Book Antiqua" w:eastAsia="Book Antiqua" w:hAnsi="Book Antiqua" w:cs="Book Antiqua"/>
          <w:color w:val="000000"/>
        </w:rPr>
        <w:t xml:space="preserve">CG </w:t>
      </w:r>
      <w:r w:rsidRPr="00AE67E1">
        <w:rPr>
          <w:rFonts w:ascii="Book Antiqua" w:eastAsia="Book Antiqua" w:hAnsi="Book Antiqua" w:cs="Book Antiqua"/>
          <w:color w:val="000000"/>
        </w:rPr>
        <w:t>performed the research and wrote the paper; Feng</w:t>
      </w:r>
      <w:r w:rsidR="00EC7B0A">
        <w:rPr>
          <w:rFonts w:ascii="Book Antiqua" w:eastAsia="Book Antiqua" w:hAnsi="Book Antiqua" w:cs="Book Antiqua"/>
          <w:color w:val="000000"/>
        </w:rPr>
        <w:t xml:space="preserve"> YG</w:t>
      </w:r>
      <w:r w:rsidRPr="00AE67E1">
        <w:rPr>
          <w:rFonts w:ascii="Book Antiqua" w:eastAsia="Book Antiqua" w:hAnsi="Book Antiqua" w:cs="Book Antiqua"/>
          <w:color w:val="000000"/>
        </w:rPr>
        <w:t xml:space="preserve"> and Jiang </w:t>
      </w:r>
      <w:r w:rsidR="00EC7B0A">
        <w:rPr>
          <w:rFonts w:ascii="Book Antiqua" w:eastAsia="Book Antiqua" w:hAnsi="Book Antiqua" w:cs="Book Antiqua"/>
          <w:color w:val="000000"/>
        </w:rPr>
        <w:t xml:space="preserve">B </w:t>
      </w:r>
      <w:r w:rsidRPr="00AE67E1">
        <w:rPr>
          <w:rFonts w:ascii="Book Antiqua" w:eastAsia="Book Antiqua" w:hAnsi="Book Antiqua" w:cs="Book Antiqua"/>
          <w:color w:val="000000"/>
        </w:rPr>
        <w:t xml:space="preserve">designed the research and supervised the study; Tao </w:t>
      </w:r>
      <w:r w:rsidR="00EC7B0A">
        <w:rPr>
          <w:rFonts w:ascii="Book Antiqua" w:eastAsia="Book Antiqua" w:hAnsi="Book Antiqua" w:cs="Book Antiqua"/>
          <w:color w:val="000000"/>
        </w:rPr>
        <w:t xml:space="preserve">SL </w:t>
      </w:r>
      <w:r w:rsidRPr="00AE67E1">
        <w:rPr>
          <w:rFonts w:ascii="Book Antiqua" w:eastAsia="Book Antiqua" w:hAnsi="Book Antiqua" w:cs="Book Antiqua"/>
          <w:color w:val="000000"/>
        </w:rPr>
        <w:t xml:space="preserve">and Tan </w:t>
      </w:r>
      <w:r w:rsidR="00EC7B0A">
        <w:rPr>
          <w:rFonts w:ascii="Book Antiqua" w:eastAsia="Book Antiqua" w:hAnsi="Book Antiqua" w:cs="Book Antiqua"/>
          <w:color w:val="000000"/>
        </w:rPr>
        <w:t xml:space="preserve">QY </w:t>
      </w:r>
      <w:r w:rsidRPr="00AE67E1">
        <w:rPr>
          <w:rFonts w:ascii="Book Antiqua" w:eastAsia="Book Antiqua" w:hAnsi="Book Antiqua" w:cs="Book Antiqua"/>
          <w:color w:val="000000"/>
        </w:rPr>
        <w:t>designed the research and contributed to the analys</w:t>
      </w:r>
      <w:r w:rsidR="009A35B4">
        <w:rPr>
          <w:rFonts w:ascii="Book Antiqua" w:eastAsia="Book Antiqua" w:hAnsi="Book Antiqua" w:cs="Book Antiqua"/>
          <w:color w:val="000000"/>
        </w:rPr>
        <w:t>e</w:t>
      </w:r>
      <w:r w:rsidRPr="00AE67E1">
        <w:rPr>
          <w:rFonts w:ascii="Book Antiqua" w:eastAsia="Book Antiqua" w:hAnsi="Book Antiqua" w:cs="Book Antiqua"/>
          <w:color w:val="000000"/>
        </w:rPr>
        <w:t>s; Deng</w:t>
      </w:r>
      <w:r w:rsidR="00EC7B0A">
        <w:rPr>
          <w:rFonts w:ascii="Book Antiqua" w:eastAsia="Book Antiqua" w:hAnsi="Book Antiqua" w:cs="Book Antiqua"/>
          <w:color w:val="000000"/>
        </w:rPr>
        <w:t xml:space="preserve"> B</w:t>
      </w:r>
      <w:r w:rsidRPr="00AE67E1">
        <w:rPr>
          <w:rFonts w:ascii="Book Antiqua" w:eastAsia="Book Antiqua" w:hAnsi="Book Antiqua" w:cs="Book Antiqua"/>
          <w:color w:val="000000"/>
        </w:rPr>
        <w:t xml:space="preserve"> provided</w:t>
      </w:r>
      <w:r w:rsidR="00EC7B0A">
        <w:rPr>
          <w:rFonts w:ascii="Book Antiqua" w:eastAsia="Book Antiqua" w:hAnsi="Book Antiqua" w:cs="Book Antiqua"/>
          <w:color w:val="000000"/>
        </w:rPr>
        <w:t xml:space="preserve"> </w:t>
      </w:r>
      <w:r w:rsidRPr="00AE67E1">
        <w:rPr>
          <w:rFonts w:ascii="Book Antiqua" w:eastAsia="Book Antiqua" w:hAnsi="Book Antiqua" w:cs="Book Antiqua"/>
          <w:color w:val="000000"/>
        </w:rPr>
        <w:t>clinical advice and supervised the report.</w:t>
      </w:r>
    </w:p>
    <w:p w14:paraId="6C385593" w14:textId="77777777" w:rsidR="00F07400" w:rsidRPr="00AE67E1" w:rsidRDefault="00F07400" w:rsidP="00AE67E1">
      <w:pPr>
        <w:spacing w:line="360" w:lineRule="auto"/>
        <w:jc w:val="both"/>
        <w:rPr>
          <w:rFonts w:ascii="Book Antiqua" w:hAnsi="Book Antiqua"/>
        </w:rPr>
      </w:pPr>
    </w:p>
    <w:p w14:paraId="4837CEC1"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Supported by </w:t>
      </w:r>
      <w:bookmarkStart w:id="19" w:name="OLE_LINK330"/>
      <w:bookmarkStart w:id="20" w:name="OLE_LINK331"/>
      <w:bookmarkStart w:id="21" w:name="OLE_LINK347"/>
      <w:r w:rsidRPr="00AE67E1">
        <w:rPr>
          <w:rFonts w:ascii="Book Antiqua" w:eastAsia="Book Antiqua" w:hAnsi="Book Antiqua" w:cs="Book Antiqua"/>
          <w:color w:val="000000"/>
        </w:rPr>
        <w:t>National Natural Science Foundation of China</w:t>
      </w:r>
      <w:bookmarkEnd w:id="19"/>
      <w:bookmarkEnd w:id="20"/>
      <w:r w:rsidRPr="00AE67E1">
        <w:rPr>
          <w:rFonts w:ascii="Book Antiqua" w:eastAsia="Book Antiqua" w:hAnsi="Book Antiqua" w:cs="Book Antiqua"/>
          <w:color w:val="000000"/>
        </w:rPr>
        <w:t xml:space="preserve">, No. </w:t>
      </w:r>
      <w:bookmarkStart w:id="22" w:name="OLE_LINK332"/>
      <w:bookmarkStart w:id="23" w:name="OLE_LINK333"/>
      <w:r w:rsidRPr="00AE67E1">
        <w:rPr>
          <w:rFonts w:ascii="Book Antiqua" w:eastAsia="Book Antiqua" w:hAnsi="Book Antiqua" w:cs="Book Antiqua"/>
          <w:color w:val="000000"/>
        </w:rPr>
        <w:t>81572285</w:t>
      </w:r>
      <w:bookmarkEnd w:id="22"/>
      <w:bookmarkEnd w:id="23"/>
      <w:r w:rsidRPr="00AE67E1">
        <w:rPr>
          <w:rFonts w:ascii="Book Antiqua" w:eastAsia="Book Antiqua" w:hAnsi="Book Antiqua" w:cs="Book Antiqua"/>
          <w:color w:val="000000"/>
        </w:rPr>
        <w:t>;</w:t>
      </w:r>
      <w:r w:rsidR="000D5CC8">
        <w:rPr>
          <w:rFonts w:ascii="Book Antiqua" w:eastAsiaTheme="minorEastAsia" w:hAnsi="Book Antiqua" w:hint="eastAsia"/>
          <w:lang w:eastAsia="zh-CN"/>
        </w:rPr>
        <w:t xml:space="preserve"> </w:t>
      </w:r>
      <w:bookmarkStart w:id="24" w:name="OLE_LINK334"/>
      <w:bookmarkStart w:id="25" w:name="OLE_LINK335"/>
      <w:r w:rsidR="00C00707">
        <w:rPr>
          <w:rFonts w:ascii="Book Antiqua" w:eastAsia="Book Antiqua" w:hAnsi="Book Antiqua" w:cs="Book Antiqua"/>
          <w:color w:val="000000"/>
        </w:rPr>
        <w:t>T</w:t>
      </w:r>
      <w:r w:rsidRPr="00AE67E1">
        <w:rPr>
          <w:rFonts w:ascii="Book Antiqua" w:eastAsia="Book Antiqua" w:hAnsi="Book Antiqua" w:cs="Book Antiqua"/>
          <w:color w:val="000000"/>
        </w:rPr>
        <w:t>he Natural Science Foundation of Chongqing City</w:t>
      </w:r>
      <w:bookmarkEnd w:id="24"/>
      <w:bookmarkEnd w:id="25"/>
      <w:r w:rsidRPr="00AE67E1">
        <w:rPr>
          <w:rFonts w:ascii="Book Antiqua" w:eastAsia="Book Antiqua" w:hAnsi="Book Antiqua" w:cs="Book Antiqua"/>
          <w:color w:val="000000"/>
        </w:rPr>
        <w:t>, No.</w:t>
      </w:r>
      <w:r w:rsidR="000D5CC8">
        <w:rPr>
          <w:rFonts w:ascii="Book Antiqua" w:eastAsia="Book Antiqua" w:hAnsi="Book Antiqua" w:cs="Book Antiqua"/>
          <w:color w:val="000000"/>
        </w:rPr>
        <w:t xml:space="preserve"> </w:t>
      </w:r>
      <w:bookmarkStart w:id="26" w:name="OLE_LINK336"/>
      <w:bookmarkStart w:id="27" w:name="OLE_LINK337"/>
      <w:r w:rsidR="000A0F81">
        <w:rPr>
          <w:rFonts w:ascii="Book Antiqua" w:eastAsiaTheme="minorEastAsia" w:hAnsi="Book Antiqua" w:cs="Book Antiqua" w:hint="eastAsia"/>
          <w:color w:val="000000"/>
          <w:lang w:eastAsia="zh-CN"/>
        </w:rPr>
        <w:t>cst</w:t>
      </w:r>
      <w:r w:rsidR="00926BF1">
        <w:rPr>
          <w:rFonts w:ascii="Book Antiqua" w:eastAsiaTheme="minorEastAsia" w:hAnsi="Book Antiqua" w:cs="Book Antiqua" w:hint="eastAsia"/>
          <w:color w:val="000000"/>
          <w:lang w:eastAsia="zh-CN"/>
        </w:rPr>
        <w:t>c</w:t>
      </w:r>
      <w:r w:rsidRPr="00AE67E1">
        <w:rPr>
          <w:rFonts w:ascii="Book Antiqua" w:eastAsia="Book Antiqua" w:hAnsi="Book Antiqua" w:cs="Book Antiqua"/>
          <w:color w:val="000000"/>
        </w:rPr>
        <w:t>2018jcyjAX0592</w:t>
      </w:r>
      <w:bookmarkEnd w:id="26"/>
      <w:bookmarkEnd w:id="27"/>
      <w:r w:rsidRPr="00AE67E1">
        <w:rPr>
          <w:rFonts w:ascii="Book Antiqua" w:eastAsia="Book Antiqua" w:hAnsi="Book Antiqua" w:cs="Book Antiqua"/>
          <w:color w:val="000000"/>
        </w:rPr>
        <w:t>;</w:t>
      </w:r>
      <w:r w:rsidR="000D5CC8">
        <w:rPr>
          <w:rFonts w:ascii="Book Antiqua" w:eastAsiaTheme="minorEastAsia" w:hAnsi="Book Antiqua" w:hint="eastAsia"/>
          <w:lang w:eastAsia="zh-CN"/>
        </w:rPr>
        <w:t xml:space="preserve"> </w:t>
      </w:r>
      <w:bookmarkStart w:id="28" w:name="OLE_LINK338"/>
      <w:bookmarkStart w:id="29" w:name="OLE_LINK339"/>
      <w:r w:rsidR="008A3E28">
        <w:rPr>
          <w:rFonts w:ascii="Book Antiqua" w:eastAsiaTheme="minorEastAsia" w:hAnsi="Book Antiqua" w:hint="eastAsia"/>
          <w:lang w:eastAsia="zh-CN"/>
        </w:rPr>
        <w:t>and</w:t>
      </w:r>
      <w:r w:rsidR="008A3E28">
        <w:rPr>
          <w:rFonts w:ascii="Book Antiqua" w:eastAsiaTheme="minorEastAsia" w:hAnsi="Book Antiqua"/>
          <w:lang w:eastAsia="zh-CN"/>
        </w:rPr>
        <w:t xml:space="preserve"> </w:t>
      </w:r>
      <w:r w:rsidR="00C00707">
        <w:rPr>
          <w:rFonts w:ascii="Book Antiqua" w:eastAsia="Book Antiqua" w:hAnsi="Book Antiqua" w:cs="Book Antiqua"/>
          <w:color w:val="000000"/>
        </w:rPr>
        <w:t>T</w:t>
      </w:r>
      <w:r w:rsidRPr="00AE67E1">
        <w:rPr>
          <w:rFonts w:ascii="Book Antiqua" w:eastAsia="Book Antiqua" w:hAnsi="Book Antiqua" w:cs="Book Antiqua"/>
          <w:color w:val="000000"/>
        </w:rPr>
        <w:t>he Army Medical University Clinical Medical Research Talent Training Program</w:t>
      </w:r>
      <w:bookmarkEnd w:id="28"/>
      <w:bookmarkEnd w:id="29"/>
      <w:r w:rsidRPr="00AE67E1">
        <w:rPr>
          <w:rFonts w:ascii="Book Antiqua" w:eastAsia="Book Antiqua" w:hAnsi="Book Antiqua" w:cs="Book Antiqua"/>
          <w:color w:val="000000"/>
        </w:rPr>
        <w:t xml:space="preserve">, No. </w:t>
      </w:r>
      <w:bookmarkStart w:id="30" w:name="OLE_LINK340"/>
      <w:bookmarkStart w:id="31" w:name="OLE_LINK341"/>
      <w:r w:rsidRPr="00AE67E1">
        <w:rPr>
          <w:rFonts w:ascii="Book Antiqua" w:eastAsia="Book Antiqua" w:hAnsi="Book Antiqua" w:cs="Book Antiqua"/>
          <w:color w:val="000000"/>
        </w:rPr>
        <w:t>2018XLC3062</w:t>
      </w:r>
      <w:bookmarkEnd w:id="30"/>
      <w:bookmarkEnd w:id="31"/>
      <w:r w:rsidRPr="00AE67E1">
        <w:rPr>
          <w:rFonts w:ascii="Book Antiqua" w:eastAsia="Book Antiqua" w:hAnsi="Book Antiqua" w:cs="Book Antiqua"/>
          <w:color w:val="000000"/>
        </w:rPr>
        <w:t>.</w:t>
      </w:r>
    </w:p>
    <w:bookmarkEnd w:id="21"/>
    <w:p w14:paraId="2003A0C0" w14:textId="77777777" w:rsidR="00F07400" w:rsidRPr="00AE67E1" w:rsidRDefault="00F07400" w:rsidP="00AE67E1">
      <w:pPr>
        <w:spacing w:line="360" w:lineRule="auto"/>
        <w:jc w:val="both"/>
        <w:rPr>
          <w:rFonts w:ascii="Book Antiqua" w:hAnsi="Book Antiqua"/>
        </w:rPr>
      </w:pPr>
    </w:p>
    <w:p w14:paraId="463AA909"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Corresponding author: Bo Deng, MD, PhD, Professor, Surgeon, </w:t>
      </w:r>
      <w:bookmarkStart w:id="32" w:name="OLE_LINK324"/>
      <w:bookmarkStart w:id="33" w:name="OLE_LINK325"/>
      <w:r w:rsidR="00586ED6" w:rsidRPr="00AE67E1">
        <w:rPr>
          <w:rFonts w:ascii="Book Antiqua" w:eastAsia="Book Antiqua" w:hAnsi="Book Antiqua" w:cs="Book Antiqua"/>
          <w:color w:val="000000"/>
        </w:rPr>
        <w:t xml:space="preserve">Department of </w:t>
      </w:r>
      <w:r w:rsidRPr="00AE67E1">
        <w:rPr>
          <w:rFonts w:ascii="Book Antiqua" w:eastAsia="Book Antiqua" w:hAnsi="Book Antiqua" w:cs="Book Antiqua"/>
          <w:color w:val="000000"/>
        </w:rPr>
        <w:t>Thoracic Surgery</w:t>
      </w:r>
      <w:bookmarkEnd w:id="32"/>
      <w:bookmarkEnd w:id="33"/>
      <w:r w:rsidRPr="00AE67E1">
        <w:rPr>
          <w:rFonts w:ascii="Book Antiqua" w:eastAsia="Book Antiqua" w:hAnsi="Book Antiqua" w:cs="Book Antiqua"/>
          <w:color w:val="000000"/>
        </w:rPr>
        <w:t xml:space="preserve">, </w:t>
      </w:r>
      <w:bookmarkStart w:id="34" w:name="OLE_LINK326"/>
      <w:bookmarkStart w:id="35" w:name="OLE_LINK327"/>
      <w:r w:rsidRPr="00AE67E1">
        <w:rPr>
          <w:rFonts w:ascii="Book Antiqua" w:eastAsia="Book Antiqua" w:hAnsi="Book Antiqua" w:cs="Book Antiqua"/>
          <w:color w:val="000000"/>
        </w:rPr>
        <w:t xml:space="preserve">Institute of Surgery Research, Daping Hospital, Army Medical </w:t>
      </w:r>
      <w:r w:rsidRPr="00AE67E1">
        <w:rPr>
          <w:rFonts w:ascii="Book Antiqua" w:eastAsia="Book Antiqua" w:hAnsi="Book Antiqua" w:cs="Book Antiqua"/>
          <w:color w:val="000000"/>
        </w:rPr>
        <w:lastRenderedPageBreak/>
        <w:t>University</w:t>
      </w:r>
      <w:bookmarkEnd w:id="34"/>
      <w:bookmarkEnd w:id="35"/>
      <w:r w:rsidRPr="00AE67E1">
        <w:rPr>
          <w:rFonts w:ascii="Book Antiqua" w:eastAsia="Book Antiqua" w:hAnsi="Book Antiqua" w:cs="Book Antiqua"/>
          <w:color w:val="000000"/>
        </w:rPr>
        <w:t xml:space="preserve">, </w:t>
      </w:r>
      <w:bookmarkStart w:id="36" w:name="OLE_LINK328"/>
      <w:bookmarkStart w:id="37" w:name="OLE_LINK329"/>
      <w:r w:rsidR="0053469A">
        <w:rPr>
          <w:rFonts w:ascii="Book Antiqua" w:eastAsia="Book Antiqua" w:hAnsi="Book Antiqua" w:cs="Book Antiqua"/>
          <w:color w:val="000000"/>
        </w:rPr>
        <w:t xml:space="preserve">No. </w:t>
      </w:r>
      <w:r w:rsidR="0053469A" w:rsidRPr="00AE67E1">
        <w:rPr>
          <w:rFonts w:ascii="Book Antiqua" w:eastAsia="Book Antiqua" w:hAnsi="Book Antiqua" w:cs="Book Antiqua"/>
          <w:color w:val="000000"/>
        </w:rPr>
        <w:t>10</w:t>
      </w:r>
      <w:r w:rsidR="0053469A">
        <w:rPr>
          <w:rFonts w:ascii="Book Antiqua" w:eastAsia="Book Antiqua" w:hAnsi="Book Antiqua" w:cs="Book Antiqua"/>
          <w:color w:val="000000"/>
        </w:rPr>
        <w:t xml:space="preserve"> </w:t>
      </w:r>
      <w:r w:rsidRPr="00AE67E1">
        <w:rPr>
          <w:rFonts w:ascii="Book Antiqua" w:eastAsia="Book Antiqua" w:hAnsi="Book Antiqua" w:cs="Book Antiqua"/>
          <w:color w:val="000000"/>
        </w:rPr>
        <w:t>Changjiang Branch St</w:t>
      </w:r>
      <w:r w:rsidR="00CF7C56">
        <w:rPr>
          <w:rFonts w:ascii="Book Antiqua" w:eastAsia="Book Antiqua" w:hAnsi="Book Antiqua" w:cs="Book Antiqua"/>
          <w:color w:val="000000"/>
        </w:rPr>
        <w:t>reet</w:t>
      </w:r>
      <w:r w:rsidRPr="00AE67E1">
        <w:rPr>
          <w:rFonts w:ascii="Book Antiqua" w:eastAsia="Book Antiqua" w:hAnsi="Book Antiqua" w:cs="Book Antiqua"/>
          <w:color w:val="000000"/>
        </w:rPr>
        <w:t>, Yuzhong District</w:t>
      </w:r>
      <w:bookmarkEnd w:id="36"/>
      <w:bookmarkEnd w:id="37"/>
      <w:r w:rsidRPr="00AE67E1">
        <w:rPr>
          <w:rFonts w:ascii="Book Antiqua" w:eastAsia="Book Antiqua" w:hAnsi="Book Antiqua" w:cs="Book Antiqua"/>
          <w:color w:val="000000"/>
        </w:rPr>
        <w:t xml:space="preserve">, Chongqing 400042, China. </w:t>
      </w:r>
      <w:bookmarkStart w:id="38" w:name="OLE_LINK323"/>
      <w:r w:rsidRPr="00AE67E1">
        <w:rPr>
          <w:rFonts w:ascii="Book Antiqua" w:eastAsia="Book Antiqua" w:hAnsi="Book Antiqua" w:cs="Book Antiqua"/>
          <w:color w:val="000000"/>
        </w:rPr>
        <w:t>dengbo@tmmu.edu.cn</w:t>
      </w:r>
      <w:bookmarkEnd w:id="38"/>
    </w:p>
    <w:p w14:paraId="53739C74" w14:textId="77777777" w:rsidR="00F07400" w:rsidRPr="00AE67E1" w:rsidRDefault="00F07400" w:rsidP="00AE67E1">
      <w:pPr>
        <w:spacing w:line="360" w:lineRule="auto"/>
        <w:jc w:val="both"/>
        <w:rPr>
          <w:rFonts w:ascii="Book Antiqua" w:hAnsi="Book Antiqua"/>
        </w:rPr>
      </w:pPr>
    </w:p>
    <w:p w14:paraId="1545F459"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Received: </w:t>
      </w:r>
      <w:r w:rsidRPr="00AE67E1">
        <w:rPr>
          <w:rFonts w:ascii="Book Antiqua" w:eastAsia="Book Antiqua" w:hAnsi="Book Antiqua" w:cs="Book Antiqua"/>
          <w:color w:val="000000"/>
        </w:rPr>
        <w:t>November 20, 2020</w:t>
      </w:r>
    </w:p>
    <w:p w14:paraId="37BBA484"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Revised: </w:t>
      </w:r>
      <w:r w:rsidR="000B72AF">
        <w:rPr>
          <w:rFonts w:ascii="Book Antiqua" w:eastAsia="Book Antiqua" w:hAnsi="Book Antiqua" w:cs="Book Antiqua"/>
          <w:color w:val="000000"/>
        </w:rPr>
        <w:t>February 19, 2021</w:t>
      </w:r>
    </w:p>
    <w:p w14:paraId="34A33FE9"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Accepted: </w:t>
      </w:r>
      <w:r w:rsidR="00ED172A" w:rsidRPr="00ED172A">
        <w:rPr>
          <w:rFonts w:ascii="Book Antiqua" w:eastAsia="Book Antiqua" w:hAnsi="Book Antiqua" w:cs="Book Antiqua"/>
          <w:color w:val="000000"/>
        </w:rPr>
        <w:t>March 4, 2021</w:t>
      </w:r>
    </w:p>
    <w:p w14:paraId="75D78CF5"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Published online: </w:t>
      </w:r>
    </w:p>
    <w:p w14:paraId="69477F7F" w14:textId="77777777" w:rsidR="00F07400" w:rsidRPr="00AE67E1" w:rsidRDefault="00F07400" w:rsidP="00AE67E1">
      <w:pPr>
        <w:spacing w:line="360" w:lineRule="auto"/>
        <w:jc w:val="both"/>
        <w:rPr>
          <w:rFonts w:ascii="Book Antiqua" w:hAnsi="Book Antiqua"/>
        </w:rPr>
        <w:sectPr w:rsidR="00F07400" w:rsidRPr="00AE67E1">
          <w:footerReference w:type="default" r:id="rId7"/>
          <w:pgSz w:w="12240" w:h="15840"/>
          <w:pgMar w:top="1440" w:right="1440" w:bottom="1440" w:left="1440" w:header="720" w:footer="720" w:gutter="0"/>
          <w:cols w:space="720"/>
          <w:docGrid w:linePitch="360"/>
        </w:sectPr>
      </w:pPr>
    </w:p>
    <w:p w14:paraId="76F32BEF"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lastRenderedPageBreak/>
        <w:t>Abstract</w:t>
      </w:r>
    </w:p>
    <w:p w14:paraId="69E9793E"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BACKGROUND</w:t>
      </w:r>
    </w:p>
    <w:p w14:paraId="3CDD1E75" w14:textId="77777777" w:rsidR="00F07400" w:rsidRPr="00AE67E1" w:rsidRDefault="00C430B4" w:rsidP="00AE67E1">
      <w:pPr>
        <w:spacing w:line="360" w:lineRule="auto"/>
        <w:jc w:val="both"/>
        <w:rPr>
          <w:rFonts w:ascii="Book Antiqua" w:hAnsi="Book Antiqua"/>
        </w:rPr>
      </w:pPr>
      <w:bookmarkStart w:id="39" w:name="OLE_LINK350"/>
      <w:bookmarkStart w:id="40" w:name="OLE_LINK351"/>
      <w:r w:rsidRPr="00AE67E1">
        <w:rPr>
          <w:rFonts w:ascii="Book Antiqua" w:eastAsia="Book Antiqua" w:hAnsi="Book Antiqua" w:cs="Book Antiqua"/>
          <w:color w:val="000000"/>
        </w:rPr>
        <w:t>Circulating tumor cells (CTCs)</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can be clustered into three subtypes according to epithelial-mesenchymal transition (EMT) markers:</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CTCs with epithelial markers (E-CTCs), </w:t>
      </w:r>
      <w:r w:rsidRPr="00081B95">
        <w:rPr>
          <w:rFonts w:ascii="Book Antiqua" w:eastAsia="Book Antiqua" w:hAnsi="Book Antiqua" w:cs="Book Antiqua"/>
          <w:color w:val="000000"/>
        </w:rPr>
        <w:t>CTCs with mesenchymal markers (M-CTCs)</w:t>
      </w:r>
      <w:r w:rsidRPr="00AE67E1">
        <w:rPr>
          <w:rFonts w:ascii="Book Antiqua" w:eastAsia="Book Antiqua" w:hAnsi="Book Antiqua" w:cs="Book Antiqua"/>
          <w:color w:val="000000"/>
        </w:rPr>
        <w:t xml:space="preserve">, and CTCs with both markers (E&amp;M-CTCs). CTC detection has clinical implications in the diagnosis of lung cancer (LC). </w:t>
      </w:r>
    </w:p>
    <w:bookmarkEnd w:id="39"/>
    <w:bookmarkEnd w:id="40"/>
    <w:p w14:paraId="09E64DAB" w14:textId="77777777" w:rsidR="00F07400" w:rsidRPr="00AE67E1" w:rsidRDefault="00F07400" w:rsidP="00AE67E1">
      <w:pPr>
        <w:spacing w:line="360" w:lineRule="auto"/>
        <w:jc w:val="both"/>
        <w:rPr>
          <w:rFonts w:ascii="Book Antiqua" w:hAnsi="Book Antiqua"/>
        </w:rPr>
      </w:pPr>
    </w:p>
    <w:p w14:paraId="633E4075"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AIM</w:t>
      </w:r>
    </w:p>
    <w:p w14:paraId="663BB034"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To clarify the diagnostic value of CTCs categorized by</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EMT markers in LC.</w:t>
      </w:r>
    </w:p>
    <w:p w14:paraId="1AE3A3B8" w14:textId="77777777" w:rsidR="00F07400" w:rsidRPr="00AE67E1" w:rsidRDefault="00F07400" w:rsidP="00AE67E1">
      <w:pPr>
        <w:spacing w:line="360" w:lineRule="auto"/>
        <w:jc w:val="both"/>
        <w:rPr>
          <w:rFonts w:ascii="Book Antiqua" w:hAnsi="Book Antiqua"/>
        </w:rPr>
      </w:pPr>
    </w:p>
    <w:p w14:paraId="2A0C81BE"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METHODS</w:t>
      </w:r>
    </w:p>
    <w:p w14:paraId="3CDA1CD5" w14:textId="77777777" w:rsidR="00F07400" w:rsidRPr="00AE67E1" w:rsidRDefault="00C430B4" w:rsidP="00AE67E1">
      <w:pPr>
        <w:spacing w:line="360" w:lineRule="auto"/>
        <w:jc w:val="both"/>
        <w:rPr>
          <w:rFonts w:ascii="Book Antiqua" w:hAnsi="Book Antiqua"/>
        </w:rPr>
      </w:pPr>
      <w:bookmarkStart w:id="41" w:name="OLE_LINK352"/>
      <w:bookmarkStart w:id="42" w:name="OLE_LINK353"/>
      <w:r w:rsidRPr="00AE67E1">
        <w:rPr>
          <w:rFonts w:ascii="Book Antiqua" w:eastAsia="Book Antiqua" w:hAnsi="Book Antiqua" w:cs="Book Antiqua"/>
          <w:color w:val="000000"/>
        </w:rPr>
        <w:t>The study included 106 patients with lung adenocarcinoma, including 42 ground-glass opacities</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(GGO) and 64 solid lesions, who underwent surgery between July 2015 and December 2019. Eleven patients with benign tumors and </w:t>
      </w:r>
      <w:r w:rsidR="009A35B4">
        <w:rPr>
          <w:rFonts w:ascii="Book Antiqua" w:eastAsia="Book Antiqua" w:hAnsi="Book Antiqua" w:cs="Book Antiqua"/>
          <w:color w:val="000000"/>
        </w:rPr>
        <w:t>seventeen</w:t>
      </w:r>
      <w:r w:rsidRPr="00AE67E1">
        <w:rPr>
          <w:rFonts w:ascii="Book Antiqua" w:eastAsia="Book Antiqua" w:hAnsi="Book Antiqua" w:cs="Book Antiqua"/>
          <w:color w:val="000000"/>
        </w:rPr>
        <w:t xml:space="preserve"> healthy controls were included. CTCs in peripheral blood and associated EMT markers were detected preoperatively using the CanPatrol</w:t>
      </w:r>
      <w:r w:rsidRPr="00AE67E1">
        <w:rPr>
          <w:rFonts w:ascii="Book Antiqua" w:eastAsia="Book Antiqua" w:hAnsi="Book Antiqua" w:cs="Book Antiqua"/>
          <w:color w:val="000000"/>
          <w:vertAlign w:val="superscript"/>
        </w:rPr>
        <w:t>TM</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technique. The diagnostic power of CTCs for discriminating LC cases from controls was analyzed by </w:t>
      </w:r>
      <w:r w:rsidR="009A35B4">
        <w:rPr>
          <w:rFonts w:ascii="Book Antiqua" w:eastAsia="Book Antiqua" w:hAnsi="Book Antiqua" w:cs="Book Antiqua"/>
          <w:color w:val="000000"/>
        </w:rPr>
        <w:t xml:space="preserve">the </w:t>
      </w:r>
      <w:r w:rsidRPr="00AE67E1">
        <w:rPr>
          <w:rFonts w:ascii="Book Antiqua" w:eastAsia="Book Antiqua" w:hAnsi="Book Antiqua" w:cs="Book Antiqua"/>
          <w:color w:val="000000"/>
        </w:rPr>
        <w:t>receiver operating characteristic (ROC)</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curve. The CytoploRare technique was used in 20 cases and 18 controls for validation, and Kappa values were calculated to evaluate consistency between techniques.</w:t>
      </w:r>
    </w:p>
    <w:bookmarkEnd w:id="41"/>
    <w:bookmarkEnd w:id="42"/>
    <w:p w14:paraId="1690E3CF" w14:textId="77777777" w:rsidR="00F07400" w:rsidRPr="00AE67E1" w:rsidRDefault="00F07400" w:rsidP="00AE67E1">
      <w:pPr>
        <w:spacing w:line="360" w:lineRule="auto"/>
        <w:jc w:val="both"/>
        <w:rPr>
          <w:rFonts w:ascii="Book Antiqua" w:hAnsi="Book Antiqua"/>
        </w:rPr>
      </w:pPr>
    </w:p>
    <w:p w14:paraId="4F803A2A"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RESULTS</w:t>
      </w:r>
    </w:p>
    <w:p w14:paraId="05443F6B"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Of </w:t>
      </w:r>
      <w:r w:rsidR="009A35B4">
        <w:rPr>
          <w:rFonts w:ascii="Book Antiqua" w:eastAsia="Book Antiqua" w:hAnsi="Book Antiqua" w:cs="Book Antiqua"/>
          <w:color w:val="000000"/>
        </w:rPr>
        <w:t xml:space="preserve">the </w:t>
      </w:r>
      <w:r w:rsidRPr="00AE67E1">
        <w:rPr>
          <w:rFonts w:ascii="Book Antiqua" w:eastAsia="Book Antiqua" w:hAnsi="Book Antiqua" w:cs="Book Antiqua"/>
          <w:color w:val="000000"/>
        </w:rPr>
        <w:t>106 LC cases, 94 (89.6%) had at least one CTC.</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CTCs were detectable in 35 (83.3%) of 42 GGO cases. Total CTCs and E&amp;M-CTCs were significantly more frequent in LC cases than in benign or healthy controls. The proportion of M-CTCs plus E&amp;M-CTCs increased gradually from healthy controls, to</w:t>
      </w:r>
      <w:r w:rsidR="00503E3B">
        <w:rPr>
          <w:rFonts w:ascii="Book Antiqua" w:eastAsiaTheme="minorEastAsia" w:hAnsi="Book Antiqua" w:hint="eastAsia"/>
          <w:lang w:eastAsia="zh-CN"/>
        </w:rPr>
        <w:t xml:space="preserve"> </w:t>
      </w:r>
      <w:r w:rsidRPr="00AE67E1">
        <w:rPr>
          <w:rFonts w:ascii="Book Antiqua" w:eastAsia="Book Antiqua" w:hAnsi="Book Antiqua" w:cs="Book Antiqua"/>
          <w:color w:val="000000"/>
        </w:rPr>
        <w:t>benign controls, to LC cases. The area under the ROC curve of total CTCs and E&amp;M-CTCs was &gt;</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0.8 and &gt;</w:t>
      </w:r>
      <w:r w:rsidR="00503E3B">
        <w:rPr>
          <w:rFonts w:ascii="Book Antiqua" w:eastAsia="Book Antiqua" w:hAnsi="Book Antiqua" w:cs="Book Antiqua"/>
          <w:color w:val="000000"/>
        </w:rPr>
        <w:t xml:space="preserve"> 1</w:t>
      </w:r>
      <w:r w:rsidRPr="00AE67E1">
        <w:rPr>
          <w:rFonts w:ascii="Book Antiqua" w:eastAsia="Book Antiqua" w:hAnsi="Book Antiqua" w:cs="Book Antiqua"/>
          <w:color w:val="000000"/>
        </w:rPr>
        <w:t xml:space="preserve">0.75, respectively. The combined sensitivity of total-CTCs and E&amp;M-CTCs was 85.85% for LC </w:t>
      </w:r>
      <w:r w:rsidRPr="00AE67E1">
        <w:rPr>
          <w:rFonts w:ascii="Book Antiqua" w:eastAsia="Book Antiqua" w:hAnsi="Book Antiqua" w:cs="Book Antiqua"/>
          <w:color w:val="000000"/>
        </w:rPr>
        <w:lastRenderedPageBreak/>
        <w:t>patients (80.95% for GGO patients) and the specificity was 78.57%. The Kappa value was 0.415, indicating relative consistency between CanPatrol</w:t>
      </w:r>
      <w:r w:rsidRPr="00AE67E1">
        <w:rPr>
          <w:rFonts w:ascii="Book Antiqua" w:eastAsia="Book Antiqua" w:hAnsi="Book Antiqua" w:cs="Book Antiqua"/>
          <w:color w:val="000000"/>
          <w:vertAlign w:val="superscript"/>
        </w:rPr>
        <w:t>TM</w:t>
      </w:r>
      <w:r w:rsidR="00503E3B">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and CytoploRare. </w:t>
      </w:r>
    </w:p>
    <w:p w14:paraId="26419D67" w14:textId="77777777" w:rsidR="00F07400" w:rsidRPr="00AE67E1" w:rsidRDefault="00F07400" w:rsidP="00AE67E1">
      <w:pPr>
        <w:spacing w:line="360" w:lineRule="auto"/>
        <w:jc w:val="both"/>
        <w:rPr>
          <w:rFonts w:ascii="Book Antiqua" w:hAnsi="Book Antiqua"/>
        </w:rPr>
      </w:pPr>
    </w:p>
    <w:p w14:paraId="3E402E5E"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CONCLUSION</w:t>
      </w:r>
    </w:p>
    <w:p w14:paraId="3F3F9D99" w14:textId="77777777" w:rsidR="00F07400" w:rsidRPr="00AE67E1" w:rsidRDefault="00C430B4" w:rsidP="00AE67E1">
      <w:pPr>
        <w:spacing w:line="360" w:lineRule="auto"/>
        <w:jc w:val="both"/>
        <w:rPr>
          <w:rFonts w:ascii="Book Antiqua" w:hAnsi="Book Antiqua"/>
        </w:rPr>
      </w:pPr>
      <w:bookmarkStart w:id="43" w:name="OLE_LINK354"/>
      <w:bookmarkStart w:id="44" w:name="OLE_LINK355"/>
      <w:r w:rsidRPr="00AE67E1">
        <w:rPr>
          <w:rFonts w:ascii="Book Antiqua" w:eastAsia="Book Antiqua" w:hAnsi="Book Antiqua" w:cs="Book Antiqua"/>
          <w:color w:val="000000"/>
        </w:rPr>
        <w:t>CTC detection is valuable for distinguishing LC from controls, and particularly E&amp;M-CTC detection warrants further study.</w:t>
      </w:r>
    </w:p>
    <w:bookmarkEnd w:id="43"/>
    <w:bookmarkEnd w:id="44"/>
    <w:p w14:paraId="068DBB12" w14:textId="77777777" w:rsidR="00F07400" w:rsidRPr="00AE67E1" w:rsidRDefault="00F07400" w:rsidP="00AE67E1">
      <w:pPr>
        <w:spacing w:line="360" w:lineRule="auto"/>
        <w:jc w:val="both"/>
        <w:rPr>
          <w:rFonts w:ascii="Book Antiqua" w:hAnsi="Book Antiqua"/>
        </w:rPr>
      </w:pPr>
    </w:p>
    <w:p w14:paraId="064E55C5"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Key Words: </w:t>
      </w:r>
      <w:bookmarkStart w:id="45" w:name="OLE_LINK348"/>
      <w:bookmarkStart w:id="46" w:name="OLE_LINK349"/>
      <w:r w:rsidR="0046119A">
        <w:rPr>
          <w:rFonts w:ascii="Book Antiqua" w:eastAsia="Book Antiqua" w:hAnsi="Book Antiqua" w:cs="Book Antiqua"/>
          <w:color w:val="000000"/>
        </w:rPr>
        <w:t>C</w:t>
      </w:r>
      <w:r w:rsidRPr="00AE67E1">
        <w:rPr>
          <w:rFonts w:ascii="Book Antiqua" w:eastAsia="Book Antiqua" w:hAnsi="Book Antiqua" w:cs="Book Antiqua"/>
          <w:color w:val="000000"/>
        </w:rPr>
        <w:t xml:space="preserve">irculating tumor cells; </w:t>
      </w:r>
      <w:r w:rsidR="0046119A">
        <w:rPr>
          <w:rFonts w:ascii="Book Antiqua" w:eastAsia="Book Antiqua" w:hAnsi="Book Antiqua" w:cs="Book Antiqua"/>
          <w:color w:val="000000"/>
        </w:rPr>
        <w:t>E</w:t>
      </w:r>
      <w:r w:rsidRPr="00AE67E1">
        <w:rPr>
          <w:rFonts w:ascii="Book Antiqua" w:eastAsia="Book Antiqua" w:hAnsi="Book Antiqua" w:cs="Book Antiqua"/>
          <w:color w:val="000000"/>
        </w:rPr>
        <w:t xml:space="preserve">pithelial-to-mesenchymal transition; </w:t>
      </w:r>
      <w:r w:rsidR="0046119A">
        <w:rPr>
          <w:rFonts w:ascii="Book Antiqua" w:eastAsia="Book Antiqua" w:hAnsi="Book Antiqua" w:cs="Book Antiqua"/>
          <w:color w:val="000000"/>
        </w:rPr>
        <w:t>D</w:t>
      </w:r>
      <w:r w:rsidRPr="00AE67E1">
        <w:rPr>
          <w:rFonts w:ascii="Book Antiqua" w:eastAsia="Book Antiqua" w:hAnsi="Book Antiqua" w:cs="Book Antiqua"/>
          <w:color w:val="000000"/>
        </w:rPr>
        <w:t xml:space="preserve">iagnosis; </w:t>
      </w:r>
      <w:r w:rsidR="0046119A">
        <w:rPr>
          <w:rFonts w:ascii="Book Antiqua" w:eastAsia="Book Antiqua" w:hAnsi="Book Antiqua" w:cs="Book Antiqua"/>
          <w:color w:val="000000"/>
        </w:rPr>
        <w:t>L</w:t>
      </w:r>
      <w:r w:rsidRPr="00AE67E1">
        <w:rPr>
          <w:rFonts w:ascii="Book Antiqua" w:eastAsia="Book Antiqua" w:hAnsi="Book Antiqua" w:cs="Book Antiqua"/>
          <w:color w:val="000000"/>
        </w:rPr>
        <w:t xml:space="preserve">ung cancer; </w:t>
      </w:r>
      <w:r w:rsidR="0046119A">
        <w:rPr>
          <w:rFonts w:ascii="Book Antiqua" w:eastAsia="Book Antiqua" w:hAnsi="Book Antiqua" w:cs="Book Antiqua"/>
          <w:color w:val="000000"/>
        </w:rPr>
        <w:t>G</w:t>
      </w:r>
      <w:r w:rsidRPr="00AE67E1">
        <w:rPr>
          <w:rFonts w:ascii="Book Antiqua" w:eastAsia="Book Antiqua" w:hAnsi="Book Antiqua" w:cs="Book Antiqua"/>
          <w:color w:val="000000"/>
        </w:rPr>
        <w:t>round-glass opacities; CanPatrol</w:t>
      </w:r>
    </w:p>
    <w:bookmarkEnd w:id="45"/>
    <w:bookmarkEnd w:id="46"/>
    <w:p w14:paraId="063D0AD6" w14:textId="77777777" w:rsidR="00F07400" w:rsidRPr="00AE67E1" w:rsidRDefault="00F07400" w:rsidP="00AE67E1">
      <w:pPr>
        <w:spacing w:line="360" w:lineRule="auto"/>
        <w:jc w:val="both"/>
        <w:rPr>
          <w:rFonts w:ascii="Book Antiqua" w:hAnsi="Book Antiqua"/>
        </w:rPr>
      </w:pPr>
    </w:p>
    <w:p w14:paraId="6ED563EB" w14:textId="77777777" w:rsidR="00F07400" w:rsidRPr="00AE67E1" w:rsidRDefault="00C430B4" w:rsidP="00AE67E1">
      <w:pPr>
        <w:spacing w:line="360" w:lineRule="auto"/>
        <w:jc w:val="both"/>
        <w:rPr>
          <w:rFonts w:ascii="Book Antiqua" w:hAnsi="Book Antiqua"/>
        </w:rPr>
      </w:pPr>
      <w:bookmarkStart w:id="47" w:name="OLE_LINK342"/>
      <w:bookmarkStart w:id="48" w:name="OLE_LINK343"/>
      <w:r w:rsidRPr="00AE67E1">
        <w:rPr>
          <w:rFonts w:ascii="Book Antiqua" w:eastAsia="Book Antiqua" w:hAnsi="Book Antiqua" w:cs="Book Antiqua"/>
          <w:color w:val="000000"/>
        </w:rPr>
        <w:t>Jiang SS, Mao CG, Feng YG, Jiang B, Tao SL, Tan QY, Deng B. Circulating tumor cells with epithelial-mesenchymal transition markers as potential biomarker</w:t>
      </w:r>
      <w:r w:rsidR="009A35B4">
        <w:rPr>
          <w:rFonts w:ascii="Book Antiqua" w:eastAsia="Book Antiqua" w:hAnsi="Book Antiqua" w:cs="Book Antiqua"/>
          <w:color w:val="000000"/>
        </w:rPr>
        <w:t>s</w:t>
      </w:r>
      <w:r w:rsidRPr="00AE67E1">
        <w:rPr>
          <w:rFonts w:ascii="Book Antiqua" w:eastAsia="Book Antiqua" w:hAnsi="Book Antiqua" w:cs="Book Antiqua"/>
          <w:color w:val="000000"/>
        </w:rPr>
        <w:t xml:space="preserve"> for the diagnosis of lung cancer. </w:t>
      </w:r>
      <w:r w:rsidRPr="00AE67E1">
        <w:rPr>
          <w:rFonts w:ascii="Book Antiqua" w:eastAsia="Book Antiqua" w:hAnsi="Book Antiqua" w:cs="Book Antiqua"/>
          <w:i/>
          <w:iCs/>
          <w:color w:val="000000"/>
        </w:rPr>
        <w:t>World J Clin Cases</w:t>
      </w:r>
      <w:r w:rsidRPr="00AE67E1">
        <w:rPr>
          <w:rFonts w:ascii="Book Antiqua" w:eastAsia="Book Antiqua" w:hAnsi="Book Antiqua" w:cs="Book Antiqua"/>
          <w:color w:val="000000"/>
        </w:rPr>
        <w:t xml:space="preserve"> 2021; In press</w:t>
      </w:r>
    </w:p>
    <w:bookmarkEnd w:id="47"/>
    <w:bookmarkEnd w:id="48"/>
    <w:p w14:paraId="0B6726B6" w14:textId="77777777" w:rsidR="00352EEF" w:rsidRDefault="00352EEF" w:rsidP="00AE67E1">
      <w:pPr>
        <w:spacing w:line="360" w:lineRule="auto"/>
        <w:jc w:val="both"/>
        <w:rPr>
          <w:rFonts w:ascii="Book Antiqua" w:eastAsia="Book Antiqua" w:hAnsi="Book Antiqua" w:cs="Book Antiqua"/>
          <w:color w:val="000000"/>
        </w:rPr>
      </w:pPr>
    </w:p>
    <w:p w14:paraId="0F44BCCE"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Core Tip: </w:t>
      </w:r>
      <w:bookmarkStart w:id="49" w:name="OLE_LINK344"/>
      <w:bookmarkStart w:id="50" w:name="OLE_LINK345"/>
      <w:r w:rsidR="00352EEF" w:rsidRPr="00AE67E1">
        <w:rPr>
          <w:rFonts w:ascii="Book Antiqua" w:eastAsia="Book Antiqua" w:hAnsi="Book Antiqua" w:cs="Book Antiqua"/>
          <w:color w:val="000000"/>
        </w:rPr>
        <w:t xml:space="preserve">Circulating </w:t>
      </w:r>
      <w:r w:rsidR="00352EEF">
        <w:rPr>
          <w:rFonts w:ascii="Book Antiqua" w:eastAsia="Book Antiqua" w:hAnsi="Book Antiqua" w:cs="Book Antiqua"/>
          <w:color w:val="000000"/>
        </w:rPr>
        <w:t>t</w:t>
      </w:r>
      <w:r w:rsidR="00352EEF" w:rsidRPr="00AE67E1">
        <w:rPr>
          <w:rFonts w:ascii="Book Antiqua" w:eastAsia="Book Antiqua" w:hAnsi="Book Antiqua" w:cs="Book Antiqua"/>
          <w:color w:val="000000"/>
        </w:rPr>
        <w:t xml:space="preserve">umor </w:t>
      </w:r>
      <w:r w:rsidR="00352EEF">
        <w:rPr>
          <w:rFonts w:ascii="Book Antiqua" w:eastAsia="Book Antiqua" w:hAnsi="Book Antiqua" w:cs="Book Antiqua"/>
          <w:color w:val="000000"/>
        </w:rPr>
        <w:t>c</w:t>
      </w:r>
      <w:r w:rsidR="00352EEF" w:rsidRPr="00AE67E1">
        <w:rPr>
          <w:rFonts w:ascii="Book Antiqua" w:eastAsia="Book Antiqua" w:hAnsi="Book Antiqua" w:cs="Book Antiqua"/>
          <w:color w:val="000000"/>
        </w:rPr>
        <w:t>ells (CTCs)</w:t>
      </w:r>
      <w:r w:rsidR="00800E87" w:rsidRPr="00AE67E1">
        <w:rPr>
          <w:rFonts w:ascii="Book Antiqua" w:eastAsia="Book Antiqua" w:hAnsi="Book Antiqua" w:cs="Book Antiqua"/>
          <w:color w:val="000000"/>
        </w:rPr>
        <w:t xml:space="preserve"> with epithelial markers (E-CTCs), CTCs with mesenchymal markers (M-CTCs), and CTCs with both markers (E&amp;M-CTCs)</w:t>
      </w:r>
      <w:r w:rsidRPr="00AE67E1">
        <w:rPr>
          <w:rFonts w:ascii="Book Antiqua" w:eastAsia="Book Antiqua" w:hAnsi="Book Antiqua" w:cs="Book Antiqua"/>
          <w:color w:val="000000"/>
        </w:rPr>
        <w:t xml:space="preserve"> </w:t>
      </w:r>
      <w:r w:rsidR="009A35B4">
        <w:rPr>
          <w:rFonts w:ascii="Book Antiqua" w:eastAsia="Book Antiqua" w:hAnsi="Book Antiqua" w:cs="Book Antiqua"/>
          <w:color w:val="000000"/>
        </w:rPr>
        <w:t xml:space="preserve">are three subtypes of </w:t>
      </w:r>
      <w:r w:rsidRPr="00AE67E1">
        <w:rPr>
          <w:rFonts w:ascii="Book Antiqua" w:eastAsia="Book Antiqua" w:hAnsi="Book Antiqua" w:cs="Book Antiqua"/>
          <w:color w:val="000000"/>
        </w:rPr>
        <w:t>CTCs. Detection of E&amp;M-CTCs ha</w:t>
      </w:r>
      <w:r w:rsidR="00AF3168">
        <w:rPr>
          <w:rFonts w:ascii="Book Antiqua" w:eastAsia="Book Antiqua" w:hAnsi="Book Antiqua" w:cs="Book Antiqua"/>
          <w:color w:val="000000"/>
        </w:rPr>
        <w:t>ve</w:t>
      </w:r>
      <w:r w:rsidRPr="00AE67E1">
        <w:rPr>
          <w:rFonts w:ascii="Book Antiqua" w:eastAsia="Book Antiqua" w:hAnsi="Book Antiqua" w:cs="Book Antiqua"/>
          <w:color w:val="000000"/>
        </w:rPr>
        <w:t xml:space="preserve"> good diagnostic value </w:t>
      </w:r>
      <w:r w:rsidR="00AF3168">
        <w:rPr>
          <w:rFonts w:ascii="Book Antiqua" w:eastAsia="Book Antiqua" w:hAnsi="Book Antiqua" w:cs="Book Antiqua"/>
          <w:color w:val="000000"/>
        </w:rPr>
        <w:t>for</w:t>
      </w:r>
      <w:r w:rsidRPr="00AE67E1">
        <w:rPr>
          <w:rFonts w:ascii="Book Antiqua" w:eastAsia="Book Antiqua" w:hAnsi="Book Antiqua" w:cs="Book Antiqua"/>
          <w:color w:val="000000"/>
        </w:rPr>
        <w:t xml:space="preserve"> distinguishing </w:t>
      </w:r>
      <w:r w:rsidR="0051415B" w:rsidRPr="00AE67E1">
        <w:rPr>
          <w:rFonts w:ascii="Book Antiqua" w:eastAsia="Book Antiqua" w:hAnsi="Book Antiqua" w:cs="Book Antiqua"/>
          <w:color w:val="000000"/>
        </w:rPr>
        <w:t>lung cancer</w:t>
      </w:r>
      <w:r w:rsidRPr="00AE67E1">
        <w:rPr>
          <w:rFonts w:ascii="Book Antiqua" w:eastAsia="Book Antiqua" w:hAnsi="Book Antiqua" w:cs="Book Antiqua"/>
          <w:color w:val="000000"/>
        </w:rPr>
        <w:t xml:space="preserve"> from controls.</w:t>
      </w:r>
    </w:p>
    <w:bookmarkEnd w:id="49"/>
    <w:bookmarkEnd w:id="50"/>
    <w:p w14:paraId="5B0BF683" w14:textId="77777777" w:rsidR="00F07400" w:rsidRPr="00AE67E1" w:rsidRDefault="00F07400" w:rsidP="00AE67E1">
      <w:pPr>
        <w:spacing w:line="360" w:lineRule="auto"/>
        <w:jc w:val="both"/>
        <w:rPr>
          <w:rFonts w:ascii="Book Antiqua" w:hAnsi="Book Antiqua"/>
        </w:rPr>
      </w:pPr>
    </w:p>
    <w:p w14:paraId="74FCEAF6" w14:textId="77777777" w:rsidR="00F07400" w:rsidRPr="00AE67E1" w:rsidRDefault="00EC0BF5" w:rsidP="00AE67E1">
      <w:pPr>
        <w:spacing w:line="360" w:lineRule="auto"/>
        <w:jc w:val="both"/>
        <w:rPr>
          <w:rFonts w:ascii="Book Antiqua" w:hAnsi="Book Antiqua"/>
        </w:rPr>
      </w:pPr>
      <w:r>
        <w:rPr>
          <w:rFonts w:ascii="Book Antiqua" w:eastAsia="Book Antiqua" w:hAnsi="Book Antiqua" w:cs="Book Antiqua"/>
          <w:b/>
          <w:caps/>
          <w:color w:val="000000"/>
          <w:u w:val="single"/>
        </w:rPr>
        <w:br w:type="page"/>
      </w:r>
      <w:r w:rsidR="00C430B4" w:rsidRPr="00AE67E1">
        <w:rPr>
          <w:rFonts w:ascii="Book Antiqua" w:eastAsia="Book Antiqua" w:hAnsi="Book Antiqua" w:cs="Book Antiqua"/>
          <w:b/>
          <w:caps/>
          <w:color w:val="000000"/>
          <w:u w:val="single"/>
        </w:rPr>
        <w:lastRenderedPageBreak/>
        <w:t>INTRODUCTION</w:t>
      </w:r>
    </w:p>
    <w:p w14:paraId="25CEC45F" w14:textId="77777777" w:rsidR="00F07400" w:rsidRPr="00C6110D" w:rsidRDefault="00C430B4" w:rsidP="00AE67E1">
      <w:pPr>
        <w:spacing w:line="360" w:lineRule="auto"/>
        <w:jc w:val="both"/>
        <w:rPr>
          <w:rFonts w:ascii="Book Antiqua" w:hAnsi="Book Antiqua"/>
        </w:rPr>
      </w:pPr>
      <w:r w:rsidRPr="00C6110D">
        <w:rPr>
          <w:rFonts w:ascii="Book Antiqua" w:eastAsia="Book Antiqua" w:hAnsi="Book Antiqua" w:cs="Book Antiqua"/>
          <w:color w:val="000000"/>
        </w:rPr>
        <w:t xml:space="preserve">Circulating </w:t>
      </w:r>
      <w:r w:rsidR="00352EEF" w:rsidRPr="00C6110D">
        <w:rPr>
          <w:rFonts w:ascii="Book Antiqua" w:eastAsia="Book Antiqua" w:hAnsi="Book Antiqua" w:cs="Book Antiqua"/>
          <w:color w:val="000000"/>
        </w:rPr>
        <w:t>t</w:t>
      </w:r>
      <w:r w:rsidRPr="00C6110D">
        <w:rPr>
          <w:rFonts w:ascii="Book Antiqua" w:eastAsia="Book Antiqua" w:hAnsi="Book Antiqua" w:cs="Book Antiqua"/>
          <w:color w:val="000000"/>
        </w:rPr>
        <w:t xml:space="preserve">umor </w:t>
      </w:r>
      <w:r w:rsidR="00352EEF" w:rsidRPr="00C6110D">
        <w:rPr>
          <w:rFonts w:ascii="Book Antiqua" w:eastAsia="Book Antiqua" w:hAnsi="Book Antiqua" w:cs="Book Antiqua"/>
          <w:color w:val="000000"/>
        </w:rPr>
        <w:t>c</w:t>
      </w:r>
      <w:r w:rsidRPr="00C6110D">
        <w:rPr>
          <w:rFonts w:ascii="Book Antiqua" w:eastAsia="Book Antiqua" w:hAnsi="Book Antiqua" w:cs="Book Antiqua"/>
          <w:color w:val="000000"/>
        </w:rPr>
        <w:t>ells (CTCs) destroy the integrity of the base membrane, detach from the primary site, and spread through the peripheral blood, and they have the potential to form distant metastas</w:t>
      </w:r>
      <w:r w:rsidR="00AF3168">
        <w:rPr>
          <w:rFonts w:ascii="Book Antiqua" w:eastAsia="Book Antiqua" w:hAnsi="Book Antiqua" w:cs="Book Antiqua"/>
          <w:color w:val="000000"/>
        </w:rPr>
        <w:t>e</w:t>
      </w:r>
      <w:r w:rsidRPr="00C6110D">
        <w:rPr>
          <w:rFonts w:ascii="Book Antiqua" w:eastAsia="Book Antiqua" w:hAnsi="Book Antiqua" w:cs="Book Antiqua"/>
          <w:color w:val="000000"/>
        </w:rPr>
        <w:t xml:space="preserve">s in </w:t>
      </w:r>
      <w:r w:rsidR="00AF3168">
        <w:rPr>
          <w:rFonts w:ascii="Book Antiqua" w:eastAsia="Book Antiqua" w:hAnsi="Book Antiqua" w:cs="Book Antiqua"/>
          <w:color w:val="000000"/>
        </w:rPr>
        <w:t>the</w:t>
      </w:r>
      <w:r w:rsidRPr="00C6110D">
        <w:rPr>
          <w:rFonts w:ascii="Book Antiqua" w:eastAsia="Book Antiqua" w:hAnsi="Book Antiqua" w:cs="Book Antiqua"/>
          <w:color w:val="000000"/>
        </w:rPr>
        <w:t xml:space="preserve"> appropriate microenvironment</w:t>
      </w:r>
      <w:r w:rsidRPr="00C6110D">
        <w:rPr>
          <w:rFonts w:ascii="Book Antiqua" w:eastAsia="Book Antiqua" w:hAnsi="Book Antiqua" w:cs="Book Antiqua"/>
          <w:color w:val="000000"/>
          <w:vertAlign w:val="superscript"/>
        </w:rPr>
        <w:t>[</w:t>
      </w:r>
      <w:hyperlink w:anchor="_ENREF_1" w:tooltip="Wu, 2015 #38" w:history="1">
        <w:r w:rsidRPr="00C6110D">
          <w:rPr>
            <w:rFonts w:ascii="Book Antiqua" w:eastAsia="Book Antiqua" w:hAnsi="Book Antiqua" w:cs="Book Antiqua"/>
            <w:color w:val="000000"/>
            <w:vertAlign w:val="superscript"/>
          </w:rPr>
          <w:t>1</w:t>
        </w:r>
      </w:hyperlink>
      <w:r w:rsidRPr="00C6110D">
        <w:rPr>
          <w:rFonts w:ascii="Book Antiqua" w:eastAsia="Book Antiqua" w:hAnsi="Book Antiqua" w:cs="Book Antiqua"/>
          <w:color w:val="000000"/>
          <w:vertAlign w:val="superscript"/>
        </w:rPr>
        <w:t>]</w:t>
      </w:r>
      <w:r w:rsidRPr="00C6110D">
        <w:rPr>
          <w:rFonts w:ascii="Book Antiqua" w:eastAsia="Book Antiqua" w:hAnsi="Book Antiqua" w:cs="Book Antiqua"/>
          <w:color w:val="000000"/>
        </w:rPr>
        <w:t xml:space="preserve">. </w:t>
      </w:r>
    </w:p>
    <w:p w14:paraId="085044A9" w14:textId="77777777" w:rsidR="00A521AF" w:rsidRDefault="00AF3168" w:rsidP="00AF3168">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e</w:t>
      </w:r>
      <w:r w:rsidR="00C430B4" w:rsidRPr="00C6110D">
        <w:rPr>
          <w:rFonts w:ascii="Book Antiqua" w:eastAsia="Book Antiqua" w:hAnsi="Book Antiqua" w:cs="Book Antiqua"/>
          <w:color w:val="000000"/>
        </w:rPr>
        <w:t xml:space="preserve">pithelial-to-mesenchymal transition (EMT), which is characterized by the upregulation of mesenchymal markers </w:t>
      </w:r>
      <w:r>
        <w:rPr>
          <w:rFonts w:ascii="Book Antiqua" w:eastAsia="Book Antiqua" w:hAnsi="Book Antiqua" w:cs="Book Antiqua"/>
          <w:color w:val="000000"/>
        </w:rPr>
        <w:t>(</w:t>
      </w:r>
      <w:r w:rsidR="00C430B4" w:rsidRPr="00C6110D">
        <w:rPr>
          <w:rFonts w:ascii="Book Antiqua" w:eastAsia="Book Antiqua" w:hAnsi="Book Antiqua" w:cs="Book Antiqua"/>
          <w:i/>
          <w:color w:val="000000"/>
        </w:rPr>
        <w:t>e.g.</w:t>
      </w:r>
      <w:r w:rsidR="00C430B4" w:rsidRPr="00C6110D">
        <w:rPr>
          <w:rFonts w:ascii="Book Antiqua" w:eastAsia="Book Antiqua" w:hAnsi="Book Antiqua" w:cs="Book Antiqua"/>
          <w:color w:val="000000"/>
        </w:rPr>
        <w:t xml:space="preserve">, cytokeratin </w:t>
      </w:r>
      <w:r>
        <w:rPr>
          <w:rFonts w:ascii="Book Antiqua" w:eastAsia="Book Antiqua" w:hAnsi="Book Antiqua" w:cs="Book Antiqua"/>
          <w:color w:val="000000"/>
        </w:rPr>
        <w:t>[</w:t>
      </w:r>
      <w:r w:rsidR="00C430B4" w:rsidRPr="00C6110D">
        <w:rPr>
          <w:rFonts w:ascii="Book Antiqua" w:eastAsia="Book Antiqua" w:hAnsi="Book Antiqua" w:cs="Book Antiqua"/>
          <w:color w:val="000000"/>
        </w:rPr>
        <w:t>CK</w:t>
      </w:r>
      <w:r>
        <w:rPr>
          <w:rFonts w:ascii="Book Antiqua" w:eastAsia="Book Antiqua" w:hAnsi="Book Antiqua" w:cs="Book Antiqua"/>
          <w:color w:val="000000"/>
        </w:rPr>
        <w:t>]</w:t>
      </w:r>
      <w:r w:rsidR="00C430B4" w:rsidRPr="00C6110D">
        <w:rPr>
          <w:rFonts w:ascii="Book Antiqua" w:eastAsia="Book Antiqua" w:hAnsi="Book Antiqua" w:cs="Book Antiqua"/>
          <w:color w:val="000000"/>
        </w:rPr>
        <w:t xml:space="preserve"> 8, 18, and 19 and epithelial cell adhesion molecule</w:t>
      </w:r>
      <w:r w:rsidR="00CB3ED3" w:rsidRPr="00C6110D">
        <w:rPr>
          <w:rFonts w:ascii="Book Antiqua" w:eastAsia="Book Antiqua" w:hAnsi="Book Antiqua" w:cs="Book Antiqua"/>
          <w:color w:val="000000"/>
        </w:rPr>
        <w:t xml:space="preserve"> </w:t>
      </w:r>
      <w:r>
        <w:rPr>
          <w:rFonts w:ascii="Book Antiqua" w:eastAsia="Book Antiqua" w:hAnsi="Book Antiqua" w:cs="Book Antiqua"/>
          <w:color w:val="000000"/>
        </w:rPr>
        <w:t>[</w:t>
      </w:r>
      <w:r w:rsidR="00C430B4" w:rsidRPr="00C6110D">
        <w:rPr>
          <w:rFonts w:ascii="Book Antiqua" w:eastAsia="Book Antiqua" w:hAnsi="Book Antiqua" w:cs="Book Antiqua"/>
          <w:color w:val="000000"/>
        </w:rPr>
        <w:t>EpCAM]</w:t>
      </w:r>
      <w:r>
        <w:rPr>
          <w:rFonts w:ascii="Book Antiqua" w:eastAsia="Book Antiqua" w:hAnsi="Book Antiqua" w:cs="Book Antiqua"/>
          <w:color w:val="000000"/>
        </w:rPr>
        <w:t>)</w:t>
      </w:r>
      <w:r w:rsidR="00C430B4" w:rsidRPr="00C6110D">
        <w:rPr>
          <w:rFonts w:ascii="Book Antiqua" w:eastAsia="Book Antiqua" w:hAnsi="Book Antiqua" w:cs="Book Antiqua"/>
          <w:color w:val="000000"/>
        </w:rPr>
        <w:t xml:space="preserve"> and downregulation of epithelial markers (</w:t>
      </w:r>
      <w:r w:rsidR="00070C99" w:rsidRPr="00070C99">
        <w:rPr>
          <w:rFonts w:ascii="Book Antiqua" w:eastAsia="Book Antiqua" w:hAnsi="Book Antiqua" w:cs="Book Antiqua"/>
          <w:i/>
          <w:iCs/>
          <w:color w:val="000000"/>
        </w:rPr>
        <w:t>e.g.,</w:t>
      </w:r>
      <w:r w:rsidR="00C430B4" w:rsidRPr="00C6110D">
        <w:rPr>
          <w:rFonts w:ascii="Book Antiqua" w:eastAsia="Book Antiqua" w:hAnsi="Book Antiqua" w:cs="Book Antiqua"/>
          <w:color w:val="000000"/>
        </w:rPr>
        <w:t xml:space="preserve"> vimentin and Twist), can lead to the transformation of epithelial cells into mesenchymal cells</w:t>
      </w:r>
      <w:r w:rsidR="00C430B4" w:rsidRPr="00C6110D">
        <w:rPr>
          <w:rFonts w:ascii="Book Antiqua" w:eastAsia="Book Antiqua" w:hAnsi="Book Antiqua" w:cs="Book Antiqua"/>
          <w:color w:val="000000"/>
          <w:vertAlign w:val="superscript"/>
        </w:rPr>
        <w:t>[</w:t>
      </w:r>
      <w:hyperlink w:anchor="_ENREF_2" w:tooltip="Cao, 2016 #148" w:history="1">
        <w:r w:rsidR="00C430B4" w:rsidRPr="00C6110D">
          <w:rPr>
            <w:rFonts w:ascii="Book Antiqua" w:eastAsia="Book Antiqua" w:hAnsi="Book Antiqua" w:cs="Book Antiqua"/>
            <w:color w:val="000000"/>
            <w:vertAlign w:val="superscript"/>
          </w:rPr>
          <w:t>2</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 This process can also promote tumor progression, metastasis, and chemotherapy resistance</w:t>
      </w:r>
      <w:r w:rsidR="00C430B4" w:rsidRPr="00C6110D">
        <w:rPr>
          <w:rFonts w:ascii="Book Antiqua" w:eastAsia="Book Antiqua" w:hAnsi="Book Antiqua" w:cs="Book Antiqua"/>
          <w:color w:val="000000"/>
          <w:vertAlign w:val="superscript"/>
        </w:rPr>
        <w:t>[</w:t>
      </w:r>
      <w:hyperlink w:anchor="_ENREF_3" w:tooltip="Yin, 2020 #92" w:history="1">
        <w:r w:rsidR="00C430B4" w:rsidRPr="00C6110D">
          <w:rPr>
            <w:rFonts w:ascii="Book Antiqua" w:eastAsia="Book Antiqua" w:hAnsi="Book Antiqua" w:cs="Book Antiqua"/>
            <w:color w:val="000000"/>
            <w:vertAlign w:val="superscript"/>
          </w:rPr>
          <w:t>3</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 CTCs include a variety of subtypes and are divided into groups according to the expression of EMT markers</w:t>
      </w:r>
      <w:r w:rsidR="00C430B4" w:rsidRPr="00C6110D">
        <w:rPr>
          <w:rFonts w:ascii="Book Antiqua" w:eastAsia="Book Antiqua" w:hAnsi="Book Antiqua" w:cs="Book Antiqua"/>
          <w:color w:val="000000"/>
          <w:vertAlign w:val="superscript"/>
        </w:rPr>
        <w:t>[</w:t>
      </w:r>
      <w:hyperlink w:anchor="_ENREF_4" w:tooltip="Zhao, 2019 #109" w:history="1">
        <w:r w:rsidR="00C430B4" w:rsidRPr="00C6110D">
          <w:rPr>
            <w:rFonts w:ascii="Book Antiqua" w:eastAsia="Book Antiqua" w:hAnsi="Book Antiqua" w:cs="Book Antiqua"/>
            <w:color w:val="000000"/>
            <w:vertAlign w:val="superscript"/>
          </w:rPr>
          <w:t>4</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 Recent studies suggest that restricted EMT can generate hybrid CTCs with both epithelial and mesenchymal markers, as well as enhance their survival and carcinogenic abilities</w:t>
      </w:r>
      <w:r w:rsidR="00C430B4" w:rsidRPr="00C6110D">
        <w:rPr>
          <w:rFonts w:ascii="Book Antiqua" w:eastAsia="Book Antiqua" w:hAnsi="Book Antiqua" w:cs="Book Antiqua"/>
          <w:color w:val="000000"/>
          <w:vertAlign w:val="superscript"/>
        </w:rPr>
        <w:t>[</w:t>
      </w:r>
      <w:hyperlink w:anchor="_ENREF_5" w:tooltip="Liu, 2019 #162" w:history="1">
        <w:r w:rsidR="00C430B4" w:rsidRPr="00C6110D">
          <w:rPr>
            <w:rFonts w:ascii="Book Antiqua" w:eastAsia="Book Antiqua" w:hAnsi="Book Antiqua" w:cs="Book Antiqua"/>
            <w:color w:val="000000"/>
            <w:vertAlign w:val="superscript"/>
          </w:rPr>
          <w:t>5</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 The</w:t>
      </w:r>
      <w:r w:rsidR="00CB3ED3" w:rsidRPr="00C6110D">
        <w:rPr>
          <w:rFonts w:ascii="Book Antiqua" w:eastAsia="Book Antiqua" w:hAnsi="Book Antiqua" w:cs="Book Antiqua"/>
          <w:color w:val="000000"/>
        </w:rPr>
        <w:t xml:space="preserve"> </w:t>
      </w:r>
      <w:r w:rsidR="00C430B4" w:rsidRPr="00C6110D">
        <w:rPr>
          <w:rFonts w:ascii="Book Antiqua" w:eastAsia="Book Antiqua" w:hAnsi="Book Antiqua" w:cs="Book Antiqua"/>
          <w:color w:val="000000"/>
        </w:rPr>
        <w:t>EMT process in these CTCs may lead to cancer metastasis and poor prognosis</w:t>
      </w:r>
      <w:r w:rsidR="00C430B4" w:rsidRPr="00C6110D">
        <w:rPr>
          <w:rFonts w:ascii="Book Antiqua" w:eastAsia="Book Antiqua" w:hAnsi="Book Antiqua" w:cs="Book Antiqua"/>
          <w:color w:val="000000"/>
          <w:vertAlign w:val="superscript"/>
        </w:rPr>
        <w:t>[</w:t>
      </w:r>
      <w:r w:rsidR="00CB3ED3" w:rsidRPr="00C6110D">
        <w:rPr>
          <w:rFonts w:ascii="Book Antiqua" w:eastAsia="Book Antiqua" w:hAnsi="Book Antiqua" w:cs="Book Antiqua"/>
          <w:color w:val="000000"/>
          <w:vertAlign w:val="superscript"/>
        </w:rPr>
        <w:t>3,</w:t>
      </w:r>
      <w:hyperlink w:anchor="_ENREF_6" w:tooltip="Liu, 2018 #220" w:history="1">
        <w:r w:rsidR="00C430B4" w:rsidRPr="00C6110D">
          <w:rPr>
            <w:rFonts w:ascii="Book Antiqua" w:eastAsia="Book Antiqua" w:hAnsi="Book Antiqua" w:cs="Book Antiqua"/>
            <w:color w:val="000000"/>
            <w:vertAlign w:val="superscript"/>
          </w:rPr>
          <w:t>6</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w:t>
      </w:r>
      <w:r w:rsidR="00CB3ED3" w:rsidRPr="00C6110D">
        <w:rPr>
          <w:rFonts w:ascii="Book Antiqua" w:eastAsia="Book Antiqua" w:hAnsi="Book Antiqua" w:cs="Book Antiqua"/>
          <w:color w:val="000000"/>
        </w:rPr>
        <w:t xml:space="preserve"> </w:t>
      </w:r>
      <w:r w:rsidR="00C430B4" w:rsidRPr="00C6110D">
        <w:rPr>
          <w:rFonts w:ascii="Book Antiqua" w:eastAsia="Book Antiqua" w:hAnsi="Book Antiqua" w:cs="Book Antiqua"/>
          <w:color w:val="000000"/>
        </w:rPr>
        <w:t>CTCs are used as biomarkers for the diagnosis of lung cancer (LC), pancreatic cancer, and gastric cancer</w:t>
      </w:r>
      <w:r w:rsidR="00C430B4" w:rsidRPr="00C6110D">
        <w:rPr>
          <w:rFonts w:ascii="Book Antiqua" w:eastAsia="Book Antiqua" w:hAnsi="Book Antiqua" w:cs="Book Antiqua"/>
          <w:color w:val="000000"/>
          <w:vertAlign w:val="superscript"/>
        </w:rPr>
        <w:t>[</w:t>
      </w:r>
      <w:hyperlink w:anchor="_ENREF_7" w:tooltip="Zhou, 2017 #271" w:history="1">
        <w:r w:rsidR="00C430B4" w:rsidRPr="00C6110D">
          <w:rPr>
            <w:rFonts w:ascii="Book Antiqua" w:eastAsia="Book Antiqua" w:hAnsi="Book Antiqua" w:cs="Book Antiqua"/>
            <w:color w:val="000000"/>
            <w:vertAlign w:val="superscript"/>
          </w:rPr>
          <w:t>7-9</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 A meta-analysis found that the sensitivity and specificity (95%</w:t>
      </w:r>
      <w:r w:rsidR="00A521AF">
        <w:rPr>
          <w:rFonts w:ascii="Book Antiqua" w:eastAsia="Book Antiqua" w:hAnsi="Book Antiqua" w:cs="Book Antiqua"/>
          <w:color w:val="000000"/>
        </w:rPr>
        <w:t xml:space="preserve"> confidence interval [</w:t>
      </w:r>
      <w:r w:rsidR="00C430B4" w:rsidRPr="00C6110D">
        <w:rPr>
          <w:rFonts w:ascii="Book Antiqua" w:eastAsia="Book Antiqua" w:hAnsi="Book Antiqua" w:cs="Book Antiqua"/>
          <w:color w:val="000000"/>
        </w:rPr>
        <w:t>CI</w:t>
      </w:r>
      <w:r w:rsidR="00A521AF">
        <w:rPr>
          <w:rFonts w:ascii="Book Antiqua" w:eastAsia="Book Antiqua" w:hAnsi="Book Antiqua" w:cs="Book Antiqua"/>
          <w:color w:val="000000"/>
        </w:rPr>
        <w:t>]</w:t>
      </w:r>
      <w:r w:rsidR="00C430B4" w:rsidRPr="00C6110D">
        <w:rPr>
          <w:rFonts w:ascii="Book Antiqua" w:eastAsia="Book Antiqua" w:hAnsi="Book Antiqua" w:cs="Book Antiqua"/>
          <w:color w:val="000000"/>
        </w:rPr>
        <w:t>) of CTCs for the diagnosis of LC is 75% (95%CI: 54</w:t>
      </w:r>
      <w:r w:rsidR="00C6110D">
        <w:rPr>
          <w:rFonts w:ascii="Book Antiqua" w:eastAsia="Book Antiqua" w:hAnsi="Book Antiqua" w:cs="Book Antiqua"/>
          <w:color w:val="000000"/>
        </w:rPr>
        <w:t>-</w:t>
      </w:r>
      <w:r w:rsidR="00C430B4" w:rsidRPr="00C6110D">
        <w:rPr>
          <w:rFonts w:ascii="Book Antiqua" w:eastAsia="Book Antiqua" w:hAnsi="Book Antiqua" w:cs="Book Antiqua"/>
          <w:color w:val="000000"/>
        </w:rPr>
        <w:t>88) and 92% (95%CI: 82</w:t>
      </w:r>
      <w:r w:rsidR="00C6110D">
        <w:rPr>
          <w:rFonts w:ascii="Book Antiqua" w:eastAsia="Book Antiqua" w:hAnsi="Book Antiqua" w:cs="Book Antiqua"/>
          <w:color w:val="000000"/>
        </w:rPr>
        <w:t>-</w:t>
      </w:r>
      <w:r w:rsidR="00C430B4" w:rsidRPr="00C6110D">
        <w:rPr>
          <w:rFonts w:ascii="Book Antiqua" w:eastAsia="Book Antiqua" w:hAnsi="Book Antiqua" w:cs="Book Antiqua"/>
          <w:color w:val="000000"/>
        </w:rPr>
        <w:t>97), respectively</w:t>
      </w:r>
      <w:r w:rsidR="00C430B4" w:rsidRPr="00C6110D">
        <w:rPr>
          <w:rFonts w:ascii="Book Antiqua" w:eastAsia="Book Antiqua" w:hAnsi="Book Antiqua" w:cs="Book Antiqua"/>
          <w:color w:val="000000"/>
          <w:vertAlign w:val="superscript"/>
        </w:rPr>
        <w:t>[</w:t>
      </w:r>
      <w:hyperlink w:anchor="_ENREF_8" w:tooltip="Huang, 2018 #270" w:history="1">
        <w:r w:rsidR="00C430B4" w:rsidRPr="00C6110D">
          <w:rPr>
            <w:rFonts w:ascii="Book Antiqua" w:eastAsia="Book Antiqua" w:hAnsi="Book Antiqua" w:cs="Book Antiqua"/>
            <w:color w:val="000000"/>
            <w:vertAlign w:val="superscript"/>
          </w:rPr>
          <w:t>8</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 A pilot study from our group found that CTCs can be detected in early</w:t>
      </w:r>
      <w:r w:rsidR="00A521AF">
        <w:rPr>
          <w:rFonts w:ascii="Book Antiqua" w:eastAsia="Book Antiqua" w:hAnsi="Book Antiqua" w:cs="Book Antiqua"/>
          <w:color w:val="000000"/>
        </w:rPr>
        <w:t>-</w:t>
      </w:r>
      <w:r w:rsidR="00C430B4" w:rsidRPr="00C6110D">
        <w:rPr>
          <w:rFonts w:ascii="Book Antiqua" w:eastAsia="Book Antiqua" w:hAnsi="Book Antiqua" w:cs="Book Antiqua"/>
          <w:color w:val="000000"/>
        </w:rPr>
        <w:t>stage lung adenocarcinoma (LUAD)</w:t>
      </w:r>
      <w:r w:rsidR="00C430B4" w:rsidRPr="00C6110D">
        <w:rPr>
          <w:rFonts w:ascii="Book Antiqua" w:eastAsia="Book Antiqua" w:hAnsi="Book Antiqua" w:cs="Book Antiqua"/>
          <w:color w:val="000000"/>
          <w:vertAlign w:val="superscript"/>
        </w:rPr>
        <w:t>[</w:t>
      </w:r>
      <w:hyperlink w:anchor="_ENREF_10" w:tooltip="Jin, 2017 #32" w:history="1">
        <w:r w:rsidR="00C430B4" w:rsidRPr="00C6110D">
          <w:rPr>
            <w:rFonts w:ascii="Book Antiqua" w:eastAsia="Book Antiqua" w:hAnsi="Book Antiqua" w:cs="Book Antiqua"/>
            <w:color w:val="000000"/>
            <w:vertAlign w:val="superscript"/>
          </w:rPr>
          <w:t>10</w:t>
        </w:r>
      </w:hyperlink>
      <w:r w:rsidR="00C430B4" w:rsidRPr="00C6110D">
        <w:rPr>
          <w:rFonts w:ascii="Book Antiqua" w:eastAsia="Book Antiqua" w:hAnsi="Book Antiqua" w:cs="Book Antiqua"/>
          <w:color w:val="000000"/>
          <w:vertAlign w:val="superscript"/>
        </w:rPr>
        <w:t>]</w:t>
      </w:r>
      <w:r w:rsidR="00C430B4" w:rsidRPr="00C6110D">
        <w:rPr>
          <w:rFonts w:ascii="Book Antiqua" w:eastAsia="Book Antiqua" w:hAnsi="Book Antiqua" w:cs="Book Antiqua"/>
          <w:color w:val="000000"/>
        </w:rPr>
        <w:t>.</w:t>
      </w:r>
    </w:p>
    <w:p w14:paraId="0A66BA33" w14:textId="77777777" w:rsidR="00E046A4" w:rsidRDefault="00C430B4">
      <w:pPr>
        <w:spacing w:line="360" w:lineRule="auto"/>
        <w:ind w:firstLineChars="112" w:firstLine="269"/>
        <w:jc w:val="both"/>
        <w:rPr>
          <w:rFonts w:ascii="Book Antiqua" w:hAnsi="Book Antiqua"/>
        </w:rPr>
      </w:pPr>
      <w:r w:rsidRPr="00C6110D">
        <w:rPr>
          <w:rFonts w:ascii="Book Antiqua" w:eastAsia="Book Antiqua" w:hAnsi="Book Antiqua" w:cs="Book Antiqua"/>
          <w:color w:val="000000"/>
        </w:rPr>
        <w:t>Herein, we clarif</w:t>
      </w:r>
      <w:r w:rsidR="00A521AF">
        <w:rPr>
          <w:rFonts w:ascii="Book Antiqua" w:eastAsia="Book Antiqua" w:hAnsi="Book Antiqua" w:cs="Book Antiqua"/>
          <w:color w:val="000000"/>
        </w:rPr>
        <w:t>ied</w:t>
      </w:r>
      <w:r w:rsidRPr="00C6110D">
        <w:rPr>
          <w:rFonts w:ascii="Book Antiqua" w:eastAsia="Book Antiqua" w:hAnsi="Book Antiqua" w:cs="Book Antiqua"/>
          <w:color w:val="000000"/>
        </w:rPr>
        <w:t xml:space="preserve"> the diagnostic value of CTCs categorized by the expression</w:t>
      </w:r>
      <w:r w:rsidR="00CB3ED3" w:rsidRPr="00C6110D">
        <w:rPr>
          <w:rFonts w:ascii="Book Antiqua" w:eastAsia="Book Antiqua" w:hAnsi="Book Antiqua" w:cs="Book Antiqua"/>
          <w:color w:val="000000"/>
        </w:rPr>
        <w:t xml:space="preserve"> </w:t>
      </w:r>
      <w:r w:rsidRPr="00C6110D">
        <w:rPr>
          <w:rFonts w:ascii="Book Antiqua" w:eastAsia="Book Antiqua" w:hAnsi="Book Antiqua" w:cs="Book Antiqua"/>
          <w:color w:val="000000"/>
        </w:rPr>
        <w:t xml:space="preserve">of EMT markers in LC. </w:t>
      </w:r>
    </w:p>
    <w:p w14:paraId="2201EFDA" w14:textId="77777777" w:rsidR="00F07400" w:rsidRPr="00AE67E1" w:rsidRDefault="00F07400" w:rsidP="00AE67E1">
      <w:pPr>
        <w:spacing w:line="360" w:lineRule="auto"/>
        <w:jc w:val="both"/>
        <w:rPr>
          <w:rFonts w:ascii="Book Antiqua" w:hAnsi="Book Antiqua"/>
        </w:rPr>
      </w:pPr>
    </w:p>
    <w:p w14:paraId="3F5B2FF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aps/>
          <w:color w:val="000000"/>
          <w:u w:val="single"/>
        </w:rPr>
        <w:t>MATERIALS AND METHODS</w:t>
      </w:r>
    </w:p>
    <w:p w14:paraId="284B4822" w14:textId="77777777" w:rsidR="00685B09" w:rsidRDefault="00C430B4" w:rsidP="00685B09">
      <w:pPr>
        <w:spacing w:line="360" w:lineRule="auto"/>
        <w:jc w:val="both"/>
        <w:rPr>
          <w:rFonts w:ascii="Book Antiqua" w:eastAsia="Book Antiqua" w:hAnsi="Book Antiqua" w:cs="Book Antiqua"/>
          <w:b/>
          <w:bCs/>
          <w:i/>
          <w:iCs/>
          <w:color w:val="000000"/>
        </w:rPr>
      </w:pPr>
      <w:bookmarkStart w:id="51" w:name="OLE_LINK356"/>
      <w:bookmarkStart w:id="52" w:name="OLE_LINK357"/>
      <w:r w:rsidRPr="00CB3ED3">
        <w:rPr>
          <w:rFonts w:ascii="Book Antiqua" w:eastAsia="Book Antiqua" w:hAnsi="Book Antiqua" w:cs="Book Antiqua"/>
          <w:b/>
          <w:bCs/>
          <w:i/>
          <w:iCs/>
          <w:color w:val="000000"/>
        </w:rPr>
        <w:t xml:space="preserve">Patients </w:t>
      </w:r>
    </w:p>
    <w:p w14:paraId="6B1B056F" w14:textId="77777777" w:rsidR="00F07400" w:rsidRPr="00AE67E1" w:rsidRDefault="00C430B4" w:rsidP="00685B09">
      <w:pPr>
        <w:spacing w:line="360" w:lineRule="auto"/>
        <w:jc w:val="both"/>
        <w:rPr>
          <w:rFonts w:ascii="Book Antiqua" w:hAnsi="Book Antiqua"/>
        </w:rPr>
      </w:pPr>
      <w:r w:rsidRPr="00AE67E1">
        <w:rPr>
          <w:rFonts w:ascii="Book Antiqua" w:eastAsia="Book Antiqua" w:hAnsi="Book Antiqua" w:cs="Book Antiqua"/>
          <w:color w:val="000000"/>
        </w:rPr>
        <w:t>The study protocol was reviewed and approved by the Ethics Committee of Daping Hospital, Army Medical University</w:t>
      </w:r>
      <w:r w:rsidR="00CB3ED3">
        <w:rPr>
          <w:rFonts w:ascii="Book Antiqua" w:eastAsia="Book Antiqua" w:hAnsi="Book Antiqua" w:cs="Book Antiqua"/>
          <w:color w:val="000000"/>
        </w:rPr>
        <w:t xml:space="preserve"> </w:t>
      </w:r>
      <w:r w:rsidRPr="00AE67E1">
        <w:rPr>
          <w:rFonts w:ascii="Book Antiqua" w:eastAsia="Book Antiqua" w:hAnsi="Book Antiqua" w:cs="Book Antiqua"/>
          <w:color w:val="000000"/>
        </w:rPr>
        <w:t>2019</w:t>
      </w:r>
      <w:r w:rsidR="00CB3ED3">
        <w:rPr>
          <w:rFonts w:ascii="Book Antiqua" w:eastAsia="Book Antiqua" w:hAnsi="Book Antiqua" w:cs="Book Antiqua"/>
          <w:color w:val="000000"/>
        </w:rPr>
        <w:t>,</w:t>
      </w:r>
      <w:r w:rsidRPr="00AE67E1">
        <w:rPr>
          <w:rFonts w:ascii="Book Antiqua" w:eastAsia="Book Antiqua" w:hAnsi="Book Antiqua" w:cs="Book Antiqua"/>
          <w:color w:val="000000"/>
        </w:rPr>
        <w:t xml:space="preserve"> No.</w:t>
      </w:r>
      <w:r w:rsidR="00CB3ED3">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183, and all patients who agreed to participate in the study signed an informed consent. </w:t>
      </w:r>
    </w:p>
    <w:p w14:paraId="06AC5F4D" w14:textId="77777777" w:rsidR="00E046A4" w:rsidRDefault="00C430B4">
      <w:pPr>
        <w:spacing w:line="360" w:lineRule="auto"/>
        <w:ind w:firstLineChars="112" w:firstLine="269"/>
        <w:jc w:val="both"/>
        <w:rPr>
          <w:rFonts w:ascii="Book Antiqua" w:hAnsi="Book Antiqua"/>
        </w:rPr>
      </w:pPr>
      <w:r w:rsidRPr="00AE67E1">
        <w:rPr>
          <w:rFonts w:ascii="Book Antiqua" w:eastAsia="Book Antiqua" w:hAnsi="Book Antiqua" w:cs="Book Antiqua"/>
          <w:color w:val="000000"/>
        </w:rPr>
        <w:t xml:space="preserve">The study was performed between July 2015 and December 2019 and included 106 patients with LUAD. Computed tomography (CT) performed before thoracoscopic surgery indicated that 42 patients had ground glass opacity (GGO) and 64 had solid </w:t>
      </w:r>
      <w:r w:rsidRPr="00AE67E1">
        <w:rPr>
          <w:rFonts w:ascii="Book Antiqua" w:eastAsia="Book Antiqua" w:hAnsi="Book Antiqua" w:cs="Book Antiqua"/>
          <w:color w:val="000000"/>
        </w:rPr>
        <w:lastRenderedPageBreak/>
        <w:t>lesions. A total of 28 controls were recruited, including 11 benign tumor cases (benign controls) and 17 healthy controls who underwent physical and radiographical examination to exclude the possibility of an occult tumor. Postoperative pathological results were reviewed by professional pathologists. Subjects with bronchiectasis, viral hepatitis, or ischemic cardiac or cerebrovascular disease were excluded from the study. Demographic-clinical data of patients and controls are shown in Table 1.</w:t>
      </w:r>
    </w:p>
    <w:p w14:paraId="1DD0B6B6" w14:textId="77777777" w:rsidR="00F07400" w:rsidRPr="00AE67E1" w:rsidRDefault="00F07400" w:rsidP="00AE67E1">
      <w:pPr>
        <w:spacing w:line="360" w:lineRule="auto"/>
        <w:jc w:val="both"/>
        <w:rPr>
          <w:rFonts w:ascii="Book Antiqua" w:hAnsi="Book Antiqua"/>
        </w:rPr>
      </w:pPr>
    </w:p>
    <w:p w14:paraId="6AFE1E42" w14:textId="77777777" w:rsidR="00F07400" w:rsidRPr="00CB3ED3" w:rsidRDefault="00C430B4" w:rsidP="00AE67E1">
      <w:pPr>
        <w:spacing w:line="360" w:lineRule="auto"/>
        <w:jc w:val="both"/>
        <w:rPr>
          <w:rFonts w:ascii="Book Antiqua" w:hAnsi="Book Antiqua"/>
          <w:i/>
          <w:iCs/>
        </w:rPr>
      </w:pPr>
      <w:r w:rsidRPr="00CB3ED3">
        <w:rPr>
          <w:rFonts w:ascii="Book Antiqua" w:eastAsia="Book Antiqua" w:hAnsi="Book Antiqua" w:cs="Book Antiqua"/>
          <w:b/>
          <w:bCs/>
          <w:i/>
          <w:iCs/>
          <w:color w:val="000000"/>
        </w:rPr>
        <w:t>Detection of CTCs and associated EMT markers by the CanPatrol</w:t>
      </w:r>
      <w:r w:rsidRPr="00CB3ED3">
        <w:rPr>
          <w:rFonts w:ascii="Book Antiqua" w:eastAsia="Book Antiqua" w:hAnsi="Book Antiqua" w:cs="Book Antiqua"/>
          <w:b/>
          <w:bCs/>
          <w:i/>
          <w:iCs/>
          <w:color w:val="000000"/>
          <w:vertAlign w:val="superscript"/>
        </w:rPr>
        <w:t>TM</w:t>
      </w:r>
      <w:r w:rsidR="00CB3ED3">
        <w:rPr>
          <w:rFonts w:ascii="Book Antiqua" w:eastAsia="Book Antiqua" w:hAnsi="Book Antiqua" w:cs="Book Antiqua"/>
          <w:i/>
          <w:iCs/>
          <w:color w:val="000000"/>
        </w:rPr>
        <w:t xml:space="preserve"> </w:t>
      </w:r>
      <w:r w:rsidRPr="00CB3ED3">
        <w:rPr>
          <w:rFonts w:ascii="Book Antiqua" w:eastAsia="Book Antiqua" w:hAnsi="Book Antiqua" w:cs="Book Antiqua"/>
          <w:b/>
          <w:bCs/>
          <w:i/>
          <w:iCs/>
          <w:color w:val="000000"/>
        </w:rPr>
        <w:t>technique</w:t>
      </w:r>
    </w:p>
    <w:p w14:paraId="31DBC862" w14:textId="77777777" w:rsidR="00F07400" w:rsidRPr="00AE67E1" w:rsidRDefault="00A521AF" w:rsidP="00AE67E1">
      <w:pPr>
        <w:spacing w:line="360" w:lineRule="auto"/>
        <w:jc w:val="both"/>
        <w:rPr>
          <w:rFonts w:ascii="Book Antiqua" w:hAnsi="Book Antiqua"/>
        </w:rPr>
      </w:pPr>
      <w:r>
        <w:rPr>
          <w:rFonts w:ascii="Book Antiqua" w:eastAsia="Book Antiqua" w:hAnsi="Book Antiqua" w:cs="Book Antiqua"/>
          <w:color w:val="000000"/>
        </w:rPr>
        <w:t xml:space="preserve">At 1 or 2 d </w:t>
      </w:r>
      <w:r w:rsidR="00C430B4" w:rsidRPr="00AE67E1">
        <w:rPr>
          <w:rFonts w:ascii="Book Antiqua" w:eastAsia="Book Antiqua" w:hAnsi="Book Antiqua" w:cs="Book Antiqua"/>
          <w:color w:val="000000"/>
        </w:rPr>
        <w:t>prior to surgery, 10 mL peripheral blood was collected from</w:t>
      </w:r>
      <w:r w:rsidR="00CB3ED3">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the median cubital vein of patients and controls and transferred into a sample preservation tube containing ammonium chloride dissolution buffer (Surexam Biotechnology, Guangzhou, China). The samples were incubated for 30 min at room temperature. CTCs and associated EMT markers were detected using CanPatrol</w:t>
      </w:r>
      <w:r w:rsidR="00C430B4" w:rsidRPr="00AE67E1">
        <w:rPr>
          <w:rFonts w:ascii="Book Antiqua" w:eastAsia="Book Antiqua" w:hAnsi="Book Antiqua" w:cs="Book Antiqua"/>
          <w:color w:val="000000"/>
          <w:vertAlign w:val="superscript"/>
        </w:rPr>
        <w:t>TM</w:t>
      </w:r>
      <w:r w:rsidR="00CB3ED3">
        <w:rPr>
          <w:rFonts w:ascii="Book Antiqua" w:eastAsia="Book Antiqua" w:hAnsi="Book Antiqua" w:cs="Book Antiqua"/>
          <w:color w:val="000000"/>
        </w:rPr>
        <w:t xml:space="preserve"> </w:t>
      </w:r>
      <w:r>
        <w:rPr>
          <w:rFonts w:ascii="Book Antiqua" w:eastAsia="Book Antiqua" w:hAnsi="Book Antiqua" w:cs="Book Antiqua"/>
          <w:color w:val="000000"/>
        </w:rPr>
        <w:t>as follows</w:t>
      </w:r>
      <w:r w:rsidR="00C430B4" w:rsidRPr="00CB3ED3">
        <w:rPr>
          <w:rFonts w:ascii="Book Antiqua" w:eastAsia="Book Antiqua" w:hAnsi="Book Antiqua" w:cs="Book Antiqua"/>
          <w:color w:val="000000"/>
          <w:vertAlign w:val="superscript"/>
        </w:rPr>
        <w:t>[</w:t>
      </w:r>
      <w:r w:rsidR="00CB3ED3" w:rsidRPr="00CB3ED3">
        <w:rPr>
          <w:rFonts w:ascii="Book Antiqua" w:eastAsia="Book Antiqua" w:hAnsi="Book Antiqua" w:cs="Book Antiqua"/>
          <w:color w:val="000000"/>
          <w:vertAlign w:val="superscript"/>
        </w:rPr>
        <w:t>1,</w:t>
      </w:r>
      <w:hyperlink w:anchor="_ENREF_11" w:tooltip="Liu, 2016 #33" w:history="1">
        <w:r w:rsidR="00C430B4" w:rsidRPr="00CB3ED3">
          <w:rPr>
            <w:rFonts w:ascii="Book Antiqua" w:eastAsia="Book Antiqua" w:hAnsi="Book Antiqua" w:cs="Book Antiqua"/>
            <w:color w:val="000000"/>
            <w:u w:val="single" w:color="0000EE"/>
            <w:vertAlign w:val="superscript"/>
          </w:rPr>
          <w:t>11</w:t>
        </w:r>
      </w:hyperlink>
      <w:r w:rsidR="00C430B4" w:rsidRPr="00CB3ED3">
        <w:rPr>
          <w:rFonts w:ascii="Book Antiqua" w:eastAsia="Book Antiqua" w:hAnsi="Book Antiqua" w:cs="Book Antiqua"/>
          <w:color w:val="000000"/>
          <w:vertAlign w:val="superscript"/>
        </w:rPr>
        <w:t>]</w:t>
      </w:r>
      <w:r w:rsidR="00812CDD">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 xml:space="preserve">(1) </w:t>
      </w:r>
      <w:r>
        <w:rPr>
          <w:rFonts w:ascii="Book Antiqua" w:eastAsia="Book Antiqua" w:hAnsi="Book Antiqua" w:cs="Book Antiqua"/>
          <w:color w:val="000000"/>
        </w:rPr>
        <w:t>R</w:t>
      </w:r>
      <w:r w:rsidR="00C430B4" w:rsidRPr="00AE67E1">
        <w:rPr>
          <w:rFonts w:ascii="Book Antiqua" w:eastAsia="Book Antiqua" w:hAnsi="Book Antiqua" w:cs="Book Antiqua"/>
          <w:color w:val="000000"/>
        </w:rPr>
        <w:t xml:space="preserve">ed blood cells were lysed and removed using red blood cell lysis buffer, and </w:t>
      </w:r>
      <w:r>
        <w:rPr>
          <w:rFonts w:ascii="Book Antiqua" w:eastAsia="Book Antiqua" w:hAnsi="Book Antiqua" w:cs="Book Antiqua"/>
          <w:color w:val="000000"/>
        </w:rPr>
        <w:t>cluster of differentiation-positive (</w:t>
      </w:r>
      <w:r w:rsidR="00C430B4" w:rsidRPr="00AE67E1">
        <w:rPr>
          <w:rFonts w:ascii="Book Antiqua" w:eastAsia="Book Antiqua" w:hAnsi="Book Antiqua" w:cs="Book Antiqua"/>
          <w:color w:val="000000"/>
        </w:rPr>
        <w:t>CD45+</w:t>
      </w:r>
      <w:r>
        <w:rPr>
          <w:rFonts w:ascii="Book Antiqua" w:eastAsia="Book Antiqua" w:hAnsi="Book Antiqua" w:cs="Book Antiqua"/>
          <w:color w:val="000000"/>
        </w:rPr>
        <w:t>)</w:t>
      </w:r>
      <w:r w:rsidR="00C430B4" w:rsidRPr="00AE67E1">
        <w:rPr>
          <w:rFonts w:ascii="Book Antiqua" w:eastAsia="Book Antiqua" w:hAnsi="Book Antiqua" w:cs="Book Antiqua"/>
          <w:color w:val="000000"/>
        </w:rPr>
        <w:t xml:space="preserve"> leukocytes were depleted from blood samples using magnetic beads</w:t>
      </w:r>
      <w:r w:rsidR="006454AF">
        <w:rPr>
          <w:rFonts w:ascii="Book Antiqua" w:eastAsia="Book Antiqua" w:hAnsi="Book Antiqua" w:cs="Book Antiqua"/>
          <w:color w:val="000000"/>
        </w:rPr>
        <w:t>.</w:t>
      </w:r>
      <w:r w:rsidR="00C430B4" w:rsidRPr="00AE67E1">
        <w:rPr>
          <w:rFonts w:ascii="Book Antiqua" w:eastAsia="Book Antiqua" w:hAnsi="Book Antiqua" w:cs="Book Antiqua"/>
          <w:color w:val="000000"/>
        </w:rPr>
        <w:t xml:space="preserve"> (2) CTCs were enriched using a calibrated 8</w:t>
      </w:r>
      <w:r w:rsidR="00CB3ED3">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μm pore membrane filter</w:t>
      </w:r>
      <w:r w:rsidR="006454AF">
        <w:rPr>
          <w:rFonts w:ascii="Book Antiqua" w:eastAsia="Book Antiqua" w:hAnsi="Book Antiqua" w:cs="Book Antiqua"/>
          <w:color w:val="000000"/>
        </w:rPr>
        <w:t>.</w:t>
      </w:r>
      <w:r w:rsidR="00C430B4" w:rsidRPr="00AE67E1">
        <w:rPr>
          <w:rFonts w:ascii="Book Antiqua" w:eastAsia="Book Antiqua" w:hAnsi="Book Antiqua" w:cs="Book Antiqua"/>
          <w:color w:val="000000"/>
        </w:rPr>
        <w:t xml:space="preserve"> (3) RNA </w:t>
      </w:r>
      <w:r w:rsidR="00070C99" w:rsidRPr="00070C99">
        <w:rPr>
          <w:rFonts w:ascii="Book Antiqua" w:eastAsia="Book Antiqua" w:hAnsi="Book Antiqua" w:cs="Book Antiqua"/>
          <w:i/>
          <w:iCs/>
          <w:color w:val="000000"/>
        </w:rPr>
        <w:t>in situ</w:t>
      </w:r>
      <w:r w:rsidR="00C430B4" w:rsidRPr="00AE67E1">
        <w:rPr>
          <w:rFonts w:ascii="Book Antiqua" w:eastAsia="Book Antiqua" w:hAnsi="Book Antiqua" w:cs="Book Antiqua"/>
          <w:color w:val="000000"/>
        </w:rPr>
        <w:t xml:space="preserve"> hybridization (ISH) was used to identify CTCs using the branched DNA signal amplification assay and EMT markers such as CK 8, 18, and 19, EpCAM, vimentin</w:t>
      </w:r>
      <w:r w:rsidR="006454AF">
        <w:rPr>
          <w:rFonts w:ascii="Book Antiqua" w:eastAsia="Book Antiqua" w:hAnsi="Book Antiqua" w:cs="Book Antiqua"/>
          <w:color w:val="000000"/>
        </w:rPr>
        <w:t>,</w:t>
      </w:r>
      <w:r w:rsidR="00C430B4" w:rsidRPr="00AE67E1">
        <w:rPr>
          <w:rFonts w:ascii="Book Antiqua" w:eastAsia="Book Antiqua" w:hAnsi="Book Antiqua" w:cs="Book Antiqua"/>
          <w:color w:val="000000"/>
        </w:rPr>
        <w:t xml:space="preserve"> and Twist were detected according to a recently published protocol</w:t>
      </w:r>
      <w:r w:rsidR="00C430B4" w:rsidRPr="00CB3ED3">
        <w:rPr>
          <w:rFonts w:ascii="Book Antiqua" w:eastAsia="Book Antiqua" w:hAnsi="Book Antiqua" w:cs="Book Antiqua"/>
          <w:color w:val="000000"/>
          <w:vertAlign w:val="superscript"/>
        </w:rPr>
        <w:t>[</w:t>
      </w:r>
      <w:hyperlink w:anchor="_ENREF_12" w:tooltip="Wu, 2015 #37" w:history="1">
        <w:r w:rsidR="00C430B4" w:rsidRPr="00CB3ED3">
          <w:rPr>
            <w:rFonts w:ascii="Book Antiqua" w:eastAsia="Book Antiqua" w:hAnsi="Book Antiqua" w:cs="Book Antiqua"/>
            <w:color w:val="000000"/>
            <w:u w:val="single" w:color="0000EE"/>
            <w:vertAlign w:val="superscript"/>
          </w:rPr>
          <w:t>12</w:t>
        </w:r>
      </w:hyperlink>
      <w:r w:rsidR="00C430B4" w:rsidRPr="00CB3ED3">
        <w:rPr>
          <w:rFonts w:ascii="Book Antiqua" w:eastAsia="Book Antiqua" w:hAnsi="Book Antiqua" w:cs="Book Antiqua"/>
          <w:color w:val="000000"/>
          <w:vertAlign w:val="superscript"/>
        </w:rPr>
        <w:t>]</w:t>
      </w:r>
      <w:r w:rsidR="00C430B4" w:rsidRPr="00AE67E1">
        <w:rPr>
          <w:rFonts w:ascii="Book Antiqua" w:eastAsia="Book Antiqua" w:hAnsi="Book Antiqua" w:cs="Book Antiqua"/>
          <w:color w:val="000000"/>
        </w:rPr>
        <w:t xml:space="preserve">. </w:t>
      </w:r>
    </w:p>
    <w:p w14:paraId="57A31B8F" w14:textId="77777777" w:rsidR="00F07400" w:rsidRPr="00AE67E1" w:rsidRDefault="00F07400" w:rsidP="00AE67E1">
      <w:pPr>
        <w:spacing w:line="360" w:lineRule="auto"/>
        <w:jc w:val="both"/>
        <w:rPr>
          <w:rFonts w:ascii="Book Antiqua" w:hAnsi="Book Antiqua"/>
        </w:rPr>
      </w:pPr>
    </w:p>
    <w:p w14:paraId="2765337D" w14:textId="77777777" w:rsidR="00F07400" w:rsidRPr="00CB3ED3" w:rsidRDefault="00C430B4" w:rsidP="00AE67E1">
      <w:pPr>
        <w:spacing w:line="360" w:lineRule="auto"/>
        <w:jc w:val="both"/>
        <w:rPr>
          <w:rFonts w:ascii="Book Antiqua" w:hAnsi="Book Antiqua"/>
          <w:i/>
          <w:iCs/>
        </w:rPr>
      </w:pPr>
      <w:r w:rsidRPr="00CB3ED3">
        <w:rPr>
          <w:rFonts w:ascii="Book Antiqua" w:eastAsia="Book Antiqua" w:hAnsi="Book Antiqua" w:cs="Book Antiqua"/>
          <w:b/>
          <w:bCs/>
          <w:i/>
          <w:iCs/>
          <w:color w:val="000000"/>
        </w:rPr>
        <w:t>Detection of folate receptor</w:t>
      </w:r>
      <w:r w:rsidR="006454AF">
        <w:rPr>
          <w:rFonts w:ascii="Book Antiqua" w:eastAsia="Book Antiqua" w:hAnsi="Book Antiqua" w:cs="Book Antiqua"/>
          <w:b/>
          <w:bCs/>
          <w:i/>
          <w:iCs/>
          <w:color w:val="000000"/>
        </w:rPr>
        <w:t>-</w:t>
      </w:r>
      <w:r w:rsidRPr="00CB3ED3">
        <w:rPr>
          <w:rFonts w:ascii="Book Antiqua" w:eastAsia="Book Antiqua" w:hAnsi="Book Antiqua" w:cs="Book Antiqua"/>
          <w:b/>
          <w:bCs/>
          <w:i/>
          <w:iCs/>
          <w:color w:val="000000"/>
        </w:rPr>
        <w:t>positive CTCs using CytoploRare validation</w:t>
      </w:r>
    </w:p>
    <w:p w14:paraId="70750385"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Peripheral blood (3 mL) was collected before surgery and stored in a vacuum tube containing </w:t>
      </w:r>
      <w:r w:rsidR="00566502" w:rsidRPr="00566502">
        <w:rPr>
          <w:rFonts w:ascii="Book Antiqua" w:eastAsia="Book Antiqua" w:hAnsi="Book Antiqua" w:cs="Book Antiqua"/>
          <w:color w:val="000000"/>
        </w:rPr>
        <w:t>ethylenediamine tetraacetic acid</w:t>
      </w:r>
      <w:r w:rsidRPr="00AE67E1">
        <w:rPr>
          <w:rFonts w:ascii="Book Antiqua" w:eastAsia="Book Antiqua" w:hAnsi="Book Antiqua" w:cs="Book Antiqua"/>
          <w:color w:val="000000"/>
        </w:rPr>
        <w:t>. Red blood cell lysis buffer was used to lyse erythrocytes, and magnetic beads were used to deplete CD45+ leukocytes. The folate receptor, which is only expressed on tumor cells, and a synthesized oligonucleotide were used to label the CTCs. The conjugate was annealed and extended using a reverse transcriptase primer prior to amplification. The enriched CTCs were stained by immunofluorescence. Cells expressing the folate ligand and cytokeratin, which were stained with the nuclear stain 4′,6-diamidino- 2-phenylindole, were defined as</w:t>
      </w:r>
      <w:r w:rsidRPr="00CB3ED3">
        <w:rPr>
          <w:rFonts w:ascii="Book Antiqua" w:eastAsia="Book Antiqua" w:hAnsi="Book Antiqua" w:cs="Book Antiqua"/>
          <w:color w:val="000000"/>
        </w:rPr>
        <w:t xml:space="preserve"> </w:t>
      </w:r>
      <w:r w:rsidR="00CB3ED3" w:rsidRPr="00CB3ED3">
        <w:rPr>
          <w:rFonts w:ascii="Book Antiqua" w:eastAsia="Book Antiqua" w:hAnsi="Book Antiqua" w:cs="Book Antiqua"/>
          <w:color w:val="000000"/>
        </w:rPr>
        <w:t xml:space="preserve">folate </w:t>
      </w:r>
      <w:r w:rsidR="00CB3ED3" w:rsidRPr="00CB3ED3">
        <w:rPr>
          <w:rFonts w:ascii="Book Antiqua" w:eastAsia="Book Antiqua" w:hAnsi="Book Antiqua" w:cs="Book Antiqua"/>
          <w:color w:val="000000"/>
        </w:rPr>
        <w:lastRenderedPageBreak/>
        <w:t>receptor</w:t>
      </w:r>
      <w:r w:rsidR="00383E06">
        <w:rPr>
          <w:rFonts w:ascii="Book Antiqua" w:eastAsia="Book Antiqua" w:hAnsi="Book Antiqua" w:cs="Book Antiqua"/>
          <w:color w:val="000000"/>
        </w:rPr>
        <w:t xml:space="preserve"> positive</w:t>
      </w:r>
      <w:r w:rsidR="006454AF">
        <w:rPr>
          <w:rFonts w:ascii="Book Antiqua" w:eastAsia="Book Antiqua" w:hAnsi="Book Antiqua" w:cs="Book Antiqua"/>
          <w:color w:val="000000"/>
        </w:rPr>
        <w:t xml:space="preserve"> (</w:t>
      </w:r>
      <w:r w:rsidR="006454AF" w:rsidRPr="00AE67E1">
        <w:rPr>
          <w:rFonts w:ascii="Book Antiqua" w:eastAsia="Book Antiqua" w:hAnsi="Book Antiqua" w:cs="Book Antiqua"/>
          <w:color w:val="000000"/>
        </w:rPr>
        <w:t>FR+</w:t>
      </w:r>
      <w:r w:rsidR="006454AF">
        <w:rPr>
          <w:rFonts w:ascii="Book Antiqua" w:eastAsia="Book Antiqua" w:hAnsi="Book Antiqua" w:cs="Book Antiqua"/>
          <w:color w:val="000000"/>
        </w:rPr>
        <w:t xml:space="preserve">) </w:t>
      </w:r>
      <w:r w:rsidRPr="00AE67E1">
        <w:rPr>
          <w:rFonts w:ascii="Book Antiqua" w:eastAsia="Book Antiqua" w:hAnsi="Book Antiqua" w:cs="Book Antiqua"/>
          <w:color w:val="000000"/>
        </w:rPr>
        <w:t>CTCs. These procedures were completed within 1 h</w:t>
      </w:r>
      <w:r w:rsidRPr="00DB3415">
        <w:rPr>
          <w:rFonts w:ascii="Book Antiqua" w:eastAsia="Book Antiqua" w:hAnsi="Book Antiqua" w:cs="Book Antiqua"/>
          <w:color w:val="000000"/>
          <w:vertAlign w:val="superscript"/>
        </w:rPr>
        <w:t>[</w:t>
      </w:r>
      <w:hyperlink w:anchor="_ENREF_13" w:tooltip="Zhao, 2015 #40" w:history="1">
        <w:r w:rsidRPr="00DB3415">
          <w:rPr>
            <w:rFonts w:ascii="Book Antiqua" w:eastAsia="Book Antiqua" w:hAnsi="Book Antiqua" w:cs="Book Antiqua"/>
            <w:color w:val="000000"/>
            <w:u w:val="single" w:color="0000EE"/>
            <w:vertAlign w:val="superscript"/>
          </w:rPr>
          <w:t>13</w:t>
        </w:r>
      </w:hyperlink>
      <w:r w:rsidR="00DB3415" w:rsidRPr="00DB3415">
        <w:rPr>
          <w:rFonts w:ascii="Book Antiqua" w:eastAsia="Book Antiqua" w:hAnsi="Book Antiqua" w:cs="Book Antiqua"/>
          <w:color w:val="000000"/>
          <w:vertAlign w:val="superscript"/>
        </w:rPr>
        <w:t>,</w:t>
      </w:r>
      <w:hyperlink w:anchor="_ENREF_14" w:tooltip="Yu, 2013 #39" w:history="1">
        <w:r w:rsidRPr="00DB3415">
          <w:rPr>
            <w:rFonts w:ascii="Book Antiqua" w:eastAsia="Book Antiqua" w:hAnsi="Book Antiqua" w:cs="Book Antiqua"/>
            <w:color w:val="000000"/>
            <w:u w:val="single" w:color="0000EE"/>
            <w:vertAlign w:val="superscript"/>
          </w:rPr>
          <w:t>14</w:t>
        </w:r>
      </w:hyperlink>
      <w:r w:rsidRPr="00DB3415">
        <w:rPr>
          <w:rFonts w:ascii="Book Antiqua" w:eastAsia="Book Antiqua" w:hAnsi="Book Antiqua" w:cs="Book Antiqua"/>
          <w:color w:val="000000"/>
          <w:vertAlign w:val="superscript"/>
        </w:rPr>
        <w:t>]</w:t>
      </w:r>
      <w:r w:rsidRPr="00AE67E1">
        <w:rPr>
          <w:rFonts w:ascii="Book Antiqua" w:eastAsia="Book Antiqua" w:hAnsi="Book Antiqua" w:cs="Book Antiqua"/>
          <w:color w:val="000000"/>
        </w:rPr>
        <w:t>. The threshold for positivity was an FR</w:t>
      </w:r>
      <w:r w:rsidR="00472B33">
        <w:rPr>
          <w:rFonts w:ascii="Book Antiqua" w:eastAsia="Book Antiqua" w:hAnsi="Book Antiqua" w:cs="Book Antiqua"/>
          <w:color w:val="000000"/>
        </w:rPr>
        <w:t>+</w:t>
      </w:r>
      <w:r w:rsidR="004E7AD1">
        <w:rPr>
          <w:rFonts w:ascii="Book Antiqua" w:eastAsia="Book Antiqua" w:hAnsi="Book Antiqua" w:cs="Book Antiqua"/>
          <w:color w:val="000000"/>
        </w:rPr>
        <w:t xml:space="preserve"> </w:t>
      </w:r>
      <w:r w:rsidRPr="00AE67E1">
        <w:rPr>
          <w:rFonts w:ascii="Book Antiqua" w:eastAsia="Book Antiqua" w:hAnsi="Book Antiqua" w:cs="Book Antiqua"/>
          <w:color w:val="000000"/>
        </w:rPr>
        <w:t>CTC value ≥</w:t>
      </w:r>
      <w:r w:rsidR="003762A1">
        <w:rPr>
          <w:rFonts w:ascii="Book Antiqua" w:eastAsia="Book Antiqua" w:hAnsi="Book Antiqua" w:cs="Book Antiqua"/>
          <w:color w:val="000000"/>
        </w:rPr>
        <w:t xml:space="preserve"> </w:t>
      </w:r>
      <w:r w:rsidRPr="00AE67E1">
        <w:rPr>
          <w:rFonts w:ascii="Book Antiqua" w:eastAsia="Book Antiqua" w:hAnsi="Book Antiqua" w:cs="Book Antiqua"/>
          <w:color w:val="000000"/>
        </w:rPr>
        <w:t>8.7 FU/3 mL</w:t>
      </w:r>
      <w:r w:rsidRPr="00DB3415">
        <w:rPr>
          <w:rFonts w:ascii="Book Antiqua" w:eastAsia="Book Antiqua" w:hAnsi="Book Antiqua" w:cs="Book Antiqua"/>
          <w:color w:val="000000"/>
          <w:vertAlign w:val="superscript"/>
        </w:rPr>
        <w:t>[</w:t>
      </w:r>
      <w:hyperlink w:anchor="_ENREF_13" w:tooltip="Zhao, 2015 #40" w:history="1">
        <w:r w:rsidRPr="00DB3415">
          <w:rPr>
            <w:rFonts w:ascii="Book Antiqua" w:eastAsia="Book Antiqua" w:hAnsi="Book Antiqua" w:cs="Book Antiqua"/>
            <w:color w:val="000000"/>
            <w:u w:val="single" w:color="0000EE"/>
            <w:vertAlign w:val="superscript"/>
          </w:rPr>
          <w:t>13</w:t>
        </w:r>
      </w:hyperlink>
      <w:r w:rsidR="00DB3415" w:rsidRPr="00DB3415">
        <w:rPr>
          <w:rFonts w:ascii="Book Antiqua" w:eastAsia="Book Antiqua" w:hAnsi="Book Antiqua" w:cs="Book Antiqua"/>
          <w:color w:val="000000"/>
          <w:vertAlign w:val="superscript"/>
        </w:rPr>
        <w:t>,</w:t>
      </w:r>
      <w:hyperlink w:anchor="_ENREF_14" w:tooltip="Yu, 2013 #39" w:history="1">
        <w:r w:rsidRPr="00DB3415">
          <w:rPr>
            <w:rFonts w:ascii="Book Antiqua" w:eastAsia="Book Antiqua" w:hAnsi="Book Antiqua" w:cs="Book Antiqua"/>
            <w:color w:val="000000"/>
            <w:u w:val="single" w:color="0000EE"/>
            <w:vertAlign w:val="superscript"/>
          </w:rPr>
          <w:t>14</w:t>
        </w:r>
      </w:hyperlink>
      <w:r w:rsidRPr="00DB3415">
        <w:rPr>
          <w:rFonts w:ascii="Book Antiqua" w:eastAsia="Book Antiqua" w:hAnsi="Book Antiqua" w:cs="Book Antiqua"/>
          <w:color w:val="000000"/>
          <w:vertAlign w:val="superscript"/>
        </w:rPr>
        <w:t>]</w:t>
      </w:r>
      <w:r w:rsidRPr="00AE67E1">
        <w:rPr>
          <w:rFonts w:ascii="Book Antiqua" w:eastAsia="Book Antiqua" w:hAnsi="Book Antiqua" w:cs="Book Antiqua"/>
          <w:color w:val="000000"/>
        </w:rPr>
        <w:t>.</w:t>
      </w:r>
    </w:p>
    <w:p w14:paraId="5414FF99" w14:textId="77777777" w:rsidR="00F07400" w:rsidRPr="00AE67E1" w:rsidRDefault="00F07400" w:rsidP="00AE67E1">
      <w:pPr>
        <w:spacing w:line="360" w:lineRule="auto"/>
        <w:jc w:val="both"/>
        <w:rPr>
          <w:rFonts w:ascii="Book Antiqua" w:hAnsi="Book Antiqua"/>
        </w:rPr>
      </w:pPr>
    </w:p>
    <w:p w14:paraId="449E7B34" w14:textId="77777777" w:rsidR="00F07400" w:rsidRPr="003762A1" w:rsidRDefault="00C430B4" w:rsidP="00AE67E1">
      <w:pPr>
        <w:spacing w:line="360" w:lineRule="auto"/>
        <w:jc w:val="both"/>
        <w:rPr>
          <w:rFonts w:ascii="Book Antiqua" w:hAnsi="Book Antiqua"/>
          <w:i/>
          <w:iCs/>
        </w:rPr>
      </w:pPr>
      <w:r w:rsidRPr="003762A1">
        <w:rPr>
          <w:rFonts w:ascii="Book Antiqua" w:eastAsia="Book Antiqua" w:hAnsi="Book Antiqua" w:cs="Book Antiqua"/>
          <w:b/>
          <w:bCs/>
          <w:i/>
          <w:iCs/>
          <w:color w:val="000000"/>
        </w:rPr>
        <w:t>Data analysis</w:t>
      </w:r>
    </w:p>
    <w:p w14:paraId="0EE965F1" w14:textId="77777777" w:rsidR="00551BE9"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The Student-Newman-Keuls test</w:t>
      </w:r>
      <w:r w:rsidR="003762A1">
        <w:rPr>
          <w:rFonts w:ascii="Book Antiqua" w:eastAsia="Book Antiqua" w:hAnsi="Book Antiqua" w:cs="Book Antiqua"/>
          <w:color w:val="000000"/>
        </w:rPr>
        <w:t xml:space="preserve"> </w:t>
      </w:r>
      <w:r w:rsidRPr="00AE67E1">
        <w:rPr>
          <w:rFonts w:ascii="Book Antiqua" w:eastAsia="Book Antiqua" w:hAnsi="Book Antiqua" w:cs="Book Antiqua"/>
          <w:color w:val="000000"/>
        </w:rPr>
        <w:t>was used to analyze the variance among groups. Positive rates were compared using the c²</w:t>
      </w:r>
      <w:r w:rsidR="003762A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test, and comparisons between two groups were performed using the Kappa Concordance Test. Cutoff values were determined using </w:t>
      </w:r>
      <w:r w:rsidR="003762A1" w:rsidRPr="00AE67E1">
        <w:rPr>
          <w:rFonts w:ascii="Book Antiqua" w:eastAsia="Book Antiqua" w:hAnsi="Book Antiqua" w:cs="Book Antiqua"/>
          <w:color w:val="000000"/>
        </w:rPr>
        <w:t>receiver operating characteristic (ROC)</w:t>
      </w:r>
      <w:r w:rsidRPr="00AE67E1">
        <w:rPr>
          <w:rFonts w:ascii="Book Antiqua" w:eastAsia="Book Antiqua" w:hAnsi="Book Antiqua" w:cs="Book Antiqua"/>
          <w:color w:val="000000"/>
        </w:rPr>
        <w:t xml:space="preserve"> curves. Statistical analys</w:t>
      </w:r>
      <w:r w:rsidR="006454AF">
        <w:rPr>
          <w:rFonts w:ascii="Book Antiqua" w:eastAsia="Book Antiqua" w:hAnsi="Book Antiqua" w:cs="Book Antiqua"/>
          <w:color w:val="000000"/>
        </w:rPr>
        <w:t>e</w:t>
      </w:r>
      <w:r w:rsidRPr="00AE67E1">
        <w:rPr>
          <w:rFonts w:ascii="Book Antiqua" w:eastAsia="Book Antiqua" w:hAnsi="Book Antiqua" w:cs="Book Antiqua"/>
          <w:color w:val="000000"/>
        </w:rPr>
        <w:t>s w</w:t>
      </w:r>
      <w:r w:rsidR="006454AF">
        <w:rPr>
          <w:rFonts w:ascii="Book Antiqua" w:eastAsia="Book Antiqua" w:hAnsi="Book Antiqua" w:cs="Book Antiqua"/>
          <w:color w:val="000000"/>
        </w:rPr>
        <w:t>ere</w:t>
      </w:r>
      <w:r w:rsidRPr="00AE67E1">
        <w:rPr>
          <w:rFonts w:ascii="Book Antiqua" w:eastAsia="Book Antiqua" w:hAnsi="Book Antiqua" w:cs="Book Antiqua"/>
          <w:color w:val="000000"/>
        </w:rPr>
        <w:t xml:space="preserve"> performed using SPSS Version 23.0 software for Windows (SPSS, Inc., Chicago, IL, U</w:t>
      </w:r>
      <w:r w:rsidR="003762A1">
        <w:rPr>
          <w:rFonts w:ascii="Book Antiqua" w:eastAsia="Book Antiqua" w:hAnsi="Book Antiqua" w:cs="Book Antiqua"/>
          <w:color w:val="000000"/>
        </w:rPr>
        <w:t>nited States</w:t>
      </w:r>
      <w:r w:rsidRPr="00AE67E1">
        <w:rPr>
          <w:rFonts w:ascii="Book Antiqua" w:eastAsia="Book Antiqua" w:hAnsi="Book Antiqua" w:cs="Book Antiqua"/>
          <w:color w:val="000000"/>
        </w:rPr>
        <w:t xml:space="preserve">). A value of </w:t>
      </w:r>
      <w:r w:rsidR="003762A1">
        <w:rPr>
          <w:rFonts w:ascii="Book Antiqua" w:eastAsia="Book Antiqua" w:hAnsi="Book Antiqua" w:cs="Book Antiqua"/>
          <w:i/>
          <w:iCs/>
          <w:color w:val="000000"/>
        </w:rPr>
        <w:t>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&lt;</w:t>
      </w:r>
      <w:r w:rsidR="003762A1">
        <w:rPr>
          <w:rFonts w:ascii="Book Antiqua" w:eastAsia="Book Antiqua" w:hAnsi="Book Antiqua" w:cs="Book Antiqua"/>
          <w:color w:val="000000"/>
        </w:rPr>
        <w:t xml:space="preserve"> </w:t>
      </w:r>
      <w:r w:rsidRPr="00AE67E1">
        <w:rPr>
          <w:rFonts w:ascii="Book Antiqua" w:eastAsia="Book Antiqua" w:hAnsi="Book Antiqua" w:cs="Book Antiqua"/>
          <w:color w:val="000000"/>
        </w:rPr>
        <w:t>0.05 (two-sided) was considered statistically significant.</w:t>
      </w:r>
    </w:p>
    <w:p w14:paraId="2AF87F2E" w14:textId="77777777" w:rsidR="00551BE9" w:rsidRDefault="00551BE9" w:rsidP="00AE67E1">
      <w:pPr>
        <w:spacing w:line="360" w:lineRule="auto"/>
        <w:jc w:val="both"/>
        <w:rPr>
          <w:rFonts w:ascii="Book Antiqua" w:eastAsia="Book Antiqua" w:hAnsi="Book Antiqua" w:cs="Book Antiqua"/>
          <w:color w:val="000000"/>
        </w:rPr>
      </w:pPr>
    </w:p>
    <w:p w14:paraId="1A33DD22" w14:textId="77777777" w:rsidR="00F07400"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 </w:t>
      </w:r>
      <m:oMath>
        <m:r>
          <w:rPr>
            <w:rFonts w:ascii="Cambria Math" w:hAnsi="Cambria Math"/>
          </w:rPr>
          <m:t>Sensitivity</m:t>
        </m:r>
        <m:r>
          <w:rPr>
            <w:rFonts w:ascii="Cambria Math" w:eastAsia="Cambria Math" w:hAnsi="Cambria Math" w:cs="Cambria Math"/>
          </w:rPr>
          <m:t>=</m:t>
        </m:r>
        <m:f>
          <m:fPr>
            <m:ctrlPr>
              <w:rPr>
                <w:rFonts w:ascii="Cambria Math" w:eastAsia="Cambria Math" w:hAnsi="Cambria Math"/>
                <w:i/>
                <w:iCs/>
              </w:rPr>
            </m:ctrlPr>
          </m:fPr>
          <m:num>
            <m:r>
              <w:rPr>
                <w:rFonts w:ascii="Cambria Math" w:hAnsi="Cambria Math"/>
              </w:rPr>
              <m:t xml:space="preserve"> true positive</m:t>
            </m:r>
          </m:num>
          <m:den>
            <m:r>
              <w:rPr>
                <w:rFonts w:ascii="Cambria Math" w:hAnsi="Cambria Math"/>
              </w:rPr>
              <m:t>true positive + false negative</m:t>
            </m:r>
          </m:den>
        </m:f>
      </m:oMath>
      <w:r w:rsidRPr="00AE67E1">
        <w:rPr>
          <w:rFonts w:ascii="Book Antiqua" w:hAnsi="Book Antiqua"/>
        </w:rPr>
        <w:t xml:space="preserve"> , </w:t>
      </w:r>
      <m:oMath>
        <m:r>
          <w:rPr>
            <w:rFonts w:ascii="Cambria Math" w:hAnsi="Cambria Math"/>
          </w:rPr>
          <m:t>Specificity</m:t>
        </m:r>
        <m:r>
          <w:rPr>
            <w:rFonts w:ascii="Cambria Math" w:eastAsia="Cambria Math" w:hAnsi="Cambria Math" w:cs="Cambria Math"/>
          </w:rPr>
          <m:t>=</m:t>
        </m:r>
        <m:f>
          <m:fPr>
            <m:ctrlPr>
              <w:rPr>
                <w:rFonts w:ascii="Cambria Math" w:eastAsia="Cambria Math" w:hAnsi="Cambria Math"/>
                <w:i/>
                <w:iCs/>
              </w:rPr>
            </m:ctrlPr>
          </m:fPr>
          <m:num>
            <m:r>
              <w:rPr>
                <w:rFonts w:ascii="Cambria Math" w:hAnsi="Cambria Math"/>
              </w:rPr>
              <m:t>true negative</m:t>
            </m:r>
          </m:num>
          <m:den>
            <m:r>
              <w:rPr>
                <w:rFonts w:ascii="Cambria Math" w:hAnsi="Cambria Math"/>
              </w:rPr>
              <m:t>true negative + false positive</m:t>
            </m:r>
          </m:den>
        </m:f>
      </m:oMath>
      <w:r w:rsidRPr="00AE67E1">
        <w:rPr>
          <w:rFonts w:ascii="Book Antiqua" w:hAnsi="Book Antiqua"/>
        </w:rPr>
        <w:t xml:space="preserve"> .</w:t>
      </w:r>
    </w:p>
    <w:bookmarkEnd w:id="51"/>
    <w:bookmarkEnd w:id="52"/>
    <w:p w14:paraId="52B71786" w14:textId="77777777" w:rsidR="00551BE9" w:rsidRPr="00AE67E1" w:rsidRDefault="00551BE9" w:rsidP="00AE67E1">
      <w:pPr>
        <w:spacing w:line="360" w:lineRule="auto"/>
        <w:jc w:val="both"/>
        <w:rPr>
          <w:rFonts w:ascii="Book Antiqua" w:hAnsi="Book Antiqua"/>
        </w:rPr>
      </w:pPr>
    </w:p>
    <w:p w14:paraId="550E560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aps/>
          <w:color w:val="000000"/>
          <w:u w:val="single"/>
        </w:rPr>
        <w:t>RESULTS</w:t>
      </w:r>
    </w:p>
    <w:p w14:paraId="22074F65" w14:textId="77777777" w:rsidR="00F07400" w:rsidRPr="008C7151" w:rsidRDefault="00C430B4" w:rsidP="00AE67E1">
      <w:pPr>
        <w:spacing w:line="360" w:lineRule="auto"/>
        <w:jc w:val="both"/>
        <w:rPr>
          <w:rFonts w:ascii="Book Antiqua" w:hAnsi="Book Antiqua"/>
          <w:i/>
          <w:iCs/>
        </w:rPr>
      </w:pPr>
      <w:r w:rsidRPr="008C7151">
        <w:rPr>
          <w:rFonts w:ascii="Book Antiqua" w:eastAsia="Book Antiqua" w:hAnsi="Book Antiqua" w:cs="Book Antiqua"/>
          <w:b/>
          <w:bCs/>
          <w:i/>
          <w:iCs/>
          <w:color w:val="000000"/>
        </w:rPr>
        <w:t>Distribution of CTCs in patients and controls</w:t>
      </w:r>
    </w:p>
    <w:p w14:paraId="0D7D8B0B"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As shown in Figure 1A, </w:t>
      </w:r>
      <w:r w:rsidR="00081B95" w:rsidRPr="00AE67E1">
        <w:rPr>
          <w:rFonts w:ascii="Book Antiqua" w:eastAsia="Book Antiqua" w:hAnsi="Book Antiqua" w:cs="Book Antiqua"/>
          <w:color w:val="000000"/>
        </w:rPr>
        <w:t xml:space="preserve">epithelial </w:t>
      </w:r>
      <w:r w:rsidR="00081B95">
        <w:rPr>
          <w:rFonts w:ascii="Book Antiqua" w:eastAsia="Book Antiqua" w:hAnsi="Book Antiqua" w:cs="Book Antiqua"/>
          <w:color w:val="000000"/>
        </w:rPr>
        <w:t>(</w:t>
      </w:r>
      <w:r w:rsidRPr="00AE67E1">
        <w:rPr>
          <w:rFonts w:ascii="Book Antiqua" w:eastAsia="Book Antiqua" w:hAnsi="Book Antiqua" w:cs="Book Antiqua"/>
          <w:color w:val="000000"/>
        </w:rPr>
        <w:t>E</w:t>
      </w:r>
      <w:r w:rsidR="00081B95">
        <w:rPr>
          <w:rFonts w:ascii="Book Antiqua" w:eastAsia="Book Antiqua" w:hAnsi="Book Antiqua" w:cs="Book Antiqua"/>
          <w:color w:val="000000"/>
        </w:rPr>
        <w:t>)</w:t>
      </w:r>
      <w:r w:rsidR="008C7151">
        <w:rPr>
          <w:rFonts w:ascii="Book Antiqua" w:eastAsia="Book Antiqua" w:hAnsi="Book Antiqua" w:cs="Book Antiqua"/>
          <w:color w:val="000000"/>
        </w:rPr>
        <w:t xml:space="preserve"> and</w:t>
      </w:r>
      <w:r w:rsidRPr="00AE67E1">
        <w:rPr>
          <w:rFonts w:ascii="Book Antiqua" w:eastAsia="Book Antiqua" w:hAnsi="Book Antiqua" w:cs="Book Antiqua"/>
          <w:color w:val="000000"/>
        </w:rPr>
        <w:t xml:space="preserve"> </w:t>
      </w:r>
      <w:r w:rsidR="00081B95" w:rsidRPr="00AE67E1">
        <w:rPr>
          <w:rFonts w:ascii="Book Antiqua" w:eastAsia="Book Antiqua" w:hAnsi="Book Antiqua" w:cs="Book Antiqua"/>
          <w:color w:val="000000"/>
        </w:rPr>
        <w:t xml:space="preserve">mesenchymal </w:t>
      </w:r>
      <w:r w:rsidR="00081B95">
        <w:rPr>
          <w:rFonts w:ascii="Book Antiqua" w:eastAsia="Book Antiqua" w:hAnsi="Book Antiqua" w:cs="Book Antiqua"/>
          <w:color w:val="000000"/>
        </w:rPr>
        <w:t>(</w:t>
      </w:r>
      <w:r w:rsidRPr="00AE67E1">
        <w:rPr>
          <w:rFonts w:ascii="Book Antiqua" w:eastAsia="Book Antiqua" w:hAnsi="Book Antiqua" w:cs="Book Antiqua"/>
          <w:color w:val="000000"/>
        </w:rPr>
        <w:t>M</w:t>
      </w:r>
      <w:r w:rsidR="00081B95">
        <w:rPr>
          <w:rFonts w:ascii="Book Antiqua" w:eastAsia="Book Antiqua" w:hAnsi="Book Antiqua" w:cs="Book Antiqua"/>
          <w:color w:val="000000"/>
        </w:rPr>
        <w:t>)</w:t>
      </w:r>
      <w:r w:rsidRPr="00AE67E1">
        <w:rPr>
          <w:rFonts w:ascii="Book Antiqua" w:eastAsia="Book Antiqua" w:hAnsi="Book Antiqua" w:cs="Book Antiqua"/>
          <w:color w:val="000000"/>
        </w:rPr>
        <w:t xml:space="preserve">, and E&amp;M markers were detected in CTCs. Therefore, CTCs were divided into three subtypes according to the associated markers, </w:t>
      </w:r>
      <w:r w:rsidRPr="008C7151">
        <w:rPr>
          <w:rFonts w:ascii="Book Antiqua" w:eastAsia="Book Antiqua" w:hAnsi="Book Antiqua" w:cs="Book Antiqua"/>
          <w:i/>
          <w:iCs/>
          <w:color w:val="000000"/>
        </w:rPr>
        <w:t>i.e.</w:t>
      </w:r>
      <w:r w:rsidRPr="00AE67E1">
        <w:rPr>
          <w:rFonts w:ascii="Book Antiqua" w:eastAsia="Book Antiqua" w:hAnsi="Book Antiqua" w:cs="Book Antiqua"/>
          <w:color w:val="000000"/>
        </w:rPr>
        <w:t xml:space="preserve"> E-CTCs, M-CTCs and E&amp;M-CTCs.</w:t>
      </w:r>
    </w:p>
    <w:p w14:paraId="244BE510" w14:textId="77777777" w:rsidR="00E046A4" w:rsidRDefault="00C430B4">
      <w:pPr>
        <w:spacing w:line="360" w:lineRule="auto"/>
        <w:ind w:firstLineChars="112" w:firstLine="269"/>
        <w:jc w:val="both"/>
        <w:rPr>
          <w:rFonts w:ascii="Book Antiqua" w:hAnsi="Book Antiqua"/>
        </w:rPr>
      </w:pPr>
      <w:r w:rsidRPr="00AE67E1">
        <w:rPr>
          <w:rFonts w:ascii="Book Antiqua" w:eastAsia="Book Antiqua" w:hAnsi="Book Antiqua" w:cs="Book Antiqua"/>
          <w:color w:val="000000"/>
        </w:rPr>
        <w:t xml:space="preserve">Of </w:t>
      </w:r>
      <w:r w:rsidR="006454AF">
        <w:rPr>
          <w:rFonts w:ascii="Book Antiqua" w:eastAsia="Book Antiqua" w:hAnsi="Book Antiqua" w:cs="Book Antiqua"/>
          <w:color w:val="000000"/>
        </w:rPr>
        <w:t xml:space="preserve">the </w:t>
      </w:r>
      <w:r w:rsidRPr="00AE67E1">
        <w:rPr>
          <w:rFonts w:ascii="Book Antiqua" w:eastAsia="Book Antiqua" w:hAnsi="Book Antiqua" w:cs="Book Antiqua"/>
          <w:color w:val="000000"/>
        </w:rPr>
        <w:t>106 LC cases, 94 (88.6%) had</w:t>
      </w:r>
      <w:r w:rsidR="007F7774">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at least one CTC, whereas CTCs were only detectable in </w:t>
      </w:r>
      <w:r w:rsidR="006454AF">
        <w:rPr>
          <w:rFonts w:ascii="Book Antiqua" w:eastAsia="Book Antiqua" w:hAnsi="Book Antiqua" w:cs="Book Antiqua"/>
          <w:color w:val="000000"/>
        </w:rPr>
        <w:t>4</w:t>
      </w:r>
      <w:r w:rsidR="006454AF"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of 11 benign controls and </w:t>
      </w:r>
      <w:r w:rsidR="006454AF">
        <w:rPr>
          <w:rFonts w:ascii="Book Antiqua" w:eastAsia="Book Antiqua" w:hAnsi="Book Antiqua" w:cs="Book Antiqua"/>
          <w:color w:val="000000"/>
        </w:rPr>
        <w:t xml:space="preserve">6 </w:t>
      </w:r>
      <w:r w:rsidRPr="00AE67E1">
        <w:rPr>
          <w:rFonts w:ascii="Book Antiqua" w:eastAsia="Book Antiqua" w:hAnsi="Book Antiqua" w:cs="Book Antiqua"/>
          <w:color w:val="000000"/>
        </w:rPr>
        <w:t>of 17 healthy controls. The detection rate of CTCs was significantly higher in LC cases than in benign or healthy controls (Figure 1B).</w:t>
      </w:r>
      <w:r w:rsidR="006454AF">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E-CTCs were detected in 53 (53/106) LC cases, </w:t>
      </w:r>
      <w:r w:rsidR="006454AF">
        <w:rPr>
          <w:rFonts w:ascii="Book Antiqua" w:eastAsia="Book Antiqua" w:hAnsi="Book Antiqua" w:cs="Book Antiqua"/>
          <w:color w:val="000000"/>
        </w:rPr>
        <w:t>3</w:t>
      </w:r>
      <w:r w:rsidR="006454AF"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benign controls (3/11), and </w:t>
      </w:r>
      <w:r w:rsidR="006454AF">
        <w:rPr>
          <w:rFonts w:ascii="Book Antiqua" w:eastAsia="Book Antiqua" w:hAnsi="Book Antiqua" w:cs="Book Antiqua"/>
          <w:color w:val="000000"/>
        </w:rPr>
        <w:t>5</w:t>
      </w:r>
      <w:r w:rsidR="006454AF"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healthy controls (5/17) (Figure 1B). There was no significant difference in the incidence of E-CTCs among LC cases, benign cases, and healthy controls. The incidence of M-CTCs was significantly higher in LC cases than in healthy controls (52/106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0/17</w:t>
      </w:r>
      <w:r w:rsidR="006454AF">
        <w:rPr>
          <w:rFonts w:ascii="Book Antiqua" w:eastAsia="Book Antiqua" w:hAnsi="Book Antiqua" w:cs="Book Antiqua"/>
          <w:color w:val="000000"/>
        </w:rPr>
        <w:t>;</w:t>
      </w:r>
      <w:r w:rsidRPr="00AE67E1">
        <w:rPr>
          <w:rFonts w:ascii="Book Antiqua" w:eastAsia="Book Antiqua" w:hAnsi="Book Antiqua" w:cs="Book Antiqua"/>
          <w:color w:val="000000"/>
        </w:rPr>
        <w:t xml:space="preserve"> </w:t>
      </w:r>
      <w:r w:rsidR="00413DA8">
        <w:rPr>
          <w:rFonts w:ascii="Book Antiqua" w:eastAsia="Book Antiqua" w:hAnsi="Book Antiqua" w:cs="Book Antiqua"/>
          <w:i/>
          <w:iCs/>
          <w:color w:val="000000"/>
        </w:rPr>
        <w:t>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 xml:space="preserve">&lt; 0.05), whereas there was no significant difference between LC cases and benign controls (52/106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3/11). The incidence of E&amp;M-CTCs was significantly higher in LC cases than in benign controls (74/106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4/11</w:t>
      </w:r>
      <w:r w:rsidR="006454AF">
        <w:rPr>
          <w:rFonts w:ascii="Book Antiqua" w:eastAsia="Book Antiqua" w:hAnsi="Book Antiqua" w:cs="Book Antiqua"/>
          <w:color w:val="000000"/>
        </w:rPr>
        <w:t>;</w:t>
      </w:r>
      <w:r w:rsidR="00413DA8">
        <w:rPr>
          <w:rFonts w:ascii="Book Antiqua" w:eastAsia="Book Antiqua" w:hAnsi="Book Antiqua" w:cs="Book Antiqua"/>
          <w:i/>
          <w:iCs/>
          <w:color w:val="000000"/>
        </w:rPr>
        <w:t xml:space="preserve"> 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 xml:space="preserve">&lt; 0.05) and in healthy controls (74/106 </w:t>
      </w:r>
      <w:r w:rsidRPr="00C6110D">
        <w:rPr>
          <w:rFonts w:ascii="Book Antiqua" w:eastAsia="Book Antiqua" w:hAnsi="Book Antiqua" w:cs="Book Antiqua"/>
          <w:i/>
          <w:color w:val="000000"/>
        </w:rPr>
        <w:t>vs</w:t>
      </w:r>
      <w:r w:rsidR="00C6110D">
        <w:rPr>
          <w:rFonts w:ascii="Book Antiqua" w:eastAsia="Book Antiqua" w:hAnsi="Book Antiqua" w:cs="Book Antiqua"/>
          <w:color w:val="000000"/>
        </w:rPr>
        <w:t xml:space="preserve"> </w:t>
      </w:r>
      <w:r w:rsidRPr="00AE67E1">
        <w:rPr>
          <w:rFonts w:ascii="Book Antiqua" w:eastAsia="Book Antiqua" w:hAnsi="Book Antiqua" w:cs="Book Antiqua"/>
          <w:color w:val="000000"/>
        </w:rPr>
        <w:t>1/17</w:t>
      </w:r>
      <w:r w:rsidR="006454AF">
        <w:rPr>
          <w:rFonts w:ascii="Book Antiqua" w:eastAsia="Book Antiqua" w:hAnsi="Book Antiqua" w:cs="Book Antiqua"/>
          <w:color w:val="000000"/>
        </w:rPr>
        <w:t>;</w:t>
      </w:r>
      <w:r w:rsidRPr="00AE67E1">
        <w:rPr>
          <w:rFonts w:ascii="Book Antiqua" w:eastAsia="Book Antiqua" w:hAnsi="Book Antiqua" w:cs="Book Antiqua"/>
          <w:color w:val="000000"/>
        </w:rPr>
        <w:t xml:space="preserve"> </w:t>
      </w:r>
      <w:r w:rsidR="00413DA8">
        <w:rPr>
          <w:rFonts w:ascii="Book Antiqua" w:eastAsia="Book Antiqua" w:hAnsi="Book Antiqua" w:cs="Book Antiqua"/>
          <w:i/>
          <w:iCs/>
          <w:color w:val="000000"/>
        </w:rPr>
        <w:t>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 xml:space="preserve">&lt; 0.01). CTCs were detectable in 35 (83.3%) of 42 GGO cases including E-CTCs in 20 </w:t>
      </w:r>
      <w:r w:rsidRPr="00AE67E1">
        <w:rPr>
          <w:rFonts w:ascii="Book Antiqua" w:eastAsia="Book Antiqua" w:hAnsi="Book Antiqua" w:cs="Book Antiqua"/>
          <w:color w:val="000000"/>
        </w:rPr>
        <w:lastRenderedPageBreak/>
        <w:t xml:space="preserve">cases, M-CTCs in 19 cases, and E&amp;M-CTCs in 28 cases. There was no significant correlation between CTC number and pathological and demographic features such as tumor size, age, and gender (data not shown). </w:t>
      </w:r>
    </w:p>
    <w:p w14:paraId="0E9F55E8" w14:textId="77777777" w:rsidR="00E046A4" w:rsidRDefault="00C430B4">
      <w:pPr>
        <w:spacing w:line="360" w:lineRule="auto"/>
        <w:ind w:firstLineChars="112" w:firstLine="269"/>
        <w:jc w:val="both"/>
        <w:rPr>
          <w:rFonts w:ascii="Book Antiqua" w:hAnsi="Book Antiqua"/>
        </w:rPr>
      </w:pPr>
      <w:r w:rsidRPr="00AE67E1">
        <w:rPr>
          <w:rFonts w:ascii="Book Antiqua" w:eastAsia="Book Antiqua" w:hAnsi="Book Antiqua" w:cs="Book Antiqua"/>
          <w:color w:val="000000"/>
        </w:rPr>
        <w:t>The number of CTCs, M-CTCs, and E&amp;M-CTCs was significantly higher in LC cases than in healthy controls (</w:t>
      </w:r>
      <w:r w:rsidR="00413DA8">
        <w:rPr>
          <w:rFonts w:ascii="Book Antiqua" w:eastAsia="Book Antiqua" w:hAnsi="Book Antiqua" w:cs="Book Antiqua"/>
          <w:i/>
          <w:iCs/>
          <w:color w:val="000000"/>
        </w:rPr>
        <w:t xml:space="preserve">P </w:t>
      </w:r>
      <w:r w:rsidRPr="00AE67E1">
        <w:rPr>
          <w:rFonts w:ascii="Book Antiqua" w:eastAsia="Book Antiqua" w:hAnsi="Book Antiqua" w:cs="Book Antiqua"/>
          <w:color w:val="000000"/>
        </w:rPr>
        <w:t xml:space="preserve">&lt; 0.05), whereas there was no difference between LC cases and benign controls (Figure 1C). The proportions of M-CTCs plus E&amp;M-CTCs increased gradually from healthy controls, to benign controls, to LC cases (LC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benign controls: </w:t>
      </w:r>
      <w:r w:rsidR="00413DA8">
        <w:rPr>
          <w:rFonts w:ascii="Book Antiqua" w:eastAsia="Book Antiqua" w:hAnsi="Book Antiqua" w:cs="Book Antiqua"/>
          <w:i/>
          <w:iCs/>
          <w:color w:val="000000"/>
        </w:rPr>
        <w:t>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 xml:space="preserve">= 0.405; benign controls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healthy controls: </w:t>
      </w:r>
      <w:r w:rsidR="00413DA8">
        <w:rPr>
          <w:rFonts w:ascii="Book Antiqua" w:eastAsia="Book Antiqua" w:hAnsi="Book Antiqua" w:cs="Book Antiqua"/>
          <w:i/>
          <w:iCs/>
          <w:color w:val="000000"/>
        </w:rPr>
        <w:t>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 xml:space="preserve">= 0.086; LC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healthy controls: </w:t>
      </w:r>
      <w:r w:rsidR="00413DA8">
        <w:rPr>
          <w:rFonts w:ascii="Book Antiqua" w:eastAsia="Book Antiqua" w:hAnsi="Book Antiqua" w:cs="Book Antiqua"/>
          <w:i/>
          <w:iCs/>
          <w:color w:val="000000"/>
        </w:rPr>
        <w:t>P</w:t>
      </w:r>
      <w:r w:rsidRPr="00AE67E1">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 xml:space="preserve">&lt; 0.05) (Figure 1D). The proportion of M-CTCs plus E&amp;M-CTCs in GGO cases was similar to that in other LC cases. </w:t>
      </w:r>
    </w:p>
    <w:p w14:paraId="11AF5683" w14:textId="77777777" w:rsidR="00F07400" w:rsidRPr="00AE67E1" w:rsidRDefault="00F07400" w:rsidP="00AE67E1">
      <w:pPr>
        <w:spacing w:line="360" w:lineRule="auto"/>
        <w:jc w:val="both"/>
        <w:rPr>
          <w:rFonts w:ascii="Book Antiqua" w:hAnsi="Book Antiqua"/>
        </w:rPr>
      </w:pPr>
    </w:p>
    <w:p w14:paraId="0E96A008" w14:textId="77777777" w:rsidR="00F07400" w:rsidRPr="00413DA8" w:rsidRDefault="00C430B4" w:rsidP="00AE67E1">
      <w:pPr>
        <w:spacing w:line="360" w:lineRule="auto"/>
        <w:jc w:val="both"/>
        <w:rPr>
          <w:rFonts w:ascii="Book Antiqua" w:hAnsi="Book Antiqua"/>
          <w:i/>
          <w:iCs/>
        </w:rPr>
      </w:pPr>
      <w:r w:rsidRPr="00413DA8">
        <w:rPr>
          <w:rFonts w:ascii="Book Antiqua" w:eastAsia="Book Antiqua" w:hAnsi="Book Antiqua" w:cs="Book Antiqua"/>
          <w:b/>
          <w:bCs/>
          <w:i/>
          <w:iCs/>
          <w:color w:val="000000"/>
        </w:rPr>
        <w:t xml:space="preserve">Cut-off and diagnostic value of CTCs determined by ROC curve analysis </w:t>
      </w:r>
    </w:p>
    <w:p w14:paraId="43860E79"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As shown in Figure 2 and Table 2, the area under the ROC curve (AUC) of total CTCs and E&amp;M-CTCs was &gt;</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0.8 and &gt;</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0.75, respectively, indicating their potential diagnostic value for discriminating LC cases from controls. </w:t>
      </w:r>
      <w:r w:rsidR="00583CC9">
        <w:rPr>
          <w:rFonts w:ascii="Book Antiqua" w:eastAsia="Book Antiqua" w:hAnsi="Book Antiqua" w:cs="Book Antiqua"/>
          <w:color w:val="000000"/>
        </w:rPr>
        <w:t>Compared to</w:t>
      </w:r>
      <w:r w:rsidRPr="00AE67E1">
        <w:rPr>
          <w:rFonts w:ascii="Book Antiqua" w:eastAsia="Book Antiqua" w:hAnsi="Book Antiqua" w:cs="Book Antiqua"/>
          <w:color w:val="000000"/>
        </w:rPr>
        <w:t xml:space="preserve"> GGO </w:t>
      </w:r>
      <w:r w:rsidRPr="00413DA8">
        <w:rPr>
          <w:rFonts w:ascii="Book Antiqua" w:eastAsia="Book Antiqua" w:hAnsi="Book Antiqua" w:cs="Book Antiqua"/>
          <w:i/>
          <w:iCs/>
          <w:color w:val="000000"/>
        </w:rPr>
        <w:t>vs</w:t>
      </w:r>
      <w:r w:rsidRPr="00AE67E1">
        <w:rPr>
          <w:rFonts w:ascii="Book Antiqua" w:eastAsia="Book Antiqua" w:hAnsi="Book Antiqua" w:cs="Book Antiqua"/>
          <w:color w:val="000000"/>
        </w:rPr>
        <w:t xml:space="preserve"> controls, the AUC of total CTCs or E&amp;M-CTCs remained &gt;</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0.75. </w:t>
      </w:r>
    </w:p>
    <w:p w14:paraId="08E6214F" w14:textId="77777777" w:rsidR="00E046A4" w:rsidRDefault="00C430B4">
      <w:pPr>
        <w:spacing w:line="360" w:lineRule="auto"/>
        <w:ind w:firstLineChars="112" w:firstLine="269"/>
        <w:jc w:val="both"/>
        <w:rPr>
          <w:rFonts w:ascii="Book Antiqua" w:hAnsi="Book Antiqua"/>
        </w:rPr>
      </w:pPr>
      <w:r w:rsidRPr="00AE67E1">
        <w:rPr>
          <w:rFonts w:ascii="Book Antiqua" w:eastAsia="Book Antiqua" w:hAnsi="Book Antiqua" w:cs="Book Antiqua"/>
          <w:color w:val="000000"/>
        </w:rPr>
        <w:t>The most effective cut-off for positivity according to the AUC was determined to be total CTCs ≥</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2/5 mL and E&amp;M-CTCs ≥</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1/5 mL (Table 2). These cut-off values were used to determine the sensitivity of total CTCs and E&amp;M-CTCs for diagnosing LUAD, which showed that their sensitivity was higher than that of E-CTCs and M-CTCs (Table 2). After defining either total CTCs ≥</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2/5 mL or E&amp;M-CTCs ≥</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1/5 mL for positivity, the sensitivity was 85.85% for LC patients and 80.95% for GGO patients, and the specificity was 78.57%. </w:t>
      </w:r>
    </w:p>
    <w:p w14:paraId="7F989602" w14:textId="77777777" w:rsidR="00F07400" w:rsidRPr="00AE67E1" w:rsidRDefault="00F07400" w:rsidP="00AE67E1">
      <w:pPr>
        <w:spacing w:line="360" w:lineRule="auto"/>
        <w:jc w:val="both"/>
        <w:rPr>
          <w:rFonts w:ascii="Book Antiqua" w:hAnsi="Book Antiqua"/>
        </w:rPr>
      </w:pPr>
    </w:p>
    <w:p w14:paraId="1BBFC16A" w14:textId="77777777" w:rsidR="00F07400" w:rsidRPr="00413DA8" w:rsidRDefault="00C430B4" w:rsidP="00AE67E1">
      <w:pPr>
        <w:spacing w:line="360" w:lineRule="auto"/>
        <w:jc w:val="both"/>
        <w:rPr>
          <w:rFonts w:ascii="Book Antiqua" w:hAnsi="Book Antiqua"/>
          <w:i/>
          <w:iCs/>
        </w:rPr>
      </w:pPr>
      <w:r w:rsidRPr="00413DA8">
        <w:rPr>
          <w:rFonts w:ascii="Book Antiqua" w:eastAsia="Book Antiqua" w:hAnsi="Book Antiqua" w:cs="Book Antiqua"/>
          <w:b/>
          <w:bCs/>
          <w:i/>
          <w:iCs/>
          <w:color w:val="000000"/>
        </w:rPr>
        <w:t>Validation of CanPatrol</w:t>
      </w:r>
      <w:r w:rsidRPr="00413DA8">
        <w:rPr>
          <w:rFonts w:ascii="Book Antiqua" w:eastAsia="Book Antiqua" w:hAnsi="Book Antiqua" w:cs="Book Antiqua"/>
          <w:b/>
          <w:bCs/>
          <w:i/>
          <w:iCs/>
          <w:color w:val="000000"/>
          <w:vertAlign w:val="superscript"/>
        </w:rPr>
        <w:t>TM</w:t>
      </w:r>
      <w:r w:rsidR="00413DA8">
        <w:rPr>
          <w:rFonts w:ascii="Book Antiqua" w:eastAsia="Book Antiqua" w:hAnsi="Book Antiqua" w:cs="Book Antiqua"/>
          <w:b/>
          <w:bCs/>
          <w:i/>
          <w:iCs/>
          <w:color w:val="000000"/>
        </w:rPr>
        <w:t xml:space="preserve"> </w:t>
      </w:r>
      <w:r w:rsidRPr="00413DA8">
        <w:rPr>
          <w:rFonts w:ascii="Book Antiqua" w:eastAsia="Book Antiqua" w:hAnsi="Book Antiqua" w:cs="Book Antiqua"/>
          <w:b/>
          <w:bCs/>
          <w:i/>
          <w:iCs/>
          <w:color w:val="000000"/>
        </w:rPr>
        <w:t>using CytoploRare</w:t>
      </w:r>
    </w:p>
    <w:p w14:paraId="266BCE8F"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The Canpatrol</w:t>
      </w:r>
      <w:r w:rsidRPr="00AE67E1">
        <w:rPr>
          <w:rFonts w:ascii="Book Antiqua" w:eastAsia="Book Antiqua" w:hAnsi="Book Antiqua" w:cs="Book Antiqua"/>
          <w:color w:val="000000"/>
          <w:vertAlign w:val="superscript"/>
        </w:rPr>
        <w:t>TM</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method was validated using CytoploRare in 20 LC cases, </w:t>
      </w:r>
      <w:r w:rsidR="00583CC9">
        <w:rPr>
          <w:rFonts w:ascii="Book Antiqua" w:eastAsia="Book Antiqua" w:hAnsi="Book Antiqua" w:cs="Book Antiqua"/>
          <w:color w:val="000000"/>
        </w:rPr>
        <w:t>7</w:t>
      </w:r>
      <w:r w:rsidRPr="00AE67E1">
        <w:rPr>
          <w:rFonts w:ascii="Book Antiqua" w:eastAsia="Book Antiqua" w:hAnsi="Book Antiqua" w:cs="Book Antiqua"/>
          <w:color w:val="000000"/>
        </w:rPr>
        <w:t xml:space="preserve"> benign cases, and 11 healthy controls. As shown in Table 3, the Kappa values reached 0.415, indicating that the detection rate of total CTCs and E&amp;M-CTCs was comparable to that of FR</w:t>
      </w:r>
      <w:r w:rsidR="00472B33">
        <w:rPr>
          <w:rFonts w:ascii="Book Antiqua" w:eastAsia="Book Antiqua" w:hAnsi="Book Antiqua" w:cs="Book Antiqua"/>
          <w:color w:val="000000"/>
        </w:rPr>
        <w:t>+</w:t>
      </w:r>
      <w:r w:rsidR="00583CC9">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CTCs (detected by CytoploRare). Although M-CTCs also had a </w:t>
      </w:r>
      <w:r w:rsidR="00413DA8">
        <w:rPr>
          <w:rFonts w:ascii="Book Antiqua" w:eastAsia="Book Antiqua" w:hAnsi="Book Antiqua" w:cs="Book Antiqua"/>
          <w:i/>
          <w:iCs/>
          <w:color w:val="000000"/>
        </w:rPr>
        <w:t xml:space="preserve">P </w:t>
      </w:r>
      <w:r w:rsidRPr="00AE67E1">
        <w:rPr>
          <w:rFonts w:ascii="Book Antiqua" w:eastAsia="Book Antiqua" w:hAnsi="Book Antiqua" w:cs="Book Antiqua"/>
          <w:color w:val="000000"/>
        </w:rPr>
        <w:t>value of &lt;</w:t>
      </w:r>
      <w:r w:rsidR="00413DA8">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0.05 </w:t>
      </w:r>
      <w:r w:rsidRPr="00AE67E1">
        <w:rPr>
          <w:rFonts w:ascii="Book Antiqua" w:eastAsia="Book Antiqua" w:hAnsi="Book Antiqua" w:cs="Book Antiqua"/>
          <w:color w:val="000000"/>
        </w:rPr>
        <w:lastRenderedPageBreak/>
        <w:t>compared with FR</w:t>
      </w:r>
      <w:r w:rsidR="00472B33">
        <w:rPr>
          <w:rFonts w:ascii="Book Antiqua" w:eastAsia="Book Antiqua" w:hAnsi="Book Antiqua" w:cs="Book Antiqua"/>
          <w:color w:val="000000"/>
        </w:rPr>
        <w:t>+</w:t>
      </w:r>
      <w:r w:rsidR="00B61CB4">
        <w:rPr>
          <w:rFonts w:ascii="Book Antiqua" w:eastAsia="Book Antiqua" w:hAnsi="Book Antiqua" w:cs="Book Antiqua"/>
          <w:color w:val="000000"/>
        </w:rPr>
        <w:t xml:space="preserve"> </w:t>
      </w:r>
      <w:r w:rsidRPr="00AE67E1">
        <w:rPr>
          <w:rFonts w:ascii="Book Antiqua" w:eastAsia="Book Antiqua" w:hAnsi="Book Antiqua" w:cs="Book Antiqua"/>
          <w:color w:val="000000"/>
        </w:rPr>
        <w:t>CTCs, this index was excluded because of the low Kappa value (data not shown).</w:t>
      </w:r>
    </w:p>
    <w:p w14:paraId="10E00FA1" w14:textId="77777777" w:rsidR="00F07400" w:rsidRPr="00AE67E1" w:rsidRDefault="00F07400" w:rsidP="00AE67E1">
      <w:pPr>
        <w:spacing w:line="360" w:lineRule="auto"/>
        <w:jc w:val="both"/>
        <w:rPr>
          <w:rFonts w:ascii="Book Antiqua" w:hAnsi="Book Antiqua"/>
        </w:rPr>
      </w:pPr>
    </w:p>
    <w:p w14:paraId="7EC4587E"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aps/>
          <w:color w:val="000000"/>
          <w:u w:val="single"/>
        </w:rPr>
        <w:t>DISCUSSION</w:t>
      </w:r>
    </w:p>
    <w:p w14:paraId="4D83E524" w14:textId="77777777" w:rsidR="00583CC9" w:rsidRPr="008266B9" w:rsidRDefault="00C430B4" w:rsidP="0045029F">
      <w:pPr>
        <w:spacing w:line="360" w:lineRule="auto"/>
        <w:jc w:val="both"/>
        <w:rPr>
          <w:rFonts w:ascii="Book Antiqua" w:hAnsi="Book Antiqua"/>
        </w:rPr>
      </w:pPr>
      <w:r w:rsidRPr="008266B9">
        <w:rPr>
          <w:rFonts w:ascii="Book Antiqua" w:eastAsia="Book Antiqua" w:hAnsi="Book Antiqua" w:cs="Book Antiqua"/>
          <w:color w:val="000000"/>
        </w:rPr>
        <w:t xml:space="preserve">Detection and measurement of CTCs is a noninvasive liquid biopsy method that can provide reliable information on </w:t>
      </w:r>
      <w:r w:rsidR="00583CC9">
        <w:rPr>
          <w:rFonts w:ascii="Book Antiqua" w:eastAsia="Book Antiqua" w:hAnsi="Book Antiqua" w:cs="Book Antiqua"/>
          <w:color w:val="000000"/>
        </w:rPr>
        <w:t xml:space="preserve">the </w:t>
      </w:r>
      <w:r w:rsidRPr="008266B9">
        <w:rPr>
          <w:rFonts w:ascii="Book Antiqua" w:eastAsia="Book Antiqua" w:hAnsi="Book Antiqua" w:cs="Book Antiqua"/>
          <w:color w:val="000000"/>
        </w:rPr>
        <w:t>diagnostic, prognostic, and/or predictive biomarkers of different types of cancer compared with invasive diagnostic modalities</w:t>
      </w:r>
      <w:r w:rsidRPr="008266B9">
        <w:rPr>
          <w:rFonts w:ascii="Book Antiqua" w:eastAsia="Book Antiqua" w:hAnsi="Book Antiqua" w:cs="Book Antiqua"/>
          <w:color w:val="000000"/>
          <w:vertAlign w:val="superscript"/>
        </w:rPr>
        <w:t>[</w:t>
      </w:r>
      <w:hyperlink w:anchor="_ENREF_15" w:tooltip="Deng, 2018 #258" w:history="1">
        <w:r w:rsidRPr="008266B9">
          <w:rPr>
            <w:rFonts w:ascii="Book Antiqua" w:eastAsia="Book Antiqua" w:hAnsi="Book Antiqua" w:cs="Book Antiqua"/>
            <w:color w:val="000000"/>
            <w:vertAlign w:val="superscript"/>
          </w:rPr>
          <w:t>15</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CTC detection is performed in two steps</w:t>
      </w:r>
      <w:r w:rsidR="00583CC9">
        <w:rPr>
          <w:rFonts w:ascii="Book Antiqua" w:eastAsia="Book Antiqua" w:hAnsi="Book Antiqua" w:cs="Book Antiqua"/>
          <w:color w:val="000000"/>
        </w:rPr>
        <w:t>:</w:t>
      </w:r>
      <w:r w:rsidRPr="008266B9">
        <w:rPr>
          <w:rFonts w:ascii="Book Antiqua" w:eastAsia="Book Antiqua" w:hAnsi="Book Antiqua" w:cs="Book Antiqua"/>
          <w:color w:val="000000"/>
        </w:rPr>
        <w:t xml:space="preserve"> enrichment and identification. CTC enrichment is based on distinguishing tumor cell morphology and sorting cell surface markers. For example, CellSearch enriches CTCs by sorting the surface marker EpCAM using magnetic beads. ISET is a method of enriching cells by filtering cells through filter membranes based on cell size. Ficoll separation enriches cells by density gradient centrifugation based on different cell densities</w:t>
      </w:r>
      <w:r w:rsidRPr="008266B9">
        <w:rPr>
          <w:rFonts w:ascii="Book Antiqua" w:eastAsia="Book Antiqua" w:hAnsi="Book Antiqua" w:cs="Book Antiqua"/>
          <w:color w:val="000000"/>
          <w:vertAlign w:val="superscript"/>
        </w:rPr>
        <w:t>[</w:t>
      </w:r>
      <w:hyperlink w:anchor="_ENREF_16" w:tooltip="Geeurickx, 2020 #86" w:history="1">
        <w:r w:rsidRPr="008266B9">
          <w:rPr>
            <w:rFonts w:ascii="Book Antiqua" w:eastAsia="Book Antiqua" w:hAnsi="Book Antiqua" w:cs="Book Antiqua"/>
            <w:color w:val="000000"/>
            <w:vertAlign w:val="superscript"/>
          </w:rPr>
          <w:t>16</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CTC identification is achieved using polymerase chain reaction (PCR), immunofluorescence, and ISH</w:t>
      </w:r>
      <w:r w:rsidRPr="008266B9">
        <w:rPr>
          <w:rFonts w:ascii="Book Antiqua" w:eastAsia="Book Antiqua" w:hAnsi="Book Antiqua" w:cs="Book Antiqua"/>
          <w:color w:val="000000"/>
          <w:vertAlign w:val="superscript"/>
        </w:rPr>
        <w:t>[</w:t>
      </w:r>
      <w:hyperlink w:anchor="_ENREF_17" w:tooltip="Liu, 2018 #218" w:history="1">
        <w:r w:rsidRPr="008266B9">
          <w:rPr>
            <w:rFonts w:ascii="Book Antiqua" w:eastAsia="Book Antiqua" w:hAnsi="Book Antiqua" w:cs="Book Antiqua"/>
            <w:color w:val="000000"/>
            <w:vertAlign w:val="superscript"/>
          </w:rPr>
          <w:t>17</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xml:space="preserve">. </w:t>
      </w:r>
    </w:p>
    <w:p w14:paraId="57FA6A39"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Most of the methods currently used in the clinic provide simultaneous enrichment and identification of CTCs. In this study, CanPatrol</w:t>
      </w:r>
      <w:r w:rsidRPr="008266B9">
        <w:rPr>
          <w:rFonts w:ascii="Book Antiqua" w:eastAsia="Book Antiqua" w:hAnsi="Book Antiqua" w:cs="Book Antiqua"/>
          <w:color w:val="000000"/>
          <w:vertAlign w:val="superscript"/>
        </w:rPr>
        <w:t xml:space="preserve">TM </w:t>
      </w:r>
      <w:r w:rsidRPr="008266B9">
        <w:rPr>
          <w:rFonts w:ascii="Book Antiqua" w:eastAsia="Book Antiqua" w:hAnsi="Book Antiqua" w:cs="Book Antiqua"/>
          <w:color w:val="000000"/>
        </w:rPr>
        <w:t>was used to enrich CTCs through an 8-micron filter membrane, and RNA ISH was used to identify and characterize the enriched cells based on branch DNA signal amplification technology. In addition, the expanded lanes in the CanPatrol</w:t>
      </w:r>
      <w:r w:rsidRPr="008266B9">
        <w:rPr>
          <w:rFonts w:ascii="Book Antiqua" w:eastAsia="Book Antiqua" w:hAnsi="Book Antiqua" w:cs="Book Antiqua"/>
          <w:color w:val="000000"/>
          <w:vertAlign w:val="superscript"/>
        </w:rPr>
        <w:t xml:space="preserve">TM </w:t>
      </w:r>
      <w:r w:rsidRPr="008266B9">
        <w:rPr>
          <w:rFonts w:ascii="Book Antiqua" w:eastAsia="Book Antiqua" w:hAnsi="Book Antiqua" w:cs="Book Antiqua"/>
          <w:color w:val="000000"/>
        </w:rPr>
        <w:t>system allow the detection of EMT markers such as EpCAM, CK 8, 18, and 19, vimentin, and Twist. The expression of these markers allows the classification of CTCs into different subtypes, namely, E-CTCs, M-CTCs, and E&amp;M-CTCs</w:t>
      </w:r>
      <w:r w:rsidRPr="008266B9">
        <w:rPr>
          <w:rFonts w:ascii="Book Antiqua" w:eastAsia="Book Antiqua" w:hAnsi="Book Antiqua" w:cs="Book Antiqua"/>
          <w:color w:val="000000"/>
          <w:vertAlign w:val="superscript"/>
        </w:rPr>
        <w:t>[</w:t>
      </w:r>
      <w:hyperlink w:anchor="_ENREF_12" w:tooltip="Wu, 2015 #37" w:history="1">
        <w:r w:rsidRPr="008266B9">
          <w:rPr>
            <w:rFonts w:ascii="Book Antiqua" w:eastAsia="Book Antiqua" w:hAnsi="Book Antiqua" w:cs="Book Antiqua"/>
            <w:color w:val="000000"/>
            <w:vertAlign w:val="superscript"/>
          </w:rPr>
          <w:t>12</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A recent study</w:t>
      </w:r>
      <w:r w:rsidRPr="008266B9">
        <w:rPr>
          <w:rFonts w:ascii="Book Antiqua" w:eastAsia="Book Antiqua" w:hAnsi="Book Antiqua" w:cs="Book Antiqua"/>
          <w:color w:val="000000"/>
          <w:vertAlign w:val="superscript"/>
        </w:rPr>
        <w:t>[</w:t>
      </w:r>
      <w:hyperlink w:anchor="_ENREF_18" w:tooltip="Li, 2020 #323" w:history="1">
        <w:r w:rsidRPr="008266B9">
          <w:rPr>
            <w:rFonts w:ascii="Book Antiqua" w:eastAsia="Book Antiqua" w:hAnsi="Book Antiqua" w:cs="Book Antiqua"/>
            <w:color w:val="000000"/>
            <w:vertAlign w:val="superscript"/>
          </w:rPr>
          <w:t>18</w:t>
        </w:r>
      </w:hyperlink>
      <w:r w:rsidRPr="008266B9">
        <w:rPr>
          <w:rFonts w:ascii="Book Antiqua" w:eastAsia="Book Antiqua" w:hAnsi="Book Antiqua" w:cs="Book Antiqua"/>
          <w:color w:val="000000"/>
          <w:vertAlign w:val="superscript"/>
        </w:rPr>
        <w:t>]</w:t>
      </w:r>
      <w:r w:rsidR="00413DA8"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reported that the</w:t>
      </w:r>
      <w:r w:rsidR="00413DA8"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sensitivity and specificity of total CTCs detected by CanPatrol™ technology for the diagnosis of LC is 81.6% and 86.8%, respectively, which is consistent with the present results. </w:t>
      </w:r>
    </w:p>
    <w:p w14:paraId="3CC9E5DF"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We used a widely used method, CytoploRare, to validate the CanPatrol</w:t>
      </w:r>
      <w:r w:rsidRPr="008266B9">
        <w:rPr>
          <w:rFonts w:ascii="Book Antiqua" w:eastAsia="Book Antiqua" w:hAnsi="Book Antiqua" w:cs="Book Antiqua"/>
          <w:color w:val="000000"/>
          <w:vertAlign w:val="superscript"/>
        </w:rPr>
        <w:t>TM</w:t>
      </w:r>
      <w:r w:rsidR="00413DA8"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results. The FR is a glycoprotein that is highly expressed on the cell surface and can be detected on lung and ovarian cancer cells</w:t>
      </w:r>
      <w:r w:rsidRPr="008266B9">
        <w:rPr>
          <w:rFonts w:ascii="Book Antiqua" w:eastAsia="Book Antiqua" w:hAnsi="Book Antiqua" w:cs="Book Antiqua"/>
          <w:color w:val="000000"/>
          <w:vertAlign w:val="superscript"/>
        </w:rPr>
        <w:t>[</w:t>
      </w:r>
      <w:hyperlink w:anchor="_ENREF_19" w:tooltip="Zhou, 2019 #267" w:history="1">
        <w:r w:rsidRPr="008266B9">
          <w:rPr>
            <w:rFonts w:ascii="Book Antiqua" w:eastAsia="Book Antiqua" w:hAnsi="Book Antiqua" w:cs="Book Antiqua"/>
            <w:color w:val="000000"/>
            <w:vertAlign w:val="superscript"/>
          </w:rPr>
          <w:t>19</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Samples consisting of 3 mL peripheral blood were used to enrich FR+</w:t>
      </w:r>
      <w:r w:rsidR="00E34DC9"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CTCs; white blood cells were removed using immunomagnetic beads, and FR, a tumor-specific ligand, as well as a synthesized oligonucleotide were labeled on the cells. Quantitative PCR was used to analyze the conjugates. FR</w:t>
      </w:r>
      <w:r w:rsidR="002869F8">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CTCs </w:t>
      </w:r>
      <w:r w:rsidRPr="008266B9">
        <w:rPr>
          <w:rFonts w:ascii="Book Antiqua" w:eastAsia="Book Antiqua" w:hAnsi="Book Antiqua" w:cs="Book Antiqua"/>
          <w:color w:val="000000"/>
        </w:rPr>
        <w:lastRenderedPageBreak/>
        <w:t>were defined as cells expressing folate ligands and cytokeratin with positive nuclear staining</w:t>
      </w:r>
      <w:r w:rsidRPr="008266B9">
        <w:rPr>
          <w:rFonts w:ascii="Book Antiqua" w:eastAsia="Book Antiqua" w:hAnsi="Book Antiqua" w:cs="Book Antiqua"/>
          <w:color w:val="000000"/>
          <w:vertAlign w:val="superscript"/>
        </w:rPr>
        <w:t>[</w:t>
      </w:r>
      <w:hyperlink w:anchor="_ENREF_13" w:tooltip="Zhao, 2015 #40" w:history="1">
        <w:r w:rsidRPr="008266B9">
          <w:rPr>
            <w:rFonts w:ascii="Book Antiqua" w:eastAsia="Book Antiqua" w:hAnsi="Book Antiqua" w:cs="Book Antiqua"/>
            <w:color w:val="000000"/>
            <w:vertAlign w:val="superscript"/>
          </w:rPr>
          <w:t>13</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The sensitivity and specificity of this technology for the detection of FR</w:t>
      </w:r>
      <w:r w:rsidR="00472B33" w:rsidRPr="008266B9">
        <w:rPr>
          <w:rFonts w:ascii="Book Antiqua" w:eastAsia="Book Antiqua" w:hAnsi="Book Antiqua" w:cs="Book Antiqua"/>
          <w:color w:val="000000"/>
        </w:rPr>
        <w:t>+</w:t>
      </w:r>
      <w:r w:rsidR="00E34DC9"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CTCs is 81.94% and 73.08%, respectively</w:t>
      </w:r>
      <w:r w:rsidRPr="008266B9">
        <w:rPr>
          <w:rFonts w:ascii="Book Antiqua" w:eastAsia="Book Antiqua" w:hAnsi="Book Antiqua" w:cs="Book Antiqua"/>
          <w:color w:val="000000"/>
          <w:vertAlign w:val="superscript"/>
        </w:rPr>
        <w:t>[</w:t>
      </w:r>
      <w:hyperlink w:anchor="_ENREF_20" w:tooltip="Xue, 2018 #324" w:history="1">
        <w:r w:rsidRPr="008266B9">
          <w:rPr>
            <w:rFonts w:ascii="Book Antiqua" w:eastAsia="Book Antiqua" w:hAnsi="Book Antiqua" w:cs="Book Antiqua"/>
            <w:color w:val="000000"/>
            <w:vertAlign w:val="superscript"/>
          </w:rPr>
          <w:t>20</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Kappa values indicated a relatively similar detection efficacy for CanPatrol</w:t>
      </w:r>
      <w:r w:rsidRPr="008266B9">
        <w:rPr>
          <w:rFonts w:ascii="Book Antiqua" w:eastAsia="Book Antiqua" w:hAnsi="Book Antiqua" w:cs="Book Antiqua"/>
          <w:color w:val="000000"/>
          <w:vertAlign w:val="superscript"/>
        </w:rPr>
        <w:t>TM</w:t>
      </w:r>
      <w:r w:rsidR="00413DA8"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and CytoploRare, suggesting acceptable consistency. However, further studies with a larger sample size are necessary to confirm these results. </w:t>
      </w:r>
    </w:p>
    <w:p w14:paraId="28847BB2"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Another advantage of CanPatrol</w:t>
      </w:r>
      <w:r w:rsidRPr="008266B9">
        <w:rPr>
          <w:rFonts w:ascii="Book Antiqua" w:eastAsia="Book Antiqua" w:hAnsi="Book Antiqua" w:cs="Book Antiqua"/>
          <w:color w:val="000000"/>
          <w:vertAlign w:val="superscript"/>
        </w:rPr>
        <w:t>TM</w:t>
      </w:r>
      <w:r w:rsidR="00413DA8"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is that it can identify CTCs based on mesenchymal markers, whereas current CTCs monitoring methods, including CellSearch and MACS, are based on the detection of EpCAM, and thereby do not detect M-CTCs or E&amp;M-CTCs. CTCs undergoing EMT should receive increased attention because they are characterized by higher aggressiveness and carcinogenicity</w:t>
      </w:r>
      <w:r w:rsidRPr="008266B9">
        <w:rPr>
          <w:rFonts w:ascii="Book Antiqua" w:eastAsia="Book Antiqua" w:hAnsi="Book Antiqua" w:cs="Book Antiqua"/>
          <w:color w:val="000000"/>
          <w:vertAlign w:val="superscript"/>
        </w:rPr>
        <w:t>[</w:t>
      </w:r>
      <w:hyperlink w:anchor="_ENREF_21" w:tooltip="Yu, 2013 #275" w:history="1">
        <w:r w:rsidRPr="008266B9">
          <w:rPr>
            <w:rFonts w:ascii="Book Antiqua" w:eastAsia="Book Antiqua" w:hAnsi="Book Antiqua" w:cs="Book Antiqua"/>
            <w:color w:val="000000"/>
            <w:vertAlign w:val="superscript"/>
          </w:rPr>
          <w:t>21</w:t>
        </w:r>
      </w:hyperlink>
      <w:r w:rsidR="00413DA8" w:rsidRPr="008266B9">
        <w:rPr>
          <w:rFonts w:ascii="Book Antiqua" w:eastAsia="Book Antiqua" w:hAnsi="Book Antiqua" w:cs="Book Antiqua"/>
          <w:color w:val="000000"/>
          <w:vertAlign w:val="superscript"/>
        </w:rPr>
        <w:t>,</w:t>
      </w:r>
      <w:hyperlink w:anchor="_ENREF_22" w:tooltip="Effenberger, 2018 #280" w:history="1">
        <w:r w:rsidRPr="008266B9">
          <w:rPr>
            <w:rFonts w:ascii="Book Antiqua" w:eastAsia="Book Antiqua" w:hAnsi="Book Antiqua" w:cs="Book Antiqua"/>
            <w:color w:val="000000"/>
            <w:vertAlign w:val="superscript"/>
          </w:rPr>
          <w:t>22</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Tumor cells are more likely to form E&amp;M-CTCs than M-CTCs to obtain both mesenchymal and epithelial cell characteristics</w:t>
      </w:r>
      <w:r w:rsidRPr="008266B9">
        <w:rPr>
          <w:rFonts w:ascii="Book Antiqua" w:eastAsia="Book Antiqua" w:hAnsi="Book Antiqua" w:cs="Book Antiqua"/>
          <w:color w:val="000000"/>
          <w:vertAlign w:val="superscript"/>
        </w:rPr>
        <w:t>[</w:t>
      </w:r>
      <w:hyperlink w:anchor="_ENREF_5" w:tooltip="Liu, 2019 #162" w:history="1">
        <w:r w:rsidRPr="008266B9">
          <w:rPr>
            <w:rFonts w:ascii="Book Antiqua" w:eastAsia="Book Antiqua" w:hAnsi="Book Antiqua" w:cs="Book Antiqua"/>
            <w:color w:val="000000"/>
            <w:vertAlign w:val="superscript"/>
          </w:rPr>
          <w:t>5</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xml:space="preserve">. </w:t>
      </w:r>
    </w:p>
    <w:p w14:paraId="7D8A33C7"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 xml:space="preserve">TelomeScan F35, which uses a telomerase-specific replication-selective adenovirus (OBP-1101) to detect CTCs using EMT markers, was used to show that CTCs with EMT-markers are effective for the early diagnosis of </w:t>
      </w:r>
      <w:r w:rsidR="00413DA8" w:rsidRPr="008266B9">
        <w:rPr>
          <w:rFonts w:ascii="Book Antiqua" w:eastAsia="Book Antiqua" w:hAnsi="Book Antiqua" w:cs="Book Antiqua"/>
          <w:color w:val="000000"/>
        </w:rPr>
        <w:t>non-small cell lung cancer</w:t>
      </w:r>
      <w:r w:rsidRPr="008266B9">
        <w:rPr>
          <w:rFonts w:ascii="Book Antiqua" w:eastAsia="Book Antiqua" w:hAnsi="Book Antiqua" w:cs="Book Antiqua"/>
          <w:color w:val="000000"/>
        </w:rPr>
        <w:t xml:space="preserve"> [mean sensitivity: 69.1% (59.6%, 40.0%, 85.7%, and 75.0% for stage I, II, III, and IV, respectively)]</w:t>
      </w:r>
      <w:r w:rsidRPr="008266B9">
        <w:rPr>
          <w:rFonts w:ascii="Book Antiqua" w:eastAsia="Book Antiqua" w:hAnsi="Book Antiqua" w:cs="Book Antiqua"/>
          <w:color w:val="000000"/>
          <w:vertAlign w:val="superscript"/>
        </w:rPr>
        <w:t>[</w:t>
      </w:r>
      <w:hyperlink w:anchor="_ENREF_23" w:tooltip="Togo, 2017 #266" w:history="1">
        <w:r w:rsidRPr="008266B9">
          <w:rPr>
            <w:rFonts w:ascii="Book Antiqua" w:eastAsia="Book Antiqua" w:hAnsi="Book Antiqua" w:cs="Book Antiqua"/>
            <w:color w:val="000000"/>
            <w:vertAlign w:val="superscript"/>
          </w:rPr>
          <w:t>23</w:t>
        </w:r>
      </w:hyperlink>
      <w:r w:rsidRPr="008266B9">
        <w:rPr>
          <w:rFonts w:ascii="Book Antiqua" w:eastAsia="Book Antiqua" w:hAnsi="Book Antiqua" w:cs="Book Antiqua"/>
          <w:color w:val="000000"/>
          <w:vertAlign w:val="superscript"/>
        </w:rPr>
        <w:t>]</w:t>
      </w:r>
      <w:r w:rsidRPr="008266B9">
        <w:rPr>
          <w:rFonts w:ascii="Book Antiqua" w:eastAsia="Book Antiqua" w:hAnsi="Book Antiqua" w:cs="Book Antiqua"/>
          <w:color w:val="000000"/>
        </w:rPr>
        <w:t xml:space="preserve">. </w:t>
      </w:r>
    </w:p>
    <w:p w14:paraId="39F14A83"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 xml:space="preserve">In </w:t>
      </w:r>
      <w:r w:rsidR="002869F8">
        <w:rPr>
          <w:rFonts w:ascii="Book Antiqua" w:eastAsia="Book Antiqua" w:hAnsi="Book Antiqua" w:cs="Book Antiqua"/>
          <w:color w:val="000000"/>
        </w:rPr>
        <w:t>this</w:t>
      </w:r>
      <w:r w:rsidRPr="008266B9">
        <w:rPr>
          <w:rFonts w:ascii="Book Antiqua" w:eastAsia="Book Antiqua" w:hAnsi="Book Antiqua" w:cs="Book Antiqua"/>
          <w:color w:val="000000"/>
        </w:rPr>
        <w:t xml:space="preserve"> study, we found that E&amp;M-CTCs had a greater discriminative power for the diagnosis of LC than E-CTCs or M-CTCs. In addition, we showed that CTCs can be present in benign and healthy controls.</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However,</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E&amp;M-CTCs were detected in one case in the control group that corresponded to a smoker. Similarly, CTCs can be recognized as a “sentinel” in cases associated with inflammatory diseases such as </w:t>
      </w:r>
      <w:r w:rsidR="002869F8">
        <w:rPr>
          <w:rFonts w:ascii="Book Antiqua" w:eastAsia="Book Antiqua" w:hAnsi="Book Antiqua" w:cs="Book Antiqua"/>
          <w:color w:val="000000"/>
        </w:rPr>
        <w:t>chronic obstructive pulmonary disease</w:t>
      </w:r>
      <w:r w:rsidRPr="008266B9">
        <w:rPr>
          <w:rFonts w:ascii="Book Antiqua" w:eastAsia="Book Antiqua" w:hAnsi="Book Antiqua" w:cs="Book Antiqua"/>
          <w:color w:val="000000"/>
          <w:vertAlign w:val="superscript"/>
        </w:rPr>
        <w:t>[24]</w:t>
      </w:r>
      <w:r w:rsidRPr="008266B9">
        <w:rPr>
          <w:rFonts w:ascii="Book Antiqua" w:eastAsia="Book Antiqua" w:hAnsi="Book Antiqua" w:cs="Book Antiqua"/>
          <w:color w:val="000000"/>
        </w:rPr>
        <w:t>.</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In patients with benign colon diseases,</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CTCs can also be detected with both the CellSearch system (11.3%) and the CK19-EPISPOT assay (18.9%), because inflammatory epithelial</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cells from these benign lesions</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may enter</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the</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peripheral blood</w:t>
      </w:r>
      <w:r w:rsidRPr="008266B9">
        <w:rPr>
          <w:rFonts w:ascii="Book Antiqua" w:eastAsia="Book Antiqua" w:hAnsi="Book Antiqua" w:cs="Book Antiqua"/>
          <w:color w:val="000000"/>
          <w:vertAlign w:val="superscript"/>
        </w:rPr>
        <w:t>[25]</w:t>
      </w:r>
      <w:r w:rsidRPr="008266B9">
        <w:rPr>
          <w:rFonts w:ascii="Book Antiqua" w:eastAsia="Book Antiqua" w:hAnsi="Book Antiqua" w:cs="Book Antiqua"/>
          <w:color w:val="000000"/>
        </w:rPr>
        <w:t>. In 232</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patients with benign breast diseases, the CTC detection rate reached 15.95%</w:t>
      </w:r>
      <w:r w:rsidRPr="008266B9">
        <w:rPr>
          <w:rFonts w:ascii="Book Antiqua" w:eastAsia="Book Antiqua" w:hAnsi="Book Antiqua" w:cs="Book Antiqua"/>
          <w:color w:val="000000"/>
          <w:vertAlign w:val="superscript"/>
        </w:rPr>
        <w:t>[26]</w:t>
      </w:r>
      <w:r w:rsidRPr="008266B9">
        <w:rPr>
          <w:rFonts w:ascii="Book Antiqua" w:eastAsia="Book Antiqua" w:hAnsi="Book Antiqua" w:cs="Book Antiqua"/>
          <w:color w:val="000000"/>
        </w:rPr>
        <w:t>. Herein, we hypothesized that tumor cells or debris, which can be shed from the benign tumor into the peripheral blood, are captured and recognized as CTCs by CanPatrol</w:t>
      </w:r>
      <w:r w:rsidRPr="008266B9">
        <w:rPr>
          <w:rFonts w:ascii="Book Antiqua" w:eastAsia="Book Antiqua" w:hAnsi="Book Antiqua" w:cs="Book Antiqua"/>
          <w:color w:val="000000"/>
          <w:vertAlign w:val="superscript"/>
        </w:rPr>
        <w:t>TM</w:t>
      </w:r>
      <w:r w:rsidRPr="008266B9">
        <w:rPr>
          <w:rFonts w:ascii="Book Antiqua" w:eastAsia="Book Antiqua" w:hAnsi="Book Antiqua" w:cs="Book Antiqua"/>
          <w:color w:val="000000"/>
        </w:rPr>
        <w:t>.</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However, we cannot completely</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rule out that these CTCs</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in the </w:t>
      </w:r>
      <w:r w:rsidRPr="008266B9">
        <w:rPr>
          <w:rFonts w:ascii="Book Antiqua" w:eastAsia="Book Antiqua" w:hAnsi="Book Antiqua" w:cs="Book Antiqua"/>
          <w:color w:val="000000"/>
        </w:rPr>
        <w:lastRenderedPageBreak/>
        <w:t>controls</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were not malignant because CTCs may</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appear at a very early stage of cancer development, even if the lesion</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is undetectable</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by</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systemic physical and radiological examinations. Whether these “benign” tumors or diseases were in a premalignant stage requires long-term follow-up. </w:t>
      </w:r>
    </w:p>
    <w:p w14:paraId="78C448BF"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 xml:space="preserve">In </w:t>
      </w:r>
      <w:r w:rsidR="002869F8">
        <w:rPr>
          <w:rFonts w:ascii="Book Antiqua" w:eastAsia="Book Antiqua" w:hAnsi="Book Antiqua" w:cs="Book Antiqua"/>
          <w:color w:val="000000"/>
        </w:rPr>
        <w:t>this</w:t>
      </w:r>
      <w:r w:rsidRPr="008266B9">
        <w:rPr>
          <w:rFonts w:ascii="Book Antiqua" w:eastAsia="Book Antiqua" w:hAnsi="Book Antiqua" w:cs="Book Antiqua"/>
          <w:color w:val="000000"/>
        </w:rPr>
        <w:t xml:space="preserve"> study, the proportions of M-CTCs and E&amp;M-CTCs were highest in LC patients compared with benign and healthy controls, supporting the critical role of the EMT process in CTCs in promoting tumor invasion, migration, and metastatic growth. </w:t>
      </w:r>
    </w:p>
    <w:p w14:paraId="1D27BA54" w14:textId="77777777" w:rsidR="00E046A4" w:rsidRDefault="00C430B4">
      <w:pPr>
        <w:spacing w:line="360" w:lineRule="auto"/>
        <w:ind w:firstLine="270"/>
        <w:jc w:val="both"/>
        <w:rPr>
          <w:rFonts w:ascii="Book Antiqua" w:hAnsi="Book Antiqua"/>
        </w:rPr>
      </w:pPr>
      <w:r w:rsidRPr="008266B9">
        <w:rPr>
          <w:rFonts w:ascii="Book Antiqua" w:eastAsia="Book Antiqua" w:hAnsi="Book Antiqua" w:cs="Book Antiqua"/>
          <w:color w:val="000000"/>
        </w:rPr>
        <w:t>Detection of E&amp;M-CTCs is effective for distinguishing LC, including GGO and solid lesions, from controls, thus providing a new method for discriminating between malignant and benign pulmonary nodes in clinical practice. Because the study only included two benign cases presented as GGO, we were unable to determine the diagnostic value of E&amp;M-CTCs for discriminating between malignant and benign GGO. Intriguingly, fibrosis can be found in either benign or malignant lung GGO</w:t>
      </w:r>
      <w:r w:rsidRPr="008266B9">
        <w:rPr>
          <w:rFonts w:ascii="Book Antiqua" w:eastAsia="Book Antiqua" w:hAnsi="Book Antiqua" w:cs="Book Antiqua"/>
          <w:color w:val="000000"/>
          <w:vertAlign w:val="superscript"/>
        </w:rPr>
        <w:t>[27,28]</w:t>
      </w:r>
      <w:r w:rsidRPr="008266B9">
        <w:rPr>
          <w:rFonts w:ascii="Book Antiqua" w:eastAsia="Book Antiqua" w:hAnsi="Book Antiqua" w:cs="Book Antiqua"/>
          <w:color w:val="000000"/>
        </w:rPr>
        <w:t xml:space="preserve">. However, very few published studies have focused on CTCs and GGO, not to mention CTCs and fibrosis. Furthermore, pathological reports from our hospital did not clearly describe the fibrosis condition of these GGO cases. Therefore, we are going to design further clinical trials regarding CTCs in GGO, which will consider the fibrosis condition and the expressions of relevant biomarkers, </w:t>
      </w:r>
      <w:r w:rsidR="00070C99" w:rsidRPr="00070C99">
        <w:rPr>
          <w:rFonts w:ascii="Book Antiqua" w:eastAsia="Book Antiqua" w:hAnsi="Book Antiqua" w:cs="Book Antiqua"/>
          <w:i/>
          <w:iCs/>
          <w:color w:val="000000"/>
        </w:rPr>
        <w:t>e.g</w:t>
      </w:r>
      <w:r w:rsidRPr="008266B9">
        <w:rPr>
          <w:rFonts w:ascii="Book Antiqua" w:eastAsia="Book Antiqua" w:hAnsi="Book Antiqua" w:cs="Book Antiqua"/>
          <w:i/>
          <w:iCs/>
          <w:color w:val="000000"/>
        </w:rPr>
        <w:t>.</w:t>
      </w:r>
      <w:r w:rsidRPr="008266B9">
        <w:rPr>
          <w:rFonts w:ascii="Book Antiqua" w:eastAsia="Book Antiqua" w:hAnsi="Book Antiqua" w:cs="Book Antiqua"/>
          <w:color w:val="000000"/>
        </w:rPr>
        <w:t xml:space="preserve">, </w:t>
      </w:r>
      <w:bookmarkStart w:id="53" w:name="OLE_LINK297"/>
      <w:bookmarkStart w:id="54" w:name="OLE_LINK298"/>
      <w:r w:rsidRPr="008266B9">
        <w:rPr>
          <w:rFonts w:ascii="Book Antiqua" w:eastAsia="Book Antiqua" w:hAnsi="Book Antiqua" w:cs="Book Antiqua"/>
          <w:color w:val="000000"/>
        </w:rPr>
        <w:t>CXCL4</w:t>
      </w:r>
      <w:bookmarkEnd w:id="53"/>
      <w:bookmarkEnd w:id="54"/>
      <w:r w:rsidRPr="008266B9">
        <w:rPr>
          <w:rFonts w:ascii="Book Antiqua" w:eastAsia="Book Antiqua" w:hAnsi="Book Antiqua" w:cs="Book Antiqua"/>
          <w:color w:val="000000"/>
        </w:rPr>
        <w:t xml:space="preserve"> and LECT2</w:t>
      </w:r>
      <w:r w:rsidRPr="008266B9">
        <w:rPr>
          <w:rFonts w:ascii="Book Antiqua" w:eastAsia="Book Antiqua" w:hAnsi="Book Antiqua" w:cs="Book Antiqua"/>
          <w:color w:val="000000"/>
          <w:vertAlign w:val="superscript"/>
        </w:rPr>
        <w:t>[29,30]</w:t>
      </w:r>
      <w:r w:rsidRPr="008266B9">
        <w:rPr>
          <w:rFonts w:ascii="Book Antiqua" w:eastAsia="Book Antiqua" w:hAnsi="Book Antiqua" w:cs="Book Antiqua"/>
          <w:color w:val="000000"/>
        </w:rPr>
        <w:t>.</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Additional studies with a large sample size and a multicenter design are warranted in the near future.</w:t>
      </w:r>
    </w:p>
    <w:p w14:paraId="1823F492" w14:textId="77777777" w:rsidR="00F07400" w:rsidRPr="008266B9" w:rsidRDefault="00F07400" w:rsidP="00AE67E1">
      <w:pPr>
        <w:spacing w:line="360" w:lineRule="auto"/>
        <w:jc w:val="both"/>
        <w:rPr>
          <w:rFonts w:ascii="Book Antiqua" w:hAnsi="Book Antiqua"/>
        </w:rPr>
      </w:pPr>
    </w:p>
    <w:p w14:paraId="366A4687" w14:textId="77777777" w:rsidR="00F07400" w:rsidRPr="0045029F" w:rsidRDefault="00070C99" w:rsidP="00AE67E1">
      <w:pPr>
        <w:spacing w:line="360" w:lineRule="auto"/>
        <w:jc w:val="both"/>
        <w:rPr>
          <w:rFonts w:ascii="Book Antiqua" w:hAnsi="Book Antiqua"/>
          <w:u w:val="single"/>
        </w:rPr>
      </w:pPr>
      <w:r w:rsidRPr="00070C99">
        <w:rPr>
          <w:rFonts w:ascii="Book Antiqua" w:eastAsia="Book Antiqua" w:hAnsi="Book Antiqua" w:cs="Book Antiqua"/>
          <w:b/>
          <w:caps/>
          <w:color w:val="000000"/>
          <w:u w:val="single"/>
        </w:rPr>
        <w:t>CONCLUSION</w:t>
      </w:r>
    </w:p>
    <w:p w14:paraId="26207971" w14:textId="77777777" w:rsidR="00F07400" w:rsidRPr="008266B9" w:rsidRDefault="00C430B4" w:rsidP="00AE67E1">
      <w:pPr>
        <w:spacing w:line="360" w:lineRule="auto"/>
        <w:jc w:val="both"/>
        <w:rPr>
          <w:rFonts w:ascii="Book Antiqua" w:hAnsi="Book Antiqua"/>
        </w:rPr>
      </w:pPr>
      <w:bookmarkStart w:id="55" w:name="OLE_LINK358"/>
      <w:bookmarkStart w:id="56" w:name="OLE_LINK359"/>
      <w:r w:rsidRPr="008266B9">
        <w:rPr>
          <w:rFonts w:ascii="Book Antiqua" w:eastAsia="Book Antiqua" w:hAnsi="Book Antiqua" w:cs="Book Antiqua"/>
          <w:color w:val="000000"/>
        </w:rPr>
        <w:t>In conclusion, after defining total CTCs ≥</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2/5 mL or E&amp;M-CTCs ≥</w:t>
      </w:r>
      <w:r w:rsidR="003B0F54" w:rsidRPr="008266B9">
        <w:rPr>
          <w:rFonts w:ascii="Book Antiqua" w:eastAsia="Book Antiqua" w:hAnsi="Book Antiqua" w:cs="Book Antiqua"/>
          <w:color w:val="000000"/>
        </w:rPr>
        <w:t xml:space="preserve"> </w:t>
      </w:r>
      <w:r w:rsidRPr="008266B9">
        <w:rPr>
          <w:rFonts w:ascii="Book Antiqua" w:eastAsia="Book Antiqua" w:hAnsi="Book Antiqua" w:cs="Book Antiqua"/>
          <w:color w:val="000000"/>
        </w:rPr>
        <w:t xml:space="preserve">1/5 mL as the cut-off for positivity, the sensitivity and specificity for LC diagnosis were 85.85% and 78.57%, respectively. CTC detection is valuable for distinguishing LC from controls. </w:t>
      </w:r>
    </w:p>
    <w:bookmarkEnd w:id="55"/>
    <w:bookmarkEnd w:id="56"/>
    <w:p w14:paraId="46DFBA12" w14:textId="77777777" w:rsidR="00F07400" w:rsidRPr="00AE67E1" w:rsidRDefault="00F07400" w:rsidP="00AE67E1">
      <w:pPr>
        <w:spacing w:line="360" w:lineRule="auto"/>
        <w:jc w:val="both"/>
        <w:rPr>
          <w:rFonts w:ascii="Book Antiqua" w:hAnsi="Book Antiqua"/>
        </w:rPr>
      </w:pPr>
    </w:p>
    <w:p w14:paraId="0FF20C19"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aps/>
          <w:color w:val="000000"/>
          <w:u w:val="single"/>
        </w:rPr>
        <w:t>ARTICLE HIGHLIGHTS</w:t>
      </w:r>
    </w:p>
    <w:p w14:paraId="53C6E077"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background</w:t>
      </w:r>
    </w:p>
    <w:p w14:paraId="0F9E16B7" w14:textId="77777777" w:rsidR="00F07400" w:rsidRPr="00AE67E1" w:rsidRDefault="00C430B4" w:rsidP="00693946">
      <w:pPr>
        <w:spacing w:line="360" w:lineRule="auto"/>
        <w:jc w:val="both"/>
        <w:rPr>
          <w:rFonts w:ascii="Book Antiqua" w:hAnsi="Book Antiqua"/>
        </w:rPr>
      </w:pPr>
      <w:bookmarkStart w:id="57" w:name="OLE_LINK360"/>
      <w:bookmarkStart w:id="58" w:name="OLE_LINK361"/>
      <w:r w:rsidRPr="00AE67E1">
        <w:rPr>
          <w:rFonts w:ascii="Book Antiqua" w:eastAsia="Book Antiqua" w:hAnsi="Book Antiqua" w:cs="Book Antiqua"/>
          <w:color w:val="000000"/>
        </w:rPr>
        <w:t>Circulating tumor cells (CTCs)</w:t>
      </w:r>
      <w:r w:rsidR="00693946">
        <w:rPr>
          <w:rFonts w:ascii="Book Antiqua" w:eastAsia="Book Antiqua" w:hAnsi="Book Antiqua" w:cs="Book Antiqua"/>
          <w:color w:val="000000"/>
        </w:rPr>
        <w:t xml:space="preserve"> </w:t>
      </w:r>
      <w:r w:rsidRPr="00AE67E1">
        <w:rPr>
          <w:rFonts w:ascii="Book Antiqua" w:eastAsia="Book Antiqua" w:hAnsi="Book Antiqua" w:cs="Book Antiqua"/>
          <w:color w:val="000000"/>
        </w:rPr>
        <w:t>can be clustered into three subtypes according to surface biomarkers</w:t>
      </w:r>
      <w:r w:rsidR="002869F8">
        <w:rPr>
          <w:rFonts w:ascii="Book Antiqua" w:eastAsia="Book Antiqua" w:hAnsi="Book Antiqua" w:cs="Book Antiqua"/>
          <w:color w:val="000000"/>
        </w:rPr>
        <w:t>.</w:t>
      </w:r>
      <w:r w:rsidR="00693946">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CTC detection has clinical implications in the diagnosis of lung cancer (LC). </w:t>
      </w:r>
    </w:p>
    <w:bookmarkEnd w:id="57"/>
    <w:bookmarkEnd w:id="58"/>
    <w:p w14:paraId="3EDA2A05" w14:textId="77777777" w:rsidR="00F07400" w:rsidRPr="00AE67E1" w:rsidRDefault="00F07400" w:rsidP="00AE67E1">
      <w:pPr>
        <w:spacing w:line="360" w:lineRule="auto"/>
        <w:jc w:val="both"/>
        <w:rPr>
          <w:rFonts w:ascii="Book Antiqua" w:hAnsi="Book Antiqua"/>
        </w:rPr>
      </w:pPr>
    </w:p>
    <w:p w14:paraId="528ADCDA"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motivation</w:t>
      </w:r>
    </w:p>
    <w:p w14:paraId="34478BA3" w14:textId="77777777" w:rsidR="00F07400" w:rsidRPr="00AE67E1" w:rsidRDefault="00C430B4" w:rsidP="001117D0">
      <w:pPr>
        <w:spacing w:line="360" w:lineRule="auto"/>
        <w:jc w:val="both"/>
        <w:rPr>
          <w:rFonts w:ascii="Book Antiqua" w:hAnsi="Book Antiqua"/>
        </w:rPr>
      </w:pPr>
      <w:r w:rsidRPr="00AE67E1">
        <w:rPr>
          <w:rFonts w:ascii="Book Antiqua" w:eastAsia="Book Antiqua" w:hAnsi="Book Antiqua" w:cs="Book Antiqua"/>
          <w:color w:val="000000"/>
        </w:rPr>
        <w:t>CTCs categorized by epithelial-mesenchymal transition (EMT)</w:t>
      </w:r>
      <w:r w:rsidRPr="00AE67E1">
        <w:rPr>
          <w:rFonts w:ascii="Book Antiqua" w:eastAsia="SimSun" w:hAnsi="Book Antiqua" w:cs="Book Antiqua"/>
          <w:color w:val="000000"/>
          <w:lang w:eastAsia="zh-CN"/>
        </w:rPr>
        <w:t xml:space="preserve"> </w:t>
      </w:r>
      <w:r w:rsidRPr="00AE67E1">
        <w:rPr>
          <w:rFonts w:ascii="Book Antiqua" w:eastAsia="Book Antiqua" w:hAnsi="Book Antiqua" w:cs="Book Antiqua"/>
          <w:color w:val="000000"/>
        </w:rPr>
        <w:t>markers have diagnostic value in LC and ground-glass opacities</w:t>
      </w:r>
      <w:r w:rsidR="001117D0">
        <w:rPr>
          <w:rFonts w:ascii="Book Antiqua" w:eastAsia="Book Antiqua" w:hAnsi="Book Antiqua" w:cs="Book Antiqua"/>
          <w:color w:val="000000"/>
        </w:rPr>
        <w:t xml:space="preserve"> </w:t>
      </w:r>
      <w:r w:rsidRPr="00AE67E1">
        <w:rPr>
          <w:rFonts w:ascii="Book Antiqua" w:eastAsia="Book Antiqua" w:hAnsi="Book Antiqua" w:cs="Book Antiqua"/>
          <w:color w:val="000000"/>
        </w:rPr>
        <w:t>(GGO) patients.</w:t>
      </w:r>
    </w:p>
    <w:p w14:paraId="37C4AA0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objectives</w:t>
      </w:r>
    </w:p>
    <w:p w14:paraId="0EBBC921" w14:textId="77777777" w:rsidR="00F07400" w:rsidRPr="00AE67E1" w:rsidRDefault="001117D0" w:rsidP="00AE67E1">
      <w:pPr>
        <w:spacing w:line="360" w:lineRule="auto"/>
        <w:jc w:val="both"/>
        <w:rPr>
          <w:rFonts w:ascii="Book Antiqua" w:hAnsi="Book Antiqua"/>
        </w:rPr>
      </w:pPr>
      <w:bookmarkStart w:id="59" w:name="OLE_LINK362"/>
      <w:r>
        <w:rPr>
          <w:rFonts w:ascii="Book Antiqua" w:eastAsia="Book Antiqua" w:hAnsi="Book Antiqua" w:cs="Book Antiqua"/>
          <w:color w:val="000000"/>
        </w:rPr>
        <w:t>T</w:t>
      </w:r>
      <w:r w:rsidR="00C430B4" w:rsidRPr="00AE67E1">
        <w:rPr>
          <w:rFonts w:ascii="Book Antiqua" w:eastAsia="Book Antiqua" w:hAnsi="Book Antiqua" w:cs="Book Antiqua"/>
          <w:color w:val="000000"/>
        </w:rPr>
        <w:t>o clarify the diagnostic value of CTCs categorized by the expression of EMT markers in LC and GGO patients</w:t>
      </w:r>
    </w:p>
    <w:bookmarkEnd w:id="59"/>
    <w:p w14:paraId="551FB0C2" w14:textId="77777777" w:rsidR="00F07400" w:rsidRPr="00AE67E1" w:rsidRDefault="00F07400" w:rsidP="00AE67E1">
      <w:pPr>
        <w:spacing w:line="360" w:lineRule="auto"/>
        <w:jc w:val="both"/>
        <w:rPr>
          <w:rFonts w:ascii="Book Antiqua" w:hAnsi="Book Antiqua"/>
        </w:rPr>
      </w:pPr>
    </w:p>
    <w:p w14:paraId="3BCCDE0A"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methods</w:t>
      </w:r>
    </w:p>
    <w:p w14:paraId="3D6EFE20" w14:textId="77777777" w:rsidR="00F07400" w:rsidRPr="00AE67E1" w:rsidRDefault="003D7047" w:rsidP="00AE67E1">
      <w:pPr>
        <w:spacing w:line="360" w:lineRule="auto"/>
        <w:jc w:val="both"/>
        <w:rPr>
          <w:rFonts w:ascii="Book Antiqua" w:hAnsi="Book Antiqua"/>
        </w:rPr>
      </w:pPr>
      <w:r>
        <w:rPr>
          <w:rFonts w:ascii="Book Antiqua" w:eastAsia="Book Antiqua" w:hAnsi="Book Antiqua" w:cs="Book Antiqua"/>
          <w:color w:val="000000"/>
        </w:rPr>
        <w:t xml:space="preserve">Of </w:t>
      </w:r>
      <w:r w:rsidR="002869F8">
        <w:rPr>
          <w:rFonts w:ascii="Book Antiqua" w:eastAsia="Book Antiqua" w:hAnsi="Book Antiqua" w:cs="Book Antiqua"/>
          <w:color w:val="000000"/>
        </w:rPr>
        <w:t xml:space="preserve">the </w:t>
      </w:r>
      <w:r w:rsidR="00C430B4" w:rsidRPr="00AE67E1">
        <w:rPr>
          <w:rFonts w:ascii="Book Antiqua" w:eastAsia="Book Antiqua" w:hAnsi="Book Antiqua" w:cs="Book Antiqua"/>
          <w:color w:val="000000"/>
        </w:rPr>
        <w:t>106 patients with lung adenocarcinoma</w:t>
      </w:r>
      <w:r w:rsidR="002869F8">
        <w:rPr>
          <w:rFonts w:ascii="Book Antiqua" w:eastAsia="Book Antiqua" w:hAnsi="Book Antiqua" w:cs="Book Antiqua"/>
          <w:color w:val="000000"/>
        </w:rPr>
        <w:t xml:space="preserve"> comprising the study cohort</w:t>
      </w:r>
      <w:r w:rsidR="00C430B4" w:rsidRPr="00AE67E1">
        <w:rPr>
          <w:rFonts w:ascii="Book Antiqua" w:eastAsia="Book Antiqua" w:hAnsi="Book Antiqua" w:cs="Book Antiqua"/>
          <w:color w:val="000000"/>
        </w:rPr>
        <w:t xml:space="preserve">, 42 </w:t>
      </w:r>
      <w:r w:rsidR="002869F8">
        <w:rPr>
          <w:rFonts w:ascii="Book Antiqua" w:eastAsia="Book Antiqua" w:hAnsi="Book Antiqua" w:cs="Book Antiqua"/>
          <w:color w:val="000000"/>
        </w:rPr>
        <w:t xml:space="preserve">had </w:t>
      </w:r>
      <w:r w:rsidR="00C430B4" w:rsidRPr="00AE67E1">
        <w:rPr>
          <w:rFonts w:ascii="Book Antiqua" w:eastAsia="Book Antiqua" w:hAnsi="Book Antiqua" w:cs="Book Antiqua"/>
          <w:color w:val="000000"/>
        </w:rPr>
        <w:t xml:space="preserve">GGO and 64 </w:t>
      </w:r>
      <w:r w:rsidR="002869F8">
        <w:rPr>
          <w:rFonts w:ascii="Book Antiqua" w:eastAsia="Book Antiqua" w:hAnsi="Book Antiqua" w:cs="Book Antiqua"/>
          <w:color w:val="000000"/>
        </w:rPr>
        <w:t xml:space="preserve">had </w:t>
      </w:r>
      <w:r w:rsidR="00C430B4" w:rsidRPr="00AE67E1">
        <w:rPr>
          <w:rFonts w:ascii="Book Antiqua" w:eastAsia="Book Antiqua" w:hAnsi="Book Antiqua" w:cs="Book Antiqua"/>
          <w:color w:val="000000"/>
        </w:rPr>
        <w:t>solid lesions</w:t>
      </w:r>
      <w:r w:rsidR="002869F8">
        <w:rPr>
          <w:rFonts w:ascii="Book Antiqua" w:eastAsia="Book Antiqua" w:hAnsi="Book Antiqua" w:cs="Book Antiqua"/>
          <w:color w:val="000000"/>
        </w:rPr>
        <w:t>;</w:t>
      </w:r>
      <w:r w:rsidR="00C430B4" w:rsidRPr="00AE67E1">
        <w:rPr>
          <w:rFonts w:ascii="Book Antiqua" w:eastAsia="Book Antiqua" w:hAnsi="Book Antiqua" w:cs="Book Antiqua"/>
          <w:color w:val="000000"/>
        </w:rPr>
        <w:t xml:space="preserve"> </w:t>
      </w:r>
      <w:r w:rsidR="002869F8">
        <w:rPr>
          <w:rFonts w:ascii="Book Antiqua" w:eastAsia="Book Antiqua" w:hAnsi="Book Antiqua" w:cs="Book Antiqua"/>
          <w:color w:val="000000"/>
        </w:rPr>
        <w:t>11</w:t>
      </w:r>
      <w:r w:rsidR="002869F8" w:rsidRPr="00AE67E1">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patients with benign tumors and 17 healthy controls were included as control</w:t>
      </w:r>
      <w:r w:rsidR="002869F8">
        <w:rPr>
          <w:rFonts w:ascii="Book Antiqua" w:eastAsia="Book Antiqua" w:hAnsi="Book Antiqua" w:cs="Book Antiqua"/>
          <w:color w:val="000000"/>
        </w:rPr>
        <w:t>s</w:t>
      </w:r>
      <w:r w:rsidR="00C430B4" w:rsidRPr="00AE67E1">
        <w:rPr>
          <w:rFonts w:ascii="Book Antiqua" w:eastAsia="Book Antiqua" w:hAnsi="Book Antiqua" w:cs="Book Antiqua"/>
          <w:color w:val="000000"/>
        </w:rPr>
        <w:t>.</w:t>
      </w:r>
      <w:r>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 xml:space="preserve">Total CTCs and </w:t>
      </w:r>
      <w:r w:rsidRPr="00AE67E1">
        <w:rPr>
          <w:rFonts w:ascii="Book Antiqua" w:eastAsia="Book Antiqua" w:hAnsi="Book Antiqua" w:cs="Book Antiqua"/>
          <w:color w:val="000000"/>
        </w:rPr>
        <w:t>CTCs with both markers (E&amp;M-CTCs)</w:t>
      </w:r>
      <w:r w:rsidR="00C430B4" w:rsidRPr="00AE67E1">
        <w:rPr>
          <w:rFonts w:ascii="Book Antiqua" w:eastAsia="Book Antiqua" w:hAnsi="Book Antiqua" w:cs="Book Antiqua"/>
          <w:color w:val="000000"/>
        </w:rPr>
        <w:t xml:space="preserve"> of these patients were detected,</w:t>
      </w:r>
      <w:r>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the diagnostic value of CTCs categorized by the expression</w:t>
      </w:r>
      <w:r>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of EMT markers.</w:t>
      </w:r>
      <w:r>
        <w:rPr>
          <w:rFonts w:ascii="Book Antiqua" w:eastAsia="Book Antiqua" w:hAnsi="Book Antiqua" w:cs="Book Antiqua"/>
          <w:color w:val="000000"/>
        </w:rPr>
        <w:t xml:space="preserve"> </w:t>
      </w:r>
      <w:r w:rsidR="00C430B4" w:rsidRPr="00AE67E1">
        <w:rPr>
          <w:rFonts w:ascii="Book Antiqua" w:eastAsia="Book Antiqua" w:hAnsi="Book Antiqua" w:cs="Book Antiqua"/>
          <w:color w:val="000000"/>
        </w:rPr>
        <w:t>CytoploRare technique was used in 20 cases and 18 controls for validation.</w:t>
      </w:r>
    </w:p>
    <w:p w14:paraId="6617D8F4" w14:textId="77777777" w:rsidR="00F07400" w:rsidRPr="00AE67E1" w:rsidRDefault="00F07400" w:rsidP="00AE67E1">
      <w:pPr>
        <w:spacing w:line="360" w:lineRule="auto"/>
        <w:jc w:val="both"/>
        <w:rPr>
          <w:rFonts w:ascii="Book Antiqua" w:hAnsi="Book Antiqua"/>
        </w:rPr>
      </w:pPr>
    </w:p>
    <w:p w14:paraId="3BEB05D9"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results</w:t>
      </w:r>
    </w:p>
    <w:p w14:paraId="424C1D50" w14:textId="77777777" w:rsidR="00F07400" w:rsidRPr="00AE67E1" w:rsidRDefault="00C430B4" w:rsidP="00AE67E1">
      <w:pPr>
        <w:spacing w:line="360" w:lineRule="auto"/>
        <w:jc w:val="both"/>
        <w:rPr>
          <w:rFonts w:ascii="Book Antiqua" w:hAnsi="Book Antiqua"/>
        </w:rPr>
      </w:pPr>
      <w:bookmarkStart w:id="60" w:name="OLE_LINK363"/>
      <w:bookmarkStart w:id="61" w:name="OLE_LINK364"/>
      <w:r w:rsidRPr="00AE67E1">
        <w:rPr>
          <w:rFonts w:ascii="Book Antiqua" w:eastAsia="Book Antiqua" w:hAnsi="Book Antiqua" w:cs="Book Antiqua"/>
          <w:color w:val="000000"/>
        </w:rPr>
        <w:t>Total CTCs and E&amp;M-CTCs were significantly more frequent in LC cases than in benign or healthy controls.</w:t>
      </w:r>
      <w:r w:rsidRPr="00AE67E1">
        <w:rPr>
          <w:rFonts w:ascii="Book Antiqua" w:eastAsia="SimSun" w:hAnsi="Book Antiqua" w:cs="Book Antiqua"/>
          <w:color w:val="000000"/>
          <w:lang w:eastAsia="zh-CN"/>
        </w:rPr>
        <w:t xml:space="preserve"> </w:t>
      </w:r>
      <w:r w:rsidRPr="00AE67E1">
        <w:rPr>
          <w:rFonts w:ascii="Book Antiqua" w:eastAsia="Book Antiqua" w:hAnsi="Book Antiqua" w:cs="Book Antiqua"/>
          <w:color w:val="000000"/>
        </w:rPr>
        <w:t>The area under the</w:t>
      </w:r>
      <w:r w:rsidR="00342C5D">
        <w:rPr>
          <w:rFonts w:ascii="Book Antiqua" w:eastAsia="Book Antiqua" w:hAnsi="Book Antiqua" w:cs="Book Antiqua"/>
          <w:color w:val="000000"/>
        </w:rPr>
        <w:t xml:space="preserve"> </w:t>
      </w:r>
      <w:r w:rsidR="00342C5D" w:rsidRPr="00AE67E1">
        <w:rPr>
          <w:rFonts w:ascii="Book Antiqua" w:eastAsia="Book Antiqua" w:hAnsi="Book Antiqua" w:cs="Book Antiqua"/>
          <w:color w:val="000000"/>
        </w:rPr>
        <w:t>receiver operating characteristic</w:t>
      </w:r>
      <w:r w:rsidR="00342C5D">
        <w:rPr>
          <w:rFonts w:ascii="Book Antiqua" w:eastAsia="Book Antiqua" w:hAnsi="Book Antiqua" w:cs="Book Antiqua"/>
          <w:color w:val="000000"/>
        </w:rPr>
        <w:t xml:space="preserve"> </w:t>
      </w:r>
      <w:r w:rsidRPr="00AE67E1">
        <w:rPr>
          <w:rFonts w:ascii="Book Antiqua" w:eastAsia="Book Antiqua" w:hAnsi="Book Antiqua" w:cs="Book Antiqua"/>
          <w:color w:val="000000"/>
        </w:rPr>
        <w:t>curve of total CTCs and E&amp;M-CTCs was &gt;</w:t>
      </w:r>
      <w:r w:rsidR="00703113">
        <w:rPr>
          <w:rFonts w:ascii="Book Antiqua" w:eastAsia="Book Antiqua" w:hAnsi="Book Antiqua" w:cs="Book Antiqua"/>
          <w:color w:val="000000"/>
        </w:rPr>
        <w:t xml:space="preserve"> </w:t>
      </w:r>
      <w:r w:rsidRPr="00AE67E1">
        <w:rPr>
          <w:rFonts w:ascii="Book Antiqua" w:eastAsia="Book Antiqua" w:hAnsi="Book Antiqua" w:cs="Book Antiqua"/>
          <w:color w:val="000000"/>
        </w:rPr>
        <w:t>0.8 and &gt;</w:t>
      </w:r>
      <w:r w:rsidR="00703113">
        <w:rPr>
          <w:rFonts w:ascii="Book Antiqua" w:eastAsia="Book Antiqua" w:hAnsi="Book Antiqua" w:cs="Book Antiqua"/>
          <w:color w:val="000000"/>
        </w:rPr>
        <w:t xml:space="preserve"> </w:t>
      </w:r>
      <w:r w:rsidRPr="00AE67E1">
        <w:rPr>
          <w:rFonts w:ascii="Book Antiqua" w:eastAsia="Book Antiqua" w:hAnsi="Book Antiqua" w:cs="Book Antiqua"/>
          <w:color w:val="000000"/>
        </w:rPr>
        <w:t>0.75, respectively.</w:t>
      </w:r>
      <w:r w:rsidRPr="00AE67E1">
        <w:rPr>
          <w:rFonts w:ascii="Book Antiqua" w:eastAsia="SimSun" w:hAnsi="Book Antiqua" w:cs="Book Antiqua"/>
          <w:color w:val="000000"/>
          <w:lang w:eastAsia="zh-CN"/>
        </w:rPr>
        <w:t xml:space="preserve"> </w:t>
      </w:r>
      <w:r w:rsidRPr="00AE67E1">
        <w:rPr>
          <w:rFonts w:ascii="Book Antiqua" w:eastAsia="Book Antiqua" w:hAnsi="Book Antiqua" w:cs="Book Antiqua"/>
          <w:color w:val="000000"/>
        </w:rPr>
        <w:t>The combined sensitivity of total-CTCs and E&amp;M-CTCs was 85.85% for LC patients (80.95% for GGO patients) and the specificity was 78.57%.</w:t>
      </w:r>
    </w:p>
    <w:bookmarkEnd w:id="60"/>
    <w:bookmarkEnd w:id="61"/>
    <w:p w14:paraId="7D0D6AD6" w14:textId="77777777" w:rsidR="00F07400" w:rsidRPr="00AE67E1" w:rsidRDefault="00F07400" w:rsidP="00AE67E1">
      <w:pPr>
        <w:spacing w:line="360" w:lineRule="auto"/>
        <w:jc w:val="both"/>
        <w:rPr>
          <w:rFonts w:ascii="Book Antiqua" w:hAnsi="Book Antiqua"/>
        </w:rPr>
      </w:pPr>
    </w:p>
    <w:p w14:paraId="06C89FB6"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conclusions</w:t>
      </w:r>
    </w:p>
    <w:p w14:paraId="59A3C84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CTC detection is valuable for distinguishing LC as well as GGO patients from controls. </w:t>
      </w:r>
    </w:p>
    <w:p w14:paraId="7B4750B6" w14:textId="77777777" w:rsidR="00F07400" w:rsidRPr="00AE67E1" w:rsidRDefault="00F07400" w:rsidP="00AE67E1">
      <w:pPr>
        <w:spacing w:line="360" w:lineRule="auto"/>
        <w:jc w:val="both"/>
        <w:rPr>
          <w:rFonts w:ascii="Book Antiqua" w:hAnsi="Book Antiqua"/>
        </w:rPr>
      </w:pPr>
    </w:p>
    <w:p w14:paraId="79F05F2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i/>
          <w:color w:val="000000"/>
        </w:rPr>
        <w:t>Research perspectives</w:t>
      </w:r>
    </w:p>
    <w:p w14:paraId="157F8A47" w14:textId="77777777" w:rsidR="00F07400" w:rsidRPr="00AE67E1" w:rsidRDefault="00B52B66" w:rsidP="00ED59E4">
      <w:pPr>
        <w:spacing w:line="360" w:lineRule="auto"/>
        <w:jc w:val="both"/>
        <w:rPr>
          <w:rFonts w:ascii="Book Antiqua" w:hAnsi="Book Antiqua"/>
        </w:rPr>
      </w:pPr>
      <w:bookmarkStart w:id="62" w:name="OLE_LINK365"/>
      <w:bookmarkStart w:id="63" w:name="OLE_LINK366"/>
      <w:r>
        <w:rPr>
          <w:rFonts w:ascii="Book Antiqua" w:eastAsia="Book Antiqua" w:hAnsi="Book Antiqua" w:cs="Book Antiqua"/>
          <w:color w:val="000000"/>
        </w:rPr>
        <w:t>E</w:t>
      </w:r>
      <w:r w:rsidR="00703113" w:rsidRPr="00AE67E1">
        <w:rPr>
          <w:rFonts w:ascii="Book Antiqua" w:eastAsia="Book Antiqua" w:hAnsi="Book Antiqua" w:cs="Book Antiqua"/>
          <w:color w:val="000000"/>
        </w:rPr>
        <w:t xml:space="preserve">pithelial </w:t>
      </w:r>
      <w:r w:rsidR="00703113">
        <w:rPr>
          <w:rFonts w:ascii="Book Antiqua" w:eastAsia="Book Antiqua" w:hAnsi="Book Antiqua" w:cs="Book Antiqua"/>
          <w:color w:val="000000"/>
        </w:rPr>
        <w:t>(</w:t>
      </w:r>
      <w:r w:rsidR="00C430B4" w:rsidRPr="00AE67E1">
        <w:rPr>
          <w:rFonts w:ascii="Book Antiqua" w:eastAsia="Book Antiqua" w:hAnsi="Book Antiqua" w:cs="Book Antiqua"/>
          <w:color w:val="000000"/>
        </w:rPr>
        <w:t>E</w:t>
      </w:r>
      <w:r w:rsidR="00703113">
        <w:rPr>
          <w:rFonts w:ascii="Book Antiqua" w:eastAsia="Book Antiqua" w:hAnsi="Book Antiqua" w:cs="Book Antiqua"/>
          <w:color w:val="000000"/>
        </w:rPr>
        <w:t>)</w:t>
      </w:r>
      <w:r w:rsidR="00C430B4" w:rsidRPr="00AE67E1">
        <w:rPr>
          <w:rFonts w:ascii="Book Antiqua" w:eastAsia="Book Antiqua" w:hAnsi="Book Antiqua" w:cs="Book Antiqua"/>
          <w:color w:val="000000"/>
        </w:rPr>
        <w:t xml:space="preserve">-, </w:t>
      </w:r>
      <w:r w:rsidR="00703113" w:rsidRPr="00AE67E1">
        <w:rPr>
          <w:rFonts w:ascii="Book Antiqua" w:eastAsia="Book Antiqua" w:hAnsi="Book Antiqua" w:cs="Book Antiqua"/>
          <w:color w:val="000000"/>
        </w:rPr>
        <w:t xml:space="preserve">mesenchymal </w:t>
      </w:r>
      <w:r w:rsidR="00703113">
        <w:rPr>
          <w:rFonts w:ascii="Book Antiqua" w:eastAsia="Book Antiqua" w:hAnsi="Book Antiqua" w:cs="Book Antiqua"/>
          <w:color w:val="000000"/>
        </w:rPr>
        <w:t>(</w:t>
      </w:r>
      <w:r w:rsidR="00C430B4" w:rsidRPr="00AE67E1">
        <w:rPr>
          <w:rFonts w:ascii="Book Antiqua" w:eastAsia="Book Antiqua" w:hAnsi="Book Antiqua" w:cs="Book Antiqua"/>
          <w:color w:val="000000"/>
        </w:rPr>
        <w:t>M</w:t>
      </w:r>
      <w:r w:rsidR="00703113">
        <w:rPr>
          <w:rFonts w:ascii="Book Antiqua" w:eastAsia="Book Antiqua" w:hAnsi="Book Antiqua" w:cs="Book Antiqua"/>
          <w:color w:val="000000"/>
        </w:rPr>
        <w:t>)</w:t>
      </w:r>
      <w:r w:rsidR="00C430B4" w:rsidRPr="00AE67E1">
        <w:rPr>
          <w:rFonts w:ascii="Book Antiqua" w:eastAsia="Book Antiqua" w:hAnsi="Book Antiqua" w:cs="Book Antiqua"/>
          <w:color w:val="000000"/>
        </w:rPr>
        <w:t>-, and E&amp;M markers can be identified in CTC. Therefore, CTC</w:t>
      </w:r>
      <w:r w:rsidR="00342C5D">
        <w:rPr>
          <w:rFonts w:ascii="Book Antiqua" w:eastAsia="Book Antiqua" w:hAnsi="Book Antiqua" w:cs="Book Antiqua"/>
          <w:color w:val="000000"/>
        </w:rPr>
        <w:t>s</w:t>
      </w:r>
      <w:r w:rsidR="00C430B4" w:rsidRPr="00AE67E1">
        <w:rPr>
          <w:rFonts w:ascii="Book Antiqua" w:eastAsia="Book Antiqua" w:hAnsi="Book Antiqua" w:cs="Book Antiqua"/>
          <w:color w:val="000000"/>
        </w:rPr>
        <w:t xml:space="preserve"> were clustered into three subtypes, as </w:t>
      </w:r>
      <w:r w:rsidR="00C430B4" w:rsidRPr="00C172C1">
        <w:rPr>
          <w:rFonts w:ascii="Book Antiqua" w:eastAsia="Book Antiqua" w:hAnsi="Book Antiqua" w:cs="Book Antiqua"/>
          <w:i/>
          <w:iCs/>
          <w:color w:val="000000"/>
        </w:rPr>
        <w:t>per</w:t>
      </w:r>
      <w:r w:rsidR="00C430B4" w:rsidRPr="00AE67E1">
        <w:rPr>
          <w:rFonts w:ascii="Book Antiqua" w:eastAsia="Book Antiqua" w:hAnsi="Book Antiqua" w:cs="Book Antiqua"/>
          <w:color w:val="000000"/>
        </w:rPr>
        <w:t xml:space="preserve"> the markers on CTC, </w:t>
      </w:r>
      <w:r w:rsidR="00C430B4" w:rsidRPr="008C7151">
        <w:rPr>
          <w:rFonts w:ascii="Book Antiqua" w:eastAsia="Book Antiqua" w:hAnsi="Book Antiqua" w:cs="Book Antiqua"/>
          <w:i/>
          <w:iCs/>
          <w:color w:val="000000"/>
        </w:rPr>
        <w:t>i.e.</w:t>
      </w:r>
      <w:r w:rsidR="00C430B4" w:rsidRPr="00AE67E1">
        <w:rPr>
          <w:rFonts w:ascii="Book Antiqua" w:eastAsia="Book Antiqua" w:hAnsi="Book Antiqua" w:cs="Book Antiqua"/>
          <w:color w:val="000000"/>
        </w:rPr>
        <w:t xml:space="preserve"> E-CTC, M-CTC and E&amp;M-CTC.</w:t>
      </w:r>
      <w:r w:rsidR="00ED59E4">
        <w:rPr>
          <w:rFonts w:ascii="Book Antiqua" w:eastAsiaTheme="minorEastAsia" w:hAnsi="Book Antiqua" w:hint="eastAsia"/>
          <w:lang w:eastAsia="zh-CN"/>
        </w:rPr>
        <w:t xml:space="preserve"> </w:t>
      </w:r>
      <w:r w:rsidR="00C430B4" w:rsidRPr="00AE67E1">
        <w:rPr>
          <w:rFonts w:ascii="Book Antiqua" w:eastAsia="Book Antiqua" w:hAnsi="Book Antiqua" w:cs="Book Antiqua"/>
          <w:color w:val="000000"/>
        </w:rPr>
        <w:t>Detection of E&amp;M-CTC ha</w:t>
      </w:r>
      <w:r w:rsidR="00342C5D">
        <w:rPr>
          <w:rFonts w:ascii="Book Antiqua" w:eastAsia="Book Antiqua" w:hAnsi="Book Antiqua" w:cs="Book Antiqua"/>
          <w:color w:val="000000"/>
        </w:rPr>
        <w:t>s</w:t>
      </w:r>
      <w:r w:rsidR="00C430B4" w:rsidRPr="00AE67E1">
        <w:rPr>
          <w:rFonts w:ascii="Book Antiqua" w:eastAsia="Book Antiqua" w:hAnsi="Book Antiqua" w:cs="Book Antiqua"/>
          <w:color w:val="000000"/>
        </w:rPr>
        <w:t xml:space="preserve"> good diagnostic value in </w:t>
      </w:r>
      <w:r w:rsidR="00C430B4" w:rsidRPr="00AE67E1">
        <w:rPr>
          <w:rFonts w:ascii="Book Antiqua" w:eastAsia="Book Antiqua" w:hAnsi="Book Antiqua" w:cs="Book Antiqua"/>
          <w:color w:val="000000"/>
        </w:rPr>
        <w:lastRenderedPageBreak/>
        <w:t>distinguishing lung cancer, providing a new method to discriminate between malignant and benign pulmonary node in clinical practice.</w:t>
      </w:r>
    </w:p>
    <w:bookmarkEnd w:id="62"/>
    <w:bookmarkEnd w:id="63"/>
    <w:p w14:paraId="58E88C4D" w14:textId="77777777" w:rsidR="00F07400" w:rsidRPr="00AE67E1" w:rsidRDefault="00F07400" w:rsidP="00AE67E1">
      <w:pPr>
        <w:spacing w:line="360" w:lineRule="auto"/>
        <w:jc w:val="both"/>
        <w:rPr>
          <w:rFonts w:ascii="Book Antiqua" w:hAnsi="Book Antiqua"/>
        </w:rPr>
      </w:pPr>
    </w:p>
    <w:p w14:paraId="6C5B3CE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aps/>
          <w:color w:val="000000"/>
          <w:u w:val="single"/>
        </w:rPr>
        <w:t>ACKNOWLEDGEMENTS</w:t>
      </w:r>
    </w:p>
    <w:p w14:paraId="033BC548" w14:textId="77777777" w:rsidR="00F07400" w:rsidRDefault="00C430B4" w:rsidP="00AE67E1">
      <w:pPr>
        <w:spacing w:line="360" w:lineRule="auto"/>
        <w:jc w:val="both"/>
        <w:rPr>
          <w:rFonts w:ascii="Book Antiqua" w:eastAsiaTheme="minorEastAsia" w:hAnsi="Book Antiqua"/>
          <w:lang w:eastAsia="zh-CN"/>
        </w:rPr>
      </w:pPr>
      <w:r w:rsidRPr="00AE67E1">
        <w:rPr>
          <w:rFonts w:ascii="Book Antiqua" w:eastAsia="Book Antiqua" w:hAnsi="Book Antiqua" w:cs="Book Antiqua"/>
          <w:color w:val="000000"/>
        </w:rPr>
        <w:t>We thank Dr. Xu</w:t>
      </w:r>
      <w:r w:rsidR="00C172C1">
        <w:rPr>
          <w:rFonts w:ascii="Book Antiqua" w:eastAsia="Book Antiqua" w:hAnsi="Book Antiqua" w:cs="Book Antiqua"/>
          <w:color w:val="000000"/>
        </w:rPr>
        <w:t>-R</w:t>
      </w:r>
      <w:r w:rsidRPr="00AE67E1">
        <w:rPr>
          <w:rFonts w:ascii="Book Antiqua" w:eastAsia="Book Antiqua" w:hAnsi="Book Antiqua" w:cs="Book Antiqua"/>
          <w:color w:val="000000"/>
        </w:rPr>
        <w:t>ui Jin for reviewing the statistical methods of this study</w:t>
      </w:r>
      <w:r w:rsidR="00C172C1">
        <w:rPr>
          <w:rFonts w:ascii="Book Antiqua" w:eastAsiaTheme="minorEastAsia" w:hAnsi="Book Antiqua" w:hint="eastAsia"/>
          <w:lang w:eastAsia="zh-CN"/>
        </w:rPr>
        <w:t>.</w:t>
      </w:r>
    </w:p>
    <w:p w14:paraId="270C1587" w14:textId="77777777" w:rsidR="00C172C1" w:rsidRPr="00C172C1" w:rsidRDefault="00C172C1" w:rsidP="00AE67E1">
      <w:pPr>
        <w:spacing w:line="360" w:lineRule="auto"/>
        <w:jc w:val="both"/>
        <w:rPr>
          <w:rFonts w:ascii="Book Antiqua" w:eastAsiaTheme="minorEastAsia" w:hAnsi="Book Antiqua"/>
          <w:lang w:eastAsia="zh-CN"/>
        </w:rPr>
      </w:pPr>
    </w:p>
    <w:p w14:paraId="15A2A2A1"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REFERENCES</w:t>
      </w:r>
    </w:p>
    <w:p w14:paraId="1B45C904" w14:textId="77777777" w:rsidR="00F07400" w:rsidRPr="00AE67E1" w:rsidRDefault="00C430B4" w:rsidP="00AE67E1">
      <w:pPr>
        <w:spacing w:line="360" w:lineRule="auto"/>
        <w:jc w:val="both"/>
        <w:rPr>
          <w:rFonts w:ascii="Book Antiqua" w:eastAsia="Book Antiqua" w:hAnsi="Book Antiqua" w:cs="Book Antiqua"/>
          <w:color w:val="000000"/>
        </w:rPr>
      </w:pPr>
      <w:bookmarkStart w:id="64" w:name="OLE_LINK271"/>
      <w:bookmarkStart w:id="65" w:name="OLE_LINK272"/>
      <w:bookmarkStart w:id="66" w:name="OLE_LINK291"/>
      <w:bookmarkStart w:id="67" w:name="OLE_LINK367"/>
      <w:r w:rsidRPr="00AE67E1">
        <w:rPr>
          <w:rFonts w:ascii="Book Antiqua" w:eastAsia="Book Antiqua" w:hAnsi="Book Antiqua" w:cs="Book Antiqua"/>
          <w:color w:val="000000"/>
        </w:rPr>
        <w:t xml:space="preserve">1 </w:t>
      </w:r>
      <w:r w:rsidRPr="00AE67E1">
        <w:rPr>
          <w:rFonts w:ascii="Book Antiqua" w:eastAsia="Book Antiqua" w:hAnsi="Book Antiqua" w:cs="Book Antiqua"/>
          <w:b/>
          <w:bCs/>
          <w:color w:val="000000"/>
        </w:rPr>
        <w:t>Wu S,</w:t>
      </w:r>
      <w:r w:rsidRPr="00AE67E1">
        <w:rPr>
          <w:rFonts w:ascii="Book Antiqua" w:eastAsia="Book Antiqua" w:hAnsi="Book Antiqua" w:cs="Book Antiqua"/>
          <w:color w:val="000000"/>
        </w:rPr>
        <w:t xml:space="preserve"> Liu Z, Liu S, Lin L, Yang W, Xu J. </w:t>
      </w:r>
      <w:bookmarkStart w:id="68" w:name="OLE_LINK281"/>
      <w:bookmarkStart w:id="69" w:name="OLE_LINK282"/>
      <w:r w:rsidRPr="00AE67E1">
        <w:rPr>
          <w:rFonts w:ascii="Book Antiqua" w:eastAsia="Book Antiqua" w:hAnsi="Book Antiqua" w:cs="Book Antiqua"/>
          <w:color w:val="000000"/>
        </w:rPr>
        <w:t>Enrichment and enumeration of circulating tumor cells by efficient depletion of leukocyte fractions.</w:t>
      </w:r>
      <w:bookmarkEnd w:id="68"/>
      <w:bookmarkEnd w:id="69"/>
      <w:r w:rsidRPr="00AE67E1">
        <w:rPr>
          <w:rFonts w:ascii="Book Antiqua" w:eastAsia="Book Antiqua" w:hAnsi="Book Antiqua" w:cs="Book Antiqua"/>
          <w:color w:val="000000"/>
        </w:rPr>
        <w:t xml:space="preserve"> </w:t>
      </w:r>
      <w:r w:rsidR="00876E8B" w:rsidRPr="00AE67E1">
        <w:rPr>
          <w:rFonts w:ascii="Book Antiqua" w:eastAsia="Book Antiqua" w:hAnsi="Book Antiqua" w:cs="Book Antiqua"/>
          <w:i/>
          <w:iCs/>
          <w:color w:val="000000"/>
        </w:rPr>
        <w:t>Clin Chem Lab Med</w:t>
      </w:r>
      <w:r w:rsidR="00876E8B" w:rsidRPr="00AE67E1">
        <w:rPr>
          <w:rFonts w:ascii="Book Antiqua" w:eastAsia="Book Antiqua" w:hAnsi="Book Antiqua" w:cs="Book Antiqua"/>
          <w:color w:val="000000"/>
        </w:rPr>
        <w:t xml:space="preserve"> 2015; </w:t>
      </w:r>
      <w:r w:rsidR="00876E8B" w:rsidRPr="00AE67E1">
        <w:rPr>
          <w:rFonts w:ascii="Book Antiqua" w:eastAsia="Book Antiqua" w:hAnsi="Book Antiqua" w:cs="Book Antiqua"/>
          <w:b/>
          <w:bCs/>
          <w:color w:val="000000"/>
        </w:rPr>
        <w:t>53:</w:t>
      </w:r>
      <w:r w:rsidR="0029587B" w:rsidRPr="00AE67E1">
        <w:rPr>
          <w:rFonts w:ascii="Book Antiqua" w:eastAsia="Book Antiqua" w:hAnsi="Book Antiqua" w:cs="Book Antiqua"/>
          <w:b/>
          <w:bCs/>
          <w:color w:val="000000"/>
        </w:rPr>
        <w:t xml:space="preserve"> </w:t>
      </w:r>
      <w:r w:rsidR="00876E8B" w:rsidRPr="00AE67E1">
        <w:rPr>
          <w:rFonts w:ascii="Book Antiqua" w:eastAsia="Book Antiqua" w:hAnsi="Book Antiqua" w:cs="Book Antiqua"/>
          <w:color w:val="000000"/>
        </w:rPr>
        <w:t xml:space="preserve">337 </w:t>
      </w:r>
      <w:r w:rsidR="0029587B" w:rsidRPr="00AE67E1">
        <w:rPr>
          <w:rFonts w:ascii="Book Antiqua" w:eastAsia="Book Antiqua" w:hAnsi="Book Antiqua" w:cs="Book Antiqua"/>
          <w:color w:val="000000"/>
        </w:rPr>
        <w:t>[PMID: 25568985 DOI</w:t>
      </w:r>
      <w:r w:rsidR="00876E8B" w:rsidRPr="00AE67E1">
        <w:rPr>
          <w:rFonts w:ascii="Book Antiqua" w:eastAsia="Book Antiqua" w:hAnsi="Book Antiqua" w:cs="Book Antiqua"/>
          <w:color w:val="000000"/>
        </w:rPr>
        <w:t>: 10.1515/cclm-2015-5000</w:t>
      </w:r>
      <w:r w:rsidR="0029587B" w:rsidRPr="00AE67E1">
        <w:rPr>
          <w:rFonts w:ascii="Book Antiqua" w:eastAsia="Book Antiqua" w:hAnsi="Book Antiqua" w:cs="Book Antiqua"/>
          <w:color w:val="000000"/>
        </w:rPr>
        <w:t>]</w:t>
      </w:r>
      <w:r w:rsidR="00876E8B" w:rsidRPr="00AE67E1">
        <w:rPr>
          <w:rFonts w:ascii="Book Antiqua" w:eastAsia="Book Antiqua" w:hAnsi="Book Antiqua" w:cs="Book Antiqua"/>
          <w:color w:val="000000"/>
        </w:rPr>
        <w:t xml:space="preserve"> </w:t>
      </w:r>
    </w:p>
    <w:p w14:paraId="5F3D5FB7"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 </w:t>
      </w:r>
      <w:r w:rsidRPr="00AE67E1">
        <w:rPr>
          <w:rFonts w:ascii="Book Antiqua" w:eastAsia="Book Antiqua" w:hAnsi="Book Antiqua" w:cs="Book Antiqua"/>
          <w:b/>
          <w:bCs/>
          <w:color w:val="000000"/>
        </w:rPr>
        <w:t>Cao Z</w:t>
      </w:r>
      <w:r w:rsidRPr="00AE67E1">
        <w:rPr>
          <w:rFonts w:ascii="Book Antiqua" w:eastAsia="Book Antiqua" w:hAnsi="Book Antiqua" w:cs="Book Antiqua"/>
          <w:color w:val="000000"/>
        </w:rPr>
        <w:t xml:space="preserve">, Livas T, Kyprianou N. Anoikis and EMT: Lethal "Liaisons" during Cancer Progression. </w:t>
      </w:r>
      <w:r w:rsidRPr="00AE67E1">
        <w:rPr>
          <w:rFonts w:ascii="Book Antiqua" w:eastAsia="Book Antiqua" w:hAnsi="Book Antiqua" w:cs="Book Antiqua"/>
          <w:i/>
          <w:iCs/>
          <w:color w:val="000000"/>
        </w:rPr>
        <w:t>Crit Rev Oncog</w:t>
      </w:r>
      <w:r w:rsidRPr="00AE67E1">
        <w:rPr>
          <w:rFonts w:ascii="Book Antiqua" w:eastAsia="Book Antiqua" w:hAnsi="Book Antiqua" w:cs="Book Antiqua"/>
          <w:color w:val="000000"/>
        </w:rPr>
        <w:t xml:space="preserve"> 2016; </w:t>
      </w:r>
      <w:r w:rsidRPr="00AE67E1">
        <w:rPr>
          <w:rFonts w:ascii="Book Antiqua" w:eastAsia="Book Antiqua" w:hAnsi="Book Antiqua" w:cs="Book Antiqua"/>
          <w:b/>
          <w:bCs/>
          <w:color w:val="000000"/>
        </w:rPr>
        <w:t>21</w:t>
      </w:r>
      <w:r w:rsidRPr="00AE67E1">
        <w:rPr>
          <w:rFonts w:ascii="Book Antiqua" w:eastAsia="Book Antiqua" w:hAnsi="Book Antiqua" w:cs="Book Antiqua"/>
          <w:color w:val="000000"/>
        </w:rPr>
        <w:t>: 155-168 [PMID: 27915969 DOI: 10.1615/CritRevOncog.2016016955]</w:t>
      </w:r>
    </w:p>
    <w:p w14:paraId="508DD156"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3 </w:t>
      </w:r>
      <w:r w:rsidRPr="00AE67E1">
        <w:rPr>
          <w:rFonts w:ascii="Book Antiqua" w:eastAsia="Book Antiqua" w:hAnsi="Book Antiqua" w:cs="Book Antiqua"/>
          <w:b/>
          <w:bCs/>
          <w:color w:val="000000"/>
        </w:rPr>
        <w:t>Yin W</w:t>
      </w:r>
      <w:r w:rsidRPr="00AE67E1">
        <w:rPr>
          <w:rFonts w:ascii="Book Antiqua" w:eastAsia="Book Antiqua" w:hAnsi="Book Antiqua" w:cs="Book Antiqua"/>
          <w:color w:val="000000"/>
        </w:rPr>
        <w:t>, Han YM, Li ZL, Huang ZX, Huang L, Zhong XG. Clinical significance of perioperative EMT-CTC in rectal cancer patients receiving open/</w:t>
      </w:r>
      <w:r w:rsidR="001405FE">
        <w:rPr>
          <w:rFonts w:ascii="Book Antiqua" w:eastAsia="Book Antiqua" w:hAnsi="Book Antiqua" w:cs="Book Antiqua"/>
          <w:color w:val="000000"/>
        </w:rPr>
        <w:t>l</w:t>
      </w:r>
      <w:r w:rsidRPr="00AE67E1">
        <w:rPr>
          <w:rFonts w:ascii="Book Antiqua" w:eastAsia="Book Antiqua" w:hAnsi="Book Antiqua" w:cs="Book Antiqua"/>
          <w:color w:val="000000"/>
        </w:rPr>
        <w:t xml:space="preserve">aparoscopic surgery. </w:t>
      </w:r>
      <w:r w:rsidRPr="00AE67E1">
        <w:rPr>
          <w:rFonts w:ascii="Book Antiqua" w:eastAsia="Book Antiqua" w:hAnsi="Book Antiqua" w:cs="Book Antiqua"/>
          <w:i/>
          <w:iCs/>
          <w:color w:val="000000"/>
        </w:rPr>
        <w:t>Neoplasma</w:t>
      </w:r>
      <w:r w:rsidRPr="00AE67E1">
        <w:rPr>
          <w:rFonts w:ascii="Book Antiqua" w:eastAsia="Book Antiqua" w:hAnsi="Book Antiqua" w:cs="Book Antiqua"/>
          <w:color w:val="000000"/>
        </w:rPr>
        <w:t xml:space="preserve"> 2020; </w:t>
      </w:r>
      <w:r w:rsidRPr="00AE67E1">
        <w:rPr>
          <w:rFonts w:ascii="Book Antiqua" w:eastAsia="Book Antiqua" w:hAnsi="Book Antiqua" w:cs="Book Antiqua"/>
          <w:b/>
          <w:bCs/>
          <w:color w:val="000000"/>
        </w:rPr>
        <w:t>67</w:t>
      </w:r>
      <w:r w:rsidRPr="00AE67E1">
        <w:rPr>
          <w:rFonts w:ascii="Book Antiqua" w:eastAsia="Book Antiqua" w:hAnsi="Book Antiqua" w:cs="Book Antiqua"/>
          <w:color w:val="000000"/>
        </w:rPr>
        <w:t>: 1131-1138 [PMID: 32412772 DOI: 10.4149/neo_2020_190709N611]</w:t>
      </w:r>
    </w:p>
    <w:p w14:paraId="6BA4B29F"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4 </w:t>
      </w:r>
      <w:r w:rsidRPr="00AE67E1">
        <w:rPr>
          <w:rFonts w:ascii="Book Antiqua" w:eastAsia="Book Antiqua" w:hAnsi="Book Antiqua" w:cs="Book Antiqua"/>
          <w:b/>
          <w:bCs/>
          <w:color w:val="000000"/>
        </w:rPr>
        <w:t>Zhao XH</w:t>
      </w:r>
      <w:r w:rsidRPr="00AE67E1">
        <w:rPr>
          <w:rFonts w:ascii="Book Antiqua" w:eastAsia="Book Antiqua" w:hAnsi="Book Antiqua" w:cs="Book Antiqua"/>
          <w:color w:val="000000"/>
        </w:rPr>
        <w:t xml:space="preserve">, Wang ZR, Chen CL, Di L, Bi ZF, Li ZH, Liu YM. Molecular detection of epithelial-mesenchymal transition markers in circulating tumor cells from pancreatic cancer patients: Potential role in clinical practice. </w:t>
      </w:r>
      <w:r w:rsidRPr="00AE67E1">
        <w:rPr>
          <w:rFonts w:ascii="Book Antiqua" w:eastAsia="Book Antiqua" w:hAnsi="Book Antiqua" w:cs="Book Antiqua"/>
          <w:i/>
          <w:iCs/>
          <w:color w:val="000000"/>
        </w:rPr>
        <w:t>World J Gastroenterol</w:t>
      </w:r>
      <w:r w:rsidRPr="00AE67E1">
        <w:rPr>
          <w:rFonts w:ascii="Book Antiqua" w:eastAsia="Book Antiqua" w:hAnsi="Book Antiqua" w:cs="Book Antiqua"/>
          <w:color w:val="000000"/>
        </w:rPr>
        <w:t xml:space="preserve"> 2019; </w:t>
      </w:r>
      <w:r w:rsidRPr="00AE67E1">
        <w:rPr>
          <w:rFonts w:ascii="Book Antiqua" w:eastAsia="Book Antiqua" w:hAnsi="Book Antiqua" w:cs="Book Antiqua"/>
          <w:b/>
          <w:bCs/>
          <w:color w:val="000000"/>
        </w:rPr>
        <w:t>25</w:t>
      </w:r>
      <w:r w:rsidRPr="00AE67E1">
        <w:rPr>
          <w:rFonts w:ascii="Book Antiqua" w:eastAsia="Book Antiqua" w:hAnsi="Book Antiqua" w:cs="Book Antiqua"/>
          <w:color w:val="000000"/>
        </w:rPr>
        <w:t>: 138-150 [PMID: 30643364 DOI: 10.3748/wjg.v25.i1.138]</w:t>
      </w:r>
    </w:p>
    <w:p w14:paraId="28656A8F" w14:textId="77777777" w:rsidR="00F07400" w:rsidRPr="00AE67E1"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 xml:space="preserve">5 </w:t>
      </w:r>
      <w:r w:rsidR="00A76D1E" w:rsidRPr="00AE67E1">
        <w:rPr>
          <w:rFonts w:ascii="Book Antiqua" w:eastAsia="Book Antiqua" w:hAnsi="Book Antiqua" w:cs="Book Antiqua"/>
          <w:b/>
          <w:bCs/>
          <w:color w:val="000000"/>
        </w:rPr>
        <w:t>Liu X,</w:t>
      </w:r>
      <w:r w:rsidR="00A76D1E" w:rsidRPr="00AE67E1">
        <w:rPr>
          <w:rFonts w:ascii="Book Antiqua" w:eastAsia="Book Antiqua" w:hAnsi="Book Antiqua" w:cs="Book Antiqua"/>
          <w:color w:val="000000"/>
        </w:rPr>
        <w:t xml:space="preserve"> Li J, Cadilha BL, Markota A, Voigt C, Huang Z, Lin PP, Wang DD, Dai J, Kranz G, Krandick A, Libl D, Zitzelsberger H, Zagorski I, Braselmann H, Pan M, Zhu S, Huang Y, Niedermeyer S, Reichel CA, Uhl B, Briukhovetska D, Suárez J, Kobold S, Gires O, Wang H. Epithelial-type systemic breast carcinoma cells with a restricted mesenchymal transition are a major source of metastasis. </w:t>
      </w:r>
      <w:r w:rsidR="00A76D1E" w:rsidRPr="00AE67E1">
        <w:rPr>
          <w:rFonts w:ascii="Book Antiqua" w:eastAsia="Book Antiqua" w:hAnsi="Book Antiqua" w:cs="Book Antiqua"/>
          <w:i/>
          <w:iCs/>
          <w:color w:val="000000"/>
        </w:rPr>
        <w:t>Sci Adv</w:t>
      </w:r>
      <w:r w:rsidR="00A76D1E" w:rsidRPr="00AE67E1">
        <w:rPr>
          <w:rFonts w:ascii="Book Antiqua" w:eastAsia="Book Antiqua" w:hAnsi="Book Antiqua" w:cs="Book Antiqua"/>
          <w:color w:val="000000"/>
        </w:rPr>
        <w:t xml:space="preserve"> 2019;</w:t>
      </w:r>
      <w:r w:rsidR="00AF2F8E" w:rsidRPr="00AE67E1">
        <w:rPr>
          <w:rFonts w:ascii="Book Antiqua" w:eastAsia="Book Antiqua" w:hAnsi="Book Antiqua" w:cs="Book Antiqua"/>
          <w:color w:val="000000"/>
        </w:rPr>
        <w:t xml:space="preserve"> </w:t>
      </w:r>
      <w:r w:rsidR="00A76D1E" w:rsidRPr="00AE67E1">
        <w:rPr>
          <w:rFonts w:ascii="Book Antiqua" w:eastAsia="Book Antiqua" w:hAnsi="Book Antiqua" w:cs="Book Antiqua"/>
          <w:b/>
          <w:bCs/>
          <w:color w:val="000000"/>
        </w:rPr>
        <w:t>5:</w:t>
      </w:r>
      <w:r w:rsidR="00AF2F8E" w:rsidRPr="00AE67E1">
        <w:rPr>
          <w:rFonts w:ascii="Book Antiqua" w:eastAsia="Book Antiqua" w:hAnsi="Book Antiqua" w:cs="Book Antiqua"/>
          <w:color w:val="000000"/>
        </w:rPr>
        <w:t xml:space="preserve"> </w:t>
      </w:r>
      <w:r w:rsidR="00A76D1E" w:rsidRPr="00AE67E1">
        <w:rPr>
          <w:rFonts w:ascii="Book Antiqua" w:eastAsia="Book Antiqua" w:hAnsi="Book Antiqua" w:cs="Book Antiqua"/>
          <w:color w:val="000000"/>
        </w:rPr>
        <w:t xml:space="preserve">eaav4275 </w:t>
      </w:r>
      <w:r w:rsidR="00AF2F8E" w:rsidRPr="00AE67E1">
        <w:rPr>
          <w:rFonts w:ascii="Book Antiqua" w:eastAsia="Book Antiqua" w:hAnsi="Book Antiqua" w:cs="Book Antiqua"/>
          <w:color w:val="000000"/>
        </w:rPr>
        <w:t>[PMID: 31223646 DOI</w:t>
      </w:r>
      <w:r w:rsidR="00A76D1E" w:rsidRPr="00AE67E1">
        <w:rPr>
          <w:rFonts w:ascii="Book Antiqua" w:eastAsia="Book Antiqua" w:hAnsi="Book Antiqua" w:cs="Book Antiqua"/>
          <w:color w:val="000000"/>
        </w:rPr>
        <w:t>: 10.1126/sciadv.aav4275</w:t>
      </w:r>
      <w:r w:rsidR="00AF2F8E" w:rsidRPr="00AE67E1">
        <w:rPr>
          <w:rFonts w:ascii="Book Antiqua" w:eastAsia="Book Antiqua" w:hAnsi="Book Antiqua" w:cs="Book Antiqua"/>
          <w:color w:val="000000"/>
        </w:rPr>
        <w:t>]</w:t>
      </w:r>
    </w:p>
    <w:p w14:paraId="55B5BFE6"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6 </w:t>
      </w:r>
      <w:r w:rsidRPr="00AE67E1">
        <w:rPr>
          <w:rFonts w:ascii="Book Antiqua" w:eastAsia="Book Antiqua" w:hAnsi="Book Antiqua" w:cs="Book Antiqua"/>
          <w:b/>
          <w:bCs/>
          <w:color w:val="000000"/>
        </w:rPr>
        <w:t>Liu DG</w:t>
      </w:r>
      <w:r w:rsidRPr="00AE67E1">
        <w:rPr>
          <w:rFonts w:ascii="Book Antiqua" w:eastAsia="Book Antiqua" w:hAnsi="Book Antiqua" w:cs="Book Antiqua"/>
          <w:color w:val="000000"/>
        </w:rPr>
        <w:t xml:space="preserve">, Xue L, Li J, Yang Q, Peng JZ. Epithelial-mesenchymal transition and GALC expression of circulating tumor cells indicate metastasis and poor prognosis in non-small cell lung cancer. </w:t>
      </w:r>
      <w:r w:rsidRPr="00AE67E1">
        <w:rPr>
          <w:rFonts w:ascii="Book Antiqua" w:eastAsia="Book Antiqua" w:hAnsi="Book Antiqua" w:cs="Book Antiqua"/>
          <w:i/>
          <w:iCs/>
          <w:color w:val="000000"/>
        </w:rPr>
        <w:t>Cancer Biomark</w:t>
      </w:r>
      <w:r w:rsidRPr="00AE67E1">
        <w:rPr>
          <w:rFonts w:ascii="Book Antiqua" w:eastAsia="Book Antiqua" w:hAnsi="Book Antiqua" w:cs="Book Antiqua"/>
          <w:color w:val="000000"/>
        </w:rPr>
        <w:t xml:space="preserve"> 2018; </w:t>
      </w:r>
      <w:r w:rsidRPr="00AE67E1">
        <w:rPr>
          <w:rFonts w:ascii="Book Antiqua" w:eastAsia="Book Antiqua" w:hAnsi="Book Antiqua" w:cs="Book Antiqua"/>
          <w:b/>
          <w:bCs/>
          <w:color w:val="000000"/>
        </w:rPr>
        <w:t>22</w:t>
      </w:r>
      <w:r w:rsidRPr="00AE67E1">
        <w:rPr>
          <w:rFonts w:ascii="Book Antiqua" w:eastAsia="Book Antiqua" w:hAnsi="Book Antiqua" w:cs="Book Antiqua"/>
          <w:color w:val="000000"/>
        </w:rPr>
        <w:t>: 417-426 [PMID: 29758927 DOI: 10.3233/CBM-170995]</w:t>
      </w:r>
    </w:p>
    <w:p w14:paraId="388FAD20"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lastRenderedPageBreak/>
        <w:t xml:space="preserve">7 </w:t>
      </w:r>
      <w:r w:rsidRPr="00AE67E1">
        <w:rPr>
          <w:rFonts w:ascii="Book Antiqua" w:eastAsia="Book Antiqua" w:hAnsi="Book Antiqua" w:cs="Book Antiqua"/>
          <w:b/>
          <w:bCs/>
          <w:color w:val="000000"/>
        </w:rPr>
        <w:t>Zhou J</w:t>
      </w:r>
      <w:r w:rsidRPr="00AE67E1">
        <w:rPr>
          <w:rFonts w:ascii="Book Antiqua" w:eastAsia="Book Antiqua" w:hAnsi="Book Antiqua" w:cs="Book Antiqua"/>
          <w:color w:val="000000"/>
        </w:rPr>
        <w:t xml:space="preserve">, Ma X, Bi F, Liu M. Clinical significance of circulating tumor cells in gastric cancer patients. </w:t>
      </w:r>
      <w:r w:rsidRPr="00AE67E1">
        <w:rPr>
          <w:rFonts w:ascii="Book Antiqua" w:eastAsia="Book Antiqua" w:hAnsi="Book Antiqua" w:cs="Book Antiqua"/>
          <w:i/>
          <w:iCs/>
          <w:color w:val="000000"/>
        </w:rPr>
        <w:t>Oncotarget</w:t>
      </w:r>
      <w:r w:rsidRPr="00AE67E1">
        <w:rPr>
          <w:rFonts w:ascii="Book Antiqua" w:eastAsia="Book Antiqua" w:hAnsi="Book Antiqua" w:cs="Book Antiqua"/>
          <w:color w:val="000000"/>
        </w:rPr>
        <w:t xml:space="preserve"> 2017; </w:t>
      </w:r>
      <w:r w:rsidRPr="00AE67E1">
        <w:rPr>
          <w:rFonts w:ascii="Book Antiqua" w:eastAsia="Book Antiqua" w:hAnsi="Book Antiqua" w:cs="Book Antiqua"/>
          <w:b/>
          <w:bCs/>
          <w:color w:val="000000"/>
        </w:rPr>
        <w:t>8</w:t>
      </w:r>
      <w:r w:rsidRPr="00AE67E1">
        <w:rPr>
          <w:rFonts w:ascii="Book Antiqua" w:eastAsia="Book Antiqua" w:hAnsi="Book Antiqua" w:cs="Book Antiqua"/>
          <w:color w:val="000000"/>
        </w:rPr>
        <w:t>: 25713-25720 [PMID: 28147337 DOI: 10.18632/oncotarget.14879]</w:t>
      </w:r>
    </w:p>
    <w:p w14:paraId="7AF184E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8 </w:t>
      </w:r>
      <w:r w:rsidRPr="00AE67E1">
        <w:rPr>
          <w:rFonts w:ascii="Book Antiqua" w:eastAsia="Book Antiqua" w:hAnsi="Book Antiqua" w:cs="Book Antiqua"/>
          <w:b/>
          <w:bCs/>
          <w:color w:val="000000"/>
        </w:rPr>
        <w:t>Huang H</w:t>
      </w:r>
      <w:r w:rsidRPr="00AE67E1">
        <w:rPr>
          <w:rFonts w:ascii="Book Antiqua" w:eastAsia="Book Antiqua" w:hAnsi="Book Antiqua" w:cs="Book Antiqua"/>
          <w:color w:val="000000"/>
        </w:rPr>
        <w:t xml:space="preserve">, Shi Y, Huang J, Wang X, Zhang R, Chen H. Circulating tumor cells as a potential biomarker in diagnosis of lung cancer: a systematic review and meta-analysis. </w:t>
      </w:r>
      <w:r w:rsidRPr="00AE67E1">
        <w:rPr>
          <w:rFonts w:ascii="Book Antiqua" w:eastAsia="Book Antiqua" w:hAnsi="Book Antiqua" w:cs="Book Antiqua"/>
          <w:i/>
          <w:iCs/>
          <w:color w:val="000000"/>
        </w:rPr>
        <w:t>Clin Respir J</w:t>
      </w:r>
      <w:r w:rsidRPr="00AE67E1">
        <w:rPr>
          <w:rFonts w:ascii="Book Antiqua" w:eastAsia="Book Antiqua" w:hAnsi="Book Antiqua" w:cs="Book Antiqua"/>
          <w:color w:val="000000"/>
        </w:rPr>
        <w:t xml:space="preserve"> 2018; </w:t>
      </w:r>
      <w:r w:rsidRPr="00AE67E1">
        <w:rPr>
          <w:rFonts w:ascii="Book Antiqua" w:eastAsia="Book Antiqua" w:hAnsi="Book Antiqua" w:cs="Book Antiqua"/>
          <w:b/>
          <w:bCs/>
          <w:color w:val="000000"/>
        </w:rPr>
        <w:t>12</w:t>
      </w:r>
      <w:r w:rsidRPr="00AE67E1">
        <w:rPr>
          <w:rFonts w:ascii="Book Antiqua" w:eastAsia="Book Antiqua" w:hAnsi="Book Antiqua" w:cs="Book Antiqua"/>
          <w:color w:val="000000"/>
        </w:rPr>
        <w:t>: 639-645 [PMID: 27778482 DOI: 10.1111/crj.12573]</w:t>
      </w:r>
    </w:p>
    <w:p w14:paraId="1E84A1C8" w14:textId="77777777" w:rsidR="00F07400" w:rsidRPr="00AE67E1"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 xml:space="preserve">9 </w:t>
      </w:r>
      <w:r w:rsidRPr="00AE67E1">
        <w:rPr>
          <w:rFonts w:ascii="Book Antiqua" w:eastAsia="Book Antiqua" w:hAnsi="Book Antiqua" w:cs="Book Antiqua"/>
          <w:b/>
          <w:bCs/>
          <w:color w:val="000000"/>
        </w:rPr>
        <w:t>Xie ZB</w:t>
      </w:r>
      <w:r w:rsidRPr="00AE67E1">
        <w:rPr>
          <w:rFonts w:ascii="Book Antiqua" w:eastAsia="Book Antiqua" w:hAnsi="Book Antiqua" w:cs="Book Antiqua"/>
          <w:color w:val="000000"/>
        </w:rPr>
        <w:t xml:space="preserve">, Yao L, Jin C, Fu DL. Circulating tumor cells in pancreatic cancer patients: efficacy in diagnosis and value in prognosis. </w:t>
      </w:r>
      <w:r w:rsidRPr="00AE67E1">
        <w:rPr>
          <w:rFonts w:ascii="Book Antiqua" w:eastAsia="Book Antiqua" w:hAnsi="Book Antiqua" w:cs="Book Antiqua"/>
          <w:i/>
          <w:iCs/>
          <w:color w:val="000000"/>
        </w:rPr>
        <w:t>Discov Med</w:t>
      </w:r>
      <w:r w:rsidRPr="00AE67E1">
        <w:rPr>
          <w:rFonts w:ascii="Book Antiqua" w:eastAsia="Book Antiqua" w:hAnsi="Book Antiqua" w:cs="Book Antiqua"/>
          <w:color w:val="000000"/>
        </w:rPr>
        <w:t xml:space="preserve"> 2016; </w:t>
      </w:r>
      <w:r w:rsidRPr="00AE67E1">
        <w:rPr>
          <w:rFonts w:ascii="Book Antiqua" w:eastAsia="Book Antiqua" w:hAnsi="Book Antiqua" w:cs="Book Antiqua"/>
          <w:b/>
          <w:bCs/>
          <w:color w:val="000000"/>
        </w:rPr>
        <w:t>22</w:t>
      </w:r>
      <w:r w:rsidRPr="00AE67E1">
        <w:rPr>
          <w:rFonts w:ascii="Book Antiqua" w:eastAsia="Book Antiqua" w:hAnsi="Book Antiqua" w:cs="Book Antiqua"/>
          <w:color w:val="000000"/>
        </w:rPr>
        <w:t>: 121-128 [PMID: 27755967]</w:t>
      </w:r>
    </w:p>
    <w:p w14:paraId="613F45E7" w14:textId="77777777" w:rsidR="00F07400" w:rsidRPr="00AE67E1"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 xml:space="preserve">10 </w:t>
      </w:r>
      <w:r w:rsidR="00065419" w:rsidRPr="00566C17">
        <w:rPr>
          <w:rFonts w:ascii="Book Antiqua" w:eastAsia="Book Antiqua" w:hAnsi="Book Antiqua" w:cs="Book Antiqua"/>
          <w:b/>
          <w:bCs/>
          <w:color w:val="000000"/>
        </w:rPr>
        <w:t>Jin XR,</w:t>
      </w:r>
      <w:r w:rsidR="00065419" w:rsidRPr="00AE67E1">
        <w:rPr>
          <w:rFonts w:ascii="Book Antiqua" w:eastAsia="Book Antiqua" w:hAnsi="Book Antiqua" w:cs="Book Antiqua"/>
          <w:color w:val="000000"/>
        </w:rPr>
        <w:t xml:space="preserve"> Zhu LY, Qian K, Feng YG, Zhou JH, Wang RW, Bai L, Deng B, Liang N, Tan QY. Circulating tumor cells in early stage lung adenocarcinoma: a case series report and literature review. </w:t>
      </w:r>
      <w:r w:rsidR="00065419" w:rsidRPr="00D524C8">
        <w:rPr>
          <w:rFonts w:ascii="Book Antiqua" w:eastAsia="Book Antiqua" w:hAnsi="Book Antiqua" w:cs="Book Antiqua"/>
          <w:i/>
          <w:iCs/>
          <w:color w:val="000000"/>
        </w:rPr>
        <w:t>Oncotarget</w:t>
      </w:r>
      <w:r w:rsidR="00065419" w:rsidRPr="00AE67E1">
        <w:rPr>
          <w:rFonts w:ascii="Book Antiqua" w:eastAsia="Book Antiqua" w:hAnsi="Book Antiqua" w:cs="Book Antiqua"/>
          <w:color w:val="000000"/>
        </w:rPr>
        <w:t xml:space="preserve"> 2017;</w:t>
      </w:r>
      <w:r w:rsidR="00D524C8">
        <w:rPr>
          <w:rFonts w:ascii="Book Antiqua" w:eastAsia="Book Antiqua" w:hAnsi="Book Antiqua" w:cs="Book Antiqua"/>
          <w:color w:val="000000"/>
        </w:rPr>
        <w:t xml:space="preserve"> </w:t>
      </w:r>
      <w:r w:rsidR="00065419" w:rsidRPr="00D524C8">
        <w:rPr>
          <w:rFonts w:ascii="Book Antiqua" w:eastAsia="Book Antiqua" w:hAnsi="Book Antiqua" w:cs="Book Antiqua"/>
          <w:b/>
          <w:bCs/>
          <w:color w:val="000000"/>
        </w:rPr>
        <w:t>8:</w:t>
      </w:r>
      <w:r w:rsidR="00D524C8">
        <w:rPr>
          <w:rFonts w:ascii="Book Antiqua" w:eastAsia="Book Antiqua" w:hAnsi="Book Antiqua" w:cs="Book Antiqua"/>
          <w:color w:val="000000"/>
        </w:rPr>
        <w:t xml:space="preserve"> </w:t>
      </w:r>
      <w:r w:rsidR="00065419" w:rsidRPr="00AE67E1">
        <w:rPr>
          <w:rFonts w:ascii="Book Antiqua" w:eastAsia="Book Antiqua" w:hAnsi="Book Antiqua" w:cs="Book Antiqua"/>
          <w:color w:val="000000"/>
        </w:rPr>
        <w:t xml:space="preserve">23130-23141 </w:t>
      </w:r>
      <w:r w:rsidR="00D524C8">
        <w:rPr>
          <w:rFonts w:ascii="Book Antiqua" w:eastAsia="Book Antiqua" w:hAnsi="Book Antiqua" w:cs="Book Antiqua"/>
          <w:color w:val="000000"/>
        </w:rPr>
        <w:t>[</w:t>
      </w:r>
      <w:r w:rsidR="00D524C8" w:rsidRPr="00AE67E1">
        <w:rPr>
          <w:rFonts w:ascii="Book Antiqua" w:eastAsia="Book Antiqua" w:hAnsi="Book Antiqua" w:cs="Book Antiqua"/>
          <w:color w:val="000000"/>
        </w:rPr>
        <w:t xml:space="preserve">PMID: </w:t>
      </w:r>
      <w:bookmarkStart w:id="70" w:name="OLE_LINK292"/>
      <w:bookmarkStart w:id="71" w:name="OLE_LINK293"/>
      <w:bookmarkStart w:id="72" w:name="OLE_LINK378"/>
      <w:r w:rsidR="00D524C8" w:rsidRPr="00AE67E1">
        <w:rPr>
          <w:rFonts w:ascii="Book Antiqua" w:eastAsia="Book Antiqua" w:hAnsi="Book Antiqua" w:cs="Book Antiqua"/>
          <w:color w:val="000000"/>
        </w:rPr>
        <w:t>28423562</w:t>
      </w:r>
      <w:bookmarkEnd w:id="70"/>
      <w:bookmarkEnd w:id="71"/>
      <w:bookmarkEnd w:id="72"/>
      <w:r w:rsidR="00D524C8">
        <w:rPr>
          <w:rFonts w:ascii="Book Antiqua" w:eastAsia="Book Antiqua" w:hAnsi="Book Antiqua" w:cs="Book Antiqua"/>
          <w:color w:val="000000"/>
        </w:rPr>
        <w:t xml:space="preserve"> DOI</w:t>
      </w:r>
      <w:r w:rsidR="00065419" w:rsidRPr="00AE67E1">
        <w:rPr>
          <w:rFonts w:ascii="Book Antiqua" w:eastAsia="Book Antiqua" w:hAnsi="Book Antiqua" w:cs="Book Antiqua"/>
          <w:color w:val="000000"/>
        </w:rPr>
        <w:t>: 10.18632/oncotarget.15506</w:t>
      </w:r>
      <w:r w:rsidR="00D524C8">
        <w:rPr>
          <w:rFonts w:ascii="Book Antiqua" w:eastAsia="Book Antiqua" w:hAnsi="Book Antiqua" w:cs="Book Antiqua"/>
          <w:color w:val="000000"/>
        </w:rPr>
        <w:t>]</w:t>
      </w:r>
    </w:p>
    <w:p w14:paraId="53699D5D" w14:textId="77777777" w:rsidR="00F07400" w:rsidRPr="00AA4DC3"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11</w:t>
      </w:r>
      <w:r w:rsidRPr="00AE67E1">
        <w:rPr>
          <w:rFonts w:ascii="Book Antiqua" w:eastAsia="Book Antiqua" w:hAnsi="Book Antiqua" w:cs="Book Antiqua"/>
          <w:b/>
          <w:bCs/>
          <w:color w:val="000000"/>
        </w:rPr>
        <w:t xml:space="preserve"> Liu Y</w:t>
      </w:r>
      <w:r w:rsidR="00065419" w:rsidRPr="00AE67E1">
        <w:rPr>
          <w:rFonts w:ascii="Book Antiqua" w:eastAsia="Book Antiqua" w:hAnsi="Book Antiqua" w:cs="Book Antiqua"/>
          <w:b/>
          <w:bCs/>
          <w:color w:val="000000"/>
        </w:rPr>
        <w:t>K</w:t>
      </w:r>
      <w:r w:rsidRPr="00AE67E1">
        <w:rPr>
          <w:rFonts w:ascii="Book Antiqua" w:eastAsia="Book Antiqua" w:hAnsi="Book Antiqua" w:cs="Book Antiqua"/>
          <w:b/>
          <w:bCs/>
          <w:color w:val="000000"/>
        </w:rPr>
        <w:t>,</w:t>
      </w:r>
      <w:r w:rsidRPr="00AE67E1">
        <w:rPr>
          <w:rFonts w:ascii="Book Antiqua" w:eastAsia="Book Antiqua" w:hAnsi="Book Antiqua" w:cs="Book Antiqua"/>
          <w:color w:val="000000"/>
        </w:rPr>
        <w:t xml:space="preserve"> Hu B</w:t>
      </w:r>
      <w:r w:rsidR="00065419" w:rsidRPr="00AE67E1">
        <w:rPr>
          <w:rFonts w:ascii="Book Antiqua" w:eastAsia="Book Antiqua" w:hAnsi="Book Antiqua" w:cs="Book Antiqua"/>
          <w:color w:val="000000"/>
        </w:rPr>
        <w:t>S</w:t>
      </w:r>
      <w:r w:rsidRPr="00AE67E1">
        <w:rPr>
          <w:rFonts w:ascii="Book Antiqua" w:eastAsia="Book Antiqua" w:hAnsi="Book Antiqua" w:cs="Book Antiqua"/>
          <w:color w:val="000000"/>
        </w:rPr>
        <w:t>, Li Z</w:t>
      </w:r>
      <w:r w:rsidR="00065419" w:rsidRPr="00AE67E1">
        <w:rPr>
          <w:rFonts w:ascii="Book Antiqua" w:eastAsia="Book Antiqua" w:hAnsi="Book Antiqua" w:cs="Book Antiqua"/>
          <w:color w:val="000000"/>
        </w:rPr>
        <w:t>L</w:t>
      </w:r>
      <w:r w:rsidRPr="00AE67E1">
        <w:rPr>
          <w:rFonts w:ascii="Book Antiqua" w:eastAsia="Book Antiqua" w:hAnsi="Book Antiqua" w:cs="Book Antiqua"/>
          <w:color w:val="000000"/>
        </w:rPr>
        <w:t>, He X, Li Y, Lu L</w:t>
      </w:r>
      <w:r w:rsidR="00065419" w:rsidRPr="00AE67E1">
        <w:rPr>
          <w:rFonts w:ascii="Book Antiqua" w:eastAsia="Book Antiqua" w:hAnsi="Book Antiqua" w:cs="Book Antiqua"/>
          <w:color w:val="000000"/>
        </w:rPr>
        <w:t>G</w:t>
      </w:r>
      <w:r w:rsidRPr="00AE67E1">
        <w:rPr>
          <w:rFonts w:ascii="Book Antiqua" w:eastAsia="Book Antiqua" w:hAnsi="Book Antiqua" w:cs="Book Antiqua"/>
          <w:color w:val="000000"/>
        </w:rPr>
        <w:t xml:space="preserve">. </w:t>
      </w:r>
      <w:bookmarkStart w:id="73" w:name="OLE_LINK285"/>
      <w:bookmarkStart w:id="74" w:name="OLE_LINK286"/>
      <w:r w:rsidRPr="00AE67E1">
        <w:rPr>
          <w:rFonts w:ascii="Book Antiqua" w:eastAsia="Book Antiqua" w:hAnsi="Book Antiqua" w:cs="Book Antiqua"/>
          <w:color w:val="000000"/>
        </w:rPr>
        <w:t>An improved strategy to detect the epithelial-mesenchymal transition process in circulating tumor cells in hepatocellular carcinoma patients</w:t>
      </w:r>
      <w:bookmarkEnd w:id="73"/>
      <w:bookmarkEnd w:id="74"/>
      <w:r w:rsidRPr="00AE67E1">
        <w:rPr>
          <w:rFonts w:ascii="Book Antiqua" w:eastAsia="Book Antiqua" w:hAnsi="Book Antiqua" w:cs="Book Antiqua"/>
          <w:color w:val="000000"/>
        </w:rPr>
        <w:t xml:space="preserve">. </w:t>
      </w:r>
      <w:r w:rsidR="00AA4DC3" w:rsidRPr="00AA4DC3">
        <w:rPr>
          <w:rFonts w:ascii="Book Antiqua" w:eastAsia="Book Antiqua" w:hAnsi="Book Antiqua" w:cs="Book Antiqua"/>
          <w:i/>
          <w:iCs/>
          <w:color w:val="000000"/>
        </w:rPr>
        <w:t>Hepatol Int</w:t>
      </w:r>
      <w:r w:rsidRPr="00AE67E1">
        <w:rPr>
          <w:rFonts w:ascii="Book Antiqua" w:eastAsia="Book Antiqua" w:hAnsi="Book Antiqua" w:cs="Book Antiqua"/>
          <w:color w:val="000000"/>
        </w:rPr>
        <w:t xml:space="preserve"> 2016;</w:t>
      </w:r>
      <w:r w:rsidR="00AA4DC3">
        <w:rPr>
          <w:rFonts w:ascii="Book Antiqua" w:eastAsia="Book Antiqua" w:hAnsi="Book Antiqua" w:cs="Book Antiqua"/>
          <w:color w:val="000000"/>
        </w:rPr>
        <w:t xml:space="preserve"> </w:t>
      </w:r>
      <w:r w:rsidR="00030698" w:rsidRPr="00030698">
        <w:rPr>
          <w:rFonts w:ascii="Book Antiqua" w:eastAsia="Book Antiqua" w:hAnsi="Book Antiqua" w:cs="Book Antiqua"/>
          <w:b/>
          <w:bCs/>
          <w:color w:val="000000"/>
        </w:rPr>
        <w:t xml:space="preserve">10: </w:t>
      </w:r>
      <w:r w:rsidR="00030698" w:rsidRPr="00030698">
        <w:rPr>
          <w:rFonts w:ascii="Book Antiqua" w:eastAsia="Book Antiqua" w:hAnsi="Book Antiqua" w:cs="Book Antiqua"/>
          <w:color w:val="000000"/>
        </w:rPr>
        <w:t>640-</w:t>
      </w:r>
      <w:r w:rsidR="00030698">
        <w:rPr>
          <w:rFonts w:ascii="Book Antiqua" w:eastAsia="Book Antiqua" w:hAnsi="Book Antiqua" w:cs="Book Antiqua"/>
          <w:color w:val="000000"/>
        </w:rPr>
        <w:t>64</w:t>
      </w:r>
      <w:r w:rsidR="00030698" w:rsidRPr="00030698">
        <w:rPr>
          <w:rFonts w:ascii="Book Antiqua" w:eastAsia="Book Antiqua" w:hAnsi="Book Antiqua" w:cs="Book Antiqua"/>
          <w:color w:val="000000"/>
        </w:rPr>
        <w:t>6</w:t>
      </w:r>
      <w:r w:rsidR="00030698">
        <w:rPr>
          <w:rFonts w:ascii="Book Antiqua" w:eastAsia="Book Antiqua" w:hAnsi="Book Antiqua" w:cs="Book Antiqua"/>
          <w:color w:val="000000"/>
        </w:rPr>
        <w:t xml:space="preserve"> </w:t>
      </w:r>
      <w:r w:rsidR="00AA4DC3">
        <w:rPr>
          <w:rFonts w:ascii="Book Antiqua" w:eastAsia="Book Antiqua" w:hAnsi="Book Antiqua" w:cs="Book Antiqua"/>
          <w:color w:val="000000"/>
        </w:rPr>
        <w:t>[</w:t>
      </w:r>
      <w:r w:rsidR="00AA4DC3" w:rsidRPr="00AA4DC3">
        <w:rPr>
          <w:rFonts w:ascii="Book Antiqua" w:eastAsia="Book Antiqua" w:hAnsi="Book Antiqua" w:cs="Book Antiqua"/>
          <w:color w:val="000000"/>
        </w:rPr>
        <w:t>PMID: 27115761 DOI: 10.1007/s12072-016-9732-7</w:t>
      </w:r>
      <w:r w:rsidRPr="00AE67E1">
        <w:rPr>
          <w:rFonts w:ascii="Book Antiqua" w:eastAsia="Book Antiqua" w:hAnsi="Book Antiqua" w:cs="Book Antiqua"/>
          <w:color w:val="000000"/>
        </w:rPr>
        <w:t>]</w:t>
      </w:r>
    </w:p>
    <w:p w14:paraId="15C6C896" w14:textId="77777777" w:rsidR="00F07400" w:rsidRPr="00B83259"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 xml:space="preserve">12 </w:t>
      </w:r>
      <w:r w:rsidR="00AB57F7" w:rsidRPr="00B83259">
        <w:rPr>
          <w:rFonts w:ascii="Book Antiqua" w:eastAsia="Book Antiqua" w:hAnsi="Book Antiqua" w:cs="Book Antiqua"/>
          <w:b/>
          <w:bCs/>
          <w:color w:val="000000"/>
        </w:rPr>
        <w:t>Wu S,</w:t>
      </w:r>
      <w:r w:rsidR="00AB57F7" w:rsidRPr="00B83259">
        <w:rPr>
          <w:rFonts w:ascii="Book Antiqua" w:eastAsia="Book Antiqua" w:hAnsi="Book Antiqua" w:cs="Book Antiqua"/>
          <w:color w:val="000000"/>
        </w:rPr>
        <w:t xml:space="preserve"> Liu S, Liu Z, Huang J, Pu X, Li J, Yang D, Deng H, Yang N, Xu J.</w:t>
      </w:r>
      <w:r w:rsidRPr="00AE67E1">
        <w:rPr>
          <w:rFonts w:ascii="Book Antiqua" w:eastAsia="Book Antiqua" w:hAnsi="Book Antiqua" w:cs="Book Antiqua"/>
          <w:color w:val="000000"/>
        </w:rPr>
        <w:t xml:space="preserve"> </w:t>
      </w:r>
      <w:r w:rsidR="00B83259" w:rsidRPr="00B83259">
        <w:rPr>
          <w:rFonts w:ascii="Book Antiqua" w:eastAsia="Book Antiqua" w:hAnsi="Book Antiqua" w:cs="Book Antiqua"/>
          <w:color w:val="000000"/>
        </w:rPr>
        <w:t xml:space="preserve">Classification of circulating tumor cells by epithelial-mesenchymal transition markers. </w:t>
      </w:r>
      <w:r w:rsidR="00B83259" w:rsidRPr="00B83259">
        <w:rPr>
          <w:rFonts w:ascii="Book Antiqua" w:eastAsia="Book Antiqua" w:hAnsi="Book Antiqua" w:cs="Book Antiqua"/>
          <w:i/>
          <w:iCs/>
          <w:color w:val="000000"/>
        </w:rPr>
        <w:t>PLoS One</w:t>
      </w:r>
      <w:r w:rsidRPr="00AE67E1">
        <w:rPr>
          <w:rFonts w:ascii="Book Antiqua" w:eastAsia="Book Antiqua" w:hAnsi="Book Antiqua" w:cs="Book Antiqua"/>
          <w:color w:val="000000"/>
        </w:rPr>
        <w:t xml:space="preserve"> 2015;</w:t>
      </w:r>
      <w:r w:rsidR="00B83259">
        <w:rPr>
          <w:rFonts w:ascii="Book Antiqua" w:eastAsia="Book Antiqua" w:hAnsi="Book Antiqua" w:cs="Book Antiqua"/>
          <w:color w:val="000000"/>
        </w:rPr>
        <w:t xml:space="preserve"> </w:t>
      </w:r>
      <w:r w:rsidR="00B83259" w:rsidRPr="00B83259">
        <w:rPr>
          <w:rFonts w:ascii="Book Antiqua" w:eastAsia="Book Antiqua" w:hAnsi="Book Antiqua" w:cs="Book Antiqua"/>
          <w:b/>
          <w:bCs/>
          <w:color w:val="000000"/>
        </w:rPr>
        <w:t>10:</w:t>
      </w:r>
      <w:r w:rsidR="00B83259">
        <w:rPr>
          <w:rFonts w:ascii="Book Antiqua" w:eastAsia="Book Antiqua" w:hAnsi="Book Antiqua" w:cs="Book Antiqua"/>
          <w:color w:val="000000"/>
        </w:rPr>
        <w:t xml:space="preserve"> </w:t>
      </w:r>
      <w:r w:rsidR="00B83259" w:rsidRPr="00B83259">
        <w:rPr>
          <w:rFonts w:ascii="Book Antiqua" w:eastAsia="Book Antiqua" w:hAnsi="Book Antiqua" w:cs="Book Antiqua"/>
          <w:color w:val="000000"/>
        </w:rPr>
        <w:t>e0123976 [PMID: 25909322 DOI: 10.1371/journal.pone.0123976]</w:t>
      </w:r>
    </w:p>
    <w:p w14:paraId="0609E721" w14:textId="77777777" w:rsidR="00F07400" w:rsidRPr="00B83259"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13</w:t>
      </w:r>
      <w:r w:rsidRPr="00AE67E1">
        <w:rPr>
          <w:rFonts w:ascii="Book Antiqua" w:eastAsia="SimSun" w:hAnsi="Book Antiqua" w:cs="Book Antiqua"/>
          <w:color w:val="000000"/>
          <w:lang w:eastAsia="zh-CN"/>
        </w:rPr>
        <w:t xml:space="preserve"> </w:t>
      </w:r>
      <w:r w:rsidR="00B83259" w:rsidRPr="00B83259">
        <w:rPr>
          <w:rFonts w:ascii="Book Antiqua" w:eastAsia="Book Antiqua" w:hAnsi="Book Antiqua" w:cs="Book Antiqua"/>
          <w:b/>
          <w:bCs/>
          <w:color w:val="000000"/>
        </w:rPr>
        <w:t>Chen X,</w:t>
      </w:r>
      <w:r w:rsidR="00B83259" w:rsidRPr="00B83259">
        <w:rPr>
          <w:rFonts w:ascii="Book Antiqua" w:eastAsia="Book Antiqua" w:hAnsi="Book Antiqua" w:cs="Book Antiqua"/>
          <w:color w:val="000000"/>
        </w:rPr>
        <w:t xml:space="preserve"> Zhou F, Li X, Yang G, Zhang L, Ren S, Zhao C, Deng Q, Li W, Gao G, Li A, Zhou C. Folate Receptor-Positive Circulating Tumor Cell Detected by LT-PCR-Based Method as a Diagnostic Biomarker for Non-Small-Cell Lung Cancer. </w:t>
      </w:r>
      <w:r w:rsidR="00B83259" w:rsidRPr="00B83259">
        <w:rPr>
          <w:rFonts w:ascii="Book Antiqua" w:eastAsia="Book Antiqua" w:hAnsi="Book Antiqua" w:cs="Book Antiqua"/>
          <w:i/>
          <w:iCs/>
          <w:color w:val="000000"/>
        </w:rPr>
        <w:t xml:space="preserve">J Thorac Oncol </w:t>
      </w:r>
      <w:r w:rsidR="00B83259" w:rsidRPr="00B83259">
        <w:rPr>
          <w:rFonts w:ascii="Book Antiqua" w:eastAsia="Book Antiqua" w:hAnsi="Book Antiqua" w:cs="Book Antiqua"/>
          <w:color w:val="000000"/>
        </w:rPr>
        <w:t>2015;</w:t>
      </w:r>
      <w:r w:rsidR="00B83259">
        <w:rPr>
          <w:rFonts w:ascii="Book Antiqua" w:eastAsia="Book Antiqua" w:hAnsi="Book Antiqua" w:cs="Book Antiqua"/>
          <w:color w:val="000000"/>
        </w:rPr>
        <w:t xml:space="preserve"> </w:t>
      </w:r>
      <w:r w:rsidR="00B83259" w:rsidRPr="00B83259">
        <w:rPr>
          <w:rFonts w:ascii="Book Antiqua" w:eastAsia="Book Antiqua" w:hAnsi="Book Antiqua" w:cs="Book Antiqua"/>
          <w:b/>
          <w:bCs/>
          <w:color w:val="000000"/>
        </w:rPr>
        <w:t>10:</w:t>
      </w:r>
      <w:r w:rsidR="00B83259">
        <w:rPr>
          <w:rFonts w:ascii="Book Antiqua" w:eastAsia="Book Antiqua" w:hAnsi="Book Antiqua" w:cs="Book Antiqua"/>
          <w:color w:val="000000"/>
        </w:rPr>
        <w:t xml:space="preserve"> </w:t>
      </w:r>
      <w:r w:rsidR="00B83259" w:rsidRPr="00B83259">
        <w:rPr>
          <w:rFonts w:ascii="Book Antiqua" w:eastAsia="Book Antiqua" w:hAnsi="Book Antiqua" w:cs="Book Antiqua"/>
          <w:color w:val="000000"/>
        </w:rPr>
        <w:t>1163-</w:t>
      </w:r>
      <w:r w:rsidR="00B83259">
        <w:rPr>
          <w:rFonts w:ascii="Book Antiqua" w:eastAsia="Book Antiqua" w:hAnsi="Book Antiqua" w:cs="Book Antiqua"/>
          <w:color w:val="000000"/>
        </w:rPr>
        <w:t>11</w:t>
      </w:r>
      <w:r w:rsidR="00B83259" w:rsidRPr="00B83259">
        <w:rPr>
          <w:rFonts w:ascii="Book Antiqua" w:eastAsia="Book Antiqua" w:hAnsi="Book Antiqua" w:cs="Book Antiqua"/>
          <w:color w:val="000000"/>
        </w:rPr>
        <w:t xml:space="preserve">71 </w:t>
      </w:r>
      <w:r w:rsidR="00B83259">
        <w:rPr>
          <w:rFonts w:ascii="Book Antiqua" w:eastAsia="Book Antiqua" w:hAnsi="Book Antiqua" w:cs="Book Antiqua"/>
          <w:color w:val="000000"/>
        </w:rPr>
        <w:t>[</w:t>
      </w:r>
      <w:r w:rsidR="00B83259" w:rsidRPr="00B83259">
        <w:rPr>
          <w:rFonts w:ascii="Book Antiqua" w:eastAsia="Book Antiqua" w:hAnsi="Book Antiqua" w:cs="Book Antiqua"/>
          <w:color w:val="000000"/>
        </w:rPr>
        <w:t>PMID: 26200270</w:t>
      </w:r>
      <w:r w:rsidR="00B83259">
        <w:rPr>
          <w:rFonts w:ascii="Book Antiqua" w:eastAsia="Book Antiqua" w:hAnsi="Book Antiqua" w:cs="Book Antiqua"/>
          <w:color w:val="000000"/>
        </w:rPr>
        <w:t xml:space="preserve"> DOI</w:t>
      </w:r>
      <w:r w:rsidR="00B83259" w:rsidRPr="00B83259">
        <w:rPr>
          <w:rFonts w:ascii="Book Antiqua" w:eastAsia="Book Antiqua" w:hAnsi="Book Antiqua" w:cs="Book Antiqua"/>
          <w:color w:val="000000"/>
        </w:rPr>
        <w:t>: 10.1097/JTO.0000000000000606</w:t>
      </w:r>
      <w:r w:rsidR="00B83259">
        <w:rPr>
          <w:rFonts w:ascii="Book Antiqua" w:eastAsia="Book Antiqua" w:hAnsi="Book Antiqua" w:cs="Book Antiqua"/>
          <w:color w:val="000000"/>
        </w:rPr>
        <w:t>]</w:t>
      </w:r>
    </w:p>
    <w:p w14:paraId="44F49F26" w14:textId="77777777" w:rsidR="00F07400" w:rsidRPr="00B83259"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t xml:space="preserve">14 </w:t>
      </w:r>
      <w:r w:rsidR="00B83259" w:rsidRPr="001405FE">
        <w:rPr>
          <w:rFonts w:ascii="Book Antiqua" w:eastAsia="Book Antiqua" w:hAnsi="Book Antiqua" w:cs="Book Antiqua"/>
          <w:b/>
          <w:bCs/>
          <w:color w:val="000000"/>
        </w:rPr>
        <w:t>Yu Y,</w:t>
      </w:r>
      <w:r w:rsidR="00B83259" w:rsidRPr="00B83259">
        <w:rPr>
          <w:rFonts w:ascii="Book Antiqua" w:eastAsia="Book Antiqua" w:hAnsi="Book Antiqua" w:cs="Book Antiqua"/>
          <w:color w:val="000000"/>
        </w:rPr>
        <w:t xml:space="preserve"> Chen Z, Dong J, Wei P, Hu R, Zhou C, Sun N, Luo M, Yang W, Yao R, Gao Y, Li J, Yang G, He W, He J</w:t>
      </w:r>
      <w:r w:rsidRPr="00AE67E1">
        <w:rPr>
          <w:rFonts w:ascii="Book Antiqua" w:eastAsia="Book Antiqua" w:hAnsi="Book Antiqua" w:cs="Book Antiqua"/>
          <w:color w:val="000000"/>
        </w:rPr>
        <w:t xml:space="preserve">. </w:t>
      </w:r>
      <w:r w:rsidR="00B83259" w:rsidRPr="00B83259">
        <w:rPr>
          <w:rFonts w:ascii="Book Antiqua" w:eastAsia="Book Antiqua" w:hAnsi="Book Antiqua" w:cs="Book Antiqua"/>
          <w:color w:val="000000"/>
        </w:rPr>
        <w:t xml:space="preserve">Folate receptor-positive circulating tumor cells as a novel diagnostic biomarker in non-small cell lung cancer. </w:t>
      </w:r>
      <w:r w:rsidR="00B83259" w:rsidRPr="00B83259">
        <w:rPr>
          <w:rFonts w:ascii="Book Antiqua" w:eastAsia="Book Antiqua" w:hAnsi="Book Antiqua" w:cs="Book Antiqua"/>
          <w:i/>
          <w:iCs/>
          <w:color w:val="000000"/>
        </w:rPr>
        <w:t>Transl Oncol</w:t>
      </w:r>
      <w:r w:rsidRPr="00B83259">
        <w:rPr>
          <w:rFonts w:ascii="Book Antiqua" w:eastAsia="Book Antiqua" w:hAnsi="Book Antiqua" w:cs="Book Antiqua"/>
          <w:i/>
          <w:iCs/>
          <w:color w:val="000000"/>
        </w:rPr>
        <w:t xml:space="preserve"> </w:t>
      </w:r>
      <w:r w:rsidRPr="00AE67E1">
        <w:rPr>
          <w:rFonts w:ascii="Book Antiqua" w:eastAsia="Book Antiqua" w:hAnsi="Book Antiqua" w:cs="Book Antiqua"/>
          <w:color w:val="000000"/>
        </w:rPr>
        <w:t>2013;</w:t>
      </w:r>
      <w:r w:rsidR="00B83259">
        <w:rPr>
          <w:rFonts w:ascii="Book Antiqua" w:eastAsia="Book Antiqua" w:hAnsi="Book Antiqua" w:cs="Book Antiqua"/>
          <w:color w:val="000000"/>
        </w:rPr>
        <w:t xml:space="preserve"> </w:t>
      </w:r>
      <w:r w:rsidRPr="00B83259">
        <w:rPr>
          <w:rFonts w:ascii="Book Antiqua" w:eastAsia="Book Antiqua" w:hAnsi="Book Antiqua" w:cs="Book Antiqua"/>
          <w:b/>
          <w:bCs/>
          <w:color w:val="000000"/>
        </w:rPr>
        <w:t>6:</w:t>
      </w:r>
      <w:r w:rsidR="00B83259">
        <w:rPr>
          <w:rFonts w:ascii="Book Antiqua" w:eastAsia="Book Antiqua" w:hAnsi="Book Antiqua" w:cs="Book Antiqua"/>
          <w:color w:val="000000"/>
        </w:rPr>
        <w:t xml:space="preserve"> </w:t>
      </w:r>
      <w:r w:rsidRPr="00AE67E1">
        <w:rPr>
          <w:rFonts w:ascii="Book Antiqua" w:eastAsia="Book Antiqua" w:hAnsi="Book Antiqua" w:cs="Book Antiqua"/>
          <w:color w:val="000000"/>
        </w:rPr>
        <w:t>697-702</w:t>
      </w:r>
      <w:r w:rsidR="00B83259">
        <w:rPr>
          <w:rFonts w:ascii="Book Antiqua" w:eastAsia="Book Antiqua" w:hAnsi="Book Antiqua" w:cs="Book Antiqua"/>
          <w:color w:val="000000"/>
        </w:rPr>
        <w:t xml:space="preserve"> [</w:t>
      </w:r>
      <w:r w:rsidR="00B83259" w:rsidRPr="00B83259">
        <w:rPr>
          <w:rFonts w:ascii="Book Antiqua" w:eastAsia="Book Antiqua" w:hAnsi="Book Antiqua" w:cs="Book Antiqua"/>
          <w:color w:val="000000"/>
        </w:rPr>
        <w:t>PMID: 24466372</w:t>
      </w:r>
      <w:r w:rsidR="00B83259">
        <w:rPr>
          <w:rFonts w:ascii="Book Antiqua" w:eastAsia="Book Antiqua" w:hAnsi="Book Antiqua" w:cs="Book Antiqua"/>
          <w:color w:val="000000"/>
        </w:rPr>
        <w:t xml:space="preserve"> </w:t>
      </w:r>
      <w:r w:rsidR="00B83259" w:rsidRPr="00B83259">
        <w:rPr>
          <w:rFonts w:ascii="Book Antiqua" w:eastAsia="Book Antiqua" w:hAnsi="Book Antiqua" w:cs="Book Antiqua"/>
          <w:color w:val="000000"/>
        </w:rPr>
        <w:t>DOI: 10.1593/tlo.13535</w:t>
      </w:r>
      <w:r w:rsidR="00B83259">
        <w:rPr>
          <w:rFonts w:ascii="Book Antiqua" w:eastAsia="Book Antiqua" w:hAnsi="Book Antiqua" w:cs="Book Antiqua"/>
          <w:color w:val="000000"/>
        </w:rPr>
        <w:t>]</w:t>
      </w:r>
    </w:p>
    <w:p w14:paraId="778A5D8D"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lastRenderedPageBreak/>
        <w:t xml:space="preserve">15 </w:t>
      </w:r>
      <w:r w:rsidRPr="00AE67E1">
        <w:rPr>
          <w:rFonts w:ascii="Book Antiqua" w:eastAsia="Book Antiqua" w:hAnsi="Book Antiqua" w:cs="Book Antiqua"/>
          <w:b/>
          <w:bCs/>
          <w:color w:val="000000"/>
        </w:rPr>
        <w:t>Deng CJ</w:t>
      </w:r>
      <w:r w:rsidRPr="00AE67E1">
        <w:rPr>
          <w:rFonts w:ascii="Book Antiqua" w:eastAsia="Book Antiqua" w:hAnsi="Book Antiqua" w:cs="Book Antiqua"/>
          <w:color w:val="000000"/>
        </w:rPr>
        <w:t xml:space="preserve">, Dai FQ, Qian K, Tan QY, Wang RW, Deng B, Zhou JH. Clinical updates of approaches for biopsy of pulmonary lesions based on systematic review. </w:t>
      </w:r>
      <w:r w:rsidRPr="00AE67E1">
        <w:rPr>
          <w:rFonts w:ascii="Book Antiqua" w:eastAsia="Book Antiqua" w:hAnsi="Book Antiqua" w:cs="Book Antiqua"/>
          <w:i/>
          <w:iCs/>
          <w:color w:val="000000"/>
        </w:rPr>
        <w:t>BMC Pulm Med</w:t>
      </w:r>
      <w:r w:rsidRPr="00AE67E1">
        <w:rPr>
          <w:rFonts w:ascii="Book Antiqua" w:eastAsia="Book Antiqua" w:hAnsi="Book Antiqua" w:cs="Book Antiqua"/>
          <w:color w:val="000000"/>
        </w:rPr>
        <w:t xml:space="preserve"> 2018; </w:t>
      </w:r>
      <w:r w:rsidRPr="00AE67E1">
        <w:rPr>
          <w:rFonts w:ascii="Book Antiqua" w:eastAsia="Book Antiqua" w:hAnsi="Book Antiqua" w:cs="Book Antiqua"/>
          <w:b/>
          <w:bCs/>
          <w:color w:val="000000"/>
        </w:rPr>
        <w:t>18</w:t>
      </w:r>
      <w:r w:rsidRPr="00AE67E1">
        <w:rPr>
          <w:rFonts w:ascii="Book Antiqua" w:eastAsia="Book Antiqua" w:hAnsi="Book Antiqua" w:cs="Book Antiqua"/>
          <w:color w:val="000000"/>
        </w:rPr>
        <w:t xml:space="preserve">: 146 [PMID: </w:t>
      </w:r>
      <w:bookmarkStart w:id="75" w:name="OLE_LINK379"/>
      <w:bookmarkStart w:id="76" w:name="OLE_LINK380"/>
      <w:r w:rsidRPr="00AE67E1">
        <w:rPr>
          <w:rFonts w:ascii="Book Antiqua" w:eastAsia="Book Antiqua" w:hAnsi="Book Antiqua" w:cs="Book Antiqua"/>
          <w:color w:val="000000"/>
        </w:rPr>
        <w:t>30176840</w:t>
      </w:r>
      <w:bookmarkEnd w:id="75"/>
      <w:bookmarkEnd w:id="76"/>
      <w:r w:rsidRPr="00AE67E1">
        <w:rPr>
          <w:rFonts w:ascii="Book Antiqua" w:eastAsia="Book Antiqua" w:hAnsi="Book Antiqua" w:cs="Book Antiqua"/>
          <w:color w:val="000000"/>
        </w:rPr>
        <w:t xml:space="preserve"> DOI: 10.1186/s12890-018-0713-6]</w:t>
      </w:r>
    </w:p>
    <w:p w14:paraId="1233E7E1"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16 </w:t>
      </w:r>
      <w:r w:rsidRPr="00AE67E1">
        <w:rPr>
          <w:rFonts w:ascii="Book Antiqua" w:eastAsia="Book Antiqua" w:hAnsi="Book Antiqua" w:cs="Book Antiqua"/>
          <w:b/>
          <w:bCs/>
          <w:color w:val="000000"/>
        </w:rPr>
        <w:t>Geeurickx E</w:t>
      </w:r>
      <w:r w:rsidRPr="00AE67E1">
        <w:rPr>
          <w:rFonts w:ascii="Book Antiqua" w:eastAsia="Book Antiqua" w:hAnsi="Book Antiqua" w:cs="Book Antiqua"/>
          <w:color w:val="000000"/>
        </w:rPr>
        <w:t xml:space="preserve">, Hendrix A. Targets, pitfalls and reference materials for liquid biopsy tests in cancer diagnostics. </w:t>
      </w:r>
      <w:r w:rsidRPr="00AE67E1">
        <w:rPr>
          <w:rFonts w:ascii="Book Antiqua" w:eastAsia="Book Antiqua" w:hAnsi="Book Antiqua" w:cs="Book Antiqua"/>
          <w:i/>
          <w:iCs/>
          <w:color w:val="000000"/>
        </w:rPr>
        <w:t>Mol Aspects Med</w:t>
      </w:r>
      <w:r w:rsidRPr="00AE67E1">
        <w:rPr>
          <w:rFonts w:ascii="Book Antiqua" w:eastAsia="Book Antiqua" w:hAnsi="Book Antiqua" w:cs="Book Antiqua"/>
          <w:color w:val="000000"/>
        </w:rPr>
        <w:t xml:space="preserve"> 2020; </w:t>
      </w:r>
      <w:r w:rsidRPr="00AE67E1">
        <w:rPr>
          <w:rFonts w:ascii="Book Antiqua" w:eastAsia="Book Antiqua" w:hAnsi="Book Antiqua" w:cs="Book Antiqua"/>
          <w:b/>
          <w:bCs/>
          <w:color w:val="000000"/>
        </w:rPr>
        <w:t>72</w:t>
      </w:r>
      <w:r w:rsidRPr="00AE67E1">
        <w:rPr>
          <w:rFonts w:ascii="Book Antiqua" w:eastAsia="Book Antiqua" w:hAnsi="Book Antiqua" w:cs="Book Antiqua"/>
          <w:color w:val="000000"/>
        </w:rPr>
        <w:t>: 100828 [PMID: 31711714 DOI: 10.1016/j.mam.2019.10.005]</w:t>
      </w:r>
    </w:p>
    <w:p w14:paraId="6C536DBD"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17 </w:t>
      </w:r>
      <w:r w:rsidRPr="00AE67E1">
        <w:rPr>
          <w:rFonts w:ascii="Book Antiqua" w:eastAsia="Book Antiqua" w:hAnsi="Book Antiqua" w:cs="Book Antiqua"/>
          <w:b/>
          <w:bCs/>
          <w:color w:val="000000"/>
        </w:rPr>
        <w:t>Liu X</w:t>
      </w:r>
      <w:r w:rsidRPr="00AE67E1">
        <w:rPr>
          <w:rFonts w:ascii="Book Antiqua" w:eastAsia="Book Antiqua" w:hAnsi="Book Antiqua" w:cs="Book Antiqua"/>
          <w:color w:val="000000"/>
        </w:rPr>
        <w:t xml:space="preserve">, Zhang Z, Zhang B, Zheng Y, Zheng C, Liu B, Zheng S, Dong K, Dong R. Circulating tumor cells detection in neuroblastoma patients by EpCAM-independent enrichment and immunostaining-fluorescence in situ hybridization. </w:t>
      </w:r>
      <w:r w:rsidRPr="00AE67E1">
        <w:rPr>
          <w:rFonts w:ascii="Book Antiqua" w:eastAsia="Book Antiqua" w:hAnsi="Book Antiqua" w:cs="Book Antiqua"/>
          <w:i/>
          <w:iCs/>
          <w:color w:val="000000"/>
        </w:rPr>
        <w:t>EBioMedicine</w:t>
      </w:r>
      <w:r w:rsidRPr="00AE67E1">
        <w:rPr>
          <w:rFonts w:ascii="Book Antiqua" w:eastAsia="Book Antiqua" w:hAnsi="Book Antiqua" w:cs="Book Antiqua"/>
          <w:color w:val="000000"/>
        </w:rPr>
        <w:t xml:space="preserve"> 2018; </w:t>
      </w:r>
      <w:r w:rsidRPr="00AE67E1">
        <w:rPr>
          <w:rFonts w:ascii="Book Antiqua" w:eastAsia="Book Antiqua" w:hAnsi="Book Antiqua" w:cs="Book Antiqua"/>
          <w:b/>
          <w:bCs/>
          <w:color w:val="000000"/>
        </w:rPr>
        <w:t>35</w:t>
      </w:r>
      <w:r w:rsidRPr="00AE67E1">
        <w:rPr>
          <w:rFonts w:ascii="Book Antiqua" w:eastAsia="Book Antiqua" w:hAnsi="Book Antiqua" w:cs="Book Antiqua"/>
          <w:color w:val="000000"/>
        </w:rPr>
        <w:t>: 244-250 [PMID: 30104180 DOI: 10.1016/j.ebiom.2018.08.005]</w:t>
      </w:r>
    </w:p>
    <w:p w14:paraId="57A5E50B"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18 </w:t>
      </w:r>
      <w:r w:rsidRPr="00AE67E1">
        <w:rPr>
          <w:rFonts w:ascii="Book Antiqua" w:eastAsia="Book Antiqua" w:hAnsi="Book Antiqua" w:cs="Book Antiqua"/>
          <w:b/>
          <w:bCs/>
          <w:color w:val="000000"/>
        </w:rPr>
        <w:t>Li J</w:t>
      </w:r>
      <w:r w:rsidRPr="00AE67E1">
        <w:rPr>
          <w:rFonts w:ascii="Book Antiqua" w:eastAsia="Book Antiqua" w:hAnsi="Book Antiqua" w:cs="Book Antiqua"/>
          <w:color w:val="000000"/>
        </w:rPr>
        <w:t xml:space="preserve">, Liao Y, Ran Y, Wang G, Wu W, Qiu Y, Liu J, Wen N, Jing T, Wang H, Zhang S. Evaluation of sensitivity and specificity of CanPatrol™ technology for detection of circulating tumor cells in patients with non-small cell lung cancer. </w:t>
      </w:r>
      <w:r w:rsidRPr="00AE67E1">
        <w:rPr>
          <w:rFonts w:ascii="Book Antiqua" w:eastAsia="Book Antiqua" w:hAnsi="Book Antiqua" w:cs="Book Antiqua"/>
          <w:i/>
          <w:iCs/>
          <w:color w:val="000000"/>
        </w:rPr>
        <w:t>BMC Pulm Med</w:t>
      </w:r>
      <w:r w:rsidRPr="00AE67E1">
        <w:rPr>
          <w:rFonts w:ascii="Book Antiqua" w:eastAsia="Book Antiqua" w:hAnsi="Book Antiqua" w:cs="Book Antiqua"/>
          <w:color w:val="000000"/>
        </w:rPr>
        <w:t xml:space="preserve"> 2020; </w:t>
      </w:r>
      <w:r w:rsidRPr="00AE67E1">
        <w:rPr>
          <w:rFonts w:ascii="Book Antiqua" w:eastAsia="Book Antiqua" w:hAnsi="Book Antiqua" w:cs="Book Antiqua"/>
          <w:b/>
          <w:bCs/>
          <w:color w:val="000000"/>
        </w:rPr>
        <w:t>20</w:t>
      </w:r>
      <w:r w:rsidRPr="00AE67E1">
        <w:rPr>
          <w:rFonts w:ascii="Book Antiqua" w:eastAsia="Book Antiqua" w:hAnsi="Book Antiqua" w:cs="Book Antiqua"/>
          <w:color w:val="000000"/>
        </w:rPr>
        <w:t>: 274 [PMID: 33081780 DOI: 10.1186/s12890-020-01314-4]</w:t>
      </w:r>
    </w:p>
    <w:p w14:paraId="1250BABB"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19 </w:t>
      </w:r>
      <w:r w:rsidRPr="00AE67E1">
        <w:rPr>
          <w:rFonts w:ascii="Book Antiqua" w:eastAsia="Book Antiqua" w:hAnsi="Book Antiqua" w:cs="Book Antiqua"/>
          <w:b/>
          <w:bCs/>
          <w:color w:val="000000"/>
        </w:rPr>
        <w:t>Zhou Q</w:t>
      </w:r>
      <w:r w:rsidRPr="00AE67E1">
        <w:rPr>
          <w:rFonts w:ascii="Book Antiqua" w:eastAsia="Book Antiqua" w:hAnsi="Book Antiqua" w:cs="Book Antiqua"/>
          <w:color w:val="000000"/>
        </w:rPr>
        <w:t xml:space="preserve">, Geng Q, Wang L, Huang J, Liao M, Li Y, Ding Z, Yang S, Zhao H, Shen Q, Pan C, Lou J, Lu S, Chen C, Luo Q. Value of folate receptor-positive circulating tumour cells in the clinical management of indeterminate lung nodules: A non-invasive biomarker for predicting malignancy and tumour invasiveness. </w:t>
      </w:r>
      <w:r w:rsidRPr="00AE67E1">
        <w:rPr>
          <w:rFonts w:ascii="Book Antiqua" w:eastAsia="Book Antiqua" w:hAnsi="Book Antiqua" w:cs="Book Antiqua"/>
          <w:i/>
          <w:iCs/>
          <w:color w:val="000000"/>
        </w:rPr>
        <w:t>EBioMedicine</w:t>
      </w:r>
      <w:r w:rsidRPr="00AE67E1">
        <w:rPr>
          <w:rFonts w:ascii="Book Antiqua" w:eastAsia="Book Antiqua" w:hAnsi="Book Antiqua" w:cs="Book Antiqua"/>
          <w:color w:val="000000"/>
        </w:rPr>
        <w:t xml:space="preserve"> 2019; </w:t>
      </w:r>
      <w:r w:rsidRPr="00AE67E1">
        <w:rPr>
          <w:rFonts w:ascii="Book Antiqua" w:eastAsia="Book Antiqua" w:hAnsi="Book Antiqua" w:cs="Book Antiqua"/>
          <w:b/>
          <w:bCs/>
          <w:color w:val="000000"/>
        </w:rPr>
        <w:t>41</w:t>
      </w:r>
      <w:r w:rsidRPr="00AE67E1">
        <w:rPr>
          <w:rFonts w:ascii="Book Antiqua" w:eastAsia="Book Antiqua" w:hAnsi="Book Antiqua" w:cs="Book Antiqua"/>
          <w:color w:val="000000"/>
        </w:rPr>
        <w:t>: 236-243 [PMID: 30872130 DOI: 10.1016/j.ebiom.2019.02.028]</w:t>
      </w:r>
    </w:p>
    <w:p w14:paraId="3E18425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20 </w:t>
      </w:r>
      <w:r w:rsidRPr="00AE67E1">
        <w:rPr>
          <w:rFonts w:ascii="Book Antiqua" w:eastAsia="Book Antiqua" w:hAnsi="Book Antiqua" w:cs="Book Antiqua"/>
          <w:b/>
          <w:bCs/>
          <w:color w:val="000000"/>
        </w:rPr>
        <w:t>Xue Y</w:t>
      </w:r>
      <w:r w:rsidRPr="00AE67E1">
        <w:rPr>
          <w:rFonts w:ascii="Book Antiqua" w:eastAsia="Book Antiqua" w:hAnsi="Book Antiqua" w:cs="Book Antiqua"/>
          <w:color w:val="000000"/>
        </w:rPr>
        <w:t xml:space="preserve">, Cong W, Xie S, Shu J, Feng G, Gao H. Folate-receptor-positive circulating tumor cells as an efficacious biomarker for the diagnosis of small pulmonary nodules. </w:t>
      </w:r>
      <w:r w:rsidRPr="00AE67E1">
        <w:rPr>
          <w:rFonts w:ascii="Book Antiqua" w:eastAsia="Book Antiqua" w:hAnsi="Book Antiqua" w:cs="Book Antiqua"/>
          <w:i/>
          <w:iCs/>
          <w:color w:val="000000"/>
        </w:rPr>
        <w:t>J Cancer Res Ther</w:t>
      </w:r>
      <w:r w:rsidRPr="00AE67E1">
        <w:rPr>
          <w:rFonts w:ascii="Book Antiqua" w:eastAsia="Book Antiqua" w:hAnsi="Book Antiqua" w:cs="Book Antiqua"/>
          <w:color w:val="000000"/>
        </w:rPr>
        <w:t xml:space="preserve"> 2018; </w:t>
      </w:r>
      <w:r w:rsidRPr="00AE67E1">
        <w:rPr>
          <w:rFonts w:ascii="Book Antiqua" w:eastAsia="Book Antiqua" w:hAnsi="Book Antiqua" w:cs="Book Antiqua"/>
          <w:b/>
          <w:bCs/>
          <w:color w:val="000000"/>
        </w:rPr>
        <w:t>14</w:t>
      </w:r>
      <w:r w:rsidRPr="00AE67E1">
        <w:rPr>
          <w:rFonts w:ascii="Book Antiqua" w:eastAsia="Book Antiqua" w:hAnsi="Book Antiqua" w:cs="Book Antiqua"/>
          <w:color w:val="000000"/>
        </w:rPr>
        <w:t>: 1620-1626 [PMID: 30589049 DOI: 10.4103/jcrt.JCRT_905_17]</w:t>
      </w:r>
    </w:p>
    <w:p w14:paraId="43B5FC77"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21 </w:t>
      </w:r>
      <w:r w:rsidRPr="00AE67E1">
        <w:rPr>
          <w:rFonts w:ascii="Book Antiqua" w:eastAsia="Book Antiqua" w:hAnsi="Book Antiqua" w:cs="Book Antiqua"/>
          <w:b/>
          <w:bCs/>
          <w:color w:val="000000"/>
        </w:rPr>
        <w:t>Yu M</w:t>
      </w:r>
      <w:r w:rsidRPr="00AE67E1">
        <w:rPr>
          <w:rFonts w:ascii="Book Antiqua" w:eastAsia="Book Antiqua" w:hAnsi="Book Antiqua" w:cs="Book Antiqua"/>
          <w:color w:val="000000"/>
        </w:rPr>
        <w:t xml:space="preserve">, Bardia A, Wittner BS, Stott SL, Smas ME, Ting DT, Isakoff SJ, Ciciliano JC, Wells MN, Shah AM, Concannon KF, Donaldson MC, Sequist LV, Brachtel E, Sgroi D, Baselga J, Ramaswamy S, Toner M, Haber DA, Maheswaran S. Circulating breast tumor cells exhibit dynamic changes in epithelial and mesenchymal composition. </w:t>
      </w:r>
      <w:r w:rsidRPr="00AE67E1">
        <w:rPr>
          <w:rFonts w:ascii="Book Antiqua" w:eastAsia="Book Antiqua" w:hAnsi="Book Antiqua" w:cs="Book Antiqua"/>
          <w:i/>
          <w:iCs/>
          <w:color w:val="000000"/>
        </w:rPr>
        <w:t>Science</w:t>
      </w:r>
      <w:r w:rsidRPr="00AE67E1">
        <w:rPr>
          <w:rFonts w:ascii="Book Antiqua" w:eastAsia="Book Antiqua" w:hAnsi="Book Antiqua" w:cs="Book Antiqua"/>
          <w:color w:val="000000"/>
        </w:rPr>
        <w:t xml:space="preserve"> 2013; </w:t>
      </w:r>
      <w:r w:rsidRPr="00AE67E1">
        <w:rPr>
          <w:rFonts w:ascii="Book Antiqua" w:eastAsia="Book Antiqua" w:hAnsi="Book Antiqua" w:cs="Book Antiqua"/>
          <w:b/>
          <w:bCs/>
          <w:color w:val="000000"/>
        </w:rPr>
        <w:t>339</w:t>
      </w:r>
      <w:r w:rsidRPr="00AE67E1">
        <w:rPr>
          <w:rFonts w:ascii="Book Antiqua" w:eastAsia="Book Antiqua" w:hAnsi="Book Antiqua" w:cs="Book Antiqua"/>
          <w:color w:val="000000"/>
        </w:rPr>
        <w:t>: 580-584 [PMID: 23372014 DOI: 10.1126/science.1228522]</w:t>
      </w:r>
    </w:p>
    <w:p w14:paraId="37A33A8C"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22 </w:t>
      </w:r>
      <w:r w:rsidRPr="00AE67E1">
        <w:rPr>
          <w:rFonts w:ascii="Book Antiqua" w:eastAsia="Book Antiqua" w:hAnsi="Book Antiqua" w:cs="Book Antiqua"/>
          <w:b/>
          <w:bCs/>
          <w:color w:val="000000"/>
        </w:rPr>
        <w:t>Effenberger KE</w:t>
      </w:r>
      <w:r w:rsidRPr="00AE67E1">
        <w:rPr>
          <w:rFonts w:ascii="Book Antiqua" w:eastAsia="Book Antiqua" w:hAnsi="Book Antiqua" w:cs="Book Antiqua"/>
          <w:color w:val="000000"/>
        </w:rPr>
        <w:t xml:space="preserve">, Schroeder C, Hanssen A, Wolter S, Eulenburg C, Tachezy M, Gebauer F, Izbicki JR, Pantel K, Bockhorn M. Improved Risk Stratification by </w:t>
      </w:r>
      <w:r w:rsidRPr="00AE67E1">
        <w:rPr>
          <w:rFonts w:ascii="Book Antiqua" w:eastAsia="Book Antiqua" w:hAnsi="Book Antiqua" w:cs="Book Antiqua"/>
          <w:color w:val="000000"/>
        </w:rPr>
        <w:lastRenderedPageBreak/>
        <w:t xml:space="preserve">Circulating Tumor Cell Counts in Pancreatic Cancer. </w:t>
      </w:r>
      <w:r w:rsidRPr="00AE67E1">
        <w:rPr>
          <w:rFonts w:ascii="Book Antiqua" w:eastAsia="Book Antiqua" w:hAnsi="Book Antiqua" w:cs="Book Antiqua"/>
          <w:i/>
          <w:iCs/>
          <w:color w:val="000000"/>
        </w:rPr>
        <w:t>Clin Cancer Res</w:t>
      </w:r>
      <w:r w:rsidRPr="00AE67E1">
        <w:rPr>
          <w:rFonts w:ascii="Book Antiqua" w:eastAsia="Book Antiqua" w:hAnsi="Book Antiqua" w:cs="Book Antiqua"/>
          <w:color w:val="000000"/>
        </w:rPr>
        <w:t xml:space="preserve"> 2018; </w:t>
      </w:r>
      <w:r w:rsidRPr="00AE67E1">
        <w:rPr>
          <w:rFonts w:ascii="Book Antiqua" w:eastAsia="Book Antiqua" w:hAnsi="Book Antiqua" w:cs="Book Antiqua"/>
          <w:b/>
          <w:bCs/>
          <w:color w:val="000000"/>
        </w:rPr>
        <w:t>24</w:t>
      </w:r>
      <w:r w:rsidRPr="00AE67E1">
        <w:rPr>
          <w:rFonts w:ascii="Book Antiqua" w:eastAsia="Book Antiqua" w:hAnsi="Book Antiqua" w:cs="Book Antiqua"/>
          <w:color w:val="000000"/>
        </w:rPr>
        <w:t>: 2844-2850 [PMID: 29559560 DOI: 10.1158/1078-0432.</w:t>
      </w:r>
      <w:r w:rsidR="001405FE">
        <w:rPr>
          <w:rFonts w:ascii="Book Antiqua" w:eastAsia="Book Antiqua" w:hAnsi="Book Antiqua" w:cs="Book Antiqua"/>
          <w:color w:val="000000"/>
        </w:rPr>
        <w:t>CCR</w:t>
      </w:r>
      <w:r w:rsidRPr="00AE67E1">
        <w:rPr>
          <w:rFonts w:ascii="Book Antiqua" w:eastAsia="Book Antiqua" w:hAnsi="Book Antiqua" w:cs="Book Antiqua"/>
          <w:color w:val="000000"/>
        </w:rPr>
        <w:t>-18-0120]</w:t>
      </w:r>
    </w:p>
    <w:p w14:paraId="0C09D41F"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23 </w:t>
      </w:r>
      <w:r w:rsidRPr="00AE67E1">
        <w:rPr>
          <w:rFonts w:ascii="Book Antiqua" w:eastAsia="Book Antiqua" w:hAnsi="Book Antiqua" w:cs="Book Antiqua"/>
          <w:b/>
          <w:bCs/>
          <w:color w:val="000000"/>
        </w:rPr>
        <w:t>Togo S</w:t>
      </w:r>
      <w:r w:rsidRPr="00AE67E1">
        <w:rPr>
          <w:rFonts w:ascii="Book Antiqua" w:eastAsia="Book Antiqua" w:hAnsi="Book Antiqua" w:cs="Book Antiqua"/>
          <w:color w:val="000000"/>
        </w:rPr>
        <w:t xml:space="preserve">, Katagiri N, Namba Y, Tulafu M, Nagahama K, Kadoya K, Takamochi K, Oh S, Suzuki K, Sakurai F, Mizuguchi H, Urata Y, Takahashi K. Sensitive detection of viable circulating tumor cells using a novel conditionally telomerase-selective replicating adenovirus in non-small cell lung cancer patients. </w:t>
      </w:r>
      <w:r w:rsidRPr="00AE67E1">
        <w:rPr>
          <w:rFonts w:ascii="Book Antiqua" w:eastAsia="Book Antiqua" w:hAnsi="Book Antiqua" w:cs="Book Antiqua"/>
          <w:i/>
          <w:iCs/>
          <w:color w:val="000000"/>
        </w:rPr>
        <w:t>Oncotarget</w:t>
      </w:r>
      <w:r w:rsidRPr="00AE67E1">
        <w:rPr>
          <w:rFonts w:ascii="Book Antiqua" w:eastAsia="Book Antiqua" w:hAnsi="Book Antiqua" w:cs="Book Antiqua"/>
          <w:color w:val="000000"/>
        </w:rPr>
        <w:t xml:space="preserve"> 2017; </w:t>
      </w:r>
      <w:r w:rsidRPr="00AE67E1">
        <w:rPr>
          <w:rFonts w:ascii="Book Antiqua" w:eastAsia="Book Antiqua" w:hAnsi="Book Antiqua" w:cs="Book Antiqua"/>
          <w:b/>
          <w:bCs/>
          <w:color w:val="000000"/>
        </w:rPr>
        <w:t>8</w:t>
      </w:r>
      <w:r w:rsidRPr="00AE67E1">
        <w:rPr>
          <w:rFonts w:ascii="Book Antiqua" w:eastAsia="Book Antiqua" w:hAnsi="Book Antiqua" w:cs="Book Antiqua"/>
          <w:color w:val="000000"/>
        </w:rPr>
        <w:t>: 34884-34895 [PMID: 28432274 DOI: 10.18632/oncotarget.16818]</w:t>
      </w:r>
    </w:p>
    <w:p w14:paraId="701B52C5"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24 </w:t>
      </w:r>
      <w:r w:rsidRPr="00AE67E1">
        <w:rPr>
          <w:rFonts w:ascii="Book Antiqua" w:eastAsia="Book Antiqua" w:hAnsi="Book Antiqua" w:cs="Book Antiqua"/>
          <w:b/>
          <w:bCs/>
          <w:color w:val="000000"/>
        </w:rPr>
        <w:t>Ilie M</w:t>
      </w:r>
      <w:r w:rsidRPr="00AE67E1">
        <w:rPr>
          <w:rFonts w:ascii="Book Antiqua" w:eastAsia="Book Antiqua" w:hAnsi="Book Antiqua" w:cs="Book Antiqua"/>
          <w:color w:val="000000"/>
        </w:rPr>
        <w:t xml:space="preserve">, Hofman V, Long-Mira E, Selva E, Vignaud JM, Padovani B, Mouroux J, Marquette CH, Hofman P. "Sentinel" circulating tumor cells allow early diagnosis of lung cancer in patients with chronic obstructive pulmonary disease. </w:t>
      </w:r>
      <w:r w:rsidRPr="00AE67E1">
        <w:rPr>
          <w:rFonts w:ascii="Book Antiqua" w:eastAsia="Book Antiqua" w:hAnsi="Book Antiqua" w:cs="Book Antiqua"/>
          <w:i/>
          <w:iCs/>
          <w:color w:val="000000"/>
        </w:rPr>
        <w:t>PLoS One</w:t>
      </w:r>
      <w:r w:rsidRPr="00AE67E1">
        <w:rPr>
          <w:rFonts w:ascii="Book Antiqua" w:eastAsia="Book Antiqua" w:hAnsi="Book Antiqua" w:cs="Book Antiqua"/>
          <w:color w:val="000000"/>
        </w:rPr>
        <w:t xml:space="preserve"> 2014; </w:t>
      </w:r>
      <w:r w:rsidRPr="00AE67E1">
        <w:rPr>
          <w:rFonts w:ascii="Book Antiqua" w:eastAsia="Book Antiqua" w:hAnsi="Book Antiqua" w:cs="Book Antiqua"/>
          <w:b/>
          <w:bCs/>
          <w:color w:val="000000"/>
        </w:rPr>
        <w:t>9</w:t>
      </w:r>
      <w:r w:rsidRPr="00AE67E1">
        <w:rPr>
          <w:rFonts w:ascii="Book Antiqua" w:eastAsia="Book Antiqua" w:hAnsi="Book Antiqua" w:cs="Book Antiqua"/>
          <w:color w:val="000000"/>
        </w:rPr>
        <w:t>: e111597 [PMID: 25360587 DOI: 10.1371/journal.pone.0111597]</w:t>
      </w:r>
    </w:p>
    <w:p w14:paraId="6343418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25 </w:t>
      </w:r>
      <w:r w:rsidRPr="00AE67E1">
        <w:rPr>
          <w:rFonts w:ascii="Book Antiqua" w:eastAsia="Book Antiqua" w:hAnsi="Book Antiqua" w:cs="Book Antiqua"/>
          <w:b/>
          <w:bCs/>
          <w:color w:val="000000"/>
        </w:rPr>
        <w:t>Pantel K</w:t>
      </w:r>
      <w:r w:rsidRPr="00AE67E1">
        <w:rPr>
          <w:rFonts w:ascii="Book Antiqua" w:eastAsia="Book Antiqua" w:hAnsi="Book Antiqua" w:cs="Book Antiqua"/>
          <w:color w:val="000000"/>
        </w:rPr>
        <w:t xml:space="preserve">, Denève E, Nocca D, Coffy A, Vendrell JP, Maudelonde T, Riethdorf S, Alix-Panabières C. Circulating epithelial cells in patients with benign colon diseases. </w:t>
      </w:r>
      <w:r w:rsidRPr="00AE67E1">
        <w:rPr>
          <w:rFonts w:ascii="Book Antiqua" w:eastAsia="Book Antiqua" w:hAnsi="Book Antiqua" w:cs="Book Antiqua"/>
          <w:i/>
          <w:iCs/>
          <w:color w:val="000000"/>
        </w:rPr>
        <w:t>Clin Chem</w:t>
      </w:r>
      <w:r w:rsidRPr="00AE67E1">
        <w:rPr>
          <w:rFonts w:ascii="Book Antiqua" w:eastAsia="Book Antiqua" w:hAnsi="Book Antiqua" w:cs="Book Antiqua"/>
          <w:color w:val="000000"/>
        </w:rPr>
        <w:t xml:space="preserve"> 2012; </w:t>
      </w:r>
      <w:r w:rsidRPr="00AE67E1">
        <w:rPr>
          <w:rFonts w:ascii="Book Antiqua" w:eastAsia="Book Antiqua" w:hAnsi="Book Antiqua" w:cs="Book Antiqua"/>
          <w:b/>
          <w:bCs/>
          <w:color w:val="000000"/>
        </w:rPr>
        <w:t>58</w:t>
      </w:r>
      <w:r w:rsidRPr="00AE67E1">
        <w:rPr>
          <w:rFonts w:ascii="Book Antiqua" w:eastAsia="Book Antiqua" w:hAnsi="Book Antiqua" w:cs="Book Antiqua"/>
          <w:color w:val="000000"/>
        </w:rPr>
        <w:t>: 936-940 [PMID: 22205690 DOI: 10.1373/clinchem.2011.175570]</w:t>
      </w:r>
    </w:p>
    <w:p w14:paraId="2635E2E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26 </w:t>
      </w:r>
      <w:r w:rsidRPr="00AE67E1">
        <w:rPr>
          <w:rFonts w:ascii="Book Antiqua" w:eastAsia="Book Antiqua" w:hAnsi="Book Antiqua" w:cs="Book Antiqua"/>
          <w:b/>
          <w:bCs/>
          <w:color w:val="000000"/>
        </w:rPr>
        <w:t>Jin L</w:t>
      </w:r>
      <w:r w:rsidRPr="00AE67E1">
        <w:rPr>
          <w:rFonts w:ascii="Book Antiqua" w:eastAsia="Book Antiqua" w:hAnsi="Book Antiqua" w:cs="Book Antiqua"/>
          <w:color w:val="000000"/>
        </w:rPr>
        <w:t>, Zhao W, Zhang J, Chen W, Xie T, Wang L, Fan W, Xie S, Shen J, Zheng H, Hu W, Wei Q, Dong M, Wang Q, Shen J, Liu Y. Evaluation of the diagnostic value of circulating tumor cells with CytoSorter</w:t>
      </w:r>
      <w:r w:rsidRPr="00AE67E1">
        <w:rPr>
          <w:rFonts w:ascii="Book Antiqua" w:eastAsia="Book Antiqua" w:hAnsi="Book Antiqua" w:cs="Book Antiqua"/>
          <w:color w:val="000000"/>
          <w:vertAlign w:val="superscript"/>
        </w:rPr>
        <w:t>®</w:t>
      </w:r>
      <w:r w:rsidRPr="00AE67E1">
        <w:rPr>
          <w:rFonts w:ascii="Book Antiqua" w:eastAsia="Book Antiqua" w:hAnsi="Book Antiqua" w:cs="Book Antiqua"/>
          <w:color w:val="000000"/>
        </w:rPr>
        <w:t xml:space="preserve"> CTC capture system in patients with breast cancer. </w:t>
      </w:r>
      <w:r w:rsidRPr="00AE67E1">
        <w:rPr>
          <w:rFonts w:ascii="Book Antiqua" w:eastAsia="Book Antiqua" w:hAnsi="Book Antiqua" w:cs="Book Antiqua"/>
          <w:i/>
          <w:iCs/>
          <w:color w:val="000000"/>
        </w:rPr>
        <w:t>Cancer Med</w:t>
      </w:r>
      <w:r w:rsidRPr="00AE67E1">
        <w:rPr>
          <w:rFonts w:ascii="Book Antiqua" w:eastAsia="Book Antiqua" w:hAnsi="Book Antiqua" w:cs="Book Antiqua"/>
          <w:color w:val="000000"/>
        </w:rPr>
        <w:t xml:space="preserve"> 2020; </w:t>
      </w:r>
      <w:r w:rsidRPr="00AE67E1">
        <w:rPr>
          <w:rFonts w:ascii="Book Antiqua" w:eastAsia="Book Antiqua" w:hAnsi="Book Antiqua" w:cs="Book Antiqua"/>
          <w:b/>
          <w:bCs/>
          <w:color w:val="000000"/>
        </w:rPr>
        <w:t>9</w:t>
      </w:r>
      <w:r w:rsidRPr="00AE67E1">
        <w:rPr>
          <w:rFonts w:ascii="Book Antiqua" w:eastAsia="Book Antiqua" w:hAnsi="Book Antiqua" w:cs="Book Antiqua"/>
          <w:color w:val="000000"/>
        </w:rPr>
        <w:t>: 1638-1647 [PMID: 31908156 DOI: 10.1002/cam4.2825]</w:t>
      </w:r>
    </w:p>
    <w:p w14:paraId="7C4DE831"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27 </w:t>
      </w:r>
      <w:r w:rsidRPr="00AE67E1">
        <w:rPr>
          <w:rFonts w:ascii="Book Antiqua" w:eastAsia="Book Antiqua" w:hAnsi="Book Antiqua" w:cs="Book Antiqua"/>
          <w:b/>
          <w:bCs/>
          <w:color w:val="000000"/>
        </w:rPr>
        <w:t>Qin Y</w:t>
      </w:r>
      <w:r w:rsidRPr="00AE67E1">
        <w:rPr>
          <w:rFonts w:ascii="Book Antiqua" w:eastAsia="Book Antiqua" w:hAnsi="Book Antiqua" w:cs="Book Antiqua"/>
          <w:color w:val="000000"/>
        </w:rPr>
        <w:t xml:space="preserve">, Xu Y, Ma D, Tian Z, Huang C, Zhou X, He J, Liu L, Guo C, Wang G, Zhang J, Wang Y, Liu H. Clinical characteristics of resected solitary ground-glass opacities: Comparison between benign and malignant nodules. </w:t>
      </w:r>
      <w:r w:rsidRPr="00AE67E1">
        <w:rPr>
          <w:rFonts w:ascii="Book Antiqua" w:eastAsia="Book Antiqua" w:hAnsi="Book Antiqua" w:cs="Book Antiqua"/>
          <w:i/>
          <w:iCs/>
          <w:color w:val="000000"/>
        </w:rPr>
        <w:t>Thorac Cancer</w:t>
      </w:r>
      <w:r w:rsidRPr="00AE67E1">
        <w:rPr>
          <w:rFonts w:ascii="Book Antiqua" w:eastAsia="Book Antiqua" w:hAnsi="Book Antiqua" w:cs="Book Antiqua"/>
          <w:color w:val="000000"/>
        </w:rPr>
        <w:t xml:space="preserve"> 2020; </w:t>
      </w:r>
      <w:r w:rsidRPr="00AE67E1">
        <w:rPr>
          <w:rFonts w:ascii="Book Antiqua" w:eastAsia="Book Antiqua" w:hAnsi="Book Antiqua" w:cs="Book Antiqua"/>
          <w:b/>
          <w:bCs/>
          <w:color w:val="000000"/>
        </w:rPr>
        <w:t>11</w:t>
      </w:r>
      <w:r w:rsidRPr="00AE67E1">
        <w:rPr>
          <w:rFonts w:ascii="Book Antiqua" w:eastAsia="Book Antiqua" w:hAnsi="Book Antiqua" w:cs="Book Antiqua"/>
          <w:color w:val="000000"/>
        </w:rPr>
        <w:t>: 2767-2774 [PMID: 32844603 DOI: 10.1111/1759-7714.13575]</w:t>
      </w:r>
    </w:p>
    <w:p w14:paraId="53D195D0"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28 </w:t>
      </w:r>
      <w:r w:rsidRPr="00AE67E1">
        <w:rPr>
          <w:rFonts w:ascii="Book Antiqua" w:eastAsia="Book Antiqua" w:hAnsi="Book Antiqua" w:cs="Book Antiqua"/>
          <w:b/>
          <w:bCs/>
          <w:color w:val="000000"/>
        </w:rPr>
        <w:t>Lv YG</w:t>
      </w:r>
      <w:r w:rsidRPr="00AE67E1">
        <w:rPr>
          <w:rFonts w:ascii="Book Antiqua" w:eastAsia="Book Antiqua" w:hAnsi="Book Antiqua" w:cs="Book Antiqua"/>
          <w:color w:val="000000"/>
        </w:rPr>
        <w:t xml:space="preserve">, Bao JH, Xu DU, Yan QH, Li YJ, Yuan DL, Ma JH. Characteristic analysis of pulmonary ground-glass lesions with the help of 64-slice CT technology. </w:t>
      </w:r>
      <w:r w:rsidRPr="00AE67E1">
        <w:rPr>
          <w:rFonts w:ascii="Book Antiqua" w:eastAsia="Book Antiqua" w:hAnsi="Book Antiqua" w:cs="Book Antiqua"/>
          <w:i/>
          <w:iCs/>
          <w:color w:val="000000"/>
        </w:rPr>
        <w:t>Eur Rev Med Pharmacol Sci</w:t>
      </w:r>
      <w:r w:rsidRPr="00AE67E1">
        <w:rPr>
          <w:rFonts w:ascii="Book Antiqua" w:eastAsia="Book Antiqua" w:hAnsi="Book Antiqua" w:cs="Book Antiqua"/>
          <w:color w:val="000000"/>
        </w:rPr>
        <w:t xml:space="preserve"> 2017; </w:t>
      </w:r>
      <w:r w:rsidRPr="00AE67E1">
        <w:rPr>
          <w:rFonts w:ascii="Book Antiqua" w:eastAsia="Book Antiqua" w:hAnsi="Book Antiqua" w:cs="Book Antiqua"/>
          <w:b/>
          <w:bCs/>
          <w:color w:val="000000"/>
        </w:rPr>
        <w:t>21</w:t>
      </w:r>
      <w:r w:rsidRPr="00AE67E1">
        <w:rPr>
          <w:rFonts w:ascii="Book Antiqua" w:eastAsia="Book Antiqua" w:hAnsi="Book Antiqua" w:cs="Book Antiqua"/>
          <w:color w:val="000000"/>
        </w:rPr>
        <w:t>: 3212-3217 [PMID: 28770963]</w:t>
      </w:r>
    </w:p>
    <w:p w14:paraId="2A6D29B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29 </w:t>
      </w:r>
      <w:r w:rsidRPr="00AE67E1">
        <w:rPr>
          <w:rFonts w:ascii="Book Antiqua" w:eastAsia="Book Antiqua" w:hAnsi="Book Antiqua" w:cs="Book Antiqua"/>
          <w:b/>
          <w:bCs/>
          <w:color w:val="000000"/>
        </w:rPr>
        <w:t>van Bon L</w:t>
      </w:r>
      <w:r w:rsidRPr="00AE67E1">
        <w:rPr>
          <w:rFonts w:ascii="Book Antiqua" w:eastAsia="Book Antiqua" w:hAnsi="Book Antiqua" w:cs="Book Antiqua"/>
          <w:color w:val="000000"/>
        </w:rPr>
        <w:t xml:space="preserve">, Affandi AJ, Broen J, Christmann RB, Marijnissen RJ, Stawski L, Farina GA, Stifano G, Mathes AL, Cossu M, York M, Collins C, Wenink M, Huijbens R, Hesselstrand R, Saxne T, DiMarzio M, Wuttge D, Agarwal SK, Reveille JD, Assassi S, Mayes M, Deng Y, Drenth JP, de Graaf J, den Heijer M, Kallenberg CG, Bijl M, Loof A, van den Berg WB, Joosten LA, Smith V, de Keyser F, Scorza R, Lunardi C, van Riel PL, </w:t>
      </w:r>
      <w:r w:rsidRPr="00AE67E1">
        <w:rPr>
          <w:rFonts w:ascii="Book Antiqua" w:eastAsia="Book Antiqua" w:hAnsi="Book Antiqua" w:cs="Book Antiqua"/>
          <w:color w:val="000000"/>
        </w:rPr>
        <w:lastRenderedPageBreak/>
        <w:t xml:space="preserve">Vonk M, van Heerde W, Meller S, Homey B, Beretta L, Roest M, Trojanowska M, Lafyatis R, Radstake TR. Proteome-wide analysis and CXCL4 as a biomarker in systemic sclerosis. </w:t>
      </w:r>
      <w:r w:rsidRPr="00AE67E1">
        <w:rPr>
          <w:rFonts w:ascii="Book Antiqua" w:eastAsia="Book Antiqua" w:hAnsi="Book Antiqua" w:cs="Book Antiqua"/>
          <w:i/>
          <w:iCs/>
          <w:color w:val="000000"/>
        </w:rPr>
        <w:t>N Engl J Med</w:t>
      </w:r>
      <w:r w:rsidRPr="00AE67E1">
        <w:rPr>
          <w:rFonts w:ascii="Book Antiqua" w:eastAsia="Book Antiqua" w:hAnsi="Book Antiqua" w:cs="Book Antiqua"/>
          <w:color w:val="000000"/>
        </w:rPr>
        <w:t xml:space="preserve"> 2014; </w:t>
      </w:r>
      <w:r w:rsidRPr="00AE67E1">
        <w:rPr>
          <w:rFonts w:ascii="Book Antiqua" w:eastAsia="Book Antiqua" w:hAnsi="Book Antiqua" w:cs="Book Antiqua"/>
          <w:b/>
          <w:bCs/>
          <w:color w:val="000000"/>
        </w:rPr>
        <w:t>370</w:t>
      </w:r>
      <w:r w:rsidRPr="00AE67E1">
        <w:rPr>
          <w:rFonts w:ascii="Book Antiqua" w:eastAsia="Book Antiqua" w:hAnsi="Book Antiqua" w:cs="Book Antiqua"/>
          <w:color w:val="000000"/>
        </w:rPr>
        <w:t>: 433-443 [PMID: 24350901 DOI: 10.1056/NEJMoa1114576]</w:t>
      </w:r>
    </w:p>
    <w:p w14:paraId="38E58966"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30 </w:t>
      </w:r>
      <w:r w:rsidRPr="00AE67E1">
        <w:rPr>
          <w:rFonts w:ascii="Book Antiqua" w:eastAsia="Book Antiqua" w:hAnsi="Book Antiqua" w:cs="Book Antiqua"/>
          <w:b/>
          <w:bCs/>
          <w:color w:val="000000"/>
        </w:rPr>
        <w:t>Xu M</w:t>
      </w:r>
      <w:r w:rsidRPr="00AE67E1">
        <w:rPr>
          <w:rFonts w:ascii="Book Antiqua" w:eastAsia="Book Antiqua" w:hAnsi="Book Antiqua" w:cs="Book Antiqua"/>
          <w:color w:val="000000"/>
        </w:rPr>
        <w:t xml:space="preserve">, Xu HH, Lin Y, Sun X, Wang LJ, Fang ZP, Su XH, Liang XJ, Hu Y, Liu ZM, Cheng Y, Wei Y, Li J, Li L, Liu HJ, Cheng Z, Tang N, Peng C, Li T, Liu T, Qiao L, Wu D, Ding YQ, Zhou WJ. LECT2, a Ligand for Tie1, Plays a Crucial Role in Liver Fibrogenesis. </w:t>
      </w:r>
      <w:r w:rsidRPr="00AE67E1">
        <w:rPr>
          <w:rFonts w:ascii="Book Antiqua" w:eastAsia="Book Antiqua" w:hAnsi="Book Antiqua" w:cs="Book Antiqua"/>
          <w:i/>
          <w:iCs/>
          <w:color w:val="000000"/>
        </w:rPr>
        <w:t>Cell</w:t>
      </w:r>
      <w:r w:rsidRPr="00AE67E1">
        <w:rPr>
          <w:rFonts w:ascii="Book Antiqua" w:eastAsia="Book Antiqua" w:hAnsi="Book Antiqua" w:cs="Book Antiqua"/>
          <w:color w:val="000000"/>
        </w:rPr>
        <w:t xml:space="preserve"> 2019; </w:t>
      </w:r>
      <w:r w:rsidRPr="00AE67E1">
        <w:rPr>
          <w:rFonts w:ascii="Book Antiqua" w:eastAsia="Book Antiqua" w:hAnsi="Book Antiqua" w:cs="Book Antiqua"/>
          <w:b/>
          <w:bCs/>
          <w:color w:val="000000"/>
        </w:rPr>
        <w:t>178</w:t>
      </w:r>
      <w:r w:rsidRPr="00AE67E1">
        <w:rPr>
          <w:rFonts w:ascii="Book Antiqua" w:eastAsia="Book Antiqua" w:hAnsi="Book Antiqua" w:cs="Book Antiqua"/>
          <w:color w:val="000000"/>
        </w:rPr>
        <w:t>: 1478-1492.e20 [PMID: 31474362 DOI: 10.1016/j.cell.2019.07.021]</w:t>
      </w:r>
    </w:p>
    <w:bookmarkEnd w:id="64"/>
    <w:bookmarkEnd w:id="65"/>
    <w:bookmarkEnd w:id="66"/>
    <w:bookmarkEnd w:id="67"/>
    <w:p w14:paraId="58D4F1EF" w14:textId="77777777" w:rsidR="00F07400" w:rsidRPr="00AE67E1" w:rsidRDefault="00F07400" w:rsidP="00AE67E1">
      <w:pPr>
        <w:spacing w:line="360" w:lineRule="auto"/>
        <w:jc w:val="both"/>
        <w:rPr>
          <w:rFonts w:ascii="Book Antiqua" w:hAnsi="Book Antiqua"/>
        </w:rPr>
        <w:sectPr w:rsidR="00F07400" w:rsidRPr="00AE67E1">
          <w:pgSz w:w="12240" w:h="15840"/>
          <w:pgMar w:top="1440" w:right="1440" w:bottom="1440" w:left="1440" w:header="720" w:footer="720" w:gutter="0"/>
          <w:cols w:space="720"/>
          <w:docGrid w:linePitch="360"/>
        </w:sectPr>
      </w:pPr>
    </w:p>
    <w:p w14:paraId="7C523C8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lastRenderedPageBreak/>
        <w:t>Footnotes</w:t>
      </w:r>
    </w:p>
    <w:p w14:paraId="79E91E05"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Institutional review board statement: </w:t>
      </w:r>
      <w:r w:rsidRPr="00AE67E1">
        <w:rPr>
          <w:rFonts w:ascii="Book Antiqua" w:eastAsia="Book Antiqua" w:hAnsi="Book Antiqua" w:cs="Book Antiqua"/>
          <w:color w:val="000000"/>
        </w:rPr>
        <w:t>The study protocol was reviewed and approved by the Ethics Committee of Daping Hospital, Army Medical University</w:t>
      </w:r>
      <w:r w:rsidR="008606B9"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2019</w:t>
      </w:r>
      <w:r w:rsidR="008606B9" w:rsidRPr="00AE67E1">
        <w:rPr>
          <w:rFonts w:ascii="Book Antiqua" w:eastAsia="Book Antiqua" w:hAnsi="Book Antiqua" w:cs="Book Antiqua"/>
          <w:color w:val="000000"/>
        </w:rPr>
        <w:t>,</w:t>
      </w:r>
      <w:r w:rsidRPr="00AE67E1">
        <w:rPr>
          <w:rFonts w:ascii="Book Antiqua" w:eastAsia="Book Antiqua" w:hAnsi="Book Antiqua" w:cs="Book Antiqua"/>
          <w:color w:val="000000"/>
        </w:rPr>
        <w:t xml:space="preserve"> No.</w:t>
      </w:r>
      <w:r w:rsidR="008606B9"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183</w:t>
      </w:r>
      <w:r w:rsidR="008606B9" w:rsidRPr="00AE67E1">
        <w:rPr>
          <w:rFonts w:ascii="Book Antiqua" w:eastAsia="Book Antiqua" w:hAnsi="Book Antiqua" w:cs="Book Antiqua"/>
          <w:color w:val="000000"/>
        </w:rPr>
        <w:t>.</w:t>
      </w:r>
    </w:p>
    <w:p w14:paraId="7F31A651" w14:textId="77777777" w:rsidR="00F07400" w:rsidRPr="00AE67E1" w:rsidRDefault="00F07400" w:rsidP="00AE67E1">
      <w:pPr>
        <w:spacing w:line="360" w:lineRule="auto"/>
        <w:jc w:val="both"/>
        <w:rPr>
          <w:rFonts w:ascii="Book Antiqua" w:hAnsi="Book Antiqua"/>
        </w:rPr>
      </w:pPr>
    </w:p>
    <w:p w14:paraId="2EC65F0C" w14:textId="77777777" w:rsidR="004E712A" w:rsidRPr="00AE67E1" w:rsidRDefault="004E712A" w:rsidP="00AE67E1">
      <w:pPr>
        <w:spacing w:line="360" w:lineRule="auto"/>
        <w:jc w:val="both"/>
        <w:rPr>
          <w:rFonts w:ascii="Book Antiqua" w:hAnsi="Book Antiqua"/>
          <w:color w:val="000000" w:themeColor="text1"/>
        </w:rPr>
      </w:pPr>
      <w:r w:rsidRPr="00AE67E1">
        <w:rPr>
          <w:rFonts w:ascii="Book Antiqua" w:eastAsia="Book Antiqua" w:hAnsi="Book Antiqua" w:cs="Book Antiqua"/>
          <w:b/>
          <w:bCs/>
          <w:color w:val="000000"/>
        </w:rPr>
        <w:t xml:space="preserve">Clinical trial registration statement: </w:t>
      </w:r>
      <w:bookmarkStart w:id="77" w:name="OLE_LINK368"/>
      <w:bookmarkStart w:id="78" w:name="OLE_LINK369"/>
      <w:r w:rsidRPr="00AE67E1">
        <w:rPr>
          <w:rFonts w:ascii="Book Antiqua" w:hAnsi="Book Antiqua"/>
          <w:color w:val="000000" w:themeColor="text1"/>
        </w:rPr>
        <w:t xml:space="preserve">This study is registered at </w:t>
      </w:r>
      <w:r w:rsidR="00727F80" w:rsidRPr="00727F80">
        <w:rPr>
          <w:rFonts w:ascii="Book Antiqua" w:hAnsi="Book Antiqua"/>
          <w:color w:val="000000" w:themeColor="text1"/>
        </w:rPr>
        <w:t>https://clinicaltrials.gov/</w:t>
      </w:r>
      <w:r w:rsidRPr="00AE67E1">
        <w:rPr>
          <w:rFonts w:ascii="Book Antiqua" w:hAnsi="Book Antiqua"/>
          <w:color w:val="000000" w:themeColor="text1"/>
        </w:rPr>
        <w:t xml:space="preserve">. The registration identification number is </w:t>
      </w:r>
      <w:r w:rsidR="002A7491" w:rsidRPr="00AE67E1">
        <w:rPr>
          <w:rFonts w:ascii="Book Antiqua" w:hAnsi="Book Antiqua"/>
          <w:color w:val="000000" w:themeColor="text1"/>
        </w:rPr>
        <w:t>NCT02951897</w:t>
      </w:r>
      <w:r w:rsidRPr="00AE67E1">
        <w:rPr>
          <w:rFonts w:ascii="Book Antiqua" w:hAnsi="Book Antiqua"/>
          <w:color w:val="000000" w:themeColor="text1"/>
        </w:rPr>
        <w:t>.</w:t>
      </w:r>
    </w:p>
    <w:bookmarkEnd w:id="77"/>
    <w:bookmarkEnd w:id="78"/>
    <w:p w14:paraId="0B391F50" w14:textId="77777777" w:rsidR="004E712A" w:rsidRPr="00AE67E1" w:rsidRDefault="004E712A" w:rsidP="00AE67E1">
      <w:pPr>
        <w:spacing w:line="360" w:lineRule="auto"/>
        <w:jc w:val="both"/>
        <w:rPr>
          <w:rFonts w:ascii="Book Antiqua" w:hAnsi="Book Antiqua"/>
        </w:rPr>
      </w:pPr>
    </w:p>
    <w:p w14:paraId="2972EC46"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Informed consent statement: </w:t>
      </w:r>
      <w:bookmarkStart w:id="79" w:name="OLE_LINK370"/>
      <w:bookmarkStart w:id="80" w:name="OLE_LINK371"/>
      <w:r w:rsidRPr="00AE67E1">
        <w:rPr>
          <w:rFonts w:ascii="Book Antiqua" w:eastAsia="Book Antiqua" w:hAnsi="Book Antiqua" w:cs="Book Antiqua"/>
          <w:color w:val="000000"/>
        </w:rPr>
        <w:t xml:space="preserve">All patients who agreed to participate in the study signed an informed consent. </w:t>
      </w:r>
    </w:p>
    <w:bookmarkEnd w:id="79"/>
    <w:bookmarkEnd w:id="80"/>
    <w:p w14:paraId="38DEF35A" w14:textId="77777777" w:rsidR="00F07400" w:rsidRPr="00AE67E1" w:rsidRDefault="00F07400" w:rsidP="00AE67E1">
      <w:pPr>
        <w:spacing w:line="360" w:lineRule="auto"/>
        <w:jc w:val="both"/>
        <w:rPr>
          <w:rFonts w:ascii="Book Antiqua" w:hAnsi="Book Antiqua"/>
        </w:rPr>
      </w:pPr>
    </w:p>
    <w:p w14:paraId="5C2A86D4"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Conflict-of-interest statement: </w:t>
      </w:r>
      <w:bookmarkStart w:id="81" w:name="OLE_LINK372"/>
      <w:bookmarkStart w:id="82" w:name="OLE_LINK373"/>
      <w:r w:rsidRPr="00AE67E1">
        <w:rPr>
          <w:rFonts w:ascii="Book Antiqua" w:eastAsia="Book Antiqua" w:hAnsi="Book Antiqua" w:cs="Book Antiqua"/>
          <w:color w:val="000000"/>
        </w:rPr>
        <w:t>The authors declare that they have no financial relationships to disclose.</w:t>
      </w:r>
    </w:p>
    <w:bookmarkEnd w:id="81"/>
    <w:bookmarkEnd w:id="82"/>
    <w:p w14:paraId="668369A0" w14:textId="77777777" w:rsidR="00F07400" w:rsidRPr="00AE67E1" w:rsidRDefault="00F07400" w:rsidP="00AE67E1">
      <w:pPr>
        <w:spacing w:line="360" w:lineRule="auto"/>
        <w:jc w:val="both"/>
        <w:rPr>
          <w:rFonts w:ascii="Book Antiqua" w:hAnsi="Book Antiqua"/>
        </w:rPr>
      </w:pPr>
    </w:p>
    <w:p w14:paraId="5A780D91"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Data sharing statement: </w:t>
      </w:r>
      <w:r w:rsidRPr="00AE67E1">
        <w:rPr>
          <w:rFonts w:ascii="Book Antiqua" w:eastAsia="Book Antiqua" w:hAnsi="Book Antiqua" w:cs="Book Antiqua"/>
          <w:color w:val="000000"/>
        </w:rPr>
        <w:t>No additional data are available.</w:t>
      </w:r>
    </w:p>
    <w:p w14:paraId="4AAD69D6" w14:textId="77777777" w:rsidR="001E576F" w:rsidRPr="00AE67E1" w:rsidRDefault="001E576F" w:rsidP="00AE67E1">
      <w:pPr>
        <w:spacing w:line="360" w:lineRule="auto"/>
        <w:jc w:val="both"/>
        <w:rPr>
          <w:rFonts w:ascii="Book Antiqua" w:hAnsi="Book Antiqua"/>
        </w:rPr>
      </w:pPr>
    </w:p>
    <w:p w14:paraId="79C221BD"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bCs/>
          <w:color w:val="000000"/>
        </w:rPr>
        <w:t xml:space="preserve">Open-Access: </w:t>
      </w:r>
      <w:r w:rsidRPr="00AE67E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953830" w14:textId="77777777" w:rsidR="00F07400" w:rsidRPr="00AE67E1" w:rsidRDefault="00F07400" w:rsidP="00AE67E1">
      <w:pPr>
        <w:spacing w:line="360" w:lineRule="auto"/>
        <w:jc w:val="both"/>
        <w:rPr>
          <w:rFonts w:ascii="Book Antiqua" w:hAnsi="Book Antiqua"/>
        </w:rPr>
      </w:pPr>
    </w:p>
    <w:p w14:paraId="22994BE7"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Manuscript source: </w:t>
      </w:r>
      <w:r w:rsidRPr="00AE67E1">
        <w:rPr>
          <w:rFonts w:ascii="Book Antiqua" w:eastAsia="Book Antiqua" w:hAnsi="Book Antiqua" w:cs="Book Antiqua"/>
          <w:color w:val="000000"/>
        </w:rPr>
        <w:t xml:space="preserve">Unsolicited </w:t>
      </w:r>
      <w:r w:rsidR="0055165A" w:rsidRPr="00AE67E1">
        <w:rPr>
          <w:rFonts w:ascii="Book Antiqua" w:eastAsia="Book Antiqua" w:hAnsi="Book Antiqua" w:cs="Book Antiqua"/>
          <w:color w:val="000000"/>
        </w:rPr>
        <w:t>m</w:t>
      </w:r>
      <w:r w:rsidRPr="00AE67E1">
        <w:rPr>
          <w:rFonts w:ascii="Book Antiqua" w:eastAsia="Book Antiqua" w:hAnsi="Book Antiqua" w:cs="Book Antiqua"/>
          <w:color w:val="000000"/>
        </w:rPr>
        <w:t>anuscript</w:t>
      </w:r>
    </w:p>
    <w:p w14:paraId="6E0194D0" w14:textId="77777777" w:rsidR="00F07400" w:rsidRPr="00AE67E1" w:rsidRDefault="00F07400" w:rsidP="00AE67E1">
      <w:pPr>
        <w:spacing w:line="360" w:lineRule="auto"/>
        <w:jc w:val="both"/>
        <w:rPr>
          <w:rFonts w:ascii="Book Antiqua" w:hAnsi="Book Antiqua"/>
        </w:rPr>
      </w:pPr>
    </w:p>
    <w:p w14:paraId="4DB6DCBC"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Peer-review started: </w:t>
      </w:r>
      <w:r w:rsidRPr="00AE67E1">
        <w:rPr>
          <w:rFonts w:ascii="Book Antiqua" w:eastAsia="Book Antiqua" w:hAnsi="Book Antiqua" w:cs="Book Antiqua"/>
          <w:color w:val="000000"/>
        </w:rPr>
        <w:t>November 20, 2020</w:t>
      </w:r>
    </w:p>
    <w:p w14:paraId="7B3EE4CC"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First decision: </w:t>
      </w:r>
      <w:r w:rsidRPr="00AE67E1">
        <w:rPr>
          <w:rFonts w:ascii="Book Antiqua" w:eastAsia="Book Antiqua" w:hAnsi="Book Antiqua" w:cs="Book Antiqua"/>
          <w:color w:val="000000"/>
        </w:rPr>
        <w:t>February 12, 2021</w:t>
      </w:r>
    </w:p>
    <w:p w14:paraId="36DC516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Article in press: </w:t>
      </w:r>
    </w:p>
    <w:p w14:paraId="3D2BE0D1" w14:textId="77777777" w:rsidR="00F07400" w:rsidRPr="00AE67E1" w:rsidRDefault="00F07400" w:rsidP="00AE67E1">
      <w:pPr>
        <w:spacing w:line="360" w:lineRule="auto"/>
        <w:jc w:val="both"/>
        <w:rPr>
          <w:rFonts w:ascii="Book Antiqua" w:hAnsi="Book Antiqua"/>
        </w:rPr>
      </w:pPr>
    </w:p>
    <w:p w14:paraId="575C8A31"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 xml:space="preserve">Specialty type: </w:t>
      </w:r>
      <w:bookmarkStart w:id="83" w:name="OLE_LINK1952"/>
      <w:bookmarkStart w:id="84" w:name="OLE_LINK1953"/>
      <w:bookmarkStart w:id="85" w:name="OLE_LINK2066"/>
      <w:r w:rsidR="0055165A" w:rsidRPr="00AE67E1">
        <w:rPr>
          <w:rFonts w:ascii="Book Antiqua" w:eastAsia="Microsoft YaHei" w:hAnsi="Book Antiqua" w:cs="SimSun"/>
        </w:rPr>
        <w:t>Medicine, research and experimental</w:t>
      </w:r>
      <w:bookmarkEnd w:id="83"/>
      <w:bookmarkEnd w:id="84"/>
      <w:bookmarkEnd w:id="85"/>
    </w:p>
    <w:p w14:paraId="142E5298"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lastRenderedPageBreak/>
        <w:t xml:space="preserve">Country/Territory of origin: </w:t>
      </w:r>
      <w:r w:rsidRPr="00AE67E1">
        <w:rPr>
          <w:rFonts w:ascii="Book Antiqua" w:eastAsia="Book Antiqua" w:hAnsi="Book Antiqua" w:cs="Book Antiqua"/>
          <w:color w:val="000000"/>
        </w:rPr>
        <w:t>China</w:t>
      </w:r>
    </w:p>
    <w:p w14:paraId="50234E0F"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b/>
          <w:color w:val="000000"/>
        </w:rPr>
        <w:t>Peer-review report’s scientific quality classification</w:t>
      </w:r>
    </w:p>
    <w:p w14:paraId="7576822B"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Grade A (Excellent): 0</w:t>
      </w:r>
    </w:p>
    <w:p w14:paraId="5E6C9AF7"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Grade B (Very good): B</w:t>
      </w:r>
      <w:r w:rsidR="00134986" w:rsidRPr="00AE67E1">
        <w:rPr>
          <w:rFonts w:ascii="Book Antiqua" w:eastAsia="Book Antiqua" w:hAnsi="Book Antiqua" w:cs="Book Antiqua"/>
          <w:color w:val="000000"/>
        </w:rPr>
        <w:t>, B</w:t>
      </w:r>
    </w:p>
    <w:p w14:paraId="0781CC9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 xml:space="preserve">Grade C (Good): </w:t>
      </w:r>
      <w:r w:rsidR="00134986" w:rsidRPr="00AE67E1">
        <w:rPr>
          <w:rFonts w:ascii="Book Antiqua" w:eastAsia="Book Antiqua" w:hAnsi="Book Antiqua" w:cs="Book Antiqua"/>
          <w:color w:val="000000"/>
        </w:rPr>
        <w:t>C</w:t>
      </w:r>
    </w:p>
    <w:p w14:paraId="1991EAE3"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Grade D (Fair): D, D</w:t>
      </w:r>
    </w:p>
    <w:p w14:paraId="0DECC4E2" w14:textId="77777777" w:rsidR="00F07400" w:rsidRPr="00AE67E1" w:rsidRDefault="00C430B4" w:rsidP="00AE67E1">
      <w:pPr>
        <w:spacing w:line="360" w:lineRule="auto"/>
        <w:jc w:val="both"/>
        <w:rPr>
          <w:rFonts w:ascii="Book Antiqua" w:hAnsi="Book Antiqua"/>
        </w:rPr>
      </w:pPr>
      <w:r w:rsidRPr="00AE67E1">
        <w:rPr>
          <w:rFonts w:ascii="Book Antiqua" w:eastAsia="Book Antiqua" w:hAnsi="Book Antiqua" w:cs="Book Antiqua"/>
          <w:color w:val="000000"/>
        </w:rPr>
        <w:t>Grade E (Poor): 0</w:t>
      </w:r>
    </w:p>
    <w:p w14:paraId="4F49D157" w14:textId="77777777" w:rsidR="00F07400" w:rsidRPr="00AE67E1" w:rsidRDefault="00F07400" w:rsidP="00AE67E1">
      <w:pPr>
        <w:spacing w:line="360" w:lineRule="auto"/>
        <w:jc w:val="both"/>
        <w:rPr>
          <w:rFonts w:ascii="Book Antiqua" w:hAnsi="Book Antiqua"/>
        </w:rPr>
      </w:pPr>
    </w:p>
    <w:p w14:paraId="5DF0DC22" w14:textId="77777777" w:rsidR="00F07400" w:rsidRDefault="00C430B4" w:rsidP="00AE67E1">
      <w:pPr>
        <w:spacing w:line="360" w:lineRule="auto"/>
        <w:jc w:val="both"/>
        <w:rPr>
          <w:rFonts w:ascii="Book Antiqua" w:eastAsia="Book Antiqua" w:hAnsi="Book Antiqua" w:cs="Book Antiqua"/>
          <w:b/>
          <w:color w:val="000000"/>
        </w:rPr>
      </w:pPr>
      <w:r w:rsidRPr="00AE67E1">
        <w:rPr>
          <w:rFonts w:ascii="Book Antiqua" w:eastAsia="Book Antiqua" w:hAnsi="Book Antiqua" w:cs="Book Antiqua"/>
          <w:b/>
          <w:color w:val="000000"/>
        </w:rPr>
        <w:t xml:space="preserve">P-Reviewer: </w:t>
      </w:r>
      <w:r w:rsidRPr="00AE67E1">
        <w:rPr>
          <w:rFonts w:ascii="Book Antiqua" w:eastAsia="Book Antiqua" w:hAnsi="Book Antiqua" w:cs="Book Antiqua"/>
          <w:color w:val="000000"/>
        </w:rPr>
        <w:t>Brody AR, Pasini L, Ullah M</w:t>
      </w:r>
      <w:r w:rsidRPr="00AE67E1">
        <w:rPr>
          <w:rFonts w:ascii="Book Antiqua" w:eastAsia="Book Antiqua" w:hAnsi="Book Antiqua" w:cs="Book Antiqua"/>
          <w:b/>
          <w:color w:val="000000"/>
        </w:rPr>
        <w:t xml:space="preserve"> S-Editor: </w:t>
      </w:r>
      <w:r w:rsidR="00134986" w:rsidRPr="00AE67E1">
        <w:rPr>
          <w:rFonts w:ascii="Book Antiqua" w:eastAsia="Book Antiqua" w:hAnsi="Book Antiqua" w:cs="Book Antiqua"/>
          <w:color w:val="000000"/>
        </w:rPr>
        <w:t>F</w:t>
      </w:r>
      <w:r w:rsidRPr="00AE67E1">
        <w:rPr>
          <w:rFonts w:ascii="Book Antiqua" w:eastAsia="Book Antiqua" w:hAnsi="Book Antiqua" w:cs="Book Antiqua"/>
          <w:color w:val="000000"/>
        </w:rPr>
        <w:t>an J</w:t>
      </w:r>
      <w:r w:rsidR="00134986" w:rsidRPr="00AE67E1">
        <w:rPr>
          <w:rFonts w:ascii="Book Antiqua" w:eastAsia="Book Antiqua" w:hAnsi="Book Antiqua" w:cs="Book Antiqua"/>
          <w:color w:val="000000"/>
        </w:rPr>
        <w:t>R</w:t>
      </w:r>
      <w:r w:rsidRPr="00AE67E1">
        <w:rPr>
          <w:rFonts w:ascii="Book Antiqua" w:eastAsia="Book Antiqua" w:hAnsi="Book Antiqua" w:cs="Book Antiqua"/>
          <w:b/>
          <w:color w:val="000000"/>
        </w:rPr>
        <w:t xml:space="preserve"> L-Editor: </w:t>
      </w:r>
      <w:r w:rsidR="007F5118">
        <w:rPr>
          <w:rFonts w:ascii="Book Antiqua" w:eastAsia="Book Antiqua" w:hAnsi="Book Antiqua" w:cs="Book Antiqua"/>
          <w:bCs/>
          <w:color w:val="000000"/>
        </w:rPr>
        <w:t>Filipodia</w:t>
      </w:r>
      <w:r w:rsidRPr="00AE67E1">
        <w:rPr>
          <w:rFonts w:ascii="Book Antiqua" w:eastAsia="Book Antiqua" w:hAnsi="Book Antiqua" w:cs="Book Antiqua"/>
          <w:b/>
          <w:color w:val="000000"/>
        </w:rPr>
        <w:t xml:space="preserve"> P-Editor: </w:t>
      </w:r>
    </w:p>
    <w:p w14:paraId="7C39E2E8" w14:textId="77777777" w:rsidR="00AF67ED" w:rsidRPr="00AE67E1" w:rsidRDefault="00AF67ED" w:rsidP="00AE67E1">
      <w:pPr>
        <w:spacing w:line="360" w:lineRule="auto"/>
        <w:jc w:val="both"/>
        <w:rPr>
          <w:rFonts w:ascii="Book Antiqua" w:hAnsi="Book Antiqua"/>
        </w:rPr>
        <w:sectPr w:rsidR="00AF67ED" w:rsidRPr="00AE67E1">
          <w:pgSz w:w="12240" w:h="15840"/>
          <w:pgMar w:top="1440" w:right="1440" w:bottom="1440" w:left="1440" w:header="720" w:footer="720" w:gutter="0"/>
          <w:cols w:space="720"/>
          <w:docGrid w:linePitch="360"/>
        </w:sectPr>
      </w:pPr>
    </w:p>
    <w:p w14:paraId="53C2E753" w14:textId="77777777" w:rsidR="00F07400" w:rsidRPr="00AE67E1" w:rsidRDefault="00C430B4" w:rsidP="00AE67E1">
      <w:pPr>
        <w:spacing w:line="360" w:lineRule="auto"/>
        <w:jc w:val="both"/>
        <w:rPr>
          <w:rFonts w:ascii="Book Antiqua" w:eastAsia="Book Antiqua" w:hAnsi="Book Antiqua" w:cs="Book Antiqua"/>
          <w:b/>
          <w:color w:val="000000"/>
        </w:rPr>
      </w:pPr>
      <w:r w:rsidRPr="00AE67E1">
        <w:rPr>
          <w:rFonts w:ascii="Book Antiqua" w:eastAsia="Book Antiqua" w:hAnsi="Book Antiqua" w:cs="Book Antiqua"/>
          <w:b/>
          <w:color w:val="000000"/>
        </w:rPr>
        <w:lastRenderedPageBreak/>
        <w:t>Figure Legends</w:t>
      </w:r>
    </w:p>
    <w:p w14:paraId="77313D88" w14:textId="77777777" w:rsidR="0025096B" w:rsidRPr="00AE67E1" w:rsidRDefault="0025096B" w:rsidP="00AE67E1">
      <w:pPr>
        <w:spacing w:line="360" w:lineRule="auto"/>
        <w:jc w:val="both"/>
        <w:rPr>
          <w:rFonts w:ascii="Book Antiqua" w:eastAsia="Book Antiqua" w:hAnsi="Book Antiqua" w:cs="Book Antiqua"/>
          <w:b/>
          <w:bCs/>
          <w:color w:val="000000"/>
        </w:rPr>
      </w:pPr>
      <w:r w:rsidRPr="00AE67E1">
        <w:rPr>
          <w:rFonts w:ascii="Book Antiqua" w:hAnsi="Book Antiqua"/>
          <w:noProof/>
          <w:lang w:eastAsia="zh-CN"/>
        </w:rPr>
        <w:drawing>
          <wp:inline distT="0" distB="0" distL="0" distR="0" wp14:anchorId="63EC71AF" wp14:editId="00D236E5">
            <wp:extent cx="5943600" cy="20812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51620" cy="2084093"/>
                    </a:xfrm>
                    <a:prstGeom prst="rect">
                      <a:avLst/>
                    </a:prstGeom>
                  </pic:spPr>
                </pic:pic>
              </a:graphicData>
            </a:graphic>
          </wp:inline>
        </w:drawing>
      </w:r>
    </w:p>
    <w:p w14:paraId="37127734" w14:textId="77777777" w:rsidR="0025096B" w:rsidRPr="00AE67E1" w:rsidRDefault="00BA3856" w:rsidP="00AE67E1">
      <w:pPr>
        <w:spacing w:line="360" w:lineRule="auto"/>
        <w:jc w:val="both"/>
        <w:rPr>
          <w:rFonts w:ascii="Book Antiqua" w:eastAsia="Book Antiqua" w:hAnsi="Book Antiqua" w:cs="Book Antiqua"/>
          <w:b/>
          <w:bCs/>
          <w:color w:val="000000"/>
        </w:rPr>
      </w:pPr>
      <w:r w:rsidRPr="00AE67E1">
        <w:rPr>
          <w:rFonts w:ascii="Book Antiqua" w:hAnsi="Book Antiqua"/>
          <w:noProof/>
          <w:lang w:eastAsia="zh-CN"/>
        </w:rPr>
        <w:drawing>
          <wp:inline distT="0" distB="0" distL="0" distR="0" wp14:anchorId="1B90AD62" wp14:editId="1858594E">
            <wp:extent cx="5941798" cy="25453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89632" cy="2565799"/>
                    </a:xfrm>
                    <a:prstGeom prst="rect">
                      <a:avLst/>
                    </a:prstGeom>
                  </pic:spPr>
                </pic:pic>
              </a:graphicData>
            </a:graphic>
          </wp:inline>
        </w:drawing>
      </w:r>
    </w:p>
    <w:p w14:paraId="5A73D5D6" w14:textId="77777777" w:rsidR="0025096B" w:rsidRPr="00AE67E1" w:rsidRDefault="0025096B" w:rsidP="00AE67E1">
      <w:pPr>
        <w:spacing w:line="360" w:lineRule="auto"/>
        <w:jc w:val="both"/>
        <w:rPr>
          <w:rFonts w:ascii="Book Antiqua" w:eastAsia="Book Antiqua" w:hAnsi="Book Antiqua" w:cs="Book Antiqua"/>
          <w:b/>
          <w:bCs/>
          <w:color w:val="000000"/>
        </w:rPr>
      </w:pPr>
      <w:r w:rsidRPr="00AE67E1">
        <w:rPr>
          <w:rFonts w:ascii="Book Antiqua" w:hAnsi="Book Antiqua"/>
          <w:noProof/>
          <w:lang w:eastAsia="zh-CN"/>
        </w:rPr>
        <w:drawing>
          <wp:inline distT="0" distB="0" distL="0" distR="0" wp14:anchorId="1066B601" wp14:editId="4F610A15">
            <wp:extent cx="5745707" cy="27724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47945" cy="2773490"/>
                    </a:xfrm>
                    <a:prstGeom prst="rect">
                      <a:avLst/>
                    </a:prstGeom>
                  </pic:spPr>
                </pic:pic>
              </a:graphicData>
            </a:graphic>
          </wp:inline>
        </w:drawing>
      </w:r>
    </w:p>
    <w:p w14:paraId="28DF6BAE" w14:textId="77777777" w:rsidR="0025096B" w:rsidRPr="00AE67E1" w:rsidRDefault="0025096B" w:rsidP="00AE67E1">
      <w:pPr>
        <w:spacing w:line="360" w:lineRule="auto"/>
        <w:jc w:val="both"/>
        <w:rPr>
          <w:rFonts w:ascii="Book Antiqua" w:eastAsia="Book Antiqua" w:hAnsi="Book Antiqua" w:cs="Book Antiqua"/>
          <w:b/>
          <w:bCs/>
          <w:color w:val="000000"/>
        </w:rPr>
      </w:pPr>
      <w:r w:rsidRPr="00AE67E1">
        <w:rPr>
          <w:rFonts w:ascii="Book Antiqua" w:hAnsi="Book Antiqua"/>
          <w:noProof/>
          <w:lang w:eastAsia="zh-CN"/>
        </w:rPr>
        <w:lastRenderedPageBreak/>
        <w:drawing>
          <wp:inline distT="0" distB="0" distL="0" distR="0" wp14:anchorId="58CCB549" wp14:editId="40539806">
            <wp:extent cx="5136543" cy="286555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157967" cy="2877508"/>
                    </a:xfrm>
                    <a:prstGeom prst="rect">
                      <a:avLst/>
                    </a:prstGeom>
                  </pic:spPr>
                </pic:pic>
              </a:graphicData>
            </a:graphic>
          </wp:inline>
        </w:drawing>
      </w:r>
    </w:p>
    <w:p w14:paraId="1E32AC22" w14:textId="77777777" w:rsidR="00F07400" w:rsidRPr="00AE67E1" w:rsidRDefault="00C430B4"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b/>
          <w:bCs/>
          <w:color w:val="000000"/>
        </w:rPr>
        <w:t>Figure 1</w:t>
      </w:r>
      <w:r w:rsidR="00957F7D" w:rsidRPr="00AE67E1">
        <w:rPr>
          <w:rFonts w:ascii="Book Antiqua" w:eastAsia="Book Antiqua" w:hAnsi="Book Antiqua" w:cs="Book Antiqua"/>
          <w:b/>
          <w:bCs/>
          <w:color w:val="000000"/>
        </w:rPr>
        <w:t xml:space="preserve"> </w:t>
      </w:r>
      <w:r w:rsidRPr="00AE67E1">
        <w:rPr>
          <w:rFonts w:ascii="Book Antiqua" w:eastAsia="Book Antiqua" w:hAnsi="Book Antiqua" w:cs="Book Antiqua"/>
          <w:b/>
          <w:bCs/>
          <w:color w:val="000000"/>
        </w:rPr>
        <w:t xml:space="preserve">Distribution of </w:t>
      </w:r>
      <w:r w:rsidR="00CA18B8" w:rsidRPr="00AE67E1">
        <w:rPr>
          <w:rFonts w:ascii="Book Antiqua" w:eastAsia="Book Antiqua" w:hAnsi="Book Antiqua" w:cs="Book Antiqua"/>
          <w:b/>
          <w:bCs/>
          <w:color w:val="000000"/>
        </w:rPr>
        <w:t>circulating tumor cells</w:t>
      </w:r>
      <w:r w:rsidRPr="00AE67E1">
        <w:rPr>
          <w:rFonts w:ascii="Book Antiqua" w:eastAsia="Book Antiqua" w:hAnsi="Book Antiqua" w:cs="Book Antiqua"/>
          <w:b/>
          <w:bCs/>
          <w:color w:val="000000"/>
        </w:rPr>
        <w:t xml:space="preserve"> in </w:t>
      </w:r>
      <w:r w:rsidR="00416F35" w:rsidRPr="00AE67E1">
        <w:rPr>
          <w:rFonts w:ascii="Book Antiqua" w:eastAsia="Book Antiqua" w:hAnsi="Book Antiqua" w:cs="Book Antiqua"/>
          <w:b/>
          <w:bCs/>
          <w:color w:val="000000"/>
        </w:rPr>
        <w:t>lung cancer</w:t>
      </w:r>
      <w:r w:rsidRPr="00AE67E1">
        <w:rPr>
          <w:rFonts w:ascii="Book Antiqua" w:eastAsia="Book Antiqua" w:hAnsi="Book Antiqua" w:cs="Book Antiqua"/>
          <w:b/>
          <w:bCs/>
          <w:color w:val="000000"/>
        </w:rPr>
        <w:t xml:space="preserve"> patients and controls.</w:t>
      </w:r>
      <w:r w:rsidRPr="00AE67E1">
        <w:rPr>
          <w:rFonts w:ascii="Book Antiqua" w:eastAsia="Book Antiqua" w:hAnsi="Book Antiqua" w:cs="Book Antiqua"/>
          <w:color w:val="000000"/>
        </w:rPr>
        <w:t xml:space="preserve"> A:</w:t>
      </w:r>
      <w:r w:rsidR="00957F7D" w:rsidRPr="00AE67E1">
        <w:rPr>
          <w:rFonts w:ascii="Book Antiqua" w:eastAsia="Book Antiqua" w:hAnsi="Book Antiqua" w:cs="Book Antiqua"/>
          <w:color w:val="000000"/>
        </w:rPr>
        <w:t xml:space="preserve"> </w:t>
      </w:r>
      <w:r w:rsidR="00F07DA4" w:rsidRPr="00AE67E1">
        <w:rPr>
          <w:rFonts w:ascii="Book Antiqua" w:eastAsia="Book Antiqua" w:hAnsi="Book Antiqua" w:cs="Book Antiqua"/>
          <w:color w:val="000000"/>
        </w:rPr>
        <w:t>Circulating tumor cells (CTCs) with epithelial markers</w:t>
      </w:r>
      <w:r w:rsidRPr="00AE67E1">
        <w:rPr>
          <w:rFonts w:ascii="Book Antiqua" w:eastAsia="Book Antiqua" w:hAnsi="Book Antiqua" w:cs="Book Antiqua"/>
          <w:color w:val="000000"/>
        </w:rPr>
        <w:t xml:space="preserve">, </w:t>
      </w:r>
      <w:r w:rsidR="00F07DA4" w:rsidRPr="00AE67E1">
        <w:rPr>
          <w:rFonts w:ascii="Book Antiqua" w:eastAsia="Book Antiqua" w:hAnsi="Book Antiqua" w:cs="Book Antiqua"/>
          <w:color w:val="000000"/>
        </w:rPr>
        <w:t>CTCs with mesenchymal markers</w:t>
      </w:r>
      <w:r w:rsidR="00416F35" w:rsidRPr="00AE67E1">
        <w:rPr>
          <w:rFonts w:ascii="Book Antiqua" w:eastAsia="Book Antiqua" w:hAnsi="Book Antiqua" w:cs="Book Antiqua"/>
          <w:color w:val="000000"/>
        </w:rPr>
        <w:t xml:space="preserve"> (M-CTCs)</w:t>
      </w:r>
      <w:r w:rsidRPr="00AE67E1">
        <w:rPr>
          <w:rFonts w:ascii="Book Antiqua" w:eastAsia="Book Antiqua" w:hAnsi="Book Antiqua" w:cs="Book Antiqua"/>
          <w:color w:val="000000"/>
        </w:rPr>
        <w:t xml:space="preserve">, and </w:t>
      </w:r>
      <w:r w:rsidR="00F07DA4" w:rsidRPr="00AE67E1">
        <w:rPr>
          <w:rFonts w:ascii="Book Antiqua" w:eastAsia="Book Antiqua" w:hAnsi="Book Antiqua" w:cs="Book Antiqua"/>
          <w:color w:val="000000"/>
        </w:rPr>
        <w:t>CTC</w:t>
      </w:r>
      <w:r w:rsidR="00A722C7">
        <w:rPr>
          <w:rFonts w:ascii="Book Antiqua" w:eastAsia="Book Antiqua" w:hAnsi="Book Antiqua" w:cs="Book Antiqua"/>
          <w:color w:val="000000"/>
        </w:rPr>
        <w:t>s</w:t>
      </w:r>
      <w:r w:rsidR="00F07DA4" w:rsidRPr="00AE67E1">
        <w:rPr>
          <w:rFonts w:ascii="Book Antiqua" w:eastAsia="Book Antiqua" w:hAnsi="Book Antiqua" w:cs="Book Antiqua"/>
          <w:color w:val="000000"/>
        </w:rPr>
        <w:t xml:space="preserve"> with both </w:t>
      </w:r>
      <w:r w:rsidRPr="00AE67E1">
        <w:rPr>
          <w:rFonts w:ascii="Book Antiqua" w:eastAsia="Book Antiqua" w:hAnsi="Book Antiqua" w:cs="Book Antiqua"/>
          <w:color w:val="000000"/>
        </w:rPr>
        <w:t>marker</w:t>
      </w:r>
      <w:r w:rsidR="00416F35" w:rsidRPr="00AE67E1">
        <w:rPr>
          <w:rFonts w:ascii="Book Antiqua" w:eastAsia="Book Antiqua" w:hAnsi="Book Antiqua" w:cs="Book Antiqua"/>
          <w:color w:val="000000"/>
        </w:rPr>
        <w:t xml:space="preserve"> (E&amp;M-CTCs)</w:t>
      </w:r>
      <w:r w:rsidR="00957F7D"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can be identified in one CTC; B: Positive rate</w:t>
      </w:r>
      <w:r w:rsidR="00957F7D"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of CTCs in </w:t>
      </w:r>
      <w:r w:rsidR="00416F35" w:rsidRPr="00AE67E1">
        <w:rPr>
          <w:rFonts w:ascii="Book Antiqua" w:eastAsia="Book Antiqua" w:hAnsi="Book Antiqua" w:cs="Book Antiqua"/>
          <w:color w:val="000000"/>
        </w:rPr>
        <w:t>lung cancer</w:t>
      </w:r>
      <w:r w:rsidR="00957F7D"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cases was significantly higher than those</w:t>
      </w:r>
      <w:r w:rsidR="00957F7D"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in benign or healthy controls; C: The number</w:t>
      </w:r>
      <w:r w:rsidR="00A722C7">
        <w:rPr>
          <w:rFonts w:ascii="Book Antiqua" w:eastAsia="Book Antiqua" w:hAnsi="Book Antiqua" w:cs="Book Antiqua"/>
          <w:color w:val="000000"/>
        </w:rPr>
        <w:t>s</w:t>
      </w:r>
      <w:r w:rsidRPr="00AE67E1">
        <w:rPr>
          <w:rFonts w:ascii="Book Antiqua" w:eastAsia="Book Antiqua" w:hAnsi="Book Antiqua" w:cs="Book Antiqua"/>
          <w:color w:val="000000"/>
        </w:rPr>
        <w:t xml:space="preserve"> of CTCs, M-CTCs, </w:t>
      </w:r>
      <w:r w:rsidR="00A722C7">
        <w:rPr>
          <w:rFonts w:ascii="Book Antiqua" w:eastAsia="Book Antiqua" w:hAnsi="Book Antiqua" w:cs="Book Antiqua"/>
          <w:color w:val="000000"/>
        </w:rPr>
        <w:t xml:space="preserve">and </w:t>
      </w:r>
      <w:r w:rsidRPr="00AE67E1">
        <w:rPr>
          <w:rFonts w:ascii="Book Antiqua" w:eastAsia="Book Antiqua" w:hAnsi="Book Antiqua" w:cs="Book Antiqua"/>
          <w:color w:val="000000"/>
        </w:rPr>
        <w:t>E&amp;M-CTCs in lung cancer cases were significantly higher than those in healthy controls</w:t>
      </w:r>
      <w:r w:rsidR="00D50A20"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w:t>
      </w:r>
      <w:r w:rsidRPr="00AE67E1">
        <w:rPr>
          <w:rFonts w:ascii="Book Antiqua" w:eastAsia="Book Antiqua" w:hAnsi="Book Antiqua" w:cs="Book Antiqua"/>
          <w:i/>
          <w:iCs/>
          <w:color w:val="000000"/>
        </w:rPr>
        <w:t>P</w:t>
      </w:r>
      <w:r w:rsidR="00957F7D"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&lt;</w:t>
      </w:r>
      <w:r w:rsidR="00957F7D"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0.05); however, there was no disparity between lung cancer and benign controls; D: The proportions of M-CTCs plus E&amp;M-CTCs increased gradually in healthy controls, benign controls, and lung cancer cases. </w:t>
      </w:r>
      <w:r w:rsidR="00C67E9C" w:rsidRPr="00AE67E1">
        <w:rPr>
          <w:rFonts w:ascii="Book Antiqua" w:eastAsia="Book Antiqua" w:hAnsi="Book Antiqua" w:cs="Book Antiqua"/>
          <w:color w:val="000000"/>
          <w:vertAlign w:val="superscript"/>
        </w:rPr>
        <w:t>a</w:t>
      </w:r>
      <w:r w:rsidR="00C67E9C" w:rsidRPr="00AE67E1">
        <w:rPr>
          <w:rFonts w:ascii="Book Antiqua" w:eastAsia="Book Antiqua" w:hAnsi="Book Antiqua" w:cs="Book Antiqua"/>
          <w:i/>
          <w:iCs/>
          <w:color w:val="000000"/>
        </w:rPr>
        <w:t>P</w:t>
      </w:r>
      <w:r w:rsidR="00C67E9C" w:rsidRPr="00AE67E1">
        <w:rPr>
          <w:rFonts w:ascii="Book Antiqua" w:eastAsia="Book Antiqua" w:hAnsi="Book Antiqua" w:cs="Book Antiqua"/>
          <w:color w:val="000000"/>
        </w:rPr>
        <w:t xml:space="preserve"> &lt; 0.05; </w:t>
      </w:r>
      <w:r w:rsidR="00C67E9C" w:rsidRPr="00AE67E1">
        <w:rPr>
          <w:rFonts w:ascii="Book Antiqua" w:eastAsia="Book Antiqua" w:hAnsi="Book Antiqua" w:cs="Book Antiqua"/>
          <w:color w:val="000000"/>
          <w:vertAlign w:val="superscript"/>
        </w:rPr>
        <w:t>b</w:t>
      </w:r>
      <w:r w:rsidR="00C67E9C" w:rsidRPr="00AE67E1">
        <w:rPr>
          <w:rFonts w:ascii="Book Antiqua" w:eastAsia="Book Antiqua" w:hAnsi="Book Antiqua" w:cs="Book Antiqua"/>
          <w:i/>
          <w:iCs/>
          <w:color w:val="000000"/>
        </w:rPr>
        <w:t>P</w:t>
      </w:r>
      <w:r w:rsidR="00C67E9C" w:rsidRPr="00AE67E1">
        <w:rPr>
          <w:rFonts w:ascii="Book Antiqua" w:eastAsia="Book Antiqua" w:hAnsi="Book Antiqua" w:cs="Book Antiqua"/>
          <w:color w:val="000000"/>
        </w:rPr>
        <w:t xml:space="preserve"> &lt; 0.01; </w:t>
      </w:r>
      <w:r w:rsidR="00C67E9C" w:rsidRPr="00AE67E1">
        <w:rPr>
          <w:rFonts w:ascii="Book Antiqua" w:eastAsia="Book Antiqua" w:hAnsi="Book Antiqua" w:cs="Book Antiqua"/>
          <w:color w:val="000000"/>
          <w:vertAlign w:val="superscript"/>
        </w:rPr>
        <w:t>c</w:t>
      </w:r>
      <w:r w:rsidR="00C67E9C" w:rsidRPr="00AE67E1">
        <w:rPr>
          <w:rFonts w:ascii="Book Antiqua" w:eastAsia="Book Antiqua" w:hAnsi="Book Antiqua" w:cs="Book Antiqua"/>
          <w:i/>
          <w:iCs/>
          <w:color w:val="000000"/>
        </w:rPr>
        <w:t>P</w:t>
      </w:r>
      <w:r w:rsidR="00C67E9C" w:rsidRPr="00AE67E1">
        <w:rPr>
          <w:rFonts w:ascii="Book Antiqua" w:eastAsia="Book Antiqua" w:hAnsi="Book Antiqua" w:cs="Book Antiqua"/>
          <w:color w:val="000000"/>
        </w:rPr>
        <w:t xml:space="preserve"> &lt; 0.001.</w:t>
      </w:r>
      <w:r w:rsidR="00D25DC0" w:rsidRPr="00AE67E1">
        <w:rPr>
          <w:rFonts w:ascii="Book Antiqua" w:eastAsia="Book Antiqua" w:hAnsi="Book Antiqua" w:cs="Book Antiqua"/>
          <w:color w:val="000000"/>
        </w:rPr>
        <w:t xml:space="preserve"> </w:t>
      </w:r>
      <w:r w:rsidR="00D50A20" w:rsidRPr="00AE67E1">
        <w:rPr>
          <w:rFonts w:ascii="Book Antiqua" w:eastAsia="Book Antiqua" w:hAnsi="Book Antiqua" w:cs="Book Antiqua"/>
          <w:color w:val="000000"/>
        </w:rPr>
        <w:t>GGO: Ground-glass opacities.</w:t>
      </w:r>
    </w:p>
    <w:p w14:paraId="1902577D" w14:textId="77777777" w:rsidR="006248AE" w:rsidRPr="00AE67E1" w:rsidRDefault="006248AE" w:rsidP="00AE67E1">
      <w:pPr>
        <w:spacing w:line="360" w:lineRule="auto"/>
        <w:jc w:val="both"/>
        <w:rPr>
          <w:rFonts w:ascii="Book Antiqua" w:eastAsia="Book Antiqua" w:hAnsi="Book Antiqua" w:cs="Book Antiqua"/>
          <w:color w:val="000000"/>
        </w:rPr>
      </w:pPr>
      <w:r w:rsidRPr="00AE67E1">
        <w:rPr>
          <w:rFonts w:ascii="Book Antiqua" w:eastAsia="Book Antiqua" w:hAnsi="Book Antiqua" w:cs="Book Antiqua"/>
          <w:color w:val="000000"/>
        </w:rPr>
        <w:br w:type="page"/>
      </w:r>
      <w:r w:rsidRPr="00AE67E1">
        <w:rPr>
          <w:rFonts w:ascii="Book Antiqua" w:hAnsi="Book Antiqua"/>
          <w:noProof/>
          <w:lang w:eastAsia="zh-CN"/>
        </w:rPr>
        <w:lastRenderedPageBreak/>
        <w:drawing>
          <wp:inline distT="0" distB="0" distL="0" distR="0" wp14:anchorId="61FBE43C" wp14:editId="176FCBA2">
            <wp:extent cx="5943600" cy="25634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2563495"/>
                    </a:xfrm>
                    <a:prstGeom prst="rect">
                      <a:avLst/>
                    </a:prstGeom>
                  </pic:spPr>
                </pic:pic>
              </a:graphicData>
            </a:graphic>
          </wp:inline>
        </w:drawing>
      </w:r>
    </w:p>
    <w:p w14:paraId="09E326A9" w14:textId="77777777" w:rsidR="00F07400" w:rsidRPr="00AE67E1" w:rsidRDefault="00C430B4" w:rsidP="00AE67E1">
      <w:pPr>
        <w:spacing w:line="360" w:lineRule="auto"/>
        <w:jc w:val="both"/>
        <w:rPr>
          <w:rFonts w:ascii="Book Antiqua" w:eastAsia="Book Antiqua" w:hAnsi="Book Antiqua" w:cs="Book Antiqua"/>
          <w:color w:val="000000"/>
        </w:rPr>
      </w:pPr>
      <w:bookmarkStart w:id="86" w:name="OLE_LINK376"/>
      <w:bookmarkStart w:id="87" w:name="OLE_LINK377"/>
      <w:r w:rsidRPr="00AE67E1">
        <w:rPr>
          <w:rFonts w:ascii="Book Antiqua" w:eastAsia="Book Antiqua" w:hAnsi="Book Antiqua" w:cs="Book Antiqua"/>
          <w:b/>
          <w:bCs/>
          <w:color w:val="000000"/>
        </w:rPr>
        <w:t>Figure 2</w:t>
      </w:r>
      <w:r w:rsidR="004D1D4B" w:rsidRPr="00AE67E1">
        <w:rPr>
          <w:rFonts w:ascii="Book Antiqua" w:eastAsia="Book Antiqua" w:hAnsi="Book Antiqua" w:cs="Book Antiqua"/>
          <w:color w:val="000000"/>
        </w:rPr>
        <w:t xml:space="preserve"> </w:t>
      </w:r>
      <w:r w:rsidR="004D1D4B" w:rsidRPr="00AE67E1">
        <w:rPr>
          <w:rFonts w:ascii="Book Antiqua" w:eastAsia="Book Antiqua" w:hAnsi="Book Antiqua" w:cs="Book Antiqua"/>
          <w:b/>
          <w:bCs/>
          <w:color w:val="000000"/>
        </w:rPr>
        <w:t>Receiver operating characteristic</w:t>
      </w:r>
      <w:r w:rsidRPr="00AE67E1">
        <w:rPr>
          <w:rFonts w:ascii="Book Antiqua" w:eastAsia="Book Antiqua" w:hAnsi="Book Antiqua" w:cs="Book Antiqua"/>
          <w:b/>
          <w:bCs/>
          <w:color w:val="000000"/>
        </w:rPr>
        <w:t xml:space="preserve"> curve of all </w:t>
      </w:r>
      <w:r w:rsidR="004D1D4B" w:rsidRPr="00AE67E1">
        <w:rPr>
          <w:rFonts w:ascii="Book Antiqua" w:eastAsia="Book Antiqua" w:hAnsi="Book Antiqua" w:cs="Book Antiqua"/>
          <w:b/>
          <w:bCs/>
          <w:color w:val="000000"/>
        </w:rPr>
        <w:t>lung cancer</w:t>
      </w:r>
      <w:r w:rsidRPr="00AE67E1">
        <w:rPr>
          <w:rFonts w:ascii="Book Antiqua" w:eastAsia="Book Antiqua" w:hAnsi="Book Antiqua" w:cs="Book Antiqua"/>
          <w:b/>
          <w:bCs/>
          <w:color w:val="000000"/>
        </w:rPr>
        <w:t xml:space="preserve"> patients and </w:t>
      </w:r>
      <w:r w:rsidR="004D1D4B" w:rsidRPr="00AE67E1">
        <w:rPr>
          <w:rFonts w:ascii="Book Antiqua" w:eastAsia="Book Antiqua" w:hAnsi="Book Antiqua" w:cs="Book Antiqua"/>
          <w:b/>
          <w:bCs/>
          <w:color w:val="000000"/>
        </w:rPr>
        <w:t>ground-glass opacities</w:t>
      </w:r>
      <w:r w:rsidRPr="00AE67E1">
        <w:rPr>
          <w:rFonts w:ascii="Book Antiqua" w:eastAsia="Book Antiqua" w:hAnsi="Book Antiqua" w:cs="Book Antiqua"/>
          <w:b/>
          <w:bCs/>
          <w:color w:val="000000"/>
        </w:rPr>
        <w:t xml:space="preserve"> patients.</w:t>
      </w:r>
      <w:r w:rsidR="004D1D4B" w:rsidRPr="00AE67E1">
        <w:rPr>
          <w:rFonts w:ascii="Book Antiqua" w:eastAsia="Book Antiqua" w:hAnsi="Book Antiqua" w:cs="Book Antiqua"/>
          <w:b/>
          <w:bCs/>
          <w:color w:val="000000"/>
        </w:rPr>
        <w:t xml:space="preserve"> </w:t>
      </w:r>
      <w:r w:rsidRPr="00AE67E1">
        <w:rPr>
          <w:rFonts w:ascii="Book Antiqua" w:eastAsia="Book Antiqua" w:hAnsi="Book Antiqua" w:cs="Book Antiqua"/>
          <w:color w:val="000000"/>
        </w:rPr>
        <w:t>A</w:t>
      </w:r>
      <w:r w:rsidR="004D1D4B" w:rsidRPr="00AE67E1">
        <w:rPr>
          <w:rFonts w:ascii="Book Antiqua" w:eastAsia="Book Antiqua" w:hAnsi="Book Antiqua" w:cs="Book Antiqua"/>
          <w:color w:val="000000"/>
        </w:rPr>
        <w:t>:</w:t>
      </w:r>
      <w:r w:rsidRPr="00AE67E1">
        <w:rPr>
          <w:rFonts w:ascii="Book Antiqua" w:eastAsia="Book Antiqua" w:hAnsi="Book Antiqua" w:cs="Book Antiqua"/>
          <w:color w:val="000000"/>
        </w:rPr>
        <w:t xml:space="preserve"> </w:t>
      </w:r>
      <w:r w:rsidR="00A95ADA" w:rsidRPr="00AE67E1">
        <w:rPr>
          <w:rFonts w:ascii="Book Antiqua" w:eastAsia="Book Antiqua" w:hAnsi="Book Antiqua" w:cs="Book Antiqua"/>
          <w:color w:val="000000"/>
        </w:rPr>
        <w:t>Area under the receiver operating characteristic curve (</w:t>
      </w:r>
      <w:r w:rsidRPr="00AE67E1">
        <w:rPr>
          <w:rFonts w:ascii="Book Antiqua" w:eastAsia="Book Antiqua" w:hAnsi="Book Antiqua" w:cs="Book Antiqua"/>
          <w:color w:val="000000"/>
        </w:rPr>
        <w:t>AUC</w:t>
      </w:r>
      <w:r w:rsidR="00A95ADA" w:rsidRPr="00AE67E1">
        <w:rPr>
          <w:rFonts w:ascii="Book Antiqua" w:eastAsia="Book Antiqua" w:hAnsi="Book Antiqua" w:cs="Book Antiqua"/>
          <w:color w:val="000000"/>
        </w:rPr>
        <w:t>)</w:t>
      </w:r>
      <w:r w:rsidR="004D1D4B"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of total </w:t>
      </w:r>
      <w:r w:rsidR="00BD55F1" w:rsidRPr="00AE67E1">
        <w:rPr>
          <w:rFonts w:ascii="Book Antiqua" w:eastAsia="Book Antiqua" w:hAnsi="Book Antiqua" w:cs="Book Antiqua"/>
          <w:color w:val="000000"/>
        </w:rPr>
        <w:t>c</w:t>
      </w:r>
      <w:r w:rsidR="00180694" w:rsidRPr="00AE67E1">
        <w:rPr>
          <w:rFonts w:ascii="Book Antiqua" w:eastAsia="Book Antiqua" w:hAnsi="Book Antiqua" w:cs="Book Antiqua"/>
          <w:color w:val="000000"/>
        </w:rPr>
        <w:t>irculating tumor cells (</w:t>
      </w:r>
      <w:r w:rsidRPr="00AE67E1">
        <w:rPr>
          <w:rFonts w:ascii="Book Antiqua" w:eastAsia="Book Antiqua" w:hAnsi="Book Antiqua" w:cs="Book Antiqua"/>
          <w:color w:val="000000"/>
        </w:rPr>
        <w:t>CTCs</w:t>
      </w:r>
      <w:r w:rsidR="00180694" w:rsidRPr="00AE67E1">
        <w:rPr>
          <w:rFonts w:ascii="Book Antiqua" w:eastAsia="Book Antiqua" w:hAnsi="Book Antiqua" w:cs="Book Antiqua"/>
          <w:color w:val="000000"/>
        </w:rPr>
        <w:t>)</w:t>
      </w:r>
      <w:r w:rsidRPr="00AE67E1">
        <w:rPr>
          <w:rFonts w:ascii="Book Antiqua" w:eastAsia="Book Antiqua" w:hAnsi="Book Antiqua" w:cs="Book Antiqua"/>
          <w:color w:val="000000"/>
        </w:rPr>
        <w:t xml:space="preserve"> and </w:t>
      </w:r>
      <w:r w:rsidR="00F24ABC" w:rsidRPr="00AE67E1">
        <w:rPr>
          <w:rFonts w:ascii="Book Antiqua" w:eastAsia="Book Antiqua" w:hAnsi="Book Antiqua" w:cs="Book Antiqua"/>
          <w:color w:val="000000"/>
        </w:rPr>
        <w:t>CTCs with both markers (</w:t>
      </w:r>
      <w:r w:rsidRPr="00AE67E1">
        <w:rPr>
          <w:rFonts w:ascii="Book Antiqua" w:eastAsia="Book Antiqua" w:hAnsi="Book Antiqua" w:cs="Book Antiqua"/>
          <w:color w:val="000000"/>
        </w:rPr>
        <w:t>E&amp;M-CTCs</w:t>
      </w:r>
      <w:r w:rsidR="00F24ABC" w:rsidRPr="00AE67E1">
        <w:rPr>
          <w:rFonts w:ascii="Book Antiqua" w:eastAsia="Book Antiqua" w:hAnsi="Book Antiqua" w:cs="Book Antiqua"/>
          <w:color w:val="000000"/>
        </w:rPr>
        <w:t>)</w:t>
      </w:r>
      <w:r w:rsidRPr="00AE67E1">
        <w:rPr>
          <w:rFonts w:ascii="Book Antiqua" w:eastAsia="Book Antiqua" w:hAnsi="Book Antiqua" w:cs="Book Antiqua"/>
          <w:color w:val="000000"/>
        </w:rPr>
        <w:t xml:space="preserve"> for </w:t>
      </w:r>
      <w:r w:rsidR="004D1D4B" w:rsidRPr="00AE67E1">
        <w:rPr>
          <w:rFonts w:ascii="Book Antiqua" w:eastAsia="Book Antiqua" w:hAnsi="Book Antiqua" w:cs="Book Antiqua"/>
          <w:color w:val="000000"/>
        </w:rPr>
        <w:t>lung cancer</w:t>
      </w:r>
      <w:r w:rsidRPr="00AE67E1">
        <w:rPr>
          <w:rFonts w:ascii="Book Antiqua" w:eastAsia="Book Antiqua" w:hAnsi="Book Antiqua" w:cs="Book Antiqua"/>
          <w:color w:val="000000"/>
        </w:rPr>
        <w:t xml:space="preserve"> diagnosis were 0.828</w:t>
      </w:r>
      <w:r w:rsidR="004D1D4B"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and 0.7648, respectively</w:t>
      </w:r>
      <w:r w:rsidR="004D1D4B"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B</w:t>
      </w:r>
      <w:r w:rsidR="004D1D4B" w:rsidRPr="00AE67E1">
        <w:rPr>
          <w:rFonts w:ascii="Book Antiqua" w:eastAsia="Book Antiqua" w:hAnsi="Book Antiqua" w:cs="Book Antiqua"/>
          <w:color w:val="000000"/>
        </w:rPr>
        <w:t>:</w:t>
      </w:r>
      <w:r w:rsidRPr="00AE67E1">
        <w:rPr>
          <w:rFonts w:ascii="Book Antiqua" w:eastAsia="Book Antiqua" w:hAnsi="Book Antiqua" w:cs="Book Antiqua"/>
          <w:color w:val="000000"/>
        </w:rPr>
        <w:t xml:space="preserve"> AUCs</w:t>
      </w:r>
      <w:r w:rsidR="004D1D4B"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 xml:space="preserve">of total CTCs and E&amp;M-CTCs for </w:t>
      </w:r>
      <w:r w:rsidR="00E7105B" w:rsidRPr="00AE67E1">
        <w:rPr>
          <w:rFonts w:ascii="Book Antiqua" w:eastAsia="Book Antiqua" w:hAnsi="Book Antiqua" w:cs="Book Antiqua"/>
          <w:color w:val="000000"/>
        </w:rPr>
        <w:t>ground-glass opacit</w:t>
      </w:r>
      <w:r w:rsidR="00A722C7">
        <w:rPr>
          <w:rFonts w:ascii="Book Antiqua" w:eastAsia="Book Antiqua" w:hAnsi="Book Antiqua" w:cs="Book Antiqua"/>
          <w:color w:val="000000"/>
        </w:rPr>
        <w:t>y (GGO)</w:t>
      </w:r>
      <w:r w:rsidRPr="00AE67E1">
        <w:rPr>
          <w:rFonts w:ascii="Book Antiqua" w:eastAsia="Book Antiqua" w:hAnsi="Book Antiqua" w:cs="Book Antiqua"/>
          <w:color w:val="000000"/>
        </w:rPr>
        <w:t xml:space="preserve"> diagnosis were 0.7963</w:t>
      </w:r>
      <w:r w:rsidR="004D1D4B" w:rsidRPr="00AE67E1">
        <w:rPr>
          <w:rFonts w:ascii="Book Antiqua" w:eastAsia="Book Antiqua" w:hAnsi="Book Antiqua" w:cs="Book Antiqua"/>
          <w:color w:val="000000"/>
        </w:rPr>
        <w:t xml:space="preserve"> </w:t>
      </w:r>
      <w:r w:rsidRPr="00AE67E1">
        <w:rPr>
          <w:rFonts w:ascii="Book Antiqua" w:eastAsia="Book Antiqua" w:hAnsi="Book Antiqua" w:cs="Book Antiqua"/>
          <w:color w:val="000000"/>
        </w:rPr>
        <w:t>and 0.7504, respectively.</w:t>
      </w:r>
      <w:r w:rsidR="004D1D4B" w:rsidRPr="00AE67E1">
        <w:rPr>
          <w:rFonts w:ascii="Book Antiqua" w:eastAsia="Book Antiqua" w:hAnsi="Book Antiqua" w:cs="Book Antiqua"/>
          <w:color w:val="000000"/>
        </w:rPr>
        <w:t xml:space="preserve"> </w:t>
      </w:r>
    </w:p>
    <w:bookmarkEnd w:id="86"/>
    <w:bookmarkEnd w:id="87"/>
    <w:p w14:paraId="6A4EE979" w14:textId="77777777" w:rsidR="00F07400" w:rsidRPr="00AE67E1" w:rsidRDefault="00293E0F" w:rsidP="00AE67E1">
      <w:pPr>
        <w:spacing w:line="360" w:lineRule="auto"/>
        <w:jc w:val="both"/>
        <w:rPr>
          <w:rFonts w:ascii="Book Antiqua" w:hAnsi="Book Antiqua"/>
          <w:b/>
        </w:rPr>
      </w:pPr>
      <w:r w:rsidRPr="00AE67E1">
        <w:rPr>
          <w:rFonts w:ascii="Book Antiqua" w:hAnsi="Book Antiqua"/>
          <w:b/>
        </w:rPr>
        <w:br w:type="page"/>
      </w:r>
      <w:r w:rsidR="00C430B4" w:rsidRPr="00AE67E1">
        <w:rPr>
          <w:rFonts w:ascii="Book Antiqua" w:hAnsi="Book Antiqua"/>
          <w:b/>
        </w:rPr>
        <w:lastRenderedPageBreak/>
        <w:t>Table 1 Demographic and clinical data of cases and controls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1389"/>
        <w:gridCol w:w="1370"/>
        <w:gridCol w:w="2113"/>
        <w:gridCol w:w="1196"/>
        <w:gridCol w:w="1305"/>
      </w:tblGrid>
      <w:tr w:rsidR="00F07400" w:rsidRPr="00AE67E1" w14:paraId="0225477C" w14:textId="77777777" w:rsidTr="007E31BA">
        <w:trPr>
          <w:jc w:val="center"/>
        </w:trPr>
        <w:tc>
          <w:tcPr>
            <w:tcW w:w="1061" w:type="pct"/>
            <w:tcBorders>
              <w:top w:val="single" w:sz="4" w:space="0" w:color="auto"/>
              <w:bottom w:val="single" w:sz="4" w:space="0" w:color="auto"/>
            </w:tcBorders>
          </w:tcPr>
          <w:p w14:paraId="705FBD1E"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 xml:space="preserve">Subjects </w:t>
            </w:r>
          </w:p>
        </w:tc>
        <w:tc>
          <w:tcPr>
            <w:tcW w:w="742" w:type="pct"/>
            <w:tcBorders>
              <w:top w:val="single" w:sz="4" w:space="0" w:color="auto"/>
              <w:bottom w:val="single" w:sz="4" w:space="0" w:color="auto"/>
            </w:tcBorders>
          </w:tcPr>
          <w:p w14:paraId="23E712E6"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Gender</w:t>
            </w:r>
            <w:r w:rsidR="000761EB" w:rsidRPr="00AE67E1">
              <w:rPr>
                <w:rFonts w:ascii="Book Antiqua" w:hAnsi="Book Antiqua"/>
                <w:b/>
                <w:bCs/>
              </w:rPr>
              <w:t xml:space="preserve"> </w:t>
            </w:r>
            <w:r w:rsidRPr="00AE67E1">
              <w:rPr>
                <w:rFonts w:ascii="Book Antiqua" w:hAnsi="Book Antiqua"/>
                <w:b/>
                <w:bCs/>
              </w:rPr>
              <w:t>(</w:t>
            </w:r>
            <w:r w:rsidRPr="00AE67E1">
              <w:rPr>
                <w:rFonts w:ascii="Book Antiqua" w:hAnsi="Book Antiqua"/>
                <w:b/>
                <w:bCs/>
                <w:i/>
                <w:iCs/>
              </w:rPr>
              <w:t>n</w:t>
            </w:r>
            <w:r w:rsidRPr="00AE67E1">
              <w:rPr>
                <w:rFonts w:ascii="Book Antiqua" w:hAnsi="Book Antiqua"/>
                <w:b/>
                <w:bCs/>
              </w:rPr>
              <w:t>)</w:t>
            </w:r>
          </w:p>
        </w:tc>
        <w:tc>
          <w:tcPr>
            <w:tcW w:w="732" w:type="pct"/>
            <w:tcBorders>
              <w:top w:val="single" w:sz="4" w:space="0" w:color="auto"/>
              <w:bottom w:val="single" w:sz="4" w:space="0" w:color="auto"/>
            </w:tcBorders>
          </w:tcPr>
          <w:p w14:paraId="72CCC3B7"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 xml:space="preserve">Mean age </w:t>
            </w:r>
            <w:r w:rsidR="00AE4461">
              <w:rPr>
                <w:rFonts w:ascii="Book Antiqua" w:hAnsi="Book Antiqua"/>
                <w:b/>
                <w:bCs/>
              </w:rPr>
              <w:t xml:space="preserve">in </w:t>
            </w:r>
            <w:r w:rsidRPr="00AE67E1">
              <w:rPr>
                <w:rFonts w:ascii="Book Antiqua" w:hAnsi="Book Antiqua"/>
                <w:b/>
                <w:bCs/>
              </w:rPr>
              <w:t>yr</w:t>
            </w:r>
          </w:p>
        </w:tc>
        <w:tc>
          <w:tcPr>
            <w:tcW w:w="1129" w:type="pct"/>
            <w:tcBorders>
              <w:top w:val="single" w:sz="4" w:space="0" w:color="auto"/>
              <w:bottom w:val="single" w:sz="4" w:space="0" w:color="auto"/>
            </w:tcBorders>
          </w:tcPr>
          <w:p w14:paraId="347D2C3B"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 xml:space="preserve">Pathologic </w:t>
            </w:r>
            <w:r w:rsidR="00AE4461">
              <w:rPr>
                <w:rFonts w:ascii="Book Antiqua" w:hAnsi="Book Antiqua"/>
                <w:b/>
                <w:bCs/>
              </w:rPr>
              <w:t>f</w:t>
            </w:r>
            <w:r w:rsidRPr="00AE67E1">
              <w:rPr>
                <w:rFonts w:ascii="Book Antiqua" w:hAnsi="Book Antiqua"/>
                <w:b/>
                <w:bCs/>
              </w:rPr>
              <w:t>eatures (</w:t>
            </w:r>
            <w:r w:rsidRPr="00AE67E1">
              <w:rPr>
                <w:rFonts w:ascii="Book Antiqua" w:hAnsi="Book Antiqua"/>
                <w:b/>
                <w:bCs/>
                <w:i/>
                <w:iCs/>
              </w:rPr>
              <w:t>n</w:t>
            </w:r>
            <w:r w:rsidRPr="00AE67E1">
              <w:rPr>
                <w:rFonts w:ascii="Book Antiqua" w:hAnsi="Book Antiqua"/>
                <w:b/>
                <w:bCs/>
              </w:rPr>
              <w:t>)</w:t>
            </w:r>
          </w:p>
        </w:tc>
        <w:tc>
          <w:tcPr>
            <w:tcW w:w="639" w:type="pct"/>
            <w:tcBorders>
              <w:top w:val="single" w:sz="4" w:space="0" w:color="auto"/>
              <w:bottom w:val="single" w:sz="4" w:space="0" w:color="auto"/>
            </w:tcBorders>
          </w:tcPr>
          <w:p w14:paraId="4116AAE0"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Stage</w:t>
            </w:r>
            <w:r w:rsidR="000761EB" w:rsidRPr="00AE67E1">
              <w:rPr>
                <w:rFonts w:ascii="Book Antiqua" w:hAnsi="Book Antiqua"/>
                <w:b/>
                <w:bCs/>
              </w:rPr>
              <w:t xml:space="preserve"> </w:t>
            </w:r>
            <w:r w:rsidRPr="00AE67E1">
              <w:rPr>
                <w:rFonts w:ascii="Book Antiqua" w:hAnsi="Book Antiqua"/>
                <w:b/>
                <w:bCs/>
              </w:rPr>
              <w:t>(</w:t>
            </w:r>
            <w:r w:rsidRPr="00AE67E1">
              <w:rPr>
                <w:rFonts w:ascii="Book Antiqua" w:hAnsi="Book Antiqua"/>
                <w:b/>
                <w:bCs/>
                <w:i/>
                <w:iCs/>
              </w:rPr>
              <w:t>n</w:t>
            </w:r>
            <w:r w:rsidRPr="00AE67E1">
              <w:rPr>
                <w:rFonts w:ascii="Book Antiqua" w:hAnsi="Book Antiqua"/>
                <w:b/>
                <w:bCs/>
              </w:rPr>
              <w:t xml:space="preserve">) </w:t>
            </w:r>
          </w:p>
        </w:tc>
        <w:tc>
          <w:tcPr>
            <w:tcW w:w="697" w:type="pct"/>
            <w:tcBorders>
              <w:top w:val="single" w:sz="4" w:space="0" w:color="auto"/>
              <w:bottom w:val="single" w:sz="4" w:space="0" w:color="auto"/>
            </w:tcBorders>
          </w:tcPr>
          <w:p w14:paraId="1DA62C3E"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Size</w:t>
            </w:r>
            <w:r w:rsidR="000761EB" w:rsidRPr="00AE67E1">
              <w:rPr>
                <w:rFonts w:ascii="Book Antiqua" w:hAnsi="Book Antiqua"/>
                <w:b/>
                <w:bCs/>
              </w:rPr>
              <w:t xml:space="preserve"> </w:t>
            </w:r>
            <w:r w:rsidR="00AE4461">
              <w:rPr>
                <w:rFonts w:ascii="Book Antiqua" w:hAnsi="Book Antiqua"/>
                <w:b/>
                <w:bCs/>
              </w:rPr>
              <w:t xml:space="preserve">in </w:t>
            </w:r>
            <w:r w:rsidRPr="00AE67E1">
              <w:rPr>
                <w:rFonts w:ascii="Book Antiqua" w:hAnsi="Book Antiqua"/>
                <w:b/>
                <w:bCs/>
              </w:rPr>
              <w:t>cm</w:t>
            </w:r>
          </w:p>
          <w:p w14:paraId="0AFC0A56" w14:textId="77777777" w:rsidR="00F07400" w:rsidRPr="00AE67E1" w:rsidRDefault="00F07400" w:rsidP="00AE67E1">
            <w:pPr>
              <w:spacing w:after="0" w:line="360" w:lineRule="auto"/>
              <w:jc w:val="both"/>
              <w:rPr>
                <w:rFonts w:ascii="Book Antiqua" w:hAnsi="Book Antiqua"/>
                <w:b/>
                <w:bCs/>
              </w:rPr>
            </w:pPr>
          </w:p>
        </w:tc>
      </w:tr>
      <w:tr w:rsidR="00F07400" w:rsidRPr="00AE67E1" w14:paraId="1411CC01" w14:textId="77777777" w:rsidTr="007E31BA">
        <w:trPr>
          <w:trHeight w:val="834"/>
          <w:jc w:val="center"/>
        </w:trPr>
        <w:tc>
          <w:tcPr>
            <w:tcW w:w="1061" w:type="pct"/>
            <w:vMerge w:val="restart"/>
            <w:tcBorders>
              <w:top w:val="single" w:sz="4" w:space="0" w:color="auto"/>
            </w:tcBorders>
          </w:tcPr>
          <w:p w14:paraId="6B34030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Lung cancer patients</w:t>
            </w:r>
            <w:r w:rsidR="000761EB" w:rsidRPr="00AE67E1">
              <w:rPr>
                <w:rFonts w:ascii="Book Antiqua" w:eastAsiaTheme="minorEastAsia" w:hAnsi="Book Antiqua"/>
                <w:lang w:eastAsia="zh-CN"/>
              </w:rPr>
              <w:t xml:space="preserve"> </w:t>
            </w:r>
            <w:r w:rsidRPr="00AE67E1">
              <w:rPr>
                <w:rFonts w:ascii="Book Antiqua" w:hAnsi="Book Antiqua"/>
              </w:rPr>
              <w:t>(</w:t>
            </w:r>
            <w:r w:rsidRPr="00AE67E1">
              <w:rPr>
                <w:rFonts w:ascii="Book Antiqua" w:hAnsi="Book Antiqua"/>
                <w:i/>
                <w:iCs/>
              </w:rPr>
              <w:t>n</w:t>
            </w:r>
            <w:r w:rsidR="000761EB" w:rsidRPr="00AE67E1">
              <w:rPr>
                <w:rFonts w:ascii="Book Antiqua" w:hAnsi="Book Antiqua"/>
              </w:rPr>
              <w:t xml:space="preserve"> </w:t>
            </w:r>
            <w:r w:rsidRPr="00AE67E1">
              <w:rPr>
                <w:rFonts w:ascii="Book Antiqua" w:hAnsi="Book Antiqua"/>
              </w:rPr>
              <w:t>=</w:t>
            </w:r>
            <w:r w:rsidR="000761EB" w:rsidRPr="00AE67E1">
              <w:rPr>
                <w:rFonts w:ascii="Book Antiqua" w:hAnsi="Book Antiqua"/>
              </w:rPr>
              <w:t xml:space="preserve"> </w:t>
            </w:r>
            <w:r w:rsidRPr="00AE67E1">
              <w:rPr>
                <w:rFonts w:ascii="Book Antiqua" w:hAnsi="Book Antiqua"/>
              </w:rPr>
              <w:t xml:space="preserve">106) </w:t>
            </w:r>
          </w:p>
        </w:tc>
        <w:tc>
          <w:tcPr>
            <w:tcW w:w="742" w:type="pct"/>
            <w:vMerge w:val="restart"/>
            <w:tcBorders>
              <w:top w:val="single" w:sz="4" w:space="0" w:color="auto"/>
            </w:tcBorders>
          </w:tcPr>
          <w:p w14:paraId="456569CE"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Male (47)</w:t>
            </w:r>
            <w:r w:rsidR="005C4885">
              <w:rPr>
                <w:rFonts w:ascii="Book Antiqua" w:hAnsi="Book Antiqua"/>
              </w:rPr>
              <w:t>,</w:t>
            </w:r>
            <w:r w:rsidR="000761EB" w:rsidRPr="00AE67E1">
              <w:rPr>
                <w:rFonts w:ascii="Book Antiqua" w:hAnsi="Book Antiqua"/>
              </w:rPr>
              <w:t xml:space="preserve"> </w:t>
            </w:r>
            <w:r w:rsidRPr="00AE67E1">
              <w:rPr>
                <w:rFonts w:ascii="Book Antiqua" w:hAnsi="Book Antiqua"/>
              </w:rPr>
              <w:t>Female (59)</w:t>
            </w:r>
          </w:p>
        </w:tc>
        <w:tc>
          <w:tcPr>
            <w:tcW w:w="732" w:type="pct"/>
            <w:vMerge w:val="restart"/>
            <w:tcBorders>
              <w:top w:val="single" w:sz="4" w:space="0" w:color="auto"/>
            </w:tcBorders>
          </w:tcPr>
          <w:p w14:paraId="5E98E637"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59</w:t>
            </w:r>
          </w:p>
        </w:tc>
        <w:tc>
          <w:tcPr>
            <w:tcW w:w="1129" w:type="pct"/>
            <w:vMerge w:val="restart"/>
            <w:tcBorders>
              <w:top w:val="single" w:sz="4" w:space="0" w:color="auto"/>
            </w:tcBorders>
          </w:tcPr>
          <w:p w14:paraId="2AC4B8C7"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AAH (1)</w:t>
            </w:r>
          </w:p>
        </w:tc>
        <w:tc>
          <w:tcPr>
            <w:tcW w:w="639" w:type="pct"/>
            <w:vMerge w:val="restart"/>
            <w:tcBorders>
              <w:top w:val="single" w:sz="4" w:space="0" w:color="auto"/>
            </w:tcBorders>
          </w:tcPr>
          <w:p w14:paraId="57F17A3E" w14:textId="77777777" w:rsidR="00F07400" w:rsidRPr="00AE67E1" w:rsidRDefault="00C430B4" w:rsidP="00AE67E1">
            <w:pPr>
              <w:spacing w:after="0" w:line="360" w:lineRule="auto"/>
              <w:jc w:val="both"/>
              <w:rPr>
                <w:rFonts w:ascii="Book Antiqua" w:hAnsi="Book Antiqua"/>
              </w:rPr>
            </w:pPr>
            <w:r w:rsidRPr="00AE67E1">
              <w:rPr>
                <w:rFonts w:ascii="SimSun" w:eastAsia="SimSun" w:hAnsi="SimSun" w:cs="SimSun" w:hint="eastAsia"/>
              </w:rPr>
              <w:t>Ⅰ</w:t>
            </w:r>
            <w:r w:rsidRPr="00AE67E1">
              <w:rPr>
                <w:rFonts w:ascii="Book Antiqua" w:hAnsi="Book Antiqua"/>
              </w:rPr>
              <w:t>a</w:t>
            </w:r>
            <w:r w:rsidR="0013158C" w:rsidRPr="00AE67E1">
              <w:rPr>
                <w:rFonts w:ascii="Book Antiqua" w:hAnsi="Book Antiqua"/>
              </w:rPr>
              <w:t xml:space="preserve"> </w:t>
            </w:r>
            <w:r w:rsidRPr="00AE67E1">
              <w:rPr>
                <w:rFonts w:ascii="Book Antiqua" w:hAnsi="Book Antiqua"/>
              </w:rPr>
              <w:t>(84)</w:t>
            </w:r>
          </w:p>
        </w:tc>
        <w:tc>
          <w:tcPr>
            <w:tcW w:w="697" w:type="pct"/>
            <w:vMerge w:val="restart"/>
            <w:tcBorders>
              <w:top w:val="single" w:sz="4" w:space="0" w:color="auto"/>
            </w:tcBorders>
          </w:tcPr>
          <w:p w14:paraId="65EB6F18"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2.03</w:t>
            </w:r>
            <w:r w:rsidR="000761EB" w:rsidRPr="00AE67E1">
              <w:rPr>
                <w:rFonts w:ascii="Book Antiqua" w:hAnsi="Book Antiqua"/>
              </w:rPr>
              <w:t xml:space="preserve"> </w:t>
            </w:r>
            <w:r w:rsidRPr="00AE67E1">
              <w:rPr>
                <w:rFonts w:ascii="Book Antiqua" w:hAnsi="Book Antiqua"/>
              </w:rPr>
              <w:t>±</w:t>
            </w:r>
            <w:r w:rsidR="000761EB" w:rsidRPr="00AE67E1">
              <w:rPr>
                <w:rFonts w:ascii="Book Antiqua" w:hAnsi="Book Antiqua"/>
              </w:rPr>
              <w:t xml:space="preserve"> </w:t>
            </w:r>
            <w:r w:rsidRPr="00AE67E1">
              <w:rPr>
                <w:rFonts w:ascii="Book Antiqua" w:hAnsi="Book Antiqua"/>
              </w:rPr>
              <w:t>1.06</w:t>
            </w:r>
          </w:p>
        </w:tc>
      </w:tr>
      <w:tr w:rsidR="00F07400" w:rsidRPr="00AE67E1" w14:paraId="67B93AED" w14:textId="77777777" w:rsidTr="007E31BA">
        <w:trPr>
          <w:trHeight w:val="628"/>
          <w:jc w:val="center"/>
        </w:trPr>
        <w:tc>
          <w:tcPr>
            <w:tcW w:w="1061" w:type="pct"/>
            <w:vMerge/>
          </w:tcPr>
          <w:p w14:paraId="09CC0581" w14:textId="77777777" w:rsidR="00F07400" w:rsidRPr="00AE67E1" w:rsidRDefault="00F07400" w:rsidP="00AE67E1">
            <w:pPr>
              <w:spacing w:after="0" w:line="360" w:lineRule="auto"/>
              <w:jc w:val="both"/>
              <w:rPr>
                <w:rFonts w:ascii="Book Antiqua" w:hAnsi="Book Antiqua"/>
              </w:rPr>
            </w:pPr>
          </w:p>
        </w:tc>
        <w:tc>
          <w:tcPr>
            <w:tcW w:w="742" w:type="pct"/>
            <w:vMerge/>
          </w:tcPr>
          <w:p w14:paraId="72FBCFBF" w14:textId="77777777" w:rsidR="00F07400" w:rsidRPr="00AE67E1" w:rsidRDefault="00F07400" w:rsidP="00AE67E1">
            <w:pPr>
              <w:spacing w:after="0" w:line="360" w:lineRule="auto"/>
              <w:jc w:val="both"/>
              <w:rPr>
                <w:rFonts w:ascii="Book Antiqua" w:hAnsi="Book Antiqua"/>
              </w:rPr>
            </w:pPr>
          </w:p>
        </w:tc>
        <w:tc>
          <w:tcPr>
            <w:tcW w:w="732" w:type="pct"/>
            <w:vMerge/>
          </w:tcPr>
          <w:p w14:paraId="415DC0D5" w14:textId="77777777" w:rsidR="00F07400" w:rsidRPr="00AE67E1" w:rsidRDefault="00F07400" w:rsidP="00AE67E1">
            <w:pPr>
              <w:spacing w:after="0" w:line="360" w:lineRule="auto"/>
              <w:jc w:val="both"/>
              <w:rPr>
                <w:rFonts w:ascii="Book Antiqua" w:hAnsi="Book Antiqua"/>
              </w:rPr>
            </w:pPr>
          </w:p>
        </w:tc>
        <w:tc>
          <w:tcPr>
            <w:tcW w:w="1129" w:type="pct"/>
            <w:vMerge/>
          </w:tcPr>
          <w:p w14:paraId="44BB7B54" w14:textId="77777777" w:rsidR="00F07400" w:rsidRPr="00AE67E1" w:rsidRDefault="00F07400" w:rsidP="00AE67E1">
            <w:pPr>
              <w:spacing w:after="0" w:line="360" w:lineRule="auto"/>
              <w:jc w:val="both"/>
              <w:rPr>
                <w:rFonts w:ascii="Book Antiqua" w:hAnsi="Book Antiqua"/>
              </w:rPr>
            </w:pPr>
          </w:p>
        </w:tc>
        <w:tc>
          <w:tcPr>
            <w:tcW w:w="639" w:type="pct"/>
            <w:vMerge/>
          </w:tcPr>
          <w:p w14:paraId="67771816" w14:textId="77777777" w:rsidR="00F07400" w:rsidRPr="00AE67E1" w:rsidRDefault="00F07400" w:rsidP="00AE67E1">
            <w:pPr>
              <w:spacing w:after="0" w:line="360" w:lineRule="auto"/>
              <w:jc w:val="both"/>
              <w:rPr>
                <w:rFonts w:ascii="Book Antiqua" w:hAnsi="Book Antiqua"/>
              </w:rPr>
            </w:pPr>
          </w:p>
        </w:tc>
        <w:tc>
          <w:tcPr>
            <w:tcW w:w="697" w:type="pct"/>
            <w:vMerge/>
          </w:tcPr>
          <w:p w14:paraId="5EE3E446" w14:textId="77777777" w:rsidR="00F07400" w:rsidRPr="00AE67E1" w:rsidRDefault="00F07400" w:rsidP="00AE67E1">
            <w:pPr>
              <w:spacing w:after="0" w:line="360" w:lineRule="auto"/>
              <w:jc w:val="both"/>
              <w:rPr>
                <w:rFonts w:ascii="Book Antiqua" w:hAnsi="Book Antiqua"/>
              </w:rPr>
            </w:pPr>
          </w:p>
        </w:tc>
      </w:tr>
      <w:tr w:rsidR="000761EB" w:rsidRPr="00AE67E1" w14:paraId="77C731FE" w14:textId="77777777" w:rsidTr="007E31BA">
        <w:trPr>
          <w:trHeight w:val="628"/>
          <w:jc w:val="center"/>
        </w:trPr>
        <w:tc>
          <w:tcPr>
            <w:tcW w:w="1061" w:type="pct"/>
          </w:tcPr>
          <w:p w14:paraId="48168CB5" w14:textId="77777777" w:rsidR="000761EB" w:rsidRPr="00AE67E1" w:rsidRDefault="000761EB" w:rsidP="00AE67E1">
            <w:pPr>
              <w:spacing w:after="0" w:line="360" w:lineRule="auto"/>
              <w:jc w:val="both"/>
              <w:rPr>
                <w:rFonts w:ascii="Book Antiqua" w:hAnsi="Book Antiqua"/>
              </w:rPr>
            </w:pPr>
          </w:p>
        </w:tc>
        <w:tc>
          <w:tcPr>
            <w:tcW w:w="742" w:type="pct"/>
          </w:tcPr>
          <w:p w14:paraId="2420EA33" w14:textId="77777777" w:rsidR="000761EB" w:rsidRPr="00AE67E1" w:rsidRDefault="000761EB" w:rsidP="00AE67E1">
            <w:pPr>
              <w:spacing w:after="0" w:line="360" w:lineRule="auto"/>
              <w:jc w:val="both"/>
              <w:rPr>
                <w:rFonts w:ascii="Book Antiqua" w:hAnsi="Book Antiqua"/>
              </w:rPr>
            </w:pPr>
          </w:p>
        </w:tc>
        <w:tc>
          <w:tcPr>
            <w:tcW w:w="732" w:type="pct"/>
          </w:tcPr>
          <w:p w14:paraId="1DC57654" w14:textId="77777777" w:rsidR="000761EB" w:rsidRPr="00AE67E1" w:rsidRDefault="000761EB" w:rsidP="00AE67E1">
            <w:pPr>
              <w:spacing w:after="0" w:line="360" w:lineRule="auto"/>
              <w:jc w:val="both"/>
              <w:rPr>
                <w:rFonts w:ascii="Book Antiqua" w:hAnsi="Book Antiqua"/>
              </w:rPr>
            </w:pPr>
          </w:p>
        </w:tc>
        <w:tc>
          <w:tcPr>
            <w:tcW w:w="1129" w:type="pct"/>
          </w:tcPr>
          <w:p w14:paraId="3B593927" w14:textId="77777777" w:rsidR="000761EB" w:rsidRPr="00AE67E1" w:rsidRDefault="0013158C" w:rsidP="00AE67E1">
            <w:pPr>
              <w:spacing w:after="0" w:line="360" w:lineRule="auto"/>
              <w:jc w:val="both"/>
              <w:rPr>
                <w:rFonts w:ascii="Book Antiqua" w:hAnsi="Book Antiqua"/>
              </w:rPr>
            </w:pPr>
            <w:r w:rsidRPr="00AE67E1">
              <w:rPr>
                <w:rFonts w:ascii="Book Antiqua" w:hAnsi="Book Antiqua"/>
              </w:rPr>
              <w:t>AIS (10)</w:t>
            </w:r>
          </w:p>
        </w:tc>
        <w:tc>
          <w:tcPr>
            <w:tcW w:w="639" w:type="pct"/>
          </w:tcPr>
          <w:p w14:paraId="68F24F54" w14:textId="77777777" w:rsidR="000761EB" w:rsidRPr="00AE67E1" w:rsidRDefault="0013158C" w:rsidP="00AE67E1">
            <w:pPr>
              <w:spacing w:after="0" w:line="360" w:lineRule="auto"/>
              <w:jc w:val="both"/>
              <w:rPr>
                <w:rFonts w:ascii="Book Antiqua" w:hAnsi="Book Antiqua"/>
              </w:rPr>
            </w:pPr>
            <w:r w:rsidRPr="00AE67E1">
              <w:rPr>
                <w:rFonts w:ascii="SimSun" w:eastAsia="SimSun" w:hAnsi="SimSun" w:cs="SimSun" w:hint="eastAsia"/>
              </w:rPr>
              <w:t>Ⅰ</w:t>
            </w:r>
            <w:r w:rsidRPr="00AE67E1">
              <w:rPr>
                <w:rFonts w:ascii="Book Antiqua" w:hAnsi="Book Antiqua"/>
              </w:rPr>
              <w:t>b</w:t>
            </w:r>
            <w:r w:rsidR="00ED0AFB">
              <w:rPr>
                <w:rFonts w:ascii="Book Antiqua" w:hAnsi="Book Antiqua"/>
              </w:rPr>
              <w:t xml:space="preserve"> </w:t>
            </w:r>
            <w:r w:rsidRPr="00AE67E1">
              <w:rPr>
                <w:rFonts w:ascii="Book Antiqua" w:hAnsi="Book Antiqua"/>
              </w:rPr>
              <w:t>(10)</w:t>
            </w:r>
          </w:p>
        </w:tc>
        <w:tc>
          <w:tcPr>
            <w:tcW w:w="697" w:type="pct"/>
          </w:tcPr>
          <w:p w14:paraId="32DA3244" w14:textId="77777777" w:rsidR="000761EB" w:rsidRPr="00AE67E1" w:rsidRDefault="000761EB" w:rsidP="00AE67E1">
            <w:pPr>
              <w:spacing w:after="0" w:line="360" w:lineRule="auto"/>
              <w:jc w:val="both"/>
              <w:rPr>
                <w:rFonts w:ascii="Book Antiqua" w:hAnsi="Book Antiqua"/>
              </w:rPr>
            </w:pPr>
          </w:p>
        </w:tc>
      </w:tr>
      <w:tr w:rsidR="000761EB" w:rsidRPr="00AE67E1" w14:paraId="36E96A80" w14:textId="77777777" w:rsidTr="007E31BA">
        <w:trPr>
          <w:trHeight w:val="628"/>
          <w:jc w:val="center"/>
        </w:trPr>
        <w:tc>
          <w:tcPr>
            <w:tcW w:w="1061" w:type="pct"/>
          </w:tcPr>
          <w:p w14:paraId="2FD5CE91" w14:textId="77777777" w:rsidR="000761EB" w:rsidRPr="00AE67E1" w:rsidRDefault="000761EB" w:rsidP="00AE67E1">
            <w:pPr>
              <w:spacing w:after="0" w:line="360" w:lineRule="auto"/>
              <w:jc w:val="both"/>
              <w:rPr>
                <w:rFonts w:ascii="Book Antiqua" w:hAnsi="Book Antiqua"/>
              </w:rPr>
            </w:pPr>
          </w:p>
        </w:tc>
        <w:tc>
          <w:tcPr>
            <w:tcW w:w="742" w:type="pct"/>
          </w:tcPr>
          <w:p w14:paraId="38625CBB" w14:textId="77777777" w:rsidR="000761EB" w:rsidRPr="00AE67E1" w:rsidRDefault="000761EB" w:rsidP="00AE67E1">
            <w:pPr>
              <w:spacing w:after="0" w:line="360" w:lineRule="auto"/>
              <w:jc w:val="both"/>
              <w:rPr>
                <w:rFonts w:ascii="Book Antiqua" w:hAnsi="Book Antiqua"/>
              </w:rPr>
            </w:pPr>
          </w:p>
        </w:tc>
        <w:tc>
          <w:tcPr>
            <w:tcW w:w="732" w:type="pct"/>
          </w:tcPr>
          <w:p w14:paraId="308C336C" w14:textId="77777777" w:rsidR="000761EB" w:rsidRPr="00AE67E1" w:rsidRDefault="000761EB" w:rsidP="00AE67E1">
            <w:pPr>
              <w:spacing w:after="0" w:line="360" w:lineRule="auto"/>
              <w:jc w:val="both"/>
              <w:rPr>
                <w:rFonts w:ascii="Book Antiqua" w:hAnsi="Book Antiqua"/>
              </w:rPr>
            </w:pPr>
          </w:p>
        </w:tc>
        <w:tc>
          <w:tcPr>
            <w:tcW w:w="1129" w:type="pct"/>
          </w:tcPr>
          <w:p w14:paraId="0D9D86A3" w14:textId="77777777" w:rsidR="000761EB" w:rsidRPr="00AE67E1" w:rsidRDefault="0013158C" w:rsidP="00AE67E1">
            <w:pPr>
              <w:spacing w:after="0" w:line="360" w:lineRule="auto"/>
              <w:jc w:val="both"/>
              <w:rPr>
                <w:rFonts w:ascii="Book Antiqua" w:hAnsi="Book Antiqua"/>
              </w:rPr>
            </w:pPr>
            <w:r w:rsidRPr="00AE67E1">
              <w:rPr>
                <w:rFonts w:ascii="Book Antiqua" w:hAnsi="Book Antiqua"/>
              </w:rPr>
              <w:t>MIA (11)</w:t>
            </w:r>
          </w:p>
        </w:tc>
        <w:tc>
          <w:tcPr>
            <w:tcW w:w="639" w:type="pct"/>
          </w:tcPr>
          <w:p w14:paraId="6F42CADE" w14:textId="77777777" w:rsidR="000761EB" w:rsidRPr="00AE67E1" w:rsidRDefault="0013158C" w:rsidP="00AE67E1">
            <w:pPr>
              <w:spacing w:after="0" w:line="360" w:lineRule="auto"/>
              <w:jc w:val="both"/>
              <w:rPr>
                <w:rFonts w:ascii="Book Antiqua" w:hAnsi="Book Antiqua"/>
              </w:rPr>
            </w:pPr>
            <w:r w:rsidRPr="00AE67E1">
              <w:rPr>
                <w:rFonts w:ascii="SimSun" w:eastAsia="SimSun" w:hAnsi="SimSun" w:cs="SimSun" w:hint="eastAsia"/>
              </w:rPr>
              <w:t>Ⅱ</w:t>
            </w:r>
            <w:r w:rsidRPr="00AE67E1">
              <w:rPr>
                <w:rFonts w:ascii="Book Antiqua" w:hAnsi="Book Antiqua"/>
              </w:rPr>
              <w:t>a (2)</w:t>
            </w:r>
          </w:p>
        </w:tc>
        <w:tc>
          <w:tcPr>
            <w:tcW w:w="697" w:type="pct"/>
          </w:tcPr>
          <w:p w14:paraId="706D9491" w14:textId="77777777" w:rsidR="000761EB" w:rsidRPr="00AE67E1" w:rsidRDefault="000761EB" w:rsidP="00AE67E1">
            <w:pPr>
              <w:spacing w:after="0" w:line="360" w:lineRule="auto"/>
              <w:jc w:val="both"/>
              <w:rPr>
                <w:rFonts w:ascii="Book Antiqua" w:hAnsi="Book Antiqua"/>
              </w:rPr>
            </w:pPr>
          </w:p>
        </w:tc>
      </w:tr>
      <w:tr w:rsidR="0013158C" w:rsidRPr="00AE67E1" w14:paraId="1D2C09F0" w14:textId="77777777" w:rsidTr="007E31BA">
        <w:trPr>
          <w:trHeight w:val="628"/>
          <w:jc w:val="center"/>
        </w:trPr>
        <w:tc>
          <w:tcPr>
            <w:tcW w:w="1061" w:type="pct"/>
          </w:tcPr>
          <w:p w14:paraId="33A772AA" w14:textId="77777777" w:rsidR="0013158C" w:rsidRPr="00AE67E1" w:rsidRDefault="0013158C" w:rsidP="00AE67E1">
            <w:pPr>
              <w:spacing w:after="0" w:line="360" w:lineRule="auto"/>
              <w:jc w:val="both"/>
              <w:rPr>
                <w:rFonts w:ascii="Book Antiqua" w:hAnsi="Book Antiqua"/>
              </w:rPr>
            </w:pPr>
          </w:p>
        </w:tc>
        <w:tc>
          <w:tcPr>
            <w:tcW w:w="742" w:type="pct"/>
          </w:tcPr>
          <w:p w14:paraId="39E6A625" w14:textId="77777777" w:rsidR="0013158C" w:rsidRPr="00AE67E1" w:rsidRDefault="0013158C" w:rsidP="00AE67E1">
            <w:pPr>
              <w:spacing w:after="0" w:line="360" w:lineRule="auto"/>
              <w:jc w:val="both"/>
              <w:rPr>
                <w:rFonts w:ascii="Book Antiqua" w:hAnsi="Book Antiqua"/>
              </w:rPr>
            </w:pPr>
          </w:p>
        </w:tc>
        <w:tc>
          <w:tcPr>
            <w:tcW w:w="732" w:type="pct"/>
          </w:tcPr>
          <w:p w14:paraId="6080B0BB" w14:textId="77777777" w:rsidR="0013158C" w:rsidRPr="00AE67E1" w:rsidRDefault="0013158C" w:rsidP="00AE67E1">
            <w:pPr>
              <w:spacing w:after="0" w:line="360" w:lineRule="auto"/>
              <w:jc w:val="both"/>
              <w:rPr>
                <w:rFonts w:ascii="Book Antiqua" w:hAnsi="Book Antiqua"/>
              </w:rPr>
            </w:pPr>
          </w:p>
        </w:tc>
        <w:tc>
          <w:tcPr>
            <w:tcW w:w="1129" w:type="pct"/>
          </w:tcPr>
          <w:p w14:paraId="4408E73A" w14:textId="77777777" w:rsidR="0013158C" w:rsidRPr="00AE67E1" w:rsidRDefault="0013158C" w:rsidP="00AE67E1">
            <w:pPr>
              <w:spacing w:after="0" w:line="360" w:lineRule="auto"/>
              <w:jc w:val="both"/>
              <w:rPr>
                <w:rFonts w:ascii="Book Antiqua" w:hAnsi="Book Antiqua"/>
              </w:rPr>
            </w:pPr>
            <w:r w:rsidRPr="00AE67E1">
              <w:rPr>
                <w:rFonts w:ascii="Book Antiqua" w:hAnsi="Book Antiqua"/>
              </w:rPr>
              <w:t>IAC (83)</w:t>
            </w:r>
          </w:p>
        </w:tc>
        <w:tc>
          <w:tcPr>
            <w:tcW w:w="639" w:type="pct"/>
          </w:tcPr>
          <w:p w14:paraId="249B6820" w14:textId="77777777" w:rsidR="0013158C" w:rsidRPr="00AE67E1" w:rsidRDefault="0013158C" w:rsidP="00AE67E1">
            <w:pPr>
              <w:spacing w:after="0" w:line="360" w:lineRule="auto"/>
              <w:jc w:val="both"/>
              <w:rPr>
                <w:rFonts w:ascii="Book Antiqua" w:hAnsi="Book Antiqua"/>
              </w:rPr>
            </w:pPr>
            <w:r w:rsidRPr="00AE67E1">
              <w:rPr>
                <w:rFonts w:ascii="SimSun" w:eastAsia="SimSun" w:hAnsi="SimSun" w:cs="SimSun" w:hint="eastAsia"/>
              </w:rPr>
              <w:t>Ⅱ</w:t>
            </w:r>
            <w:r w:rsidRPr="00AE67E1">
              <w:rPr>
                <w:rFonts w:ascii="Book Antiqua" w:hAnsi="Book Antiqua"/>
              </w:rPr>
              <w:t>b (7)</w:t>
            </w:r>
          </w:p>
        </w:tc>
        <w:tc>
          <w:tcPr>
            <w:tcW w:w="697" w:type="pct"/>
          </w:tcPr>
          <w:p w14:paraId="78F6551C" w14:textId="77777777" w:rsidR="0013158C" w:rsidRPr="00AE67E1" w:rsidRDefault="0013158C" w:rsidP="00AE67E1">
            <w:pPr>
              <w:spacing w:after="0" w:line="360" w:lineRule="auto"/>
              <w:jc w:val="both"/>
              <w:rPr>
                <w:rFonts w:ascii="Book Antiqua" w:hAnsi="Book Antiqua"/>
              </w:rPr>
            </w:pPr>
          </w:p>
        </w:tc>
      </w:tr>
      <w:tr w:rsidR="0013158C" w:rsidRPr="00AE67E1" w14:paraId="71E6081F" w14:textId="77777777" w:rsidTr="007E31BA">
        <w:trPr>
          <w:trHeight w:val="628"/>
          <w:jc w:val="center"/>
        </w:trPr>
        <w:tc>
          <w:tcPr>
            <w:tcW w:w="1061" w:type="pct"/>
          </w:tcPr>
          <w:p w14:paraId="3D85EBEB" w14:textId="77777777" w:rsidR="0013158C" w:rsidRPr="00AE67E1" w:rsidRDefault="0013158C" w:rsidP="00AE67E1">
            <w:pPr>
              <w:spacing w:after="0" w:line="360" w:lineRule="auto"/>
              <w:jc w:val="both"/>
              <w:rPr>
                <w:rFonts w:ascii="Book Antiqua" w:hAnsi="Book Antiqua"/>
              </w:rPr>
            </w:pPr>
          </w:p>
        </w:tc>
        <w:tc>
          <w:tcPr>
            <w:tcW w:w="742" w:type="pct"/>
          </w:tcPr>
          <w:p w14:paraId="55B864E5" w14:textId="77777777" w:rsidR="0013158C" w:rsidRPr="00AE67E1" w:rsidRDefault="0013158C" w:rsidP="00AE67E1">
            <w:pPr>
              <w:spacing w:after="0" w:line="360" w:lineRule="auto"/>
              <w:jc w:val="both"/>
              <w:rPr>
                <w:rFonts w:ascii="Book Antiqua" w:hAnsi="Book Antiqua"/>
              </w:rPr>
            </w:pPr>
          </w:p>
        </w:tc>
        <w:tc>
          <w:tcPr>
            <w:tcW w:w="732" w:type="pct"/>
          </w:tcPr>
          <w:p w14:paraId="1E038CD2" w14:textId="77777777" w:rsidR="0013158C" w:rsidRPr="00AE67E1" w:rsidRDefault="0013158C" w:rsidP="00AE67E1">
            <w:pPr>
              <w:spacing w:after="0" w:line="360" w:lineRule="auto"/>
              <w:jc w:val="both"/>
              <w:rPr>
                <w:rFonts w:ascii="Book Antiqua" w:hAnsi="Book Antiqua"/>
              </w:rPr>
            </w:pPr>
          </w:p>
        </w:tc>
        <w:tc>
          <w:tcPr>
            <w:tcW w:w="1129" w:type="pct"/>
          </w:tcPr>
          <w:p w14:paraId="093E0FC9" w14:textId="77777777" w:rsidR="0013158C" w:rsidRPr="00AE67E1" w:rsidRDefault="0013158C" w:rsidP="00AE67E1">
            <w:pPr>
              <w:spacing w:after="0" w:line="360" w:lineRule="auto"/>
              <w:jc w:val="both"/>
              <w:rPr>
                <w:rFonts w:ascii="Book Antiqua" w:hAnsi="Book Antiqua"/>
              </w:rPr>
            </w:pPr>
          </w:p>
        </w:tc>
        <w:tc>
          <w:tcPr>
            <w:tcW w:w="639" w:type="pct"/>
          </w:tcPr>
          <w:p w14:paraId="2CF04E0A" w14:textId="77777777" w:rsidR="0013158C" w:rsidRPr="00AE67E1" w:rsidRDefault="0013158C" w:rsidP="00AE67E1">
            <w:pPr>
              <w:spacing w:after="0" w:line="360" w:lineRule="auto"/>
              <w:jc w:val="both"/>
              <w:rPr>
                <w:rFonts w:ascii="Book Antiqua" w:eastAsia="SimSun" w:hAnsi="Book Antiqua" w:cs="SimSun"/>
              </w:rPr>
            </w:pPr>
            <w:r w:rsidRPr="00AE67E1">
              <w:rPr>
                <w:rFonts w:ascii="SimSun" w:eastAsia="SimSun" w:hAnsi="SimSun" w:cs="SimSun" w:hint="eastAsia"/>
              </w:rPr>
              <w:t>Ⅲ</w:t>
            </w:r>
            <w:r w:rsidRPr="00AE67E1">
              <w:rPr>
                <w:rFonts w:ascii="Book Antiqua" w:eastAsia="SimSun" w:hAnsi="Book Antiqua" w:cs="SimSun"/>
                <w:lang w:eastAsia="zh-CN"/>
              </w:rPr>
              <w:t xml:space="preserve"> </w:t>
            </w:r>
            <w:r w:rsidRPr="00AE67E1">
              <w:rPr>
                <w:rFonts w:ascii="Book Antiqua" w:hAnsi="Book Antiqua"/>
              </w:rPr>
              <w:t>(3)</w:t>
            </w:r>
          </w:p>
        </w:tc>
        <w:tc>
          <w:tcPr>
            <w:tcW w:w="697" w:type="pct"/>
          </w:tcPr>
          <w:p w14:paraId="19EE9C11" w14:textId="77777777" w:rsidR="0013158C" w:rsidRPr="00AE67E1" w:rsidRDefault="0013158C" w:rsidP="00AE67E1">
            <w:pPr>
              <w:spacing w:after="0" w:line="360" w:lineRule="auto"/>
              <w:jc w:val="both"/>
              <w:rPr>
                <w:rFonts w:ascii="Book Antiqua" w:hAnsi="Book Antiqua"/>
              </w:rPr>
            </w:pPr>
          </w:p>
        </w:tc>
      </w:tr>
      <w:tr w:rsidR="00F07400" w:rsidRPr="00AE67E1" w14:paraId="34163FB3" w14:textId="77777777" w:rsidTr="007E31BA">
        <w:trPr>
          <w:trHeight w:val="628"/>
          <w:jc w:val="center"/>
        </w:trPr>
        <w:tc>
          <w:tcPr>
            <w:tcW w:w="1061" w:type="pct"/>
            <w:vMerge w:val="restart"/>
          </w:tcPr>
          <w:p w14:paraId="20D2863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Benign controls (</w:t>
            </w:r>
            <w:r w:rsidRPr="00AE67E1">
              <w:rPr>
                <w:rFonts w:ascii="Book Antiqua" w:hAnsi="Book Antiqua"/>
                <w:i/>
                <w:iCs/>
              </w:rPr>
              <w:t>n</w:t>
            </w:r>
            <w:r w:rsidR="00FA1E41" w:rsidRPr="00AE67E1">
              <w:rPr>
                <w:rFonts w:ascii="Book Antiqua" w:hAnsi="Book Antiqua"/>
              </w:rPr>
              <w:t xml:space="preserve"> </w:t>
            </w:r>
            <w:r w:rsidRPr="00AE67E1">
              <w:rPr>
                <w:rFonts w:ascii="Book Antiqua" w:hAnsi="Book Antiqua"/>
              </w:rPr>
              <w:t>=</w:t>
            </w:r>
            <w:r w:rsidR="00FA1E41" w:rsidRPr="00AE67E1">
              <w:rPr>
                <w:rFonts w:ascii="Book Antiqua" w:hAnsi="Book Antiqua"/>
              </w:rPr>
              <w:t xml:space="preserve"> </w:t>
            </w:r>
            <w:r w:rsidRPr="00AE67E1">
              <w:rPr>
                <w:rFonts w:ascii="Book Antiqua" w:hAnsi="Book Antiqua"/>
              </w:rPr>
              <w:t xml:space="preserve">11) </w:t>
            </w:r>
          </w:p>
        </w:tc>
        <w:tc>
          <w:tcPr>
            <w:tcW w:w="742" w:type="pct"/>
            <w:vMerge w:val="restart"/>
          </w:tcPr>
          <w:p w14:paraId="47730C9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Male (4)</w:t>
            </w:r>
            <w:r w:rsidR="005C4885">
              <w:rPr>
                <w:rFonts w:ascii="Book Antiqua" w:hAnsi="Book Antiqua"/>
              </w:rPr>
              <w:t>,</w:t>
            </w:r>
            <w:r w:rsidR="00D32760" w:rsidRPr="00AE67E1">
              <w:rPr>
                <w:rFonts w:ascii="Book Antiqua" w:eastAsiaTheme="minorEastAsia" w:hAnsi="Book Antiqua"/>
                <w:lang w:eastAsia="zh-CN"/>
              </w:rPr>
              <w:t xml:space="preserve"> </w:t>
            </w:r>
            <w:r w:rsidRPr="00AE67E1">
              <w:rPr>
                <w:rFonts w:ascii="Book Antiqua" w:hAnsi="Book Antiqua"/>
              </w:rPr>
              <w:t>Female (7)</w:t>
            </w:r>
          </w:p>
        </w:tc>
        <w:tc>
          <w:tcPr>
            <w:tcW w:w="732" w:type="pct"/>
            <w:vMerge w:val="restart"/>
          </w:tcPr>
          <w:p w14:paraId="23B71AA8"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49</w:t>
            </w:r>
          </w:p>
        </w:tc>
        <w:tc>
          <w:tcPr>
            <w:tcW w:w="1129" w:type="pct"/>
            <w:vMerge w:val="restart"/>
          </w:tcPr>
          <w:p w14:paraId="4286670A" w14:textId="77777777" w:rsidR="00F07400" w:rsidRPr="00AE67E1" w:rsidRDefault="00C430B4" w:rsidP="00AE67E1">
            <w:pPr>
              <w:spacing w:after="0" w:line="360" w:lineRule="auto"/>
              <w:jc w:val="both"/>
              <w:rPr>
                <w:rFonts w:ascii="Book Antiqua" w:hAnsi="Book Antiqua"/>
                <w:lang w:val="it-IT"/>
              </w:rPr>
            </w:pPr>
            <w:r w:rsidRPr="00AE67E1">
              <w:rPr>
                <w:rFonts w:ascii="Book Antiqua" w:hAnsi="Book Antiqua"/>
                <w:lang w:val="it-IT"/>
              </w:rPr>
              <w:t>IPT (6)</w:t>
            </w:r>
            <w:r w:rsidR="000300FB" w:rsidRPr="00AE67E1">
              <w:rPr>
                <w:rFonts w:ascii="Book Antiqua" w:hAnsi="Book Antiqua"/>
                <w:vertAlign w:val="superscript"/>
                <w:lang w:val="it-IT"/>
              </w:rPr>
              <w:t>1</w:t>
            </w:r>
          </w:p>
        </w:tc>
        <w:tc>
          <w:tcPr>
            <w:tcW w:w="639" w:type="pct"/>
            <w:vMerge w:val="restart"/>
          </w:tcPr>
          <w:p w14:paraId="392BB377"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NA</w:t>
            </w:r>
          </w:p>
        </w:tc>
        <w:tc>
          <w:tcPr>
            <w:tcW w:w="697" w:type="pct"/>
            <w:vMerge w:val="restart"/>
          </w:tcPr>
          <w:p w14:paraId="5C90A4FC" w14:textId="77777777" w:rsidR="00F07400" w:rsidRPr="00AE67E1" w:rsidRDefault="00F07400" w:rsidP="00AE67E1">
            <w:pPr>
              <w:spacing w:after="0" w:line="360" w:lineRule="auto"/>
              <w:jc w:val="both"/>
              <w:rPr>
                <w:rFonts w:ascii="Book Antiqua" w:hAnsi="Book Antiqua"/>
              </w:rPr>
            </w:pPr>
          </w:p>
        </w:tc>
      </w:tr>
      <w:tr w:rsidR="00F07400" w:rsidRPr="00AE67E1" w14:paraId="62BE9F9F" w14:textId="77777777" w:rsidTr="007E31BA">
        <w:trPr>
          <w:trHeight w:val="607"/>
          <w:jc w:val="center"/>
        </w:trPr>
        <w:tc>
          <w:tcPr>
            <w:tcW w:w="1061" w:type="pct"/>
            <w:vMerge/>
          </w:tcPr>
          <w:p w14:paraId="54967BEF" w14:textId="77777777" w:rsidR="00F07400" w:rsidRPr="00AE67E1" w:rsidRDefault="00F07400" w:rsidP="00AE67E1">
            <w:pPr>
              <w:spacing w:after="0" w:line="360" w:lineRule="auto"/>
              <w:jc w:val="both"/>
              <w:rPr>
                <w:rFonts w:ascii="Book Antiqua" w:hAnsi="Book Antiqua"/>
              </w:rPr>
            </w:pPr>
          </w:p>
        </w:tc>
        <w:tc>
          <w:tcPr>
            <w:tcW w:w="742" w:type="pct"/>
            <w:vMerge/>
          </w:tcPr>
          <w:p w14:paraId="2C1D6BB9" w14:textId="77777777" w:rsidR="00F07400" w:rsidRPr="00AE67E1" w:rsidRDefault="00F07400" w:rsidP="00AE67E1">
            <w:pPr>
              <w:spacing w:after="0" w:line="360" w:lineRule="auto"/>
              <w:jc w:val="both"/>
              <w:rPr>
                <w:rFonts w:ascii="Book Antiqua" w:hAnsi="Book Antiqua"/>
              </w:rPr>
            </w:pPr>
          </w:p>
        </w:tc>
        <w:tc>
          <w:tcPr>
            <w:tcW w:w="732" w:type="pct"/>
            <w:vMerge/>
          </w:tcPr>
          <w:p w14:paraId="7FBA6142" w14:textId="77777777" w:rsidR="00F07400" w:rsidRPr="00AE67E1" w:rsidRDefault="00F07400" w:rsidP="00AE67E1">
            <w:pPr>
              <w:spacing w:after="0" w:line="360" w:lineRule="auto"/>
              <w:jc w:val="both"/>
              <w:rPr>
                <w:rFonts w:ascii="Book Antiqua" w:hAnsi="Book Antiqua"/>
              </w:rPr>
            </w:pPr>
          </w:p>
        </w:tc>
        <w:tc>
          <w:tcPr>
            <w:tcW w:w="1129" w:type="pct"/>
            <w:vMerge/>
          </w:tcPr>
          <w:p w14:paraId="2C322500" w14:textId="77777777" w:rsidR="00F07400" w:rsidRPr="00AE67E1" w:rsidRDefault="00F07400" w:rsidP="00AE67E1">
            <w:pPr>
              <w:spacing w:after="0" w:line="360" w:lineRule="auto"/>
              <w:jc w:val="both"/>
              <w:rPr>
                <w:rFonts w:ascii="Book Antiqua" w:hAnsi="Book Antiqua"/>
              </w:rPr>
            </w:pPr>
          </w:p>
        </w:tc>
        <w:tc>
          <w:tcPr>
            <w:tcW w:w="639" w:type="pct"/>
            <w:vMerge/>
          </w:tcPr>
          <w:p w14:paraId="1AC24CF1" w14:textId="77777777" w:rsidR="00F07400" w:rsidRPr="00AE67E1" w:rsidRDefault="00F07400" w:rsidP="00AE67E1">
            <w:pPr>
              <w:spacing w:after="0" w:line="360" w:lineRule="auto"/>
              <w:jc w:val="both"/>
              <w:rPr>
                <w:rFonts w:ascii="Book Antiqua" w:hAnsi="Book Antiqua"/>
              </w:rPr>
            </w:pPr>
          </w:p>
        </w:tc>
        <w:tc>
          <w:tcPr>
            <w:tcW w:w="697" w:type="pct"/>
            <w:vMerge/>
          </w:tcPr>
          <w:p w14:paraId="2B0E6828" w14:textId="77777777" w:rsidR="00F07400" w:rsidRPr="00AE67E1" w:rsidRDefault="00F07400" w:rsidP="00AE67E1">
            <w:pPr>
              <w:spacing w:after="0" w:line="360" w:lineRule="auto"/>
              <w:jc w:val="both"/>
              <w:rPr>
                <w:rFonts w:ascii="Book Antiqua" w:hAnsi="Book Antiqua"/>
              </w:rPr>
            </w:pPr>
          </w:p>
        </w:tc>
      </w:tr>
      <w:tr w:rsidR="00D32760" w:rsidRPr="00AE67E1" w14:paraId="3EF3E4F8" w14:textId="77777777" w:rsidTr="007E31BA">
        <w:trPr>
          <w:jc w:val="center"/>
        </w:trPr>
        <w:tc>
          <w:tcPr>
            <w:tcW w:w="1061" w:type="pct"/>
          </w:tcPr>
          <w:p w14:paraId="45FE6F7A" w14:textId="77777777" w:rsidR="00D32760" w:rsidRPr="00AE67E1" w:rsidRDefault="00D32760" w:rsidP="00AE67E1">
            <w:pPr>
              <w:spacing w:after="0" w:line="360" w:lineRule="auto"/>
              <w:jc w:val="both"/>
              <w:rPr>
                <w:rFonts w:ascii="Book Antiqua" w:hAnsi="Book Antiqua"/>
              </w:rPr>
            </w:pPr>
          </w:p>
        </w:tc>
        <w:tc>
          <w:tcPr>
            <w:tcW w:w="742" w:type="pct"/>
          </w:tcPr>
          <w:p w14:paraId="4D07778E" w14:textId="77777777" w:rsidR="00D32760" w:rsidRPr="00AE67E1" w:rsidRDefault="00D32760" w:rsidP="00AE67E1">
            <w:pPr>
              <w:spacing w:after="0" w:line="360" w:lineRule="auto"/>
              <w:jc w:val="both"/>
              <w:rPr>
                <w:rFonts w:ascii="Book Antiqua" w:hAnsi="Book Antiqua"/>
              </w:rPr>
            </w:pPr>
          </w:p>
        </w:tc>
        <w:tc>
          <w:tcPr>
            <w:tcW w:w="732" w:type="pct"/>
          </w:tcPr>
          <w:p w14:paraId="3282736E" w14:textId="77777777" w:rsidR="00D32760" w:rsidRPr="00AE67E1" w:rsidRDefault="00D32760" w:rsidP="00AE67E1">
            <w:pPr>
              <w:spacing w:after="0" w:line="360" w:lineRule="auto"/>
              <w:jc w:val="both"/>
              <w:rPr>
                <w:rFonts w:ascii="Book Antiqua" w:hAnsi="Book Antiqua"/>
              </w:rPr>
            </w:pPr>
          </w:p>
        </w:tc>
        <w:tc>
          <w:tcPr>
            <w:tcW w:w="1129" w:type="pct"/>
          </w:tcPr>
          <w:p w14:paraId="51930B91" w14:textId="77777777" w:rsidR="00D32760" w:rsidRPr="00AE67E1" w:rsidRDefault="00D32760" w:rsidP="00AE67E1">
            <w:pPr>
              <w:spacing w:after="0" w:line="360" w:lineRule="auto"/>
              <w:jc w:val="both"/>
              <w:rPr>
                <w:rFonts w:ascii="Book Antiqua" w:hAnsi="Book Antiqua"/>
                <w:lang w:val="it-IT"/>
              </w:rPr>
            </w:pPr>
            <w:r w:rsidRPr="00AE67E1">
              <w:rPr>
                <w:rFonts w:ascii="Book Antiqua" w:hAnsi="Book Antiqua"/>
                <w:lang w:val="it-IT"/>
              </w:rPr>
              <w:t>Tuberculoma (2)</w:t>
            </w:r>
          </w:p>
        </w:tc>
        <w:tc>
          <w:tcPr>
            <w:tcW w:w="639" w:type="pct"/>
          </w:tcPr>
          <w:p w14:paraId="112F93E5" w14:textId="77777777" w:rsidR="00D32760" w:rsidRPr="00AE67E1" w:rsidRDefault="00D32760" w:rsidP="00AE67E1">
            <w:pPr>
              <w:spacing w:after="0" w:line="360" w:lineRule="auto"/>
              <w:jc w:val="both"/>
              <w:rPr>
                <w:rFonts w:ascii="Book Antiqua" w:hAnsi="Book Antiqua"/>
                <w:lang w:val="pt-BR"/>
              </w:rPr>
            </w:pPr>
          </w:p>
        </w:tc>
        <w:tc>
          <w:tcPr>
            <w:tcW w:w="697" w:type="pct"/>
          </w:tcPr>
          <w:p w14:paraId="69495FFA" w14:textId="77777777" w:rsidR="00D32760" w:rsidRPr="00AE67E1" w:rsidRDefault="00D32760" w:rsidP="00AE67E1">
            <w:pPr>
              <w:spacing w:after="0" w:line="360" w:lineRule="auto"/>
              <w:jc w:val="both"/>
              <w:rPr>
                <w:rFonts w:ascii="Book Antiqua" w:hAnsi="Book Antiqua"/>
                <w:lang w:val="pt-BR"/>
              </w:rPr>
            </w:pPr>
          </w:p>
        </w:tc>
      </w:tr>
      <w:tr w:rsidR="00D32760" w:rsidRPr="00AE67E1" w14:paraId="17B62584" w14:textId="77777777" w:rsidTr="007E31BA">
        <w:trPr>
          <w:jc w:val="center"/>
        </w:trPr>
        <w:tc>
          <w:tcPr>
            <w:tcW w:w="1061" w:type="pct"/>
          </w:tcPr>
          <w:p w14:paraId="2DA3CE32" w14:textId="77777777" w:rsidR="00D32760" w:rsidRPr="00AE67E1" w:rsidRDefault="00D32760" w:rsidP="00AE67E1">
            <w:pPr>
              <w:spacing w:after="0" w:line="360" w:lineRule="auto"/>
              <w:jc w:val="both"/>
              <w:rPr>
                <w:rFonts w:ascii="Book Antiqua" w:hAnsi="Book Antiqua"/>
                <w:lang w:val="pt-BR"/>
              </w:rPr>
            </w:pPr>
          </w:p>
        </w:tc>
        <w:tc>
          <w:tcPr>
            <w:tcW w:w="742" w:type="pct"/>
          </w:tcPr>
          <w:p w14:paraId="002A0E50" w14:textId="77777777" w:rsidR="00D32760" w:rsidRPr="00AE67E1" w:rsidRDefault="00D32760" w:rsidP="00AE67E1">
            <w:pPr>
              <w:spacing w:after="0" w:line="360" w:lineRule="auto"/>
              <w:jc w:val="both"/>
              <w:rPr>
                <w:rFonts w:ascii="Book Antiqua" w:hAnsi="Book Antiqua"/>
                <w:lang w:val="pt-BR"/>
              </w:rPr>
            </w:pPr>
          </w:p>
        </w:tc>
        <w:tc>
          <w:tcPr>
            <w:tcW w:w="732" w:type="pct"/>
          </w:tcPr>
          <w:p w14:paraId="6873C4BD" w14:textId="77777777" w:rsidR="00D32760" w:rsidRPr="00AE67E1" w:rsidRDefault="00D32760" w:rsidP="00AE67E1">
            <w:pPr>
              <w:spacing w:after="0" w:line="360" w:lineRule="auto"/>
              <w:jc w:val="both"/>
              <w:rPr>
                <w:rFonts w:ascii="Book Antiqua" w:hAnsi="Book Antiqua"/>
                <w:lang w:val="pt-BR"/>
              </w:rPr>
            </w:pPr>
          </w:p>
        </w:tc>
        <w:tc>
          <w:tcPr>
            <w:tcW w:w="1129" w:type="pct"/>
          </w:tcPr>
          <w:p w14:paraId="3C4F70E9" w14:textId="77777777" w:rsidR="00D32760" w:rsidRPr="00AE67E1" w:rsidRDefault="00D32760" w:rsidP="00AE67E1">
            <w:pPr>
              <w:spacing w:after="0" w:line="360" w:lineRule="auto"/>
              <w:jc w:val="both"/>
              <w:rPr>
                <w:rFonts w:ascii="Book Antiqua" w:hAnsi="Book Antiqua"/>
                <w:lang w:val="it-IT"/>
              </w:rPr>
            </w:pPr>
            <w:r w:rsidRPr="00AE67E1">
              <w:rPr>
                <w:rFonts w:ascii="Book Antiqua" w:hAnsi="Book Antiqua"/>
                <w:lang w:val="it-IT"/>
              </w:rPr>
              <w:t>Hamartoma (1)</w:t>
            </w:r>
          </w:p>
        </w:tc>
        <w:tc>
          <w:tcPr>
            <w:tcW w:w="639" w:type="pct"/>
          </w:tcPr>
          <w:p w14:paraId="4EAB723C" w14:textId="77777777" w:rsidR="00D32760" w:rsidRPr="00AE67E1" w:rsidRDefault="00D32760" w:rsidP="00AE67E1">
            <w:pPr>
              <w:spacing w:after="0" w:line="360" w:lineRule="auto"/>
              <w:jc w:val="both"/>
              <w:rPr>
                <w:rFonts w:ascii="Book Antiqua" w:hAnsi="Book Antiqua"/>
                <w:lang w:val="pt-BR"/>
              </w:rPr>
            </w:pPr>
          </w:p>
        </w:tc>
        <w:tc>
          <w:tcPr>
            <w:tcW w:w="697" w:type="pct"/>
          </w:tcPr>
          <w:p w14:paraId="224A4E9A" w14:textId="77777777" w:rsidR="00D32760" w:rsidRPr="00AE67E1" w:rsidRDefault="00D32760" w:rsidP="00AE67E1">
            <w:pPr>
              <w:spacing w:after="0" w:line="360" w:lineRule="auto"/>
              <w:jc w:val="both"/>
              <w:rPr>
                <w:rFonts w:ascii="Book Antiqua" w:hAnsi="Book Antiqua"/>
                <w:lang w:val="pt-BR"/>
              </w:rPr>
            </w:pPr>
          </w:p>
        </w:tc>
      </w:tr>
      <w:tr w:rsidR="00D32760" w:rsidRPr="00AE67E1" w14:paraId="2B91DEF6" w14:textId="77777777" w:rsidTr="007E31BA">
        <w:trPr>
          <w:jc w:val="center"/>
        </w:trPr>
        <w:tc>
          <w:tcPr>
            <w:tcW w:w="1061" w:type="pct"/>
          </w:tcPr>
          <w:p w14:paraId="41C9FBF0" w14:textId="77777777" w:rsidR="00D32760" w:rsidRPr="00AE67E1" w:rsidRDefault="00D32760" w:rsidP="00AE67E1">
            <w:pPr>
              <w:spacing w:after="0" w:line="360" w:lineRule="auto"/>
              <w:jc w:val="both"/>
              <w:rPr>
                <w:rFonts w:ascii="Book Antiqua" w:hAnsi="Book Antiqua"/>
                <w:lang w:val="pt-BR"/>
              </w:rPr>
            </w:pPr>
          </w:p>
        </w:tc>
        <w:tc>
          <w:tcPr>
            <w:tcW w:w="742" w:type="pct"/>
          </w:tcPr>
          <w:p w14:paraId="7CD30EDC" w14:textId="77777777" w:rsidR="00D32760" w:rsidRPr="00AE67E1" w:rsidRDefault="00D32760" w:rsidP="00AE67E1">
            <w:pPr>
              <w:spacing w:after="0" w:line="360" w:lineRule="auto"/>
              <w:jc w:val="both"/>
              <w:rPr>
                <w:rFonts w:ascii="Book Antiqua" w:hAnsi="Book Antiqua"/>
                <w:lang w:val="pt-BR"/>
              </w:rPr>
            </w:pPr>
          </w:p>
        </w:tc>
        <w:tc>
          <w:tcPr>
            <w:tcW w:w="732" w:type="pct"/>
          </w:tcPr>
          <w:p w14:paraId="47EE049C" w14:textId="77777777" w:rsidR="00D32760" w:rsidRPr="00AE67E1" w:rsidRDefault="00D32760" w:rsidP="00AE67E1">
            <w:pPr>
              <w:spacing w:after="0" w:line="360" w:lineRule="auto"/>
              <w:jc w:val="both"/>
              <w:rPr>
                <w:rFonts w:ascii="Book Antiqua" w:hAnsi="Book Antiqua"/>
                <w:lang w:val="pt-BR"/>
              </w:rPr>
            </w:pPr>
          </w:p>
        </w:tc>
        <w:tc>
          <w:tcPr>
            <w:tcW w:w="1129" w:type="pct"/>
          </w:tcPr>
          <w:p w14:paraId="1133A3B9" w14:textId="77777777" w:rsidR="00D32760" w:rsidRPr="00AE67E1" w:rsidRDefault="00D32760" w:rsidP="00AE67E1">
            <w:pPr>
              <w:spacing w:after="0" w:line="360" w:lineRule="auto"/>
              <w:jc w:val="both"/>
              <w:rPr>
                <w:rFonts w:ascii="Book Antiqua" w:hAnsi="Book Antiqua"/>
                <w:lang w:val="it-IT"/>
              </w:rPr>
            </w:pPr>
            <w:r w:rsidRPr="00AE67E1">
              <w:rPr>
                <w:rFonts w:ascii="Book Antiqua" w:hAnsi="Book Antiqua"/>
                <w:lang w:val="it-IT"/>
              </w:rPr>
              <w:t>Fibroma (1)</w:t>
            </w:r>
          </w:p>
        </w:tc>
        <w:tc>
          <w:tcPr>
            <w:tcW w:w="639" w:type="pct"/>
          </w:tcPr>
          <w:p w14:paraId="051CBBE3" w14:textId="77777777" w:rsidR="00D32760" w:rsidRPr="00AE67E1" w:rsidRDefault="00D32760" w:rsidP="00AE67E1">
            <w:pPr>
              <w:spacing w:after="0" w:line="360" w:lineRule="auto"/>
              <w:jc w:val="both"/>
              <w:rPr>
                <w:rFonts w:ascii="Book Antiqua" w:hAnsi="Book Antiqua"/>
                <w:lang w:val="pt-BR"/>
              </w:rPr>
            </w:pPr>
          </w:p>
        </w:tc>
        <w:tc>
          <w:tcPr>
            <w:tcW w:w="697" w:type="pct"/>
          </w:tcPr>
          <w:p w14:paraId="3A60B879" w14:textId="77777777" w:rsidR="00D32760" w:rsidRPr="00AE67E1" w:rsidRDefault="00D32760" w:rsidP="00AE67E1">
            <w:pPr>
              <w:spacing w:after="0" w:line="360" w:lineRule="auto"/>
              <w:jc w:val="both"/>
              <w:rPr>
                <w:rFonts w:ascii="Book Antiqua" w:hAnsi="Book Antiqua"/>
                <w:lang w:val="pt-BR"/>
              </w:rPr>
            </w:pPr>
          </w:p>
        </w:tc>
      </w:tr>
      <w:tr w:rsidR="00D32760" w:rsidRPr="00AE67E1" w14:paraId="2F6226AF" w14:textId="77777777" w:rsidTr="007E31BA">
        <w:trPr>
          <w:jc w:val="center"/>
        </w:trPr>
        <w:tc>
          <w:tcPr>
            <w:tcW w:w="1061" w:type="pct"/>
          </w:tcPr>
          <w:p w14:paraId="16235784" w14:textId="77777777" w:rsidR="00D32760" w:rsidRPr="00AE67E1" w:rsidRDefault="00D32760" w:rsidP="00AE67E1">
            <w:pPr>
              <w:spacing w:after="0" w:line="360" w:lineRule="auto"/>
              <w:jc w:val="both"/>
              <w:rPr>
                <w:rFonts w:ascii="Book Antiqua" w:hAnsi="Book Antiqua"/>
                <w:lang w:val="pt-BR"/>
              </w:rPr>
            </w:pPr>
          </w:p>
        </w:tc>
        <w:tc>
          <w:tcPr>
            <w:tcW w:w="742" w:type="pct"/>
          </w:tcPr>
          <w:p w14:paraId="64E115C1" w14:textId="77777777" w:rsidR="00D32760" w:rsidRPr="00AE67E1" w:rsidRDefault="00D32760" w:rsidP="00AE67E1">
            <w:pPr>
              <w:spacing w:after="0" w:line="360" w:lineRule="auto"/>
              <w:jc w:val="both"/>
              <w:rPr>
                <w:rFonts w:ascii="Book Antiqua" w:hAnsi="Book Antiqua"/>
                <w:lang w:val="pt-BR"/>
              </w:rPr>
            </w:pPr>
          </w:p>
        </w:tc>
        <w:tc>
          <w:tcPr>
            <w:tcW w:w="732" w:type="pct"/>
          </w:tcPr>
          <w:p w14:paraId="2A0C6CCC" w14:textId="77777777" w:rsidR="00D32760" w:rsidRPr="00AE67E1" w:rsidRDefault="00D32760" w:rsidP="00AE67E1">
            <w:pPr>
              <w:spacing w:after="0" w:line="360" w:lineRule="auto"/>
              <w:jc w:val="both"/>
              <w:rPr>
                <w:rFonts w:ascii="Book Antiqua" w:hAnsi="Book Antiqua"/>
                <w:lang w:val="pt-BR"/>
              </w:rPr>
            </w:pPr>
          </w:p>
        </w:tc>
        <w:tc>
          <w:tcPr>
            <w:tcW w:w="1129" w:type="pct"/>
          </w:tcPr>
          <w:p w14:paraId="39B6A63A" w14:textId="77777777" w:rsidR="00D32760" w:rsidRPr="00AE67E1" w:rsidRDefault="00D32760" w:rsidP="00AE67E1">
            <w:pPr>
              <w:spacing w:after="0" w:line="360" w:lineRule="auto"/>
              <w:jc w:val="both"/>
              <w:rPr>
                <w:rFonts w:ascii="Book Antiqua" w:hAnsi="Book Antiqua"/>
                <w:lang w:val="pt-BR"/>
              </w:rPr>
            </w:pPr>
            <w:bookmarkStart w:id="88" w:name="_Hlk45821630"/>
            <w:r w:rsidRPr="00AE67E1">
              <w:rPr>
                <w:rFonts w:ascii="Book Antiqua" w:hAnsi="Book Antiqua"/>
                <w:lang w:val="it-IT"/>
              </w:rPr>
              <w:t xml:space="preserve">Pleural </w:t>
            </w:r>
            <w:bookmarkEnd w:id="88"/>
            <w:r w:rsidRPr="00AE67E1">
              <w:rPr>
                <w:rFonts w:ascii="Book Antiqua" w:hAnsi="Book Antiqua"/>
                <w:lang w:val="it-IT"/>
              </w:rPr>
              <w:t>tumor (1)</w:t>
            </w:r>
          </w:p>
        </w:tc>
        <w:tc>
          <w:tcPr>
            <w:tcW w:w="639" w:type="pct"/>
          </w:tcPr>
          <w:p w14:paraId="2F13C9ED" w14:textId="77777777" w:rsidR="00D32760" w:rsidRPr="00AE67E1" w:rsidRDefault="00D32760" w:rsidP="00AE67E1">
            <w:pPr>
              <w:spacing w:after="0" w:line="360" w:lineRule="auto"/>
              <w:jc w:val="both"/>
              <w:rPr>
                <w:rFonts w:ascii="Book Antiqua" w:hAnsi="Book Antiqua"/>
                <w:lang w:val="pt-BR"/>
              </w:rPr>
            </w:pPr>
          </w:p>
        </w:tc>
        <w:tc>
          <w:tcPr>
            <w:tcW w:w="697" w:type="pct"/>
          </w:tcPr>
          <w:p w14:paraId="25364E2F" w14:textId="77777777" w:rsidR="00D32760" w:rsidRPr="00AE67E1" w:rsidRDefault="00D32760" w:rsidP="00AE67E1">
            <w:pPr>
              <w:spacing w:after="0" w:line="360" w:lineRule="auto"/>
              <w:jc w:val="both"/>
              <w:rPr>
                <w:rFonts w:ascii="Book Antiqua" w:hAnsi="Book Antiqua"/>
                <w:lang w:val="pt-BR"/>
              </w:rPr>
            </w:pPr>
          </w:p>
        </w:tc>
      </w:tr>
      <w:tr w:rsidR="00F07400" w:rsidRPr="00AE67E1" w14:paraId="51A4D770" w14:textId="77777777" w:rsidTr="007E31BA">
        <w:trPr>
          <w:jc w:val="center"/>
        </w:trPr>
        <w:tc>
          <w:tcPr>
            <w:tcW w:w="1061" w:type="pct"/>
          </w:tcPr>
          <w:p w14:paraId="6372D79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Healthy controls</w:t>
            </w:r>
            <w:r w:rsidR="00FA1E41" w:rsidRPr="00AE67E1">
              <w:rPr>
                <w:rFonts w:ascii="Book Antiqua" w:eastAsiaTheme="minorEastAsia" w:hAnsi="Book Antiqua"/>
                <w:lang w:eastAsia="zh-CN"/>
              </w:rPr>
              <w:t xml:space="preserve"> </w:t>
            </w:r>
            <w:r w:rsidRPr="00AE67E1">
              <w:rPr>
                <w:rFonts w:ascii="Book Antiqua" w:hAnsi="Book Antiqua"/>
              </w:rPr>
              <w:t>(</w:t>
            </w:r>
            <w:r w:rsidR="00070C99" w:rsidRPr="00070C99">
              <w:rPr>
                <w:rFonts w:ascii="Book Antiqua" w:hAnsi="Book Antiqua"/>
                <w:i/>
                <w:iCs/>
              </w:rPr>
              <w:t>n</w:t>
            </w:r>
            <w:r w:rsidR="000A185E">
              <w:rPr>
                <w:rFonts w:ascii="Book Antiqua" w:hAnsi="Book Antiqua"/>
              </w:rPr>
              <w:t xml:space="preserve"> = </w:t>
            </w:r>
            <w:r w:rsidRPr="00AE67E1">
              <w:rPr>
                <w:rFonts w:ascii="Book Antiqua" w:hAnsi="Book Antiqua"/>
              </w:rPr>
              <w:t>17)</w:t>
            </w:r>
          </w:p>
        </w:tc>
        <w:tc>
          <w:tcPr>
            <w:tcW w:w="742" w:type="pct"/>
          </w:tcPr>
          <w:p w14:paraId="47C5E21F"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Male (10)</w:t>
            </w:r>
            <w:r w:rsidR="005C4885">
              <w:rPr>
                <w:rFonts w:ascii="Book Antiqua" w:hAnsi="Book Antiqua"/>
              </w:rPr>
              <w:t>,</w:t>
            </w:r>
            <w:r w:rsidR="00FA1E41" w:rsidRPr="00AE67E1">
              <w:rPr>
                <w:rFonts w:ascii="Book Antiqua" w:eastAsiaTheme="minorEastAsia" w:hAnsi="Book Antiqua"/>
                <w:lang w:eastAsia="zh-CN"/>
              </w:rPr>
              <w:t xml:space="preserve"> </w:t>
            </w:r>
            <w:r w:rsidRPr="00AE67E1">
              <w:rPr>
                <w:rFonts w:ascii="Book Antiqua" w:hAnsi="Book Antiqua"/>
              </w:rPr>
              <w:t>Female (7)</w:t>
            </w:r>
          </w:p>
        </w:tc>
        <w:tc>
          <w:tcPr>
            <w:tcW w:w="732" w:type="pct"/>
          </w:tcPr>
          <w:p w14:paraId="0D809B6D"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31</w:t>
            </w:r>
          </w:p>
        </w:tc>
        <w:tc>
          <w:tcPr>
            <w:tcW w:w="1129" w:type="pct"/>
          </w:tcPr>
          <w:p w14:paraId="19D7681C"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NA</w:t>
            </w:r>
          </w:p>
        </w:tc>
        <w:tc>
          <w:tcPr>
            <w:tcW w:w="639" w:type="pct"/>
          </w:tcPr>
          <w:p w14:paraId="77C1C6E5"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NA</w:t>
            </w:r>
          </w:p>
        </w:tc>
        <w:tc>
          <w:tcPr>
            <w:tcW w:w="697" w:type="pct"/>
          </w:tcPr>
          <w:p w14:paraId="5FF83F64"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NA</w:t>
            </w:r>
          </w:p>
        </w:tc>
      </w:tr>
    </w:tbl>
    <w:p w14:paraId="3BE9C40C" w14:textId="77777777" w:rsidR="00F07400" w:rsidRPr="00AE67E1" w:rsidRDefault="000300FB" w:rsidP="00AE67E1">
      <w:pPr>
        <w:spacing w:line="360" w:lineRule="auto"/>
        <w:jc w:val="both"/>
        <w:rPr>
          <w:rFonts w:ascii="Book Antiqua" w:hAnsi="Book Antiqua"/>
        </w:rPr>
      </w:pPr>
      <w:r w:rsidRPr="00AE67E1">
        <w:rPr>
          <w:rFonts w:ascii="Book Antiqua" w:hAnsi="Book Antiqua"/>
          <w:vertAlign w:val="superscript"/>
        </w:rPr>
        <w:t>1</w:t>
      </w:r>
      <w:r w:rsidRPr="00AE67E1">
        <w:rPr>
          <w:rFonts w:ascii="Book Antiqua" w:hAnsi="Book Antiqua"/>
        </w:rPr>
        <w:t xml:space="preserve">One inflammatory pseudotumor and one pleural tumor cases presented as ground-glass opacity. </w:t>
      </w:r>
      <w:r w:rsidR="00C430B4" w:rsidRPr="00AE67E1">
        <w:rPr>
          <w:rFonts w:ascii="Book Antiqua" w:hAnsi="Book Antiqua"/>
        </w:rPr>
        <w:t xml:space="preserve">AAH: </w:t>
      </w:r>
      <w:r w:rsidR="00FA1E41" w:rsidRPr="00AE67E1">
        <w:rPr>
          <w:rFonts w:ascii="Book Antiqua" w:hAnsi="Book Antiqua"/>
        </w:rPr>
        <w:t>A</w:t>
      </w:r>
      <w:r w:rsidR="00C430B4" w:rsidRPr="00AE67E1">
        <w:rPr>
          <w:rFonts w:ascii="Book Antiqua" w:hAnsi="Book Antiqua"/>
        </w:rPr>
        <w:t xml:space="preserve">typical adenomatous hyperplasia; AIS: </w:t>
      </w:r>
      <w:r w:rsidR="00FA1E41" w:rsidRPr="00AE67E1">
        <w:rPr>
          <w:rFonts w:ascii="Book Antiqua" w:hAnsi="Book Antiqua"/>
        </w:rPr>
        <w:t>A</w:t>
      </w:r>
      <w:r w:rsidR="00C430B4" w:rsidRPr="00AE67E1">
        <w:rPr>
          <w:rFonts w:ascii="Book Antiqua" w:hAnsi="Book Antiqua"/>
        </w:rPr>
        <w:t xml:space="preserve">denocarcinoma </w:t>
      </w:r>
      <w:r w:rsidR="00070C99" w:rsidRPr="00070C99">
        <w:rPr>
          <w:rFonts w:ascii="Book Antiqua" w:hAnsi="Book Antiqua"/>
          <w:i/>
          <w:iCs/>
        </w:rPr>
        <w:t>in situ</w:t>
      </w:r>
      <w:r w:rsidR="00C430B4" w:rsidRPr="00AE67E1">
        <w:rPr>
          <w:rFonts w:ascii="Book Antiqua" w:hAnsi="Book Antiqua"/>
        </w:rPr>
        <w:t xml:space="preserve">; </w:t>
      </w:r>
      <w:r w:rsidR="00A722C7" w:rsidRPr="00AE67E1">
        <w:rPr>
          <w:rFonts w:ascii="Book Antiqua" w:hAnsi="Book Antiqua"/>
        </w:rPr>
        <w:t>IAC: Invasive adenocarcinoma; IPT: Inflammatory pseudotumor</w:t>
      </w:r>
      <w:r w:rsidR="00A722C7">
        <w:rPr>
          <w:rFonts w:ascii="Book Antiqua" w:eastAsia="Book Antiqua" w:hAnsi="Book Antiqua" w:cs="Book Antiqua"/>
          <w:color w:val="000000"/>
        </w:rPr>
        <w:t xml:space="preserve">; </w:t>
      </w:r>
      <w:r w:rsidR="00C430B4" w:rsidRPr="00AE67E1">
        <w:rPr>
          <w:rFonts w:ascii="Book Antiqua" w:hAnsi="Book Antiqua"/>
        </w:rPr>
        <w:t xml:space="preserve">MIA: </w:t>
      </w:r>
      <w:r w:rsidRPr="00AE67E1">
        <w:rPr>
          <w:rFonts w:ascii="Book Antiqua" w:hAnsi="Book Antiqua"/>
        </w:rPr>
        <w:t>M</w:t>
      </w:r>
      <w:r w:rsidR="00C430B4" w:rsidRPr="00AE67E1">
        <w:rPr>
          <w:rFonts w:ascii="Book Antiqua" w:hAnsi="Book Antiqua"/>
        </w:rPr>
        <w:t>inimally invasive adenocarcinoma</w:t>
      </w:r>
      <w:r w:rsidR="00A722C7">
        <w:rPr>
          <w:rFonts w:ascii="Book Antiqua" w:hAnsi="Book Antiqua"/>
        </w:rPr>
        <w:t>.</w:t>
      </w:r>
    </w:p>
    <w:p w14:paraId="1212CA77" w14:textId="77777777" w:rsidR="00F07400" w:rsidRPr="00AE67E1" w:rsidRDefault="00293E0F" w:rsidP="00AE67E1">
      <w:pPr>
        <w:spacing w:line="360" w:lineRule="auto"/>
        <w:jc w:val="both"/>
        <w:rPr>
          <w:rFonts w:ascii="Book Antiqua" w:hAnsi="Book Antiqua"/>
        </w:rPr>
      </w:pPr>
      <w:r w:rsidRPr="00AE67E1">
        <w:rPr>
          <w:rFonts w:ascii="Book Antiqua" w:hAnsi="Book Antiqua"/>
        </w:rPr>
        <w:br w:type="page"/>
      </w:r>
      <w:r w:rsidR="00C430B4" w:rsidRPr="00AE67E1">
        <w:rPr>
          <w:rFonts w:ascii="Book Antiqua" w:hAnsi="Book Antiqua"/>
          <w:b/>
        </w:rPr>
        <w:lastRenderedPageBreak/>
        <w:t xml:space="preserve">Table 2 Area under the </w:t>
      </w:r>
      <w:r w:rsidR="00D57ED7" w:rsidRPr="00AE67E1">
        <w:rPr>
          <w:rFonts w:ascii="Book Antiqua" w:eastAsia="Book Antiqua" w:hAnsi="Book Antiqua" w:cs="Book Antiqua"/>
          <w:b/>
          <w:bCs/>
          <w:color w:val="000000"/>
        </w:rPr>
        <w:t>receiver operating characteristic</w:t>
      </w:r>
      <w:r w:rsidR="00C430B4" w:rsidRPr="00AE67E1">
        <w:rPr>
          <w:rFonts w:ascii="Book Antiqua" w:hAnsi="Book Antiqua"/>
          <w:b/>
        </w:rPr>
        <w:t xml:space="preserve"> curve, </w:t>
      </w:r>
      <w:r w:rsidR="00D57ED7" w:rsidRPr="00AE67E1">
        <w:rPr>
          <w:rFonts w:ascii="Book Antiqua" w:hAnsi="Book Antiqua"/>
          <w:b/>
          <w:bCs/>
          <w:i/>
          <w:iCs/>
        </w:rPr>
        <w:t>P</w:t>
      </w:r>
      <w:r w:rsidR="00C430B4" w:rsidRPr="00AE67E1">
        <w:rPr>
          <w:rFonts w:ascii="Book Antiqua" w:hAnsi="Book Antiqua"/>
          <w:b/>
        </w:rPr>
        <w:t xml:space="preserve"> value, sensitivity and specificity of </w:t>
      </w:r>
      <w:r w:rsidR="00D57ED7" w:rsidRPr="00AE67E1">
        <w:rPr>
          <w:rFonts w:ascii="Book Antiqua" w:eastAsia="Book Antiqua" w:hAnsi="Book Antiqua" w:cs="Book Antiqua"/>
          <w:b/>
          <w:bCs/>
          <w:color w:val="000000"/>
        </w:rPr>
        <w:t>circulating tumor cells</w:t>
      </w:r>
    </w:p>
    <w:tbl>
      <w:tblPr>
        <w:tblStyle w:val="TableGrid"/>
        <w:tblW w:w="10130" w:type="dxa"/>
        <w:tblInd w:w="-426" w:type="dxa"/>
        <w:tblLook w:val="04A0" w:firstRow="1" w:lastRow="0" w:firstColumn="1" w:lastColumn="0" w:noHBand="0" w:noVBand="1"/>
      </w:tblPr>
      <w:tblGrid>
        <w:gridCol w:w="1502"/>
        <w:gridCol w:w="876"/>
        <w:gridCol w:w="1219"/>
        <w:gridCol w:w="1403"/>
        <w:gridCol w:w="1095"/>
        <w:gridCol w:w="1243"/>
        <w:gridCol w:w="1403"/>
        <w:gridCol w:w="1389"/>
      </w:tblGrid>
      <w:tr w:rsidR="00D17CA9" w:rsidRPr="00AE67E1" w14:paraId="2F752BB8" w14:textId="77777777" w:rsidTr="00A722C7">
        <w:trPr>
          <w:trHeight w:val="276"/>
        </w:trPr>
        <w:tc>
          <w:tcPr>
            <w:tcW w:w="1502" w:type="dxa"/>
            <w:tcBorders>
              <w:left w:val="nil"/>
              <w:bottom w:val="nil"/>
              <w:right w:val="nil"/>
            </w:tcBorders>
            <w:noWrap/>
          </w:tcPr>
          <w:p w14:paraId="75EE035B" w14:textId="77777777" w:rsidR="00D17CA9" w:rsidRPr="00AE67E1" w:rsidRDefault="00D17CA9" w:rsidP="00AE67E1">
            <w:pPr>
              <w:spacing w:after="0" w:line="360" w:lineRule="auto"/>
              <w:jc w:val="both"/>
              <w:rPr>
                <w:rFonts w:ascii="Book Antiqua" w:hAnsi="Book Antiqua"/>
                <w:b/>
                <w:bCs/>
              </w:rPr>
            </w:pPr>
            <w:r w:rsidRPr="00AE67E1">
              <w:rPr>
                <w:rFonts w:ascii="Book Antiqua" w:hAnsi="Book Antiqua"/>
                <w:b/>
                <w:bCs/>
              </w:rPr>
              <w:t>Subjects</w:t>
            </w:r>
          </w:p>
        </w:tc>
        <w:tc>
          <w:tcPr>
            <w:tcW w:w="3498" w:type="dxa"/>
            <w:gridSpan w:val="3"/>
            <w:tcBorders>
              <w:left w:val="nil"/>
              <w:bottom w:val="single" w:sz="4" w:space="0" w:color="auto"/>
              <w:right w:val="nil"/>
            </w:tcBorders>
            <w:noWrap/>
          </w:tcPr>
          <w:p w14:paraId="4703A8E1" w14:textId="77777777" w:rsidR="00D17CA9" w:rsidRPr="00AE67E1" w:rsidRDefault="00D17CA9" w:rsidP="00AE67E1">
            <w:pPr>
              <w:spacing w:after="0" w:line="360" w:lineRule="auto"/>
              <w:jc w:val="both"/>
              <w:rPr>
                <w:rFonts w:ascii="Book Antiqua" w:hAnsi="Book Antiqua"/>
                <w:b/>
                <w:bCs/>
              </w:rPr>
            </w:pPr>
            <w:r w:rsidRPr="00AE67E1">
              <w:rPr>
                <w:rFonts w:ascii="Book Antiqua" w:hAnsi="Book Antiqua"/>
                <w:b/>
                <w:bCs/>
              </w:rPr>
              <w:t>All lung cancer patients</w:t>
            </w:r>
            <w:r w:rsidR="005C4885">
              <w:rPr>
                <w:rFonts w:ascii="Book Antiqua" w:hAnsi="Book Antiqua"/>
                <w:b/>
                <w:bCs/>
              </w:rPr>
              <w:t>,</w:t>
            </w:r>
            <w:r w:rsidRPr="00AE67E1">
              <w:rPr>
                <w:rFonts w:ascii="Book Antiqua" w:hAnsi="Book Antiqua"/>
                <w:b/>
                <w:bCs/>
              </w:rPr>
              <w:t xml:space="preserve"> </w:t>
            </w:r>
            <w:r w:rsidRPr="00AE67E1">
              <w:rPr>
                <w:rFonts w:ascii="Book Antiqua" w:hAnsi="Book Antiqua"/>
                <w:b/>
                <w:bCs/>
                <w:i/>
                <w:iCs/>
              </w:rPr>
              <w:t>n</w:t>
            </w:r>
            <w:r w:rsidRPr="00AE67E1">
              <w:rPr>
                <w:rFonts w:ascii="Book Antiqua" w:hAnsi="Book Antiqua"/>
                <w:b/>
                <w:bCs/>
              </w:rPr>
              <w:t xml:space="preserve"> = 106</w:t>
            </w:r>
          </w:p>
        </w:tc>
        <w:tc>
          <w:tcPr>
            <w:tcW w:w="5130" w:type="dxa"/>
            <w:gridSpan w:val="4"/>
            <w:tcBorders>
              <w:left w:val="nil"/>
              <w:bottom w:val="single" w:sz="4" w:space="0" w:color="auto"/>
              <w:right w:val="nil"/>
            </w:tcBorders>
            <w:noWrap/>
          </w:tcPr>
          <w:p w14:paraId="72728C16" w14:textId="77777777" w:rsidR="00D17CA9" w:rsidRPr="00AE67E1" w:rsidRDefault="00D17CA9" w:rsidP="00AE67E1">
            <w:pPr>
              <w:spacing w:after="0" w:line="360" w:lineRule="auto"/>
              <w:jc w:val="both"/>
              <w:rPr>
                <w:rFonts w:ascii="Book Antiqua" w:hAnsi="Book Antiqua"/>
                <w:b/>
                <w:bCs/>
              </w:rPr>
            </w:pPr>
            <w:r w:rsidRPr="00AE67E1">
              <w:rPr>
                <w:rFonts w:ascii="Book Antiqua" w:hAnsi="Book Antiqua"/>
                <w:b/>
                <w:bCs/>
              </w:rPr>
              <w:t>Lung cancer patients presenting as GGO</w:t>
            </w:r>
            <w:r w:rsidR="005C4885">
              <w:rPr>
                <w:rFonts w:ascii="Book Antiqua" w:hAnsi="Book Antiqua"/>
                <w:b/>
                <w:bCs/>
              </w:rPr>
              <w:t>,</w:t>
            </w:r>
            <w:r w:rsidRPr="00AE67E1">
              <w:rPr>
                <w:rFonts w:ascii="Book Antiqua" w:hAnsi="Book Antiqua"/>
                <w:b/>
                <w:bCs/>
              </w:rPr>
              <w:t xml:space="preserve"> </w:t>
            </w:r>
            <w:r w:rsidRPr="00AE67E1">
              <w:rPr>
                <w:rFonts w:ascii="Book Antiqua" w:hAnsi="Book Antiqua"/>
                <w:b/>
                <w:bCs/>
                <w:i/>
                <w:iCs/>
              </w:rPr>
              <w:t>n</w:t>
            </w:r>
            <w:r w:rsidRPr="00AE67E1">
              <w:rPr>
                <w:rFonts w:ascii="Book Antiqua" w:hAnsi="Book Antiqua"/>
                <w:b/>
                <w:bCs/>
              </w:rPr>
              <w:t xml:space="preserve"> = 42</w:t>
            </w:r>
          </w:p>
        </w:tc>
      </w:tr>
      <w:tr w:rsidR="00F07400" w:rsidRPr="00AE67E1" w14:paraId="31EAFB08" w14:textId="77777777" w:rsidTr="00A722C7">
        <w:trPr>
          <w:trHeight w:val="276"/>
        </w:trPr>
        <w:tc>
          <w:tcPr>
            <w:tcW w:w="1502" w:type="dxa"/>
            <w:tcBorders>
              <w:top w:val="nil"/>
              <w:left w:val="nil"/>
              <w:bottom w:val="single" w:sz="4" w:space="0" w:color="auto"/>
              <w:right w:val="nil"/>
            </w:tcBorders>
            <w:noWrap/>
          </w:tcPr>
          <w:p w14:paraId="3D1AF1E8" w14:textId="77777777" w:rsidR="00F07400" w:rsidRPr="00AE67E1" w:rsidRDefault="00F07400" w:rsidP="00AE67E1">
            <w:pPr>
              <w:spacing w:after="0" w:line="360" w:lineRule="auto"/>
              <w:jc w:val="both"/>
              <w:rPr>
                <w:rFonts w:ascii="Book Antiqua" w:hAnsi="Book Antiqua"/>
                <w:b/>
                <w:bCs/>
              </w:rPr>
            </w:pPr>
          </w:p>
        </w:tc>
        <w:tc>
          <w:tcPr>
            <w:tcW w:w="876" w:type="dxa"/>
            <w:tcBorders>
              <w:left w:val="nil"/>
              <w:bottom w:val="single" w:sz="4" w:space="0" w:color="auto"/>
              <w:right w:val="nil"/>
            </w:tcBorders>
            <w:noWrap/>
          </w:tcPr>
          <w:p w14:paraId="4DBF36BC"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AUC</w:t>
            </w:r>
          </w:p>
        </w:tc>
        <w:tc>
          <w:tcPr>
            <w:tcW w:w="1219" w:type="dxa"/>
            <w:tcBorders>
              <w:left w:val="nil"/>
              <w:bottom w:val="single" w:sz="4" w:space="0" w:color="auto"/>
              <w:right w:val="nil"/>
            </w:tcBorders>
            <w:noWrap/>
          </w:tcPr>
          <w:p w14:paraId="3BA3A1E3" w14:textId="77777777" w:rsidR="00F07400" w:rsidRPr="00AE67E1" w:rsidRDefault="00DE6710" w:rsidP="00AE67E1">
            <w:pPr>
              <w:spacing w:after="0" w:line="360" w:lineRule="auto"/>
              <w:jc w:val="both"/>
              <w:rPr>
                <w:rFonts w:ascii="Book Antiqua" w:hAnsi="Book Antiqua"/>
                <w:b/>
                <w:bCs/>
              </w:rPr>
            </w:pPr>
            <w:r w:rsidRPr="00AE67E1">
              <w:rPr>
                <w:rFonts w:ascii="Book Antiqua" w:hAnsi="Book Antiqua"/>
                <w:b/>
                <w:bCs/>
                <w:i/>
                <w:iCs/>
              </w:rPr>
              <w:t>P</w:t>
            </w:r>
            <w:r w:rsidR="00C430B4" w:rsidRPr="00AE67E1">
              <w:rPr>
                <w:rFonts w:ascii="Book Antiqua" w:hAnsi="Book Antiqua"/>
                <w:b/>
                <w:bCs/>
              </w:rPr>
              <w:t xml:space="preserve"> value</w:t>
            </w:r>
          </w:p>
        </w:tc>
        <w:tc>
          <w:tcPr>
            <w:tcW w:w="1403" w:type="dxa"/>
            <w:tcBorders>
              <w:left w:val="nil"/>
              <w:bottom w:val="single" w:sz="4" w:space="0" w:color="auto"/>
              <w:right w:val="nil"/>
            </w:tcBorders>
            <w:noWrap/>
          </w:tcPr>
          <w:p w14:paraId="0F866845"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Sensitivity</w:t>
            </w:r>
          </w:p>
        </w:tc>
        <w:tc>
          <w:tcPr>
            <w:tcW w:w="1095" w:type="dxa"/>
            <w:tcBorders>
              <w:left w:val="nil"/>
              <w:bottom w:val="single" w:sz="4" w:space="0" w:color="auto"/>
              <w:right w:val="nil"/>
            </w:tcBorders>
            <w:noWrap/>
          </w:tcPr>
          <w:p w14:paraId="325ADAA3" w14:textId="77777777" w:rsidR="00F07400" w:rsidRPr="00AE67E1" w:rsidRDefault="00C430B4" w:rsidP="00AE67E1">
            <w:pPr>
              <w:spacing w:after="0" w:line="360" w:lineRule="auto"/>
              <w:jc w:val="both"/>
              <w:rPr>
                <w:rFonts w:ascii="Book Antiqua" w:hAnsi="Book Antiqua"/>
                <w:b/>
                <w:bCs/>
              </w:rPr>
            </w:pPr>
            <w:r w:rsidRPr="00AE67E1">
              <w:rPr>
                <w:rFonts w:ascii="Book Antiqua" w:hAnsi="Book Antiqua"/>
                <w:b/>
                <w:bCs/>
              </w:rPr>
              <w:t>AUC</w:t>
            </w:r>
          </w:p>
        </w:tc>
        <w:tc>
          <w:tcPr>
            <w:tcW w:w="1243" w:type="dxa"/>
            <w:tcBorders>
              <w:left w:val="nil"/>
              <w:bottom w:val="single" w:sz="4" w:space="0" w:color="auto"/>
              <w:right w:val="nil"/>
            </w:tcBorders>
            <w:noWrap/>
          </w:tcPr>
          <w:p w14:paraId="62826233" w14:textId="77777777" w:rsidR="00F07400" w:rsidRPr="00AE67E1" w:rsidRDefault="00DE6710" w:rsidP="00AE67E1">
            <w:pPr>
              <w:spacing w:after="0" w:line="360" w:lineRule="auto"/>
              <w:jc w:val="both"/>
              <w:rPr>
                <w:rFonts w:ascii="Book Antiqua" w:hAnsi="Book Antiqua"/>
                <w:b/>
                <w:bCs/>
              </w:rPr>
            </w:pPr>
            <w:r w:rsidRPr="00AE67E1">
              <w:rPr>
                <w:rFonts w:ascii="Book Antiqua" w:hAnsi="Book Antiqua"/>
                <w:b/>
                <w:bCs/>
                <w:i/>
                <w:iCs/>
              </w:rPr>
              <w:t>P</w:t>
            </w:r>
            <w:r w:rsidR="00C430B4" w:rsidRPr="00AE67E1">
              <w:rPr>
                <w:rFonts w:ascii="Book Antiqua" w:hAnsi="Book Antiqua"/>
                <w:b/>
                <w:bCs/>
              </w:rPr>
              <w:t xml:space="preserve"> value</w:t>
            </w:r>
          </w:p>
        </w:tc>
        <w:tc>
          <w:tcPr>
            <w:tcW w:w="1403" w:type="dxa"/>
            <w:tcBorders>
              <w:left w:val="nil"/>
              <w:bottom w:val="single" w:sz="4" w:space="0" w:color="auto"/>
              <w:right w:val="nil"/>
            </w:tcBorders>
            <w:noWrap/>
          </w:tcPr>
          <w:p w14:paraId="3EFE2734" w14:textId="77777777" w:rsidR="00F07400" w:rsidRPr="00AE67E1" w:rsidRDefault="000F188F" w:rsidP="00AE67E1">
            <w:pPr>
              <w:spacing w:after="0" w:line="360" w:lineRule="auto"/>
              <w:jc w:val="both"/>
              <w:rPr>
                <w:rFonts w:ascii="Book Antiqua" w:hAnsi="Book Antiqua"/>
                <w:b/>
                <w:bCs/>
              </w:rPr>
            </w:pPr>
            <w:r w:rsidRPr="00AE67E1">
              <w:rPr>
                <w:rFonts w:ascii="Book Antiqua" w:hAnsi="Book Antiqua"/>
                <w:b/>
                <w:bCs/>
              </w:rPr>
              <w:t>S</w:t>
            </w:r>
            <w:r w:rsidR="00C430B4" w:rsidRPr="00AE67E1">
              <w:rPr>
                <w:rFonts w:ascii="Book Antiqua" w:hAnsi="Book Antiqua"/>
                <w:b/>
                <w:bCs/>
              </w:rPr>
              <w:t>ensitivity</w:t>
            </w:r>
          </w:p>
        </w:tc>
        <w:tc>
          <w:tcPr>
            <w:tcW w:w="1389" w:type="dxa"/>
            <w:tcBorders>
              <w:left w:val="nil"/>
              <w:bottom w:val="single" w:sz="4" w:space="0" w:color="auto"/>
              <w:right w:val="nil"/>
            </w:tcBorders>
            <w:noWrap/>
          </w:tcPr>
          <w:p w14:paraId="3732C637" w14:textId="77777777" w:rsidR="00F07400" w:rsidRPr="00AE67E1" w:rsidRDefault="000F188F" w:rsidP="00AE67E1">
            <w:pPr>
              <w:spacing w:after="0" w:line="360" w:lineRule="auto"/>
              <w:jc w:val="both"/>
              <w:rPr>
                <w:rFonts w:ascii="Book Antiqua" w:hAnsi="Book Antiqua"/>
                <w:b/>
                <w:bCs/>
              </w:rPr>
            </w:pPr>
            <w:r w:rsidRPr="00AE67E1">
              <w:rPr>
                <w:rFonts w:ascii="Book Antiqua" w:hAnsi="Book Antiqua"/>
                <w:b/>
                <w:bCs/>
              </w:rPr>
              <w:t>S</w:t>
            </w:r>
            <w:r w:rsidR="00C430B4" w:rsidRPr="00AE67E1">
              <w:rPr>
                <w:rFonts w:ascii="Book Antiqua" w:hAnsi="Book Antiqua"/>
                <w:b/>
                <w:bCs/>
              </w:rPr>
              <w:t>pecificity</w:t>
            </w:r>
          </w:p>
        </w:tc>
      </w:tr>
      <w:tr w:rsidR="00F07400" w:rsidRPr="00AE67E1" w14:paraId="4D37D7C1" w14:textId="77777777" w:rsidTr="00A722C7">
        <w:trPr>
          <w:trHeight w:val="276"/>
        </w:trPr>
        <w:tc>
          <w:tcPr>
            <w:tcW w:w="1502" w:type="dxa"/>
            <w:tcBorders>
              <w:top w:val="single" w:sz="4" w:space="0" w:color="auto"/>
              <w:left w:val="nil"/>
              <w:bottom w:val="nil"/>
              <w:right w:val="nil"/>
            </w:tcBorders>
            <w:noWrap/>
          </w:tcPr>
          <w:p w14:paraId="1EAD2D96"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Total CTCs</w:t>
            </w:r>
          </w:p>
        </w:tc>
        <w:tc>
          <w:tcPr>
            <w:tcW w:w="876" w:type="dxa"/>
            <w:tcBorders>
              <w:top w:val="single" w:sz="4" w:space="0" w:color="auto"/>
              <w:left w:val="nil"/>
              <w:bottom w:val="nil"/>
              <w:right w:val="nil"/>
            </w:tcBorders>
            <w:noWrap/>
          </w:tcPr>
          <w:p w14:paraId="74BA9880"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0.828</w:t>
            </w:r>
          </w:p>
        </w:tc>
        <w:tc>
          <w:tcPr>
            <w:tcW w:w="1219" w:type="dxa"/>
            <w:tcBorders>
              <w:top w:val="single" w:sz="4" w:space="0" w:color="auto"/>
              <w:left w:val="nil"/>
              <w:bottom w:val="nil"/>
              <w:right w:val="nil"/>
            </w:tcBorders>
            <w:noWrap/>
          </w:tcPr>
          <w:p w14:paraId="35794B81"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&lt;</w:t>
            </w:r>
            <w:r w:rsidR="00DE6710" w:rsidRPr="00AE67E1">
              <w:rPr>
                <w:rFonts w:ascii="Book Antiqua" w:hAnsi="Book Antiqua"/>
              </w:rPr>
              <w:t xml:space="preserve"> </w:t>
            </w:r>
            <w:r w:rsidRPr="00AE67E1">
              <w:rPr>
                <w:rFonts w:ascii="Book Antiqua" w:hAnsi="Book Antiqua"/>
              </w:rPr>
              <w:t>0.0001</w:t>
            </w:r>
          </w:p>
        </w:tc>
        <w:tc>
          <w:tcPr>
            <w:tcW w:w="1403" w:type="dxa"/>
            <w:tcBorders>
              <w:top w:val="single" w:sz="4" w:space="0" w:color="auto"/>
              <w:left w:val="nil"/>
              <w:bottom w:val="nil"/>
              <w:right w:val="nil"/>
            </w:tcBorders>
            <w:noWrap/>
          </w:tcPr>
          <w:p w14:paraId="0952680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79.24%</w:t>
            </w:r>
          </w:p>
        </w:tc>
        <w:tc>
          <w:tcPr>
            <w:tcW w:w="1095" w:type="dxa"/>
            <w:tcBorders>
              <w:top w:val="single" w:sz="4" w:space="0" w:color="auto"/>
              <w:left w:val="nil"/>
              <w:bottom w:val="nil"/>
              <w:right w:val="nil"/>
            </w:tcBorders>
            <w:noWrap/>
          </w:tcPr>
          <w:p w14:paraId="396CEDE4"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0.7963</w:t>
            </w:r>
          </w:p>
        </w:tc>
        <w:tc>
          <w:tcPr>
            <w:tcW w:w="1243" w:type="dxa"/>
            <w:tcBorders>
              <w:top w:val="single" w:sz="4" w:space="0" w:color="auto"/>
              <w:left w:val="nil"/>
              <w:bottom w:val="nil"/>
              <w:right w:val="nil"/>
            </w:tcBorders>
            <w:noWrap/>
          </w:tcPr>
          <w:p w14:paraId="22EF238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&lt;</w:t>
            </w:r>
            <w:r w:rsidR="00DE6710" w:rsidRPr="00AE67E1">
              <w:rPr>
                <w:rFonts w:ascii="Book Antiqua" w:hAnsi="Book Antiqua"/>
              </w:rPr>
              <w:t xml:space="preserve"> </w:t>
            </w:r>
            <w:r w:rsidRPr="00AE67E1">
              <w:rPr>
                <w:rFonts w:ascii="Book Antiqua" w:hAnsi="Book Antiqua"/>
              </w:rPr>
              <w:t>0.0001</w:t>
            </w:r>
          </w:p>
        </w:tc>
        <w:tc>
          <w:tcPr>
            <w:tcW w:w="1403" w:type="dxa"/>
            <w:tcBorders>
              <w:top w:val="single" w:sz="4" w:space="0" w:color="auto"/>
              <w:left w:val="nil"/>
              <w:bottom w:val="nil"/>
              <w:right w:val="nil"/>
            </w:tcBorders>
            <w:noWrap/>
          </w:tcPr>
          <w:p w14:paraId="4B3230B5"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71.42%</w:t>
            </w:r>
          </w:p>
        </w:tc>
        <w:tc>
          <w:tcPr>
            <w:tcW w:w="1389" w:type="dxa"/>
            <w:tcBorders>
              <w:top w:val="single" w:sz="4" w:space="0" w:color="auto"/>
              <w:left w:val="nil"/>
              <w:bottom w:val="nil"/>
              <w:right w:val="nil"/>
            </w:tcBorders>
            <w:noWrap/>
          </w:tcPr>
          <w:p w14:paraId="5F835A9B"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82.14%</w:t>
            </w:r>
          </w:p>
        </w:tc>
      </w:tr>
      <w:tr w:rsidR="00F07400" w:rsidRPr="00AE67E1" w14:paraId="494D9BEF" w14:textId="77777777" w:rsidTr="00A722C7">
        <w:trPr>
          <w:trHeight w:val="276"/>
        </w:trPr>
        <w:tc>
          <w:tcPr>
            <w:tcW w:w="1502" w:type="dxa"/>
            <w:tcBorders>
              <w:top w:val="nil"/>
              <w:left w:val="nil"/>
              <w:bottom w:val="nil"/>
              <w:right w:val="nil"/>
            </w:tcBorders>
            <w:noWrap/>
          </w:tcPr>
          <w:p w14:paraId="725CF315"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E-CTCs</w:t>
            </w:r>
          </w:p>
        </w:tc>
        <w:tc>
          <w:tcPr>
            <w:tcW w:w="876" w:type="dxa"/>
            <w:tcBorders>
              <w:top w:val="nil"/>
              <w:left w:val="nil"/>
              <w:bottom w:val="nil"/>
              <w:right w:val="nil"/>
            </w:tcBorders>
            <w:noWrap/>
          </w:tcPr>
          <w:p w14:paraId="72E6630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0.6193</w:t>
            </w:r>
          </w:p>
        </w:tc>
        <w:tc>
          <w:tcPr>
            <w:tcW w:w="1219" w:type="dxa"/>
            <w:tcBorders>
              <w:top w:val="nil"/>
              <w:left w:val="nil"/>
              <w:bottom w:val="nil"/>
              <w:right w:val="nil"/>
            </w:tcBorders>
            <w:noWrap/>
          </w:tcPr>
          <w:p w14:paraId="0B7169FF"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0.0527</w:t>
            </w:r>
          </w:p>
        </w:tc>
        <w:tc>
          <w:tcPr>
            <w:tcW w:w="1403" w:type="dxa"/>
            <w:tcBorders>
              <w:top w:val="nil"/>
              <w:left w:val="nil"/>
              <w:bottom w:val="nil"/>
              <w:right w:val="nil"/>
            </w:tcBorders>
            <w:noWrap/>
          </w:tcPr>
          <w:p w14:paraId="18FC118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50.00%</w:t>
            </w:r>
          </w:p>
        </w:tc>
        <w:tc>
          <w:tcPr>
            <w:tcW w:w="1095" w:type="dxa"/>
            <w:tcBorders>
              <w:top w:val="nil"/>
              <w:left w:val="nil"/>
              <w:bottom w:val="nil"/>
              <w:right w:val="nil"/>
            </w:tcBorders>
            <w:noWrap/>
          </w:tcPr>
          <w:p w14:paraId="19389912"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0.6029</w:t>
            </w:r>
          </w:p>
        </w:tc>
        <w:tc>
          <w:tcPr>
            <w:tcW w:w="1243" w:type="dxa"/>
            <w:tcBorders>
              <w:top w:val="nil"/>
              <w:left w:val="nil"/>
              <w:bottom w:val="nil"/>
              <w:right w:val="nil"/>
            </w:tcBorders>
            <w:noWrap/>
          </w:tcPr>
          <w:p w14:paraId="2B551025"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0.1469</w:t>
            </w:r>
          </w:p>
        </w:tc>
        <w:tc>
          <w:tcPr>
            <w:tcW w:w="1403" w:type="dxa"/>
            <w:tcBorders>
              <w:top w:val="nil"/>
              <w:left w:val="nil"/>
              <w:bottom w:val="nil"/>
              <w:right w:val="nil"/>
            </w:tcBorders>
            <w:noWrap/>
          </w:tcPr>
          <w:p w14:paraId="795935A7"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47.62%</w:t>
            </w:r>
          </w:p>
        </w:tc>
        <w:tc>
          <w:tcPr>
            <w:tcW w:w="1389" w:type="dxa"/>
            <w:tcBorders>
              <w:top w:val="nil"/>
              <w:left w:val="nil"/>
              <w:bottom w:val="nil"/>
              <w:right w:val="nil"/>
            </w:tcBorders>
            <w:noWrap/>
          </w:tcPr>
          <w:p w14:paraId="6E6C3C2E"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71.43%</w:t>
            </w:r>
          </w:p>
        </w:tc>
      </w:tr>
      <w:tr w:rsidR="00F07400" w:rsidRPr="00AE67E1" w14:paraId="45B6F0A1" w14:textId="77777777" w:rsidTr="00A722C7">
        <w:trPr>
          <w:trHeight w:val="276"/>
        </w:trPr>
        <w:tc>
          <w:tcPr>
            <w:tcW w:w="1502" w:type="dxa"/>
            <w:tcBorders>
              <w:top w:val="nil"/>
              <w:left w:val="nil"/>
              <w:bottom w:val="nil"/>
              <w:right w:val="nil"/>
            </w:tcBorders>
            <w:noWrap/>
          </w:tcPr>
          <w:p w14:paraId="4163F6F7"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M-CTCs</w:t>
            </w:r>
          </w:p>
        </w:tc>
        <w:tc>
          <w:tcPr>
            <w:tcW w:w="876" w:type="dxa"/>
            <w:tcBorders>
              <w:top w:val="nil"/>
              <w:left w:val="nil"/>
              <w:bottom w:val="nil"/>
              <w:right w:val="nil"/>
            </w:tcBorders>
            <w:noWrap/>
          </w:tcPr>
          <w:p w14:paraId="33064516"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0.6892</w:t>
            </w:r>
          </w:p>
        </w:tc>
        <w:tc>
          <w:tcPr>
            <w:tcW w:w="1219" w:type="dxa"/>
            <w:tcBorders>
              <w:top w:val="nil"/>
              <w:left w:val="nil"/>
              <w:bottom w:val="nil"/>
              <w:right w:val="nil"/>
            </w:tcBorders>
            <w:noWrap/>
          </w:tcPr>
          <w:p w14:paraId="1295314A"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0.0021</w:t>
            </w:r>
          </w:p>
        </w:tc>
        <w:tc>
          <w:tcPr>
            <w:tcW w:w="1403" w:type="dxa"/>
            <w:tcBorders>
              <w:top w:val="nil"/>
              <w:left w:val="nil"/>
              <w:bottom w:val="nil"/>
              <w:right w:val="nil"/>
            </w:tcBorders>
            <w:noWrap/>
          </w:tcPr>
          <w:p w14:paraId="0090A4A0"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49.05%</w:t>
            </w:r>
          </w:p>
        </w:tc>
        <w:tc>
          <w:tcPr>
            <w:tcW w:w="1095" w:type="dxa"/>
            <w:tcBorders>
              <w:top w:val="nil"/>
              <w:left w:val="nil"/>
              <w:bottom w:val="nil"/>
              <w:right w:val="nil"/>
            </w:tcBorders>
            <w:noWrap/>
          </w:tcPr>
          <w:p w14:paraId="48083F34"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0.6722</w:t>
            </w:r>
          </w:p>
        </w:tc>
        <w:tc>
          <w:tcPr>
            <w:tcW w:w="1243" w:type="dxa"/>
            <w:tcBorders>
              <w:top w:val="nil"/>
              <w:left w:val="nil"/>
              <w:bottom w:val="nil"/>
              <w:right w:val="nil"/>
            </w:tcBorders>
            <w:noWrap/>
          </w:tcPr>
          <w:p w14:paraId="7F6D86C1"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0.0152</w:t>
            </w:r>
          </w:p>
        </w:tc>
        <w:tc>
          <w:tcPr>
            <w:tcW w:w="1403" w:type="dxa"/>
            <w:tcBorders>
              <w:top w:val="nil"/>
              <w:left w:val="nil"/>
              <w:bottom w:val="nil"/>
              <w:right w:val="nil"/>
            </w:tcBorders>
            <w:noWrap/>
          </w:tcPr>
          <w:p w14:paraId="27D78FC1"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42.85%</w:t>
            </w:r>
          </w:p>
        </w:tc>
        <w:tc>
          <w:tcPr>
            <w:tcW w:w="1389" w:type="dxa"/>
            <w:tcBorders>
              <w:top w:val="nil"/>
              <w:left w:val="nil"/>
              <w:bottom w:val="nil"/>
              <w:right w:val="nil"/>
            </w:tcBorders>
            <w:noWrap/>
          </w:tcPr>
          <w:p w14:paraId="13B2997C"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89.29%</w:t>
            </w:r>
          </w:p>
        </w:tc>
      </w:tr>
      <w:tr w:rsidR="00F07400" w:rsidRPr="00AE67E1" w14:paraId="0322BC7D" w14:textId="77777777" w:rsidTr="00A722C7">
        <w:trPr>
          <w:trHeight w:val="276"/>
        </w:trPr>
        <w:tc>
          <w:tcPr>
            <w:tcW w:w="1502" w:type="dxa"/>
            <w:tcBorders>
              <w:top w:val="nil"/>
              <w:left w:val="nil"/>
              <w:bottom w:val="nil"/>
              <w:right w:val="nil"/>
            </w:tcBorders>
            <w:noWrap/>
          </w:tcPr>
          <w:p w14:paraId="163A2E60"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E&amp;M-CTCs</w:t>
            </w:r>
          </w:p>
        </w:tc>
        <w:tc>
          <w:tcPr>
            <w:tcW w:w="876" w:type="dxa"/>
            <w:tcBorders>
              <w:top w:val="nil"/>
              <w:left w:val="nil"/>
              <w:bottom w:val="nil"/>
              <w:right w:val="nil"/>
            </w:tcBorders>
            <w:noWrap/>
          </w:tcPr>
          <w:p w14:paraId="5111E334"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0.7648</w:t>
            </w:r>
          </w:p>
        </w:tc>
        <w:tc>
          <w:tcPr>
            <w:tcW w:w="1219" w:type="dxa"/>
            <w:tcBorders>
              <w:top w:val="nil"/>
              <w:left w:val="nil"/>
              <w:bottom w:val="nil"/>
              <w:right w:val="nil"/>
            </w:tcBorders>
            <w:noWrap/>
          </w:tcPr>
          <w:p w14:paraId="364622EC"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&lt;</w:t>
            </w:r>
            <w:r w:rsidR="00DE6710" w:rsidRPr="00AE67E1">
              <w:rPr>
                <w:rFonts w:ascii="Book Antiqua" w:hAnsi="Book Antiqua"/>
              </w:rPr>
              <w:t xml:space="preserve"> </w:t>
            </w:r>
            <w:r w:rsidRPr="00AE67E1">
              <w:rPr>
                <w:rFonts w:ascii="Book Antiqua" w:hAnsi="Book Antiqua"/>
              </w:rPr>
              <w:t>0.0001</w:t>
            </w:r>
          </w:p>
        </w:tc>
        <w:tc>
          <w:tcPr>
            <w:tcW w:w="1403" w:type="dxa"/>
            <w:tcBorders>
              <w:top w:val="nil"/>
              <w:left w:val="nil"/>
              <w:bottom w:val="nil"/>
              <w:right w:val="nil"/>
            </w:tcBorders>
            <w:noWrap/>
          </w:tcPr>
          <w:p w14:paraId="3BB69A31"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69.80%</w:t>
            </w:r>
          </w:p>
        </w:tc>
        <w:tc>
          <w:tcPr>
            <w:tcW w:w="1095" w:type="dxa"/>
            <w:tcBorders>
              <w:top w:val="nil"/>
              <w:left w:val="nil"/>
              <w:bottom w:val="nil"/>
              <w:right w:val="nil"/>
            </w:tcBorders>
            <w:noWrap/>
          </w:tcPr>
          <w:p w14:paraId="6746173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0.7504</w:t>
            </w:r>
          </w:p>
        </w:tc>
        <w:tc>
          <w:tcPr>
            <w:tcW w:w="1243" w:type="dxa"/>
            <w:tcBorders>
              <w:top w:val="nil"/>
              <w:left w:val="nil"/>
              <w:bottom w:val="nil"/>
              <w:right w:val="nil"/>
            </w:tcBorders>
            <w:noWrap/>
          </w:tcPr>
          <w:p w14:paraId="06F4F1B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0.0004</w:t>
            </w:r>
          </w:p>
        </w:tc>
        <w:tc>
          <w:tcPr>
            <w:tcW w:w="1403" w:type="dxa"/>
            <w:tcBorders>
              <w:top w:val="nil"/>
              <w:left w:val="nil"/>
              <w:bottom w:val="nil"/>
              <w:right w:val="nil"/>
            </w:tcBorders>
            <w:noWrap/>
          </w:tcPr>
          <w:p w14:paraId="7DE9F2C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66.67%</w:t>
            </w:r>
          </w:p>
        </w:tc>
        <w:tc>
          <w:tcPr>
            <w:tcW w:w="1389" w:type="dxa"/>
            <w:tcBorders>
              <w:top w:val="nil"/>
              <w:left w:val="nil"/>
              <w:bottom w:val="nil"/>
              <w:right w:val="nil"/>
            </w:tcBorders>
            <w:noWrap/>
          </w:tcPr>
          <w:p w14:paraId="13140C26"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82.14%</w:t>
            </w:r>
          </w:p>
        </w:tc>
      </w:tr>
      <w:tr w:rsidR="00F07400" w:rsidRPr="00AE67E1" w14:paraId="33B29BB8" w14:textId="77777777" w:rsidTr="00A722C7">
        <w:trPr>
          <w:trHeight w:val="276"/>
        </w:trPr>
        <w:tc>
          <w:tcPr>
            <w:tcW w:w="3597" w:type="dxa"/>
            <w:gridSpan w:val="3"/>
            <w:tcBorders>
              <w:top w:val="nil"/>
              <w:left w:val="nil"/>
              <w:right w:val="nil"/>
            </w:tcBorders>
            <w:noWrap/>
          </w:tcPr>
          <w:p w14:paraId="66A5C11A" w14:textId="77777777" w:rsidR="00F07400" w:rsidRPr="00AE67E1" w:rsidRDefault="00C430B4" w:rsidP="00AE67E1">
            <w:pPr>
              <w:spacing w:after="0" w:line="360" w:lineRule="auto"/>
              <w:jc w:val="both"/>
              <w:rPr>
                <w:rFonts w:ascii="Book Antiqua" w:hAnsi="Book Antiqua"/>
                <w:lang w:val="fr-FR"/>
              </w:rPr>
            </w:pPr>
            <w:r w:rsidRPr="00AE67E1">
              <w:rPr>
                <w:rFonts w:ascii="Book Antiqua" w:hAnsi="Book Antiqua"/>
                <w:lang w:val="fr-FR"/>
              </w:rPr>
              <w:t xml:space="preserve">Total CTCs </w:t>
            </w:r>
            <w:r w:rsidR="00AE4B21" w:rsidRPr="00AE67E1">
              <w:rPr>
                <w:rFonts w:ascii="Book Antiqua" w:hAnsi="Book Antiqua"/>
                <w:lang w:val="fr-FR"/>
              </w:rPr>
              <w:t>and</w:t>
            </w:r>
            <w:r w:rsidRPr="00AE67E1">
              <w:rPr>
                <w:rFonts w:ascii="Book Antiqua" w:hAnsi="Book Antiqua"/>
                <w:lang w:val="fr-FR"/>
              </w:rPr>
              <w:t xml:space="preserve"> E&amp;M-CTCs</w:t>
            </w:r>
          </w:p>
        </w:tc>
        <w:tc>
          <w:tcPr>
            <w:tcW w:w="1403" w:type="dxa"/>
            <w:tcBorders>
              <w:top w:val="nil"/>
              <w:left w:val="nil"/>
              <w:right w:val="nil"/>
            </w:tcBorders>
            <w:noWrap/>
          </w:tcPr>
          <w:p w14:paraId="7FEDFD67"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85.85%</w:t>
            </w:r>
          </w:p>
        </w:tc>
        <w:tc>
          <w:tcPr>
            <w:tcW w:w="1095" w:type="dxa"/>
            <w:tcBorders>
              <w:top w:val="nil"/>
              <w:left w:val="nil"/>
              <w:right w:val="nil"/>
            </w:tcBorders>
            <w:noWrap/>
          </w:tcPr>
          <w:p w14:paraId="681F4C08" w14:textId="77777777" w:rsidR="00F07400" w:rsidRPr="00AE67E1" w:rsidRDefault="00F07400" w:rsidP="00AE67E1">
            <w:pPr>
              <w:spacing w:after="0" w:line="360" w:lineRule="auto"/>
              <w:jc w:val="both"/>
              <w:rPr>
                <w:rFonts w:ascii="Book Antiqua" w:hAnsi="Book Antiqua"/>
              </w:rPr>
            </w:pPr>
          </w:p>
        </w:tc>
        <w:tc>
          <w:tcPr>
            <w:tcW w:w="1243" w:type="dxa"/>
            <w:tcBorders>
              <w:top w:val="nil"/>
              <w:left w:val="nil"/>
              <w:right w:val="nil"/>
            </w:tcBorders>
            <w:noWrap/>
          </w:tcPr>
          <w:p w14:paraId="13B4B33D" w14:textId="77777777" w:rsidR="00F07400" w:rsidRPr="00AE67E1" w:rsidRDefault="00F07400" w:rsidP="00AE67E1">
            <w:pPr>
              <w:spacing w:after="0" w:line="360" w:lineRule="auto"/>
              <w:jc w:val="both"/>
              <w:rPr>
                <w:rFonts w:ascii="Book Antiqua" w:hAnsi="Book Antiqua"/>
              </w:rPr>
            </w:pPr>
          </w:p>
        </w:tc>
        <w:tc>
          <w:tcPr>
            <w:tcW w:w="1403" w:type="dxa"/>
            <w:tcBorders>
              <w:top w:val="nil"/>
              <w:left w:val="nil"/>
              <w:right w:val="nil"/>
            </w:tcBorders>
            <w:noWrap/>
          </w:tcPr>
          <w:p w14:paraId="164CE6F5"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80.95%</w:t>
            </w:r>
          </w:p>
        </w:tc>
        <w:tc>
          <w:tcPr>
            <w:tcW w:w="1389" w:type="dxa"/>
            <w:tcBorders>
              <w:top w:val="nil"/>
              <w:left w:val="nil"/>
              <w:right w:val="nil"/>
            </w:tcBorders>
            <w:noWrap/>
          </w:tcPr>
          <w:p w14:paraId="1F44F68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78.57%</w:t>
            </w:r>
          </w:p>
        </w:tc>
      </w:tr>
    </w:tbl>
    <w:p w14:paraId="660CB34A" w14:textId="77777777" w:rsidR="00F07400" w:rsidRPr="00AE67E1" w:rsidRDefault="00A722C7" w:rsidP="00AE67E1">
      <w:pPr>
        <w:spacing w:line="360" w:lineRule="auto"/>
        <w:jc w:val="both"/>
        <w:rPr>
          <w:rFonts w:ascii="Book Antiqua" w:hAnsi="Book Antiqua"/>
          <w:bCs/>
        </w:rPr>
      </w:pPr>
      <w:r w:rsidRPr="00AE67E1">
        <w:rPr>
          <w:rFonts w:ascii="Book Antiqua" w:eastAsia="Book Antiqua" w:hAnsi="Book Antiqua" w:cs="Book Antiqua"/>
          <w:color w:val="000000"/>
        </w:rPr>
        <w:t xml:space="preserve">AUC: </w:t>
      </w:r>
      <w:r w:rsidRPr="00AE67E1">
        <w:rPr>
          <w:rFonts w:ascii="Book Antiqua" w:hAnsi="Book Antiqua"/>
          <w:bCs/>
        </w:rPr>
        <w:t xml:space="preserve">Area under the </w:t>
      </w:r>
      <w:r w:rsidRPr="00AE67E1">
        <w:rPr>
          <w:rFonts w:ascii="Book Antiqua" w:eastAsia="Book Antiqua" w:hAnsi="Book Antiqua" w:cs="Book Antiqua"/>
          <w:bCs/>
          <w:color w:val="000000"/>
        </w:rPr>
        <w:t>ROC</w:t>
      </w:r>
      <w:r w:rsidRPr="00AE67E1">
        <w:rPr>
          <w:rFonts w:ascii="Book Antiqua" w:hAnsi="Book Antiqua"/>
          <w:bCs/>
        </w:rPr>
        <w:t xml:space="preserve"> curve</w:t>
      </w:r>
      <w:r>
        <w:rPr>
          <w:rFonts w:ascii="Book Antiqua" w:hAnsi="Book Antiqua"/>
          <w:bCs/>
        </w:rPr>
        <w:t xml:space="preserve">; </w:t>
      </w:r>
      <w:r w:rsidR="00AE4B21" w:rsidRPr="00AE67E1">
        <w:rPr>
          <w:rFonts w:ascii="Book Antiqua" w:eastAsia="Book Antiqua" w:hAnsi="Book Antiqua" w:cs="Book Antiqua"/>
          <w:color w:val="000000"/>
        </w:rPr>
        <w:t xml:space="preserve">CTCs: Circulating tumor cells; E-CTCs: CTCs with epithelial markers; E&amp;M-CTCs: CTCs with both markers; GGO: Ground-glass opacities; </w:t>
      </w:r>
      <w:r w:rsidRPr="00AE67E1">
        <w:rPr>
          <w:rFonts w:ascii="Book Antiqua" w:eastAsia="Book Antiqua" w:hAnsi="Book Antiqua" w:cs="Book Antiqua"/>
          <w:color w:val="000000"/>
        </w:rPr>
        <w:t xml:space="preserve">M-CTCs: CTCs with mesenchymal markers; </w:t>
      </w:r>
      <w:r w:rsidR="00AE4B21" w:rsidRPr="00AE67E1">
        <w:rPr>
          <w:rFonts w:ascii="Book Antiqua" w:eastAsia="Book Antiqua" w:hAnsi="Book Antiqua" w:cs="Book Antiqua"/>
          <w:color w:val="000000"/>
        </w:rPr>
        <w:t>ROC: Receiver operating characteristic</w:t>
      </w:r>
      <w:r>
        <w:rPr>
          <w:rFonts w:ascii="Book Antiqua" w:eastAsia="Book Antiqua" w:hAnsi="Book Antiqua" w:cs="Book Antiqua"/>
          <w:color w:val="000000"/>
        </w:rPr>
        <w:t>.</w:t>
      </w:r>
      <w:r w:rsidR="00D17CA9" w:rsidRPr="00AE67E1">
        <w:rPr>
          <w:rFonts w:ascii="Book Antiqua" w:eastAsia="Book Antiqua" w:hAnsi="Book Antiqua" w:cs="Book Antiqua"/>
          <w:color w:val="000000"/>
        </w:rPr>
        <w:t xml:space="preserve"> </w:t>
      </w:r>
    </w:p>
    <w:p w14:paraId="104708BC" w14:textId="77777777" w:rsidR="00F07400" w:rsidRPr="00AE67E1" w:rsidRDefault="007A7731" w:rsidP="00AE67E1">
      <w:pPr>
        <w:spacing w:line="360" w:lineRule="auto"/>
        <w:jc w:val="both"/>
        <w:rPr>
          <w:rFonts w:ascii="Book Antiqua" w:hAnsi="Book Antiqua"/>
          <w:b/>
        </w:rPr>
      </w:pPr>
      <w:r w:rsidRPr="00AE67E1">
        <w:rPr>
          <w:rFonts w:ascii="Book Antiqua" w:hAnsi="Book Antiqua"/>
          <w:b/>
        </w:rPr>
        <w:br w:type="page"/>
      </w:r>
      <w:r w:rsidR="00C430B4" w:rsidRPr="00AE67E1">
        <w:rPr>
          <w:rFonts w:ascii="Book Antiqua" w:hAnsi="Book Antiqua"/>
          <w:b/>
        </w:rPr>
        <w:lastRenderedPageBreak/>
        <w:t>Table 3 Validation of Canpatrol</w:t>
      </w:r>
      <w:r w:rsidR="00C430B4" w:rsidRPr="00AE67E1">
        <w:rPr>
          <w:rFonts w:ascii="Book Antiqua" w:hAnsi="Book Antiqua"/>
          <w:b/>
          <w:vertAlign w:val="superscript"/>
        </w:rPr>
        <w:t>TM</w:t>
      </w:r>
      <w:r w:rsidR="00C430B4" w:rsidRPr="00AE67E1">
        <w:rPr>
          <w:rFonts w:ascii="Book Antiqua" w:hAnsi="Book Antiqua"/>
          <w:b/>
        </w:rPr>
        <w:t xml:space="preserve"> by CytoploRare in 20 </w:t>
      </w:r>
      <w:r w:rsidR="006F5909" w:rsidRPr="00AE67E1">
        <w:rPr>
          <w:rFonts w:ascii="Book Antiqua" w:hAnsi="Book Antiqua"/>
          <w:b/>
          <w:bCs/>
        </w:rPr>
        <w:t>lung cancer</w:t>
      </w:r>
      <w:r w:rsidR="00C430B4" w:rsidRPr="00AE67E1">
        <w:rPr>
          <w:rFonts w:ascii="Book Antiqua" w:hAnsi="Book Antiqua"/>
          <w:b/>
        </w:rPr>
        <w:t xml:space="preserve"> cases and 18 controls</w:t>
      </w:r>
    </w:p>
    <w:tbl>
      <w:tblPr>
        <w:tblStyle w:val="TableGrid"/>
        <w:tblW w:w="5089" w:type="pct"/>
        <w:tblLook w:val="04A0" w:firstRow="1" w:lastRow="0" w:firstColumn="1" w:lastColumn="0" w:noHBand="0" w:noVBand="1"/>
      </w:tblPr>
      <w:tblGrid>
        <w:gridCol w:w="1836"/>
        <w:gridCol w:w="1523"/>
        <w:gridCol w:w="1480"/>
        <w:gridCol w:w="1522"/>
        <w:gridCol w:w="1480"/>
        <w:gridCol w:w="1686"/>
      </w:tblGrid>
      <w:tr w:rsidR="00364E91" w:rsidRPr="00AE67E1" w14:paraId="18667B0A" w14:textId="77777777" w:rsidTr="00364E91">
        <w:trPr>
          <w:trHeight w:val="409"/>
        </w:trPr>
        <w:tc>
          <w:tcPr>
            <w:tcW w:w="963" w:type="pct"/>
            <w:vMerge w:val="restart"/>
            <w:tcBorders>
              <w:left w:val="nil"/>
              <w:right w:val="nil"/>
            </w:tcBorders>
          </w:tcPr>
          <w:p w14:paraId="1026C886" w14:textId="77777777" w:rsidR="00364E91" w:rsidRPr="00AE67E1" w:rsidRDefault="00364E91" w:rsidP="00AE67E1">
            <w:pPr>
              <w:spacing w:after="0" w:line="360" w:lineRule="auto"/>
              <w:jc w:val="both"/>
              <w:rPr>
                <w:rFonts w:ascii="Book Antiqua" w:hAnsi="Book Antiqua"/>
              </w:rPr>
            </w:pPr>
          </w:p>
        </w:tc>
        <w:tc>
          <w:tcPr>
            <w:tcW w:w="799" w:type="pct"/>
            <w:vMerge w:val="restart"/>
            <w:tcBorders>
              <w:left w:val="nil"/>
              <w:right w:val="nil"/>
            </w:tcBorders>
          </w:tcPr>
          <w:p w14:paraId="3AE7874F" w14:textId="77777777" w:rsidR="00364E91" w:rsidRPr="00AE67E1" w:rsidRDefault="00364E91" w:rsidP="00AE67E1">
            <w:pPr>
              <w:spacing w:after="0" w:line="360" w:lineRule="auto"/>
              <w:jc w:val="both"/>
              <w:rPr>
                <w:rFonts w:ascii="Book Antiqua" w:hAnsi="Book Antiqua"/>
              </w:rPr>
            </w:pPr>
          </w:p>
        </w:tc>
        <w:tc>
          <w:tcPr>
            <w:tcW w:w="1576" w:type="pct"/>
            <w:gridSpan w:val="2"/>
            <w:tcBorders>
              <w:left w:val="nil"/>
              <w:bottom w:val="single" w:sz="4" w:space="0" w:color="auto"/>
              <w:right w:val="nil"/>
            </w:tcBorders>
          </w:tcPr>
          <w:p w14:paraId="5F3EB83D" w14:textId="77777777" w:rsidR="00364E91" w:rsidRPr="00AE67E1" w:rsidRDefault="00364E91" w:rsidP="00AE67E1">
            <w:pPr>
              <w:spacing w:after="0" w:line="360" w:lineRule="auto"/>
              <w:jc w:val="both"/>
              <w:rPr>
                <w:rFonts w:ascii="Book Antiqua" w:hAnsi="Book Antiqua"/>
              </w:rPr>
            </w:pPr>
            <w:r w:rsidRPr="00AE67E1">
              <w:rPr>
                <w:rFonts w:ascii="Book Antiqua" w:hAnsi="Book Antiqua"/>
                <w:b/>
              </w:rPr>
              <w:t>Total CTCs detected by</w:t>
            </w:r>
            <w:r w:rsidRPr="00AE67E1">
              <w:rPr>
                <w:rFonts w:ascii="Book Antiqua" w:hAnsi="Book Antiqua"/>
              </w:rPr>
              <w:t xml:space="preserve"> </w:t>
            </w:r>
            <w:r w:rsidRPr="00AE67E1">
              <w:rPr>
                <w:rFonts w:ascii="Book Antiqua" w:hAnsi="Book Antiqua"/>
                <w:b/>
              </w:rPr>
              <w:t>Canpatrol</w:t>
            </w:r>
            <w:r w:rsidRPr="00AE67E1">
              <w:rPr>
                <w:rFonts w:ascii="Book Antiqua" w:hAnsi="Book Antiqua"/>
                <w:b/>
                <w:vertAlign w:val="superscript"/>
              </w:rPr>
              <w:t>TM</w:t>
            </w:r>
          </w:p>
        </w:tc>
        <w:tc>
          <w:tcPr>
            <w:tcW w:w="1663" w:type="pct"/>
            <w:gridSpan w:val="2"/>
            <w:tcBorders>
              <w:left w:val="nil"/>
              <w:bottom w:val="single" w:sz="4" w:space="0" w:color="auto"/>
              <w:right w:val="nil"/>
            </w:tcBorders>
          </w:tcPr>
          <w:p w14:paraId="042EF480" w14:textId="77777777" w:rsidR="00364E91" w:rsidRPr="00AE67E1" w:rsidRDefault="00364E91" w:rsidP="00AE67E1">
            <w:pPr>
              <w:spacing w:after="0" w:line="360" w:lineRule="auto"/>
              <w:jc w:val="both"/>
              <w:rPr>
                <w:rFonts w:ascii="Book Antiqua" w:hAnsi="Book Antiqua"/>
              </w:rPr>
            </w:pPr>
            <w:r w:rsidRPr="00AE67E1">
              <w:rPr>
                <w:rFonts w:ascii="Book Antiqua" w:hAnsi="Book Antiqua"/>
                <w:b/>
              </w:rPr>
              <w:t>E&amp;M-CTCs detected by</w:t>
            </w:r>
            <w:r w:rsidRPr="00AE67E1">
              <w:rPr>
                <w:rFonts w:ascii="Book Antiqua" w:hAnsi="Book Antiqua"/>
              </w:rPr>
              <w:t xml:space="preserve"> </w:t>
            </w:r>
            <w:r w:rsidRPr="00AE67E1">
              <w:rPr>
                <w:rFonts w:ascii="Book Antiqua" w:hAnsi="Book Antiqua"/>
                <w:b/>
              </w:rPr>
              <w:t>CytoploRare</w:t>
            </w:r>
          </w:p>
        </w:tc>
      </w:tr>
      <w:tr w:rsidR="00364E91" w:rsidRPr="00364E91" w14:paraId="35C0B237" w14:textId="77777777" w:rsidTr="00364E91">
        <w:trPr>
          <w:trHeight w:val="409"/>
        </w:trPr>
        <w:tc>
          <w:tcPr>
            <w:tcW w:w="963" w:type="pct"/>
            <w:vMerge/>
            <w:tcBorders>
              <w:left w:val="nil"/>
              <w:bottom w:val="single" w:sz="4" w:space="0" w:color="auto"/>
              <w:right w:val="nil"/>
            </w:tcBorders>
          </w:tcPr>
          <w:p w14:paraId="2E8AEC60" w14:textId="77777777" w:rsidR="00364E91" w:rsidRPr="00364E91" w:rsidRDefault="00364E91" w:rsidP="00AE67E1">
            <w:pPr>
              <w:spacing w:after="0" w:line="360" w:lineRule="auto"/>
              <w:jc w:val="both"/>
              <w:rPr>
                <w:rFonts w:ascii="Book Antiqua" w:hAnsi="Book Antiqua"/>
                <w:b/>
              </w:rPr>
            </w:pPr>
          </w:p>
        </w:tc>
        <w:tc>
          <w:tcPr>
            <w:tcW w:w="799" w:type="pct"/>
            <w:vMerge/>
            <w:tcBorders>
              <w:left w:val="nil"/>
              <w:bottom w:val="single" w:sz="4" w:space="0" w:color="auto"/>
              <w:right w:val="nil"/>
            </w:tcBorders>
          </w:tcPr>
          <w:p w14:paraId="229AEC21" w14:textId="77777777" w:rsidR="00364E91" w:rsidRPr="00364E91" w:rsidRDefault="00364E91" w:rsidP="00AE67E1">
            <w:pPr>
              <w:spacing w:after="0" w:line="360" w:lineRule="auto"/>
              <w:jc w:val="both"/>
              <w:rPr>
                <w:rFonts w:ascii="Book Antiqua" w:hAnsi="Book Antiqua"/>
                <w:b/>
              </w:rPr>
            </w:pPr>
          </w:p>
        </w:tc>
        <w:tc>
          <w:tcPr>
            <w:tcW w:w="777" w:type="pct"/>
            <w:tcBorders>
              <w:top w:val="single" w:sz="4" w:space="0" w:color="auto"/>
              <w:left w:val="nil"/>
              <w:bottom w:val="single" w:sz="4" w:space="0" w:color="auto"/>
              <w:right w:val="nil"/>
            </w:tcBorders>
          </w:tcPr>
          <w:p w14:paraId="2C616BE1" w14:textId="77777777" w:rsidR="00364E91" w:rsidRPr="00364E91" w:rsidRDefault="00364E91" w:rsidP="00AE67E1">
            <w:pPr>
              <w:spacing w:after="0" w:line="360" w:lineRule="auto"/>
              <w:jc w:val="both"/>
              <w:rPr>
                <w:rFonts w:ascii="Book Antiqua" w:hAnsi="Book Antiqua"/>
                <w:b/>
              </w:rPr>
            </w:pPr>
            <w:r w:rsidRPr="00364E91">
              <w:rPr>
                <w:rFonts w:ascii="Book Antiqua" w:hAnsi="Book Antiqua"/>
                <w:b/>
              </w:rPr>
              <w:t>Positive</w:t>
            </w:r>
            <w:r w:rsidR="005C4885">
              <w:rPr>
                <w:rFonts w:ascii="Book Antiqua" w:hAnsi="Book Antiqua"/>
                <w:b/>
              </w:rPr>
              <w:t>,</w:t>
            </w:r>
            <w:r w:rsidRPr="00364E91">
              <w:rPr>
                <w:rFonts w:ascii="Book Antiqua" w:hAnsi="Book Antiqua"/>
                <w:b/>
              </w:rPr>
              <w:t xml:space="preserve"> </w:t>
            </w:r>
            <w:r w:rsidRPr="00364E91">
              <w:rPr>
                <w:rFonts w:ascii="Book Antiqua" w:hAnsi="Book Antiqua"/>
                <w:b/>
                <w:i/>
                <w:iCs/>
              </w:rPr>
              <w:t>n</w:t>
            </w:r>
          </w:p>
        </w:tc>
        <w:tc>
          <w:tcPr>
            <w:tcW w:w="799" w:type="pct"/>
            <w:tcBorders>
              <w:top w:val="single" w:sz="4" w:space="0" w:color="auto"/>
              <w:left w:val="nil"/>
              <w:bottom w:val="single" w:sz="4" w:space="0" w:color="auto"/>
              <w:right w:val="nil"/>
            </w:tcBorders>
          </w:tcPr>
          <w:p w14:paraId="307471ED" w14:textId="77777777" w:rsidR="00364E91" w:rsidRPr="00364E91" w:rsidRDefault="00364E91" w:rsidP="00AE67E1">
            <w:pPr>
              <w:spacing w:after="0" w:line="360" w:lineRule="auto"/>
              <w:jc w:val="both"/>
              <w:rPr>
                <w:rFonts w:ascii="Book Antiqua" w:hAnsi="Book Antiqua"/>
                <w:b/>
              </w:rPr>
            </w:pPr>
            <w:r w:rsidRPr="00364E91">
              <w:rPr>
                <w:rFonts w:ascii="Book Antiqua" w:hAnsi="Book Antiqua"/>
                <w:b/>
              </w:rPr>
              <w:t>Negative</w:t>
            </w:r>
            <w:r w:rsidR="005C4885">
              <w:rPr>
                <w:rFonts w:ascii="Book Antiqua" w:hAnsi="Book Antiqua"/>
                <w:b/>
              </w:rPr>
              <w:t>,</w:t>
            </w:r>
            <w:r w:rsidRPr="00364E91">
              <w:rPr>
                <w:rFonts w:ascii="Book Antiqua" w:hAnsi="Book Antiqua"/>
                <w:b/>
              </w:rPr>
              <w:t xml:space="preserve"> </w:t>
            </w:r>
            <w:r w:rsidRPr="00364E91">
              <w:rPr>
                <w:rFonts w:ascii="Book Antiqua" w:hAnsi="Book Antiqua"/>
                <w:b/>
                <w:i/>
                <w:iCs/>
              </w:rPr>
              <w:t>n</w:t>
            </w:r>
          </w:p>
        </w:tc>
        <w:tc>
          <w:tcPr>
            <w:tcW w:w="777" w:type="pct"/>
            <w:tcBorders>
              <w:top w:val="single" w:sz="4" w:space="0" w:color="auto"/>
              <w:left w:val="nil"/>
              <w:bottom w:val="single" w:sz="4" w:space="0" w:color="auto"/>
              <w:right w:val="nil"/>
            </w:tcBorders>
          </w:tcPr>
          <w:p w14:paraId="7E436D1B" w14:textId="77777777" w:rsidR="00364E91" w:rsidRPr="00364E91" w:rsidRDefault="00364E91" w:rsidP="00AE67E1">
            <w:pPr>
              <w:spacing w:after="0" w:line="360" w:lineRule="auto"/>
              <w:jc w:val="both"/>
              <w:rPr>
                <w:rFonts w:ascii="Book Antiqua" w:hAnsi="Book Antiqua"/>
                <w:b/>
              </w:rPr>
            </w:pPr>
            <w:r w:rsidRPr="00364E91">
              <w:rPr>
                <w:rFonts w:ascii="Book Antiqua" w:hAnsi="Book Antiqua"/>
                <w:b/>
              </w:rPr>
              <w:t>Positive</w:t>
            </w:r>
            <w:r w:rsidR="005C4885">
              <w:rPr>
                <w:rFonts w:ascii="Book Antiqua" w:hAnsi="Book Antiqua"/>
                <w:b/>
              </w:rPr>
              <w:t>,</w:t>
            </w:r>
            <w:r w:rsidRPr="00364E91">
              <w:rPr>
                <w:rFonts w:ascii="Book Antiqua" w:hAnsi="Book Antiqua"/>
                <w:b/>
              </w:rPr>
              <w:t xml:space="preserve"> </w:t>
            </w:r>
            <w:r w:rsidRPr="00364E91">
              <w:rPr>
                <w:rFonts w:ascii="Book Antiqua" w:hAnsi="Book Antiqua"/>
                <w:b/>
                <w:i/>
                <w:iCs/>
              </w:rPr>
              <w:t>n</w:t>
            </w:r>
          </w:p>
        </w:tc>
        <w:tc>
          <w:tcPr>
            <w:tcW w:w="885" w:type="pct"/>
            <w:tcBorders>
              <w:top w:val="single" w:sz="4" w:space="0" w:color="auto"/>
              <w:left w:val="nil"/>
              <w:bottom w:val="single" w:sz="4" w:space="0" w:color="auto"/>
              <w:right w:val="nil"/>
            </w:tcBorders>
          </w:tcPr>
          <w:p w14:paraId="7BBDA71B" w14:textId="77777777" w:rsidR="00364E91" w:rsidRPr="00364E91" w:rsidRDefault="00364E91" w:rsidP="00AE67E1">
            <w:pPr>
              <w:spacing w:after="0" w:line="360" w:lineRule="auto"/>
              <w:jc w:val="both"/>
              <w:rPr>
                <w:rFonts w:ascii="Book Antiqua" w:hAnsi="Book Antiqua"/>
                <w:b/>
              </w:rPr>
            </w:pPr>
            <w:r w:rsidRPr="00364E91">
              <w:rPr>
                <w:rFonts w:ascii="Book Antiqua" w:hAnsi="Book Antiqua"/>
                <w:b/>
              </w:rPr>
              <w:t>Negative</w:t>
            </w:r>
            <w:r w:rsidR="005C4885">
              <w:rPr>
                <w:rFonts w:ascii="Book Antiqua" w:hAnsi="Book Antiqua"/>
                <w:b/>
              </w:rPr>
              <w:t>,</w:t>
            </w:r>
            <w:r w:rsidRPr="00364E91">
              <w:rPr>
                <w:rFonts w:ascii="Book Antiqua" w:hAnsi="Book Antiqua"/>
                <w:b/>
              </w:rPr>
              <w:t xml:space="preserve"> </w:t>
            </w:r>
            <w:r w:rsidRPr="00364E91">
              <w:rPr>
                <w:rFonts w:ascii="Book Antiqua" w:hAnsi="Book Antiqua"/>
                <w:b/>
                <w:i/>
                <w:iCs/>
              </w:rPr>
              <w:t>n</w:t>
            </w:r>
          </w:p>
        </w:tc>
      </w:tr>
      <w:tr w:rsidR="00F07400" w:rsidRPr="00AE67E1" w14:paraId="6EE2A2BA" w14:textId="77777777" w:rsidTr="00364E91">
        <w:trPr>
          <w:trHeight w:val="395"/>
        </w:trPr>
        <w:tc>
          <w:tcPr>
            <w:tcW w:w="963" w:type="pct"/>
            <w:vMerge w:val="restart"/>
            <w:tcBorders>
              <w:top w:val="single" w:sz="4" w:space="0" w:color="auto"/>
              <w:left w:val="nil"/>
              <w:right w:val="nil"/>
            </w:tcBorders>
          </w:tcPr>
          <w:p w14:paraId="3C81C81D"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FR-CTCs</w:t>
            </w:r>
          </w:p>
        </w:tc>
        <w:tc>
          <w:tcPr>
            <w:tcW w:w="799" w:type="pct"/>
            <w:tcBorders>
              <w:top w:val="single" w:sz="4" w:space="0" w:color="auto"/>
              <w:left w:val="nil"/>
              <w:bottom w:val="nil"/>
              <w:right w:val="nil"/>
            </w:tcBorders>
          </w:tcPr>
          <w:p w14:paraId="59E6DC1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Positive</w:t>
            </w:r>
            <w:r w:rsidR="005C4885">
              <w:rPr>
                <w:rFonts w:ascii="Book Antiqua" w:hAnsi="Book Antiqua"/>
              </w:rPr>
              <w:t>,</w:t>
            </w:r>
            <w:r w:rsidR="00B46C4B" w:rsidRPr="00AE67E1">
              <w:rPr>
                <w:rFonts w:ascii="Book Antiqua" w:hAnsi="Book Antiqua"/>
              </w:rPr>
              <w:t xml:space="preserve"> </w:t>
            </w:r>
            <w:r w:rsidRPr="00AE67E1">
              <w:rPr>
                <w:rFonts w:ascii="Book Antiqua" w:hAnsi="Book Antiqua"/>
                <w:i/>
                <w:iCs/>
              </w:rPr>
              <w:t>n</w:t>
            </w:r>
          </w:p>
        </w:tc>
        <w:tc>
          <w:tcPr>
            <w:tcW w:w="777" w:type="pct"/>
            <w:tcBorders>
              <w:top w:val="single" w:sz="4" w:space="0" w:color="auto"/>
              <w:left w:val="nil"/>
              <w:bottom w:val="nil"/>
              <w:right w:val="nil"/>
            </w:tcBorders>
          </w:tcPr>
          <w:p w14:paraId="08968393"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16</w:t>
            </w:r>
          </w:p>
        </w:tc>
        <w:tc>
          <w:tcPr>
            <w:tcW w:w="799" w:type="pct"/>
            <w:tcBorders>
              <w:top w:val="single" w:sz="4" w:space="0" w:color="auto"/>
              <w:left w:val="nil"/>
              <w:bottom w:val="nil"/>
              <w:right w:val="nil"/>
            </w:tcBorders>
          </w:tcPr>
          <w:p w14:paraId="114265BD"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4</w:t>
            </w:r>
          </w:p>
        </w:tc>
        <w:tc>
          <w:tcPr>
            <w:tcW w:w="777" w:type="pct"/>
            <w:tcBorders>
              <w:top w:val="single" w:sz="4" w:space="0" w:color="auto"/>
              <w:left w:val="nil"/>
              <w:bottom w:val="nil"/>
              <w:right w:val="nil"/>
            </w:tcBorders>
          </w:tcPr>
          <w:p w14:paraId="3B45B424"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17</w:t>
            </w:r>
          </w:p>
        </w:tc>
        <w:tc>
          <w:tcPr>
            <w:tcW w:w="885" w:type="pct"/>
            <w:tcBorders>
              <w:top w:val="single" w:sz="4" w:space="0" w:color="auto"/>
              <w:left w:val="nil"/>
              <w:bottom w:val="nil"/>
              <w:right w:val="nil"/>
            </w:tcBorders>
          </w:tcPr>
          <w:p w14:paraId="7C1C908E"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6</w:t>
            </w:r>
          </w:p>
        </w:tc>
      </w:tr>
      <w:tr w:rsidR="00F07400" w:rsidRPr="00AE67E1" w14:paraId="30C998D0" w14:textId="77777777" w:rsidTr="00364E91">
        <w:trPr>
          <w:trHeight w:val="395"/>
        </w:trPr>
        <w:tc>
          <w:tcPr>
            <w:tcW w:w="963" w:type="pct"/>
            <w:vMerge/>
            <w:tcBorders>
              <w:left w:val="nil"/>
              <w:bottom w:val="nil"/>
              <w:right w:val="nil"/>
            </w:tcBorders>
          </w:tcPr>
          <w:p w14:paraId="07899F40" w14:textId="77777777" w:rsidR="00F07400" w:rsidRPr="00AE67E1" w:rsidRDefault="00F07400" w:rsidP="00AE67E1">
            <w:pPr>
              <w:spacing w:after="0" w:line="360" w:lineRule="auto"/>
              <w:jc w:val="both"/>
              <w:rPr>
                <w:rFonts w:ascii="Book Antiqua" w:hAnsi="Book Antiqua"/>
              </w:rPr>
            </w:pPr>
          </w:p>
        </w:tc>
        <w:tc>
          <w:tcPr>
            <w:tcW w:w="799" w:type="pct"/>
            <w:tcBorders>
              <w:top w:val="nil"/>
              <w:left w:val="nil"/>
              <w:bottom w:val="nil"/>
              <w:right w:val="nil"/>
            </w:tcBorders>
          </w:tcPr>
          <w:p w14:paraId="45AF2075"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Negative</w:t>
            </w:r>
            <w:r w:rsidR="005C4885">
              <w:rPr>
                <w:rFonts w:ascii="Book Antiqua" w:hAnsi="Book Antiqua"/>
              </w:rPr>
              <w:t>,</w:t>
            </w:r>
            <w:r w:rsidR="00B46C4B" w:rsidRPr="00AE67E1">
              <w:rPr>
                <w:rFonts w:ascii="Book Antiqua" w:hAnsi="Book Antiqua"/>
              </w:rPr>
              <w:t xml:space="preserve"> </w:t>
            </w:r>
            <w:r w:rsidRPr="00AE67E1">
              <w:rPr>
                <w:rFonts w:ascii="Book Antiqua" w:hAnsi="Book Antiqua"/>
                <w:i/>
                <w:iCs/>
              </w:rPr>
              <w:t>n</w:t>
            </w:r>
          </w:p>
        </w:tc>
        <w:tc>
          <w:tcPr>
            <w:tcW w:w="777" w:type="pct"/>
            <w:tcBorders>
              <w:top w:val="nil"/>
              <w:left w:val="nil"/>
              <w:bottom w:val="nil"/>
              <w:right w:val="nil"/>
            </w:tcBorders>
          </w:tcPr>
          <w:p w14:paraId="6A7D09E9"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7</w:t>
            </w:r>
          </w:p>
        </w:tc>
        <w:tc>
          <w:tcPr>
            <w:tcW w:w="799" w:type="pct"/>
            <w:tcBorders>
              <w:top w:val="nil"/>
              <w:left w:val="nil"/>
              <w:bottom w:val="nil"/>
              <w:right w:val="nil"/>
            </w:tcBorders>
          </w:tcPr>
          <w:p w14:paraId="59F20E94"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11</w:t>
            </w:r>
          </w:p>
        </w:tc>
        <w:tc>
          <w:tcPr>
            <w:tcW w:w="777" w:type="pct"/>
            <w:tcBorders>
              <w:top w:val="nil"/>
              <w:left w:val="nil"/>
              <w:bottom w:val="nil"/>
              <w:right w:val="nil"/>
            </w:tcBorders>
          </w:tcPr>
          <w:p w14:paraId="362622ED"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6</w:t>
            </w:r>
          </w:p>
        </w:tc>
        <w:tc>
          <w:tcPr>
            <w:tcW w:w="885" w:type="pct"/>
            <w:tcBorders>
              <w:top w:val="nil"/>
              <w:left w:val="nil"/>
              <w:bottom w:val="nil"/>
              <w:right w:val="nil"/>
            </w:tcBorders>
          </w:tcPr>
          <w:p w14:paraId="7016ABCC"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9</w:t>
            </w:r>
          </w:p>
        </w:tc>
      </w:tr>
      <w:tr w:rsidR="00F07400" w:rsidRPr="00AE67E1" w14:paraId="2F3066FD" w14:textId="77777777" w:rsidTr="00364E91">
        <w:trPr>
          <w:trHeight w:val="395"/>
        </w:trPr>
        <w:tc>
          <w:tcPr>
            <w:tcW w:w="963" w:type="pct"/>
            <w:tcBorders>
              <w:top w:val="nil"/>
              <w:left w:val="nil"/>
              <w:right w:val="nil"/>
            </w:tcBorders>
          </w:tcPr>
          <w:p w14:paraId="40F82606"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Kappa/</w:t>
            </w:r>
            <w:r w:rsidR="00B46C4B" w:rsidRPr="00AE67E1">
              <w:rPr>
                <w:rFonts w:ascii="Book Antiqua" w:hAnsi="Book Antiqua"/>
                <w:i/>
                <w:iCs/>
              </w:rPr>
              <w:t xml:space="preserve">P </w:t>
            </w:r>
            <w:r w:rsidRPr="00AE67E1">
              <w:rPr>
                <w:rFonts w:ascii="Book Antiqua" w:hAnsi="Book Antiqua"/>
              </w:rPr>
              <w:t>value</w:t>
            </w:r>
          </w:p>
        </w:tc>
        <w:tc>
          <w:tcPr>
            <w:tcW w:w="799" w:type="pct"/>
            <w:tcBorders>
              <w:top w:val="nil"/>
              <w:left w:val="nil"/>
              <w:right w:val="nil"/>
            </w:tcBorders>
          </w:tcPr>
          <w:p w14:paraId="0AD79271" w14:textId="77777777" w:rsidR="00F07400" w:rsidRPr="00AE67E1" w:rsidRDefault="00F07400" w:rsidP="00AE67E1">
            <w:pPr>
              <w:spacing w:after="0" w:line="360" w:lineRule="auto"/>
              <w:jc w:val="both"/>
              <w:rPr>
                <w:rFonts w:ascii="Book Antiqua" w:hAnsi="Book Antiqua"/>
              </w:rPr>
            </w:pPr>
          </w:p>
        </w:tc>
        <w:tc>
          <w:tcPr>
            <w:tcW w:w="777" w:type="pct"/>
            <w:tcBorders>
              <w:top w:val="nil"/>
              <w:left w:val="nil"/>
              <w:right w:val="nil"/>
            </w:tcBorders>
          </w:tcPr>
          <w:p w14:paraId="0B19BFDD"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0.415/0.010</w:t>
            </w:r>
          </w:p>
        </w:tc>
        <w:tc>
          <w:tcPr>
            <w:tcW w:w="799" w:type="pct"/>
            <w:tcBorders>
              <w:top w:val="nil"/>
              <w:left w:val="nil"/>
              <w:right w:val="nil"/>
            </w:tcBorders>
          </w:tcPr>
          <w:p w14:paraId="75E22759" w14:textId="77777777" w:rsidR="00F07400" w:rsidRPr="00AE67E1" w:rsidRDefault="00F07400" w:rsidP="00AE67E1">
            <w:pPr>
              <w:spacing w:after="0" w:line="360" w:lineRule="auto"/>
              <w:jc w:val="both"/>
              <w:rPr>
                <w:rFonts w:ascii="Book Antiqua" w:hAnsi="Book Antiqua"/>
              </w:rPr>
            </w:pPr>
          </w:p>
        </w:tc>
        <w:tc>
          <w:tcPr>
            <w:tcW w:w="777" w:type="pct"/>
            <w:tcBorders>
              <w:top w:val="nil"/>
              <w:left w:val="nil"/>
              <w:right w:val="nil"/>
            </w:tcBorders>
          </w:tcPr>
          <w:p w14:paraId="000C65AA" w14:textId="77777777" w:rsidR="00F07400" w:rsidRPr="00AE67E1" w:rsidRDefault="00C430B4" w:rsidP="00AE67E1">
            <w:pPr>
              <w:spacing w:after="0" w:line="360" w:lineRule="auto"/>
              <w:jc w:val="both"/>
              <w:rPr>
                <w:rFonts w:ascii="Book Antiqua" w:hAnsi="Book Antiqua"/>
              </w:rPr>
            </w:pPr>
            <w:r w:rsidRPr="00AE67E1">
              <w:rPr>
                <w:rFonts w:ascii="Book Antiqua" w:hAnsi="Book Antiqua"/>
              </w:rPr>
              <w:t>0.339/0.037</w:t>
            </w:r>
          </w:p>
        </w:tc>
        <w:tc>
          <w:tcPr>
            <w:tcW w:w="885" w:type="pct"/>
            <w:tcBorders>
              <w:top w:val="nil"/>
              <w:left w:val="nil"/>
              <w:right w:val="nil"/>
            </w:tcBorders>
          </w:tcPr>
          <w:p w14:paraId="76A4E69F" w14:textId="77777777" w:rsidR="00F07400" w:rsidRPr="00AE67E1" w:rsidRDefault="00F07400" w:rsidP="00AE67E1">
            <w:pPr>
              <w:spacing w:after="0" w:line="360" w:lineRule="auto"/>
              <w:jc w:val="both"/>
              <w:rPr>
                <w:rFonts w:ascii="Book Antiqua" w:hAnsi="Book Antiqua"/>
              </w:rPr>
            </w:pPr>
          </w:p>
        </w:tc>
      </w:tr>
    </w:tbl>
    <w:p w14:paraId="6EEBB786" w14:textId="77777777" w:rsidR="00F07400" w:rsidRPr="00AE67E1" w:rsidRDefault="00B46C4B" w:rsidP="00AE67E1">
      <w:pPr>
        <w:spacing w:line="360" w:lineRule="auto"/>
        <w:jc w:val="both"/>
        <w:rPr>
          <w:rFonts w:ascii="Book Antiqua" w:hAnsi="Book Antiqua"/>
        </w:rPr>
      </w:pPr>
      <w:r w:rsidRPr="00AE67E1">
        <w:rPr>
          <w:rFonts w:ascii="Book Antiqua" w:eastAsia="Book Antiqua" w:hAnsi="Book Antiqua" w:cs="Book Antiqua"/>
          <w:color w:val="000000"/>
        </w:rPr>
        <w:t>CTCs: Circulating tumor cells; E&amp;M-CTCs: CTCs with both markers</w:t>
      </w:r>
      <w:r w:rsidR="00C005EC" w:rsidRPr="00AE67E1">
        <w:rPr>
          <w:rFonts w:ascii="Book Antiqua" w:eastAsia="Book Antiqua" w:hAnsi="Book Antiqua" w:cs="Book Antiqua"/>
          <w:color w:val="000000"/>
        </w:rPr>
        <w:t>; FR: Folate receptor.</w:t>
      </w:r>
    </w:p>
    <w:sectPr w:rsidR="00F07400" w:rsidRPr="00AE67E1" w:rsidSect="00070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5EC5" w14:textId="77777777" w:rsidR="006877E7" w:rsidRDefault="006877E7" w:rsidP="00293E0F">
      <w:r>
        <w:separator/>
      </w:r>
    </w:p>
  </w:endnote>
  <w:endnote w:type="continuationSeparator" w:id="0">
    <w:p w14:paraId="44B0E0CE" w14:textId="77777777" w:rsidR="006877E7" w:rsidRDefault="006877E7" w:rsidP="0029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FA45" w14:textId="77777777" w:rsidR="00A06437" w:rsidRPr="007A7731" w:rsidRDefault="00A06437" w:rsidP="007A7731">
    <w:pPr>
      <w:pStyle w:val="Footer"/>
      <w:jc w:val="right"/>
      <w:rPr>
        <w:rFonts w:ascii="Book Antiqua" w:hAnsi="Book Antiqua"/>
        <w:color w:val="000000" w:themeColor="text1"/>
        <w:sz w:val="24"/>
        <w:szCs w:val="24"/>
      </w:rPr>
    </w:pPr>
    <w:r w:rsidRPr="007A7731">
      <w:rPr>
        <w:rFonts w:ascii="Book Antiqua" w:hAnsi="Book Antiqua"/>
        <w:color w:val="000000" w:themeColor="text1"/>
        <w:sz w:val="24"/>
        <w:szCs w:val="24"/>
        <w:lang w:val="zh-CN" w:eastAsia="zh-CN"/>
      </w:rPr>
      <w:t xml:space="preserve"> </w:t>
    </w:r>
    <w:r w:rsidR="00070C99" w:rsidRPr="007A7731">
      <w:rPr>
        <w:rFonts w:ascii="Book Antiqua" w:hAnsi="Book Antiqua"/>
        <w:color w:val="000000" w:themeColor="text1"/>
        <w:sz w:val="24"/>
        <w:szCs w:val="24"/>
      </w:rPr>
      <w:fldChar w:fldCharType="begin"/>
    </w:r>
    <w:r w:rsidRPr="007A7731">
      <w:rPr>
        <w:rFonts w:ascii="Book Antiqua" w:hAnsi="Book Antiqua"/>
        <w:color w:val="000000" w:themeColor="text1"/>
        <w:sz w:val="24"/>
        <w:szCs w:val="24"/>
      </w:rPr>
      <w:instrText>PAGE  \* Arabic  \* MERGEFORMAT</w:instrText>
    </w:r>
    <w:r w:rsidR="00070C99" w:rsidRPr="007A7731">
      <w:rPr>
        <w:rFonts w:ascii="Book Antiqua" w:hAnsi="Book Antiqua"/>
        <w:color w:val="000000" w:themeColor="text1"/>
        <w:sz w:val="24"/>
        <w:szCs w:val="24"/>
      </w:rPr>
      <w:fldChar w:fldCharType="separate"/>
    </w:r>
    <w:r w:rsidR="00926BF1" w:rsidRPr="00926BF1">
      <w:rPr>
        <w:rFonts w:ascii="Book Antiqua" w:hAnsi="Book Antiqua"/>
        <w:noProof/>
        <w:color w:val="000000" w:themeColor="text1"/>
        <w:sz w:val="24"/>
        <w:szCs w:val="24"/>
        <w:lang w:val="zh-CN" w:eastAsia="zh-CN"/>
      </w:rPr>
      <w:t>1</w:t>
    </w:r>
    <w:r w:rsidR="00070C99" w:rsidRPr="007A7731">
      <w:rPr>
        <w:rFonts w:ascii="Book Antiqua" w:hAnsi="Book Antiqua"/>
        <w:color w:val="000000" w:themeColor="text1"/>
        <w:sz w:val="24"/>
        <w:szCs w:val="24"/>
      </w:rPr>
      <w:fldChar w:fldCharType="end"/>
    </w:r>
    <w:r w:rsidRPr="007A7731">
      <w:rPr>
        <w:rFonts w:ascii="Book Antiqua" w:hAnsi="Book Antiqua"/>
        <w:color w:val="000000" w:themeColor="text1"/>
        <w:sz w:val="24"/>
        <w:szCs w:val="24"/>
        <w:lang w:val="zh-CN" w:eastAsia="zh-CN"/>
      </w:rPr>
      <w:t xml:space="preserve"> / </w:t>
    </w:r>
    <w:r w:rsidR="006877E7">
      <w:fldChar w:fldCharType="begin"/>
    </w:r>
    <w:r w:rsidR="006877E7">
      <w:instrText>NUMPAGES  \* Arabic  \* MERGEFORMAT</w:instrText>
    </w:r>
    <w:r w:rsidR="006877E7">
      <w:fldChar w:fldCharType="separate"/>
    </w:r>
    <w:r w:rsidR="00926BF1" w:rsidRPr="00926BF1">
      <w:rPr>
        <w:rFonts w:ascii="Book Antiqua" w:hAnsi="Book Antiqua"/>
        <w:noProof/>
        <w:color w:val="000000" w:themeColor="text1"/>
        <w:sz w:val="24"/>
        <w:szCs w:val="24"/>
        <w:lang w:val="zh-CN" w:eastAsia="zh-CN"/>
      </w:rPr>
      <w:t>26</w:t>
    </w:r>
    <w:r w:rsidR="006877E7">
      <w:rPr>
        <w:rFonts w:ascii="Book Antiqua" w:hAnsi="Book Antiqua"/>
        <w:noProof/>
        <w:color w:val="000000" w:themeColor="text1"/>
        <w:sz w:val="24"/>
        <w:szCs w:val="24"/>
        <w:lang w:val="zh-CN" w:eastAsia="zh-CN"/>
      </w:rPr>
      <w:fldChar w:fldCharType="end"/>
    </w:r>
  </w:p>
  <w:p w14:paraId="49C9DF64" w14:textId="77777777" w:rsidR="00A06437" w:rsidRPr="007A7731" w:rsidRDefault="00A06437" w:rsidP="007A7731">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972CF" w14:textId="77777777" w:rsidR="006877E7" w:rsidRDefault="006877E7" w:rsidP="00293E0F">
      <w:r>
        <w:separator/>
      </w:r>
    </w:p>
  </w:footnote>
  <w:footnote w:type="continuationSeparator" w:id="0">
    <w:p w14:paraId="52A08FB9" w14:textId="77777777" w:rsidR="006877E7" w:rsidRDefault="006877E7" w:rsidP="0029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0FB"/>
    <w:rsid w:val="00030698"/>
    <w:rsid w:val="0004163A"/>
    <w:rsid w:val="00065419"/>
    <w:rsid w:val="00070C99"/>
    <w:rsid w:val="000761EB"/>
    <w:rsid w:val="00081B95"/>
    <w:rsid w:val="000914D4"/>
    <w:rsid w:val="00093AB9"/>
    <w:rsid w:val="000A0F81"/>
    <w:rsid w:val="000A185E"/>
    <w:rsid w:val="000B2474"/>
    <w:rsid w:val="000B683B"/>
    <w:rsid w:val="000B72AF"/>
    <w:rsid w:val="000D5CC8"/>
    <w:rsid w:val="000F188F"/>
    <w:rsid w:val="001117D0"/>
    <w:rsid w:val="0013158C"/>
    <w:rsid w:val="00134986"/>
    <w:rsid w:val="001405FE"/>
    <w:rsid w:val="00180694"/>
    <w:rsid w:val="0018789D"/>
    <w:rsid w:val="001C10FC"/>
    <w:rsid w:val="001E576F"/>
    <w:rsid w:val="001E689C"/>
    <w:rsid w:val="001F6C02"/>
    <w:rsid w:val="002101AD"/>
    <w:rsid w:val="002205D2"/>
    <w:rsid w:val="002249CC"/>
    <w:rsid w:val="00246495"/>
    <w:rsid w:val="0025096B"/>
    <w:rsid w:val="00273030"/>
    <w:rsid w:val="002869F8"/>
    <w:rsid w:val="00293E0F"/>
    <w:rsid w:val="0029587B"/>
    <w:rsid w:val="002A7491"/>
    <w:rsid w:val="00314D4F"/>
    <w:rsid w:val="00342C5D"/>
    <w:rsid w:val="00352EEF"/>
    <w:rsid w:val="00364E91"/>
    <w:rsid w:val="003762A1"/>
    <w:rsid w:val="00383E06"/>
    <w:rsid w:val="00397320"/>
    <w:rsid w:val="003975FC"/>
    <w:rsid w:val="003B0F54"/>
    <w:rsid w:val="003D7047"/>
    <w:rsid w:val="00413DA8"/>
    <w:rsid w:val="00416F35"/>
    <w:rsid w:val="004257AA"/>
    <w:rsid w:val="00445830"/>
    <w:rsid w:val="0045029F"/>
    <w:rsid w:val="0046119A"/>
    <w:rsid w:val="0046540C"/>
    <w:rsid w:val="00472B33"/>
    <w:rsid w:val="00491F0C"/>
    <w:rsid w:val="004C759B"/>
    <w:rsid w:val="004D1D4B"/>
    <w:rsid w:val="004E712A"/>
    <w:rsid w:val="004E7AD1"/>
    <w:rsid w:val="004F11D9"/>
    <w:rsid w:val="005033FD"/>
    <w:rsid w:val="00503E3B"/>
    <w:rsid w:val="0051415B"/>
    <w:rsid w:val="0053469A"/>
    <w:rsid w:val="005406D5"/>
    <w:rsid w:val="00544C2C"/>
    <w:rsid w:val="0055165A"/>
    <w:rsid w:val="00551BE9"/>
    <w:rsid w:val="00557397"/>
    <w:rsid w:val="00566502"/>
    <w:rsid w:val="00566C17"/>
    <w:rsid w:val="00583CC9"/>
    <w:rsid w:val="00586ED6"/>
    <w:rsid w:val="005C4885"/>
    <w:rsid w:val="005C7294"/>
    <w:rsid w:val="00603B7B"/>
    <w:rsid w:val="006238F9"/>
    <w:rsid w:val="006248AE"/>
    <w:rsid w:val="006454AF"/>
    <w:rsid w:val="00657617"/>
    <w:rsid w:val="006646AC"/>
    <w:rsid w:val="00680B05"/>
    <w:rsid w:val="00685B09"/>
    <w:rsid w:val="006877E7"/>
    <w:rsid w:val="006927D9"/>
    <w:rsid w:val="00693946"/>
    <w:rsid w:val="006F440A"/>
    <w:rsid w:val="006F5909"/>
    <w:rsid w:val="00703113"/>
    <w:rsid w:val="00727F80"/>
    <w:rsid w:val="00740D22"/>
    <w:rsid w:val="007A7595"/>
    <w:rsid w:val="007A7731"/>
    <w:rsid w:val="007E2828"/>
    <w:rsid w:val="007E31BA"/>
    <w:rsid w:val="007F5118"/>
    <w:rsid w:val="007F7774"/>
    <w:rsid w:val="00800E87"/>
    <w:rsid w:val="00812CDD"/>
    <w:rsid w:val="008266B9"/>
    <w:rsid w:val="00827069"/>
    <w:rsid w:val="008606B9"/>
    <w:rsid w:val="00876E8B"/>
    <w:rsid w:val="008A3E28"/>
    <w:rsid w:val="008C7151"/>
    <w:rsid w:val="008F3017"/>
    <w:rsid w:val="00903D17"/>
    <w:rsid w:val="0091529C"/>
    <w:rsid w:val="00920E81"/>
    <w:rsid w:val="00926BF1"/>
    <w:rsid w:val="0093085B"/>
    <w:rsid w:val="00957F7D"/>
    <w:rsid w:val="00966E8E"/>
    <w:rsid w:val="009808DD"/>
    <w:rsid w:val="00981BAC"/>
    <w:rsid w:val="009A185F"/>
    <w:rsid w:val="009A35B4"/>
    <w:rsid w:val="009B0DE2"/>
    <w:rsid w:val="009B2ED3"/>
    <w:rsid w:val="009E59B2"/>
    <w:rsid w:val="00A06437"/>
    <w:rsid w:val="00A12CF8"/>
    <w:rsid w:val="00A336B5"/>
    <w:rsid w:val="00A521AF"/>
    <w:rsid w:val="00A722C7"/>
    <w:rsid w:val="00A76D1E"/>
    <w:rsid w:val="00A77B3E"/>
    <w:rsid w:val="00A95ADA"/>
    <w:rsid w:val="00AA4DC3"/>
    <w:rsid w:val="00AB57F7"/>
    <w:rsid w:val="00AE4461"/>
    <w:rsid w:val="00AE4B21"/>
    <w:rsid w:val="00AE67E1"/>
    <w:rsid w:val="00AF2F8E"/>
    <w:rsid w:val="00AF3168"/>
    <w:rsid w:val="00AF4150"/>
    <w:rsid w:val="00AF4936"/>
    <w:rsid w:val="00AF67ED"/>
    <w:rsid w:val="00B46C4B"/>
    <w:rsid w:val="00B52B66"/>
    <w:rsid w:val="00B61CB4"/>
    <w:rsid w:val="00B83259"/>
    <w:rsid w:val="00BA3856"/>
    <w:rsid w:val="00BD55F1"/>
    <w:rsid w:val="00C005EC"/>
    <w:rsid w:val="00C00707"/>
    <w:rsid w:val="00C078B1"/>
    <w:rsid w:val="00C172C1"/>
    <w:rsid w:val="00C430B4"/>
    <w:rsid w:val="00C45BFF"/>
    <w:rsid w:val="00C6110D"/>
    <w:rsid w:val="00C67E9C"/>
    <w:rsid w:val="00CA18B8"/>
    <w:rsid w:val="00CA2A55"/>
    <w:rsid w:val="00CB3ED3"/>
    <w:rsid w:val="00CF7C56"/>
    <w:rsid w:val="00D17CA9"/>
    <w:rsid w:val="00D23A07"/>
    <w:rsid w:val="00D25DC0"/>
    <w:rsid w:val="00D32760"/>
    <w:rsid w:val="00D34361"/>
    <w:rsid w:val="00D50A20"/>
    <w:rsid w:val="00D524C8"/>
    <w:rsid w:val="00D57ED7"/>
    <w:rsid w:val="00D60B04"/>
    <w:rsid w:val="00D84015"/>
    <w:rsid w:val="00DB3415"/>
    <w:rsid w:val="00DC5D30"/>
    <w:rsid w:val="00DC6B8E"/>
    <w:rsid w:val="00DD7947"/>
    <w:rsid w:val="00DE6710"/>
    <w:rsid w:val="00E046A4"/>
    <w:rsid w:val="00E16DED"/>
    <w:rsid w:val="00E34DC9"/>
    <w:rsid w:val="00E40FC9"/>
    <w:rsid w:val="00E431EA"/>
    <w:rsid w:val="00E7105B"/>
    <w:rsid w:val="00EC0BF5"/>
    <w:rsid w:val="00EC7B0A"/>
    <w:rsid w:val="00ED0AFB"/>
    <w:rsid w:val="00ED172A"/>
    <w:rsid w:val="00ED1966"/>
    <w:rsid w:val="00ED59E4"/>
    <w:rsid w:val="00EE0F3A"/>
    <w:rsid w:val="00F07400"/>
    <w:rsid w:val="00F07DA4"/>
    <w:rsid w:val="00F24ABC"/>
    <w:rsid w:val="00F2567F"/>
    <w:rsid w:val="00F6101D"/>
    <w:rsid w:val="00FA1E41"/>
    <w:rsid w:val="00FD3BD6"/>
    <w:rsid w:val="2C803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D4159"/>
  <w15:docId w15:val="{3E963611-BBB8-2144-AAE1-C30C13ED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C99"/>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C99"/>
    <w:pPr>
      <w:spacing w:after="160" w:line="259"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3E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3E0F"/>
    <w:rPr>
      <w:rFonts w:ascii="Times New Roman" w:eastAsia="Times New Roman" w:hAnsi="Times New Roman" w:cs="Times New Roman"/>
      <w:sz w:val="18"/>
      <w:szCs w:val="18"/>
      <w:lang w:eastAsia="en-US"/>
    </w:rPr>
  </w:style>
  <w:style w:type="paragraph" w:styleId="Footer">
    <w:name w:val="footer"/>
    <w:basedOn w:val="Normal"/>
    <w:link w:val="FooterChar"/>
    <w:uiPriority w:val="99"/>
    <w:rsid w:val="00293E0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3E0F"/>
    <w:rPr>
      <w:rFonts w:ascii="Times New Roman" w:eastAsia="Times New Roman" w:hAnsi="Times New Roman" w:cs="Times New Roman"/>
      <w:sz w:val="18"/>
      <w:szCs w:val="18"/>
      <w:lang w:eastAsia="en-US"/>
    </w:rPr>
  </w:style>
  <w:style w:type="character" w:customStyle="1" w:styleId="dxdefaultcursor">
    <w:name w:val="dxdefaultcursor"/>
    <w:basedOn w:val="DefaultParagraphFont"/>
    <w:rsid w:val="004E712A"/>
  </w:style>
  <w:style w:type="paragraph" w:styleId="BalloonText">
    <w:name w:val="Balloon Text"/>
    <w:basedOn w:val="Normal"/>
    <w:link w:val="BalloonTextChar"/>
    <w:semiHidden/>
    <w:unhideWhenUsed/>
    <w:rsid w:val="000A0F81"/>
    <w:rPr>
      <w:sz w:val="18"/>
      <w:szCs w:val="18"/>
    </w:rPr>
  </w:style>
  <w:style w:type="character" w:customStyle="1" w:styleId="BalloonTextChar">
    <w:name w:val="Balloon Text Char"/>
    <w:basedOn w:val="DefaultParagraphFont"/>
    <w:link w:val="BalloonText"/>
    <w:semiHidden/>
    <w:rsid w:val="000A0F81"/>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232797">
      <w:bodyDiv w:val="1"/>
      <w:marLeft w:val="0"/>
      <w:marRight w:val="0"/>
      <w:marTop w:val="0"/>
      <w:marBottom w:val="0"/>
      <w:divBdr>
        <w:top w:val="none" w:sz="0" w:space="0" w:color="auto"/>
        <w:left w:val="none" w:sz="0" w:space="0" w:color="auto"/>
        <w:bottom w:val="none" w:sz="0" w:space="0" w:color="auto"/>
        <w:right w:val="none" w:sz="0" w:space="0" w:color="auto"/>
      </w:divBdr>
      <w:divsChild>
        <w:div w:id="1212303465">
          <w:marLeft w:val="0"/>
          <w:marRight w:val="0"/>
          <w:marTop w:val="0"/>
          <w:marBottom w:val="0"/>
          <w:divBdr>
            <w:top w:val="none" w:sz="0" w:space="0" w:color="auto"/>
            <w:left w:val="none" w:sz="0" w:space="0" w:color="auto"/>
            <w:bottom w:val="none" w:sz="0" w:space="0" w:color="auto"/>
            <w:right w:val="none" w:sz="0" w:space="0" w:color="auto"/>
          </w:divBdr>
        </w:div>
      </w:divsChild>
    </w:div>
    <w:div w:id="1951431480">
      <w:bodyDiv w:val="1"/>
      <w:marLeft w:val="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27771</dc:creator>
  <cp:lastModifiedBy>Donna Fox</cp:lastModifiedBy>
  <cp:revision>2</cp:revision>
  <dcterms:created xsi:type="dcterms:W3CDTF">2021-03-09T20:25:00Z</dcterms:created>
  <dcterms:modified xsi:type="dcterms:W3CDTF">2021-03-09T20:25:00Z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