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2B262A" w14:textId="77777777" w:rsidR="00BA37FB" w:rsidRPr="00B82E38" w:rsidRDefault="008F363E" w:rsidP="00372A8C">
      <w:pPr>
        <w:spacing w:line="360" w:lineRule="auto"/>
        <w:jc w:val="both"/>
        <w:rPr>
          <w:rFonts w:ascii="Book Antiqua" w:hAnsi="Book Antiqua"/>
          <w:color w:val="000000" w:themeColor="text1"/>
        </w:rPr>
      </w:pPr>
      <w:r w:rsidRPr="00B82E38">
        <w:rPr>
          <w:rFonts w:ascii="Book Antiqua" w:eastAsia="Book Antiqua" w:hAnsi="Book Antiqua" w:cs="Book Antiqua"/>
          <w:b/>
          <w:color w:val="000000" w:themeColor="text1"/>
        </w:rPr>
        <w:t xml:space="preserve">Name of Journal: </w:t>
      </w:r>
      <w:r w:rsidRPr="00B82E38">
        <w:rPr>
          <w:rFonts w:ascii="Book Antiqua" w:eastAsia="Book Antiqua" w:hAnsi="Book Antiqua" w:cs="Book Antiqua"/>
          <w:i/>
          <w:color w:val="000000" w:themeColor="text1"/>
        </w:rPr>
        <w:t>World Journal of Gastroenterology</w:t>
      </w:r>
    </w:p>
    <w:p w14:paraId="5163E3E3" w14:textId="77777777" w:rsidR="00BA37FB" w:rsidRPr="00B82E38" w:rsidRDefault="008F363E" w:rsidP="00372A8C">
      <w:pPr>
        <w:spacing w:line="360" w:lineRule="auto"/>
        <w:jc w:val="both"/>
        <w:rPr>
          <w:rFonts w:ascii="Book Antiqua" w:hAnsi="Book Antiqua"/>
          <w:color w:val="000000" w:themeColor="text1"/>
        </w:rPr>
      </w:pPr>
      <w:r w:rsidRPr="00B82E38">
        <w:rPr>
          <w:rFonts w:ascii="Book Antiqua" w:eastAsia="Book Antiqua" w:hAnsi="Book Antiqua" w:cs="Book Antiqua"/>
          <w:b/>
          <w:color w:val="000000" w:themeColor="text1"/>
        </w:rPr>
        <w:t xml:space="preserve">Manuscript NO: </w:t>
      </w:r>
      <w:r w:rsidRPr="00B82E38">
        <w:rPr>
          <w:rFonts w:ascii="Book Antiqua" w:eastAsia="Book Antiqua" w:hAnsi="Book Antiqua" w:cs="Book Antiqua"/>
          <w:color w:val="000000" w:themeColor="text1"/>
        </w:rPr>
        <w:t>60854</w:t>
      </w:r>
    </w:p>
    <w:p w14:paraId="002A5203" w14:textId="77777777" w:rsidR="00BA37FB" w:rsidRPr="00B82E38" w:rsidRDefault="008F363E" w:rsidP="00372A8C">
      <w:pPr>
        <w:spacing w:line="360" w:lineRule="auto"/>
        <w:jc w:val="both"/>
        <w:rPr>
          <w:rFonts w:ascii="Book Antiqua" w:hAnsi="Book Antiqua"/>
          <w:color w:val="000000" w:themeColor="text1"/>
        </w:rPr>
      </w:pPr>
      <w:r w:rsidRPr="00B82E38">
        <w:rPr>
          <w:rFonts w:ascii="Book Antiqua" w:eastAsia="Book Antiqua" w:hAnsi="Book Antiqua" w:cs="Book Antiqua"/>
          <w:b/>
          <w:color w:val="000000" w:themeColor="text1"/>
        </w:rPr>
        <w:t xml:space="preserve">Manuscript Type: </w:t>
      </w:r>
      <w:r w:rsidRPr="00B82E38">
        <w:rPr>
          <w:rFonts w:ascii="Book Antiqua" w:eastAsia="Book Antiqua" w:hAnsi="Book Antiqua" w:cs="Book Antiqua"/>
          <w:color w:val="000000" w:themeColor="text1"/>
        </w:rPr>
        <w:t>ORIGINAL ARTICLE</w:t>
      </w:r>
    </w:p>
    <w:p w14:paraId="7298E8B2" w14:textId="77777777" w:rsidR="00BA37FB" w:rsidRPr="00B82E38" w:rsidRDefault="00BA37FB" w:rsidP="00372A8C">
      <w:pPr>
        <w:spacing w:line="360" w:lineRule="auto"/>
        <w:jc w:val="both"/>
        <w:rPr>
          <w:rFonts w:ascii="Book Antiqua" w:hAnsi="Book Antiqua"/>
          <w:color w:val="000000" w:themeColor="text1"/>
        </w:rPr>
      </w:pPr>
    </w:p>
    <w:p w14:paraId="6F23E9ED" w14:textId="77777777" w:rsidR="00BA37FB" w:rsidRPr="00B82E38" w:rsidRDefault="008F363E" w:rsidP="00372A8C">
      <w:pPr>
        <w:spacing w:line="360" w:lineRule="auto"/>
        <w:jc w:val="both"/>
        <w:rPr>
          <w:rFonts w:ascii="Book Antiqua" w:hAnsi="Book Antiqua"/>
          <w:color w:val="000000" w:themeColor="text1"/>
        </w:rPr>
      </w:pPr>
      <w:r w:rsidRPr="00B82E38">
        <w:rPr>
          <w:rFonts w:ascii="Book Antiqua" w:eastAsia="Book Antiqua" w:hAnsi="Book Antiqua" w:cs="Book Antiqua"/>
          <w:b/>
          <w:i/>
          <w:color w:val="000000" w:themeColor="text1"/>
        </w:rPr>
        <w:t>Retrospective Study</w:t>
      </w:r>
    </w:p>
    <w:p w14:paraId="4FD21BAA" w14:textId="1F0FC83A" w:rsidR="00BA37FB" w:rsidRPr="00B82E38" w:rsidRDefault="008F363E" w:rsidP="00372A8C">
      <w:pPr>
        <w:spacing w:line="360" w:lineRule="auto"/>
        <w:jc w:val="both"/>
        <w:rPr>
          <w:rFonts w:ascii="Book Antiqua" w:hAnsi="Book Antiqua"/>
          <w:color w:val="000000" w:themeColor="text1"/>
        </w:rPr>
      </w:pPr>
      <w:r w:rsidRPr="00B82E38">
        <w:rPr>
          <w:rFonts w:ascii="Book Antiqua" w:eastAsia="Book Antiqua" w:hAnsi="Book Antiqua" w:cs="Book Antiqua"/>
          <w:b/>
          <w:bCs/>
          <w:color w:val="000000" w:themeColor="text1"/>
        </w:rPr>
        <w:t>Comparative stu</w:t>
      </w:r>
      <w:r w:rsidRPr="00B82E38">
        <w:rPr>
          <w:rFonts w:ascii="Book Antiqua" w:eastAsia="Book Antiqua" w:hAnsi="Book Antiqua" w:cs="Book Antiqua"/>
          <w:b/>
          <w:bCs/>
          <w:color w:val="000000" w:themeColor="text1"/>
        </w:rPr>
        <w:t>dy of</w:t>
      </w:r>
      <w:r w:rsidR="00461C27">
        <w:rPr>
          <w:rFonts w:ascii="Book Antiqua" w:eastAsia="Book Antiqua" w:hAnsi="Book Antiqua" w:cs="Book Antiqua"/>
          <w:b/>
          <w:bCs/>
          <w:color w:val="000000" w:themeColor="text1"/>
        </w:rPr>
        <w:t xml:space="preserve"> </w:t>
      </w:r>
      <w:proofErr w:type="spellStart"/>
      <w:r w:rsidRPr="00B82E38">
        <w:rPr>
          <w:rFonts w:ascii="Book Antiqua" w:eastAsia="Book Antiqua" w:hAnsi="Book Antiqua" w:cs="Book Antiqua"/>
          <w:b/>
          <w:bCs/>
          <w:color w:val="000000" w:themeColor="text1"/>
        </w:rPr>
        <w:t>indocyanine</w:t>
      </w:r>
      <w:proofErr w:type="spellEnd"/>
      <w:r w:rsidRPr="00B82E38">
        <w:rPr>
          <w:rFonts w:ascii="Book Antiqua" w:eastAsia="Book Antiqua" w:hAnsi="Book Antiqua" w:cs="Book Antiqua"/>
          <w:b/>
          <w:bCs/>
          <w:color w:val="000000" w:themeColor="text1"/>
        </w:rPr>
        <w:t xml:space="preserve"> green-R15, Child-Pugh score</w:t>
      </w:r>
      <w:r w:rsidR="00461C27">
        <w:rPr>
          <w:rFonts w:ascii="Book Antiqua" w:eastAsia="Book Antiqua" w:hAnsi="Book Antiqua" w:cs="Book Antiqua"/>
          <w:b/>
          <w:bCs/>
          <w:color w:val="000000" w:themeColor="text1"/>
        </w:rPr>
        <w:t>,</w:t>
      </w:r>
      <w:r w:rsidRPr="00B82E38">
        <w:rPr>
          <w:rFonts w:ascii="Book Antiqua" w:eastAsia="Book Antiqua" w:hAnsi="Book Antiqua" w:cs="Book Antiqua"/>
          <w:b/>
          <w:bCs/>
          <w:color w:val="000000" w:themeColor="text1"/>
        </w:rPr>
        <w:t xml:space="preserve"> and </w:t>
      </w:r>
      <w:r w:rsidRPr="00B82E38">
        <w:rPr>
          <w:rFonts w:ascii="Book Antiqua" w:hAnsi="Book Antiqua"/>
          <w:b/>
          <w:bCs/>
          <w:color w:val="000000" w:themeColor="text1"/>
        </w:rPr>
        <w:t>model for end-stage liver disease</w:t>
      </w:r>
      <w:r w:rsidRPr="00B82E38">
        <w:rPr>
          <w:rFonts w:ascii="Book Antiqua" w:eastAsia="Book Antiqua" w:hAnsi="Book Antiqua" w:cs="Book Antiqua"/>
          <w:b/>
          <w:bCs/>
          <w:color w:val="000000" w:themeColor="text1"/>
        </w:rPr>
        <w:t xml:space="preserve"> score for</w:t>
      </w:r>
      <w:r w:rsidR="00461C27">
        <w:rPr>
          <w:rFonts w:ascii="Book Antiqua" w:eastAsia="Book Antiqua" w:hAnsi="Book Antiqua" w:cs="Book Antiqua"/>
          <w:b/>
          <w:bCs/>
          <w:color w:val="000000" w:themeColor="text1"/>
        </w:rPr>
        <w:t xml:space="preserve"> </w:t>
      </w:r>
      <w:r w:rsidRPr="00B82E38">
        <w:rPr>
          <w:rFonts w:ascii="Book Antiqua" w:eastAsia="Book Antiqua" w:hAnsi="Book Antiqua" w:cs="Book Antiqua"/>
          <w:b/>
          <w:bCs/>
          <w:color w:val="000000" w:themeColor="text1"/>
        </w:rPr>
        <w:t xml:space="preserve">prediction of hepatic encephalopathy after </w:t>
      </w:r>
      <w:proofErr w:type="spellStart"/>
      <w:r w:rsidRPr="00B82E38">
        <w:rPr>
          <w:rFonts w:ascii="Book Antiqua" w:eastAsia="Book Antiqua" w:hAnsi="Book Antiqua" w:cs="Book Antiqua"/>
          <w:color w:val="000000" w:themeColor="text1"/>
        </w:rPr>
        <w:t>t</w:t>
      </w:r>
      <w:r w:rsidRPr="00B82E38">
        <w:rPr>
          <w:rFonts w:ascii="Book Antiqua" w:eastAsia="Book Antiqua" w:hAnsi="Book Antiqua" w:cs="Book Antiqua"/>
          <w:b/>
          <w:bCs/>
          <w:color w:val="000000" w:themeColor="text1"/>
        </w:rPr>
        <w:t>ransjugular</w:t>
      </w:r>
      <w:proofErr w:type="spellEnd"/>
      <w:r w:rsidRPr="00B82E38">
        <w:rPr>
          <w:rFonts w:ascii="Book Antiqua" w:eastAsia="Book Antiqua" w:hAnsi="Book Antiqua" w:cs="Book Antiqua"/>
          <w:b/>
          <w:bCs/>
          <w:color w:val="000000" w:themeColor="text1"/>
        </w:rPr>
        <w:t xml:space="preserve"> intrahepatic portosystemic shunt</w:t>
      </w:r>
    </w:p>
    <w:p w14:paraId="4A7C1842" w14:textId="77777777" w:rsidR="00BA37FB" w:rsidRPr="00B82E38" w:rsidRDefault="00BA37FB" w:rsidP="00372A8C">
      <w:pPr>
        <w:spacing w:line="360" w:lineRule="auto"/>
        <w:jc w:val="both"/>
        <w:rPr>
          <w:rFonts w:ascii="Book Antiqua" w:hAnsi="Book Antiqua"/>
          <w:color w:val="000000" w:themeColor="text1"/>
        </w:rPr>
      </w:pPr>
    </w:p>
    <w:p w14:paraId="15BB6B1B" w14:textId="24863B50" w:rsidR="00BA37FB" w:rsidRPr="00B82E38" w:rsidRDefault="008F363E" w:rsidP="00372A8C">
      <w:pPr>
        <w:spacing w:line="360" w:lineRule="auto"/>
        <w:jc w:val="both"/>
        <w:rPr>
          <w:rFonts w:ascii="Book Antiqua" w:hAnsi="Book Antiqua"/>
          <w:color w:val="000000" w:themeColor="text1"/>
        </w:rPr>
      </w:pPr>
      <w:r w:rsidRPr="00B82E38">
        <w:rPr>
          <w:rFonts w:ascii="Book Antiqua" w:eastAsia="Book Antiqua" w:hAnsi="Book Antiqua" w:cs="Book Antiqua"/>
          <w:color w:val="000000" w:themeColor="text1"/>
        </w:rPr>
        <w:t xml:space="preserve">Wang Z </w:t>
      </w:r>
      <w:r w:rsidRPr="00B82E38">
        <w:rPr>
          <w:rFonts w:ascii="Book Antiqua" w:eastAsia="Book Antiqua" w:hAnsi="Book Antiqua" w:cs="Book Antiqua"/>
          <w:i/>
          <w:iCs/>
          <w:color w:val="000000" w:themeColor="text1"/>
        </w:rPr>
        <w:t>et al</w:t>
      </w:r>
      <w:r w:rsidRPr="00B82E38">
        <w:rPr>
          <w:rFonts w:ascii="Book Antiqua" w:eastAsia="Book Antiqua" w:hAnsi="Book Antiqua" w:cs="Book Antiqua"/>
          <w:color w:val="000000" w:themeColor="text1"/>
        </w:rPr>
        <w:t>. ICG-R15, CPS</w:t>
      </w:r>
      <w:r w:rsidR="00461C27">
        <w:rPr>
          <w:rFonts w:ascii="Book Antiqua" w:eastAsia="Book Antiqua" w:hAnsi="Book Antiqua" w:cs="Book Antiqua"/>
          <w:color w:val="000000" w:themeColor="text1"/>
        </w:rPr>
        <w:t>,</w:t>
      </w:r>
      <w:r w:rsidRPr="00B82E38">
        <w:rPr>
          <w:rFonts w:ascii="Book Antiqua" w:eastAsia="Book Antiqua" w:hAnsi="Book Antiqua" w:cs="Book Antiqua"/>
          <w:color w:val="000000" w:themeColor="text1"/>
        </w:rPr>
        <w:t xml:space="preserve"> and ME</w:t>
      </w:r>
      <w:r w:rsidRPr="00B82E38">
        <w:rPr>
          <w:rFonts w:ascii="Book Antiqua" w:eastAsia="Book Antiqua" w:hAnsi="Book Antiqua" w:cs="Book Antiqua"/>
          <w:color w:val="000000" w:themeColor="text1"/>
        </w:rPr>
        <w:t>LD score</w:t>
      </w:r>
    </w:p>
    <w:p w14:paraId="52089717" w14:textId="77777777" w:rsidR="00BA37FB" w:rsidRPr="00B82E38" w:rsidRDefault="00BA37FB" w:rsidP="00372A8C">
      <w:pPr>
        <w:spacing w:line="360" w:lineRule="auto"/>
        <w:jc w:val="both"/>
        <w:rPr>
          <w:rFonts w:ascii="Book Antiqua" w:hAnsi="Book Antiqua"/>
          <w:color w:val="000000" w:themeColor="text1"/>
        </w:rPr>
      </w:pPr>
    </w:p>
    <w:p w14:paraId="2E99349C" w14:textId="77777777" w:rsidR="00BA37FB" w:rsidRPr="00B82E38" w:rsidRDefault="008F363E" w:rsidP="00372A8C">
      <w:pPr>
        <w:spacing w:line="360" w:lineRule="auto"/>
        <w:jc w:val="both"/>
        <w:rPr>
          <w:rFonts w:ascii="Book Antiqua" w:hAnsi="Book Antiqua"/>
          <w:color w:val="000000" w:themeColor="text1"/>
        </w:rPr>
      </w:pPr>
      <w:r w:rsidRPr="00B82E38">
        <w:rPr>
          <w:rFonts w:ascii="Book Antiqua" w:eastAsia="Book Antiqua" w:hAnsi="Book Antiqua" w:cs="Book Antiqua"/>
          <w:color w:val="000000" w:themeColor="text1"/>
        </w:rPr>
        <w:t>Zhong Wang, Yi-Fan Wu, Zhen-Dong Yue, Hong-Wei Zhao, Lei wang, Zhen-Hua Fan, Yu Zhang, Fu-Quan Liu</w:t>
      </w:r>
    </w:p>
    <w:p w14:paraId="468403B0" w14:textId="77777777" w:rsidR="00BA37FB" w:rsidRPr="00B82E38" w:rsidRDefault="00BA37FB" w:rsidP="00372A8C">
      <w:pPr>
        <w:spacing w:line="360" w:lineRule="auto"/>
        <w:jc w:val="both"/>
        <w:rPr>
          <w:rFonts w:ascii="Book Antiqua" w:hAnsi="Book Antiqua"/>
          <w:color w:val="000000" w:themeColor="text1"/>
        </w:rPr>
      </w:pPr>
    </w:p>
    <w:p w14:paraId="518E478F" w14:textId="77777777" w:rsidR="00BA37FB" w:rsidRPr="00B82E38" w:rsidRDefault="008F363E" w:rsidP="00372A8C">
      <w:pPr>
        <w:spacing w:line="360" w:lineRule="auto"/>
        <w:jc w:val="both"/>
        <w:rPr>
          <w:rFonts w:ascii="Book Antiqua" w:hAnsi="Book Antiqua"/>
          <w:color w:val="000000" w:themeColor="text1"/>
        </w:rPr>
      </w:pPr>
      <w:r w:rsidRPr="00B82E38">
        <w:rPr>
          <w:rFonts w:ascii="Book Antiqua" w:eastAsia="Book Antiqua" w:hAnsi="Book Antiqua" w:cs="Book Antiqua"/>
          <w:b/>
          <w:bCs/>
          <w:color w:val="000000" w:themeColor="text1"/>
        </w:rPr>
        <w:t xml:space="preserve">Zhong Wang, Yi-Fan Wu, Zhen-Dong Yue, Hong-Wei Zhao, Lei Wang, Zhen-Hua Fan, Yu Zhang, Fu-Quan Liu, </w:t>
      </w:r>
      <w:r w:rsidRPr="00B82E38">
        <w:rPr>
          <w:rFonts w:ascii="Book Antiqua" w:eastAsia="Book Antiqua" w:hAnsi="Book Antiqua" w:cs="Book Antiqua"/>
          <w:color w:val="000000" w:themeColor="text1"/>
        </w:rPr>
        <w:t xml:space="preserve">Department of Interventional Therapy, Beijing </w:t>
      </w:r>
      <w:proofErr w:type="spellStart"/>
      <w:r w:rsidRPr="00B82E38">
        <w:rPr>
          <w:rFonts w:ascii="Book Antiqua" w:eastAsia="Book Antiqua" w:hAnsi="Book Antiqua" w:cs="Book Antiqua"/>
          <w:color w:val="000000" w:themeColor="text1"/>
        </w:rPr>
        <w:t>Shijitan</w:t>
      </w:r>
      <w:proofErr w:type="spellEnd"/>
      <w:r w:rsidRPr="00B82E38">
        <w:rPr>
          <w:rFonts w:ascii="Book Antiqua" w:eastAsia="Book Antiqua" w:hAnsi="Book Antiqua" w:cs="Book Antiqua"/>
          <w:color w:val="000000" w:themeColor="text1"/>
        </w:rPr>
        <w:t xml:space="preserve"> Hospital, Capital Medical University, Beijing 100038, China</w:t>
      </w:r>
    </w:p>
    <w:p w14:paraId="5A5C23DF" w14:textId="77777777" w:rsidR="00BA37FB" w:rsidRPr="00B82E38" w:rsidRDefault="00BA37FB" w:rsidP="00372A8C">
      <w:pPr>
        <w:spacing w:line="360" w:lineRule="auto"/>
        <w:jc w:val="both"/>
        <w:rPr>
          <w:rFonts w:ascii="Book Antiqua" w:hAnsi="Book Antiqua"/>
          <w:color w:val="000000" w:themeColor="text1"/>
        </w:rPr>
      </w:pPr>
    </w:p>
    <w:p w14:paraId="1BD90392" w14:textId="3213A634" w:rsidR="00BA37FB" w:rsidRPr="00B82E38" w:rsidRDefault="008F363E" w:rsidP="00372A8C">
      <w:pPr>
        <w:spacing w:line="360" w:lineRule="auto"/>
        <w:jc w:val="both"/>
        <w:rPr>
          <w:rFonts w:ascii="Book Antiqua" w:hAnsi="Book Antiqua"/>
          <w:color w:val="000000" w:themeColor="text1"/>
        </w:rPr>
      </w:pPr>
      <w:r w:rsidRPr="00B82E38">
        <w:rPr>
          <w:rFonts w:ascii="Book Antiqua" w:eastAsia="Book Antiqua" w:hAnsi="Book Antiqua" w:cs="Book Antiqua"/>
          <w:b/>
          <w:bCs/>
          <w:color w:val="000000" w:themeColor="text1"/>
        </w:rPr>
        <w:t xml:space="preserve">Author contributions: </w:t>
      </w:r>
      <w:r w:rsidRPr="00B82E38">
        <w:rPr>
          <w:rFonts w:ascii="Book Antiqua" w:eastAsia="Book Antiqua" w:hAnsi="Book Antiqua" w:cs="Book Antiqua"/>
          <w:color w:val="000000" w:themeColor="text1"/>
        </w:rPr>
        <w:t>Liu FQ desi</w:t>
      </w:r>
      <w:r w:rsidRPr="00B82E38">
        <w:rPr>
          <w:rFonts w:ascii="Book Antiqua" w:eastAsia="Book Antiqua" w:hAnsi="Book Antiqua" w:cs="Book Antiqua"/>
          <w:color w:val="000000" w:themeColor="text1"/>
        </w:rPr>
        <w:t xml:space="preserve">gned </w:t>
      </w:r>
      <w:r w:rsidR="00461C27">
        <w:rPr>
          <w:rFonts w:ascii="Book Antiqua" w:eastAsia="Book Antiqua" w:hAnsi="Book Antiqua" w:cs="Book Antiqua"/>
          <w:color w:val="000000" w:themeColor="text1"/>
        </w:rPr>
        <w:t xml:space="preserve">the </w:t>
      </w:r>
      <w:r w:rsidRPr="00B82E38">
        <w:rPr>
          <w:rFonts w:ascii="Book Antiqua" w:eastAsia="Book Antiqua" w:hAnsi="Book Antiqua" w:cs="Book Antiqua"/>
          <w:color w:val="000000" w:themeColor="text1"/>
        </w:rPr>
        <w:t>research; Zhang Y, Wu YF, Yue ZD, Zhao HW, Wang L</w:t>
      </w:r>
      <w:r w:rsidR="00461C27">
        <w:rPr>
          <w:rFonts w:ascii="Book Antiqua" w:eastAsia="Book Antiqua" w:hAnsi="Book Antiqua" w:cs="Book Antiqua"/>
          <w:color w:val="000000" w:themeColor="text1"/>
        </w:rPr>
        <w:t>,</w:t>
      </w:r>
      <w:r w:rsidRPr="00B82E38">
        <w:rPr>
          <w:rFonts w:ascii="Book Antiqua" w:eastAsia="Book Antiqua" w:hAnsi="Book Antiqua" w:cs="Book Antiqua"/>
          <w:color w:val="000000" w:themeColor="text1"/>
        </w:rPr>
        <w:t xml:space="preserve"> and Fan ZH performed </w:t>
      </w:r>
      <w:r w:rsidR="00461C27">
        <w:rPr>
          <w:rFonts w:ascii="Book Antiqua" w:eastAsia="Book Antiqua" w:hAnsi="Book Antiqua" w:cs="Book Antiqua"/>
          <w:color w:val="000000" w:themeColor="text1"/>
        </w:rPr>
        <w:t xml:space="preserve">the </w:t>
      </w:r>
      <w:r w:rsidRPr="00B82E38">
        <w:rPr>
          <w:rFonts w:ascii="Book Antiqua" w:eastAsia="Book Antiqua" w:hAnsi="Book Antiqua" w:cs="Book Antiqua"/>
          <w:color w:val="000000" w:themeColor="text1"/>
        </w:rPr>
        <w:t xml:space="preserve">research; Wang Z analyzed </w:t>
      </w:r>
      <w:r w:rsidR="00461C27">
        <w:rPr>
          <w:rFonts w:ascii="Book Antiqua" w:eastAsia="Book Antiqua" w:hAnsi="Book Antiqua" w:cs="Book Antiqua"/>
          <w:color w:val="000000" w:themeColor="text1"/>
        </w:rPr>
        <w:t xml:space="preserve">the </w:t>
      </w:r>
      <w:r w:rsidRPr="00B82E38">
        <w:rPr>
          <w:rFonts w:ascii="Book Antiqua" w:eastAsia="Book Antiqua" w:hAnsi="Book Antiqua" w:cs="Book Antiqua"/>
          <w:color w:val="000000" w:themeColor="text1"/>
        </w:rPr>
        <w:t xml:space="preserve">data and </w:t>
      </w:r>
      <w:r w:rsidRPr="00B82E38">
        <w:rPr>
          <w:rFonts w:ascii="Book Antiqua" w:eastAsia="Book Antiqua" w:hAnsi="Book Antiqua" w:cs="Book Antiqua"/>
          <w:color w:val="000000" w:themeColor="text1"/>
        </w:rPr>
        <w:t>wrote the paper.</w:t>
      </w:r>
    </w:p>
    <w:p w14:paraId="6F6ABE8B" w14:textId="77777777" w:rsidR="00BA37FB" w:rsidRPr="00B82E38" w:rsidRDefault="00BA37FB" w:rsidP="00372A8C">
      <w:pPr>
        <w:spacing w:line="360" w:lineRule="auto"/>
        <w:jc w:val="both"/>
        <w:rPr>
          <w:rFonts w:ascii="Book Antiqua" w:hAnsi="Book Antiqua"/>
          <w:color w:val="000000" w:themeColor="text1"/>
        </w:rPr>
      </w:pPr>
    </w:p>
    <w:p w14:paraId="6D1CD7C6" w14:textId="77777777" w:rsidR="00BA37FB" w:rsidRPr="00B82E38" w:rsidRDefault="008F363E" w:rsidP="00372A8C">
      <w:pPr>
        <w:spacing w:line="360" w:lineRule="auto"/>
        <w:jc w:val="both"/>
        <w:rPr>
          <w:rFonts w:ascii="Book Antiqua" w:hAnsi="Book Antiqua"/>
          <w:color w:val="000000" w:themeColor="text1"/>
        </w:rPr>
      </w:pPr>
      <w:r w:rsidRPr="00B82E38">
        <w:rPr>
          <w:rFonts w:ascii="Book Antiqua" w:eastAsia="Book Antiqua" w:hAnsi="Book Antiqua" w:cs="Book Antiqua"/>
          <w:b/>
          <w:bCs/>
          <w:color w:val="000000" w:themeColor="text1"/>
        </w:rPr>
        <w:t xml:space="preserve">Corresponding author: Fu-Quan Liu, BCPS, MD, Director, Professor, </w:t>
      </w:r>
      <w:r w:rsidRPr="00B82E38">
        <w:rPr>
          <w:rFonts w:ascii="Book Antiqua" w:eastAsia="Book Antiqua" w:hAnsi="Book Antiqua" w:cs="Book Antiqua"/>
          <w:color w:val="000000" w:themeColor="text1"/>
        </w:rPr>
        <w:t xml:space="preserve">Department of Interventional Therapy, Beijing </w:t>
      </w:r>
      <w:proofErr w:type="spellStart"/>
      <w:r w:rsidRPr="00B82E38">
        <w:rPr>
          <w:rFonts w:ascii="Book Antiqua" w:eastAsia="Book Antiqua" w:hAnsi="Book Antiqua" w:cs="Book Antiqua"/>
          <w:color w:val="000000" w:themeColor="text1"/>
        </w:rPr>
        <w:t>Shijitan</w:t>
      </w:r>
      <w:proofErr w:type="spellEnd"/>
      <w:r w:rsidRPr="00B82E38">
        <w:rPr>
          <w:rFonts w:ascii="Book Antiqua" w:eastAsia="Book Antiqua" w:hAnsi="Book Antiqua" w:cs="Book Antiqua"/>
          <w:color w:val="000000" w:themeColor="text1"/>
        </w:rPr>
        <w:t xml:space="preserve"> Hospital, Capital Medical University, No. 10 Tie Yi Road, </w:t>
      </w:r>
      <w:proofErr w:type="spellStart"/>
      <w:r w:rsidRPr="00B82E38">
        <w:rPr>
          <w:rFonts w:ascii="Book Antiqua" w:eastAsia="Book Antiqua" w:hAnsi="Book Antiqua" w:cs="Book Antiqua"/>
          <w:color w:val="000000" w:themeColor="text1"/>
        </w:rPr>
        <w:t>Yangfangdian</w:t>
      </w:r>
      <w:proofErr w:type="spellEnd"/>
      <w:r w:rsidRPr="00B82E38">
        <w:rPr>
          <w:rFonts w:ascii="Book Antiqua" w:eastAsia="Book Antiqua" w:hAnsi="Book Antiqua" w:cs="Book Antiqua"/>
          <w:color w:val="000000" w:themeColor="text1"/>
        </w:rPr>
        <w:t xml:space="preserve">, </w:t>
      </w:r>
      <w:proofErr w:type="spellStart"/>
      <w:r w:rsidRPr="00B82E38">
        <w:rPr>
          <w:rFonts w:ascii="Book Antiqua" w:eastAsia="Book Antiqua" w:hAnsi="Book Antiqua" w:cs="Book Antiqua"/>
          <w:color w:val="000000" w:themeColor="text1"/>
        </w:rPr>
        <w:t>Haidian</w:t>
      </w:r>
      <w:proofErr w:type="spellEnd"/>
      <w:r w:rsidRPr="00B82E38">
        <w:rPr>
          <w:rFonts w:ascii="Book Antiqua" w:eastAsia="Book Antiqua" w:hAnsi="Book Antiqua" w:cs="Book Antiqua"/>
          <w:color w:val="000000" w:themeColor="text1"/>
        </w:rPr>
        <w:t xml:space="preserve"> District, Beijing 100038, China. lfuquan@aliyun.com</w:t>
      </w:r>
    </w:p>
    <w:p w14:paraId="068EBBBF" w14:textId="77777777" w:rsidR="00BA37FB" w:rsidRPr="00B82E38" w:rsidRDefault="00BA37FB" w:rsidP="00372A8C">
      <w:pPr>
        <w:spacing w:line="360" w:lineRule="auto"/>
        <w:jc w:val="both"/>
        <w:rPr>
          <w:rFonts w:ascii="Book Antiqua" w:hAnsi="Book Antiqua"/>
          <w:color w:val="000000" w:themeColor="text1"/>
        </w:rPr>
      </w:pPr>
    </w:p>
    <w:p w14:paraId="2CC548C2" w14:textId="77777777" w:rsidR="00BA37FB" w:rsidRPr="00B82E38" w:rsidRDefault="008F363E" w:rsidP="00372A8C">
      <w:pPr>
        <w:spacing w:line="360" w:lineRule="auto"/>
        <w:jc w:val="both"/>
        <w:rPr>
          <w:rFonts w:ascii="Book Antiqua" w:hAnsi="Book Antiqua"/>
          <w:color w:val="000000" w:themeColor="text1"/>
        </w:rPr>
      </w:pPr>
      <w:r w:rsidRPr="00B82E38">
        <w:rPr>
          <w:rFonts w:ascii="Book Antiqua" w:eastAsia="Book Antiqua" w:hAnsi="Book Antiqua" w:cs="Book Antiqua"/>
          <w:b/>
          <w:bCs/>
          <w:color w:val="000000" w:themeColor="text1"/>
        </w:rPr>
        <w:t xml:space="preserve">Received: </w:t>
      </w:r>
      <w:r w:rsidRPr="00B82E38">
        <w:rPr>
          <w:rFonts w:ascii="Book Antiqua" w:eastAsia="Book Antiqua" w:hAnsi="Book Antiqua" w:cs="Book Antiqua"/>
          <w:color w:val="000000" w:themeColor="text1"/>
        </w:rPr>
        <w:t>November 23, 2020</w:t>
      </w:r>
    </w:p>
    <w:p w14:paraId="27850110" w14:textId="77777777" w:rsidR="00BA37FB" w:rsidRPr="00B82E38" w:rsidRDefault="008F363E" w:rsidP="00372A8C">
      <w:pPr>
        <w:spacing w:line="360" w:lineRule="auto"/>
        <w:jc w:val="both"/>
        <w:rPr>
          <w:rFonts w:ascii="Book Antiqua" w:hAnsi="Book Antiqua"/>
          <w:color w:val="000000" w:themeColor="text1"/>
        </w:rPr>
      </w:pPr>
      <w:r w:rsidRPr="00B82E38">
        <w:rPr>
          <w:rFonts w:ascii="Book Antiqua" w:eastAsia="Book Antiqua" w:hAnsi="Book Antiqua" w:cs="Book Antiqua"/>
          <w:b/>
          <w:bCs/>
          <w:color w:val="000000" w:themeColor="text1"/>
        </w:rPr>
        <w:t xml:space="preserve">Revised: </w:t>
      </w:r>
      <w:r w:rsidRPr="00B82E38">
        <w:rPr>
          <w:rFonts w:ascii="Book Antiqua" w:eastAsia="Book Antiqua" w:hAnsi="Book Antiqua" w:cs="Book Antiqua"/>
          <w:color w:val="000000" w:themeColor="text1"/>
        </w:rPr>
        <w:t>December 25, 2020</w:t>
      </w:r>
    </w:p>
    <w:p w14:paraId="34867A56" w14:textId="74129E97" w:rsidR="00BA37FB" w:rsidRPr="00B82E38" w:rsidRDefault="008F363E" w:rsidP="00372A8C">
      <w:pPr>
        <w:spacing w:line="360" w:lineRule="auto"/>
        <w:jc w:val="both"/>
        <w:rPr>
          <w:rFonts w:ascii="Book Antiqua" w:hAnsi="Book Antiqua"/>
          <w:color w:val="000000" w:themeColor="text1"/>
        </w:rPr>
      </w:pPr>
      <w:r w:rsidRPr="00B82E38">
        <w:rPr>
          <w:rFonts w:ascii="Book Antiqua" w:eastAsia="Book Antiqua" w:hAnsi="Book Antiqua" w:cs="Book Antiqua"/>
          <w:b/>
          <w:bCs/>
          <w:color w:val="000000" w:themeColor="text1"/>
        </w:rPr>
        <w:t xml:space="preserve">Accepted: </w:t>
      </w:r>
      <w:r w:rsidR="00A635AE" w:rsidRPr="00A635AE">
        <w:rPr>
          <w:rFonts w:ascii="Book Antiqua" w:eastAsia="Book Antiqua" w:hAnsi="Book Antiqua" w:cs="Book Antiqua"/>
          <w:color w:val="000000" w:themeColor="text1"/>
        </w:rPr>
        <w:t>January 15, 2021</w:t>
      </w:r>
    </w:p>
    <w:p w14:paraId="260FFF93" w14:textId="77777777" w:rsidR="00BA37FB" w:rsidRPr="00B82E38" w:rsidRDefault="008F363E" w:rsidP="00372A8C">
      <w:pPr>
        <w:spacing w:line="360" w:lineRule="auto"/>
        <w:jc w:val="both"/>
        <w:rPr>
          <w:rFonts w:ascii="Book Antiqua" w:hAnsi="Book Antiqua"/>
          <w:color w:val="000000" w:themeColor="text1"/>
        </w:rPr>
      </w:pPr>
      <w:r w:rsidRPr="00B82E38">
        <w:rPr>
          <w:rFonts w:ascii="Book Antiqua" w:eastAsia="Book Antiqua" w:hAnsi="Book Antiqua" w:cs="Book Antiqua"/>
          <w:b/>
          <w:bCs/>
          <w:color w:val="000000" w:themeColor="text1"/>
        </w:rPr>
        <w:lastRenderedPageBreak/>
        <w:t xml:space="preserve">Published online: </w:t>
      </w:r>
    </w:p>
    <w:p w14:paraId="4ECC6512" w14:textId="77777777" w:rsidR="00BA37FB" w:rsidRPr="00B82E38" w:rsidRDefault="00BA37FB" w:rsidP="00372A8C">
      <w:pPr>
        <w:spacing w:line="360" w:lineRule="auto"/>
        <w:jc w:val="both"/>
        <w:rPr>
          <w:rFonts w:ascii="Book Antiqua" w:hAnsi="Book Antiqua"/>
          <w:color w:val="000000" w:themeColor="text1"/>
        </w:rPr>
        <w:sectPr w:rsidR="00BA37FB" w:rsidRPr="00B82E38">
          <w:footerReference w:type="default" r:id="rId7"/>
          <w:pgSz w:w="12240" w:h="15840"/>
          <w:pgMar w:top="1440" w:right="1440" w:bottom="1440" w:left="1440" w:header="720" w:footer="720" w:gutter="0"/>
          <w:cols w:space="720"/>
          <w:docGrid w:linePitch="360"/>
        </w:sectPr>
      </w:pPr>
    </w:p>
    <w:p w14:paraId="124E45FF" w14:textId="77777777" w:rsidR="00BA37FB" w:rsidRPr="00B82E38" w:rsidRDefault="008F363E" w:rsidP="00372A8C">
      <w:pPr>
        <w:spacing w:line="360" w:lineRule="auto"/>
        <w:jc w:val="both"/>
        <w:rPr>
          <w:rFonts w:ascii="Book Antiqua" w:hAnsi="Book Antiqua"/>
          <w:color w:val="000000" w:themeColor="text1"/>
        </w:rPr>
      </w:pPr>
      <w:r w:rsidRPr="00B82E38">
        <w:rPr>
          <w:rFonts w:ascii="Book Antiqua" w:eastAsia="Book Antiqua" w:hAnsi="Book Antiqua" w:cs="Book Antiqua"/>
          <w:b/>
          <w:color w:val="000000" w:themeColor="text1"/>
        </w:rPr>
        <w:lastRenderedPageBreak/>
        <w:t>Abstract</w:t>
      </w:r>
    </w:p>
    <w:p w14:paraId="5FE01509" w14:textId="77777777" w:rsidR="00BA37FB" w:rsidRPr="00B82E38" w:rsidRDefault="008F363E" w:rsidP="00372A8C">
      <w:pPr>
        <w:spacing w:line="360" w:lineRule="auto"/>
        <w:jc w:val="both"/>
        <w:rPr>
          <w:rFonts w:ascii="Book Antiqua" w:hAnsi="Book Antiqua"/>
          <w:color w:val="000000" w:themeColor="text1"/>
        </w:rPr>
      </w:pPr>
      <w:r w:rsidRPr="00B82E38">
        <w:rPr>
          <w:rFonts w:ascii="Book Antiqua" w:eastAsia="Book Antiqua" w:hAnsi="Book Antiqua" w:cs="Book Antiqua"/>
          <w:color w:val="000000" w:themeColor="text1"/>
        </w:rPr>
        <w:t>BACKGROUND</w:t>
      </w:r>
    </w:p>
    <w:p w14:paraId="3293EC76" w14:textId="6548F4CD" w:rsidR="00BA37FB" w:rsidRPr="00B82E38" w:rsidRDefault="008F363E" w:rsidP="00372A8C">
      <w:pPr>
        <w:spacing w:line="360" w:lineRule="auto"/>
        <w:jc w:val="both"/>
        <w:rPr>
          <w:rFonts w:ascii="Book Antiqua" w:hAnsi="Book Antiqua"/>
          <w:color w:val="000000" w:themeColor="text1"/>
        </w:rPr>
      </w:pPr>
      <w:r w:rsidRPr="00B82E38">
        <w:rPr>
          <w:rFonts w:ascii="Book Antiqua" w:eastAsia="Book Antiqua" w:hAnsi="Book Antiqua" w:cs="Book Antiqua"/>
          <w:color w:val="000000" w:themeColor="text1"/>
        </w:rPr>
        <w:t xml:space="preserve">Hepatic encephalopathy (HE) remains an enormous challenge in patients who undergo </w:t>
      </w:r>
      <w:proofErr w:type="spellStart"/>
      <w:r w:rsidRPr="00B82E38">
        <w:rPr>
          <w:rFonts w:ascii="Book Antiqua" w:eastAsia="Book Antiqua" w:hAnsi="Book Antiqua" w:cs="Book Antiqua"/>
          <w:color w:val="000000" w:themeColor="text1"/>
        </w:rPr>
        <w:t>transjugular</w:t>
      </w:r>
      <w:proofErr w:type="spellEnd"/>
      <w:r w:rsidRPr="00B82E38">
        <w:rPr>
          <w:rFonts w:ascii="Book Antiqua" w:eastAsia="Book Antiqua" w:hAnsi="Book Antiqua" w:cs="Book Antiqua"/>
          <w:color w:val="000000" w:themeColor="text1"/>
        </w:rPr>
        <w:t xml:space="preserve"> intrahepatic portosystemic shunt </w:t>
      </w:r>
      <w:r w:rsidRPr="00B82E38">
        <w:rPr>
          <w:rFonts w:ascii="Book Antiqua" w:eastAsia="Book Antiqua" w:hAnsi="Book Antiqua" w:cs="Book Antiqua"/>
          <w:color w:val="000000" w:themeColor="text1"/>
        </w:rPr>
        <w:t xml:space="preserve">(TIPS) implantation. The preoperative </w:t>
      </w:r>
      <w:proofErr w:type="spellStart"/>
      <w:r w:rsidR="00461C27" w:rsidRPr="00461C27">
        <w:rPr>
          <w:rFonts w:ascii="Book Antiqua" w:eastAsia="Book Antiqua" w:hAnsi="Book Antiqua" w:cs="Book Antiqua"/>
          <w:color w:val="000000" w:themeColor="text1"/>
        </w:rPr>
        <w:t>indocyanine</w:t>
      </w:r>
      <w:proofErr w:type="spellEnd"/>
      <w:r w:rsidR="00461C27" w:rsidRPr="00461C27">
        <w:rPr>
          <w:rFonts w:ascii="Book Antiqua" w:eastAsia="Book Antiqua" w:hAnsi="Book Antiqua" w:cs="Book Antiqua"/>
          <w:color w:val="000000" w:themeColor="text1"/>
        </w:rPr>
        <w:t xml:space="preserve"> green retention rate </w:t>
      </w:r>
      <w:r w:rsidR="00461C27">
        <w:rPr>
          <w:rFonts w:ascii="Book Antiqua" w:eastAsia="Book Antiqua" w:hAnsi="Book Antiqua" w:cs="Book Antiqua"/>
          <w:color w:val="000000" w:themeColor="text1"/>
        </w:rPr>
        <w:t>at</w:t>
      </w:r>
      <w:r w:rsidR="00461C27" w:rsidRPr="00461C27">
        <w:rPr>
          <w:rFonts w:ascii="Book Antiqua" w:eastAsia="Book Antiqua" w:hAnsi="Book Antiqua" w:cs="Book Antiqua"/>
          <w:color w:val="000000" w:themeColor="text1"/>
        </w:rPr>
        <w:t xml:space="preserve"> 15 min </w:t>
      </w:r>
      <w:r w:rsidRPr="00B82E38">
        <w:rPr>
          <w:rFonts w:ascii="Book Antiqua" w:eastAsia="Book Antiqua" w:hAnsi="Book Antiqua" w:cs="Book Antiqua"/>
          <w:color w:val="000000" w:themeColor="text1"/>
        </w:rPr>
        <w:t>(ICG-R15</w:t>
      </w:r>
      <w:r w:rsidR="00461C27">
        <w:rPr>
          <w:rFonts w:ascii="Book Antiqua" w:eastAsia="Book Antiqua" w:hAnsi="Book Antiqua" w:cs="Book Antiqua"/>
          <w:color w:val="000000" w:themeColor="text1"/>
        </w:rPr>
        <w:t>)</w:t>
      </w:r>
      <w:r w:rsidRPr="00B82E38">
        <w:rPr>
          <w:rFonts w:ascii="Book Antiqua" w:eastAsia="Book Antiqua" w:hAnsi="Book Antiqua" w:cs="Book Antiqua"/>
          <w:color w:val="000000" w:themeColor="text1"/>
        </w:rPr>
        <w:t xml:space="preserve">, as one of the liver function assessment tools, has been developed as a prognostic indicator in patients undergoing surgery, but there are limited data on its role in TIPS. </w:t>
      </w:r>
    </w:p>
    <w:p w14:paraId="6FE33DCF" w14:textId="77777777" w:rsidR="00BA37FB" w:rsidRPr="00B82E38" w:rsidRDefault="00BA37FB" w:rsidP="00372A8C">
      <w:pPr>
        <w:spacing w:line="360" w:lineRule="auto"/>
        <w:ind w:firstLine="560"/>
        <w:jc w:val="both"/>
        <w:rPr>
          <w:rFonts w:ascii="Book Antiqua" w:hAnsi="Book Antiqua"/>
          <w:color w:val="000000" w:themeColor="text1"/>
        </w:rPr>
      </w:pPr>
    </w:p>
    <w:p w14:paraId="7BC73152" w14:textId="77777777" w:rsidR="00BA37FB" w:rsidRPr="00B82E38" w:rsidRDefault="008F363E" w:rsidP="00372A8C">
      <w:pPr>
        <w:spacing w:line="360" w:lineRule="auto"/>
        <w:jc w:val="both"/>
        <w:rPr>
          <w:rFonts w:ascii="Book Antiqua" w:hAnsi="Book Antiqua"/>
          <w:color w:val="000000" w:themeColor="text1"/>
        </w:rPr>
      </w:pPr>
      <w:r w:rsidRPr="00B82E38">
        <w:rPr>
          <w:rFonts w:ascii="Book Antiqua" w:eastAsia="Book Antiqua" w:hAnsi="Book Antiqua" w:cs="Book Antiqua"/>
          <w:color w:val="000000" w:themeColor="text1"/>
        </w:rPr>
        <w:t>AIM</w:t>
      </w:r>
    </w:p>
    <w:p w14:paraId="23BC1233" w14:textId="60212B70" w:rsidR="00BA37FB" w:rsidRPr="00B82E38" w:rsidRDefault="00811925" w:rsidP="00372A8C">
      <w:pPr>
        <w:spacing w:line="360" w:lineRule="auto"/>
        <w:jc w:val="both"/>
        <w:rPr>
          <w:rFonts w:ascii="Book Antiqua" w:hAnsi="Book Antiqua"/>
          <w:color w:val="000000" w:themeColor="text1"/>
        </w:rPr>
      </w:pPr>
      <w:r w:rsidRPr="00B82E38">
        <w:rPr>
          <w:rFonts w:ascii="Book Antiqua" w:eastAsia="Book Antiqua" w:hAnsi="Book Antiqua" w:cs="Book Antiqua"/>
          <w:color w:val="000000" w:themeColor="text1"/>
        </w:rPr>
        <w:t>T</w:t>
      </w:r>
      <w:r w:rsidR="008F363E" w:rsidRPr="00B82E38">
        <w:rPr>
          <w:rFonts w:ascii="Book Antiqua" w:eastAsia="Book Antiqua" w:hAnsi="Book Antiqua" w:cs="Book Antiqua"/>
          <w:color w:val="000000" w:themeColor="text1"/>
        </w:rPr>
        <w:t>o determine whether the ICG-R15 can be used for prediction of post-TIPS HE in decompensated cirrhosis patients with</w:t>
      </w:r>
      <w:r w:rsidR="00461C27">
        <w:rPr>
          <w:rFonts w:ascii="Book Antiqua" w:eastAsia="Book Antiqua" w:hAnsi="Book Antiqua" w:cs="Book Antiqua"/>
          <w:color w:val="000000" w:themeColor="text1"/>
        </w:rPr>
        <w:t xml:space="preserve"> </w:t>
      </w:r>
      <w:r w:rsidR="008F363E" w:rsidRPr="00B82E38">
        <w:rPr>
          <w:rFonts w:ascii="Book Antiqua" w:eastAsia="Book Antiqua" w:hAnsi="Book Antiqua" w:cs="Book Antiqua"/>
          <w:color w:val="000000" w:themeColor="text1"/>
        </w:rPr>
        <w:t xml:space="preserve">portal hypertension (PHT) and compare the </w:t>
      </w:r>
      <w:r w:rsidR="00461C27" w:rsidRPr="00B82E38">
        <w:rPr>
          <w:rFonts w:ascii="Book Antiqua" w:eastAsia="Book Antiqua" w:hAnsi="Book Antiqua" w:cs="Book Antiqua"/>
          <w:color w:val="000000" w:themeColor="text1"/>
        </w:rPr>
        <w:t xml:space="preserve">clinical value </w:t>
      </w:r>
      <w:r w:rsidR="00461C27">
        <w:rPr>
          <w:rFonts w:ascii="Book Antiqua" w:eastAsia="Book Antiqua" w:hAnsi="Book Antiqua" w:cs="Book Antiqua"/>
          <w:color w:val="000000" w:themeColor="text1"/>
        </w:rPr>
        <w:t xml:space="preserve">of </w:t>
      </w:r>
      <w:r w:rsidR="008F363E" w:rsidRPr="00B82E38">
        <w:rPr>
          <w:rFonts w:ascii="Book Antiqua" w:eastAsia="Book Antiqua" w:hAnsi="Book Antiqua" w:cs="Book Antiqua"/>
          <w:color w:val="000000" w:themeColor="text1"/>
        </w:rPr>
        <w:t>ICG-R15</w:t>
      </w:r>
      <w:r w:rsidR="008F363E" w:rsidRPr="00B82E38">
        <w:rPr>
          <w:rFonts w:ascii="Book Antiqua" w:eastAsia="宋体" w:hAnsi="Book Antiqua" w:cs="宋体"/>
          <w:color w:val="000000" w:themeColor="text1"/>
          <w:lang w:eastAsia="zh-CN"/>
        </w:rPr>
        <w:t>,</w:t>
      </w:r>
      <w:r w:rsidR="008F363E" w:rsidRPr="00B82E38">
        <w:rPr>
          <w:rFonts w:ascii="Book Antiqua" w:hAnsi="Book Antiqua"/>
          <w:color w:val="000000" w:themeColor="text1"/>
        </w:rPr>
        <w:t xml:space="preserve"> Child-Pugh score</w:t>
      </w:r>
      <w:r w:rsidR="008F363E" w:rsidRPr="00B82E38">
        <w:rPr>
          <w:rFonts w:ascii="Book Antiqua" w:eastAsia="Book Antiqua" w:hAnsi="Book Antiqua" w:cs="Book Antiqua"/>
          <w:color w:val="000000" w:themeColor="text1"/>
        </w:rPr>
        <w:t xml:space="preserve"> (CPS)</w:t>
      </w:r>
      <w:r w:rsidR="00461C27">
        <w:rPr>
          <w:rFonts w:ascii="Book Antiqua" w:eastAsia="Book Antiqua" w:hAnsi="Book Antiqua" w:cs="Book Antiqua"/>
          <w:color w:val="000000" w:themeColor="text1"/>
        </w:rPr>
        <w:t>,</w:t>
      </w:r>
      <w:r w:rsidR="008F363E" w:rsidRPr="00B82E38">
        <w:rPr>
          <w:rFonts w:ascii="Book Antiqua" w:eastAsia="Book Antiqua" w:hAnsi="Book Antiqua" w:cs="Book Antiqua"/>
          <w:color w:val="000000" w:themeColor="text1"/>
        </w:rPr>
        <w:t xml:space="preserve"> and </w:t>
      </w:r>
      <w:r w:rsidR="008F363E" w:rsidRPr="00B82E38">
        <w:rPr>
          <w:rFonts w:ascii="Book Antiqua" w:hAnsi="Book Antiqua"/>
          <w:color w:val="000000" w:themeColor="text1"/>
        </w:rPr>
        <w:t>model for end-stage liver disease</w:t>
      </w:r>
      <w:r w:rsidR="008F363E" w:rsidRPr="00B82E38">
        <w:rPr>
          <w:rFonts w:ascii="Book Antiqua" w:eastAsia="Book Antiqua" w:hAnsi="Book Antiqua" w:cs="Book Antiqua"/>
          <w:color w:val="000000" w:themeColor="text1"/>
        </w:rPr>
        <w:t xml:space="preserve"> (MELD) score</w:t>
      </w:r>
      <w:r w:rsidR="00461C27">
        <w:rPr>
          <w:rFonts w:ascii="Book Antiqua" w:eastAsia="Book Antiqua" w:hAnsi="Book Antiqua" w:cs="Book Antiqua"/>
          <w:color w:val="000000" w:themeColor="text1"/>
        </w:rPr>
        <w:t xml:space="preserve"> </w:t>
      </w:r>
      <w:r w:rsidR="008F363E" w:rsidRPr="00B82E38">
        <w:rPr>
          <w:rFonts w:ascii="Book Antiqua" w:eastAsia="Book Antiqua" w:hAnsi="Book Antiqua" w:cs="Book Antiqua"/>
          <w:color w:val="000000" w:themeColor="text1"/>
        </w:rPr>
        <w:t>in predicting post-TIPS HE with PHT.</w:t>
      </w:r>
    </w:p>
    <w:p w14:paraId="0112E84D" w14:textId="77777777" w:rsidR="00BA37FB" w:rsidRPr="00B82E38" w:rsidRDefault="00BA37FB" w:rsidP="00372A8C">
      <w:pPr>
        <w:spacing w:line="360" w:lineRule="auto"/>
        <w:jc w:val="both"/>
        <w:rPr>
          <w:rFonts w:ascii="Book Antiqua" w:hAnsi="Book Antiqua"/>
          <w:color w:val="000000" w:themeColor="text1"/>
        </w:rPr>
      </w:pPr>
    </w:p>
    <w:p w14:paraId="4D66872C" w14:textId="77777777" w:rsidR="00BA37FB" w:rsidRPr="00B82E38" w:rsidRDefault="008F363E" w:rsidP="00372A8C">
      <w:pPr>
        <w:spacing w:line="360" w:lineRule="auto"/>
        <w:jc w:val="both"/>
        <w:rPr>
          <w:rFonts w:ascii="Book Antiqua" w:hAnsi="Book Antiqua"/>
          <w:color w:val="000000" w:themeColor="text1"/>
        </w:rPr>
      </w:pPr>
      <w:r w:rsidRPr="00B82E38">
        <w:rPr>
          <w:rFonts w:ascii="Book Antiqua" w:eastAsia="Book Antiqua" w:hAnsi="Book Antiqua" w:cs="Book Antiqua"/>
          <w:color w:val="000000" w:themeColor="text1"/>
        </w:rPr>
        <w:t>METHODS</w:t>
      </w:r>
    </w:p>
    <w:p w14:paraId="715C7B79" w14:textId="1B6365BC" w:rsidR="00BA37FB" w:rsidRPr="00B82E38" w:rsidRDefault="008F363E" w:rsidP="00372A8C">
      <w:pPr>
        <w:spacing w:line="360" w:lineRule="auto"/>
        <w:jc w:val="both"/>
        <w:rPr>
          <w:rFonts w:ascii="Book Antiqua" w:hAnsi="Book Antiqua"/>
          <w:color w:val="000000" w:themeColor="text1"/>
        </w:rPr>
      </w:pPr>
      <w:r w:rsidRPr="00B82E38">
        <w:rPr>
          <w:rFonts w:ascii="Book Antiqua" w:eastAsia="Book Antiqua" w:hAnsi="Book Antiqua" w:cs="Book Antiqua"/>
          <w:color w:val="000000" w:themeColor="text1"/>
        </w:rPr>
        <w:t>This retrospective study includ</w:t>
      </w:r>
      <w:r w:rsidRPr="00B82E38">
        <w:rPr>
          <w:rFonts w:ascii="Book Antiqua" w:eastAsia="Book Antiqua" w:hAnsi="Book Antiqua" w:cs="Book Antiqua"/>
          <w:color w:val="000000" w:themeColor="text1"/>
        </w:rPr>
        <w:t xml:space="preserve">ed 195 patients with PHT who underwent elective TIPS </w:t>
      </w:r>
      <w:r w:rsidR="00461C27">
        <w:rPr>
          <w:rFonts w:ascii="Book Antiqua" w:eastAsia="Book Antiqua" w:hAnsi="Book Antiqua" w:cs="Book Antiqua"/>
          <w:color w:val="000000" w:themeColor="text1"/>
        </w:rPr>
        <w:t>at</w:t>
      </w:r>
      <w:r w:rsidR="00461C27" w:rsidRPr="00B82E38">
        <w:rPr>
          <w:rFonts w:ascii="Book Antiqua" w:eastAsia="Book Antiqua" w:hAnsi="Book Antiqua" w:cs="Book Antiqua"/>
          <w:color w:val="000000" w:themeColor="text1"/>
        </w:rPr>
        <w:t xml:space="preserve"> </w:t>
      </w:r>
      <w:r w:rsidRPr="00B82E38">
        <w:rPr>
          <w:rFonts w:ascii="Book Antiqua" w:eastAsia="Book Antiqua" w:hAnsi="Book Antiqua" w:cs="Book Antiqua"/>
          <w:color w:val="000000" w:themeColor="text1"/>
        </w:rPr>
        <w:t xml:space="preserve">Beijing </w:t>
      </w:r>
      <w:proofErr w:type="spellStart"/>
      <w:r w:rsidRPr="00B82E38">
        <w:rPr>
          <w:rFonts w:ascii="Book Antiqua" w:eastAsia="Book Antiqua" w:hAnsi="Book Antiqua" w:cs="Book Antiqua"/>
          <w:color w:val="000000" w:themeColor="text1"/>
        </w:rPr>
        <w:t>Shijitan</w:t>
      </w:r>
      <w:proofErr w:type="spellEnd"/>
      <w:r w:rsidRPr="00B82E38">
        <w:rPr>
          <w:rFonts w:ascii="Book Antiqua" w:eastAsia="Book Antiqua" w:hAnsi="Book Antiqua" w:cs="Book Antiqua"/>
          <w:color w:val="000000" w:themeColor="text1"/>
        </w:rPr>
        <w:t xml:space="preserve"> </w:t>
      </w:r>
      <w:r w:rsidR="00461C27">
        <w:rPr>
          <w:rFonts w:ascii="Book Antiqua" w:eastAsia="Book Antiqua" w:hAnsi="Book Antiqua" w:cs="Book Antiqua"/>
          <w:color w:val="000000" w:themeColor="text1"/>
        </w:rPr>
        <w:t>H</w:t>
      </w:r>
      <w:r w:rsidR="00461C27" w:rsidRPr="00B82E38">
        <w:rPr>
          <w:rFonts w:ascii="Book Antiqua" w:eastAsia="Book Antiqua" w:hAnsi="Book Antiqua" w:cs="Book Antiqua"/>
          <w:color w:val="000000" w:themeColor="text1"/>
        </w:rPr>
        <w:t xml:space="preserve">ospital </w:t>
      </w:r>
      <w:r w:rsidRPr="00B82E38">
        <w:rPr>
          <w:rFonts w:ascii="Book Antiqua" w:eastAsia="Book Antiqua" w:hAnsi="Book Antiqua" w:cs="Book Antiqua"/>
          <w:color w:val="000000" w:themeColor="text1"/>
        </w:rPr>
        <w:t>from January 2018 to June 2019. All patients underwent the ICG-R15 test, CPS</w:t>
      </w:r>
      <w:r w:rsidR="00461C27">
        <w:rPr>
          <w:rFonts w:ascii="Book Antiqua" w:eastAsia="Book Antiqua" w:hAnsi="Book Antiqua" w:cs="Book Antiqua"/>
          <w:color w:val="000000" w:themeColor="text1"/>
        </w:rPr>
        <w:t xml:space="preserve"> evaluation,</w:t>
      </w:r>
      <w:r w:rsidRPr="00B82E38">
        <w:rPr>
          <w:rFonts w:ascii="Book Antiqua" w:eastAsia="Book Antiqua" w:hAnsi="Book Antiqua" w:cs="Book Antiqua"/>
          <w:color w:val="000000" w:themeColor="text1"/>
        </w:rPr>
        <w:t xml:space="preserve"> and MELD scoring </w:t>
      </w:r>
      <w:r w:rsidR="00461C27">
        <w:rPr>
          <w:rFonts w:ascii="Book Antiqua" w:eastAsia="Book Antiqua" w:hAnsi="Book Antiqua" w:cs="Book Antiqua"/>
          <w:color w:val="000000" w:themeColor="text1"/>
        </w:rPr>
        <w:t>1</w:t>
      </w:r>
      <w:r w:rsidR="00461C27" w:rsidRPr="00B82E38">
        <w:rPr>
          <w:rFonts w:ascii="Book Antiqua" w:eastAsia="Book Antiqua" w:hAnsi="Book Antiqua" w:cs="Book Antiqua"/>
          <w:color w:val="000000" w:themeColor="text1"/>
        </w:rPr>
        <w:t xml:space="preserve"> </w:t>
      </w:r>
      <w:proofErr w:type="spellStart"/>
      <w:r w:rsidRPr="00B82E38">
        <w:rPr>
          <w:rFonts w:ascii="Book Antiqua" w:eastAsia="Book Antiqua" w:hAnsi="Book Antiqua" w:cs="Book Antiqua"/>
          <w:color w:val="000000" w:themeColor="text1"/>
        </w:rPr>
        <w:t>wk</w:t>
      </w:r>
      <w:proofErr w:type="spellEnd"/>
      <w:r w:rsidRPr="00B82E38">
        <w:rPr>
          <w:rFonts w:ascii="Book Antiqua" w:eastAsia="Book Antiqua" w:hAnsi="Book Antiqua" w:cs="Book Antiqua"/>
          <w:color w:val="000000" w:themeColor="text1"/>
        </w:rPr>
        <w:t xml:space="preserve"> before TIPS. According to whether </w:t>
      </w:r>
      <w:r w:rsidR="00461C27">
        <w:rPr>
          <w:rFonts w:ascii="Book Antiqua" w:eastAsia="Book Antiqua" w:hAnsi="Book Antiqua" w:cs="Book Antiqua"/>
          <w:color w:val="000000" w:themeColor="text1"/>
        </w:rPr>
        <w:t xml:space="preserve">they </w:t>
      </w:r>
      <w:r w:rsidRPr="00B82E38">
        <w:rPr>
          <w:rFonts w:ascii="Book Antiqua" w:eastAsia="Book Antiqua" w:hAnsi="Book Antiqua" w:cs="Book Antiqua"/>
          <w:color w:val="000000" w:themeColor="text1"/>
        </w:rPr>
        <w:t xml:space="preserve">developed </w:t>
      </w:r>
      <w:proofErr w:type="gramStart"/>
      <w:r w:rsidRPr="00B82E38">
        <w:rPr>
          <w:rFonts w:ascii="Book Antiqua" w:eastAsia="Book Antiqua" w:hAnsi="Book Antiqua" w:cs="Book Antiqua"/>
          <w:color w:val="000000" w:themeColor="text1"/>
        </w:rPr>
        <w:t>HE</w:t>
      </w:r>
      <w:proofErr w:type="gramEnd"/>
      <w:r w:rsidR="00461C27">
        <w:rPr>
          <w:rFonts w:ascii="Book Antiqua" w:eastAsia="Book Antiqua" w:hAnsi="Book Antiqua" w:cs="Book Antiqua"/>
          <w:color w:val="000000" w:themeColor="text1"/>
        </w:rPr>
        <w:t xml:space="preserve"> or not</w:t>
      </w:r>
      <w:r w:rsidRPr="00B82E38">
        <w:rPr>
          <w:rFonts w:ascii="Book Antiqua" w:eastAsia="Book Antiqua" w:hAnsi="Book Antiqua" w:cs="Book Antiqua"/>
          <w:color w:val="000000" w:themeColor="text1"/>
        </w:rPr>
        <w:t xml:space="preserve">, </w:t>
      </w:r>
      <w:r w:rsidR="00461C27">
        <w:rPr>
          <w:rFonts w:ascii="Book Antiqua" w:eastAsia="Book Antiqua" w:hAnsi="Book Antiqua" w:cs="Book Antiqua"/>
          <w:color w:val="000000" w:themeColor="text1"/>
        </w:rPr>
        <w:t>the</w:t>
      </w:r>
      <w:r w:rsidRPr="00B82E38">
        <w:rPr>
          <w:rFonts w:ascii="Book Antiqua" w:eastAsia="Book Antiqua" w:hAnsi="Book Antiqua" w:cs="Book Antiqua"/>
          <w:color w:val="000000" w:themeColor="text1"/>
        </w:rPr>
        <w:t xml:space="preserve"> patients </w:t>
      </w:r>
      <w:r w:rsidR="00461C27">
        <w:rPr>
          <w:rFonts w:ascii="Book Antiqua" w:eastAsia="Book Antiqua" w:hAnsi="Book Antiqua" w:cs="Book Antiqua"/>
          <w:color w:val="000000" w:themeColor="text1"/>
        </w:rPr>
        <w:t xml:space="preserve">were divided </w:t>
      </w:r>
      <w:r w:rsidRPr="00B82E38">
        <w:rPr>
          <w:rFonts w:ascii="Book Antiqua" w:eastAsia="Book Antiqua" w:hAnsi="Book Antiqua" w:cs="Book Antiqua"/>
          <w:color w:val="000000" w:themeColor="text1"/>
        </w:rPr>
        <w:t xml:space="preserve">into </w:t>
      </w:r>
      <w:r w:rsidR="00461C27">
        <w:rPr>
          <w:rFonts w:ascii="Book Antiqua" w:eastAsia="Book Antiqua" w:hAnsi="Book Antiqua" w:cs="Book Antiqua"/>
          <w:color w:val="000000" w:themeColor="text1"/>
        </w:rPr>
        <w:t>two</w:t>
      </w:r>
      <w:r w:rsidR="00461C27" w:rsidRPr="00B82E38">
        <w:rPr>
          <w:rFonts w:ascii="Book Antiqua" w:eastAsia="Book Antiqua" w:hAnsi="Book Antiqua" w:cs="Book Antiqua"/>
          <w:color w:val="000000" w:themeColor="text1"/>
        </w:rPr>
        <w:t xml:space="preserve"> </w:t>
      </w:r>
      <w:r w:rsidRPr="00B82E38">
        <w:rPr>
          <w:rFonts w:ascii="Book Antiqua" w:eastAsia="Book Antiqua" w:hAnsi="Book Antiqua" w:cs="Book Antiqua"/>
          <w:color w:val="000000" w:themeColor="text1"/>
        </w:rPr>
        <w:t>groups: HE group and non-HE group. The prediction of one-year p</w:t>
      </w:r>
      <w:r w:rsidRPr="00B82E38">
        <w:rPr>
          <w:rFonts w:ascii="Book Antiqua" w:eastAsia="Book Antiqua" w:hAnsi="Book Antiqua" w:cs="Book Antiqua"/>
          <w:color w:val="000000" w:themeColor="text1"/>
        </w:rPr>
        <w:t xml:space="preserve">ost-TIPS HE by ICG-R15, CPS and MELD score was evaluated by the areas under the receiver operating characteristic curves (AUCs). </w:t>
      </w:r>
    </w:p>
    <w:p w14:paraId="03F9CA1F" w14:textId="77777777" w:rsidR="00BA37FB" w:rsidRPr="00B82E38" w:rsidRDefault="00BA37FB" w:rsidP="00372A8C">
      <w:pPr>
        <w:spacing w:line="360" w:lineRule="auto"/>
        <w:jc w:val="both"/>
        <w:rPr>
          <w:rFonts w:ascii="Book Antiqua" w:hAnsi="Book Antiqua"/>
          <w:color w:val="000000" w:themeColor="text1"/>
        </w:rPr>
      </w:pPr>
    </w:p>
    <w:p w14:paraId="20CBAFCD" w14:textId="77777777" w:rsidR="00BA37FB" w:rsidRPr="00B82E38" w:rsidRDefault="008F363E" w:rsidP="00372A8C">
      <w:pPr>
        <w:spacing w:line="360" w:lineRule="auto"/>
        <w:jc w:val="both"/>
        <w:rPr>
          <w:rFonts w:ascii="Book Antiqua" w:hAnsi="Book Antiqua"/>
          <w:color w:val="000000" w:themeColor="text1"/>
        </w:rPr>
      </w:pPr>
      <w:r w:rsidRPr="00B82E38">
        <w:rPr>
          <w:rFonts w:ascii="Book Antiqua" w:eastAsia="Book Antiqua" w:hAnsi="Book Antiqua" w:cs="Book Antiqua"/>
          <w:color w:val="000000" w:themeColor="text1"/>
        </w:rPr>
        <w:t>RESULTS</w:t>
      </w:r>
    </w:p>
    <w:p w14:paraId="41240937" w14:textId="4F42939F" w:rsidR="00BA37FB" w:rsidRPr="00B82E38" w:rsidRDefault="008F363E" w:rsidP="00372A8C">
      <w:pPr>
        <w:spacing w:line="360" w:lineRule="auto"/>
        <w:jc w:val="both"/>
        <w:rPr>
          <w:rFonts w:ascii="Book Antiqua" w:hAnsi="Book Antiqua"/>
          <w:color w:val="000000" w:themeColor="text1"/>
        </w:rPr>
      </w:pPr>
      <w:r w:rsidRPr="00B82E38">
        <w:rPr>
          <w:rFonts w:ascii="Book Antiqua" w:eastAsia="Book Antiqua" w:hAnsi="Book Antiqua" w:cs="Book Antiqua"/>
          <w:color w:val="000000" w:themeColor="text1"/>
        </w:rPr>
        <w:t xml:space="preserve">A total of 195 patients with portal hypertension were included and 23% (45/195) of the patients developed post-TIPS HE. The ICG-R15 was identified as an independent predictor of post-TIPS HE. The AUCs for </w:t>
      </w:r>
      <w:r w:rsidRPr="00B82E38">
        <w:rPr>
          <w:rFonts w:ascii="Book Antiqua" w:eastAsia="Book Antiqua" w:hAnsi="Book Antiqua" w:cs="Book Antiqua"/>
          <w:color w:val="000000" w:themeColor="text1"/>
        </w:rPr>
        <w:t>the ICG-R15, CPS</w:t>
      </w:r>
      <w:r w:rsidR="00461C27">
        <w:rPr>
          <w:rFonts w:ascii="Book Antiqua" w:eastAsia="Book Antiqua" w:hAnsi="Book Antiqua" w:cs="Book Antiqua"/>
          <w:color w:val="000000" w:themeColor="text1"/>
        </w:rPr>
        <w:t>,</w:t>
      </w:r>
      <w:r w:rsidRPr="00B82E38">
        <w:rPr>
          <w:rFonts w:ascii="Book Antiqua" w:eastAsia="Book Antiqua" w:hAnsi="Book Antiqua" w:cs="Book Antiqua"/>
          <w:color w:val="000000" w:themeColor="text1"/>
        </w:rPr>
        <w:t xml:space="preserve"> and MELD score for predicting post-TIPS HE were 0.664 (95%</w:t>
      </w:r>
      <w:r w:rsidR="00461C27">
        <w:rPr>
          <w:rFonts w:ascii="Book Antiqua" w:eastAsia="Book Antiqua" w:hAnsi="Book Antiqua" w:cs="Book Antiqua"/>
          <w:color w:val="000000" w:themeColor="text1"/>
        </w:rPr>
        <w:t xml:space="preserve"> confidence interval [</w:t>
      </w:r>
      <w:r w:rsidRPr="00B82E38">
        <w:rPr>
          <w:rFonts w:ascii="Book Antiqua" w:eastAsia="Book Antiqua" w:hAnsi="Book Antiqua" w:cs="Book Antiqua"/>
          <w:color w:val="000000" w:themeColor="text1"/>
        </w:rPr>
        <w:t>CI</w:t>
      </w:r>
      <w:r w:rsidR="00461C27">
        <w:rPr>
          <w:rFonts w:ascii="Book Antiqua" w:eastAsia="Book Antiqua" w:hAnsi="Book Antiqua" w:cs="Book Antiqua"/>
          <w:color w:val="000000" w:themeColor="text1"/>
        </w:rPr>
        <w:t>]</w:t>
      </w:r>
      <w:r w:rsidRPr="00B82E38">
        <w:rPr>
          <w:rFonts w:ascii="Book Antiqua" w:eastAsia="Book Antiqua" w:hAnsi="Book Antiqua" w:cs="Book Antiqua"/>
          <w:color w:val="000000" w:themeColor="text1"/>
        </w:rPr>
        <w:t xml:space="preserve">: 0.557-0.743, </w:t>
      </w:r>
      <w:r w:rsidRPr="00B82E38">
        <w:rPr>
          <w:rFonts w:ascii="Book Antiqua" w:eastAsia="Book Antiqua" w:hAnsi="Book Antiqua" w:cs="Book Antiqua"/>
          <w:i/>
          <w:iCs/>
          <w:color w:val="000000" w:themeColor="text1"/>
        </w:rPr>
        <w:t>P</w:t>
      </w:r>
      <w:r w:rsidRPr="00B82E38">
        <w:rPr>
          <w:rFonts w:ascii="Book Antiqua" w:eastAsia="Book Antiqua" w:hAnsi="Book Antiqua" w:cs="Book Antiqua"/>
          <w:color w:val="000000" w:themeColor="text1"/>
        </w:rPr>
        <w:t xml:space="preserve"> = 0.0046), 0.596 (95%CI: 0.508-0.679, </w:t>
      </w:r>
      <w:r w:rsidRPr="00B82E38">
        <w:rPr>
          <w:rFonts w:ascii="Book Antiqua" w:eastAsia="Book Antiqua" w:hAnsi="Book Antiqua" w:cs="Book Antiqua"/>
          <w:i/>
          <w:iCs/>
          <w:color w:val="000000" w:themeColor="text1"/>
        </w:rPr>
        <w:t>P</w:t>
      </w:r>
      <w:r w:rsidRPr="00B82E38">
        <w:rPr>
          <w:rFonts w:ascii="Book Antiqua" w:eastAsia="Book Antiqua" w:hAnsi="Book Antiqua" w:cs="Book Antiqua"/>
          <w:color w:val="000000" w:themeColor="text1"/>
        </w:rPr>
        <w:t xml:space="preserve"> = 0.087)</w:t>
      </w:r>
      <w:r w:rsidR="00461C27">
        <w:rPr>
          <w:rFonts w:ascii="Book Antiqua" w:eastAsia="Book Antiqua" w:hAnsi="Book Antiqua" w:cs="Book Antiqua"/>
          <w:color w:val="000000" w:themeColor="text1"/>
        </w:rPr>
        <w:t>,</w:t>
      </w:r>
      <w:r w:rsidRPr="00B82E38">
        <w:rPr>
          <w:rFonts w:ascii="Book Antiqua" w:eastAsia="Book Antiqua" w:hAnsi="Book Antiqua" w:cs="Book Antiqua"/>
          <w:color w:val="000000" w:themeColor="text1"/>
        </w:rPr>
        <w:t xml:space="preserve"> and 0.641 (95%CI: 0.554-0.721, </w:t>
      </w:r>
      <w:r w:rsidRPr="00B82E38">
        <w:rPr>
          <w:rFonts w:ascii="Book Antiqua" w:eastAsia="Book Antiqua" w:hAnsi="Book Antiqua" w:cs="Book Antiqua"/>
          <w:i/>
          <w:iCs/>
          <w:color w:val="000000" w:themeColor="text1"/>
        </w:rPr>
        <w:t>P</w:t>
      </w:r>
      <w:r w:rsidRPr="00B82E38">
        <w:rPr>
          <w:rFonts w:ascii="Book Antiqua" w:eastAsia="Book Antiqua" w:hAnsi="Book Antiqua" w:cs="Book Antiqua"/>
          <w:color w:val="000000" w:themeColor="text1"/>
        </w:rPr>
        <w:t xml:space="preserve"> = 0.021), respectively. </w:t>
      </w:r>
      <w:r w:rsidR="008C273D" w:rsidRPr="00B82E38">
        <w:rPr>
          <w:rFonts w:ascii="Book Antiqua" w:eastAsia="宋体" w:hAnsi="Book Antiqua" w:cs="Book Antiqua"/>
          <w:color w:val="000000" w:themeColor="text1"/>
          <w:lang w:eastAsia="zh-CN"/>
        </w:rPr>
        <w:t xml:space="preserve">The </w:t>
      </w:r>
      <w:r w:rsidR="008C273D" w:rsidRPr="00B82E38">
        <w:rPr>
          <w:rFonts w:ascii="Book Antiqua" w:eastAsia="Book Antiqua" w:hAnsi="Book Antiqua" w:cs="Book Antiqua"/>
          <w:color w:val="000000" w:themeColor="text1"/>
        </w:rPr>
        <w:t>non-parametric approach</w:t>
      </w:r>
      <w:r w:rsidR="008C273D" w:rsidRPr="00B82E38">
        <w:rPr>
          <w:rFonts w:ascii="Book Antiqua" w:eastAsia="宋体" w:hAnsi="Book Antiqua" w:cs="Book Antiqua"/>
          <w:color w:val="000000" w:themeColor="text1"/>
          <w:lang w:eastAsia="zh-CN"/>
        </w:rPr>
        <w:t xml:space="preserve"> (Delong-Delong</w:t>
      </w:r>
      <w:r w:rsidR="00461C27">
        <w:rPr>
          <w:rFonts w:ascii="Book Antiqua" w:eastAsia="宋体" w:hAnsi="Book Antiqua" w:cs="Book Antiqua"/>
          <w:color w:val="000000" w:themeColor="text1"/>
          <w:lang w:eastAsia="zh-CN"/>
        </w:rPr>
        <w:t xml:space="preserve"> </w:t>
      </w:r>
      <w:r w:rsidR="008C273D" w:rsidRPr="00B82E38">
        <w:rPr>
          <w:rFonts w:ascii="Book Antiqua" w:eastAsia="宋体" w:hAnsi="Book Antiqua" w:cs="Book Antiqua"/>
          <w:color w:val="000000" w:themeColor="text1"/>
          <w:lang w:eastAsia="zh-CN"/>
        </w:rPr>
        <w:t>&amp;</w:t>
      </w:r>
      <w:r w:rsidR="00461C27">
        <w:rPr>
          <w:rFonts w:ascii="Book Antiqua" w:eastAsia="宋体" w:hAnsi="Book Antiqua" w:cs="Book Antiqua"/>
          <w:color w:val="000000" w:themeColor="text1"/>
          <w:lang w:eastAsia="zh-CN"/>
        </w:rPr>
        <w:t xml:space="preserve"> </w:t>
      </w:r>
      <w:r w:rsidR="008C273D" w:rsidRPr="00B82E38">
        <w:rPr>
          <w:rFonts w:ascii="Book Antiqua" w:eastAsia="宋体" w:hAnsi="Book Antiqua" w:cs="Book Antiqua"/>
          <w:color w:val="000000" w:themeColor="text1"/>
          <w:lang w:eastAsia="zh-CN"/>
        </w:rPr>
        <w:t>Clarke-Pearson</w:t>
      </w:r>
      <w:r w:rsidR="008C273D" w:rsidRPr="00B82E38">
        <w:rPr>
          <w:rFonts w:ascii="Book Antiqua" w:eastAsia="宋体" w:hAnsi="Book Antiqua" w:cs="Book Antiqua"/>
          <w:color w:val="000000" w:themeColor="text1"/>
          <w:lang w:eastAsia="zh-CN"/>
        </w:rPr>
        <w:t>)</w:t>
      </w:r>
      <w:r w:rsidRPr="00B82E38">
        <w:rPr>
          <w:rFonts w:ascii="Book Antiqua" w:eastAsia="Book Antiqua" w:hAnsi="Book Antiqua" w:cs="Book Antiqua"/>
          <w:color w:val="000000" w:themeColor="text1"/>
          <w:lang w:eastAsia="zh-CN"/>
        </w:rPr>
        <w:t xml:space="preserve"> </w:t>
      </w:r>
      <w:r w:rsidRPr="00B82E38">
        <w:rPr>
          <w:rFonts w:ascii="Book Antiqua" w:eastAsia="Book Antiqua" w:hAnsi="Book Antiqua" w:cs="Book Antiqua"/>
          <w:color w:val="000000" w:themeColor="text1"/>
        </w:rPr>
        <w:t xml:space="preserve">showed </w:t>
      </w:r>
      <w:r w:rsidRPr="00B82E38">
        <w:rPr>
          <w:rFonts w:ascii="Book Antiqua" w:eastAsia="Book Antiqua" w:hAnsi="Book Antiqua" w:cs="Book Antiqua"/>
          <w:color w:val="000000" w:themeColor="text1"/>
        </w:rPr>
        <w:lastRenderedPageBreak/>
        <w:t xml:space="preserve">that there </w:t>
      </w:r>
      <w:r w:rsidRPr="00B82E38">
        <w:rPr>
          <w:rFonts w:ascii="Book Antiqua" w:eastAsia="Book Antiqua" w:hAnsi="Book Antiqua" w:cs="Book Antiqua"/>
          <w:color w:val="000000" w:themeColor="text1"/>
        </w:rPr>
        <w:t>was</w:t>
      </w:r>
      <w:r w:rsidR="00461C27">
        <w:rPr>
          <w:rFonts w:ascii="Book Antiqua" w:eastAsia="Book Antiqua" w:hAnsi="Book Antiqua" w:cs="Book Antiqua"/>
          <w:color w:val="000000" w:themeColor="text1"/>
        </w:rPr>
        <w:t xml:space="preserve"> </w:t>
      </w:r>
      <w:r w:rsidRPr="00B82E38">
        <w:rPr>
          <w:rFonts w:ascii="Book Antiqua" w:eastAsia="Book Antiqua" w:hAnsi="Book Antiqua" w:cs="Book Antiqua"/>
          <w:color w:val="000000" w:themeColor="text1"/>
        </w:rPr>
        <w:t>statistical significance in pairwise comparison between AUCs of ICG-R15 and MELD score (</w:t>
      </w:r>
      <w:r w:rsidRPr="00B82E38">
        <w:rPr>
          <w:rFonts w:ascii="Book Antiqua" w:eastAsia="Book Antiqua" w:hAnsi="Book Antiqua" w:cs="Book Antiqua"/>
          <w:i/>
          <w:iCs/>
          <w:color w:val="000000" w:themeColor="text1"/>
        </w:rPr>
        <w:t>P</w:t>
      </w:r>
      <w:r w:rsidRPr="00B82E38">
        <w:rPr>
          <w:rFonts w:ascii="Book Antiqua" w:eastAsia="Book Antiqua" w:hAnsi="Book Antiqua" w:cs="Book Antiqua"/>
          <w:color w:val="000000" w:themeColor="text1"/>
        </w:rPr>
        <w:t xml:space="preserve"> = 0.0229).</w:t>
      </w:r>
    </w:p>
    <w:p w14:paraId="1E82503C" w14:textId="77777777" w:rsidR="00BA37FB" w:rsidRPr="00B82E38" w:rsidRDefault="00BA37FB" w:rsidP="00372A8C">
      <w:pPr>
        <w:spacing w:line="360" w:lineRule="auto"/>
        <w:jc w:val="both"/>
        <w:rPr>
          <w:rFonts w:ascii="Book Antiqua" w:hAnsi="Book Antiqua"/>
          <w:color w:val="000000" w:themeColor="text1"/>
        </w:rPr>
      </w:pPr>
    </w:p>
    <w:p w14:paraId="084CCBB1" w14:textId="77777777" w:rsidR="00BA37FB" w:rsidRPr="00B82E38" w:rsidRDefault="008F363E" w:rsidP="00372A8C">
      <w:pPr>
        <w:spacing w:line="360" w:lineRule="auto"/>
        <w:jc w:val="both"/>
        <w:rPr>
          <w:rFonts w:ascii="Book Antiqua" w:hAnsi="Book Antiqua"/>
          <w:color w:val="000000" w:themeColor="text1"/>
        </w:rPr>
      </w:pPr>
      <w:r w:rsidRPr="00B82E38">
        <w:rPr>
          <w:rFonts w:ascii="Book Antiqua" w:eastAsia="Book Antiqua" w:hAnsi="Book Antiqua" w:cs="Book Antiqua"/>
          <w:color w:val="000000" w:themeColor="text1"/>
        </w:rPr>
        <w:t>CONCLUSION</w:t>
      </w:r>
    </w:p>
    <w:p w14:paraId="052EFA21" w14:textId="482608B0" w:rsidR="00BA37FB" w:rsidRPr="00B82E38" w:rsidRDefault="008F363E" w:rsidP="00372A8C">
      <w:pPr>
        <w:spacing w:line="360" w:lineRule="auto"/>
        <w:jc w:val="both"/>
        <w:rPr>
          <w:rFonts w:ascii="Book Antiqua" w:hAnsi="Book Antiqua"/>
          <w:color w:val="000000" w:themeColor="text1"/>
        </w:rPr>
      </w:pPr>
      <w:r w:rsidRPr="00B82E38">
        <w:rPr>
          <w:rFonts w:ascii="Book Antiqua" w:eastAsia="Book Antiqua" w:hAnsi="Book Antiqua" w:cs="Book Antiqua"/>
          <w:color w:val="000000" w:themeColor="text1"/>
        </w:rPr>
        <w:t xml:space="preserve">The ICG-R15 has </w:t>
      </w:r>
      <w:r w:rsidR="00461C27">
        <w:rPr>
          <w:rFonts w:ascii="Book Antiqua" w:eastAsia="Book Antiqua" w:hAnsi="Book Antiqua" w:cs="Book Antiqua"/>
          <w:color w:val="000000" w:themeColor="text1"/>
        </w:rPr>
        <w:t>appreciated</w:t>
      </w:r>
      <w:r w:rsidR="00461C27" w:rsidRPr="00B82E38">
        <w:rPr>
          <w:rFonts w:ascii="Book Antiqua" w:eastAsia="Book Antiqua" w:hAnsi="Book Antiqua" w:cs="Book Antiqua"/>
          <w:color w:val="000000" w:themeColor="text1"/>
        </w:rPr>
        <w:t xml:space="preserve"> </w:t>
      </w:r>
      <w:r w:rsidRPr="00B82E38">
        <w:rPr>
          <w:rFonts w:ascii="Book Antiqua" w:eastAsia="Book Antiqua" w:hAnsi="Book Antiqua" w:cs="Book Antiqua"/>
          <w:color w:val="000000" w:themeColor="text1"/>
        </w:rPr>
        <w:t>clinical value for p</w:t>
      </w:r>
      <w:r w:rsidRPr="00B82E38">
        <w:rPr>
          <w:rFonts w:ascii="Book Antiqua" w:eastAsia="Book Antiqua" w:hAnsi="Book Antiqua" w:cs="Book Antiqua"/>
          <w:color w:val="000000" w:themeColor="text1"/>
        </w:rPr>
        <w:t>redicting the occurrence of post-TIPS HE and is a choice for evaluating the prognosis of patients undergoing TIPS.</w:t>
      </w:r>
    </w:p>
    <w:p w14:paraId="763E79A2" w14:textId="77777777" w:rsidR="00BA37FB" w:rsidRPr="00B82E38" w:rsidRDefault="00BA37FB" w:rsidP="00372A8C">
      <w:pPr>
        <w:spacing w:line="360" w:lineRule="auto"/>
        <w:ind w:firstLine="560"/>
        <w:jc w:val="both"/>
        <w:rPr>
          <w:rFonts w:ascii="Book Antiqua" w:hAnsi="Book Antiqua"/>
          <w:color w:val="000000" w:themeColor="text1"/>
        </w:rPr>
      </w:pPr>
    </w:p>
    <w:p w14:paraId="55CD3E27" w14:textId="2E47A8B3" w:rsidR="00BA37FB" w:rsidRPr="00B82E38" w:rsidRDefault="008F363E" w:rsidP="00372A8C">
      <w:pPr>
        <w:spacing w:line="360" w:lineRule="auto"/>
        <w:jc w:val="both"/>
        <w:rPr>
          <w:rFonts w:ascii="Book Antiqua" w:hAnsi="Book Antiqua"/>
          <w:color w:val="000000" w:themeColor="text1"/>
        </w:rPr>
      </w:pPr>
      <w:r w:rsidRPr="00B82E38">
        <w:rPr>
          <w:rFonts w:ascii="Book Antiqua" w:eastAsia="Book Antiqua" w:hAnsi="Book Antiqua" w:cs="Book Antiqua"/>
          <w:b/>
          <w:bCs/>
          <w:color w:val="000000" w:themeColor="text1"/>
        </w:rPr>
        <w:t xml:space="preserve">Key Words: </w:t>
      </w:r>
      <w:r w:rsidRPr="00B82E38">
        <w:rPr>
          <w:rFonts w:ascii="Book Antiqua" w:eastAsia="Book Antiqua" w:hAnsi="Book Antiqua" w:cs="Book Antiqua"/>
          <w:color w:val="000000" w:themeColor="text1"/>
        </w:rPr>
        <w:t>Hepatic encephalopathy; Indocyanine green</w:t>
      </w:r>
      <w:r w:rsidR="00D43CE5" w:rsidRPr="00B82E38">
        <w:rPr>
          <w:rFonts w:ascii="Book Antiqua" w:eastAsia="Book Antiqua" w:hAnsi="Book Antiqua" w:cs="Book Antiqua"/>
          <w:color w:val="000000" w:themeColor="text1"/>
        </w:rPr>
        <w:t>-R15</w:t>
      </w:r>
      <w:r w:rsidRPr="00B82E38">
        <w:rPr>
          <w:rFonts w:ascii="Book Antiqua" w:eastAsia="Book Antiqua" w:hAnsi="Book Antiqua" w:cs="Book Antiqua"/>
          <w:color w:val="000000" w:themeColor="text1"/>
        </w:rPr>
        <w:t xml:space="preserve">; Child-Pugh score; Model for end-stage liver disease score; </w:t>
      </w:r>
      <w:proofErr w:type="spellStart"/>
      <w:r w:rsidRPr="00B82E38">
        <w:rPr>
          <w:rFonts w:ascii="Book Antiqua" w:eastAsia="Book Antiqua" w:hAnsi="Book Antiqua" w:cs="Book Antiqua"/>
          <w:color w:val="000000" w:themeColor="text1"/>
        </w:rPr>
        <w:t>Transjugular</w:t>
      </w:r>
      <w:proofErr w:type="spellEnd"/>
      <w:r w:rsidRPr="00B82E38">
        <w:rPr>
          <w:rFonts w:ascii="Book Antiqua" w:eastAsia="Book Antiqua" w:hAnsi="Book Antiqua" w:cs="Book Antiqua"/>
          <w:color w:val="000000" w:themeColor="text1"/>
        </w:rPr>
        <w:t xml:space="preserve"> intrahepatic portosystemic shunt; Portal </w:t>
      </w:r>
      <w:proofErr w:type="spellStart"/>
      <w:r w:rsidRPr="00B82E38">
        <w:rPr>
          <w:rFonts w:ascii="Book Antiqua" w:eastAsia="Book Antiqua" w:hAnsi="Book Antiqua" w:cs="Book Antiqua"/>
          <w:color w:val="000000" w:themeColor="text1"/>
        </w:rPr>
        <w:t>hypertention</w:t>
      </w:r>
      <w:proofErr w:type="spellEnd"/>
    </w:p>
    <w:p w14:paraId="3DD63336" w14:textId="77777777" w:rsidR="00BA37FB" w:rsidRPr="00B82E38" w:rsidRDefault="00BA37FB" w:rsidP="00372A8C">
      <w:pPr>
        <w:spacing w:line="360" w:lineRule="auto"/>
        <w:jc w:val="both"/>
        <w:rPr>
          <w:rFonts w:ascii="Book Antiqua" w:hAnsi="Book Antiqua"/>
          <w:color w:val="000000" w:themeColor="text1"/>
        </w:rPr>
      </w:pPr>
    </w:p>
    <w:p w14:paraId="5D777EAC" w14:textId="7C1AA72B" w:rsidR="00BA37FB" w:rsidRPr="00B82E38" w:rsidRDefault="008F363E" w:rsidP="00372A8C">
      <w:pPr>
        <w:spacing w:line="360" w:lineRule="auto"/>
        <w:jc w:val="both"/>
        <w:rPr>
          <w:rFonts w:ascii="Book Antiqua" w:hAnsi="Book Antiqua"/>
          <w:color w:val="000000" w:themeColor="text1"/>
        </w:rPr>
      </w:pPr>
      <w:r w:rsidRPr="00B82E38">
        <w:rPr>
          <w:rFonts w:ascii="Book Antiqua" w:eastAsia="Book Antiqua" w:hAnsi="Book Antiqua" w:cs="Book Antiqua"/>
          <w:color w:val="000000" w:themeColor="text1"/>
        </w:rPr>
        <w:t>Wang Z, Wu YF, Yue ZD, Zhao HW, Wang L, Fan ZH, Zhang Y, Liu FQ. Comparative study</w:t>
      </w:r>
      <w:r w:rsidRPr="00B82E38">
        <w:rPr>
          <w:rFonts w:ascii="Book Antiqua" w:eastAsia="Book Antiqua" w:hAnsi="Book Antiqua" w:cs="Book Antiqua"/>
          <w:color w:val="000000" w:themeColor="text1"/>
        </w:rPr>
        <w:t xml:space="preserve"> of</w:t>
      </w:r>
      <w:r w:rsidR="00461C27">
        <w:rPr>
          <w:rFonts w:ascii="Book Antiqua" w:eastAsia="Book Antiqua" w:hAnsi="Book Antiqua" w:cs="Book Antiqua"/>
          <w:color w:val="000000" w:themeColor="text1"/>
        </w:rPr>
        <w:t xml:space="preserve"> </w:t>
      </w:r>
      <w:proofErr w:type="spellStart"/>
      <w:r w:rsidRPr="00B82E38">
        <w:rPr>
          <w:rFonts w:ascii="Book Antiqua" w:eastAsia="Book Antiqua" w:hAnsi="Book Antiqua" w:cs="Book Antiqua"/>
          <w:color w:val="000000" w:themeColor="text1"/>
        </w:rPr>
        <w:t>indocyanine</w:t>
      </w:r>
      <w:proofErr w:type="spellEnd"/>
      <w:r w:rsidRPr="00B82E38">
        <w:rPr>
          <w:rFonts w:ascii="Book Antiqua" w:eastAsia="Book Antiqua" w:hAnsi="Book Antiqua" w:cs="Book Antiqua"/>
          <w:color w:val="000000" w:themeColor="text1"/>
        </w:rPr>
        <w:t xml:space="preserve"> green-R15, Child-Pugh score</w:t>
      </w:r>
      <w:r w:rsidR="00461C27">
        <w:rPr>
          <w:rFonts w:ascii="Book Antiqua" w:eastAsia="Book Antiqua" w:hAnsi="Book Antiqua" w:cs="Book Antiqua"/>
          <w:color w:val="000000" w:themeColor="text1"/>
        </w:rPr>
        <w:t>,</w:t>
      </w:r>
      <w:r w:rsidRPr="00B82E38">
        <w:rPr>
          <w:rFonts w:ascii="Book Antiqua" w:eastAsia="Book Antiqua" w:hAnsi="Book Antiqua" w:cs="Book Antiqua"/>
          <w:color w:val="000000" w:themeColor="text1"/>
        </w:rPr>
        <w:t xml:space="preserve"> and </w:t>
      </w:r>
      <w:r w:rsidRPr="00B82E38">
        <w:rPr>
          <w:rFonts w:ascii="Book Antiqua" w:hAnsi="Book Antiqua"/>
          <w:color w:val="000000" w:themeColor="text1"/>
        </w:rPr>
        <w:t>model for end-stage liver disease</w:t>
      </w:r>
      <w:r w:rsidRPr="00B82E38">
        <w:rPr>
          <w:rFonts w:ascii="Book Antiqua" w:eastAsia="Book Antiqua" w:hAnsi="Book Antiqua" w:cs="Book Antiqua"/>
          <w:color w:val="000000" w:themeColor="text1"/>
        </w:rPr>
        <w:t xml:space="preserve"> score for</w:t>
      </w:r>
      <w:r w:rsidR="00461C27">
        <w:rPr>
          <w:rFonts w:ascii="Book Antiqua" w:eastAsia="Book Antiqua" w:hAnsi="Book Antiqua" w:cs="Book Antiqua"/>
          <w:color w:val="000000" w:themeColor="text1"/>
        </w:rPr>
        <w:t xml:space="preserve"> </w:t>
      </w:r>
      <w:r w:rsidRPr="00B82E38">
        <w:rPr>
          <w:rFonts w:ascii="Book Antiqua" w:eastAsia="Book Antiqua" w:hAnsi="Book Antiqua" w:cs="Book Antiqua"/>
          <w:color w:val="000000" w:themeColor="text1"/>
        </w:rPr>
        <w:t xml:space="preserve">prediction of hepatic encephalopathy after </w:t>
      </w:r>
      <w:proofErr w:type="spellStart"/>
      <w:r w:rsidRPr="00B82E38">
        <w:rPr>
          <w:rFonts w:ascii="Book Antiqua" w:eastAsia="Book Antiqua" w:hAnsi="Book Antiqua" w:cs="Book Antiqua"/>
          <w:color w:val="000000" w:themeColor="text1"/>
        </w:rPr>
        <w:t>transjugular</w:t>
      </w:r>
      <w:proofErr w:type="spellEnd"/>
      <w:r w:rsidRPr="00B82E38">
        <w:rPr>
          <w:rFonts w:ascii="Book Antiqua" w:eastAsia="Book Antiqua" w:hAnsi="Book Antiqua" w:cs="Book Antiqua"/>
          <w:color w:val="000000" w:themeColor="text1"/>
        </w:rPr>
        <w:t xml:space="preserve"> intrahepatic portosystemic shunt. </w:t>
      </w:r>
      <w:r w:rsidRPr="00B82E38">
        <w:rPr>
          <w:rFonts w:ascii="Book Antiqua" w:eastAsia="Book Antiqua" w:hAnsi="Book Antiqua" w:cs="Book Antiqua"/>
          <w:i/>
          <w:iCs/>
          <w:color w:val="000000" w:themeColor="text1"/>
        </w:rPr>
        <w:t>World J Gastroenterol</w:t>
      </w:r>
      <w:r w:rsidRPr="00B82E38">
        <w:rPr>
          <w:rFonts w:ascii="Book Antiqua" w:eastAsia="Book Antiqua" w:hAnsi="Book Antiqua" w:cs="Book Antiqua"/>
          <w:color w:val="000000" w:themeColor="text1"/>
        </w:rPr>
        <w:t xml:space="preserve"> 2021; In press</w:t>
      </w:r>
    </w:p>
    <w:p w14:paraId="4C438771" w14:textId="77777777" w:rsidR="00BA37FB" w:rsidRPr="00B82E38" w:rsidRDefault="00BA37FB" w:rsidP="00372A8C">
      <w:pPr>
        <w:spacing w:line="360" w:lineRule="auto"/>
        <w:jc w:val="both"/>
        <w:rPr>
          <w:rFonts w:ascii="Book Antiqua" w:hAnsi="Book Antiqua"/>
          <w:color w:val="000000" w:themeColor="text1"/>
        </w:rPr>
      </w:pPr>
    </w:p>
    <w:p w14:paraId="55AFD6A9" w14:textId="0C151293" w:rsidR="00BA37FB" w:rsidRPr="00B82E38" w:rsidRDefault="008F363E" w:rsidP="00372A8C">
      <w:pPr>
        <w:spacing w:line="360" w:lineRule="auto"/>
        <w:jc w:val="both"/>
        <w:rPr>
          <w:rFonts w:ascii="Book Antiqua" w:hAnsi="Book Antiqua"/>
          <w:color w:val="000000" w:themeColor="text1"/>
        </w:rPr>
      </w:pPr>
      <w:r w:rsidRPr="00B82E38">
        <w:rPr>
          <w:rFonts w:ascii="Book Antiqua" w:eastAsia="Book Antiqua" w:hAnsi="Book Antiqua" w:cs="Book Antiqua"/>
          <w:b/>
          <w:bCs/>
          <w:color w:val="000000" w:themeColor="text1"/>
        </w:rPr>
        <w:t xml:space="preserve">Core Tip: </w:t>
      </w:r>
      <w:r w:rsidRPr="00B82E38">
        <w:rPr>
          <w:rFonts w:ascii="Book Antiqua" w:eastAsia="Book Antiqua" w:hAnsi="Book Antiqua" w:cs="Book Antiqua"/>
          <w:color w:val="000000" w:themeColor="text1"/>
        </w:rPr>
        <w:t xml:space="preserve">We studied whether the </w:t>
      </w:r>
      <w:proofErr w:type="spellStart"/>
      <w:r w:rsidRPr="00B82E38">
        <w:rPr>
          <w:rFonts w:ascii="Book Antiqua" w:eastAsia="Book Antiqua" w:hAnsi="Book Antiqua" w:cs="Book Antiqua"/>
          <w:color w:val="000000" w:themeColor="text1"/>
        </w:rPr>
        <w:t>indocyanine</w:t>
      </w:r>
      <w:proofErr w:type="spellEnd"/>
      <w:r w:rsidRPr="00B82E38">
        <w:rPr>
          <w:rFonts w:ascii="Book Antiqua" w:eastAsia="Book Antiqua" w:hAnsi="Book Antiqua" w:cs="Book Antiqua"/>
          <w:color w:val="000000" w:themeColor="text1"/>
        </w:rPr>
        <w:t xml:space="preserve"> green</w:t>
      </w:r>
      <w:r w:rsidR="00461C27">
        <w:rPr>
          <w:rFonts w:ascii="Book Antiqua" w:eastAsia="Book Antiqua" w:hAnsi="Book Antiqua" w:cs="Book Antiqua"/>
          <w:color w:val="000000" w:themeColor="text1"/>
        </w:rPr>
        <w:t xml:space="preserve"> </w:t>
      </w:r>
      <w:r w:rsidR="00461C27" w:rsidRPr="00461C27">
        <w:rPr>
          <w:rFonts w:ascii="Book Antiqua" w:eastAsia="Book Antiqua" w:hAnsi="Book Antiqua" w:cs="Book Antiqua"/>
          <w:color w:val="000000" w:themeColor="text1"/>
        </w:rPr>
        <w:t xml:space="preserve">retention rate </w:t>
      </w:r>
      <w:r w:rsidR="00461C27">
        <w:rPr>
          <w:rFonts w:ascii="Book Antiqua" w:eastAsia="Book Antiqua" w:hAnsi="Book Antiqua" w:cs="Book Antiqua"/>
          <w:color w:val="000000" w:themeColor="text1"/>
        </w:rPr>
        <w:t>at</w:t>
      </w:r>
      <w:r w:rsidR="00461C27" w:rsidRPr="00461C27">
        <w:rPr>
          <w:rFonts w:ascii="Book Antiqua" w:eastAsia="Book Antiqua" w:hAnsi="Book Antiqua" w:cs="Book Antiqua"/>
          <w:color w:val="000000" w:themeColor="text1"/>
        </w:rPr>
        <w:t xml:space="preserve"> 15 min</w:t>
      </w:r>
      <w:r w:rsidRPr="00B82E38">
        <w:rPr>
          <w:rFonts w:ascii="Book Antiqua" w:eastAsia="Book Antiqua" w:hAnsi="Book Antiqua" w:cs="Book Antiqua"/>
          <w:color w:val="000000" w:themeColor="text1"/>
        </w:rPr>
        <w:t xml:space="preserve"> (ICG-R15</w:t>
      </w:r>
      <w:r w:rsidR="00461C27">
        <w:rPr>
          <w:rFonts w:ascii="Book Antiqua" w:eastAsia="Book Antiqua" w:hAnsi="Book Antiqua" w:cs="Book Antiqua"/>
          <w:color w:val="000000" w:themeColor="text1"/>
        </w:rPr>
        <w:t>)</w:t>
      </w:r>
      <w:r w:rsidRPr="00B82E38">
        <w:rPr>
          <w:rFonts w:ascii="Book Antiqua" w:eastAsia="Book Antiqua" w:hAnsi="Book Antiqua" w:cs="Book Antiqua"/>
          <w:color w:val="000000" w:themeColor="text1"/>
        </w:rPr>
        <w:t xml:space="preserve"> can be used for prediction of post-</w:t>
      </w:r>
      <w:proofErr w:type="spellStart"/>
      <w:r w:rsidRPr="00B82E38">
        <w:rPr>
          <w:rFonts w:ascii="Book Antiqua" w:eastAsia="Book Antiqua" w:hAnsi="Book Antiqua" w:cs="Book Antiqua"/>
          <w:color w:val="000000" w:themeColor="text1"/>
        </w:rPr>
        <w:t>transjugular</w:t>
      </w:r>
      <w:proofErr w:type="spellEnd"/>
      <w:r w:rsidRPr="00B82E38">
        <w:rPr>
          <w:rFonts w:ascii="Book Antiqua" w:eastAsia="Book Antiqua" w:hAnsi="Book Antiqua" w:cs="Book Antiqua"/>
          <w:color w:val="000000" w:themeColor="text1"/>
        </w:rPr>
        <w:t xml:space="preserve"> intrahepatic portosystemic shunt (TIPS) hepatic encephalopathy (HE) in decompensated cirrhosis patients with portal hypertension (PHT) and compare the </w:t>
      </w:r>
      <w:r w:rsidR="00461C27" w:rsidRPr="00B82E38">
        <w:rPr>
          <w:rFonts w:ascii="Book Antiqua" w:eastAsia="Book Antiqua" w:hAnsi="Book Antiqua" w:cs="Book Antiqua"/>
          <w:color w:val="000000" w:themeColor="text1"/>
        </w:rPr>
        <w:t xml:space="preserve">clinical value </w:t>
      </w:r>
      <w:r w:rsidR="00461C27">
        <w:rPr>
          <w:rFonts w:ascii="Book Antiqua" w:eastAsia="Book Antiqua" w:hAnsi="Book Antiqua" w:cs="Book Antiqua"/>
          <w:color w:val="000000" w:themeColor="text1"/>
        </w:rPr>
        <w:t xml:space="preserve">of </w:t>
      </w:r>
      <w:r w:rsidRPr="00B82E38">
        <w:rPr>
          <w:rFonts w:ascii="Book Antiqua" w:eastAsia="Book Antiqua" w:hAnsi="Book Antiqua" w:cs="Book Antiqua"/>
          <w:color w:val="000000" w:themeColor="text1"/>
        </w:rPr>
        <w:t>ICG-R15, Child-Pugh score</w:t>
      </w:r>
      <w:r w:rsidR="00461C27">
        <w:rPr>
          <w:rFonts w:ascii="Book Antiqua" w:eastAsia="Book Antiqua" w:hAnsi="Book Antiqua" w:cs="Book Antiqua"/>
          <w:color w:val="000000" w:themeColor="text1"/>
        </w:rPr>
        <w:t>,</w:t>
      </w:r>
      <w:r w:rsidRPr="00B82E38">
        <w:rPr>
          <w:rFonts w:ascii="Book Antiqua" w:eastAsia="Book Antiqua" w:hAnsi="Book Antiqua" w:cs="Book Antiqua"/>
          <w:color w:val="000000" w:themeColor="text1"/>
        </w:rPr>
        <w:t xml:space="preserve"> and model for end-stage liver disease score</w:t>
      </w:r>
      <w:r w:rsidR="00461C27">
        <w:rPr>
          <w:rFonts w:ascii="Book Antiqua" w:eastAsia="Book Antiqua" w:hAnsi="Book Antiqua" w:cs="Book Antiqua"/>
          <w:color w:val="000000" w:themeColor="text1"/>
        </w:rPr>
        <w:t xml:space="preserve"> </w:t>
      </w:r>
      <w:r w:rsidRPr="00B82E38">
        <w:rPr>
          <w:rFonts w:ascii="Book Antiqua" w:eastAsia="Book Antiqua" w:hAnsi="Book Antiqua" w:cs="Book Antiqua"/>
          <w:color w:val="000000" w:themeColor="text1"/>
        </w:rPr>
        <w:t>in predicting pos</w:t>
      </w:r>
      <w:r w:rsidRPr="00B82E38">
        <w:rPr>
          <w:rFonts w:ascii="Book Antiqua" w:eastAsia="Book Antiqua" w:hAnsi="Book Antiqua" w:cs="Book Antiqua"/>
          <w:color w:val="000000" w:themeColor="text1"/>
        </w:rPr>
        <w:t>t-TIPS HE with PHT.</w:t>
      </w:r>
    </w:p>
    <w:p w14:paraId="55CAFEB7" w14:textId="77777777" w:rsidR="00BA37FB" w:rsidRPr="00B82E38" w:rsidRDefault="008F363E" w:rsidP="00372A8C">
      <w:pPr>
        <w:spacing w:line="360" w:lineRule="auto"/>
        <w:jc w:val="both"/>
        <w:rPr>
          <w:rFonts w:ascii="Book Antiqua" w:hAnsi="Book Antiqua"/>
          <w:color w:val="000000" w:themeColor="text1"/>
          <w:lang w:eastAsia="zh-CN"/>
        </w:rPr>
      </w:pPr>
      <w:r w:rsidRPr="00B82E38">
        <w:rPr>
          <w:rFonts w:ascii="Book Antiqua" w:hAnsi="Book Antiqua"/>
          <w:color w:val="000000" w:themeColor="text1"/>
          <w:lang w:eastAsia="zh-CN"/>
        </w:rPr>
        <w:t xml:space="preserve"> </w:t>
      </w:r>
    </w:p>
    <w:p w14:paraId="679A8CD8" w14:textId="77777777" w:rsidR="00BA37FB" w:rsidRPr="00B82E38" w:rsidRDefault="008F363E" w:rsidP="00372A8C">
      <w:pPr>
        <w:spacing w:line="360" w:lineRule="auto"/>
        <w:jc w:val="both"/>
        <w:rPr>
          <w:rFonts w:ascii="Book Antiqua" w:hAnsi="Book Antiqua"/>
          <w:color w:val="000000" w:themeColor="text1"/>
        </w:rPr>
      </w:pPr>
      <w:r w:rsidRPr="00B82E38">
        <w:rPr>
          <w:rFonts w:ascii="Book Antiqua" w:eastAsia="Book Antiqua" w:hAnsi="Book Antiqua" w:cs="Book Antiqua"/>
          <w:b/>
          <w:caps/>
          <w:color w:val="000000" w:themeColor="text1"/>
          <w:u w:val="single"/>
        </w:rPr>
        <w:br w:type="page"/>
      </w:r>
      <w:r w:rsidRPr="00B82E38">
        <w:rPr>
          <w:rFonts w:ascii="Book Antiqua" w:eastAsia="Book Antiqua" w:hAnsi="Book Antiqua" w:cs="Book Antiqua"/>
          <w:b/>
          <w:caps/>
          <w:color w:val="000000" w:themeColor="text1"/>
          <w:u w:val="single"/>
        </w:rPr>
        <w:lastRenderedPageBreak/>
        <w:t>INTRODUCTION</w:t>
      </w:r>
    </w:p>
    <w:p w14:paraId="2F1A168F" w14:textId="1F76451B" w:rsidR="00BA37FB" w:rsidRPr="00B82E38" w:rsidRDefault="008F363E" w:rsidP="00372A8C">
      <w:pPr>
        <w:spacing w:line="360" w:lineRule="auto"/>
        <w:jc w:val="both"/>
        <w:rPr>
          <w:rFonts w:ascii="Book Antiqua" w:hAnsi="Book Antiqua"/>
          <w:color w:val="000000" w:themeColor="text1"/>
        </w:rPr>
      </w:pPr>
      <w:r w:rsidRPr="00B82E38">
        <w:rPr>
          <w:rFonts w:ascii="Book Antiqua" w:eastAsia="Book Antiqua" w:hAnsi="Book Antiqua" w:cs="Book Antiqua"/>
          <w:color w:val="000000" w:themeColor="text1"/>
        </w:rPr>
        <w:t xml:space="preserve">Portal hypertension (PHT) is a very common and serious complication of chronic liver disease that often causes variceal bleeding and refractory </w:t>
      </w:r>
      <w:proofErr w:type="gramStart"/>
      <w:r w:rsidRPr="00B82E38">
        <w:rPr>
          <w:rFonts w:ascii="Book Antiqua" w:eastAsia="Book Antiqua" w:hAnsi="Book Antiqua" w:cs="Book Antiqua"/>
          <w:color w:val="000000" w:themeColor="text1"/>
        </w:rPr>
        <w:t>ascites</w:t>
      </w:r>
      <w:r w:rsidRPr="00B82E38">
        <w:rPr>
          <w:rFonts w:ascii="Book Antiqua" w:eastAsia="Book Antiqua" w:hAnsi="Book Antiqua" w:cs="Book Antiqua"/>
          <w:color w:val="000000" w:themeColor="text1"/>
          <w:vertAlign w:val="superscript"/>
        </w:rPr>
        <w:t>[</w:t>
      </w:r>
      <w:proofErr w:type="gramEnd"/>
      <w:r w:rsidRPr="00B82E38">
        <w:rPr>
          <w:rFonts w:ascii="Book Antiqua" w:eastAsia="Book Antiqua" w:hAnsi="Book Antiqua" w:cs="Book Antiqua"/>
          <w:color w:val="000000" w:themeColor="text1"/>
          <w:vertAlign w:val="superscript"/>
        </w:rPr>
        <w:t>1]</w:t>
      </w:r>
      <w:r w:rsidRPr="00B82E38">
        <w:rPr>
          <w:rFonts w:ascii="Book Antiqua" w:eastAsia="Book Antiqua" w:hAnsi="Book Antiqua" w:cs="Book Antiqua"/>
          <w:color w:val="000000" w:themeColor="text1"/>
        </w:rPr>
        <w:t xml:space="preserve">. </w:t>
      </w:r>
      <w:proofErr w:type="spellStart"/>
      <w:r w:rsidRPr="00B82E38">
        <w:rPr>
          <w:rFonts w:ascii="Book Antiqua" w:eastAsia="Book Antiqua" w:hAnsi="Book Antiqua" w:cs="Book Antiqua"/>
          <w:color w:val="000000" w:themeColor="text1"/>
        </w:rPr>
        <w:t>Transjugular</w:t>
      </w:r>
      <w:proofErr w:type="spellEnd"/>
      <w:r w:rsidRPr="00B82E38">
        <w:rPr>
          <w:rFonts w:ascii="Book Antiqua" w:eastAsia="Book Antiqua" w:hAnsi="Book Antiqua" w:cs="Book Antiqua"/>
          <w:color w:val="000000" w:themeColor="text1"/>
        </w:rPr>
        <w:t xml:space="preserve"> intrahepatic portosystemic shunt (TIPS) is an important treatment option that has been shown to be efficacious in the management of </w:t>
      </w:r>
      <w:proofErr w:type="gramStart"/>
      <w:r w:rsidRPr="00B82E38">
        <w:rPr>
          <w:rFonts w:ascii="Book Antiqua" w:eastAsia="Book Antiqua" w:hAnsi="Book Antiqua" w:cs="Book Antiqua"/>
          <w:color w:val="000000" w:themeColor="text1"/>
        </w:rPr>
        <w:t>PHT</w:t>
      </w:r>
      <w:r w:rsidRPr="00B82E38">
        <w:rPr>
          <w:rFonts w:ascii="Book Antiqua" w:eastAsia="Book Antiqua" w:hAnsi="Book Antiqua" w:cs="Book Antiqua"/>
          <w:color w:val="000000" w:themeColor="text1"/>
          <w:vertAlign w:val="superscript"/>
        </w:rPr>
        <w:t>[</w:t>
      </w:r>
      <w:proofErr w:type="gramEnd"/>
      <w:r w:rsidRPr="00B82E38">
        <w:rPr>
          <w:rFonts w:ascii="Book Antiqua" w:eastAsia="Book Antiqua" w:hAnsi="Book Antiqua" w:cs="Book Antiqua"/>
          <w:color w:val="000000" w:themeColor="text1"/>
          <w:vertAlign w:val="superscript"/>
        </w:rPr>
        <w:t>2]</w:t>
      </w:r>
      <w:r w:rsidRPr="00B82E38">
        <w:rPr>
          <w:rFonts w:ascii="Book Antiqua" w:eastAsia="Book Antiqua" w:hAnsi="Book Antiqua" w:cs="Book Antiqua"/>
          <w:color w:val="000000" w:themeColor="text1"/>
        </w:rPr>
        <w:t xml:space="preserve">. This procedure can alleviate portal hypertension by creating a large channel between the portal vein and hepatic </w:t>
      </w:r>
      <w:proofErr w:type="gramStart"/>
      <w:r w:rsidRPr="00B82E38">
        <w:rPr>
          <w:rFonts w:ascii="Book Antiqua" w:eastAsia="Book Antiqua" w:hAnsi="Book Antiqua" w:cs="Book Antiqua"/>
          <w:color w:val="000000" w:themeColor="text1"/>
        </w:rPr>
        <w:t>vein</w:t>
      </w:r>
      <w:r w:rsidRPr="00B82E38">
        <w:rPr>
          <w:rFonts w:ascii="Book Antiqua" w:eastAsia="Book Antiqua" w:hAnsi="Book Antiqua" w:cs="Book Antiqua"/>
          <w:color w:val="000000" w:themeColor="text1"/>
          <w:vertAlign w:val="superscript"/>
        </w:rPr>
        <w:t>[</w:t>
      </w:r>
      <w:proofErr w:type="gramEnd"/>
      <w:r w:rsidRPr="00B82E38">
        <w:rPr>
          <w:rFonts w:ascii="Book Antiqua" w:eastAsia="Book Antiqua" w:hAnsi="Book Antiqua" w:cs="Book Antiqua"/>
          <w:color w:val="000000" w:themeColor="text1"/>
          <w:vertAlign w:val="superscript"/>
        </w:rPr>
        <w:t>3]</w:t>
      </w:r>
      <w:r w:rsidRPr="00B82E38">
        <w:rPr>
          <w:rFonts w:ascii="Book Antiqua" w:eastAsia="Book Antiqua" w:hAnsi="Book Antiqua" w:cs="Book Antiqua"/>
          <w:color w:val="000000" w:themeColor="text1"/>
        </w:rPr>
        <w:t>. Unfortunately, TIPS can cause severe complications such as heart</w:t>
      </w:r>
      <w:r w:rsidRPr="00B82E38">
        <w:rPr>
          <w:rFonts w:ascii="Book Antiqua" w:eastAsia="Book Antiqua" w:hAnsi="Book Antiqua" w:cs="Book Antiqua"/>
          <w:color w:val="000000" w:themeColor="text1"/>
        </w:rPr>
        <w:t xml:space="preserve"> failure, liver failure</w:t>
      </w:r>
      <w:r w:rsidR="00461C27">
        <w:rPr>
          <w:rFonts w:ascii="Book Antiqua" w:eastAsia="Book Antiqua" w:hAnsi="Book Antiqua" w:cs="Book Antiqua"/>
          <w:color w:val="000000" w:themeColor="text1"/>
        </w:rPr>
        <w:t>,</w:t>
      </w:r>
      <w:r w:rsidRPr="00B82E38">
        <w:rPr>
          <w:rFonts w:ascii="Book Antiqua" w:eastAsia="Book Antiqua" w:hAnsi="Book Antiqua" w:cs="Book Antiqua"/>
          <w:color w:val="000000" w:themeColor="text1"/>
        </w:rPr>
        <w:t xml:space="preserve"> and hepatic encephalopathy (HE). HE has a high incidence rate and is one of the most debilitating complications, which </w:t>
      </w:r>
      <w:r w:rsidR="00461C27" w:rsidRPr="00B82E38">
        <w:rPr>
          <w:rFonts w:ascii="Book Antiqua" w:eastAsia="Book Antiqua" w:hAnsi="Book Antiqua" w:cs="Book Antiqua"/>
          <w:color w:val="000000" w:themeColor="text1"/>
        </w:rPr>
        <w:t>ha</w:t>
      </w:r>
      <w:r w:rsidR="00461C27">
        <w:rPr>
          <w:rFonts w:ascii="Book Antiqua" w:eastAsia="Book Antiqua" w:hAnsi="Book Antiqua" w:cs="Book Antiqua"/>
          <w:color w:val="000000" w:themeColor="text1"/>
        </w:rPr>
        <w:t>s</w:t>
      </w:r>
      <w:r w:rsidR="00461C27" w:rsidRPr="00B82E38">
        <w:rPr>
          <w:rFonts w:ascii="Book Antiqua" w:eastAsia="Book Antiqua" w:hAnsi="Book Antiqua" w:cs="Book Antiqua"/>
          <w:color w:val="000000" w:themeColor="text1"/>
        </w:rPr>
        <w:t xml:space="preserve"> </w:t>
      </w:r>
      <w:r w:rsidRPr="00B82E38">
        <w:rPr>
          <w:rFonts w:ascii="Book Antiqua" w:eastAsia="Book Antiqua" w:hAnsi="Book Antiqua" w:cs="Book Antiqua"/>
          <w:color w:val="000000" w:themeColor="text1"/>
        </w:rPr>
        <w:t>a serious effect on the prognosis a</w:t>
      </w:r>
      <w:r w:rsidRPr="00B82E38">
        <w:rPr>
          <w:rFonts w:ascii="Book Antiqua" w:eastAsia="Book Antiqua" w:hAnsi="Book Antiqua" w:cs="Book Antiqua"/>
          <w:color w:val="000000" w:themeColor="text1"/>
        </w:rPr>
        <w:t xml:space="preserve">nd survival of </w:t>
      </w:r>
      <w:proofErr w:type="gramStart"/>
      <w:r w:rsidRPr="00B82E38">
        <w:rPr>
          <w:rFonts w:ascii="Book Antiqua" w:eastAsia="Book Antiqua" w:hAnsi="Book Antiqua" w:cs="Book Antiqua"/>
          <w:color w:val="000000" w:themeColor="text1"/>
        </w:rPr>
        <w:t>patients</w:t>
      </w:r>
      <w:r w:rsidRPr="00B82E38">
        <w:rPr>
          <w:rFonts w:ascii="Book Antiqua" w:eastAsia="Book Antiqua" w:hAnsi="Book Antiqua" w:cs="Book Antiqua"/>
          <w:color w:val="000000" w:themeColor="text1"/>
          <w:vertAlign w:val="superscript"/>
        </w:rPr>
        <w:t>[</w:t>
      </w:r>
      <w:proofErr w:type="gramEnd"/>
      <w:r w:rsidRPr="00B82E38">
        <w:rPr>
          <w:rFonts w:ascii="Book Antiqua" w:eastAsia="Book Antiqua" w:hAnsi="Book Antiqua" w:cs="Book Antiqua"/>
          <w:color w:val="000000" w:themeColor="text1"/>
          <w:vertAlign w:val="superscript"/>
        </w:rPr>
        <w:t>4-6]</w:t>
      </w:r>
      <w:r w:rsidRPr="00B82E38">
        <w:rPr>
          <w:rFonts w:ascii="Book Antiqua" w:eastAsia="Book Antiqua" w:hAnsi="Book Antiqua" w:cs="Book Antiqua"/>
          <w:color w:val="000000" w:themeColor="text1"/>
        </w:rPr>
        <w:t>. Although some risk factors are known, the identification of patients at risk of HE needs additional research. It is important to predict post-TIPS HE so that prevention and treatment measures can be implemented in high-risk HE patients to avoid adverse outcomes.</w:t>
      </w:r>
    </w:p>
    <w:p w14:paraId="16E0287E" w14:textId="1E1B9793" w:rsidR="00BA37FB" w:rsidRPr="00B82E38" w:rsidRDefault="008F363E" w:rsidP="00372A8C">
      <w:pPr>
        <w:spacing w:line="360" w:lineRule="auto"/>
        <w:ind w:firstLineChars="200" w:firstLine="480"/>
        <w:jc w:val="both"/>
        <w:rPr>
          <w:rFonts w:ascii="Book Antiqua" w:hAnsi="Book Antiqua"/>
          <w:color w:val="000000" w:themeColor="text1"/>
        </w:rPr>
      </w:pPr>
      <w:r w:rsidRPr="00B82E38">
        <w:rPr>
          <w:rFonts w:ascii="Book Antiqua" w:eastAsia="Book Antiqua" w:hAnsi="Book Antiqua" w:cs="Book Antiqua"/>
          <w:color w:val="000000" w:themeColor="text1"/>
        </w:rPr>
        <w:t xml:space="preserve">The </w:t>
      </w:r>
      <w:proofErr w:type="spellStart"/>
      <w:r w:rsidRPr="00B82E38">
        <w:rPr>
          <w:rFonts w:ascii="Book Antiqua" w:eastAsia="Book Antiqua" w:hAnsi="Book Antiqua" w:cs="Book Antiqua"/>
          <w:color w:val="000000" w:themeColor="text1"/>
        </w:rPr>
        <w:t>ind</w:t>
      </w:r>
      <w:r w:rsidRPr="00B82E38">
        <w:rPr>
          <w:rFonts w:ascii="Book Antiqua" w:eastAsia="Book Antiqua" w:hAnsi="Book Antiqua" w:cs="Book Antiqua"/>
          <w:color w:val="000000" w:themeColor="text1"/>
        </w:rPr>
        <w:t>ocyanine</w:t>
      </w:r>
      <w:proofErr w:type="spellEnd"/>
      <w:r w:rsidRPr="00B82E38">
        <w:rPr>
          <w:rFonts w:ascii="Book Antiqua" w:eastAsia="Book Antiqua" w:hAnsi="Book Antiqua" w:cs="Book Antiqua"/>
          <w:color w:val="000000" w:themeColor="text1"/>
        </w:rPr>
        <w:t xml:space="preserve"> green</w:t>
      </w:r>
      <w:r w:rsidR="00461C27">
        <w:rPr>
          <w:rFonts w:ascii="Book Antiqua" w:eastAsia="Book Antiqua" w:hAnsi="Book Antiqua" w:cs="Book Antiqua"/>
          <w:color w:val="000000" w:themeColor="text1"/>
        </w:rPr>
        <w:t xml:space="preserve"> </w:t>
      </w:r>
      <w:r w:rsidR="00461C27" w:rsidRPr="00461C27">
        <w:rPr>
          <w:rFonts w:ascii="Book Antiqua" w:eastAsia="Book Antiqua" w:hAnsi="Book Antiqua" w:cs="Book Antiqua"/>
          <w:color w:val="000000" w:themeColor="text1"/>
        </w:rPr>
        <w:t xml:space="preserve">retention rate </w:t>
      </w:r>
      <w:r w:rsidR="00461C27">
        <w:rPr>
          <w:rFonts w:ascii="Book Antiqua" w:eastAsia="Book Antiqua" w:hAnsi="Book Antiqua" w:cs="Book Antiqua"/>
          <w:color w:val="000000" w:themeColor="text1"/>
        </w:rPr>
        <w:t>at</w:t>
      </w:r>
      <w:r w:rsidR="00461C27" w:rsidRPr="00461C27">
        <w:rPr>
          <w:rFonts w:ascii="Book Antiqua" w:eastAsia="Book Antiqua" w:hAnsi="Book Antiqua" w:cs="Book Antiqua"/>
          <w:color w:val="000000" w:themeColor="text1"/>
        </w:rPr>
        <w:t xml:space="preserve"> 15 min </w:t>
      </w:r>
      <w:r w:rsidRPr="00B82E38">
        <w:rPr>
          <w:rFonts w:ascii="Book Antiqua" w:eastAsia="Book Antiqua" w:hAnsi="Book Antiqua" w:cs="Book Antiqua"/>
          <w:color w:val="000000" w:themeColor="text1"/>
        </w:rPr>
        <w:t>(ICG-R15</w:t>
      </w:r>
      <w:r w:rsidR="00461C27">
        <w:rPr>
          <w:rFonts w:ascii="Book Antiqua" w:eastAsia="Book Antiqua" w:hAnsi="Book Antiqua" w:cs="Book Antiqua"/>
          <w:color w:val="000000" w:themeColor="text1"/>
        </w:rPr>
        <w:t>)</w:t>
      </w:r>
      <w:r w:rsidRPr="00B82E38">
        <w:rPr>
          <w:rFonts w:ascii="Book Antiqua" w:eastAsia="Book Antiqua" w:hAnsi="Book Antiqua" w:cs="Book Antiqua"/>
          <w:color w:val="000000" w:themeColor="text1"/>
        </w:rPr>
        <w:t>, the Child-Pugh score (CPS)</w:t>
      </w:r>
      <w:r w:rsidR="00461C27">
        <w:rPr>
          <w:rFonts w:ascii="Book Antiqua" w:eastAsia="Book Antiqua" w:hAnsi="Book Antiqua" w:cs="Book Antiqua"/>
          <w:color w:val="000000" w:themeColor="text1"/>
        </w:rPr>
        <w:t>,</w:t>
      </w:r>
      <w:r w:rsidRPr="00B82E38">
        <w:rPr>
          <w:rFonts w:ascii="Book Antiqua" w:eastAsia="Book Antiqua" w:hAnsi="Book Antiqua" w:cs="Book Antiqua"/>
          <w:color w:val="000000" w:themeColor="text1"/>
        </w:rPr>
        <w:t xml:space="preserve"> and the model for end-stage liver disease (MELD) score have been developed to assess liver </w:t>
      </w:r>
      <w:proofErr w:type="gramStart"/>
      <w:r w:rsidRPr="00B82E38">
        <w:rPr>
          <w:rFonts w:ascii="Book Antiqua" w:eastAsia="Book Antiqua" w:hAnsi="Book Antiqua" w:cs="Book Antiqua"/>
          <w:color w:val="000000" w:themeColor="text1"/>
        </w:rPr>
        <w:t>function</w:t>
      </w:r>
      <w:r w:rsidRPr="00B82E38">
        <w:rPr>
          <w:rFonts w:ascii="Book Antiqua" w:eastAsia="Book Antiqua" w:hAnsi="Book Antiqua" w:cs="Book Antiqua"/>
          <w:color w:val="000000" w:themeColor="text1"/>
          <w:vertAlign w:val="superscript"/>
        </w:rPr>
        <w:t>[</w:t>
      </w:r>
      <w:proofErr w:type="gramEnd"/>
      <w:r w:rsidRPr="00B82E38">
        <w:rPr>
          <w:rFonts w:ascii="Book Antiqua" w:eastAsia="Book Antiqua" w:hAnsi="Book Antiqua" w:cs="Book Antiqua"/>
          <w:color w:val="000000" w:themeColor="text1"/>
          <w:vertAlign w:val="superscript"/>
        </w:rPr>
        <w:t>7,8]</w:t>
      </w:r>
      <w:r w:rsidRPr="00B82E38">
        <w:rPr>
          <w:rFonts w:ascii="Book Antiqua" w:eastAsia="Book Antiqua" w:hAnsi="Book Antiqua" w:cs="Book Antiqua"/>
          <w:color w:val="000000" w:themeColor="text1"/>
        </w:rPr>
        <w:t>. The ICG-R15</w:t>
      </w:r>
      <w:r w:rsidR="00461C27">
        <w:rPr>
          <w:rFonts w:ascii="Book Antiqua" w:eastAsia="Book Antiqua" w:hAnsi="Book Antiqua" w:cs="Book Antiqua"/>
          <w:color w:val="000000" w:themeColor="text1"/>
        </w:rPr>
        <w:t xml:space="preserve"> is</w:t>
      </w:r>
      <w:r w:rsidR="00461C27" w:rsidRPr="00B82E38">
        <w:rPr>
          <w:rFonts w:ascii="Book Antiqua" w:eastAsia="Book Antiqua" w:hAnsi="Book Antiqua" w:cs="Book Antiqua"/>
          <w:color w:val="000000" w:themeColor="text1"/>
        </w:rPr>
        <w:t xml:space="preserve"> </w:t>
      </w:r>
      <w:r w:rsidRPr="00B82E38">
        <w:rPr>
          <w:rFonts w:ascii="Book Antiqua" w:eastAsia="Book Antiqua" w:hAnsi="Book Antiqua" w:cs="Book Antiqua"/>
          <w:color w:val="000000" w:themeColor="text1"/>
        </w:rPr>
        <w:t xml:space="preserve">a relatively non-invasive, quick, and inexpensive method </w:t>
      </w:r>
      <w:r w:rsidR="00461C27">
        <w:rPr>
          <w:rFonts w:ascii="Book Antiqua" w:eastAsia="Book Antiqua" w:hAnsi="Book Antiqua" w:cs="Book Antiqua"/>
          <w:color w:val="000000" w:themeColor="text1"/>
        </w:rPr>
        <w:t xml:space="preserve">that </w:t>
      </w:r>
      <w:r w:rsidRPr="00B82E38">
        <w:rPr>
          <w:rFonts w:ascii="Book Antiqua" w:eastAsia="Book Antiqua" w:hAnsi="Book Antiqua" w:cs="Book Antiqua"/>
          <w:color w:val="000000" w:themeColor="text1"/>
        </w:rPr>
        <w:t>has been widely used in patients with end-stag</w:t>
      </w:r>
      <w:r w:rsidRPr="00B82E38">
        <w:rPr>
          <w:rFonts w:ascii="Book Antiqua" w:eastAsia="Book Antiqua" w:hAnsi="Book Antiqua" w:cs="Book Antiqua"/>
          <w:color w:val="000000" w:themeColor="text1"/>
        </w:rPr>
        <w:t xml:space="preserve">e liver </w:t>
      </w:r>
      <w:proofErr w:type="gramStart"/>
      <w:r w:rsidRPr="00B82E38">
        <w:rPr>
          <w:rFonts w:ascii="Book Antiqua" w:eastAsia="Book Antiqua" w:hAnsi="Book Antiqua" w:cs="Book Antiqua"/>
          <w:color w:val="000000" w:themeColor="text1"/>
        </w:rPr>
        <w:t>disease</w:t>
      </w:r>
      <w:r w:rsidRPr="00B82E38">
        <w:rPr>
          <w:rFonts w:ascii="Book Antiqua" w:eastAsia="Book Antiqua" w:hAnsi="Book Antiqua" w:cs="Book Antiqua"/>
          <w:color w:val="000000" w:themeColor="text1"/>
          <w:vertAlign w:val="superscript"/>
        </w:rPr>
        <w:t>[</w:t>
      </w:r>
      <w:proofErr w:type="gramEnd"/>
      <w:r w:rsidRPr="00B82E38">
        <w:rPr>
          <w:rFonts w:ascii="Book Antiqua" w:eastAsia="Book Antiqua" w:hAnsi="Book Antiqua" w:cs="Book Antiqua"/>
          <w:color w:val="000000" w:themeColor="text1"/>
          <w:vertAlign w:val="superscript"/>
        </w:rPr>
        <w:t>9]</w:t>
      </w:r>
      <w:r w:rsidRPr="00B82E38">
        <w:rPr>
          <w:rFonts w:ascii="Book Antiqua" w:eastAsia="Book Antiqua" w:hAnsi="Book Antiqua" w:cs="Book Antiqua"/>
          <w:color w:val="000000" w:themeColor="text1"/>
        </w:rPr>
        <w:t xml:space="preserve">. </w:t>
      </w:r>
      <w:proofErr w:type="spellStart"/>
      <w:r w:rsidRPr="00B82E38">
        <w:rPr>
          <w:rFonts w:ascii="Book Antiqua" w:eastAsia="Book Antiqua" w:hAnsi="Book Antiqua" w:cs="Book Antiqua"/>
          <w:color w:val="000000" w:themeColor="text1"/>
        </w:rPr>
        <w:t>Zipprich</w:t>
      </w:r>
      <w:proofErr w:type="spellEnd"/>
      <w:r w:rsidRPr="00B82E38">
        <w:rPr>
          <w:rFonts w:ascii="Book Antiqua" w:eastAsia="Book Antiqua" w:hAnsi="Book Antiqua" w:cs="Book Antiqua"/>
          <w:color w:val="000000" w:themeColor="text1"/>
        </w:rPr>
        <w:t xml:space="preserve"> </w:t>
      </w:r>
      <w:r w:rsidRPr="00B82E38">
        <w:rPr>
          <w:rFonts w:ascii="Book Antiqua" w:eastAsia="Book Antiqua" w:hAnsi="Book Antiqua" w:cs="Book Antiqua"/>
          <w:i/>
          <w:iCs/>
          <w:color w:val="000000" w:themeColor="text1"/>
        </w:rPr>
        <w:t xml:space="preserve">et </w:t>
      </w:r>
      <w:proofErr w:type="gramStart"/>
      <w:r w:rsidRPr="00B82E38">
        <w:rPr>
          <w:rFonts w:ascii="Book Antiqua" w:eastAsia="Book Antiqua" w:hAnsi="Book Antiqua" w:cs="Book Antiqua"/>
          <w:i/>
          <w:iCs/>
          <w:color w:val="000000" w:themeColor="text1"/>
        </w:rPr>
        <w:t>al</w:t>
      </w:r>
      <w:r w:rsidRPr="00B82E38">
        <w:rPr>
          <w:rFonts w:ascii="Book Antiqua" w:eastAsia="Book Antiqua" w:hAnsi="Book Antiqua" w:cs="Book Antiqua"/>
          <w:color w:val="000000" w:themeColor="text1"/>
          <w:vertAlign w:val="superscript"/>
        </w:rPr>
        <w:t>[</w:t>
      </w:r>
      <w:proofErr w:type="gramEnd"/>
      <w:r w:rsidRPr="00B82E38">
        <w:rPr>
          <w:rFonts w:ascii="Book Antiqua" w:eastAsia="Book Antiqua" w:hAnsi="Book Antiqua" w:cs="Book Antiqua"/>
          <w:color w:val="000000" w:themeColor="text1"/>
          <w:vertAlign w:val="superscript"/>
        </w:rPr>
        <w:t>10]</w:t>
      </w:r>
      <w:r w:rsidRPr="00B82E38">
        <w:rPr>
          <w:rFonts w:ascii="Book Antiqua" w:eastAsia="Book Antiqua" w:hAnsi="Book Antiqua" w:cs="Book Antiqua"/>
          <w:color w:val="000000" w:themeColor="text1"/>
        </w:rPr>
        <w:t xml:space="preserve"> reported that ICG is the most accurate predictor among quantitative liver function tests of the survival of patients with cirrhosis</w:t>
      </w:r>
      <w:r w:rsidRPr="00B82E38">
        <w:rPr>
          <w:rFonts w:ascii="Book Antiqua" w:eastAsia="Book Antiqua" w:hAnsi="Book Antiqua" w:cs="Book Antiqua"/>
          <w:color w:val="000000" w:themeColor="text1"/>
          <w:vertAlign w:val="superscript"/>
        </w:rPr>
        <w:t>[10]</w:t>
      </w:r>
      <w:r w:rsidRPr="00B82E38">
        <w:rPr>
          <w:rFonts w:ascii="Book Antiqua" w:eastAsia="Book Antiqua" w:hAnsi="Book Antiqua" w:cs="Book Antiqua"/>
          <w:color w:val="000000" w:themeColor="text1"/>
        </w:rPr>
        <w:t xml:space="preserve">. A recent retrospective study demonstrated that preoperative ICG clearance was predictive of the surgical prognosis in patients undergoing </w:t>
      </w:r>
      <w:proofErr w:type="gramStart"/>
      <w:r w:rsidRPr="00B82E38">
        <w:rPr>
          <w:rFonts w:ascii="Book Antiqua" w:eastAsia="Book Antiqua" w:hAnsi="Book Antiqua" w:cs="Book Antiqua"/>
          <w:color w:val="000000" w:themeColor="text1"/>
        </w:rPr>
        <w:t>hepatectomy</w:t>
      </w:r>
      <w:r w:rsidRPr="00B82E38">
        <w:rPr>
          <w:rFonts w:ascii="Book Antiqua" w:eastAsia="Book Antiqua" w:hAnsi="Book Antiqua" w:cs="Book Antiqua"/>
          <w:color w:val="000000" w:themeColor="text1"/>
          <w:vertAlign w:val="superscript"/>
        </w:rPr>
        <w:t>[</w:t>
      </w:r>
      <w:proofErr w:type="gramEnd"/>
      <w:r w:rsidRPr="00B82E38">
        <w:rPr>
          <w:rFonts w:ascii="Book Antiqua" w:eastAsia="Book Antiqua" w:hAnsi="Book Antiqua" w:cs="Book Antiqua"/>
          <w:color w:val="000000" w:themeColor="text1"/>
          <w:vertAlign w:val="superscript"/>
        </w:rPr>
        <w:t>11]</w:t>
      </w:r>
      <w:r w:rsidRPr="00B82E38">
        <w:rPr>
          <w:rFonts w:ascii="Book Antiqua" w:eastAsia="Book Antiqua" w:hAnsi="Book Antiqua" w:cs="Book Antiqua"/>
          <w:color w:val="000000" w:themeColor="text1"/>
        </w:rPr>
        <w:t>. The CPS was developed to assess the severity of liver cirrhosis in the clinic. This scoring system includes the bilirubin level, the albumin level, the prothrombin t</w:t>
      </w:r>
      <w:r w:rsidRPr="00B82E38">
        <w:rPr>
          <w:rFonts w:ascii="Book Antiqua" w:eastAsia="Book Antiqua" w:hAnsi="Book Antiqua" w:cs="Book Antiqua"/>
          <w:color w:val="000000" w:themeColor="text1"/>
        </w:rPr>
        <w:t>ime, HE</w:t>
      </w:r>
      <w:r w:rsidR="00461C27">
        <w:rPr>
          <w:rFonts w:ascii="Book Antiqua" w:eastAsia="Book Antiqua" w:hAnsi="Book Antiqua" w:cs="Book Antiqua"/>
          <w:color w:val="000000" w:themeColor="text1"/>
        </w:rPr>
        <w:t>,</w:t>
      </w:r>
      <w:r w:rsidRPr="00B82E38">
        <w:rPr>
          <w:rFonts w:ascii="Book Antiqua" w:eastAsia="Book Antiqua" w:hAnsi="Book Antiqua" w:cs="Book Antiqua"/>
          <w:color w:val="000000" w:themeColor="text1"/>
        </w:rPr>
        <w:t xml:space="preserve"> and </w:t>
      </w:r>
      <w:proofErr w:type="gramStart"/>
      <w:r w:rsidRPr="00B82E38">
        <w:rPr>
          <w:rFonts w:ascii="Book Antiqua" w:eastAsia="Book Antiqua" w:hAnsi="Book Antiqua" w:cs="Book Antiqua"/>
          <w:color w:val="000000" w:themeColor="text1"/>
        </w:rPr>
        <w:t>ascites</w:t>
      </w:r>
      <w:r w:rsidRPr="00B82E38">
        <w:rPr>
          <w:rFonts w:ascii="Book Antiqua" w:eastAsia="Book Antiqua" w:hAnsi="Book Antiqua" w:cs="Book Antiqua"/>
          <w:color w:val="000000" w:themeColor="text1"/>
          <w:vertAlign w:val="superscript"/>
        </w:rPr>
        <w:t>[</w:t>
      </w:r>
      <w:proofErr w:type="gramEnd"/>
      <w:r w:rsidRPr="00B82E38">
        <w:rPr>
          <w:rFonts w:ascii="Book Antiqua" w:eastAsia="Book Antiqua" w:hAnsi="Book Antiqua" w:cs="Book Antiqua"/>
          <w:color w:val="000000" w:themeColor="text1"/>
          <w:vertAlign w:val="superscript"/>
        </w:rPr>
        <w:t>12]</w:t>
      </w:r>
      <w:r w:rsidRPr="00B82E38">
        <w:rPr>
          <w:rFonts w:ascii="Book Antiqua" w:eastAsia="Book Antiqua" w:hAnsi="Book Antiqua" w:cs="Book Antiqua"/>
          <w:color w:val="000000" w:themeColor="text1"/>
        </w:rPr>
        <w:t>. The MELD score is used to predict the survival of patients undergoing TIPS and to evaluate patients with severe liver disease prior to transplantation. It includes three objective variables: The total bilirubin level, the creatinine level</w:t>
      </w:r>
      <w:r w:rsidR="00461C27">
        <w:rPr>
          <w:rFonts w:ascii="Book Antiqua" w:eastAsia="Book Antiqua" w:hAnsi="Book Antiqua" w:cs="Book Antiqua"/>
          <w:color w:val="000000" w:themeColor="text1"/>
        </w:rPr>
        <w:t>,</w:t>
      </w:r>
      <w:r w:rsidRPr="00B82E38">
        <w:rPr>
          <w:rFonts w:ascii="Book Antiqua" w:eastAsia="Book Antiqua" w:hAnsi="Book Antiqua" w:cs="Book Antiqua"/>
          <w:color w:val="000000" w:themeColor="text1"/>
        </w:rPr>
        <w:t xml:space="preserve"> and the international normalized ratio (INR</w:t>
      </w:r>
      <w:proofErr w:type="gramStart"/>
      <w:r w:rsidRPr="00B82E38">
        <w:rPr>
          <w:rFonts w:ascii="Book Antiqua" w:eastAsia="Book Antiqua" w:hAnsi="Book Antiqua" w:cs="Book Antiqua"/>
          <w:color w:val="000000" w:themeColor="text1"/>
        </w:rPr>
        <w:t>)</w:t>
      </w:r>
      <w:r w:rsidRPr="00B82E38">
        <w:rPr>
          <w:rFonts w:ascii="Book Antiqua" w:eastAsia="Book Antiqua" w:hAnsi="Book Antiqua" w:cs="Book Antiqua"/>
          <w:color w:val="000000" w:themeColor="text1"/>
          <w:vertAlign w:val="superscript"/>
        </w:rPr>
        <w:t>[</w:t>
      </w:r>
      <w:proofErr w:type="gramEnd"/>
      <w:r w:rsidRPr="00B82E38">
        <w:rPr>
          <w:rFonts w:ascii="Book Antiqua" w:eastAsia="Book Antiqua" w:hAnsi="Book Antiqua" w:cs="Book Antiqua"/>
          <w:color w:val="000000" w:themeColor="text1"/>
          <w:vertAlign w:val="superscript"/>
        </w:rPr>
        <w:t>13]</w:t>
      </w:r>
      <w:r w:rsidRPr="00B82E38">
        <w:rPr>
          <w:rFonts w:ascii="Book Antiqua" w:eastAsia="Book Antiqua" w:hAnsi="Book Antiqua" w:cs="Book Antiqua"/>
          <w:color w:val="000000" w:themeColor="text1"/>
        </w:rPr>
        <w:t>. However, there are limited data on the use of liver function tools, especially the ICG-R15, to predict post-TIPS HE. Therefore, the aim of this study was to compare the clinical value of the MELD score, CPS</w:t>
      </w:r>
      <w:r w:rsidR="00461C27">
        <w:rPr>
          <w:rFonts w:ascii="Book Antiqua" w:eastAsia="Book Antiqua" w:hAnsi="Book Antiqua" w:cs="Book Antiqua"/>
          <w:color w:val="000000" w:themeColor="text1"/>
        </w:rPr>
        <w:t>,</w:t>
      </w:r>
      <w:r w:rsidRPr="00B82E38">
        <w:rPr>
          <w:rFonts w:ascii="Book Antiqua" w:eastAsia="Book Antiqua" w:hAnsi="Book Antiqua" w:cs="Book Antiqua"/>
          <w:color w:val="000000" w:themeColor="text1"/>
        </w:rPr>
        <w:t xml:space="preserve"> and ICG-R15 for the prediction of post-TIPS </w:t>
      </w:r>
      <w:proofErr w:type="gramStart"/>
      <w:r w:rsidRPr="00B82E38">
        <w:rPr>
          <w:rFonts w:ascii="Book Antiqua" w:eastAsia="Book Antiqua" w:hAnsi="Book Antiqua" w:cs="Book Antiqua"/>
          <w:color w:val="000000" w:themeColor="text1"/>
        </w:rPr>
        <w:t>HE</w:t>
      </w:r>
      <w:proofErr w:type="gramEnd"/>
      <w:r w:rsidRPr="00B82E38">
        <w:rPr>
          <w:rFonts w:ascii="Book Antiqua" w:eastAsia="Book Antiqua" w:hAnsi="Book Antiqua" w:cs="Book Antiqua"/>
          <w:color w:val="000000" w:themeColor="text1"/>
        </w:rPr>
        <w:t xml:space="preserve"> i</w:t>
      </w:r>
      <w:r w:rsidRPr="00B82E38">
        <w:rPr>
          <w:rFonts w:ascii="Book Antiqua" w:eastAsia="Book Antiqua" w:hAnsi="Book Antiqua" w:cs="Book Antiqua"/>
          <w:color w:val="000000" w:themeColor="text1"/>
        </w:rPr>
        <w:t>n patients with PHT.</w:t>
      </w:r>
    </w:p>
    <w:p w14:paraId="307E3A9F" w14:textId="77777777" w:rsidR="00BA37FB" w:rsidRPr="00B82E38" w:rsidRDefault="00BA37FB" w:rsidP="00372A8C">
      <w:pPr>
        <w:spacing w:line="360" w:lineRule="auto"/>
        <w:ind w:firstLine="560"/>
        <w:jc w:val="both"/>
        <w:rPr>
          <w:rFonts w:ascii="Book Antiqua" w:hAnsi="Book Antiqua"/>
          <w:color w:val="000000" w:themeColor="text1"/>
        </w:rPr>
      </w:pPr>
    </w:p>
    <w:p w14:paraId="759BBF39" w14:textId="77777777" w:rsidR="00BA37FB" w:rsidRPr="00B82E38" w:rsidRDefault="008F363E" w:rsidP="00372A8C">
      <w:pPr>
        <w:spacing w:line="360" w:lineRule="auto"/>
        <w:jc w:val="both"/>
        <w:rPr>
          <w:rFonts w:ascii="Book Antiqua" w:hAnsi="Book Antiqua"/>
          <w:color w:val="000000" w:themeColor="text1"/>
        </w:rPr>
      </w:pPr>
      <w:r w:rsidRPr="00B82E38">
        <w:rPr>
          <w:rFonts w:ascii="Book Antiqua" w:eastAsia="Book Antiqua" w:hAnsi="Book Antiqua" w:cs="Book Antiqua"/>
          <w:b/>
          <w:caps/>
          <w:color w:val="000000" w:themeColor="text1"/>
          <w:u w:val="single"/>
        </w:rPr>
        <w:t>MATERIALS AND METHODS</w:t>
      </w:r>
    </w:p>
    <w:p w14:paraId="7303E943" w14:textId="77777777" w:rsidR="00BA37FB" w:rsidRPr="00B82E38" w:rsidRDefault="008F363E" w:rsidP="00372A8C">
      <w:pPr>
        <w:spacing w:line="360" w:lineRule="auto"/>
        <w:jc w:val="both"/>
        <w:rPr>
          <w:rFonts w:ascii="Book Antiqua" w:eastAsia="Book Antiqua" w:hAnsi="Book Antiqua" w:cs="Book Antiqua"/>
          <w:color w:val="000000" w:themeColor="text1"/>
        </w:rPr>
      </w:pPr>
      <w:r w:rsidRPr="00B82E38">
        <w:rPr>
          <w:rFonts w:ascii="Book Antiqua" w:eastAsia="Book Antiqua" w:hAnsi="Book Antiqua" w:cs="Book Antiqua"/>
          <w:color w:val="000000" w:themeColor="text1"/>
        </w:rPr>
        <w:t xml:space="preserve">This retrospective study was approved by the Ethics Committee of Beijing </w:t>
      </w:r>
      <w:proofErr w:type="spellStart"/>
      <w:r w:rsidRPr="00B82E38">
        <w:rPr>
          <w:rFonts w:ascii="Book Antiqua" w:eastAsia="Book Antiqua" w:hAnsi="Book Antiqua" w:cs="Book Antiqua"/>
          <w:color w:val="000000" w:themeColor="text1"/>
        </w:rPr>
        <w:t>Shijitan</w:t>
      </w:r>
      <w:proofErr w:type="spellEnd"/>
      <w:r w:rsidRPr="00B82E38">
        <w:rPr>
          <w:rFonts w:ascii="Book Antiqua" w:eastAsia="Book Antiqua" w:hAnsi="Book Antiqua" w:cs="Book Antiqua"/>
          <w:color w:val="000000" w:themeColor="text1"/>
        </w:rPr>
        <w:t xml:space="preserve"> Hospital of Capital Medical University. The need to obtain informed consent was waived due to its retrospective nature.</w:t>
      </w:r>
    </w:p>
    <w:p w14:paraId="78189D68" w14:textId="77777777" w:rsidR="00BA37FB" w:rsidRPr="00B82E38" w:rsidRDefault="00BA37FB" w:rsidP="00372A8C">
      <w:pPr>
        <w:spacing w:line="360" w:lineRule="auto"/>
        <w:jc w:val="both"/>
        <w:rPr>
          <w:rFonts w:ascii="Book Antiqua" w:hAnsi="Book Antiqua"/>
          <w:color w:val="000000" w:themeColor="text1"/>
        </w:rPr>
      </w:pPr>
    </w:p>
    <w:p w14:paraId="635B988A" w14:textId="77777777" w:rsidR="00BA37FB" w:rsidRPr="00B82E38" w:rsidRDefault="008F363E" w:rsidP="00372A8C">
      <w:pPr>
        <w:spacing w:line="360" w:lineRule="auto"/>
        <w:jc w:val="both"/>
        <w:rPr>
          <w:rFonts w:ascii="Book Antiqua" w:hAnsi="Book Antiqua"/>
          <w:i/>
          <w:iCs/>
          <w:color w:val="000000" w:themeColor="text1"/>
        </w:rPr>
      </w:pPr>
      <w:r w:rsidRPr="00B82E38">
        <w:rPr>
          <w:rFonts w:ascii="Book Antiqua" w:eastAsia="Book Antiqua" w:hAnsi="Book Antiqua" w:cs="Book Antiqua"/>
          <w:b/>
          <w:bCs/>
          <w:i/>
          <w:iCs/>
          <w:color w:val="000000" w:themeColor="text1"/>
        </w:rPr>
        <w:t>Patients</w:t>
      </w:r>
    </w:p>
    <w:p w14:paraId="4BF7C66A" w14:textId="77777777" w:rsidR="00BA37FB" w:rsidRPr="00B82E38" w:rsidRDefault="008F363E" w:rsidP="00372A8C">
      <w:pPr>
        <w:spacing w:line="360" w:lineRule="auto"/>
        <w:jc w:val="both"/>
        <w:rPr>
          <w:rFonts w:ascii="Book Antiqua" w:hAnsi="Book Antiqua"/>
          <w:color w:val="000000" w:themeColor="text1"/>
        </w:rPr>
      </w:pPr>
      <w:r w:rsidRPr="00B82E38">
        <w:rPr>
          <w:rFonts w:ascii="Book Antiqua" w:eastAsia="Book Antiqua" w:hAnsi="Book Antiqua" w:cs="Book Antiqua"/>
          <w:color w:val="000000" w:themeColor="text1"/>
        </w:rPr>
        <w:t xml:space="preserve">All patients who underwent TIPS between January 2018 and June 2019 in the interventional department of Beijing </w:t>
      </w:r>
      <w:proofErr w:type="spellStart"/>
      <w:r w:rsidRPr="00B82E38">
        <w:rPr>
          <w:rFonts w:ascii="Book Antiqua" w:eastAsia="Book Antiqua" w:hAnsi="Book Antiqua" w:cs="Book Antiqua"/>
          <w:color w:val="000000" w:themeColor="text1"/>
        </w:rPr>
        <w:t>Shijitan</w:t>
      </w:r>
      <w:proofErr w:type="spellEnd"/>
      <w:r w:rsidRPr="00B82E38">
        <w:rPr>
          <w:rFonts w:ascii="Book Antiqua" w:eastAsia="Book Antiqua" w:hAnsi="Book Antiqua" w:cs="Book Antiqua"/>
          <w:color w:val="000000" w:themeColor="text1"/>
        </w:rPr>
        <w:t xml:space="preserve"> Hospital were included in this study.</w:t>
      </w:r>
    </w:p>
    <w:p w14:paraId="7B83BA01" w14:textId="4AC03C92" w:rsidR="00BA37FB" w:rsidRPr="00B82E38" w:rsidRDefault="008F363E" w:rsidP="00372A8C">
      <w:pPr>
        <w:spacing w:line="360" w:lineRule="auto"/>
        <w:ind w:firstLineChars="200" w:firstLine="480"/>
        <w:jc w:val="both"/>
        <w:rPr>
          <w:rFonts w:ascii="Book Antiqua" w:eastAsia="Book Antiqua" w:hAnsi="Book Antiqua" w:cs="Book Antiqua"/>
          <w:color w:val="000000" w:themeColor="text1"/>
        </w:rPr>
      </w:pPr>
      <w:r w:rsidRPr="00B82E38">
        <w:rPr>
          <w:rFonts w:ascii="Book Antiqua" w:eastAsia="Book Antiqua" w:hAnsi="Book Antiqua" w:cs="Book Antiqua"/>
          <w:color w:val="000000" w:themeColor="text1"/>
        </w:rPr>
        <w:t xml:space="preserve">The following inclusion criteria were </w:t>
      </w:r>
      <w:r w:rsidRPr="00B82E38">
        <w:rPr>
          <w:rFonts w:ascii="Book Antiqua" w:eastAsia="Book Antiqua" w:hAnsi="Book Antiqua" w:cs="Book Antiqua"/>
          <w:color w:val="000000" w:themeColor="text1"/>
        </w:rPr>
        <w:t xml:space="preserve">set: (1) </w:t>
      </w:r>
      <w:r w:rsidR="00461C27">
        <w:rPr>
          <w:rFonts w:ascii="Book Antiqua" w:eastAsia="Book Antiqua" w:hAnsi="Book Antiqua" w:cs="Book Antiqua"/>
          <w:color w:val="000000" w:themeColor="text1"/>
        </w:rPr>
        <w:t>P</w:t>
      </w:r>
      <w:r w:rsidR="00461C27" w:rsidRPr="00B82E38">
        <w:rPr>
          <w:rFonts w:ascii="Book Antiqua" w:eastAsia="Book Antiqua" w:hAnsi="Book Antiqua" w:cs="Book Antiqua"/>
          <w:color w:val="000000" w:themeColor="text1"/>
        </w:rPr>
        <w:t xml:space="preserve">atients </w:t>
      </w:r>
      <w:r w:rsidRPr="00B82E38">
        <w:rPr>
          <w:rFonts w:ascii="Book Antiqua" w:eastAsia="Book Antiqua" w:hAnsi="Book Antiqua" w:cs="Book Antiqua"/>
          <w:color w:val="000000" w:themeColor="text1"/>
        </w:rPr>
        <w:t xml:space="preserve">between 18 and 70 years old; (2) patients diagnosed with PHT; and (3) patients who underwent TIPS using </w:t>
      </w:r>
      <w:r w:rsidR="00461C27">
        <w:rPr>
          <w:rFonts w:ascii="Book Antiqua" w:eastAsia="Book Antiqua" w:hAnsi="Book Antiqua" w:cs="Book Antiqua"/>
          <w:color w:val="000000" w:themeColor="text1"/>
        </w:rPr>
        <w:t xml:space="preserve">a </w:t>
      </w:r>
      <w:r w:rsidRPr="00B82E38">
        <w:rPr>
          <w:rFonts w:ascii="Book Antiqua" w:eastAsia="Book Antiqua" w:hAnsi="Book Antiqua" w:cs="Book Antiqua"/>
          <w:color w:val="000000" w:themeColor="text1"/>
        </w:rPr>
        <w:t xml:space="preserve">polytetrafluoroethylene-covered stent. The following exclusion criteria were set: (1) </w:t>
      </w:r>
      <w:r w:rsidR="00461C27">
        <w:rPr>
          <w:rFonts w:ascii="Book Antiqua" w:eastAsia="Book Antiqua" w:hAnsi="Book Antiqua" w:cs="Book Antiqua"/>
          <w:color w:val="000000" w:themeColor="text1"/>
        </w:rPr>
        <w:t>P</w:t>
      </w:r>
      <w:r w:rsidR="00461C27" w:rsidRPr="00B82E38">
        <w:rPr>
          <w:rFonts w:ascii="Book Antiqua" w:eastAsia="Book Antiqua" w:hAnsi="Book Antiqua" w:cs="Book Antiqua"/>
          <w:color w:val="000000" w:themeColor="text1"/>
        </w:rPr>
        <w:t xml:space="preserve">reoperative </w:t>
      </w:r>
      <w:r w:rsidRPr="00B82E38">
        <w:rPr>
          <w:rFonts w:ascii="Book Antiqua" w:eastAsia="Book Antiqua" w:hAnsi="Book Antiqua" w:cs="Book Antiqua"/>
          <w:color w:val="000000" w:themeColor="text1"/>
        </w:rPr>
        <w:t>HE; (2) liver cancer; (3) liver tran</w:t>
      </w:r>
      <w:r w:rsidRPr="00B82E38">
        <w:rPr>
          <w:rFonts w:ascii="Book Antiqua" w:eastAsia="Book Antiqua" w:hAnsi="Book Antiqua" w:cs="Book Antiqua"/>
          <w:color w:val="000000" w:themeColor="text1"/>
        </w:rPr>
        <w:t>splantation; (4) TIPS retreatment; (5) non-cirrhotic PHT; (6) surgical splenectomy; (7) portal vein thrombosis; and (8) urgent TIPS.</w:t>
      </w:r>
    </w:p>
    <w:p w14:paraId="0783AEFB" w14:textId="77777777" w:rsidR="00BA37FB" w:rsidRPr="00B82E38" w:rsidRDefault="00BA37FB" w:rsidP="00372A8C">
      <w:pPr>
        <w:spacing w:line="360" w:lineRule="auto"/>
        <w:ind w:firstLineChars="200" w:firstLine="480"/>
        <w:jc w:val="both"/>
        <w:rPr>
          <w:rFonts w:ascii="Book Antiqua" w:hAnsi="Book Antiqua"/>
          <w:color w:val="000000" w:themeColor="text1"/>
        </w:rPr>
      </w:pPr>
    </w:p>
    <w:p w14:paraId="61DC74F9" w14:textId="77777777" w:rsidR="00BA37FB" w:rsidRPr="00B82E38" w:rsidRDefault="008F363E" w:rsidP="00372A8C">
      <w:pPr>
        <w:spacing w:line="360" w:lineRule="auto"/>
        <w:jc w:val="both"/>
        <w:rPr>
          <w:rFonts w:ascii="Book Antiqua" w:hAnsi="Book Antiqua"/>
          <w:i/>
          <w:iCs/>
          <w:color w:val="000000" w:themeColor="text1"/>
        </w:rPr>
      </w:pPr>
      <w:r w:rsidRPr="00B82E38">
        <w:rPr>
          <w:rFonts w:ascii="Book Antiqua" w:eastAsia="Book Antiqua" w:hAnsi="Book Antiqua" w:cs="Book Antiqua"/>
          <w:b/>
          <w:bCs/>
          <w:i/>
          <w:iCs/>
          <w:color w:val="000000" w:themeColor="text1"/>
        </w:rPr>
        <w:t>Definitions</w:t>
      </w:r>
    </w:p>
    <w:p w14:paraId="61807196" w14:textId="42E79B5D" w:rsidR="00BA37FB" w:rsidRPr="00B82E38" w:rsidRDefault="008F363E" w:rsidP="00372A8C">
      <w:pPr>
        <w:spacing w:line="360" w:lineRule="auto"/>
        <w:jc w:val="both"/>
        <w:rPr>
          <w:rFonts w:ascii="Book Antiqua" w:hAnsi="Book Antiqua"/>
          <w:color w:val="000000" w:themeColor="text1"/>
        </w:rPr>
      </w:pPr>
      <w:r w:rsidRPr="00B82E38">
        <w:rPr>
          <w:rFonts w:ascii="Book Antiqua" w:eastAsia="Book Antiqua" w:hAnsi="Book Antiqua" w:cs="Book Antiqua"/>
          <w:color w:val="000000" w:themeColor="text1"/>
        </w:rPr>
        <w:t>PHT was defined as the radiological presence of significant splenomegaly, umbilical vein recanaliz</w:t>
      </w:r>
      <w:r w:rsidRPr="00B82E38">
        <w:rPr>
          <w:rFonts w:ascii="Book Antiqua" w:eastAsia="Book Antiqua" w:hAnsi="Book Antiqua" w:cs="Book Antiqua"/>
          <w:color w:val="000000" w:themeColor="text1"/>
        </w:rPr>
        <w:t>ation</w:t>
      </w:r>
      <w:r w:rsidR="00461C27">
        <w:rPr>
          <w:rFonts w:ascii="Book Antiqua" w:eastAsia="Book Antiqua" w:hAnsi="Book Antiqua" w:cs="Book Antiqua"/>
          <w:color w:val="000000" w:themeColor="text1"/>
        </w:rPr>
        <w:t>,</w:t>
      </w:r>
      <w:r w:rsidRPr="00B82E38">
        <w:rPr>
          <w:rFonts w:ascii="Book Antiqua" w:eastAsia="Book Antiqua" w:hAnsi="Book Antiqua" w:cs="Book Antiqua"/>
          <w:color w:val="000000" w:themeColor="text1"/>
        </w:rPr>
        <w:t xml:space="preserve"> and/or portosystemic shunts as well as a preoperative platelet count &lt; 100 × 10</w:t>
      </w:r>
      <w:r w:rsidRPr="00B82E38">
        <w:rPr>
          <w:rFonts w:ascii="Book Antiqua" w:eastAsia="Book Antiqua" w:hAnsi="Book Antiqua" w:cs="Book Antiqua"/>
          <w:color w:val="000000" w:themeColor="text1"/>
          <w:vertAlign w:val="superscript"/>
        </w:rPr>
        <w:t>9</w:t>
      </w:r>
      <w:r w:rsidRPr="00B82E38">
        <w:rPr>
          <w:rFonts w:ascii="Book Antiqua" w:eastAsia="Book Antiqua" w:hAnsi="Book Antiqua" w:cs="Book Antiqua"/>
          <w:color w:val="000000" w:themeColor="text1"/>
        </w:rPr>
        <w:t>/L. Portal pressure gra</w:t>
      </w:r>
      <w:r w:rsidRPr="00B82E38">
        <w:rPr>
          <w:rFonts w:ascii="Book Antiqua" w:eastAsia="Book Antiqua" w:hAnsi="Book Antiqua" w:cs="Book Antiqua"/>
          <w:color w:val="000000" w:themeColor="text1"/>
        </w:rPr>
        <w:t xml:space="preserve">dient values greater than or equal to 10 mmHg indicated clinically significant </w:t>
      </w:r>
      <w:proofErr w:type="gramStart"/>
      <w:r w:rsidRPr="00B82E38">
        <w:rPr>
          <w:rFonts w:ascii="Book Antiqua" w:eastAsia="Book Antiqua" w:hAnsi="Book Antiqua" w:cs="Book Antiqua"/>
          <w:color w:val="000000" w:themeColor="text1"/>
        </w:rPr>
        <w:t>PHT</w:t>
      </w:r>
      <w:r w:rsidRPr="00B82E38">
        <w:rPr>
          <w:rFonts w:ascii="Book Antiqua" w:eastAsia="Book Antiqua" w:hAnsi="Book Antiqua" w:cs="Book Antiqua"/>
          <w:color w:val="000000" w:themeColor="text1"/>
          <w:vertAlign w:val="superscript"/>
        </w:rPr>
        <w:t>[</w:t>
      </w:r>
      <w:proofErr w:type="gramEnd"/>
      <w:r w:rsidRPr="00B82E38">
        <w:rPr>
          <w:rFonts w:ascii="Book Antiqua" w:eastAsia="Book Antiqua" w:hAnsi="Book Antiqua" w:cs="Book Antiqua"/>
          <w:color w:val="000000" w:themeColor="text1"/>
          <w:vertAlign w:val="superscript"/>
        </w:rPr>
        <w:t>14]</w:t>
      </w:r>
      <w:r w:rsidRPr="00B82E38">
        <w:rPr>
          <w:rFonts w:ascii="Book Antiqua" w:eastAsia="Book Antiqua" w:hAnsi="Book Antiqua" w:cs="Book Antiqua"/>
          <w:color w:val="000000" w:themeColor="text1"/>
        </w:rPr>
        <w:t>.</w:t>
      </w:r>
    </w:p>
    <w:p w14:paraId="17926E5F" w14:textId="77777777" w:rsidR="00BA37FB" w:rsidRPr="00B82E38" w:rsidRDefault="008F363E" w:rsidP="00372A8C">
      <w:pPr>
        <w:spacing w:line="360" w:lineRule="auto"/>
        <w:ind w:firstLineChars="200" w:firstLine="480"/>
        <w:jc w:val="both"/>
        <w:rPr>
          <w:rFonts w:ascii="Book Antiqua" w:eastAsia="Book Antiqua" w:hAnsi="Book Antiqua" w:cs="Book Antiqua"/>
          <w:color w:val="000000" w:themeColor="text1"/>
        </w:rPr>
      </w:pPr>
      <w:r w:rsidRPr="00B82E38">
        <w:rPr>
          <w:rFonts w:ascii="Book Antiqua" w:eastAsia="Book Antiqua" w:hAnsi="Book Antiqua" w:cs="Book Antiqua"/>
          <w:color w:val="000000" w:themeColor="text1"/>
        </w:rPr>
        <w:t xml:space="preserve">HE was defined as neuropsychiatric abnormalities ranging from mild neuropsychological dysfunction to deep coma and abnormal ammonia levels, after the exclusion of other possible causes of altered mental status by computed tomography or magnetic resonance </w:t>
      </w:r>
      <w:proofErr w:type="gramStart"/>
      <w:r w:rsidRPr="00B82E38">
        <w:rPr>
          <w:rFonts w:ascii="Book Antiqua" w:eastAsia="Book Antiqua" w:hAnsi="Book Antiqua" w:cs="Book Antiqua"/>
          <w:color w:val="000000" w:themeColor="text1"/>
        </w:rPr>
        <w:t>imaging</w:t>
      </w:r>
      <w:r w:rsidRPr="00B82E38">
        <w:rPr>
          <w:rFonts w:ascii="Book Antiqua" w:eastAsia="Book Antiqua" w:hAnsi="Book Antiqua" w:cs="Book Antiqua"/>
          <w:color w:val="000000" w:themeColor="text1"/>
          <w:vertAlign w:val="superscript"/>
        </w:rPr>
        <w:t>[</w:t>
      </w:r>
      <w:proofErr w:type="gramEnd"/>
      <w:r w:rsidRPr="00B82E38">
        <w:rPr>
          <w:rFonts w:ascii="Book Antiqua" w:eastAsia="Book Antiqua" w:hAnsi="Book Antiqua" w:cs="Book Antiqua"/>
          <w:color w:val="000000" w:themeColor="text1"/>
          <w:vertAlign w:val="superscript"/>
        </w:rPr>
        <w:t>15]</w:t>
      </w:r>
      <w:r w:rsidRPr="00B82E38">
        <w:rPr>
          <w:rFonts w:ascii="Book Antiqua" w:eastAsia="Book Antiqua" w:hAnsi="Book Antiqua" w:cs="Book Antiqua"/>
          <w:color w:val="000000" w:themeColor="text1"/>
        </w:rPr>
        <w:t>.</w:t>
      </w:r>
    </w:p>
    <w:p w14:paraId="67A0F50C" w14:textId="77777777" w:rsidR="00BA37FB" w:rsidRPr="00B82E38" w:rsidRDefault="00BA37FB" w:rsidP="00372A8C">
      <w:pPr>
        <w:spacing w:line="360" w:lineRule="auto"/>
        <w:ind w:firstLineChars="200" w:firstLine="480"/>
        <w:jc w:val="both"/>
        <w:rPr>
          <w:rFonts w:ascii="Book Antiqua" w:hAnsi="Book Antiqua"/>
          <w:color w:val="000000" w:themeColor="text1"/>
        </w:rPr>
      </w:pPr>
    </w:p>
    <w:p w14:paraId="24E5B297" w14:textId="4A400CA3" w:rsidR="00BA37FB" w:rsidRPr="00B82E38" w:rsidRDefault="008F363E" w:rsidP="00372A8C">
      <w:pPr>
        <w:spacing w:line="360" w:lineRule="auto"/>
        <w:jc w:val="both"/>
        <w:rPr>
          <w:rFonts w:ascii="Book Antiqua" w:hAnsi="Book Antiqua"/>
          <w:i/>
          <w:iCs/>
          <w:color w:val="000000" w:themeColor="text1"/>
        </w:rPr>
      </w:pPr>
      <w:r w:rsidRPr="00B82E38">
        <w:rPr>
          <w:rFonts w:ascii="Book Antiqua" w:eastAsia="Book Antiqua" w:hAnsi="Book Antiqua" w:cs="Book Antiqua"/>
          <w:b/>
          <w:bCs/>
          <w:i/>
          <w:iCs/>
          <w:color w:val="000000" w:themeColor="text1"/>
        </w:rPr>
        <w:t>Preoperative ICG-R</w:t>
      </w:r>
      <w:r w:rsidRPr="00B82E38">
        <w:rPr>
          <w:rFonts w:ascii="Book Antiqua" w:eastAsia="Book Antiqua" w:hAnsi="Book Antiqua" w:cs="Book Antiqua"/>
          <w:b/>
          <w:bCs/>
          <w:i/>
          <w:iCs/>
          <w:color w:val="000000" w:themeColor="text1"/>
        </w:rPr>
        <w:t>15, CPS</w:t>
      </w:r>
      <w:r w:rsidR="00461C27">
        <w:rPr>
          <w:rFonts w:ascii="Book Antiqua" w:eastAsia="Book Antiqua" w:hAnsi="Book Antiqua" w:cs="Book Antiqua"/>
          <w:b/>
          <w:bCs/>
          <w:i/>
          <w:iCs/>
          <w:color w:val="000000" w:themeColor="text1"/>
        </w:rPr>
        <w:t>,</w:t>
      </w:r>
      <w:r w:rsidRPr="00B82E38">
        <w:rPr>
          <w:rFonts w:ascii="Book Antiqua" w:eastAsia="Book Antiqua" w:hAnsi="Book Antiqua" w:cs="Book Antiqua"/>
          <w:b/>
          <w:bCs/>
          <w:i/>
          <w:iCs/>
          <w:color w:val="000000" w:themeColor="text1"/>
        </w:rPr>
        <w:t xml:space="preserve"> and MELD score</w:t>
      </w:r>
    </w:p>
    <w:p w14:paraId="1B010D8B" w14:textId="5A7BE2BF" w:rsidR="00BA37FB" w:rsidRPr="00B82E38" w:rsidRDefault="008F363E" w:rsidP="00372A8C">
      <w:pPr>
        <w:spacing w:line="360" w:lineRule="auto"/>
        <w:jc w:val="both"/>
        <w:rPr>
          <w:rFonts w:ascii="Book Antiqua" w:eastAsia="Book Antiqua" w:hAnsi="Book Antiqua" w:cs="Book Antiqua"/>
          <w:color w:val="000000" w:themeColor="text1"/>
        </w:rPr>
      </w:pPr>
      <w:r w:rsidRPr="00B82E38">
        <w:rPr>
          <w:rFonts w:ascii="Book Antiqua" w:eastAsia="Book Antiqua" w:hAnsi="Book Antiqua" w:cs="Book Antiqua"/>
          <w:color w:val="000000" w:themeColor="text1"/>
        </w:rPr>
        <w:t>All patients included in this study underwent the ICG-R15 test with a dye-</w:t>
      </w:r>
      <w:proofErr w:type="spellStart"/>
      <w:r w:rsidRPr="00B82E38">
        <w:rPr>
          <w:rFonts w:ascii="Book Antiqua" w:eastAsia="Book Antiqua" w:hAnsi="Book Antiqua" w:cs="Book Antiqua"/>
          <w:color w:val="000000" w:themeColor="text1"/>
        </w:rPr>
        <w:t>densitogram</w:t>
      </w:r>
      <w:proofErr w:type="spellEnd"/>
      <w:r w:rsidRPr="00B82E38">
        <w:rPr>
          <w:rFonts w:ascii="Book Antiqua" w:eastAsia="Book Antiqua" w:hAnsi="Book Antiqua" w:cs="Book Antiqua"/>
          <w:color w:val="000000" w:themeColor="text1"/>
        </w:rPr>
        <w:t xml:space="preserve"> (DDG) </w:t>
      </w:r>
      <w:proofErr w:type="spellStart"/>
      <w:r w:rsidRPr="00B82E38">
        <w:rPr>
          <w:rFonts w:ascii="Book Antiqua" w:eastAsia="Book Antiqua" w:hAnsi="Book Antiqua" w:cs="Book Antiqua"/>
          <w:color w:val="000000" w:themeColor="text1"/>
        </w:rPr>
        <w:t>analyser</w:t>
      </w:r>
      <w:proofErr w:type="spellEnd"/>
      <w:r w:rsidRPr="00B82E38">
        <w:rPr>
          <w:rFonts w:ascii="Book Antiqua" w:eastAsia="Book Antiqua" w:hAnsi="Book Antiqua" w:cs="Book Antiqua"/>
          <w:color w:val="000000" w:themeColor="text1"/>
        </w:rPr>
        <w:t xml:space="preserve"> (Japan, NIHON KOHDEN, model DDG-3300K) and an ICG clearance rate test (Japan, NIHON KOHDEN, model A). Within 30 s after the </w:t>
      </w:r>
      <w:r w:rsidR="00461C27" w:rsidRPr="00B82E38">
        <w:rPr>
          <w:rFonts w:ascii="Book Antiqua" w:eastAsia="Book Antiqua" w:hAnsi="Book Antiqua" w:cs="Book Antiqua"/>
          <w:color w:val="000000" w:themeColor="text1"/>
        </w:rPr>
        <w:t>in</w:t>
      </w:r>
      <w:r w:rsidR="00461C27">
        <w:rPr>
          <w:rFonts w:ascii="Book Antiqua" w:eastAsia="Book Antiqua" w:hAnsi="Book Antiqua" w:cs="Book Antiqua"/>
          <w:color w:val="000000" w:themeColor="text1"/>
        </w:rPr>
        <w:t>j</w:t>
      </w:r>
      <w:r w:rsidR="00461C27" w:rsidRPr="00B82E38">
        <w:rPr>
          <w:rFonts w:ascii="Book Antiqua" w:eastAsia="Book Antiqua" w:hAnsi="Book Antiqua" w:cs="Book Antiqua"/>
          <w:color w:val="000000" w:themeColor="text1"/>
        </w:rPr>
        <w:t xml:space="preserve">ection </w:t>
      </w:r>
      <w:r w:rsidRPr="00B82E38">
        <w:rPr>
          <w:rFonts w:ascii="Book Antiqua" w:eastAsia="Book Antiqua" w:hAnsi="Book Antiqua" w:cs="Book Antiqua"/>
          <w:color w:val="000000" w:themeColor="text1"/>
        </w:rPr>
        <w:t xml:space="preserve">of </w:t>
      </w:r>
      <w:r w:rsidRPr="00B82E38">
        <w:rPr>
          <w:rFonts w:ascii="Book Antiqua" w:eastAsia="Book Antiqua" w:hAnsi="Book Antiqua" w:cs="Book Antiqua"/>
          <w:color w:val="000000" w:themeColor="text1"/>
        </w:rPr>
        <w:t xml:space="preserve">ICG (0.5 </w:t>
      </w:r>
      <w:r w:rsidRPr="00B82E38">
        <w:rPr>
          <w:rFonts w:ascii="Book Antiqua" w:eastAsia="Book Antiqua" w:hAnsi="Book Antiqua" w:cs="Book Antiqua"/>
          <w:color w:val="000000" w:themeColor="text1"/>
        </w:rPr>
        <w:lastRenderedPageBreak/>
        <w:t xml:space="preserve">mg/kg) into the median cubital vein, plasma ICG concentrations were monitored </w:t>
      </w:r>
      <w:r w:rsidRPr="00B82E38">
        <w:rPr>
          <w:rFonts w:ascii="Book Antiqua" w:eastAsia="Book Antiqua" w:hAnsi="Book Antiqua" w:cs="Book Antiqua"/>
          <w:i/>
          <w:iCs/>
          <w:color w:val="000000" w:themeColor="text1"/>
        </w:rPr>
        <w:t>via</w:t>
      </w:r>
      <w:r w:rsidRPr="00B82E38">
        <w:rPr>
          <w:rFonts w:ascii="Book Antiqua" w:eastAsia="Book Antiqua" w:hAnsi="Book Antiqua" w:cs="Book Antiqua"/>
          <w:color w:val="000000" w:themeColor="text1"/>
        </w:rPr>
        <w:t xml:space="preserve"> a sensor attached to the patients’ finger. The ICG-R15 was subsequently assessed by a computer. The CPS score can be </w:t>
      </w:r>
      <w:r w:rsidRPr="00B82E38">
        <w:rPr>
          <w:rFonts w:ascii="Book Antiqua" w:eastAsia="Book Antiqua" w:hAnsi="Book Antiqua" w:cs="Book Antiqua"/>
          <w:color w:val="000000" w:themeColor="text1"/>
        </w:rPr>
        <w:t xml:space="preserve">divided into </w:t>
      </w:r>
      <w:r w:rsidR="00461C27">
        <w:rPr>
          <w:rFonts w:ascii="Book Antiqua" w:eastAsia="Book Antiqua" w:hAnsi="Book Antiqua" w:cs="Book Antiqua"/>
          <w:color w:val="000000" w:themeColor="text1"/>
        </w:rPr>
        <w:t>three</w:t>
      </w:r>
      <w:r w:rsidR="00461C27" w:rsidRPr="00B82E38">
        <w:rPr>
          <w:rFonts w:ascii="Book Antiqua" w:eastAsia="Book Antiqua" w:hAnsi="Book Antiqua" w:cs="Book Antiqua"/>
          <w:color w:val="000000" w:themeColor="text1"/>
        </w:rPr>
        <w:t xml:space="preserve"> </w:t>
      </w:r>
      <w:r w:rsidRPr="00B82E38">
        <w:rPr>
          <w:rFonts w:ascii="Book Antiqua" w:eastAsia="Book Antiqua" w:hAnsi="Book Antiqua" w:cs="Book Antiqua"/>
          <w:color w:val="000000" w:themeColor="text1"/>
        </w:rPr>
        <w:t xml:space="preserve">grades depending on the total points: Grade A (5-6 points), B (7-9 points), and C (≥ 10 points). The MELD score was calculated based on the following formula: R = 3.8 × </w:t>
      </w:r>
      <w:r w:rsidR="00461C27">
        <w:rPr>
          <w:rFonts w:ascii="Book Antiqua" w:eastAsia="Book Antiqua" w:hAnsi="Book Antiqua" w:cs="Book Antiqua"/>
          <w:color w:val="000000" w:themeColor="text1"/>
        </w:rPr>
        <w:t>l</w:t>
      </w:r>
      <w:r w:rsidR="00461C27" w:rsidRPr="00B82E38">
        <w:rPr>
          <w:rFonts w:ascii="Book Antiqua" w:eastAsia="Book Antiqua" w:hAnsi="Book Antiqua" w:cs="Book Antiqua"/>
          <w:color w:val="000000" w:themeColor="text1"/>
        </w:rPr>
        <w:t xml:space="preserve">n </w:t>
      </w:r>
      <w:r w:rsidRPr="00B82E38">
        <w:rPr>
          <w:rFonts w:ascii="Book Antiqua" w:eastAsia="Book Antiqua" w:hAnsi="Book Antiqua" w:cs="Book Antiqua"/>
          <w:color w:val="000000" w:themeColor="text1"/>
        </w:rPr>
        <w:t>(bilirubin mg/</w:t>
      </w:r>
      <w:proofErr w:type="spellStart"/>
      <w:r w:rsidRPr="00B82E38">
        <w:rPr>
          <w:rFonts w:ascii="Book Antiqua" w:eastAsia="Book Antiqua" w:hAnsi="Book Antiqua" w:cs="Book Antiqua"/>
          <w:color w:val="000000" w:themeColor="text1"/>
        </w:rPr>
        <w:t>dL</w:t>
      </w:r>
      <w:proofErr w:type="spellEnd"/>
      <w:r w:rsidRPr="00B82E38">
        <w:rPr>
          <w:rFonts w:ascii="Book Antiqua" w:eastAsia="Book Antiqua" w:hAnsi="Book Antiqua" w:cs="Book Antiqua"/>
          <w:color w:val="000000" w:themeColor="text1"/>
        </w:rPr>
        <w:t xml:space="preserve">) + 11.2 × </w:t>
      </w:r>
      <w:r w:rsidR="00461C27">
        <w:rPr>
          <w:rFonts w:ascii="Book Antiqua" w:eastAsia="Book Antiqua" w:hAnsi="Book Antiqua" w:cs="Book Antiqua"/>
          <w:color w:val="000000" w:themeColor="text1"/>
        </w:rPr>
        <w:t>l</w:t>
      </w:r>
      <w:r w:rsidR="00461C27" w:rsidRPr="00B82E38">
        <w:rPr>
          <w:rFonts w:ascii="Book Antiqua" w:eastAsia="Book Antiqua" w:hAnsi="Book Antiqua" w:cs="Book Antiqua"/>
          <w:color w:val="000000" w:themeColor="text1"/>
        </w:rPr>
        <w:t xml:space="preserve">n </w:t>
      </w:r>
      <w:r w:rsidRPr="00B82E38">
        <w:rPr>
          <w:rFonts w:ascii="Book Antiqua" w:eastAsia="Book Antiqua" w:hAnsi="Book Antiqua" w:cs="Book Antiqua"/>
          <w:color w:val="000000" w:themeColor="text1"/>
        </w:rPr>
        <w:t xml:space="preserve">(INR) + 9.6 </w:t>
      </w:r>
      <w:r w:rsidR="00461C27">
        <w:rPr>
          <w:rFonts w:ascii="Book Antiqua" w:eastAsia="Book Antiqua" w:hAnsi="Book Antiqua" w:cs="Book Antiqua"/>
          <w:color w:val="000000" w:themeColor="text1"/>
        </w:rPr>
        <w:t>l</w:t>
      </w:r>
      <w:r w:rsidR="00461C27" w:rsidRPr="00B82E38">
        <w:rPr>
          <w:rFonts w:ascii="Book Antiqua" w:eastAsia="Book Antiqua" w:hAnsi="Book Antiqua" w:cs="Book Antiqua"/>
          <w:color w:val="000000" w:themeColor="text1"/>
        </w:rPr>
        <w:t xml:space="preserve">n </w:t>
      </w:r>
      <w:r w:rsidRPr="00B82E38">
        <w:rPr>
          <w:rFonts w:ascii="Book Antiqua" w:eastAsia="Book Antiqua" w:hAnsi="Book Antiqua" w:cs="Book Antiqua"/>
          <w:color w:val="000000" w:themeColor="text1"/>
        </w:rPr>
        <w:t>(creatinine mg/</w:t>
      </w:r>
      <w:proofErr w:type="spellStart"/>
      <w:r w:rsidRPr="00B82E38">
        <w:rPr>
          <w:rFonts w:ascii="Book Antiqua" w:eastAsia="Book Antiqua" w:hAnsi="Book Antiqua" w:cs="Book Antiqua"/>
          <w:color w:val="000000" w:themeColor="text1"/>
        </w:rPr>
        <w:t>dL</w:t>
      </w:r>
      <w:proofErr w:type="spellEnd"/>
      <w:r w:rsidRPr="00B82E38">
        <w:rPr>
          <w:rFonts w:ascii="Book Antiqua" w:eastAsia="Book Antiqua" w:hAnsi="Book Antiqua" w:cs="Book Antiqua"/>
          <w:color w:val="000000" w:themeColor="text1"/>
        </w:rPr>
        <w:t xml:space="preserve">) + 6.4 × </w:t>
      </w:r>
      <w:proofErr w:type="spellStart"/>
      <w:r w:rsidRPr="00B82E38">
        <w:rPr>
          <w:rFonts w:ascii="Book Antiqua" w:eastAsia="Book Antiqua" w:hAnsi="Book Antiqua" w:cs="Book Antiqua"/>
          <w:color w:val="000000" w:themeColor="text1"/>
        </w:rPr>
        <w:t>aetiology</w:t>
      </w:r>
      <w:proofErr w:type="spellEnd"/>
      <w:r w:rsidRPr="00B82E38">
        <w:rPr>
          <w:rFonts w:ascii="Book Antiqua" w:eastAsia="Book Antiqua" w:hAnsi="Book Antiqua" w:cs="Book Antiqua"/>
          <w:color w:val="000000" w:themeColor="text1"/>
        </w:rPr>
        <w:t xml:space="preserve"> (biliary and alcoholic 0, other</w:t>
      </w:r>
      <w:r w:rsidRPr="00B82E38">
        <w:rPr>
          <w:rFonts w:ascii="Book Antiqua" w:eastAsia="Book Antiqua" w:hAnsi="Book Antiqua" w:cs="Book Antiqua"/>
          <w:color w:val="000000" w:themeColor="text1"/>
        </w:rPr>
        <w:t>s 1</w:t>
      </w:r>
      <w:proofErr w:type="gramStart"/>
      <w:r w:rsidRPr="00B82E38">
        <w:rPr>
          <w:rFonts w:ascii="Book Antiqua" w:eastAsia="Book Antiqua" w:hAnsi="Book Antiqua" w:cs="Book Antiqua"/>
          <w:color w:val="000000" w:themeColor="text1"/>
        </w:rPr>
        <w:t>)</w:t>
      </w:r>
      <w:r w:rsidRPr="00B82E38">
        <w:rPr>
          <w:rFonts w:ascii="Book Antiqua" w:eastAsia="Book Antiqua" w:hAnsi="Book Antiqua" w:cs="Book Antiqua"/>
          <w:color w:val="000000" w:themeColor="text1"/>
          <w:vertAlign w:val="superscript"/>
        </w:rPr>
        <w:t>[</w:t>
      </w:r>
      <w:proofErr w:type="gramEnd"/>
      <w:r w:rsidRPr="00B82E38">
        <w:rPr>
          <w:rFonts w:ascii="Book Antiqua" w:eastAsia="Book Antiqua" w:hAnsi="Book Antiqua" w:cs="Book Antiqua"/>
          <w:color w:val="000000" w:themeColor="text1"/>
          <w:vertAlign w:val="superscript"/>
        </w:rPr>
        <w:t xml:space="preserve">8,16] </w:t>
      </w:r>
      <w:r w:rsidRPr="00B82E38">
        <w:rPr>
          <w:rFonts w:ascii="Book Antiqua" w:eastAsia="Book Antiqua" w:hAnsi="Book Antiqua" w:cs="Book Antiqua"/>
          <w:color w:val="000000" w:themeColor="text1"/>
        </w:rPr>
        <w:t>(Figure 1).</w:t>
      </w:r>
    </w:p>
    <w:p w14:paraId="12715A4D" w14:textId="77777777" w:rsidR="00BA37FB" w:rsidRPr="00B82E38" w:rsidRDefault="00BA37FB" w:rsidP="00372A8C">
      <w:pPr>
        <w:spacing w:line="360" w:lineRule="auto"/>
        <w:jc w:val="both"/>
        <w:rPr>
          <w:rFonts w:ascii="Book Antiqua" w:hAnsi="Book Antiqua"/>
          <w:color w:val="000000" w:themeColor="text1"/>
        </w:rPr>
      </w:pPr>
    </w:p>
    <w:p w14:paraId="21A1F66B" w14:textId="77777777" w:rsidR="00BA37FB" w:rsidRPr="00B82E38" w:rsidRDefault="008F363E" w:rsidP="00372A8C">
      <w:pPr>
        <w:spacing w:line="360" w:lineRule="auto"/>
        <w:jc w:val="both"/>
        <w:rPr>
          <w:rFonts w:ascii="Book Antiqua" w:hAnsi="Book Antiqua"/>
          <w:i/>
          <w:iCs/>
          <w:color w:val="000000" w:themeColor="text1"/>
        </w:rPr>
      </w:pPr>
      <w:r w:rsidRPr="00B82E38">
        <w:rPr>
          <w:rFonts w:ascii="Book Antiqua" w:eastAsia="Book Antiqua" w:hAnsi="Book Antiqua" w:cs="Book Antiqua"/>
          <w:b/>
          <w:bCs/>
          <w:i/>
          <w:iCs/>
          <w:color w:val="000000" w:themeColor="text1"/>
        </w:rPr>
        <w:t>TIPS</w:t>
      </w:r>
    </w:p>
    <w:p w14:paraId="5D77346C" w14:textId="2C121195" w:rsidR="00BA37FB" w:rsidRPr="00B82E38" w:rsidRDefault="008F363E" w:rsidP="00372A8C">
      <w:pPr>
        <w:spacing w:line="360" w:lineRule="auto"/>
        <w:jc w:val="both"/>
        <w:rPr>
          <w:rFonts w:ascii="Book Antiqua" w:eastAsia="Book Antiqua" w:hAnsi="Book Antiqua" w:cs="Book Antiqua"/>
          <w:color w:val="000000" w:themeColor="text1"/>
        </w:rPr>
      </w:pPr>
      <w:r w:rsidRPr="00B82E38">
        <w:rPr>
          <w:rFonts w:ascii="Book Antiqua" w:eastAsia="Book Antiqua" w:hAnsi="Book Antiqua" w:cs="Book Antiqua"/>
          <w:color w:val="000000" w:themeColor="text1"/>
        </w:rPr>
        <w:t>Under fluoroscopic guidance, a standard TIPS procedure was performed by an experienced interventional radiologist. A pigtail catheter was inserted into the right internal jugular vein leading to the hepatic veins. After finding the portal vein through the superior mesenteric artery or splenic artery using indirect portal venography, a stent (7,</w:t>
      </w:r>
      <w:r w:rsidRPr="00B82E38">
        <w:rPr>
          <w:rFonts w:ascii="Book Antiqua" w:eastAsia="Book Antiqua" w:hAnsi="Book Antiqua" w:cs="Book Antiqua"/>
          <w:color w:val="000000" w:themeColor="text1"/>
        </w:rPr>
        <w:t xml:space="preserve"> 8</w:t>
      </w:r>
      <w:r w:rsidR="00461C27">
        <w:rPr>
          <w:rFonts w:ascii="Book Antiqua" w:eastAsia="Book Antiqua" w:hAnsi="Book Antiqua" w:cs="Book Antiqua"/>
          <w:color w:val="000000" w:themeColor="text1"/>
        </w:rPr>
        <w:t>,</w:t>
      </w:r>
      <w:r w:rsidRPr="00B82E38">
        <w:rPr>
          <w:rFonts w:ascii="Book Antiqua" w:eastAsia="Book Antiqua" w:hAnsi="Book Antiqua" w:cs="Book Antiqua"/>
          <w:color w:val="000000" w:themeColor="text1"/>
        </w:rPr>
        <w:t xml:space="preserve"> or 10 mm, Fluency, Bard, United States) was placed to create a channel between the hepatic vein and the portal vein. Afterward, th</w:t>
      </w:r>
      <w:r w:rsidRPr="00B82E38">
        <w:rPr>
          <w:rFonts w:ascii="Book Antiqua" w:eastAsia="Book Antiqua" w:hAnsi="Book Antiqua" w:cs="Book Antiqua"/>
          <w:color w:val="000000" w:themeColor="text1"/>
        </w:rPr>
        <w:t>e portal vein pressure was measured at least three times, and a pressure transducer system (</w:t>
      </w:r>
      <w:proofErr w:type="spellStart"/>
      <w:r w:rsidRPr="00B82E38">
        <w:rPr>
          <w:rFonts w:ascii="Book Antiqua" w:eastAsia="Book Antiqua" w:hAnsi="Book Antiqua" w:cs="Book Antiqua"/>
          <w:color w:val="000000" w:themeColor="text1"/>
        </w:rPr>
        <w:t>Combitrans</w:t>
      </w:r>
      <w:proofErr w:type="spellEnd"/>
      <w:r w:rsidRPr="00B82E38">
        <w:rPr>
          <w:rFonts w:ascii="Book Antiqua" w:eastAsia="Book Antiqua" w:hAnsi="Book Antiqua" w:cs="Book Antiqua"/>
          <w:color w:val="000000" w:themeColor="text1"/>
        </w:rPr>
        <w:t xml:space="preserve">, Braun </w:t>
      </w:r>
      <w:proofErr w:type="spellStart"/>
      <w:r w:rsidRPr="00B82E38">
        <w:rPr>
          <w:rFonts w:ascii="Book Antiqua" w:eastAsia="Book Antiqua" w:hAnsi="Book Antiqua" w:cs="Book Antiqua"/>
          <w:color w:val="000000" w:themeColor="text1"/>
        </w:rPr>
        <w:t>Melsungen</w:t>
      </w:r>
      <w:proofErr w:type="spellEnd"/>
      <w:r w:rsidRPr="00B82E38">
        <w:rPr>
          <w:rFonts w:ascii="Book Antiqua" w:eastAsia="Book Antiqua" w:hAnsi="Book Antiqua" w:cs="Book Antiqua"/>
          <w:color w:val="000000" w:themeColor="text1"/>
        </w:rPr>
        <w:t>, Germany) with a multichannel monitor (</w:t>
      </w:r>
      <w:proofErr w:type="spellStart"/>
      <w:r w:rsidRPr="00B82E38">
        <w:rPr>
          <w:rFonts w:ascii="Book Antiqua" w:eastAsia="Book Antiqua" w:hAnsi="Book Antiqua" w:cs="Book Antiqua"/>
          <w:color w:val="000000" w:themeColor="text1"/>
        </w:rPr>
        <w:t>Sirecust</w:t>
      </w:r>
      <w:proofErr w:type="spellEnd"/>
      <w:r w:rsidRPr="00B82E38">
        <w:rPr>
          <w:rFonts w:ascii="Book Antiqua" w:eastAsia="Book Antiqua" w:hAnsi="Book Antiqua" w:cs="Book Antiqua"/>
          <w:color w:val="000000" w:themeColor="text1"/>
        </w:rPr>
        <w:t xml:space="preserve">, Siemens, Germany) was used to measure the </w:t>
      </w:r>
      <w:proofErr w:type="spellStart"/>
      <w:r w:rsidRPr="00B82E38">
        <w:rPr>
          <w:rFonts w:ascii="Book Antiqua" w:eastAsia="Book Antiqua" w:hAnsi="Book Antiqua" w:cs="Book Antiqua"/>
          <w:color w:val="000000" w:themeColor="text1"/>
        </w:rPr>
        <w:t>haemodynamic</w:t>
      </w:r>
      <w:proofErr w:type="spellEnd"/>
      <w:r w:rsidRPr="00B82E38">
        <w:rPr>
          <w:rFonts w:ascii="Book Antiqua" w:eastAsia="Book Antiqua" w:hAnsi="Book Antiqua" w:cs="Book Antiqua"/>
          <w:color w:val="000000" w:themeColor="text1"/>
        </w:rPr>
        <w:t xml:space="preserve"> parameters.</w:t>
      </w:r>
    </w:p>
    <w:p w14:paraId="4122ED00" w14:textId="77777777" w:rsidR="00BA37FB" w:rsidRPr="00B82E38" w:rsidRDefault="00BA37FB" w:rsidP="00372A8C">
      <w:pPr>
        <w:spacing w:line="360" w:lineRule="auto"/>
        <w:jc w:val="both"/>
        <w:rPr>
          <w:rFonts w:ascii="Book Antiqua" w:hAnsi="Book Antiqua"/>
          <w:color w:val="000000" w:themeColor="text1"/>
        </w:rPr>
      </w:pPr>
    </w:p>
    <w:p w14:paraId="73EAE3B3" w14:textId="77777777" w:rsidR="00BA37FB" w:rsidRPr="00B82E38" w:rsidRDefault="008F363E" w:rsidP="00372A8C">
      <w:pPr>
        <w:spacing w:line="360" w:lineRule="auto"/>
        <w:jc w:val="both"/>
        <w:rPr>
          <w:rFonts w:ascii="Book Antiqua" w:hAnsi="Book Antiqua"/>
          <w:i/>
          <w:iCs/>
          <w:color w:val="000000" w:themeColor="text1"/>
        </w:rPr>
      </w:pPr>
      <w:r w:rsidRPr="00B82E38">
        <w:rPr>
          <w:rFonts w:ascii="Book Antiqua" w:eastAsia="Book Antiqua" w:hAnsi="Book Antiqua" w:cs="Book Antiqua"/>
          <w:b/>
          <w:bCs/>
          <w:i/>
          <w:iCs/>
          <w:color w:val="000000" w:themeColor="text1"/>
        </w:rPr>
        <w:t>Statistical analysis</w:t>
      </w:r>
    </w:p>
    <w:p w14:paraId="152E4DE7" w14:textId="432EE7BB" w:rsidR="00BA37FB" w:rsidRPr="00B82E38" w:rsidRDefault="008F363E" w:rsidP="00372A8C">
      <w:pPr>
        <w:spacing w:line="360" w:lineRule="auto"/>
        <w:jc w:val="both"/>
        <w:rPr>
          <w:rFonts w:ascii="Book Antiqua" w:hAnsi="Book Antiqua"/>
          <w:color w:val="000000" w:themeColor="text1"/>
        </w:rPr>
      </w:pPr>
      <w:r w:rsidRPr="00B82E38">
        <w:rPr>
          <w:rFonts w:ascii="Book Antiqua" w:eastAsia="Book Antiqua" w:hAnsi="Book Antiqua" w:cs="Book Antiqua"/>
          <w:color w:val="000000" w:themeColor="text1"/>
        </w:rPr>
        <w:t xml:space="preserve">Clinical and laboratory characteristics were collected from the medical records. SPSS (version 20.0, SPSS Inc., United States) and </w:t>
      </w:r>
      <w:proofErr w:type="spellStart"/>
      <w:r w:rsidRPr="00B82E38">
        <w:rPr>
          <w:rFonts w:ascii="Book Antiqua" w:eastAsia="Book Antiqua" w:hAnsi="Book Antiqua" w:cs="Book Antiqua"/>
          <w:color w:val="000000" w:themeColor="text1"/>
        </w:rPr>
        <w:t>MedCalc</w:t>
      </w:r>
      <w:proofErr w:type="spellEnd"/>
      <w:r w:rsidRPr="00B82E38">
        <w:rPr>
          <w:rFonts w:ascii="Book Antiqua" w:eastAsia="Book Antiqua" w:hAnsi="Book Antiqua" w:cs="Book Antiqua"/>
          <w:color w:val="000000" w:themeColor="text1"/>
        </w:rPr>
        <w:t xml:space="preserve"> </w:t>
      </w:r>
      <w:r w:rsidRPr="00B82E38">
        <w:rPr>
          <w:rFonts w:ascii="Book Antiqua" w:eastAsia="Book Antiqua" w:hAnsi="Book Antiqua" w:cs="Book Antiqua"/>
          <w:color w:val="000000" w:themeColor="text1"/>
        </w:rPr>
        <w:t xml:space="preserve">were used for the statistical </w:t>
      </w:r>
      <w:r w:rsidR="00461C27" w:rsidRPr="00B82E38">
        <w:rPr>
          <w:rFonts w:ascii="Book Antiqua" w:eastAsia="Book Antiqua" w:hAnsi="Book Antiqua" w:cs="Book Antiqua"/>
          <w:color w:val="000000" w:themeColor="text1"/>
        </w:rPr>
        <w:t>analys</w:t>
      </w:r>
      <w:r w:rsidR="00461C27">
        <w:rPr>
          <w:rFonts w:ascii="Book Antiqua" w:eastAsia="Book Antiqua" w:hAnsi="Book Antiqua" w:cs="Book Antiqua"/>
          <w:color w:val="000000" w:themeColor="text1"/>
        </w:rPr>
        <w:t>e</w:t>
      </w:r>
      <w:r w:rsidR="00461C27" w:rsidRPr="00B82E38">
        <w:rPr>
          <w:rFonts w:ascii="Book Antiqua" w:eastAsia="Book Antiqua" w:hAnsi="Book Antiqua" w:cs="Book Antiqua"/>
          <w:color w:val="000000" w:themeColor="text1"/>
        </w:rPr>
        <w:t>s</w:t>
      </w:r>
      <w:r w:rsidRPr="00B82E38">
        <w:rPr>
          <w:rFonts w:ascii="Book Antiqua" w:eastAsia="Book Antiqua" w:hAnsi="Book Antiqua" w:cs="Book Antiqua"/>
          <w:color w:val="000000" w:themeColor="text1"/>
        </w:rPr>
        <w:t xml:space="preserve">. Descriptive data are presented as the mean ± SD, and qualitative variables are presented as frequencies or percentages. Student's </w:t>
      </w:r>
      <w:r w:rsidRPr="00455F70">
        <w:rPr>
          <w:rFonts w:ascii="Book Antiqua" w:eastAsia="Book Antiqua" w:hAnsi="Book Antiqua" w:cs="Book Antiqua"/>
          <w:i/>
          <w:color w:val="000000" w:themeColor="text1"/>
        </w:rPr>
        <w:t>t</w:t>
      </w:r>
      <w:r w:rsidRPr="00B82E38">
        <w:rPr>
          <w:rFonts w:ascii="Book Antiqua" w:eastAsia="Book Antiqua" w:hAnsi="Book Antiqua" w:cs="Book Antiqua"/>
          <w:color w:val="000000" w:themeColor="text1"/>
        </w:rPr>
        <w:t xml:space="preserve"> test or the Mann-Whitney </w:t>
      </w:r>
      <w:r w:rsidRPr="00455F70">
        <w:rPr>
          <w:rFonts w:ascii="Book Antiqua" w:eastAsia="Book Antiqua" w:hAnsi="Book Antiqua" w:cs="Book Antiqua"/>
          <w:i/>
          <w:color w:val="000000" w:themeColor="text1"/>
        </w:rPr>
        <w:t>U</w:t>
      </w:r>
      <w:r w:rsidRPr="00B82E38">
        <w:rPr>
          <w:rFonts w:ascii="Book Antiqua" w:eastAsia="Book Antiqua" w:hAnsi="Book Antiqua" w:cs="Book Antiqua"/>
          <w:color w:val="000000" w:themeColor="text1"/>
        </w:rPr>
        <w:t xml:space="preserve"> test was used to compare quantitative variables between groups, and the chi-square test or Fisher's exact test was used for qualitative variables. Univariate and multivariable logistic regression analyses were used to determine HE-related risk factors after TIPS. The areas under the receiver operating characteristic curves (AUCs) for the ICG-R15, CPS</w:t>
      </w:r>
      <w:r w:rsidR="00461C27">
        <w:rPr>
          <w:rFonts w:ascii="Book Antiqua" w:eastAsia="Book Antiqua" w:hAnsi="Book Antiqua" w:cs="Book Antiqua"/>
          <w:color w:val="000000" w:themeColor="text1"/>
        </w:rPr>
        <w:t>,</w:t>
      </w:r>
      <w:r w:rsidRPr="00B82E38">
        <w:rPr>
          <w:rFonts w:ascii="Book Antiqua" w:eastAsia="Book Antiqua" w:hAnsi="Book Antiqua" w:cs="Book Antiqua"/>
          <w:color w:val="000000" w:themeColor="text1"/>
        </w:rPr>
        <w:t xml:space="preserve"> and MELD score were evaluated. </w:t>
      </w:r>
      <w:r w:rsidR="008C273D" w:rsidRPr="00B82E38">
        <w:rPr>
          <w:rFonts w:ascii="Book Antiqua" w:eastAsia="宋体" w:hAnsi="Book Antiqua" w:cs="Book Antiqua"/>
          <w:color w:val="000000" w:themeColor="text1"/>
          <w:lang w:eastAsia="zh-CN"/>
        </w:rPr>
        <w:t xml:space="preserve">The </w:t>
      </w:r>
      <w:r w:rsidR="008C273D" w:rsidRPr="00B82E38">
        <w:rPr>
          <w:rFonts w:ascii="Book Antiqua" w:eastAsia="Book Antiqua" w:hAnsi="Book Antiqua" w:cs="Book Antiqua"/>
          <w:color w:val="000000" w:themeColor="text1"/>
        </w:rPr>
        <w:t>non-parametric approach</w:t>
      </w:r>
      <w:r w:rsidR="008C273D" w:rsidRPr="00B82E38">
        <w:rPr>
          <w:rFonts w:ascii="Book Antiqua" w:eastAsia="宋体" w:hAnsi="Book Antiqua" w:cs="Book Antiqua"/>
          <w:color w:val="000000" w:themeColor="text1"/>
          <w:lang w:eastAsia="zh-CN"/>
        </w:rPr>
        <w:t xml:space="preserve"> (Delong-Delong</w:t>
      </w:r>
      <w:r w:rsidR="00461C27">
        <w:rPr>
          <w:rFonts w:ascii="Book Antiqua" w:eastAsia="宋体" w:hAnsi="Book Antiqua" w:cs="Book Antiqua"/>
          <w:color w:val="000000" w:themeColor="text1"/>
          <w:lang w:eastAsia="zh-CN"/>
        </w:rPr>
        <w:t xml:space="preserve"> </w:t>
      </w:r>
      <w:r w:rsidR="008C273D" w:rsidRPr="00B82E38">
        <w:rPr>
          <w:rFonts w:ascii="Book Antiqua" w:eastAsia="宋体" w:hAnsi="Book Antiqua" w:cs="Book Antiqua"/>
          <w:color w:val="000000" w:themeColor="text1"/>
          <w:lang w:eastAsia="zh-CN"/>
        </w:rPr>
        <w:t>&amp;</w:t>
      </w:r>
      <w:r w:rsidR="00461C27">
        <w:rPr>
          <w:rFonts w:ascii="Book Antiqua" w:eastAsia="宋体" w:hAnsi="Book Antiqua" w:cs="Book Antiqua"/>
          <w:color w:val="000000" w:themeColor="text1"/>
          <w:lang w:eastAsia="zh-CN"/>
        </w:rPr>
        <w:t xml:space="preserve"> </w:t>
      </w:r>
      <w:r w:rsidR="008C273D" w:rsidRPr="00B82E38">
        <w:rPr>
          <w:rFonts w:ascii="Book Antiqua" w:eastAsia="宋体" w:hAnsi="Book Antiqua" w:cs="Book Antiqua"/>
          <w:color w:val="000000" w:themeColor="text1"/>
          <w:lang w:eastAsia="zh-CN"/>
        </w:rPr>
        <w:t>Clarke-Pearson</w:t>
      </w:r>
      <w:proofErr w:type="gramStart"/>
      <w:r w:rsidR="008C273D" w:rsidRPr="00B82E38">
        <w:rPr>
          <w:rFonts w:ascii="Book Antiqua" w:eastAsia="宋体" w:hAnsi="Book Antiqua" w:cs="Book Antiqua"/>
          <w:color w:val="000000" w:themeColor="text1"/>
          <w:lang w:eastAsia="zh-CN"/>
        </w:rPr>
        <w:t>)</w:t>
      </w:r>
      <w:r w:rsidRPr="00B82E38">
        <w:rPr>
          <w:rFonts w:ascii="Book Antiqua" w:eastAsia="Book Antiqua" w:hAnsi="Book Antiqua" w:cs="Book Antiqua"/>
          <w:color w:val="000000" w:themeColor="text1"/>
          <w:vertAlign w:val="superscript"/>
        </w:rPr>
        <w:t>[</w:t>
      </w:r>
      <w:proofErr w:type="gramEnd"/>
      <w:r w:rsidRPr="00B82E38">
        <w:rPr>
          <w:rFonts w:ascii="Book Antiqua" w:eastAsia="Book Antiqua" w:hAnsi="Book Antiqua" w:cs="Book Antiqua"/>
          <w:color w:val="000000" w:themeColor="text1"/>
          <w:vertAlign w:val="superscript"/>
        </w:rPr>
        <w:t>17]</w:t>
      </w:r>
      <w:r w:rsidRPr="00B82E38">
        <w:rPr>
          <w:rFonts w:ascii="Book Antiqua" w:eastAsia="Book Antiqua" w:hAnsi="Book Antiqua" w:cs="Book Antiqua"/>
          <w:color w:val="000000" w:themeColor="text1"/>
          <w:lang w:eastAsia="zh-CN"/>
        </w:rPr>
        <w:t xml:space="preserve"> </w:t>
      </w:r>
      <w:r w:rsidRPr="00B82E38">
        <w:rPr>
          <w:rFonts w:ascii="Book Antiqua" w:eastAsia="Book Antiqua" w:hAnsi="Book Antiqua" w:cs="Book Antiqua"/>
          <w:color w:val="000000" w:themeColor="text1"/>
        </w:rPr>
        <w:t xml:space="preserve">was </w:t>
      </w:r>
      <w:r w:rsidRPr="00B82E38">
        <w:rPr>
          <w:rFonts w:ascii="Book Antiqua" w:eastAsia="Book Antiqua" w:hAnsi="Book Antiqua" w:cs="Book Antiqua"/>
          <w:color w:val="000000" w:themeColor="text1"/>
        </w:rPr>
        <w:lastRenderedPageBreak/>
        <w:t>used for pairwise comparison among AUCs of ICG</w:t>
      </w:r>
      <w:r w:rsidRPr="00B82E38">
        <w:rPr>
          <w:rFonts w:ascii="Book Antiqua" w:eastAsia="Book Antiqua" w:hAnsi="Book Antiqua" w:cs="Book Antiqua"/>
          <w:color w:val="000000" w:themeColor="text1"/>
        </w:rPr>
        <w:t>-R15, CPS</w:t>
      </w:r>
      <w:r w:rsidR="00215608">
        <w:rPr>
          <w:rFonts w:ascii="Book Antiqua" w:eastAsia="Book Antiqua" w:hAnsi="Book Antiqua" w:cs="Book Antiqua"/>
          <w:color w:val="000000" w:themeColor="text1"/>
        </w:rPr>
        <w:t>,</w:t>
      </w:r>
      <w:r w:rsidRPr="00B82E38">
        <w:rPr>
          <w:rFonts w:ascii="Book Antiqua" w:eastAsia="Book Antiqua" w:hAnsi="Book Antiqua" w:cs="Book Antiqua"/>
          <w:color w:val="000000" w:themeColor="text1"/>
        </w:rPr>
        <w:t xml:space="preserve"> and M</w:t>
      </w:r>
      <w:r w:rsidRPr="00B82E38">
        <w:rPr>
          <w:rFonts w:ascii="Book Antiqua" w:eastAsia="Book Antiqua" w:hAnsi="Book Antiqua" w:cs="Book Antiqua"/>
          <w:color w:val="000000" w:themeColor="text1"/>
        </w:rPr>
        <w:t xml:space="preserve">ELD score. Statistical significance was established at </w:t>
      </w:r>
      <w:r w:rsidRPr="00B82E38">
        <w:rPr>
          <w:rFonts w:ascii="Book Antiqua" w:eastAsia="Book Antiqua" w:hAnsi="Book Antiqua" w:cs="Book Antiqua"/>
          <w:i/>
          <w:iCs/>
          <w:color w:val="000000" w:themeColor="text1"/>
        </w:rPr>
        <w:t>P</w:t>
      </w:r>
      <w:r w:rsidRPr="00B82E38">
        <w:rPr>
          <w:rFonts w:ascii="Book Antiqua" w:eastAsia="Book Antiqua" w:hAnsi="Book Antiqua" w:cs="Book Antiqua"/>
          <w:color w:val="000000" w:themeColor="text1"/>
        </w:rPr>
        <w:t xml:space="preserve"> &lt; 0.05.</w:t>
      </w:r>
    </w:p>
    <w:p w14:paraId="2C6F64C5" w14:textId="77777777" w:rsidR="00BA37FB" w:rsidRPr="00B82E38" w:rsidRDefault="00BA37FB" w:rsidP="00372A8C">
      <w:pPr>
        <w:spacing w:line="360" w:lineRule="auto"/>
        <w:jc w:val="both"/>
        <w:rPr>
          <w:rFonts w:ascii="Book Antiqua" w:hAnsi="Book Antiqua"/>
          <w:color w:val="000000" w:themeColor="text1"/>
        </w:rPr>
      </w:pPr>
    </w:p>
    <w:p w14:paraId="4879A8D7" w14:textId="77777777" w:rsidR="00BA37FB" w:rsidRPr="00B82E38" w:rsidRDefault="008F363E" w:rsidP="00372A8C">
      <w:pPr>
        <w:spacing w:line="360" w:lineRule="auto"/>
        <w:jc w:val="both"/>
        <w:rPr>
          <w:rFonts w:ascii="Book Antiqua" w:hAnsi="Book Antiqua"/>
          <w:color w:val="000000" w:themeColor="text1"/>
        </w:rPr>
      </w:pPr>
      <w:r w:rsidRPr="00B82E38">
        <w:rPr>
          <w:rFonts w:ascii="Book Antiqua" w:eastAsia="Book Antiqua" w:hAnsi="Book Antiqua" w:cs="Book Antiqua"/>
          <w:b/>
          <w:caps/>
          <w:color w:val="000000" w:themeColor="text1"/>
          <w:u w:val="single"/>
        </w:rPr>
        <w:t>RESULTS</w:t>
      </w:r>
    </w:p>
    <w:p w14:paraId="7E4F20AF" w14:textId="77777777" w:rsidR="00BA37FB" w:rsidRPr="00B82E38" w:rsidRDefault="008F363E" w:rsidP="00372A8C">
      <w:pPr>
        <w:spacing w:line="360" w:lineRule="auto"/>
        <w:jc w:val="both"/>
        <w:rPr>
          <w:rFonts w:ascii="Book Antiqua" w:hAnsi="Book Antiqua"/>
          <w:i/>
          <w:iCs/>
          <w:color w:val="000000" w:themeColor="text1"/>
        </w:rPr>
      </w:pPr>
      <w:r w:rsidRPr="00B82E38">
        <w:rPr>
          <w:rFonts w:ascii="Book Antiqua" w:eastAsia="Book Antiqua" w:hAnsi="Book Antiqua" w:cs="Book Antiqua"/>
          <w:b/>
          <w:bCs/>
          <w:i/>
          <w:iCs/>
          <w:color w:val="000000" w:themeColor="text1"/>
        </w:rPr>
        <w:t>Patients’ preoperative characteristics</w:t>
      </w:r>
    </w:p>
    <w:p w14:paraId="3CA5DEF2" w14:textId="5FFE75F7" w:rsidR="00BA37FB" w:rsidRPr="00B82E38" w:rsidRDefault="008F363E" w:rsidP="00372A8C">
      <w:pPr>
        <w:spacing w:line="360" w:lineRule="auto"/>
        <w:jc w:val="both"/>
        <w:rPr>
          <w:rFonts w:ascii="Book Antiqua" w:hAnsi="Book Antiqua"/>
          <w:color w:val="000000" w:themeColor="text1"/>
        </w:rPr>
      </w:pPr>
      <w:r w:rsidRPr="00B82E38">
        <w:rPr>
          <w:rFonts w:ascii="Book Antiqua" w:eastAsia="Book Antiqua" w:hAnsi="Book Antiqua" w:cs="Book Antiqua"/>
          <w:color w:val="000000" w:themeColor="text1"/>
        </w:rPr>
        <w:t xml:space="preserve">A total of 221 patients who underwent TIPS were included in this study. After applying the inclusion and exclusion criteria of the study, data were collected from a total of 195 decompensated cirrhosis patients with PHT who underwent TIPS. The basic clinical characteristics are listed in Table 1. The study population comprised 140 men and 55 women, with a mean age of 51.2 ± </w:t>
      </w:r>
      <w:r w:rsidRPr="00B82E38">
        <w:rPr>
          <w:rFonts w:ascii="Book Antiqua" w:eastAsia="Book Antiqua" w:hAnsi="Book Antiqua" w:cs="Book Antiqua"/>
          <w:color w:val="000000" w:themeColor="text1"/>
        </w:rPr>
        <w:t xml:space="preserve">11.4 years. The indications included variceal bleeding in 118 </w:t>
      </w:r>
      <w:r w:rsidR="00215608" w:rsidRPr="00B82E38">
        <w:rPr>
          <w:rFonts w:ascii="Book Antiqua" w:eastAsia="Book Antiqua" w:hAnsi="Book Antiqua" w:cs="Book Antiqua"/>
          <w:color w:val="000000" w:themeColor="text1"/>
        </w:rPr>
        <w:t>(60.7%)</w:t>
      </w:r>
      <w:r w:rsidR="00215608">
        <w:rPr>
          <w:rFonts w:ascii="Book Antiqua" w:eastAsia="Book Antiqua" w:hAnsi="Book Antiqua" w:cs="Book Antiqua"/>
          <w:color w:val="000000" w:themeColor="text1"/>
        </w:rPr>
        <w:t xml:space="preserve"> </w:t>
      </w:r>
      <w:r w:rsidRPr="00B82E38">
        <w:rPr>
          <w:rFonts w:ascii="Book Antiqua" w:eastAsia="Book Antiqua" w:hAnsi="Book Antiqua" w:cs="Book Antiqua"/>
          <w:color w:val="000000" w:themeColor="text1"/>
        </w:rPr>
        <w:t>patients, refractory ascites in 36</w:t>
      </w:r>
      <w:r w:rsidR="00215608">
        <w:rPr>
          <w:rFonts w:ascii="Book Antiqua" w:eastAsia="Book Antiqua" w:hAnsi="Book Antiqua" w:cs="Book Antiqua"/>
          <w:color w:val="000000" w:themeColor="text1"/>
        </w:rPr>
        <w:t xml:space="preserve"> </w:t>
      </w:r>
      <w:r w:rsidRPr="00B82E38">
        <w:rPr>
          <w:rFonts w:ascii="Book Antiqua" w:eastAsia="Book Antiqua" w:hAnsi="Book Antiqua" w:cs="Book Antiqua"/>
          <w:color w:val="000000" w:themeColor="text1"/>
        </w:rPr>
        <w:t>(18.5%), variceal bleeding combined with ascites in 27</w:t>
      </w:r>
      <w:r w:rsidR="00215608">
        <w:rPr>
          <w:rFonts w:ascii="Book Antiqua" w:eastAsia="Book Antiqua" w:hAnsi="Book Antiqua" w:cs="Book Antiqua"/>
          <w:color w:val="000000" w:themeColor="text1"/>
        </w:rPr>
        <w:t xml:space="preserve"> </w:t>
      </w:r>
      <w:r w:rsidRPr="00B82E38">
        <w:rPr>
          <w:rFonts w:ascii="Book Antiqua" w:eastAsia="Book Antiqua" w:hAnsi="Book Antiqua" w:cs="Book Antiqua"/>
          <w:color w:val="000000" w:themeColor="text1"/>
        </w:rPr>
        <w:t xml:space="preserve">(14.1%), and other (including pleural fluid and hepatorenal syndrome) in 14 (6.7%). The most common cause of cirrhosis was viral cirrhosis (60.7%), followed by alcoholic cirrhosis (15.9%), biliary cirrhosis (4.6%), and drug-induced and autoimmune hepatitis cirrhosis (4.6%). According to the CPS, 108 patients were classified as </w:t>
      </w:r>
      <w:r w:rsidR="00215608">
        <w:rPr>
          <w:rFonts w:ascii="Book Antiqua" w:eastAsia="Book Antiqua" w:hAnsi="Book Antiqua" w:cs="Book Antiqua"/>
          <w:color w:val="000000" w:themeColor="text1"/>
        </w:rPr>
        <w:t xml:space="preserve">having </w:t>
      </w:r>
      <w:r w:rsidRPr="00B82E38">
        <w:rPr>
          <w:rFonts w:ascii="Book Antiqua" w:eastAsia="Book Antiqua" w:hAnsi="Book Antiqua" w:cs="Book Antiqua"/>
          <w:color w:val="000000" w:themeColor="text1"/>
        </w:rPr>
        <w:t xml:space="preserve">grade </w:t>
      </w:r>
      <w:proofErr w:type="gramStart"/>
      <w:r w:rsidRPr="00B82E38">
        <w:rPr>
          <w:rFonts w:ascii="Book Antiqua" w:eastAsia="Book Antiqua" w:hAnsi="Book Antiqua" w:cs="Book Antiqua"/>
          <w:color w:val="000000" w:themeColor="text1"/>
        </w:rPr>
        <w:t>A</w:t>
      </w:r>
      <w:proofErr w:type="gramEnd"/>
      <w:r w:rsidRPr="00B82E38">
        <w:rPr>
          <w:rFonts w:ascii="Book Antiqua" w:eastAsia="Book Antiqua" w:hAnsi="Book Antiqua" w:cs="Book Antiqua"/>
          <w:color w:val="000000" w:themeColor="text1"/>
        </w:rPr>
        <w:t xml:space="preserve">, 75 as </w:t>
      </w:r>
      <w:r w:rsidR="00215608">
        <w:rPr>
          <w:rFonts w:ascii="Book Antiqua" w:eastAsia="Book Antiqua" w:hAnsi="Book Antiqua" w:cs="Book Antiqua"/>
          <w:color w:val="000000" w:themeColor="text1"/>
        </w:rPr>
        <w:t xml:space="preserve">having </w:t>
      </w:r>
      <w:r w:rsidRPr="00B82E38">
        <w:rPr>
          <w:rFonts w:ascii="Book Antiqua" w:eastAsia="Book Antiqua" w:hAnsi="Book Antiqua" w:cs="Book Antiqua"/>
          <w:color w:val="000000" w:themeColor="text1"/>
        </w:rPr>
        <w:t xml:space="preserve">grade B and 12 as </w:t>
      </w:r>
      <w:r w:rsidR="00215608">
        <w:rPr>
          <w:rFonts w:ascii="Book Antiqua" w:eastAsia="Book Antiqua" w:hAnsi="Book Antiqua" w:cs="Book Antiqua"/>
          <w:color w:val="000000" w:themeColor="text1"/>
        </w:rPr>
        <w:t xml:space="preserve">having </w:t>
      </w:r>
      <w:r w:rsidRPr="00B82E38">
        <w:rPr>
          <w:rFonts w:ascii="Book Antiqua" w:eastAsia="Book Antiqua" w:hAnsi="Book Antiqua" w:cs="Book Antiqua"/>
          <w:color w:val="000000" w:themeColor="text1"/>
        </w:rPr>
        <w:t>grade</w:t>
      </w:r>
      <w:r w:rsidRPr="00B82E38">
        <w:rPr>
          <w:rFonts w:ascii="Book Antiqua" w:eastAsia="Book Antiqua" w:hAnsi="Book Antiqua" w:cs="Book Antiqua"/>
          <w:color w:val="000000" w:themeColor="text1"/>
        </w:rPr>
        <w:t xml:space="preserve"> C. The median MELD score and ICG-R15 were 7 (4.1, 10) and 38.4 (22, 50), respectively.</w:t>
      </w:r>
    </w:p>
    <w:p w14:paraId="4266D00B" w14:textId="77777777" w:rsidR="00BA37FB" w:rsidRPr="00B82E38" w:rsidRDefault="00BA37FB" w:rsidP="00372A8C">
      <w:pPr>
        <w:spacing w:line="360" w:lineRule="auto"/>
        <w:ind w:firstLine="560"/>
        <w:jc w:val="both"/>
        <w:rPr>
          <w:rFonts w:ascii="Book Antiqua" w:hAnsi="Book Antiqua"/>
          <w:color w:val="000000" w:themeColor="text1"/>
        </w:rPr>
      </w:pPr>
    </w:p>
    <w:p w14:paraId="7D47FF92" w14:textId="77777777" w:rsidR="00BA37FB" w:rsidRPr="00B82E38" w:rsidRDefault="008F363E" w:rsidP="00372A8C">
      <w:pPr>
        <w:spacing w:line="360" w:lineRule="auto"/>
        <w:jc w:val="both"/>
        <w:rPr>
          <w:rFonts w:ascii="Book Antiqua" w:hAnsi="Book Antiqua"/>
          <w:i/>
          <w:iCs/>
          <w:color w:val="000000" w:themeColor="text1"/>
        </w:rPr>
      </w:pPr>
      <w:r w:rsidRPr="00B82E38">
        <w:rPr>
          <w:rFonts w:ascii="Book Antiqua" w:eastAsia="Book Antiqua" w:hAnsi="Book Antiqua" w:cs="Book Antiqua"/>
          <w:b/>
          <w:bCs/>
          <w:i/>
          <w:iCs/>
          <w:color w:val="000000" w:themeColor="text1"/>
        </w:rPr>
        <w:t>Univariable and multivariable analyses of post-TIPS HE</w:t>
      </w:r>
    </w:p>
    <w:p w14:paraId="4E24927A" w14:textId="5B2F939F" w:rsidR="00BA37FB" w:rsidRPr="00B82E38" w:rsidRDefault="008F363E" w:rsidP="00372A8C">
      <w:pPr>
        <w:spacing w:line="360" w:lineRule="auto"/>
        <w:jc w:val="both"/>
        <w:rPr>
          <w:rFonts w:ascii="Book Antiqua" w:hAnsi="Book Antiqua"/>
          <w:color w:val="000000" w:themeColor="text1"/>
        </w:rPr>
      </w:pPr>
      <w:r w:rsidRPr="00B82E38">
        <w:rPr>
          <w:rFonts w:ascii="Book Antiqua" w:eastAsia="Book Antiqua" w:hAnsi="Book Antiqua" w:cs="Book Antiqua"/>
          <w:color w:val="000000" w:themeColor="text1"/>
        </w:rPr>
        <w:t>Of the 195 patients who underwent TIPS, 45 (23%) develop</w:t>
      </w:r>
      <w:r w:rsidRPr="00B82E38">
        <w:rPr>
          <w:rFonts w:ascii="Book Antiqua" w:eastAsia="Book Antiqua" w:hAnsi="Book Antiqua" w:cs="Book Antiqua"/>
          <w:color w:val="000000" w:themeColor="text1"/>
        </w:rPr>
        <w:t xml:space="preserve">ed </w:t>
      </w:r>
      <w:proofErr w:type="gramStart"/>
      <w:r w:rsidRPr="00B82E38">
        <w:rPr>
          <w:rFonts w:ascii="Book Antiqua" w:eastAsia="Book Antiqua" w:hAnsi="Book Antiqua" w:cs="Book Antiqua"/>
          <w:color w:val="000000" w:themeColor="text1"/>
        </w:rPr>
        <w:t>HE</w:t>
      </w:r>
      <w:proofErr w:type="gramEnd"/>
      <w:r w:rsidRPr="00B82E38">
        <w:rPr>
          <w:rFonts w:ascii="Book Antiqua" w:eastAsia="Book Antiqua" w:hAnsi="Book Antiqua" w:cs="Book Antiqua"/>
          <w:color w:val="000000" w:themeColor="text1"/>
        </w:rPr>
        <w:t xml:space="preserve"> at </w:t>
      </w:r>
      <w:r w:rsidR="00215608">
        <w:rPr>
          <w:rFonts w:ascii="Book Antiqua" w:eastAsia="Book Antiqua" w:hAnsi="Book Antiqua" w:cs="Book Antiqua"/>
          <w:color w:val="000000" w:themeColor="text1"/>
        </w:rPr>
        <w:t xml:space="preserve">the </w:t>
      </w:r>
      <w:r w:rsidRPr="00B82E38">
        <w:rPr>
          <w:rFonts w:ascii="Book Antiqua" w:eastAsia="Book Antiqua" w:hAnsi="Book Antiqua" w:cs="Book Antiqua"/>
          <w:color w:val="000000" w:themeColor="text1"/>
        </w:rPr>
        <w:t xml:space="preserve">12 </w:t>
      </w:r>
      <w:proofErr w:type="spellStart"/>
      <w:r w:rsidRPr="00B82E38">
        <w:rPr>
          <w:rFonts w:ascii="Book Antiqua" w:eastAsia="Book Antiqua" w:hAnsi="Book Antiqua" w:cs="Book Antiqua"/>
          <w:color w:val="000000" w:themeColor="text1"/>
        </w:rPr>
        <w:t>mo</w:t>
      </w:r>
      <w:proofErr w:type="spellEnd"/>
      <w:r w:rsidRPr="00B82E38">
        <w:rPr>
          <w:rFonts w:ascii="Book Antiqua" w:eastAsia="Book Antiqua" w:hAnsi="Book Antiqua" w:cs="Book Antiqua"/>
          <w:color w:val="000000" w:themeColor="text1"/>
        </w:rPr>
        <w:t xml:space="preserve"> follow-up. The factors associated with HE in univariable analysis included age, stent size, puncture site, ICG-R15, CPS, MELD score, blood urea nitrogen (BUN) level</w:t>
      </w:r>
      <w:r w:rsidR="00215608">
        <w:rPr>
          <w:rFonts w:ascii="Book Antiqua" w:eastAsia="Book Antiqua" w:hAnsi="Book Antiqua" w:cs="Book Antiqua"/>
          <w:color w:val="000000" w:themeColor="text1"/>
        </w:rPr>
        <w:t>,</w:t>
      </w:r>
      <w:r w:rsidRPr="00B82E38">
        <w:rPr>
          <w:rFonts w:ascii="Book Antiqua" w:eastAsia="Book Antiqua" w:hAnsi="Book Antiqua" w:cs="Book Antiqua"/>
          <w:color w:val="000000" w:themeColor="text1"/>
        </w:rPr>
        <w:t xml:space="preserve"> and NH</w:t>
      </w:r>
      <w:r w:rsidRPr="00B82E38">
        <w:rPr>
          <w:rFonts w:ascii="Book Antiqua" w:eastAsia="Book Antiqua" w:hAnsi="Book Antiqua" w:cs="Book Antiqua"/>
          <w:color w:val="000000" w:themeColor="text1"/>
          <w:vertAlign w:val="subscript"/>
        </w:rPr>
        <w:t>3</w:t>
      </w:r>
      <w:r w:rsidRPr="00B82E38">
        <w:rPr>
          <w:rFonts w:ascii="Book Antiqua" w:eastAsia="Book Antiqua" w:hAnsi="Book Antiqua" w:cs="Book Antiqua"/>
          <w:color w:val="000000" w:themeColor="text1"/>
        </w:rPr>
        <w:t xml:space="preserve"> level (</w:t>
      </w:r>
      <w:r w:rsidRPr="00B82E38">
        <w:rPr>
          <w:rFonts w:ascii="Book Antiqua" w:eastAsia="Book Antiqua" w:hAnsi="Book Antiqua" w:cs="Book Antiqua"/>
          <w:i/>
          <w:iCs/>
          <w:color w:val="000000" w:themeColor="text1"/>
        </w:rPr>
        <w:t>P</w:t>
      </w:r>
      <w:r w:rsidRPr="00B82E38">
        <w:rPr>
          <w:rFonts w:ascii="Book Antiqua" w:eastAsia="Book Antiqua" w:hAnsi="Book Antiqua" w:cs="Book Antiqua"/>
          <w:color w:val="000000" w:themeColor="text1"/>
        </w:rPr>
        <w:t xml:space="preserve"> = 0.006, 0.019, 0.006, 0.027, 0.022, 0.020, 0.025, and 0.044, respectively). As shown in Table 2, multivariate regression analysis iden</w:t>
      </w:r>
      <w:r w:rsidRPr="00B82E38">
        <w:rPr>
          <w:rFonts w:ascii="Book Antiqua" w:eastAsia="Book Antiqua" w:hAnsi="Book Antiqua" w:cs="Book Antiqua"/>
          <w:color w:val="000000" w:themeColor="text1"/>
        </w:rPr>
        <w:t>tified the following variables as independent risk factors for post-TIPS HE: Older age, 10 mm stent size, puncture site in the right branch of the portal vein, high ICG-R15, high B</w:t>
      </w:r>
      <w:r w:rsidRPr="00B82E38">
        <w:rPr>
          <w:rFonts w:ascii="Book Antiqua" w:eastAsia="Book Antiqua" w:hAnsi="Book Antiqua" w:cs="Book Antiqua"/>
          <w:color w:val="000000" w:themeColor="text1"/>
        </w:rPr>
        <w:t>UN level, high NH</w:t>
      </w:r>
      <w:r w:rsidRPr="00B82E38">
        <w:rPr>
          <w:rFonts w:ascii="Book Antiqua" w:eastAsia="Book Antiqua" w:hAnsi="Book Antiqua" w:cs="Book Antiqua"/>
          <w:color w:val="000000" w:themeColor="text1"/>
          <w:vertAlign w:val="subscript"/>
        </w:rPr>
        <w:t>3</w:t>
      </w:r>
      <w:r w:rsidRPr="00B82E38">
        <w:rPr>
          <w:rFonts w:ascii="Book Antiqua" w:eastAsia="Book Antiqua" w:hAnsi="Book Antiqua" w:cs="Book Antiqua"/>
          <w:color w:val="000000" w:themeColor="text1"/>
        </w:rPr>
        <w:t xml:space="preserve"> level, high CPS</w:t>
      </w:r>
      <w:r w:rsidR="00215608">
        <w:rPr>
          <w:rFonts w:ascii="Book Antiqua" w:eastAsia="Book Antiqua" w:hAnsi="Book Antiqua" w:cs="Book Antiqua"/>
          <w:color w:val="000000" w:themeColor="text1"/>
        </w:rPr>
        <w:t>,</w:t>
      </w:r>
      <w:r w:rsidRPr="00B82E38">
        <w:rPr>
          <w:rFonts w:ascii="Book Antiqua" w:eastAsia="Book Antiqua" w:hAnsi="Book Antiqua" w:cs="Book Antiqua"/>
          <w:color w:val="000000" w:themeColor="text1"/>
        </w:rPr>
        <w:t xml:space="preserve"> and high MELD score.</w:t>
      </w:r>
    </w:p>
    <w:p w14:paraId="6C1437B2" w14:textId="77777777" w:rsidR="00BA37FB" w:rsidRPr="00B82E38" w:rsidRDefault="00BA37FB" w:rsidP="00372A8C">
      <w:pPr>
        <w:spacing w:line="360" w:lineRule="auto"/>
        <w:ind w:firstLine="560"/>
        <w:jc w:val="both"/>
        <w:rPr>
          <w:rFonts w:ascii="Book Antiqua" w:hAnsi="Book Antiqua"/>
          <w:color w:val="000000" w:themeColor="text1"/>
        </w:rPr>
      </w:pPr>
    </w:p>
    <w:p w14:paraId="5EA99EA6" w14:textId="17BFDC0A" w:rsidR="00BA37FB" w:rsidRPr="00B82E38" w:rsidRDefault="008F363E" w:rsidP="00372A8C">
      <w:pPr>
        <w:spacing w:line="360" w:lineRule="auto"/>
        <w:jc w:val="both"/>
        <w:rPr>
          <w:rFonts w:ascii="Book Antiqua" w:hAnsi="Book Antiqua"/>
          <w:i/>
          <w:iCs/>
          <w:color w:val="000000" w:themeColor="text1"/>
        </w:rPr>
      </w:pPr>
      <w:r w:rsidRPr="00B82E38">
        <w:rPr>
          <w:rFonts w:ascii="Book Antiqua" w:eastAsia="Book Antiqua" w:hAnsi="Book Antiqua" w:cs="Book Antiqua"/>
          <w:b/>
          <w:bCs/>
          <w:i/>
          <w:iCs/>
          <w:color w:val="000000" w:themeColor="text1"/>
        </w:rPr>
        <w:t>Discriminatory power of the CPS, MELD score</w:t>
      </w:r>
      <w:r w:rsidR="00215608">
        <w:rPr>
          <w:rFonts w:ascii="Book Antiqua" w:eastAsia="Book Antiqua" w:hAnsi="Book Antiqua" w:cs="Book Antiqua"/>
          <w:b/>
          <w:bCs/>
          <w:i/>
          <w:iCs/>
          <w:color w:val="000000" w:themeColor="text1"/>
        </w:rPr>
        <w:t>,</w:t>
      </w:r>
      <w:r w:rsidRPr="00B82E38">
        <w:rPr>
          <w:rFonts w:ascii="Book Antiqua" w:eastAsia="Book Antiqua" w:hAnsi="Book Antiqua" w:cs="Book Antiqua"/>
          <w:b/>
          <w:bCs/>
          <w:i/>
          <w:iCs/>
          <w:color w:val="000000" w:themeColor="text1"/>
        </w:rPr>
        <w:t xml:space="preserve"> and ICG-R15</w:t>
      </w:r>
    </w:p>
    <w:p w14:paraId="2C38313B" w14:textId="7A1C3513" w:rsidR="00BA37FB" w:rsidRPr="00B82E38" w:rsidRDefault="008F363E" w:rsidP="00372A8C">
      <w:pPr>
        <w:spacing w:line="360" w:lineRule="auto"/>
        <w:jc w:val="both"/>
        <w:rPr>
          <w:rFonts w:ascii="Book Antiqua" w:hAnsi="Book Antiqua"/>
          <w:color w:val="000000" w:themeColor="text1"/>
        </w:rPr>
      </w:pPr>
      <w:r w:rsidRPr="00B82E38">
        <w:rPr>
          <w:rFonts w:ascii="Book Antiqua" w:eastAsia="Book Antiqua" w:hAnsi="Book Antiqua" w:cs="Book Antiqua"/>
          <w:color w:val="000000" w:themeColor="text1"/>
        </w:rPr>
        <w:lastRenderedPageBreak/>
        <w:t>The area under the receiver operating characteristic (ROC) curve for the ICG-R15 (AUC = 0.664, 9</w:t>
      </w:r>
      <w:r w:rsidRPr="00B82E38">
        <w:rPr>
          <w:rFonts w:ascii="Book Antiqua" w:eastAsia="Book Antiqua" w:hAnsi="Book Antiqua" w:cs="Book Antiqua"/>
          <w:color w:val="000000" w:themeColor="text1"/>
        </w:rPr>
        <w:t>5%</w:t>
      </w:r>
      <w:r w:rsidR="00215608">
        <w:rPr>
          <w:rFonts w:ascii="Book Antiqua" w:eastAsia="Book Antiqua" w:hAnsi="Book Antiqua" w:cs="Book Antiqua"/>
          <w:color w:val="000000" w:themeColor="text1"/>
        </w:rPr>
        <w:t xml:space="preserve"> confidence interval [</w:t>
      </w:r>
      <w:r w:rsidRPr="00B82E38">
        <w:rPr>
          <w:rFonts w:ascii="Book Antiqua" w:eastAsia="Book Antiqua" w:hAnsi="Book Antiqua" w:cs="Book Antiqua"/>
          <w:color w:val="000000" w:themeColor="text1"/>
        </w:rPr>
        <w:t>CI</w:t>
      </w:r>
      <w:r w:rsidR="00215608">
        <w:rPr>
          <w:rFonts w:ascii="Book Antiqua" w:eastAsia="Book Antiqua" w:hAnsi="Book Antiqua" w:cs="Book Antiqua"/>
          <w:color w:val="000000" w:themeColor="text1"/>
        </w:rPr>
        <w:t>]</w:t>
      </w:r>
      <w:r w:rsidRPr="00B82E38">
        <w:rPr>
          <w:rFonts w:ascii="Book Antiqua" w:eastAsia="Book Antiqua" w:hAnsi="Book Antiqua" w:cs="Book Antiqua"/>
          <w:color w:val="000000" w:themeColor="text1"/>
        </w:rPr>
        <w:t xml:space="preserve">: 0.557-0.743, </w:t>
      </w:r>
      <w:r w:rsidRPr="00B82E38">
        <w:rPr>
          <w:rFonts w:ascii="Book Antiqua" w:eastAsia="Book Antiqua" w:hAnsi="Book Antiqua" w:cs="Book Antiqua"/>
          <w:i/>
          <w:iCs/>
          <w:color w:val="000000" w:themeColor="text1"/>
        </w:rPr>
        <w:t>P</w:t>
      </w:r>
      <w:r w:rsidRPr="00B82E38">
        <w:rPr>
          <w:rFonts w:ascii="Book Antiqua" w:eastAsia="Book Antiqua" w:hAnsi="Book Antiqua" w:cs="Book Antiqua"/>
          <w:color w:val="000000" w:themeColor="text1"/>
        </w:rPr>
        <w:t xml:space="preserve"> = 0.0046) for the prediction of post-TIPS HE was larger than </w:t>
      </w:r>
      <w:r w:rsidR="00215608" w:rsidRPr="00B82E38">
        <w:rPr>
          <w:rFonts w:ascii="Book Antiqua" w:eastAsia="Book Antiqua" w:hAnsi="Book Antiqua" w:cs="Book Antiqua"/>
          <w:color w:val="000000" w:themeColor="text1"/>
        </w:rPr>
        <w:t>th</w:t>
      </w:r>
      <w:r w:rsidR="00215608">
        <w:rPr>
          <w:rFonts w:ascii="Book Antiqua" w:eastAsia="Book Antiqua" w:hAnsi="Book Antiqua" w:cs="Book Antiqua"/>
          <w:color w:val="000000" w:themeColor="text1"/>
        </w:rPr>
        <w:t>ose</w:t>
      </w:r>
      <w:r w:rsidR="00215608" w:rsidRPr="00B82E38">
        <w:rPr>
          <w:rFonts w:ascii="Book Antiqua" w:eastAsia="Book Antiqua" w:hAnsi="Book Antiqua" w:cs="Book Antiqua"/>
          <w:color w:val="000000" w:themeColor="text1"/>
        </w:rPr>
        <w:t xml:space="preserve"> </w:t>
      </w:r>
      <w:r w:rsidRPr="00B82E38">
        <w:rPr>
          <w:rFonts w:ascii="Book Antiqua" w:eastAsia="Book Antiqua" w:hAnsi="Book Antiqua" w:cs="Book Antiqua"/>
          <w:color w:val="000000" w:themeColor="text1"/>
        </w:rPr>
        <w:t xml:space="preserve">of the CPS (AUC = 0.596, 95%CI: 0.508-0.679, </w:t>
      </w:r>
      <w:r w:rsidRPr="00B82E38">
        <w:rPr>
          <w:rFonts w:ascii="Book Antiqua" w:eastAsia="Book Antiqua" w:hAnsi="Book Antiqua" w:cs="Book Antiqua"/>
          <w:i/>
          <w:iCs/>
          <w:color w:val="000000" w:themeColor="text1"/>
        </w:rPr>
        <w:t>P</w:t>
      </w:r>
      <w:r w:rsidRPr="00B82E38">
        <w:rPr>
          <w:rFonts w:ascii="Book Antiqua" w:eastAsia="Book Antiqua" w:hAnsi="Book Antiqua" w:cs="Book Antiqua"/>
          <w:color w:val="000000" w:themeColor="text1"/>
        </w:rPr>
        <w:t xml:space="preserve"> = 0.087) and the MELD score (AUC = 0.641, 95%CI: 0.554-0.721, </w:t>
      </w:r>
      <w:r w:rsidRPr="00B82E38">
        <w:rPr>
          <w:rFonts w:ascii="Book Antiqua" w:eastAsia="Book Antiqua" w:hAnsi="Book Antiqua" w:cs="Book Antiqua"/>
          <w:i/>
          <w:iCs/>
          <w:color w:val="000000" w:themeColor="text1"/>
        </w:rPr>
        <w:t>P</w:t>
      </w:r>
      <w:r w:rsidRPr="00B82E38">
        <w:rPr>
          <w:rFonts w:ascii="Book Antiqua" w:eastAsia="Book Antiqua" w:hAnsi="Book Antiqua" w:cs="Book Antiqua"/>
          <w:color w:val="000000" w:themeColor="text1"/>
        </w:rPr>
        <w:t xml:space="preserve"> = 0.021). </w:t>
      </w:r>
      <w:r w:rsidR="008C273D" w:rsidRPr="00B82E38">
        <w:rPr>
          <w:rFonts w:ascii="Book Antiqua" w:eastAsia="宋体" w:hAnsi="Book Antiqua" w:cs="Book Antiqua"/>
          <w:color w:val="000000" w:themeColor="text1"/>
          <w:lang w:eastAsia="zh-CN"/>
        </w:rPr>
        <w:t xml:space="preserve">The </w:t>
      </w:r>
      <w:r w:rsidR="008C273D" w:rsidRPr="00B82E38">
        <w:rPr>
          <w:rFonts w:ascii="Book Antiqua" w:eastAsia="Book Antiqua" w:hAnsi="Book Antiqua" w:cs="Book Antiqua"/>
          <w:color w:val="000000" w:themeColor="text1"/>
        </w:rPr>
        <w:t>non-parametric approach</w:t>
      </w:r>
      <w:r w:rsidR="008C273D" w:rsidRPr="00B82E38">
        <w:rPr>
          <w:rFonts w:ascii="Book Antiqua" w:eastAsia="宋体" w:hAnsi="Book Antiqua" w:cs="Book Antiqua"/>
          <w:color w:val="000000" w:themeColor="text1"/>
          <w:lang w:eastAsia="zh-CN"/>
        </w:rPr>
        <w:t xml:space="preserve"> (Delong-Delong</w:t>
      </w:r>
      <w:r w:rsidR="00215608">
        <w:rPr>
          <w:rFonts w:ascii="Book Antiqua" w:eastAsia="宋体" w:hAnsi="Book Antiqua" w:cs="Book Antiqua"/>
          <w:color w:val="000000" w:themeColor="text1"/>
          <w:lang w:eastAsia="zh-CN"/>
        </w:rPr>
        <w:t xml:space="preserve"> </w:t>
      </w:r>
      <w:r w:rsidR="008C273D" w:rsidRPr="00B82E38">
        <w:rPr>
          <w:rFonts w:ascii="Book Antiqua" w:eastAsia="宋体" w:hAnsi="Book Antiqua" w:cs="Book Antiqua"/>
          <w:color w:val="000000" w:themeColor="text1"/>
          <w:lang w:eastAsia="zh-CN"/>
        </w:rPr>
        <w:t>&amp;</w:t>
      </w:r>
      <w:r w:rsidR="00215608">
        <w:rPr>
          <w:rFonts w:ascii="Book Antiqua" w:eastAsia="宋体" w:hAnsi="Book Antiqua" w:cs="Book Antiqua"/>
          <w:color w:val="000000" w:themeColor="text1"/>
          <w:lang w:eastAsia="zh-CN"/>
        </w:rPr>
        <w:t xml:space="preserve"> </w:t>
      </w:r>
      <w:r w:rsidR="008C273D" w:rsidRPr="00B82E38">
        <w:rPr>
          <w:rFonts w:ascii="Book Antiqua" w:eastAsia="宋体" w:hAnsi="Book Antiqua" w:cs="Book Antiqua"/>
          <w:color w:val="000000" w:themeColor="text1"/>
          <w:lang w:eastAsia="zh-CN"/>
        </w:rPr>
        <w:t>Clarke-Pearson</w:t>
      </w:r>
      <w:proofErr w:type="gramStart"/>
      <w:r w:rsidR="008C273D" w:rsidRPr="00B82E38">
        <w:rPr>
          <w:rFonts w:ascii="Book Antiqua" w:eastAsia="宋体" w:hAnsi="Book Antiqua" w:cs="Book Antiqua"/>
          <w:color w:val="000000" w:themeColor="text1"/>
          <w:lang w:eastAsia="zh-CN"/>
        </w:rPr>
        <w:t>)</w:t>
      </w:r>
      <w:r w:rsidRPr="00B82E38">
        <w:rPr>
          <w:rFonts w:ascii="Book Antiqua" w:eastAsia="Book Antiqua" w:hAnsi="Book Antiqua" w:cs="Book Antiqua"/>
          <w:color w:val="000000" w:themeColor="text1"/>
          <w:vertAlign w:val="superscript"/>
        </w:rPr>
        <w:t>[</w:t>
      </w:r>
      <w:proofErr w:type="gramEnd"/>
      <w:r w:rsidRPr="00B82E38">
        <w:rPr>
          <w:rFonts w:ascii="Book Antiqua" w:eastAsia="Book Antiqua" w:hAnsi="Book Antiqua" w:cs="Book Antiqua"/>
          <w:color w:val="000000" w:themeColor="text1"/>
          <w:vertAlign w:val="superscript"/>
        </w:rPr>
        <w:t>17]</w:t>
      </w:r>
      <w:r w:rsidRPr="00B82E38">
        <w:rPr>
          <w:rFonts w:ascii="Book Antiqua" w:eastAsia="Book Antiqua" w:hAnsi="Book Antiqua" w:cs="Book Antiqua"/>
          <w:color w:val="000000" w:themeColor="text1"/>
          <w:lang w:eastAsia="zh-CN"/>
        </w:rPr>
        <w:t xml:space="preserve"> </w:t>
      </w:r>
      <w:r w:rsidRPr="00B82E38">
        <w:rPr>
          <w:rFonts w:ascii="Book Antiqua" w:eastAsia="Book Antiqua" w:hAnsi="Book Antiqua" w:cs="Book Antiqua"/>
          <w:color w:val="000000" w:themeColor="text1"/>
        </w:rPr>
        <w:t>showed that there was no statistic</w:t>
      </w:r>
      <w:r w:rsidR="00215608">
        <w:rPr>
          <w:rFonts w:ascii="Book Antiqua" w:eastAsia="Book Antiqua" w:hAnsi="Book Antiqua" w:cs="Book Antiqua"/>
          <w:color w:val="000000" w:themeColor="text1"/>
        </w:rPr>
        <w:t>al</w:t>
      </w:r>
      <w:r w:rsidRPr="00B82E38">
        <w:rPr>
          <w:rFonts w:ascii="Book Antiqua" w:eastAsia="Book Antiqua" w:hAnsi="Book Antiqua" w:cs="Book Antiqua"/>
          <w:color w:val="000000" w:themeColor="text1"/>
        </w:rPr>
        <w:t xml:space="preserve"> significance in pairwise comparison </w:t>
      </w:r>
      <w:r w:rsidR="00215608">
        <w:rPr>
          <w:rFonts w:ascii="Book Antiqua" w:eastAsia="Book Antiqua" w:hAnsi="Book Antiqua" w:cs="Book Antiqua"/>
          <w:color w:val="000000" w:themeColor="text1"/>
        </w:rPr>
        <w:t>between</w:t>
      </w:r>
      <w:r w:rsidR="00215608" w:rsidRPr="00B82E38">
        <w:rPr>
          <w:rFonts w:ascii="Book Antiqua" w:eastAsia="Book Antiqua" w:hAnsi="Book Antiqua" w:cs="Book Antiqua"/>
          <w:color w:val="000000" w:themeColor="text1"/>
        </w:rPr>
        <w:t xml:space="preserve"> </w:t>
      </w:r>
      <w:r w:rsidRPr="00B82E38">
        <w:rPr>
          <w:rFonts w:ascii="Book Antiqua" w:eastAsia="Book Antiqua" w:hAnsi="Book Antiqua" w:cs="Book Antiqua"/>
          <w:color w:val="000000" w:themeColor="text1"/>
        </w:rPr>
        <w:t>AUCs of ICG-R15 and MELD score (</w:t>
      </w:r>
      <w:r w:rsidRPr="00B82E38">
        <w:rPr>
          <w:rFonts w:ascii="Book Antiqua" w:eastAsia="Book Antiqua" w:hAnsi="Book Antiqua" w:cs="Book Antiqua"/>
          <w:i/>
          <w:iCs/>
          <w:color w:val="000000" w:themeColor="text1"/>
        </w:rPr>
        <w:t>P</w:t>
      </w:r>
      <w:r w:rsidRPr="00B82E38">
        <w:rPr>
          <w:rFonts w:ascii="Book Antiqua" w:eastAsia="Book Antiqua" w:hAnsi="Book Antiqua" w:cs="Book Antiqua"/>
          <w:color w:val="000000" w:themeColor="text1"/>
        </w:rPr>
        <w:t xml:space="preserve"> = 0.0229). The cut-off value for the ICG-R15, which </w:t>
      </w:r>
      <w:r w:rsidR="00215608">
        <w:rPr>
          <w:rFonts w:ascii="Book Antiqua" w:eastAsia="Book Antiqua" w:hAnsi="Book Antiqua" w:cs="Book Antiqua"/>
          <w:color w:val="000000" w:themeColor="text1"/>
        </w:rPr>
        <w:t xml:space="preserve">was </w:t>
      </w:r>
      <w:r w:rsidRPr="00B82E38">
        <w:rPr>
          <w:rFonts w:ascii="Book Antiqua" w:eastAsia="Book Antiqua" w:hAnsi="Book Antiqua" w:cs="Book Antiqua"/>
          <w:color w:val="000000" w:themeColor="text1"/>
        </w:rPr>
        <w:t>determined by the maximum of Youden index, was 30, with a sensitivity of 86.96% and</w:t>
      </w:r>
      <w:r w:rsidR="00215608">
        <w:rPr>
          <w:rFonts w:ascii="Book Antiqua" w:eastAsia="Book Antiqua" w:hAnsi="Book Antiqua" w:cs="Book Antiqua"/>
          <w:color w:val="000000" w:themeColor="text1"/>
        </w:rPr>
        <w:t xml:space="preserve"> </w:t>
      </w:r>
      <w:r w:rsidRPr="00B82E38">
        <w:rPr>
          <w:rFonts w:ascii="Book Antiqua" w:eastAsia="Book Antiqua" w:hAnsi="Book Antiqua" w:cs="Book Antiqua"/>
          <w:color w:val="000000" w:themeColor="text1"/>
        </w:rPr>
        <w:t xml:space="preserve">specificity of 56.25% for the prediction of post-TIPS </w:t>
      </w:r>
      <w:proofErr w:type="gramStart"/>
      <w:r w:rsidRPr="00B82E38">
        <w:rPr>
          <w:rFonts w:ascii="Book Antiqua" w:eastAsia="Book Antiqua" w:hAnsi="Book Antiqua" w:cs="Book Antiqua"/>
          <w:color w:val="000000" w:themeColor="text1"/>
        </w:rPr>
        <w:t>HE</w:t>
      </w:r>
      <w:proofErr w:type="gramEnd"/>
      <w:r w:rsidRPr="00B82E38">
        <w:rPr>
          <w:rFonts w:ascii="Book Antiqua" w:eastAsia="Book Antiqua" w:hAnsi="Book Antiqua" w:cs="Book Antiqua"/>
          <w:color w:val="000000" w:themeColor="text1"/>
        </w:rPr>
        <w:t xml:space="preserve"> (Table 3). Of the 126 patients with an ICG-R15 &gt; 30, 36 (28.5%) developed post-TIPS HE, while 9 </w:t>
      </w:r>
      <w:r w:rsidR="00215608" w:rsidRPr="00B82E38">
        <w:rPr>
          <w:rFonts w:ascii="Book Antiqua" w:eastAsia="Book Antiqua" w:hAnsi="Book Antiqua" w:cs="Book Antiqua"/>
          <w:color w:val="000000" w:themeColor="text1"/>
        </w:rPr>
        <w:t>(13%)</w:t>
      </w:r>
      <w:r w:rsidR="00215608">
        <w:rPr>
          <w:rFonts w:ascii="Book Antiqua" w:eastAsia="Book Antiqua" w:hAnsi="Book Antiqua" w:cs="Book Antiqua"/>
          <w:color w:val="000000" w:themeColor="text1"/>
        </w:rPr>
        <w:t xml:space="preserve"> </w:t>
      </w:r>
      <w:r w:rsidRPr="00B82E38">
        <w:rPr>
          <w:rFonts w:ascii="Book Antiqua" w:eastAsia="Book Antiqua" w:hAnsi="Book Antiqua" w:cs="Book Antiqua"/>
          <w:color w:val="000000" w:themeColor="text1"/>
        </w:rPr>
        <w:t>of 69</w:t>
      </w:r>
      <w:r w:rsidR="00215608">
        <w:rPr>
          <w:rFonts w:ascii="Book Antiqua" w:eastAsia="Book Antiqua" w:hAnsi="Book Antiqua" w:cs="Book Antiqua"/>
          <w:color w:val="000000" w:themeColor="text1"/>
        </w:rPr>
        <w:t xml:space="preserve"> </w:t>
      </w:r>
      <w:r w:rsidRPr="00B82E38">
        <w:rPr>
          <w:rFonts w:ascii="Book Antiqua" w:eastAsia="Book Antiqua" w:hAnsi="Book Antiqua" w:cs="Book Antiqua"/>
          <w:color w:val="000000" w:themeColor="text1"/>
        </w:rPr>
        <w:t xml:space="preserve">patients with </w:t>
      </w:r>
      <w:r w:rsidR="00215608">
        <w:rPr>
          <w:rFonts w:ascii="Book Antiqua" w:eastAsia="Book Antiqua" w:hAnsi="Book Antiqua" w:cs="Book Antiqua"/>
          <w:color w:val="000000" w:themeColor="text1"/>
        </w:rPr>
        <w:t xml:space="preserve">an </w:t>
      </w:r>
      <w:r w:rsidRPr="00B82E38">
        <w:rPr>
          <w:rFonts w:ascii="Book Antiqua" w:eastAsia="Book Antiqua" w:hAnsi="Book Antiqua" w:cs="Book Antiqua"/>
          <w:color w:val="000000" w:themeColor="text1"/>
        </w:rPr>
        <w:t>ICG ≤ 30</w:t>
      </w:r>
      <w:r w:rsidRPr="00B82E38">
        <w:rPr>
          <w:rFonts w:ascii="Book Antiqua" w:eastAsia="Book Antiqua" w:hAnsi="Book Antiqua" w:cs="Book Antiqua"/>
          <w:color w:val="000000" w:themeColor="text1"/>
        </w:rPr>
        <w:t xml:space="preserve"> developed post-TIPS HE.</w:t>
      </w:r>
    </w:p>
    <w:p w14:paraId="02C55FA2" w14:textId="77777777" w:rsidR="00BA37FB" w:rsidRPr="00B82E38" w:rsidRDefault="00BA37FB" w:rsidP="00372A8C">
      <w:pPr>
        <w:spacing w:line="360" w:lineRule="auto"/>
        <w:ind w:firstLine="560"/>
        <w:jc w:val="both"/>
        <w:rPr>
          <w:rFonts w:ascii="Book Antiqua" w:hAnsi="Book Antiqua"/>
          <w:color w:val="000000" w:themeColor="text1"/>
        </w:rPr>
      </w:pPr>
    </w:p>
    <w:p w14:paraId="68F269FE" w14:textId="6D85A569" w:rsidR="00BA37FB" w:rsidRPr="00B82E38" w:rsidRDefault="008F363E" w:rsidP="00372A8C">
      <w:pPr>
        <w:spacing w:line="360" w:lineRule="auto"/>
        <w:jc w:val="both"/>
        <w:rPr>
          <w:rFonts w:ascii="Book Antiqua" w:hAnsi="Book Antiqua"/>
          <w:i/>
          <w:iCs/>
          <w:color w:val="000000" w:themeColor="text1"/>
        </w:rPr>
      </w:pPr>
      <w:r w:rsidRPr="00B82E38">
        <w:rPr>
          <w:rFonts w:ascii="Book Antiqua" w:eastAsia="Book Antiqua" w:hAnsi="Book Antiqua" w:cs="Book Antiqua"/>
          <w:b/>
          <w:bCs/>
          <w:i/>
          <w:iCs/>
          <w:color w:val="000000" w:themeColor="text1"/>
        </w:rPr>
        <w:t>Comp</w:t>
      </w:r>
      <w:r w:rsidRPr="00B82E38">
        <w:rPr>
          <w:rFonts w:ascii="Book Antiqua" w:eastAsia="Book Antiqua" w:hAnsi="Book Antiqua" w:cs="Book Antiqua"/>
          <w:b/>
          <w:bCs/>
          <w:i/>
          <w:iCs/>
          <w:color w:val="000000" w:themeColor="text1"/>
        </w:rPr>
        <w:t xml:space="preserve">arison of </w:t>
      </w:r>
      <w:r w:rsidRPr="00B82E38">
        <w:rPr>
          <w:rFonts w:ascii="Book Antiqua" w:eastAsia="Book Antiqua" w:hAnsi="Book Antiqua" w:cs="Book Antiqua"/>
          <w:b/>
          <w:bCs/>
          <w:i/>
          <w:iCs/>
          <w:color w:val="000000" w:themeColor="text1"/>
        </w:rPr>
        <w:t>post-TIPS-HE incidence between pati</w:t>
      </w:r>
      <w:r w:rsidRPr="00B82E38">
        <w:rPr>
          <w:rFonts w:ascii="Book Antiqua" w:eastAsia="Book Antiqua" w:hAnsi="Book Antiqua" w:cs="Book Antiqua"/>
          <w:b/>
          <w:bCs/>
          <w:i/>
          <w:iCs/>
          <w:color w:val="000000" w:themeColor="text1"/>
        </w:rPr>
        <w:t xml:space="preserve">ents with </w:t>
      </w:r>
      <w:r w:rsidR="00215608">
        <w:rPr>
          <w:rFonts w:ascii="Book Antiqua" w:eastAsia="Book Antiqua" w:hAnsi="Book Antiqua" w:cs="Book Antiqua"/>
          <w:b/>
          <w:bCs/>
          <w:i/>
          <w:iCs/>
          <w:color w:val="000000" w:themeColor="text1"/>
        </w:rPr>
        <w:t xml:space="preserve">an </w:t>
      </w:r>
      <w:r w:rsidRPr="00B82E38">
        <w:rPr>
          <w:rFonts w:ascii="Book Antiqua" w:eastAsia="Book Antiqua" w:hAnsi="Book Antiqua" w:cs="Book Antiqua"/>
          <w:b/>
          <w:bCs/>
          <w:i/>
          <w:iCs/>
          <w:color w:val="000000" w:themeColor="text1"/>
        </w:rPr>
        <w:t xml:space="preserve">ICG-R15 </w:t>
      </w:r>
      <w:r w:rsidRPr="00B82E38">
        <w:rPr>
          <w:rFonts w:ascii="Book Antiqua" w:eastAsia="宋体" w:hAnsi="Book Antiqua" w:cs="宋体"/>
          <w:b/>
          <w:bCs/>
          <w:i/>
          <w:iCs/>
          <w:color w:val="000000" w:themeColor="text1"/>
          <w:lang w:eastAsia="zh-CN"/>
        </w:rPr>
        <w:t xml:space="preserve">&gt; </w:t>
      </w:r>
      <w:r w:rsidRPr="00B82E38">
        <w:rPr>
          <w:rFonts w:ascii="Book Antiqua" w:eastAsia="Book Antiqua" w:hAnsi="Book Antiqua" w:cs="Book Antiqua"/>
          <w:b/>
          <w:bCs/>
          <w:i/>
          <w:iCs/>
          <w:color w:val="000000" w:themeColor="text1"/>
        </w:rPr>
        <w:t xml:space="preserve">30% and </w:t>
      </w:r>
      <w:r w:rsidRPr="00B82E38">
        <w:rPr>
          <w:rFonts w:ascii="Book Antiqua" w:eastAsia="宋体" w:hAnsi="Book Antiqua" w:cs="宋体"/>
          <w:b/>
          <w:bCs/>
          <w:i/>
          <w:iCs/>
          <w:color w:val="000000" w:themeColor="text1"/>
          <w:lang w:eastAsia="zh-CN"/>
        </w:rPr>
        <w:t xml:space="preserve">&lt; </w:t>
      </w:r>
      <w:r w:rsidRPr="00B82E38">
        <w:rPr>
          <w:rFonts w:ascii="Book Antiqua" w:eastAsia="Book Antiqua" w:hAnsi="Book Antiqua" w:cs="Book Antiqua"/>
          <w:b/>
          <w:bCs/>
          <w:i/>
          <w:iCs/>
          <w:color w:val="000000" w:themeColor="text1"/>
        </w:rPr>
        <w:t>30%</w:t>
      </w:r>
    </w:p>
    <w:p w14:paraId="36D9328F" w14:textId="08778DC0" w:rsidR="00BA37FB" w:rsidRPr="00B82E38" w:rsidRDefault="008F363E" w:rsidP="00372A8C">
      <w:pPr>
        <w:spacing w:line="360" w:lineRule="auto"/>
        <w:jc w:val="both"/>
        <w:rPr>
          <w:rFonts w:ascii="Book Antiqua" w:hAnsi="Book Antiqua"/>
          <w:color w:val="000000" w:themeColor="text1"/>
        </w:rPr>
      </w:pPr>
      <w:r w:rsidRPr="00B82E38">
        <w:rPr>
          <w:rFonts w:ascii="Book Antiqua" w:eastAsia="Book Antiqua" w:hAnsi="Book Antiqua" w:cs="Book Antiqua"/>
          <w:color w:val="000000" w:themeColor="text1"/>
        </w:rPr>
        <w:t xml:space="preserve">The patients were divided into two groups according to </w:t>
      </w:r>
      <w:r w:rsidR="00215608">
        <w:rPr>
          <w:rFonts w:ascii="Book Antiqua" w:eastAsia="Book Antiqua" w:hAnsi="Book Antiqua" w:cs="Book Antiqua"/>
          <w:color w:val="000000" w:themeColor="text1"/>
        </w:rPr>
        <w:t xml:space="preserve">the </w:t>
      </w:r>
      <w:r w:rsidRPr="00B82E38">
        <w:rPr>
          <w:rFonts w:ascii="Book Antiqua" w:eastAsia="Book Antiqua" w:hAnsi="Book Antiqua" w:cs="Book Antiqua"/>
          <w:color w:val="000000" w:themeColor="text1"/>
        </w:rPr>
        <w:t xml:space="preserve">ICG-R15 cut-off value, 30%, determined by the maximal Youden index. Patients with </w:t>
      </w:r>
      <w:r w:rsidR="00215608">
        <w:rPr>
          <w:rFonts w:ascii="Book Antiqua" w:eastAsia="Book Antiqua" w:hAnsi="Book Antiqua" w:cs="Book Antiqua"/>
          <w:color w:val="000000" w:themeColor="text1"/>
        </w:rPr>
        <w:t xml:space="preserve">an </w:t>
      </w:r>
      <w:r w:rsidRPr="00B82E38">
        <w:rPr>
          <w:rFonts w:ascii="Book Antiqua" w:eastAsia="Book Antiqua" w:hAnsi="Book Antiqua" w:cs="Book Antiqua"/>
          <w:color w:val="000000" w:themeColor="text1"/>
        </w:rPr>
        <w:t xml:space="preserve">ICG-R15 </w:t>
      </w:r>
      <w:r w:rsidRPr="00B82E38">
        <w:rPr>
          <w:rFonts w:ascii="Book Antiqua" w:eastAsia="宋体" w:hAnsi="Book Antiqua" w:cs="宋体"/>
          <w:color w:val="000000" w:themeColor="text1"/>
          <w:lang w:eastAsia="zh-CN"/>
        </w:rPr>
        <w:t xml:space="preserve">&gt; </w:t>
      </w:r>
      <w:r w:rsidRPr="00B82E38">
        <w:rPr>
          <w:rFonts w:ascii="Book Antiqua" w:eastAsia="Book Antiqua" w:hAnsi="Book Antiqua" w:cs="Book Antiqua"/>
          <w:color w:val="000000" w:themeColor="text1"/>
        </w:rPr>
        <w:t xml:space="preserve">30% had a higher incidence of HE than those with </w:t>
      </w:r>
      <w:r w:rsidR="00215608">
        <w:rPr>
          <w:rFonts w:ascii="Book Antiqua" w:eastAsia="Book Antiqua" w:hAnsi="Book Antiqua" w:cs="Book Antiqua"/>
          <w:color w:val="000000" w:themeColor="text1"/>
        </w:rPr>
        <w:t xml:space="preserve">an </w:t>
      </w:r>
      <w:r w:rsidRPr="00B82E38">
        <w:rPr>
          <w:rFonts w:ascii="Book Antiqua" w:eastAsia="Book Antiqua" w:hAnsi="Book Antiqua" w:cs="Book Antiqua"/>
          <w:color w:val="000000" w:themeColor="text1"/>
        </w:rPr>
        <w:t xml:space="preserve">ICG-R15 </w:t>
      </w:r>
      <w:r w:rsidRPr="00B82E38">
        <w:rPr>
          <w:rFonts w:ascii="Book Antiqua" w:eastAsia="宋体" w:hAnsi="Book Antiqua" w:cs="宋体"/>
          <w:color w:val="000000" w:themeColor="text1"/>
          <w:lang w:eastAsia="zh-CN"/>
        </w:rPr>
        <w:t xml:space="preserve">&lt; </w:t>
      </w:r>
      <w:r w:rsidRPr="00B82E38">
        <w:rPr>
          <w:rFonts w:ascii="Book Antiqua" w:eastAsia="Book Antiqua" w:hAnsi="Book Antiqua" w:cs="Book Antiqua"/>
          <w:color w:val="000000" w:themeColor="text1"/>
        </w:rPr>
        <w:t xml:space="preserve">30% (13% </w:t>
      </w:r>
      <w:r w:rsidRPr="00B82E38">
        <w:rPr>
          <w:rFonts w:ascii="Book Antiqua" w:eastAsia="Book Antiqua" w:hAnsi="Book Antiqua" w:cs="Book Antiqua"/>
          <w:i/>
          <w:iCs/>
          <w:color w:val="000000" w:themeColor="text1"/>
        </w:rPr>
        <w:t>vs</w:t>
      </w:r>
      <w:r w:rsidRPr="00B82E38">
        <w:rPr>
          <w:rFonts w:ascii="Book Antiqua" w:eastAsia="Book Antiqua" w:hAnsi="Book Antiqua" w:cs="Book Antiqua"/>
          <w:color w:val="000000" w:themeColor="text1"/>
        </w:rPr>
        <w:t xml:space="preserve"> 28.5%; </w:t>
      </w:r>
      <w:r w:rsidRPr="00B82E38">
        <w:rPr>
          <w:rFonts w:ascii="Book Antiqua" w:eastAsia="Book Antiqua" w:hAnsi="Book Antiqua" w:cs="Book Antiqua"/>
          <w:i/>
          <w:iCs/>
          <w:color w:val="000000" w:themeColor="text1"/>
        </w:rPr>
        <w:t>P</w:t>
      </w:r>
      <w:r w:rsidRPr="00B82E38">
        <w:rPr>
          <w:rFonts w:ascii="Book Antiqua" w:eastAsia="Book Antiqua" w:hAnsi="Book Antiqua" w:cs="Book Antiqua"/>
          <w:color w:val="000000" w:themeColor="text1"/>
        </w:rPr>
        <w:t xml:space="preserve"> = 0.014). There were significant differences in age, CPS, preoperative </w:t>
      </w:r>
      <w:r w:rsidRPr="00B82E38">
        <w:rPr>
          <w:rFonts w:ascii="Book Antiqua" w:hAnsi="Book Antiqua"/>
          <w:color w:val="000000" w:themeColor="text1"/>
        </w:rPr>
        <w:t>portal pressure gradient</w:t>
      </w:r>
      <w:r w:rsidRPr="00B82E38">
        <w:rPr>
          <w:rFonts w:ascii="Book Antiqua" w:eastAsia="Book Antiqua" w:hAnsi="Book Antiqua" w:cs="Book Antiqua"/>
          <w:color w:val="000000" w:themeColor="text1"/>
        </w:rPr>
        <w:t>, NH</w:t>
      </w:r>
      <w:r w:rsidRPr="00B82E38">
        <w:rPr>
          <w:rFonts w:ascii="Book Antiqua" w:eastAsia="Book Antiqua" w:hAnsi="Book Antiqua" w:cs="Book Antiqua"/>
          <w:color w:val="000000" w:themeColor="text1"/>
          <w:vertAlign w:val="subscript"/>
        </w:rPr>
        <w:t>3</w:t>
      </w:r>
      <w:r w:rsidRPr="00B82E38">
        <w:rPr>
          <w:rFonts w:ascii="Book Antiqua" w:eastAsia="Book Antiqua" w:hAnsi="Book Antiqua" w:cs="Book Antiqua"/>
          <w:color w:val="000000" w:themeColor="text1"/>
        </w:rPr>
        <w:t xml:space="preserve">, </w:t>
      </w:r>
      <w:r w:rsidRPr="00B82E38">
        <w:rPr>
          <w:rFonts w:ascii="Book Antiqua" w:hAnsi="Book Antiqua"/>
          <w:color w:val="000000" w:themeColor="text1"/>
        </w:rPr>
        <w:t>albumin</w:t>
      </w:r>
      <w:r w:rsidRPr="00B82E38">
        <w:rPr>
          <w:rFonts w:ascii="Book Antiqua" w:eastAsia="Book Antiqua" w:hAnsi="Book Antiqua" w:cs="Book Antiqua"/>
          <w:color w:val="000000" w:themeColor="text1"/>
        </w:rPr>
        <w:t xml:space="preserve">, </w:t>
      </w:r>
      <w:r w:rsidRPr="00B82E38">
        <w:rPr>
          <w:rFonts w:ascii="Book Antiqua" w:hAnsi="Book Antiqua"/>
          <w:color w:val="000000" w:themeColor="text1"/>
        </w:rPr>
        <w:t>aspartate transaminase</w:t>
      </w:r>
      <w:r w:rsidRPr="00B82E38">
        <w:rPr>
          <w:rFonts w:ascii="Book Antiqua" w:eastAsia="Book Antiqua" w:hAnsi="Book Antiqua" w:cs="Book Antiqua"/>
          <w:color w:val="000000" w:themeColor="text1"/>
        </w:rPr>
        <w:t xml:space="preserve">, Cl, Na, </w:t>
      </w:r>
      <w:r w:rsidRPr="00B82E38">
        <w:rPr>
          <w:rFonts w:ascii="Book Antiqua" w:hAnsi="Book Antiqua"/>
          <w:color w:val="000000" w:themeColor="text1"/>
        </w:rPr>
        <w:t>white blood cell</w:t>
      </w:r>
      <w:r w:rsidR="00215608">
        <w:rPr>
          <w:rFonts w:ascii="Book Antiqua" w:hAnsi="Book Antiqua"/>
          <w:color w:val="000000" w:themeColor="text1"/>
        </w:rPr>
        <w:t>s</w:t>
      </w:r>
      <w:r w:rsidRPr="00B82E38">
        <w:rPr>
          <w:rFonts w:ascii="Book Antiqua" w:eastAsia="Book Antiqua" w:hAnsi="Book Antiqua" w:cs="Book Antiqua"/>
          <w:color w:val="000000" w:themeColor="text1"/>
        </w:rPr>
        <w:t xml:space="preserve">, </w:t>
      </w:r>
      <w:r w:rsidRPr="00B82E38">
        <w:rPr>
          <w:rFonts w:ascii="Book Antiqua" w:hAnsi="Book Antiqua"/>
          <w:color w:val="000000" w:themeColor="text1"/>
        </w:rPr>
        <w:t>active partial thromboplastin</w:t>
      </w:r>
      <w:r w:rsidRPr="00B82E38">
        <w:rPr>
          <w:rFonts w:ascii="Book Antiqua" w:eastAsia="Book Antiqua" w:hAnsi="Book Antiqua" w:cs="Book Antiqua"/>
          <w:color w:val="000000" w:themeColor="text1"/>
        </w:rPr>
        <w:t xml:space="preserve">, </w:t>
      </w:r>
      <w:r w:rsidR="00215608">
        <w:rPr>
          <w:rFonts w:ascii="Book Antiqua" w:eastAsia="Book Antiqua" w:hAnsi="Book Antiqua" w:cs="Book Antiqua"/>
          <w:color w:val="000000" w:themeColor="text1"/>
        </w:rPr>
        <w:t xml:space="preserve">or </w:t>
      </w:r>
      <w:r w:rsidRPr="00B82E38">
        <w:rPr>
          <w:rFonts w:ascii="Book Antiqua" w:hAnsi="Book Antiqua"/>
          <w:color w:val="000000" w:themeColor="text1"/>
        </w:rPr>
        <w:t>prothrombin time</w:t>
      </w:r>
      <w:r w:rsidR="00215608">
        <w:rPr>
          <w:rFonts w:ascii="Book Antiqua" w:eastAsia="Book Antiqua" w:hAnsi="Book Antiqua" w:cs="Book Antiqua"/>
          <w:color w:val="000000" w:themeColor="text1"/>
        </w:rPr>
        <w:t xml:space="preserve"> </w:t>
      </w:r>
      <w:r w:rsidRPr="00B82E38">
        <w:rPr>
          <w:rFonts w:ascii="Book Antiqua" w:eastAsia="Book Antiqua" w:hAnsi="Book Antiqua" w:cs="Book Antiqua"/>
          <w:color w:val="000000" w:themeColor="text1"/>
        </w:rPr>
        <w:t xml:space="preserve">in patients with different ICG-R15 </w:t>
      </w:r>
      <w:r w:rsidR="00215608">
        <w:rPr>
          <w:rFonts w:ascii="Book Antiqua" w:eastAsia="Book Antiqua" w:hAnsi="Book Antiqua" w:cs="Book Antiqua"/>
          <w:color w:val="000000" w:themeColor="text1"/>
        </w:rPr>
        <w:t>l</w:t>
      </w:r>
      <w:r w:rsidR="00215608" w:rsidRPr="00B82E38">
        <w:rPr>
          <w:rFonts w:ascii="Book Antiqua" w:eastAsia="Book Antiqua" w:hAnsi="Book Antiqua" w:cs="Book Antiqua"/>
          <w:color w:val="000000" w:themeColor="text1"/>
        </w:rPr>
        <w:t xml:space="preserve">evels </w:t>
      </w:r>
      <w:r w:rsidRPr="00B82E38">
        <w:rPr>
          <w:rFonts w:ascii="Book Antiqua" w:eastAsia="Book Antiqua" w:hAnsi="Book Antiqua" w:cs="Book Antiqua"/>
          <w:color w:val="000000" w:themeColor="text1"/>
        </w:rPr>
        <w:t>below</w:t>
      </w:r>
      <w:r w:rsidRPr="00B82E38">
        <w:rPr>
          <w:rFonts w:ascii="Book Antiqua" w:eastAsia="Book Antiqua" w:hAnsi="Book Antiqua" w:cs="Book Antiqua"/>
          <w:color w:val="000000" w:themeColor="text1"/>
        </w:rPr>
        <w:t xml:space="preserve"> and above 30% (Table 4).</w:t>
      </w:r>
    </w:p>
    <w:p w14:paraId="4575570A" w14:textId="77777777" w:rsidR="00BA37FB" w:rsidRPr="00B82E38" w:rsidRDefault="00BA37FB" w:rsidP="00372A8C">
      <w:pPr>
        <w:spacing w:line="360" w:lineRule="auto"/>
        <w:ind w:firstLine="560"/>
        <w:jc w:val="both"/>
        <w:rPr>
          <w:rFonts w:ascii="Book Antiqua" w:hAnsi="Book Antiqua"/>
          <w:color w:val="000000" w:themeColor="text1"/>
        </w:rPr>
      </w:pPr>
    </w:p>
    <w:p w14:paraId="4198F239" w14:textId="77777777" w:rsidR="00BA37FB" w:rsidRPr="00B82E38" w:rsidRDefault="008F363E" w:rsidP="00372A8C">
      <w:pPr>
        <w:spacing w:line="360" w:lineRule="auto"/>
        <w:jc w:val="both"/>
        <w:rPr>
          <w:rFonts w:ascii="Book Antiqua" w:hAnsi="Book Antiqua"/>
          <w:color w:val="000000" w:themeColor="text1"/>
        </w:rPr>
      </w:pPr>
      <w:r w:rsidRPr="00B82E38">
        <w:rPr>
          <w:rFonts w:ascii="Book Antiqua" w:eastAsia="Book Antiqua" w:hAnsi="Book Antiqua" w:cs="Book Antiqua"/>
          <w:b/>
          <w:caps/>
          <w:color w:val="000000" w:themeColor="text1"/>
          <w:u w:val="single"/>
        </w:rPr>
        <w:t>DISCUSSION</w:t>
      </w:r>
    </w:p>
    <w:p w14:paraId="23915B83" w14:textId="56DE53EE" w:rsidR="00BA37FB" w:rsidRPr="00B82E38" w:rsidRDefault="008F363E" w:rsidP="00372A8C">
      <w:pPr>
        <w:spacing w:line="360" w:lineRule="auto"/>
        <w:jc w:val="both"/>
        <w:rPr>
          <w:rFonts w:ascii="Book Antiqua" w:hAnsi="Book Antiqua"/>
          <w:color w:val="000000" w:themeColor="text1"/>
        </w:rPr>
      </w:pPr>
      <w:r w:rsidRPr="00B82E38">
        <w:rPr>
          <w:rFonts w:ascii="Book Antiqua" w:eastAsia="Book Antiqua" w:hAnsi="Book Antiqua" w:cs="Book Antiqua"/>
          <w:color w:val="000000" w:themeColor="text1"/>
        </w:rPr>
        <w:t>TIPS has been widely used to treat complications of PHT, including varices and ascites</w:t>
      </w:r>
      <w:r w:rsidR="00455F70">
        <w:rPr>
          <w:rFonts w:ascii="Book Antiqua" w:eastAsia="Book Antiqua" w:hAnsi="Book Antiqua" w:cs="Book Antiqua"/>
          <w:color w:val="000000" w:themeColor="text1"/>
        </w:rPr>
        <w:t>,</w:t>
      </w:r>
      <w:r w:rsidRPr="00B82E38">
        <w:rPr>
          <w:rFonts w:ascii="Book Antiqua" w:eastAsia="Book Antiqua" w:hAnsi="Book Antiqua" w:cs="Book Antiqua"/>
          <w:color w:val="000000" w:themeColor="text1"/>
        </w:rPr>
        <w:t xml:space="preserve"> </w:t>
      </w:r>
      <w:r w:rsidRPr="00B82E38">
        <w:rPr>
          <w:rFonts w:ascii="Book Antiqua" w:eastAsia="Book Antiqua" w:hAnsi="Book Antiqua" w:cs="Book Antiqua"/>
          <w:color w:val="000000" w:themeColor="text1"/>
        </w:rPr>
        <w:t>by</w:t>
      </w:r>
      <w:r w:rsidR="00455F70">
        <w:rPr>
          <w:rFonts w:ascii="Book Antiqua" w:eastAsia="Book Antiqua" w:hAnsi="Book Antiqua" w:cs="Book Antiqua"/>
          <w:color w:val="000000" w:themeColor="text1"/>
        </w:rPr>
        <w:t xml:space="preserve"> </w:t>
      </w:r>
      <w:r w:rsidRPr="00B82E38">
        <w:rPr>
          <w:rFonts w:ascii="Book Antiqua" w:eastAsia="Book Antiqua" w:hAnsi="Book Antiqua" w:cs="Book Antiqua"/>
          <w:color w:val="000000" w:themeColor="text1"/>
        </w:rPr>
        <w:t>creati</w:t>
      </w:r>
      <w:r w:rsidRPr="00B82E38">
        <w:rPr>
          <w:rFonts w:ascii="Book Antiqua" w:eastAsia="Book Antiqua" w:hAnsi="Book Antiqua" w:cs="Book Antiqua"/>
          <w:color w:val="000000" w:themeColor="text1"/>
        </w:rPr>
        <w:t xml:space="preserve">ng a large channel between the hepatic vein and portal vein. This procedure changes the liver </w:t>
      </w:r>
      <w:proofErr w:type="spellStart"/>
      <w:r w:rsidRPr="00B82E38">
        <w:rPr>
          <w:rFonts w:ascii="Book Antiqua" w:eastAsia="Book Antiqua" w:hAnsi="Book Antiqua" w:cs="Book Antiqua"/>
          <w:color w:val="000000" w:themeColor="text1"/>
        </w:rPr>
        <w:t>haemodynamics</w:t>
      </w:r>
      <w:proofErr w:type="spellEnd"/>
      <w:r w:rsidRPr="00B82E38">
        <w:rPr>
          <w:rFonts w:ascii="Book Antiqua" w:eastAsia="Book Antiqua" w:hAnsi="Book Antiqua" w:cs="Book Antiqua"/>
          <w:color w:val="000000" w:themeColor="text1"/>
        </w:rPr>
        <w:t xml:space="preserve"> by shunting a fraction of the portal venous blood directly into the systemic circulation, which can lead to decreased liver blood supply and impaired liver function reserve. In addition, HE occurs because of an increase in the amount of natural toxins such as ammonia travelling to the brain as a result of the </w:t>
      </w:r>
      <w:r w:rsidRPr="00B82E38">
        <w:rPr>
          <w:rFonts w:ascii="Book Antiqua" w:eastAsia="Book Antiqua" w:hAnsi="Book Antiqua" w:cs="Book Antiqua"/>
          <w:color w:val="000000" w:themeColor="text1"/>
        </w:rPr>
        <w:lastRenderedPageBreak/>
        <w:t xml:space="preserve">shunting of the blood directly from the portal vein to the hepatic </w:t>
      </w:r>
      <w:proofErr w:type="gramStart"/>
      <w:r w:rsidRPr="00B82E38">
        <w:rPr>
          <w:rFonts w:ascii="Book Antiqua" w:eastAsia="Book Antiqua" w:hAnsi="Book Antiqua" w:cs="Book Antiqua"/>
          <w:color w:val="000000" w:themeColor="text1"/>
        </w:rPr>
        <w:t>vein</w:t>
      </w:r>
      <w:r w:rsidRPr="00B82E38">
        <w:rPr>
          <w:rFonts w:ascii="Book Antiqua" w:eastAsia="Book Antiqua" w:hAnsi="Book Antiqua" w:cs="Book Antiqua"/>
          <w:color w:val="000000" w:themeColor="text1"/>
          <w:vertAlign w:val="superscript"/>
        </w:rPr>
        <w:t>[</w:t>
      </w:r>
      <w:proofErr w:type="gramEnd"/>
      <w:r w:rsidRPr="00B82E38">
        <w:rPr>
          <w:rFonts w:ascii="Book Antiqua" w:eastAsia="Book Antiqua" w:hAnsi="Book Antiqua" w:cs="Book Antiqua"/>
          <w:color w:val="000000" w:themeColor="text1"/>
          <w:vertAlign w:val="superscript"/>
        </w:rPr>
        <w:t>1</w:t>
      </w:r>
      <w:r w:rsidRPr="00B82E38">
        <w:rPr>
          <w:rFonts w:ascii="Book Antiqua" w:eastAsia="宋体" w:hAnsi="Book Antiqua" w:cs="Book Antiqua"/>
          <w:color w:val="000000" w:themeColor="text1"/>
          <w:vertAlign w:val="superscript"/>
          <w:lang w:eastAsia="zh-CN"/>
        </w:rPr>
        <w:t>8</w:t>
      </w:r>
      <w:r w:rsidRPr="00B82E38">
        <w:rPr>
          <w:rFonts w:ascii="Book Antiqua" w:eastAsia="Book Antiqua" w:hAnsi="Book Antiqua" w:cs="Book Antiqua"/>
          <w:color w:val="000000" w:themeColor="text1"/>
          <w:vertAlign w:val="superscript"/>
        </w:rPr>
        <w:t>]</w:t>
      </w:r>
      <w:r w:rsidRPr="00B82E38">
        <w:rPr>
          <w:rFonts w:ascii="Book Antiqua" w:eastAsia="Book Antiqua" w:hAnsi="Book Antiqua" w:cs="Book Antiqua"/>
          <w:color w:val="000000" w:themeColor="text1"/>
        </w:rPr>
        <w:t xml:space="preserve">. HE can produce a spectrum of neurological/psychiatric syndromes ranging from subclinical alterations to coma. It remains one of the most common and worrisome complications of end-stage liver disease after </w:t>
      </w:r>
      <w:proofErr w:type="gramStart"/>
      <w:r w:rsidRPr="00B82E38">
        <w:rPr>
          <w:rFonts w:ascii="Book Antiqua" w:eastAsia="Book Antiqua" w:hAnsi="Book Antiqua" w:cs="Book Antiqua"/>
          <w:color w:val="000000" w:themeColor="text1"/>
        </w:rPr>
        <w:t>TIPS</w:t>
      </w:r>
      <w:r w:rsidRPr="00B82E38">
        <w:rPr>
          <w:rFonts w:ascii="Book Antiqua" w:eastAsia="Book Antiqua" w:hAnsi="Book Antiqua" w:cs="Book Antiqua"/>
          <w:color w:val="000000" w:themeColor="text1"/>
          <w:vertAlign w:val="superscript"/>
        </w:rPr>
        <w:t>[</w:t>
      </w:r>
      <w:proofErr w:type="gramEnd"/>
      <w:r w:rsidRPr="00B82E38">
        <w:rPr>
          <w:rFonts w:ascii="Book Antiqua" w:eastAsia="Book Antiqua" w:hAnsi="Book Antiqua" w:cs="Book Antiqua"/>
          <w:color w:val="000000" w:themeColor="text1"/>
          <w:vertAlign w:val="superscript"/>
        </w:rPr>
        <w:t>15].</w:t>
      </w:r>
    </w:p>
    <w:p w14:paraId="1A706C29" w14:textId="1FA2E25C" w:rsidR="00BA37FB" w:rsidRPr="00B82E38" w:rsidRDefault="008F363E" w:rsidP="00372A8C">
      <w:pPr>
        <w:spacing w:line="360" w:lineRule="auto"/>
        <w:ind w:firstLineChars="200" w:firstLine="480"/>
        <w:jc w:val="both"/>
        <w:rPr>
          <w:rFonts w:ascii="Book Antiqua" w:hAnsi="Book Antiqua"/>
          <w:color w:val="000000" w:themeColor="text1"/>
        </w:rPr>
      </w:pPr>
      <w:r w:rsidRPr="00B82E38">
        <w:rPr>
          <w:rFonts w:ascii="Book Antiqua" w:eastAsia="Book Antiqua" w:hAnsi="Book Antiqua" w:cs="Book Antiqua"/>
          <w:color w:val="000000" w:themeColor="text1"/>
        </w:rPr>
        <w:t xml:space="preserve">The ICG-R15 test is simple, fast, less invasive, and inexpensive, and can be performed in less than half an hour. The ICG-R15 retention trial was introduced as a relatively noninvasive tool for the classification of pediatric and adult patients with acute and chronic liver </w:t>
      </w:r>
      <w:proofErr w:type="gramStart"/>
      <w:r w:rsidRPr="00B82E38">
        <w:rPr>
          <w:rFonts w:ascii="Book Antiqua" w:eastAsia="Book Antiqua" w:hAnsi="Book Antiqua" w:cs="Book Antiqua"/>
          <w:color w:val="000000" w:themeColor="text1"/>
        </w:rPr>
        <w:t>failure</w:t>
      </w:r>
      <w:r w:rsidRPr="00B82E38">
        <w:rPr>
          <w:rFonts w:ascii="Book Antiqua" w:eastAsia="Book Antiqua" w:hAnsi="Book Antiqua" w:cs="Book Antiqua"/>
          <w:color w:val="000000" w:themeColor="text1"/>
          <w:vertAlign w:val="superscript"/>
        </w:rPr>
        <w:t>[</w:t>
      </w:r>
      <w:proofErr w:type="gramEnd"/>
      <w:r w:rsidRPr="00B82E38">
        <w:rPr>
          <w:rFonts w:ascii="Book Antiqua" w:eastAsia="Book Antiqua" w:hAnsi="Book Antiqua" w:cs="Book Antiqua"/>
          <w:color w:val="000000" w:themeColor="text1"/>
          <w:vertAlign w:val="superscript"/>
        </w:rPr>
        <w:t>1</w:t>
      </w:r>
      <w:r w:rsidRPr="00B82E38">
        <w:rPr>
          <w:rFonts w:ascii="Book Antiqua" w:eastAsia="宋体" w:hAnsi="Book Antiqua" w:cs="Book Antiqua"/>
          <w:color w:val="000000" w:themeColor="text1"/>
          <w:vertAlign w:val="superscript"/>
          <w:lang w:eastAsia="zh-CN"/>
        </w:rPr>
        <w:t>9</w:t>
      </w:r>
      <w:r w:rsidRPr="00B82E38">
        <w:rPr>
          <w:rFonts w:ascii="Book Antiqua" w:eastAsia="Book Antiqua" w:hAnsi="Book Antiqua" w:cs="Book Antiqua"/>
          <w:color w:val="000000" w:themeColor="text1"/>
          <w:vertAlign w:val="superscript"/>
        </w:rPr>
        <w:t>]</w:t>
      </w:r>
      <w:r w:rsidRPr="00B82E38">
        <w:rPr>
          <w:rFonts w:ascii="Book Antiqua" w:eastAsia="Book Antiqua" w:hAnsi="Book Antiqua" w:cs="Book Antiqua"/>
          <w:color w:val="000000" w:themeColor="text1"/>
        </w:rPr>
        <w:t xml:space="preserve">. A particular advantage of the ICG-R15 test is that it is more suitable for pediatric patients. In addition, the trial appears to be an ideal way to assess the risks of surgical procedures such as liver resection. In addition to assessing the predictive value of varices and ascites, the results of some papers suggest that the ICG-R15 test may also predict </w:t>
      </w:r>
      <w:proofErr w:type="gramStart"/>
      <w:r w:rsidRPr="00B82E38">
        <w:rPr>
          <w:rFonts w:ascii="Book Antiqua" w:eastAsia="Book Antiqua" w:hAnsi="Book Antiqua" w:cs="Book Antiqua"/>
          <w:color w:val="000000" w:themeColor="text1"/>
        </w:rPr>
        <w:t>mortality</w:t>
      </w:r>
      <w:r w:rsidRPr="00B82E38">
        <w:rPr>
          <w:rFonts w:ascii="Book Antiqua" w:eastAsia="Book Antiqua" w:hAnsi="Book Antiqua" w:cs="Book Antiqua"/>
          <w:color w:val="000000" w:themeColor="text1"/>
          <w:vertAlign w:val="superscript"/>
        </w:rPr>
        <w:t>[</w:t>
      </w:r>
      <w:proofErr w:type="gramEnd"/>
      <w:r w:rsidR="0034738A" w:rsidRPr="00B82E38">
        <w:rPr>
          <w:rFonts w:ascii="Book Antiqua" w:eastAsia="Book Antiqua" w:hAnsi="Book Antiqua" w:cs="Book Antiqua"/>
          <w:color w:val="000000" w:themeColor="text1"/>
          <w:vertAlign w:val="superscript"/>
        </w:rPr>
        <w:t>20</w:t>
      </w:r>
      <w:r w:rsidRPr="00B82E38">
        <w:rPr>
          <w:rFonts w:ascii="Book Antiqua" w:eastAsia="Book Antiqua" w:hAnsi="Book Antiqua" w:cs="Book Antiqua"/>
          <w:color w:val="000000" w:themeColor="text1"/>
          <w:vertAlign w:val="superscript"/>
        </w:rPr>
        <w:t>]</w:t>
      </w:r>
      <w:r w:rsidRPr="00B82E38">
        <w:rPr>
          <w:rFonts w:ascii="Book Antiqua" w:eastAsia="Book Antiqua" w:hAnsi="Book Antiqua" w:cs="Book Antiqua"/>
          <w:color w:val="000000" w:themeColor="text1"/>
        </w:rPr>
        <w:t xml:space="preserve">. </w:t>
      </w:r>
    </w:p>
    <w:p w14:paraId="65F223E1" w14:textId="49E31EC6" w:rsidR="00BA37FB" w:rsidRPr="00B82E38" w:rsidRDefault="008F363E" w:rsidP="00372A8C">
      <w:pPr>
        <w:spacing w:line="360" w:lineRule="auto"/>
        <w:ind w:firstLine="560"/>
        <w:jc w:val="both"/>
        <w:rPr>
          <w:rFonts w:ascii="Book Antiqua" w:hAnsi="Book Antiqua"/>
          <w:color w:val="000000" w:themeColor="text1"/>
        </w:rPr>
      </w:pPr>
      <w:r w:rsidRPr="00B82E38">
        <w:rPr>
          <w:rFonts w:ascii="Book Antiqua" w:eastAsia="Book Antiqua" w:hAnsi="Book Antiqua" w:cs="Book Antiqua"/>
          <w:color w:val="000000" w:themeColor="text1"/>
        </w:rPr>
        <w:t>In this study, univariate and multivariate logistic analyses showed that 10 mm stent size, puncture site in the right branch of the po</w:t>
      </w:r>
      <w:r w:rsidRPr="00B82E38">
        <w:rPr>
          <w:rFonts w:ascii="Book Antiqua" w:eastAsia="Book Antiqua" w:hAnsi="Book Antiqua" w:cs="Book Antiqua"/>
          <w:color w:val="000000" w:themeColor="text1"/>
        </w:rPr>
        <w:t>rtal vein, age, ICG-R15, BUN level, NH</w:t>
      </w:r>
      <w:r w:rsidRPr="00B82E38">
        <w:rPr>
          <w:rFonts w:ascii="Book Antiqua" w:eastAsia="Book Antiqua" w:hAnsi="Book Antiqua" w:cs="Book Antiqua"/>
          <w:color w:val="000000" w:themeColor="text1"/>
          <w:vertAlign w:val="subscript"/>
        </w:rPr>
        <w:t>3</w:t>
      </w:r>
      <w:r w:rsidRPr="00B82E38">
        <w:rPr>
          <w:rFonts w:ascii="Book Antiqua" w:eastAsia="Book Antiqua" w:hAnsi="Book Antiqua" w:cs="Book Antiqua"/>
          <w:color w:val="000000" w:themeColor="text1"/>
        </w:rPr>
        <w:t xml:space="preserve"> level, </w:t>
      </w:r>
      <w:r w:rsidR="00215608" w:rsidRPr="00B82E38">
        <w:rPr>
          <w:rFonts w:ascii="Book Antiqua" w:eastAsia="Book Antiqua" w:hAnsi="Book Antiqua" w:cs="Book Antiqua"/>
          <w:color w:val="000000" w:themeColor="text1"/>
        </w:rPr>
        <w:t>CPS</w:t>
      </w:r>
      <w:r w:rsidR="00215608">
        <w:rPr>
          <w:rFonts w:ascii="Book Antiqua" w:eastAsia="Book Antiqua" w:hAnsi="Book Antiqua" w:cs="Book Antiqua"/>
          <w:color w:val="000000" w:themeColor="text1"/>
        </w:rPr>
        <w:t>,</w:t>
      </w:r>
      <w:r w:rsidR="00215608" w:rsidRPr="00B82E38">
        <w:rPr>
          <w:rFonts w:ascii="Book Antiqua" w:eastAsia="Book Antiqua" w:hAnsi="Book Antiqua" w:cs="Book Antiqua"/>
          <w:color w:val="000000" w:themeColor="text1"/>
        </w:rPr>
        <w:t xml:space="preserve"> </w:t>
      </w:r>
      <w:r w:rsidRPr="00B82E38">
        <w:rPr>
          <w:rFonts w:ascii="Book Antiqua" w:eastAsia="Book Antiqua" w:hAnsi="Book Antiqua" w:cs="Book Antiqua"/>
          <w:color w:val="000000" w:themeColor="text1"/>
        </w:rPr>
        <w:t xml:space="preserve">and MELD score were predictors </w:t>
      </w:r>
      <w:r w:rsidR="00215608">
        <w:rPr>
          <w:rFonts w:ascii="Book Antiqua" w:eastAsia="Book Antiqua" w:hAnsi="Book Antiqua" w:cs="Book Antiqua"/>
          <w:color w:val="000000" w:themeColor="text1"/>
        </w:rPr>
        <w:t>of</w:t>
      </w:r>
      <w:r w:rsidR="00215608" w:rsidRPr="00B82E38">
        <w:rPr>
          <w:rFonts w:ascii="Book Antiqua" w:eastAsia="Book Antiqua" w:hAnsi="Book Antiqua" w:cs="Book Antiqua"/>
          <w:color w:val="000000" w:themeColor="text1"/>
        </w:rPr>
        <w:t xml:space="preserve"> </w:t>
      </w:r>
      <w:r w:rsidRPr="00B82E38">
        <w:rPr>
          <w:rFonts w:ascii="Book Antiqua" w:eastAsia="Book Antiqua" w:hAnsi="Book Antiqua" w:cs="Book Antiqua"/>
          <w:color w:val="000000" w:themeColor="text1"/>
        </w:rPr>
        <w:t xml:space="preserve">post-TIPS HE in patients with portal hypertension. Patients with puncture sites in the right portal vein had </w:t>
      </w:r>
      <w:r w:rsidR="00215608">
        <w:rPr>
          <w:rFonts w:ascii="Book Antiqua" w:eastAsia="Book Antiqua" w:hAnsi="Book Antiqua" w:cs="Book Antiqua"/>
          <w:color w:val="000000" w:themeColor="text1"/>
        </w:rPr>
        <w:t xml:space="preserve">a </w:t>
      </w:r>
      <w:r w:rsidRPr="00B82E38">
        <w:rPr>
          <w:rFonts w:ascii="Book Antiqua" w:eastAsia="Book Antiqua" w:hAnsi="Book Antiqua" w:cs="Book Antiqua"/>
          <w:color w:val="000000" w:themeColor="text1"/>
        </w:rPr>
        <w:t xml:space="preserve">high incidence of post-TIPS HE. This is related to the right branch of </w:t>
      </w:r>
      <w:r w:rsidR="00215608">
        <w:rPr>
          <w:rFonts w:ascii="Book Antiqua" w:eastAsia="Book Antiqua" w:hAnsi="Book Antiqua" w:cs="Book Antiqua"/>
          <w:color w:val="000000" w:themeColor="text1"/>
        </w:rPr>
        <w:t xml:space="preserve">the </w:t>
      </w:r>
      <w:r w:rsidRPr="00B82E38">
        <w:rPr>
          <w:rFonts w:ascii="Book Antiqua" w:eastAsia="Book Antiqua" w:hAnsi="Book Antiqua" w:cs="Book Antiqua"/>
          <w:color w:val="000000" w:themeColor="text1"/>
        </w:rPr>
        <w:t xml:space="preserve">portal vein contains more poisons mainly received from </w:t>
      </w:r>
      <w:r w:rsidR="00215608">
        <w:rPr>
          <w:rFonts w:ascii="Book Antiqua" w:eastAsia="Book Antiqua" w:hAnsi="Book Antiqua" w:cs="Book Antiqua"/>
          <w:color w:val="000000" w:themeColor="text1"/>
        </w:rPr>
        <w:t xml:space="preserve">the </w:t>
      </w:r>
      <w:r w:rsidRPr="00B82E38">
        <w:rPr>
          <w:rFonts w:ascii="Book Antiqua" w:eastAsia="Book Antiqua" w:hAnsi="Book Antiqua" w:cs="Book Antiqua"/>
          <w:color w:val="000000" w:themeColor="text1"/>
        </w:rPr>
        <w:t xml:space="preserve">superior mesenteric </w:t>
      </w:r>
      <w:proofErr w:type="gramStart"/>
      <w:r w:rsidRPr="00B82E38">
        <w:rPr>
          <w:rFonts w:ascii="Book Antiqua" w:eastAsia="Book Antiqua" w:hAnsi="Book Antiqua" w:cs="Book Antiqua"/>
          <w:color w:val="000000" w:themeColor="text1"/>
        </w:rPr>
        <w:t>ve</w:t>
      </w:r>
      <w:r w:rsidR="00215608">
        <w:rPr>
          <w:rFonts w:ascii="Book Antiqua" w:eastAsia="Book Antiqua" w:hAnsi="Book Antiqua" w:cs="Book Antiqua"/>
          <w:color w:val="000000" w:themeColor="text1"/>
        </w:rPr>
        <w:t>i</w:t>
      </w:r>
      <w:r w:rsidRPr="00B82E38">
        <w:rPr>
          <w:rFonts w:ascii="Book Antiqua" w:eastAsia="Book Antiqua" w:hAnsi="Book Antiqua" w:cs="Book Antiqua"/>
          <w:color w:val="000000" w:themeColor="text1"/>
        </w:rPr>
        <w:t>n</w:t>
      </w:r>
      <w:r w:rsidRPr="00B82E38">
        <w:rPr>
          <w:rFonts w:ascii="Book Antiqua" w:eastAsia="Book Antiqua" w:hAnsi="Book Antiqua" w:cs="Book Antiqua"/>
          <w:color w:val="000000" w:themeColor="text1"/>
          <w:vertAlign w:val="superscript"/>
        </w:rPr>
        <w:t>[</w:t>
      </w:r>
      <w:proofErr w:type="gramEnd"/>
      <w:r w:rsidRPr="00B82E38">
        <w:rPr>
          <w:rFonts w:ascii="Book Antiqua" w:eastAsia="Book Antiqua" w:hAnsi="Book Antiqua" w:cs="Book Antiqua"/>
          <w:color w:val="000000" w:themeColor="text1"/>
          <w:vertAlign w:val="superscript"/>
        </w:rPr>
        <w:t>2</w:t>
      </w:r>
      <w:r w:rsidRPr="00B82E38">
        <w:rPr>
          <w:rFonts w:ascii="Book Antiqua" w:eastAsia="宋体" w:hAnsi="Book Antiqua" w:cs="Book Antiqua"/>
          <w:color w:val="000000" w:themeColor="text1"/>
          <w:vertAlign w:val="superscript"/>
          <w:lang w:eastAsia="zh-CN"/>
        </w:rPr>
        <w:t>1</w:t>
      </w:r>
      <w:r w:rsidRPr="00B82E38">
        <w:rPr>
          <w:rFonts w:ascii="Book Antiqua" w:eastAsia="Book Antiqua" w:hAnsi="Book Antiqua" w:cs="Book Antiqua"/>
          <w:color w:val="000000" w:themeColor="text1"/>
          <w:vertAlign w:val="superscript"/>
        </w:rPr>
        <w:t>-2</w:t>
      </w:r>
      <w:r w:rsidRPr="00B82E38">
        <w:rPr>
          <w:rFonts w:ascii="Book Antiqua" w:eastAsia="宋体" w:hAnsi="Book Antiqua" w:cs="Book Antiqua"/>
          <w:color w:val="000000" w:themeColor="text1"/>
          <w:vertAlign w:val="superscript"/>
          <w:lang w:eastAsia="zh-CN"/>
        </w:rPr>
        <w:t>3</w:t>
      </w:r>
      <w:r w:rsidRPr="00B82E38">
        <w:rPr>
          <w:rFonts w:ascii="Book Antiqua" w:eastAsia="Book Antiqua" w:hAnsi="Book Antiqua" w:cs="Book Antiqua"/>
          <w:color w:val="000000" w:themeColor="text1"/>
          <w:vertAlign w:val="superscript"/>
        </w:rPr>
        <w:t>]</w:t>
      </w:r>
      <w:r w:rsidRPr="00B82E38">
        <w:rPr>
          <w:rFonts w:ascii="Book Antiqua" w:eastAsia="Book Antiqua" w:hAnsi="Book Antiqua" w:cs="Book Antiqua"/>
          <w:color w:val="000000" w:themeColor="text1"/>
        </w:rPr>
        <w:t>. It was</w:t>
      </w:r>
      <w:r w:rsidRPr="00B82E38">
        <w:rPr>
          <w:rFonts w:ascii="Book Antiqua" w:eastAsia="Book Antiqua" w:hAnsi="Book Antiqua" w:cs="Book Antiqua"/>
          <w:color w:val="000000" w:themeColor="text1"/>
        </w:rPr>
        <w:t xml:space="preserve"> reported that choosing the left branch of the portal vein as the puncture site during the placement of TIPS may decrease the incidence of HE significantly</w:t>
      </w:r>
      <w:r w:rsidRPr="00B82E38">
        <w:rPr>
          <w:rFonts w:ascii="Book Antiqua" w:eastAsia="Book Antiqua" w:hAnsi="Book Antiqua" w:cs="Book Antiqua"/>
          <w:color w:val="000000" w:themeColor="text1"/>
          <w:vertAlign w:val="superscript"/>
        </w:rPr>
        <w:t>[2</w:t>
      </w:r>
      <w:r w:rsidRPr="00B82E38">
        <w:rPr>
          <w:rFonts w:ascii="Book Antiqua" w:eastAsia="宋体" w:hAnsi="Book Antiqua" w:cs="Book Antiqua"/>
          <w:color w:val="000000" w:themeColor="text1"/>
          <w:vertAlign w:val="superscript"/>
          <w:lang w:eastAsia="zh-CN"/>
        </w:rPr>
        <w:t>4</w:t>
      </w:r>
      <w:r w:rsidRPr="00B82E38">
        <w:rPr>
          <w:rFonts w:ascii="Book Antiqua" w:eastAsia="Book Antiqua" w:hAnsi="Book Antiqua" w:cs="Book Antiqua"/>
          <w:color w:val="000000" w:themeColor="text1"/>
          <w:vertAlign w:val="superscript"/>
        </w:rPr>
        <w:t>,2</w:t>
      </w:r>
      <w:r w:rsidRPr="00B82E38">
        <w:rPr>
          <w:rFonts w:ascii="Book Antiqua" w:eastAsia="宋体" w:hAnsi="Book Antiqua" w:cs="Book Antiqua"/>
          <w:color w:val="000000" w:themeColor="text1"/>
          <w:vertAlign w:val="superscript"/>
          <w:lang w:eastAsia="zh-CN"/>
        </w:rPr>
        <w:t>5</w:t>
      </w:r>
      <w:r w:rsidRPr="00B82E38">
        <w:rPr>
          <w:rFonts w:ascii="Book Antiqua" w:eastAsia="Book Antiqua" w:hAnsi="Book Antiqua" w:cs="Book Antiqua"/>
          <w:color w:val="000000" w:themeColor="text1"/>
          <w:vertAlign w:val="superscript"/>
        </w:rPr>
        <w:t>]</w:t>
      </w:r>
      <w:r w:rsidRPr="00B82E38">
        <w:rPr>
          <w:rFonts w:ascii="Book Antiqua" w:eastAsia="Book Antiqua" w:hAnsi="Book Antiqua" w:cs="Book Antiqua"/>
          <w:color w:val="000000" w:themeColor="text1"/>
        </w:rPr>
        <w:t xml:space="preserve">. HE occurs more often in patients with a stent diameter of 10 mm than in those with smaller-diameter stents. A larger stent can effectively reduce portal vein pressure, but at the same time, more blood that has not been detoxified by the liver directly enters the systemic circulation, which can further impair liver function and lead to HE. However, some studies showed that the incidence of post-TIPS HE was unrelated to stent </w:t>
      </w:r>
      <w:proofErr w:type="gramStart"/>
      <w:r w:rsidRPr="00B82E38">
        <w:rPr>
          <w:rFonts w:ascii="Book Antiqua" w:eastAsia="Book Antiqua" w:hAnsi="Book Antiqua" w:cs="Book Antiqua"/>
          <w:color w:val="000000" w:themeColor="text1"/>
        </w:rPr>
        <w:t>diameter</w:t>
      </w:r>
      <w:r w:rsidRPr="00B82E38">
        <w:rPr>
          <w:rFonts w:ascii="Book Antiqua" w:eastAsia="Book Antiqua" w:hAnsi="Book Antiqua" w:cs="Book Antiqua"/>
          <w:color w:val="000000" w:themeColor="text1"/>
          <w:vertAlign w:val="superscript"/>
        </w:rPr>
        <w:t>[</w:t>
      </w:r>
      <w:proofErr w:type="gramEnd"/>
      <w:r w:rsidRPr="00B82E38">
        <w:rPr>
          <w:rFonts w:ascii="Book Antiqua" w:eastAsia="Book Antiqua" w:hAnsi="Book Antiqua" w:cs="Book Antiqua"/>
          <w:color w:val="000000" w:themeColor="text1"/>
          <w:vertAlign w:val="superscript"/>
        </w:rPr>
        <w:t>2</w:t>
      </w:r>
      <w:r w:rsidR="00CD48CE" w:rsidRPr="00B82E38">
        <w:rPr>
          <w:rFonts w:ascii="Book Antiqua" w:eastAsia="Book Antiqua" w:hAnsi="Book Antiqua" w:cs="Book Antiqua"/>
          <w:color w:val="000000" w:themeColor="text1"/>
          <w:vertAlign w:val="superscript"/>
        </w:rPr>
        <w:t>6</w:t>
      </w:r>
      <w:r w:rsidRPr="00B82E38">
        <w:rPr>
          <w:rFonts w:ascii="Book Antiqua" w:eastAsia="Book Antiqua" w:hAnsi="Book Antiqua" w:cs="Book Antiqua"/>
          <w:color w:val="000000" w:themeColor="text1"/>
          <w:vertAlign w:val="superscript"/>
        </w:rPr>
        <w:t>]</w:t>
      </w:r>
      <w:r w:rsidRPr="00B82E38">
        <w:rPr>
          <w:rFonts w:ascii="Book Antiqua" w:eastAsia="Book Antiqua" w:hAnsi="Book Antiqua" w:cs="Book Antiqua"/>
          <w:color w:val="000000" w:themeColor="text1"/>
        </w:rPr>
        <w:t xml:space="preserve">. Li </w:t>
      </w:r>
      <w:r w:rsidRPr="00B82E38">
        <w:rPr>
          <w:rFonts w:ascii="Book Antiqua" w:eastAsia="Book Antiqua" w:hAnsi="Book Antiqua" w:cs="Book Antiqua"/>
          <w:i/>
          <w:iCs/>
          <w:color w:val="000000" w:themeColor="text1"/>
        </w:rPr>
        <w:t>et al</w:t>
      </w:r>
      <w:r w:rsidRPr="00B82E38">
        <w:rPr>
          <w:rFonts w:ascii="Book Antiqua" w:eastAsia="Book Antiqua" w:hAnsi="Book Antiqua" w:cs="Book Antiqua"/>
          <w:color w:val="000000" w:themeColor="text1"/>
          <w:vertAlign w:val="superscript"/>
        </w:rPr>
        <w:t>[2</w:t>
      </w:r>
      <w:r w:rsidR="00CD48CE" w:rsidRPr="00B82E38">
        <w:rPr>
          <w:rFonts w:ascii="Book Antiqua" w:eastAsia="Book Antiqua" w:hAnsi="Book Antiqua" w:cs="Book Antiqua"/>
          <w:color w:val="000000" w:themeColor="text1"/>
          <w:vertAlign w:val="superscript"/>
        </w:rPr>
        <w:t>7</w:t>
      </w:r>
      <w:r w:rsidRPr="00B82E38">
        <w:rPr>
          <w:rFonts w:ascii="Book Antiqua" w:eastAsia="Book Antiqua" w:hAnsi="Book Antiqua" w:cs="Book Antiqua"/>
          <w:color w:val="000000" w:themeColor="text1"/>
          <w:vertAlign w:val="superscript"/>
        </w:rPr>
        <w:t>]</w:t>
      </w:r>
      <w:r w:rsidRPr="00B82E38">
        <w:rPr>
          <w:rFonts w:ascii="Book Antiqua" w:eastAsia="Book Antiqua" w:hAnsi="Book Antiqua" w:cs="Book Antiqua"/>
          <w:color w:val="000000" w:themeColor="text1"/>
        </w:rPr>
        <w:t xml:space="preserve"> also found that age and Child-Pugh classification were independent risk factors for early post-TIPS HE</w:t>
      </w:r>
      <w:r w:rsidRPr="00B82E38">
        <w:rPr>
          <w:rFonts w:ascii="Book Antiqua" w:eastAsia="Book Antiqua" w:hAnsi="Book Antiqua" w:cs="Book Antiqua"/>
          <w:color w:val="000000" w:themeColor="text1"/>
          <w:vertAlign w:val="superscript"/>
        </w:rPr>
        <w:t>[2</w:t>
      </w:r>
      <w:r w:rsidRPr="00B82E38">
        <w:rPr>
          <w:rFonts w:ascii="Book Antiqua" w:eastAsia="宋体" w:hAnsi="Book Antiqua" w:cs="Book Antiqua"/>
          <w:color w:val="000000" w:themeColor="text1"/>
          <w:vertAlign w:val="superscript"/>
          <w:lang w:eastAsia="zh-CN"/>
        </w:rPr>
        <w:t>7</w:t>
      </w:r>
      <w:r w:rsidRPr="00B82E38">
        <w:rPr>
          <w:rFonts w:ascii="Book Antiqua" w:eastAsia="Book Antiqua" w:hAnsi="Book Antiqua" w:cs="Book Antiqua"/>
          <w:color w:val="000000" w:themeColor="text1"/>
          <w:vertAlign w:val="superscript"/>
        </w:rPr>
        <w:t>]</w:t>
      </w:r>
      <w:r w:rsidRPr="00B82E38">
        <w:rPr>
          <w:rFonts w:ascii="Book Antiqua" w:eastAsia="Book Antiqua" w:hAnsi="Book Antiqua" w:cs="Book Antiqua"/>
          <w:color w:val="000000" w:themeColor="text1"/>
        </w:rPr>
        <w:t>, which was in accord with previous studies</w:t>
      </w:r>
      <w:r w:rsidRPr="00B82E38">
        <w:rPr>
          <w:rFonts w:ascii="Book Antiqua" w:eastAsia="Book Antiqua" w:hAnsi="Book Antiqua" w:cs="Book Antiqua"/>
          <w:color w:val="000000" w:themeColor="text1"/>
          <w:vertAlign w:val="superscript"/>
        </w:rPr>
        <w:t>[2</w:t>
      </w:r>
      <w:r w:rsidRPr="00B82E38">
        <w:rPr>
          <w:rFonts w:ascii="Book Antiqua" w:eastAsia="宋体" w:hAnsi="Book Antiqua" w:cs="Book Antiqua"/>
          <w:color w:val="000000" w:themeColor="text1"/>
          <w:vertAlign w:val="superscript"/>
          <w:lang w:eastAsia="zh-CN"/>
        </w:rPr>
        <w:t>8</w:t>
      </w:r>
      <w:r w:rsidRPr="00B82E38">
        <w:rPr>
          <w:rFonts w:ascii="Book Antiqua" w:eastAsia="Book Antiqua" w:hAnsi="Book Antiqua" w:cs="Book Antiqua"/>
          <w:color w:val="000000" w:themeColor="text1"/>
          <w:vertAlign w:val="superscript"/>
        </w:rPr>
        <w:t>,2</w:t>
      </w:r>
      <w:r w:rsidRPr="00B82E38">
        <w:rPr>
          <w:rFonts w:ascii="Book Antiqua" w:eastAsia="宋体" w:hAnsi="Book Antiqua" w:cs="Book Antiqua"/>
          <w:color w:val="000000" w:themeColor="text1"/>
          <w:vertAlign w:val="superscript"/>
          <w:lang w:eastAsia="zh-CN"/>
        </w:rPr>
        <w:t>9</w:t>
      </w:r>
      <w:r w:rsidRPr="00B82E38">
        <w:rPr>
          <w:rFonts w:ascii="Book Antiqua" w:eastAsia="Book Antiqua" w:hAnsi="Book Antiqua" w:cs="Book Antiqua"/>
          <w:color w:val="000000" w:themeColor="text1"/>
          <w:vertAlign w:val="superscript"/>
        </w:rPr>
        <w:t>].</w:t>
      </w:r>
      <w:r w:rsidRPr="00B82E38">
        <w:rPr>
          <w:rFonts w:ascii="Book Antiqua" w:eastAsia="Book Antiqua" w:hAnsi="Book Antiqua" w:cs="Book Antiqua"/>
          <w:color w:val="000000" w:themeColor="text1"/>
        </w:rPr>
        <w:t xml:space="preserve"> </w:t>
      </w:r>
      <w:proofErr w:type="spellStart"/>
      <w:r w:rsidRPr="00B82E38">
        <w:rPr>
          <w:rFonts w:ascii="Book Antiqua" w:eastAsia="Book Antiqua" w:hAnsi="Book Antiqua" w:cs="Book Antiqua"/>
          <w:color w:val="000000" w:themeColor="text1"/>
        </w:rPr>
        <w:t>Fonio</w:t>
      </w:r>
      <w:proofErr w:type="spellEnd"/>
      <w:r w:rsidRPr="00B82E38">
        <w:rPr>
          <w:rFonts w:ascii="Book Antiqua" w:eastAsia="Book Antiqua" w:hAnsi="Book Antiqua" w:cs="Book Antiqua"/>
          <w:color w:val="000000" w:themeColor="text1"/>
        </w:rPr>
        <w:t xml:space="preserve"> </w:t>
      </w:r>
      <w:r w:rsidRPr="00B82E38">
        <w:rPr>
          <w:rFonts w:ascii="Book Antiqua" w:eastAsia="Book Antiqua" w:hAnsi="Book Antiqua" w:cs="Book Antiqua"/>
          <w:i/>
          <w:iCs/>
          <w:color w:val="000000" w:themeColor="text1"/>
        </w:rPr>
        <w:t xml:space="preserve">et </w:t>
      </w:r>
      <w:proofErr w:type="gramStart"/>
      <w:r w:rsidRPr="00B82E38">
        <w:rPr>
          <w:rFonts w:ascii="Book Antiqua" w:eastAsia="Book Antiqua" w:hAnsi="Book Antiqua" w:cs="Book Antiqua"/>
          <w:i/>
          <w:iCs/>
          <w:color w:val="000000" w:themeColor="text1"/>
        </w:rPr>
        <w:t>al</w:t>
      </w:r>
      <w:r w:rsidRPr="00B82E38">
        <w:rPr>
          <w:rFonts w:ascii="Book Antiqua" w:eastAsia="Book Antiqua" w:hAnsi="Book Antiqua" w:cs="Book Antiqua"/>
          <w:color w:val="000000" w:themeColor="text1"/>
          <w:vertAlign w:val="superscript"/>
        </w:rPr>
        <w:t>[</w:t>
      </w:r>
      <w:proofErr w:type="gramEnd"/>
      <w:r w:rsidRPr="00B82E38">
        <w:rPr>
          <w:rFonts w:ascii="Book Antiqua" w:eastAsia="Book Antiqua" w:hAnsi="Book Antiqua" w:cs="Book Antiqua"/>
          <w:color w:val="000000" w:themeColor="text1"/>
          <w:vertAlign w:val="superscript"/>
        </w:rPr>
        <w:t xml:space="preserve">4] </w:t>
      </w:r>
      <w:r w:rsidRPr="00B82E38">
        <w:rPr>
          <w:rFonts w:ascii="Book Antiqua" w:eastAsia="Book Antiqua" w:hAnsi="Book Antiqua" w:cs="Book Antiqua"/>
          <w:color w:val="000000" w:themeColor="text1"/>
        </w:rPr>
        <w:t>demonstrated that the MELD grade was a risk factor for post-TIPS HE; the results of this study support this finding</w:t>
      </w:r>
      <w:r w:rsidRPr="00B82E38">
        <w:rPr>
          <w:rFonts w:ascii="Book Antiqua" w:eastAsia="Book Antiqua" w:hAnsi="Book Antiqua" w:cs="Book Antiqua"/>
          <w:color w:val="000000" w:themeColor="text1"/>
          <w:vertAlign w:val="superscript"/>
        </w:rPr>
        <w:t>[4]</w:t>
      </w:r>
      <w:r w:rsidRPr="00B82E38">
        <w:rPr>
          <w:rFonts w:ascii="Book Antiqua" w:eastAsia="Book Antiqua" w:hAnsi="Book Antiqua" w:cs="Book Antiqua"/>
          <w:color w:val="000000" w:themeColor="text1"/>
        </w:rPr>
        <w:t>. Normally, ammonia is detoxified by conve</w:t>
      </w:r>
      <w:r w:rsidRPr="00B82E38">
        <w:rPr>
          <w:rFonts w:ascii="Book Antiqua" w:eastAsia="Book Antiqua" w:hAnsi="Book Antiqua" w:cs="Book Antiqua"/>
          <w:color w:val="000000" w:themeColor="text1"/>
        </w:rPr>
        <w:t>rsion to urea</w:t>
      </w:r>
      <w:r w:rsidR="00215608">
        <w:rPr>
          <w:rFonts w:ascii="Book Antiqua" w:eastAsia="Book Antiqua" w:hAnsi="Book Antiqua" w:cs="Book Antiqua"/>
          <w:color w:val="000000" w:themeColor="text1"/>
        </w:rPr>
        <w:t xml:space="preserve"> </w:t>
      </w:r>
      <w:r w:rsidRPr="00B82E38">
        <w:rPr>
          <w:rFonts w:ascii="Book Antiqua" w:eastAsia="Book Antiqua" w:hAnsi="Book Antiqua" w:cs="Book Antiqua"/>
          <w:color w:val="000000" w:themeColor="text1"/>
        </w:rPr>
        <w:t xml:space="preserve">by </w:t>
      </w:r>
      <w:r w:rsidRPr="00B82E38">
        <w:rPr>
          <w:rFonts w:ascii="Book Antiqua" w:eastAsia="Book Antiqua" w:hAnsi="Book Antiqua" w:cs="Book Antiqua"/>
          <w:color w:val="000000" w:themeColor="text1"/>
        </w:rPr>
        <w:t>Krebs-</w:t>
      </w:r>
      <w:proofErr w:type="spellStart"/>
      <w:r w:rsidRPr="00B82E38">
        <w:rPr>
          <w:rFonts w:ascii="Book Antiqua" w:eastAsia="Book Antiqua" w:hAnsi="Book Antiqua" w:cs="Book Antiqua"/>
          <w:color w:val="000000" w:themeColor="text1"/>
        </w:rPr>
        <w:t>Henseleit</w:t>
      </w:r>
      <w:proofErr w:type="spellEnd"/>
      <w:r w:rsidRPr="00B82E38">
        <w:rPr>
          <w:rFonts w:ascii="Book Antiqua" w:eastAsia="Book Antiqua" w:hAnsi="Book Antiqua" w:cs="Book Antiqua"/>
          <w:color w:val="000000" w:themeColor="text1"/>
        </w:rPr>
        <w:t xml:space="preserve"> buffer or the </w:t>
      </w:r>
      <w:r w:rsidRPr="00B82E38">
        <w:rPr>
          <w:rFonts w:ascii="Book Antiqua" w:eastAsia="Book Antiqua" w:hAnsi="Book Antiqua" w:cs="Book Antiqua"/>
          <w:color w:val="000000" w:themeColor="text1"/>
        </w:rPr>
        <w:lastRenderedPageBreak/>
        <w:t>urea cycle in the liver. In total, 40% to 60% of the urea nitrogen in the primary urine is absorbed in the renal tubules and collecting tubes. A high incidence of HE was found in patients with high BUN levels, which is related to the aggravation of liver function involving the kidneys, renal d</w:t>
      </w:r>
      <w:r w:rsidRPr="00B82E38">
        <w:rPr>
          <w:rFonts w:ascii="Book Antiqua" w:eastAsia="Book Antiqua" w:hAnsi="Book Antiqua" w:cs="Book Antiqua"/>
          <w:color w:val="000000" w:themeColor="text1"/>
        </w:rPr>
        <w:t>ecompensation</w:t>
      </w:r>
      <w:r w:rsidR="00215608">
        <w:rPr>
          <w:rFonts w:ascii="Book Antiqua" w:eastAsia="Book Antiqua" w:hAnsi="Book Antiqua" w:cs="Book Antiqua"/>
          <w:color w:val="000000" w:themeColor="text1"/>
        </w:rPr>
        <w:t>,</w:t>
      </w:r>
      <w:r w:rsidRPr="00B82E38">
        <w:rPr>
          <w:rFonts w:ascii="Book Antiqua" w:eastAsia="Book Antiqua" w:hAnsi="Book Antiqua" w:cs="Book Antiqua"/>
          <w:color w:val="000000" w:themeColor="text1"/>
        </w:rPr>
        <w:t xml:space="preserve"> and </w:t>
      </w:r>
      <w:proofErr w:type="spellStart"/>
      <w:proofErr w:type="gramStart"/>
      <w:r w:rsidRPr="00B82E38">
        <w:rPr>
          <w:rFonts w:ascii="Book Antiqua" w:eastAsia="Book Antiqua" w:hAnsi="Book Antiqua" w:cs="Book Antiqua"/>
          <w:color w:val="000000" w:themeColor="text1"/>
        </w:rPr>
        <w:t>azotae</w:t>
      </w:r>
      <w:r w:rsidRPr="00B82E38">
        <w:rPr>
          <w:rFonts w:ascii="Book Antiqua" w:eastAsia="Book Antiqua" w:hAnsi="Book Antiqua" w:cs="Book Antiqua"/>
          <w:color w:val="000000" w:themeColor="text1"/>
        </w:rPr>
        <w:t>mia</w:t>
      </w:r>
      <w:proofErr w:type="spellEnd"/>
      <w:r w:rsidRPr="00B82E38">
        <w:rPr>
          <w:rFonts w:ascii="Book Antiqua" w:eastAsia="Book Antiqua" w:hAnsi="Book Antiqua" w:cs="Book Antiqua"/>
          <w:color w:val="000000" w:themeColor="text1"/>
          <w:vertAlign w:val="superscript"/>
        </w:rPr>
        <w:t>[</w:t>
      </w:r>
      <w:proofErr w:type="gramEnd"/>
      <w:r w:rsidRPr="00B82E38">
        <w:rPr>
          <w:rFonts w:ascii="Book Antiqua" w:eastAsia="宋体" w:hAnsi="Book Antiqua" w:cs="Book Antiqua"/>
          <w:color w:val="000000" w:themeColor="text1"/>
          <w:vertAlign w:val="superscript"/>
          <w:lang w:eastAsia="zh-CN"/>
        </w:rPr>
        <w:t>30</w:t>
      </w:r>
      <w:r w:rsidRPr="00B82E38">
        <w:rPr>
          <w:rFonts w:ascii="Book Antiqua" w:eastAsia="Book Antiqua" w:hAnsi="Book Antiqua" w:cs="Book Antiqua"/>
          <w:color w:val="000000" w:themeColor="text1"/>
          <w:vertAlign w:val="superscript"/>
        </w:rPr>
        <w:t>]</w:t>
      </w:r>
      <w:r w:rsidRPr="00B82E38">
        <w:rPr>
          <w:rFonts w:ascii="Book Antiqua" w:eastAsia="Book Antiqua" w:hAnsi="Book Antiqua" w:cs="Book Antiqua"/>
          <w:color w:val="000000" w:themeColor="text1"/>
        </w:rPr>
        <w:t>.</w:t>
      </w:r>
    </w:p>
    <w:p w14:paraId="1557576B" w14:textId="383108F6" w:rsidR="00BA37FB" w:rsidRPr="00B82E38" w:rsidRDefault="008F363E" w:rsidP="00372A8C">
      <w:pPr>
        <w:spacing w:line="360" w:lineRule="auto"/>
        <w:ind w:firstLine="560"/>
        <w:jc w:val="both"/>
        <w:rPr>
          <w:rFonts w:ascii="Book Antiqua" w:hAnsi="Book Antiqua"/>
          <w:color w:val="000000" w:themeColor="text1"/>
        </w:rPr>
      </w:pPr>
      <w:proofErr w:type="spellStart"/>
      <w:r w:rsidRPr="00B82E38">
        <w:rPr>
          <w:rFonts w:ascii="Book Antiqua" w:eastAsia="Book Antiqua" w:hAnsi="Book Antiqua" w:cs="Book Antiqua"/>
          <w:color w:val="000000" w:themeColor="text1"/>
        </w:rPr>
        <w:t>Hiwatashi</w:t>
      </w:r>
      <w:proofErr w:type="spellEnd"/>
      <w:r w:rsidRPr="00B82E38">
        <w:rPr>
          <w:rFonts w:ascii="Book Antiqua" w:eastAsia="Book Antiqua" w:hAnsi="Book Antiqua" w:cs="Book Antiqua"/>
          <w:color w:val="000000" w:themeColor="text1"/>
        </w:rPr>
        <w:t xml:space="preserve"> </w:t>
      </w:r>
      <w:r w:rsidRPr="00B82E38">
        <w:rPr>
          <w:rFonts w:ascii="Book Antiqua" w:eastAsia="Book Antiqua" w:hAnsi="Book Antiqua" w:cs="Book Antiqua"/>
          <w:i/>
          <w:iCs/>
          <w:color w:val="000000" w:themeColor="text1"/>
        </w:rPr>
        <w:t xml:space="preserve">et </w:t>
      </w:r>
      <w:proofErr w:type="gramStart"/>
      <w:r w:rsidRPr="00B82E38">
        <w:rPr>
          <w:rFonts w:ascii="Book Antiqua" w:eastAsia="Book Antiqua" w:hAnsi="Book Antiqua" w:cs="Book Antiqua"/>
          <w:i/>
          <w:iCs/>
          <w:color w:val="000000" w:themeColor="text1"/>
        </w:rPr>
        <w:t>al</w:t>
      </w:r>
      <w:r w:rsidRPr="00B82E38">
        <w:rPr>
          <w:rFonts w:ascii="Book Antiqua" w:eastAsia="Book Antiqua" w:hAnsi="Book Antiqua" w:cs="Book Antiqua"/>
          <w:color w:val="000000" w:themeColor="text1"/>
          <w:vertAlign w:val="superscript"/>
        </w:rPr>
        <w:t>[</w:t>
      </w:r>
      <w:proofErr w:type="gramEnd"/>
      <w:r w:rsidRPr="00B82E38">
        <w:rPr>
          <w:rFonts w:ascii="Book Antiqua" w:eastAsia="Book Antiqua" w:hAnsi="Book Antiqua" w:cs="Book Antiqua"/>
          <w:color w:val="000000" w:themeColor="text1"/>
          <w:vertAlign w:val="superscript"/>
        </w:rPr>
        <w:t>3</w:t>
      </w:r>
      <w:r w:rsidR="0034738A" w:rsidRPr="00B82E38">
        <w:rPr>
          <w:rFonts w:ascii="Book Antiqua" w:eastAsia="Book Antiqua" w:hAnsi="Book Antiqua" w:cs="Book Antiqua"/>
          <w:color w:val="000000" w:themeColor="text1"/>
          <w:vertAlign w:val="superscript"/>
        </w:rPr>
        <w:t>1</w:t>
      </w:r>
      <w:r w:rsidRPr="00B82E38">
        <w:rPr>
          <w:rFonts w:ascii="Book Antiqua" w:eastAsia="Book Antiqua" w:hAnsi="Book Antiqua" w:cs="Book Antiqua"/>
          <w:color w:val="000000" w:themeColor="text1"/>
          <w:vertAlign w:val="superscript"/>
        </w:rPr>
        <w:t>]</w:t>
      </w:r>
      <w:r w:rsidRPr="00B82E38">
        <w:rPr>
          <w:rFonts w:ascii="Book Antiqua" w:eastAsia="Book Antiqua" w:hAnsi="Book Antiqua" w:cs="Book Antiqua"/>
          <w:color w:val="000000" w:themeColor="text1"/>
        </w:rPr>
        <w:t xml:space="preserve"> found that a higher ICG-R15 was significantly correlated with surgical complications and liver dysfunction after surgical resection and chemotherapy in patients with colorectal cancer</w:t>
      </w:r>
      <w:r w:rsidRPr="00B82E38">
        <w:rPr>
          <w:rFonts w:ascii="Book Antiqua" w:eastAsia="Book Antiqua" w:hAnsi="Book Antiqua" w:cs="Book Antiqua"/>
          <w:color w:val="000000" w:themeColor="text1"/>
          <w:vertAlign w:val="superscript"/>
        </w:rPr>
        <w:t>[3</w:t>
      </w:r>
      <w:r w:rsidRPr="00B82E38">
        <w:rPr>
          <w:rFonts w:ascii="Book Antiqua" w:eastAsia="宋体" w:hAnsi="Book Antiqua" w:cs="Book Antiqua"/>
          <w:color w:val="000000" w:themeColor="text1"/>
          <w:vertAlign w:val="superscript"/>
          <w:lang w:eastAsia="zh-CN"/>
        </w:rPr>
        <w:t>1</w:t>
      </w:r>
      <w:r w:rsidRPr="00B82E38">
        <w:rPr>
          <w:rFonts w:ascii="Book Antiqua" w:eastAsia="Book Antiqua" w:hAnsi="Book Antiqua" w:cs="Book Antiqua"/>
          <w:color w:val="000000" w:themeColor="text1"/>
          <w:vertAlign w:val="superscript"/>
        </w:rPr>
        <w:t>]</w:t>
      </w:r>
      <w:r w:rsidRPr="00B82E38">
        <w:rPr>
          <w:rFonts w:ascii="Book Antiqua" w:eastAsia="Book Antiqua" w:hAnsi="Book Antiqua" w:cs="Book Antiqua"/>
          <w:color w:val="000000" w:themeColor="text1"/>
        </w:rPr>
        <w:t xml:space="preserve">. Wang </w:t>
      </w:r>
      <w:r w:rsidRPr="00B82E38">
        <w:rPr>
          <w:rFonts w:ascii="Book Antiqua" w:eastAsia="Book Antiqua" w:hAnsi="Book Antiqua" w:cs="Book Antiqua"/>
          <w:i/>
          <w:iCs/>
          <w:color w:val="000000" w:themeColor="text1"/>
        </w:rPr>
        <w:t xml:space="preserve">et </w:t>
      </w:r>
      <w:proofErr w:type="gramStart"/>
      <w:r w:rsidRPr="00B82E38">
        <w:rPr>
          <w:rFonts w:ascii="Book Antiqua" w:eastAsia="Book Antiqua" w:hAnsi="Book Antiqua" w:cs="Book Antiqua"/>
          <w:i/>
          <w:iCs/>
          <w:color w:val="000000" w:themeColor="text1"/>
        </w:rPr>
        <w:t>al</w:t>
      </w:r>
      <w:r w:rsidR="0034738A" w:rsidRPr="00B82E38">
        <w:rPr>
          <w:rFonts w:ascii="Book Antiqua" w:eastAsia="Book Antiqua" w:hAnsi="Book Antiqua" w:cs="Book Antiqua"/>
          <w:color w:val="000000" w:themeColor="text1"/>
          <w:vertAlign w:val="superscript"/>
        </w:rPr>
        <w:t>[</w:t>
      </w:r>
      <w:proofErr w:type="gramEnd"/>
      <w:r w:rsidR="0034738A" w:rsidRPr="00B82E38">
        <w:rPr>
          <w:rFonts w:ascii="Book Antiqua" w:eastAsia="Book Antiqua" w:hAnsi="Book Antiqua" w:cs="Book Antiqua"/>
          <w:color w:val="000000" w:themeColor="text1"/>
          <w:vertAlign w:val="superscript"/>
        </w:rPr>
        <w:t>3</w:t>
      </w:r>
      <w:r w:rsidR="0034738A" w:rsidRPr="00B82E38">
        <w:rPr>
          <w:rFonts w:ascii="Book Antiqua" w:eastAsia="宋体" w:hAnsi="Book Antiqua" w:cs="Book Antiqua"/>
          <w:color w:val="000000" w:themeColor="text1"/>
          <w:vertAlign w:val="superscript"/>
          <w:lang w:eastAsia="zh-CN"/>
        </w:rPr>
        <w:t>2</w:t>
      </w:r>
      <w:r w:rsidR="0034738A" w:rsidRPr="00B82E38">
        <w:rPr>
          <w:rFonts w:ascii="Book Antiqua" w:eastAsia="Book Antiqua" w:hAnsi="Book Antiqua" w:cs="Book Antiqua"/>
          <w:color w:val="000000" w:themeColor="text1"/>
          <w:vertAlign w:val="superscript"/>
        </w:rPr>
        <w:t>]</w:t>
      </w:r>
      <w:r w:rsidRPr="00B82E38">
        <w:rPr>
          <w:rFonts w:ascii="Book Antiqua" w:eastAsia="Book Antiqua" w:hAnsi="Book Antiqua" w:cs="Book Antiqua"/>
          <w:color w:val="000000" w:themeColor="text1"/>
          <w:vertAlign w:val="superscript"/>
        </w:rPr>
        <w:t xml:space="preserve"> </w:t>
      </w:r>
      <w:r w:rsidRPr="00B82E38">
        <w:rPr>
          <w:rFonts w:ascii="Book Antiqua" w:eastAsia="Book Antiqua" w:hAnsi="Book Antiqua" w:cs="Book Antiqua"/>
          <w:color w:val="000000" w:themeColor="text1"/>
        </w:rPr>
        <w:t>demonstrated that the ICG-R15 could more accurately predict preoperative liver reserve function than the Child-Pugh and MELD scores in patients who suffered from liver cancer</w:t>
      </w:r>
      <w:r w:rsidRPr="00B82E38">
        <w:rPr>
          <w:rFonts w:ascii="Book Antiqua" w:eastAsia="Book Antiqua" w:hAnsi="Book Antiqua" w:cs="Book Antiqua"/>
          <w:color w:val="000000" w:themeColor="text1"/>
          <w:vertAlign w:val="superscript"/>
        </w:rPr>
        <w:t>[3</w:t>
      </w:r>
      <w:r w:rsidRPr="00B82E38">
        <w:rPr>
          <w:rFonts w:ascii="Book Antiqua" w:eastAsia="宋体" w:hAnsi="Book Antiqua" w:cs="Book Antiqua"/>
          <w:color w:val="000000" w:themeColor="text1"/>
          <w:vertAlign w:val="superscript"/>
          <w:lang w:eastAsia="zh-CN"/>
        </w:rPr>
        <w:t>2</w:t>
      </w:r>
      <w:r w:rsidRPr="00B82E38">
        <w:rPr>
          <w:rFonts w:ascii="Book Antiqua" w:eastAsia="Book Antiqua" w:hAnsi="Book Antiqua" w:cs="Book Antiqua"/>
          <w:color w:val="000000" w:themeColor="text1"/>
          <w:vertAlign w:val="superscript"/>
        </w:rPr>
        <w:t>]</w:t>
      </w:r>
      <w:r w:rsidRPr="00B82E38">
        <w:rPr>
          <w:rFonts w:ascii="Book Antiqua" w:eastAsia="Book Antiqua" w:hAnsi="Book Antiqua" w:cs="Book Antiqua"/>
          <w:color w:val="000000" w:themeColor="text1"/>
        </w:rPr>
        <w:t xml:space="preserve">. Another study showed that the ALICE scoring system (including serum albumin and ICG-R15) could simply and effectively predict the prognosis of liver cancer patients undergoing </w:t>
      </w:r>
      <w:proofErr w:type="gramStart"/>
      <w:r w:rsidRPr="00B82E38">
        <w:rPr>
          <w:rFonts w:ascii="Book Antiqua" w:eastAsia="Book Antiqua" w:hAnsi="Book Antiqua" w:cs="Book Antiqua"/>
          <w:color w:val="000000" w:themeColor="text1"/>
        </w:rPr>
        <w:t>surgery</w:t>
      </w:r>
      <w:r w:rsidRPr="00B82E38">
        <w:rPr>
          <w:rFonts w:ascii="Book Antiqua" w:eastAsia="Book Antiqua" w:hAnsi="Book Antiqua" w:cs="Book Antiqua"/>
          <w:color w:val="000000" w:themeColor="text1"/>
          <w:vertAlign w:val="superscript"/>
        </w:rPr>
        <w:t>[</w:t>
      </w:r>
      <w:proofErr w:type="gramEnd"/>
      <w:r w:rsidRPr="00B82E38">
        <w:rPr>
          <w:rFonts w:ascii="Book Antiqua" w:eastAsia="Book Antiqua" w:hAnsi="Book Antiqua" w:cs="Book Antiqua"/>
          <w:color w:val="000000" w:themeColor="text1"/>
          <w:vertAlign w:val="superscript"/>
        </w:rPr>
        <w:t>3</w:t>
      </w:r>
      <w:r w:rsidRPr="00B82E38">
        <w:rPr>
          <w:rFonts w:ascii="Book Antiqua" w:eastAsia="宋体" w:hAnsi="Book Antiqua" w:cs="Book Antiqua"/>
          <w:color w:val="000000" w:themeColor="text1"/>
          <w:vertAlign w:val="superscript"/>
          <w:lang w:eastAsia="zh-CN"/>
        </w:rPr>
        <w:t>3</w:t>
      </w:r>
      <w:r w:rsidRPr="00B82E38">
        <w:rPr>
          <w:rFonts w:ascii="Book Antiqua" w:eastAsia="Book Antiqua" w:hAnsi="Book Antiqua" w:cs="Book Antiqua"/>
          <w:color w:val="000000" w:themeColor="text1"/>
          <w:vertAlign w:val="superscript"/>
        </w:rPr>
        <w:t>]</w:t>
      </w:r>
      <w:r w:rsidRPr="00B82E38">
        <w:rPr>
          <w:rFonts w:ascii="Book Antiqua" w:eastAsia="Book Antiqua" w:hAnsi="Book Antiqua" w:cs="Book Antiqua"/>
          <w:color w:val="000000" w:themeColor="text1"/>
        </w:rPr>
        <w:t xml:space="preserve">. In this study, we </w:t>
      </w:r>
      <w:proofErr w:type="spellStart"/>
      <w:r w:rsidRPr="00B82E38">
        <w:rPr>
          <w:rFonts w:ascii="Book Antiqua" w:eastAsia="Book Antiqua" w:hAnsi="Book Antiqua" w:cs="Book Antiqua"/>
          <w:color w:val="000000" w:themeColor="text1"/>
        </w:rPr>
        <w:t>analysed</w:t>
      </w:r>
      <w:proofErr w:type="spellEnd"/>
      <w:r w:rsidRPr="00B82E38">
        <w:rPr>
          <w:rFonts w:ascii="Book Antiqua" w:eastAsia="Book Antiqua" w:hAnsi="Book Antiqua" w:cs="Book Antiqua"/>
          <w:color w:val="000000" w:themeColor="text1"/>
        </w:rPr>
        <w:t xml:space="preserve"> and compared </w:t>
      </w:r>
      <w:r w:rsidRPr="00B82E38">
        <w:rPr>
          <w:rFonts w:ascii="Book Antiqua" w:eastAsia="Book Antiqua" w:hAnsi="Book Antiqua" w:cs="Book Antiqua"/>
          <w:color w:val="000000" w:themeColor="text1"/>
        </w:rPr>
        <w:t>the area</w:t>
      </w:r>
      <w:r w:rsidR="00215608">
        <w:rPr>
          <w:rFonts w:ascii="Book Antiqua" w:eastAsia="Book Antiqua" w:hAnsi="Book Antiqua" w:cs="Book Antiqua"/>
          <w:color w:val="000000" w:themeColor="text1"/>
        </w:rPr>
        <w:t>s</w:t>
      </w:r>
      <w:r w:rsidRPr="00B82E38">
        <w:rPr>
          <w:rFonts w:ascii="Book Antiqua" w:eastAsia="Book Antiqua" w:hAnsi="Book Antiqua" w:cs="Book Antiqua"/>
          <w:color w:val="000000" w:themeColor="text1"/>
        </w:rPr>
        <w:t xml:space="preserve"> under the ROC curves for the ICG-R15, CPS</w:t>
      </w:r>
      <w:r w:rsidR="00215608">
        <w:rPr>
          <w:rFonts w:ascii="Book Antiqua" w:eastAsia="Book Antiqua" w:hAnsi="Book Antiqua" w:cs="Book Antiqua"/>
          <w:color w:val="000000" w:themeColor="text1"/>
        </w:rPr>
        <w:t>,</w:t>
      </w:r>
      <w:r w:rsidRPr="00B82E38">
        <w:rPr>
          <w:rFonts w:ascii="Book Antiqua" w:eastAsia="Book Antiqua" w:hAnsi="Book Antiqua" w:cs="Book Antiqua"/>
          <w:color w:val="000000" w:themeColor="text1"/>
        </w:rPr>
        <w:t xml:space="preserve"> and MELD score. The results were as follows: AUC</w:t>
      </w:r>
      <w:r w:rsidRPr="00B82E38">
        <w:rPr>
          <w:rFonts w:ascii="Book Antiqua" w:eastAsia="Book Antiqua" w:hAnsi="Book Antiqua" w:cs="Book Antiqua"/>
          <w:color w:val="000000" w:themeColor="text1"/>
          <w:vertAlign w:val="subscript"/>
        </w:rPr>
        <w:t>ICG-R15</w:t>
      </w:r>
      <w:r w:rsidRPr="00B82E38">
        <w:rPr>
          <w:rFonts w:ascii="Book Antiqua" w:eastAsia="Book Antiqua" w:hAnsi="Book Antiqua" w:cs="Book Antiqua"/>
          <w:color w:val="000000" w:themeColor="text1"/>
        </w:rPr>
        <w:t xml:space="preserve"> &gt; AUC</w:t>
      </w:r>
      <w:r w:rsidRPr="00B82E38">
        <w:rPr>
          <w:rFonts w:ascii="Book Antiqua" w:eastAsia="Book Antiqua" w:hAnsi="Book Antiqua" w:cs="Book Antiqua"/>
          <w:color w:val="000000" w:themeColor="text1"/>
          <w:vertAlign w:val="subscript"/>
        </w:rPr>
        <w:t>MELD</w:t>
      </w:r>
      <w:r w:rsidRPr="00B82E38">
        <w:rPr>
          <w:rFonts w:ascii="Book Antiqua" w:eastAsia="Book Antiqua" w:hAnsi="Book Antiqua" w:cs="Book Antiqua"/>
          <w:color w:val="000000" w:themeColor="text1"/>
        </w:rPr>
        <w:t xml:space="preserve"> &gt; AUC</w:t>
      </w:r>
      <w:r w:rsidRPr="00B82E38">
        <w:rPr>
          <w:rFonts w:ascii="Book Antiqua" w:eastAsia="Book Antiqua" w:hAnsi="Book Antiqua" w:cs="Book Antiqua"/>
          <w:color w:val="000000" w:themeColor="text1"/>
          <w:vertAlign w:val="subscript"/>
        </w:rPr>
        <w:t>CPS</w:t>
      </w:r>
      <w:r w:rsidRPr="00B82E38">
        <w:rPr>
          <w:rFonts w:ascii="Book Antiqua" w:eastAsia="Book Antiqua" w:hAnsi="Book Antiqua" w:cs="Book Antiqua"/>
          <w:color w:val="000000" w:themeColor="text1"/>
        </w:rPr>
        <w:t>, and there was</w:t>
      </w:r>
      <w:r w:rsidR="00215608">
        <w:rPr>
          <w:rFonts w:ascii="Book Antiqua" w:eastAsia="Book Antiqua" w:hAnsi="Book Antiqua" w:cs="Book Antiqua"/>
          <w:color w:val="000000" w:themeColor="text1"/>
        </w:rPr>
        <w:t xml:space="preserve"> </w:t>
      </w:r>
      <w:r w:rsidRPr="00B82E38">
        <w:rPr>
          <w:rFonts w:ascii="Book Antiqua" w:eastAsia="Book Antiqua" w:hAnsi="Book Antiqua" w:cs="Book Antiqua"/>
          <w:color w:val="000000" w:themeColor="text1"/>
        </w:rPr>
        <w:t xml:space="preserve">statistical significance in pairwise comparison between AUCs of ICG-R15 and MELD score. This suggests that the ICG-R15 has clinical </w:t>
      </w:r>
      <w:r w:rsidR="00215608" w:rsidRPr="00B82E38">
        <w:rPr>
          <w:rFonts w:ascii="Book Antiqua" w:eastAsia="Book Antiqua" w:hAnsi="Book Antiqua" w:cs="Book Antiqua"/>
          <w:color w:val="000000" w:themeColor="text1"/>
        </w:rPr>
        <w:t>equival</w:t>
      </w:r>
      <w:r w:rsidR="00215608">
        <w:rPr>
          <w:rFonts w:ascii="Book Antiqua" w:eastAsia="Book Antiqua" w:hAnsi="Book Antiqua" w:cs="Book Antiqua"/>
          <w:color w:val="000000" w:themeColor="text1"/>
        </w:rPr>
        <w:t>e</w:t>
      </w:r>
      <w:r w:rsidR="00215608" w:rsidRPr="00B82E38">
        <w:rPr>
          <w:rFonts w:ascii="Book Antiqua" w:eastAsia="Book Antiqua" w:hAnsi="Book Antiqua" w:cs="Book Antiqua"/>
          <w:color w:val="000000" w:themeColor="text1"/>
        </w:rPr>
        <w:t xml:space="preserve">nt </w:t>
      </w:r>
      <w:r w:rsidRPr="00B82E38">
        <w:rPr>
          <w:rFonts w:ascii="Book Antiqua" w:eastAsia="Book Antiqua" w:hAnsi="Book Antiqua" w:cs="Book Antiqua"/>
          <w:color w:val="000000" w:themeColor="text1"/>
        </w:rPr>
        <w:t>val</w:t>
      </w:r>
      <w:r w:rsidRPr="00B82E38">
        <w:rPr>
          <w:rFonts w:ascii="Book Antiqua" w:eastAsia="Book Antiqua" w:hAnsi="Book Antiqua" w:cs="Book Antiqua"/>
          <w:color w:val="000000" w:themeColor="text1"/>
        </w:rPr>
        <w:t>ue to predict post-TIPS HE compared to MELD score. The CPS is relatively restricted because it includes two subjective variables (HE and severity of ascites</w:t>
      </w:r>
      <w:proofErr w:type="gramStart"/>
      <w:r w:rsidRPr="00B82E38">
        <w:rPr>
          <w:rFonts w:ascii="Book Antiqua" w:eastAsia="Book Antiqua" w:hAnsi="Book Antiqua" w:cs="Book Antiqua"/>
          <w:color w:val="000000" w:themeColor="text1"/>
        </w:rPr>
        <w:t>)</w:t>
      </w:r>
      <w:r w:rsidRPr="00B82E38">
        <w:rPr>
          <w:rFonts w:ascii="Book Antiqua" w:eastAsia="Book Antiqua" w:hAnsi="Book Antiqua" w:cs="Book Antiqua"/>
          <w:color w:val="000000" w:themeColor="text1"/>
          <w:vertAlign w:val="superscript"/>
        </w:rPr>
        <w:t>[</w:t>
      </w:r>
      <w:proofErr w:type="gramEnd"/>
      <w:r w:rsidRPr="00B82E38">
        <w:rPr>
          <w:rFonts w:ascii="Book Antiqua" w:eastAsia="Book Antiqua" w:hAnsi="Book Antiqua" w:cs="Book Antiqua"/>
          <w:color w:val="000000" w:themeColor="text1"/>
          <w:vertAlign w:val="superscript"/>
        </w:rPr>
        <w:t>12]</w:t>
      </w:r>
      <w:r w:rsidRPr="00B82E38">
        <w:rPr>
          <w:rFonts w:ascii="Book Antiqua" w:eastAsia="Book Antiqua" w:hAnsi="Book Antiqua" w:cs="Book Antiqua"/>
          <w:color w:val="000000" w:themeColor="text1"/>
        </w:rPr>
        <w:t>, and the limited values ranging from 5 to 15 make it imprecise. The boundary values fo</w:t>
      </w:r>
      <w:r w:rsidRPr="00B82E38">
        <w:rPr>
          <w:rFonts w:ascii="Book Antiqua" w:eastAsia="Book Antiqua" w:hAnsi="Book Antiqua" w:cs="Book Antiqua"/>
          <w:color w:val="000000" w:themeColor="text1"/>
        </w:rPr>
        <w:t xml:space="preserve">r the </w:t>
      </w:r>
      <w:r w:rsidR="00215608">
        <w:rPr>
          <w:rFonts w:ascii="Book Antiqua" w:eastAsia="Book Antiqua" w:hAnsi="Book Antiqua" w:cs="Book Antiqua"/>
          <w:color w:val="000000" w:themeColor="text1"/>
        </w:rPr>
        <w:t>five</w:t>
      </w:r>
      <w:r w:rsidR="00215608" w:rsidRPr="00B82E38">
        <w:rPr>
          <w:rFonts w:ascii="Book Antiqua" w:eastAsia="Book Antiqua" w:hAnsi="Book Antiqua" w:cs="Book Antiqua"/>
          <w:color w:val="000000" w:themeColor="text1"/>
        </w:rPr>
        <w:t xml:space="preserve"> </w:t>
      </w:r>
      <w:r w:rsidRPr="00B82E38">
        <w:rPr>
          <w:rFonts w:ascii="Book Antiqua" w:eastAsia="Book Antiqua" w:hAnsi="Book Antiqua" w:cs="Book Antiqua"/>
          <w:color w:val="000000" w:themeColor="text1"/>
        </w:rPr>
        <w:t xml:space="preserve">parameters were chosen empirically and have not been formally </w:t>
      </w:r>
      <w:proofErr w:type="gramStart"/>
      <w:r w:rsidRPr="00B82E38">
        <w:rPr>
          <w:rFonts w:ascii="Book Antiqua" w:eastAsia="Book Antiqua" w:hAnsi="Book Antiqua" w:cs="Book Antiqua"/>
          <w:color w:val="000000" w:themeColor="text1"/>
        </w:rPr>
        <w:t>validated</w:t>
      </w:r>
      <w:r w:rsidRPr="00B82E38">
        <w:rPr>
          <w:rFonts w:ascii="Book Antiqua" w:eastAsia="Book Antiqua" w:hAnsi="Book Antiqua" w:cs="Book Antiqua"/>
          <w:color w:val="000000" w:themeColor="text1"/>
          <w:vertAlign w:val="superscript"/>
        </w:rPr>
        <w:t>[</w:t>
      </w:r>
      <w:proofErr w:type="gramEnd"/>
      <w:r w:rsidRPr="00B82E38">
        <w:rPr>
          <w:rFonts w:ascii="Book Antiqua" w:eastAsia="Book Antiqua" w:hAnsi="Book Antiqua" w:cs="Book Antiqua"/>
          <w:color w:val="000000" w:themeColor="text1"/>
          <w:vertAlign w:val="superscript"/>
        </w:rPr>
        <w:t>3</w:t>
      </w:r>
      <w:r w:rsidRPr="00B82E38">
        <w:rPr>
          <w:rFonts w:ascii="Book Antiqua" w:eastAsia="宋体" w:hAnsi="Book Antiqua" w:cs="Book Antiqua"/>
          <w:color w:val="000000" w:themeColor="text1"/>
          <w:vertAlign w:val="superscript"/>
          <w:lang w:eastAsia="zh-CN"/>
        </w:rPr>
        <w:t>4</w:t>
      </w:r>
      <w:r w:rsidRPr="00B82E38">
        <w:rPr>
          <w:rFonts w:ascii="Book Antiqua" w:eastAsia="Book Antiqua" w:hAnsi="Book Antiqua" w:cs="Book Antiqua"/>
          <w:color w:val="000000" w:themeColor="text1"/>
          <w:vertAlign w:val="superscript"/>
        </w:rPr>
        <w:t>]</w:t>
      </w:r>
      <w:r w:rsidRPr="00B82E38">
        <w:rPr>
          <w:rFonts w:ascii="Book Antiqua" w:eastAsia="Book Antiqua" w:hAnsi="Book Antiqua" w:cs="Book Antiqua"/>
          <w:color w:val="000000" w:themeColor="text1"/>
        </w:rPr>
        <w:t xml:space="preserve">. In some situations, the predictive value of MELD may be reduced. Malabsorption of vitamin K secondary to cholestasis can cause an increase in the INR; starvation and infection can increase the level of bilirubin; and the use of diuretics can increase the level of </w:t>
      </w:r>
      <w:proofErr w:type="gramStart"/>
      <w:r w:rsidRPr="00B82E38">
        <w:rPr>
          <w:rFonts w:ascii="Book Antiqua" w:eastAsia="Book Antiqua" w:hAnsi="Book Antiqua" w:cs="Book Antiqua"/>
          <w:color w:val="000000" w:themeColor="text1"/>
        </w:rPr>
        <w:t>creatinine</w:t>
      </w:r>
      <w:r w:rsidRPr="00B82E38">
        <w:rPr>
          <w:rFonts w:ascii="Book Antiqua" w:eastAsia="Book Antiqua" w:hAnsi="Book Antiqua" w:cs="Book Antiqua"/>
          <w:color w:val="000000" w:themeColor="text1"/>
          <w:vertAlign w:val="superscript"/>
        </w:rPr>
        <w:t>[</w:t>
      </w:r>
      <w:proofErr w:type="gramEnd"/>
      <w:r w:rsidRPr="00B82E38">
        <w:rPr>
          <w:rFonts w:ascii="Book Antiqua" w:eastAsia="Book Antiqua" w:hAnsi="Book Antiqua" w:cs="Book Antiqua"/>
          <w:color w:val="000000" w:themeColor="text1"/>
          <w:vertAlign w:val="superscript"/>
        </w:rPr>
        <w:t>3</w:t>
      </w:r>
      <w:r w:rsidRPr="00B82E38">
        <w:rPr>
          <w:rFonts w:ascii="Book Antiqua" w:eastAsia="宋体" w:hAnsi="Book Antiqua" w:cs="Book Antiqua"/>
          <w:color w:val="000000" w:themeColor="text1"/>
          <w:vertAlign w:val="superscript"/>
          <w:lang w:eastAsia="zh-CN"/>
        </w:rPr>
        <w:t>5</w:t>
      </w:r>
      <w:r w:rsidRPr="00B82E38">
        <w:rPr>
          <w:rFonts w:ascii="Book Antiqua" w:eastAsia="Book Antiqua" w:hAnsi="Book Antiqua" w:cs="Book Antiqua"/>
          <w:color w:val="000000" w:themeColor="text1"/>
          <w:vertAlign w:val="superscript"/>
        </w:rPr>
        <w:t>]</w:t>
      </w:r>
      <w:r w:rsidRPr="00B82E38">
        <w:rPr>
          <w:rFonts w:ascii="Book Antiqua" w:eastAsia="Book Antiqua" w:hAnsi="Book Antiqua" w:cs="Book Antiqua"/>
          <w:color w:val="000000" w:themeColor="text1"/>
        </w:rPr>
        <w:t>. As a quantitative assessment, the ICG-R15 is a simple and practical way to assess liver function and is widely used in patients undergoing liver surgery. The ICG-R15 may play a role in predicting post-TIPS HE; consequently, it may be useful for identifying high-risk patients.</w:t>
      </w:r>
    </w:p>
    <w:p w14:paraId="52C14DD5" w14:textId="6D5C1A53" w:rsidR="00BA37FB" w:rsidRPr="00B82E38" w:rsidRDefault="008F363E" w:rsidP="00372A8C">
      <w:pPr>
        <w:spacing w:line="360" w:lineRule="auto"/>
        <w:ind w:firstLine="560"/>
        <w:jc w:val="both"/>
        <w:rPr>
          <w:rFonts w:ascii="Book Antiqua" w:hAnsi="Book Antiqua"/>
          <w:color w:val="000000" w:themeColor="text1"/>
        </w:rPr>
      </w:pPr>
      <w:r w:rsidRPr="00B82E38">
        <w:rPr>
          <w:rFonts w:ascii="Book Antiqua" w:eastAsia="Book Antiqua" w:hAnsi="Book Antiqua" w:cs="Book Antiqua"/>
          <w:color w:val="000000" w:themeColor="text1"/>
        </w:rPr>
        <w:t xml:space="preserve">The optimal ICG-R15 cut-off value in our study was 30%, and it divided the patients into </w:t>
      </w:r>
      <w:r w:rsidR="00BB3F32">
        <w:rPr>
          <w:rFonts w:ascii="Book Antiqua" w:eastAsia="Book Antiqua" w:hAnsi="Book Antiqua" w:cs="Book Antiqua"/>
          <w:color w:val="000000" w:themeColor="text1"/>
        </w:rPr>
        <w:t xml:space="preserve">two </w:t>
      </w:r>
      <w:r w:rsidRPr="00B82E38">
        <w:rPr>
          <w:rFonts w:ascii="Book Antiqua" w:eastAsia="Book Antiqua" w:hAnsi="Book Antiqua" w:cs="Book Antiqua"/>
          <w:color w:val="000000" w:themeColor="text1"/>
        </w:rPr>
        <w:t xml:space="preserve">groups with different risks of post-TIPS HE. </w:t>
      </w:r>
      <w:r w:rsidRPr="00B82E38">
        <w:rPr>
          <w:rFonts w:ascii="Book Antiqua" w:eastAsia="Book Antiqua" w:hAnsi="Book Antiqua" w:cs="Book Antiqua"/>
          <w:color w:val="000000" w:themeColor="text1"/>
        </w:rPr>
        <w:t>This difference was highly significant (</w:t>
      </w:r>
      <w:r w:rsidRPr="00B82E38">
        <w:rPr>
          <w:rFonts w:ascii="Book Antiqua" w:eastAsia="Book Antiqua" w:hAnsi="Book Antiqua" w:cs="Book Antiqua"/>
          <w:i/>
          <w:iCs/>
          <w:color w:val="000000" w:themeColor="text1"/>
        </w:rPr>
        <w:t>P</w:t>
      </w:r>
      <w:r w:rsidRPr="00B82E38">
        <w:rPr>
          <w:rFonts w:ascii="Book Antiqua" w:eastAsia="Book Antiqua" w:hAnsi="Book Antiqua" w:cs="Book Antiqua"/>
          <w:color w:val="000000" w:themeColor="text1"/>
        </w:rPr>
        <w:t xml:space="preserve"> = 0.014), which implies that TIPS patients with an ICG-R15 &gt; 30% should be given special care during perioperative management. However, we did not compare </w:t>
      </w:r>
      <w:r w:rsidRPr="00B82E38">
        <w:rPr>
          <w:rFonts w:ascii="Book Antiqua" w:eastAsia="Book Antiqua" w:hAnsi="Book Antiqua" w:cs="Book Antiqua"/>
          <w:color w:val="000000" w:themeColor="text1"/>
        </w:rPr>
        <w:lastRenderedPageBreak/>
        <w:t>th</w:t>
      </w:r>
      <w:r w:rsidRPr="00B82E38">
        <w:rPr>
          <w:rFonts w:ascii="Book Antiqua" w:eastAsia="Book Antiqua" w:hAnsi="Book Antiqua" w:cs="Book Antiqua"/>
          <w:color w:val="000000" w:themeColor="text1"/>
        </w:rPr>
        <w:t xml:space="preserve">e </w:t>
      </w:r>
      <w:r w:rsidR="00BB3F32">
        <w:rPr>
          <w:rFonts w:ascii="Book Antiqua" w:eastAsia="Book Antiqua" w:hAnsi="Book Antiqua" w:cs="Book Antiqua"/>
          <w:color w:val="000000" w:themeColor="text1"/>
        </w:rPr>
        <w:t>role</w:t>
      </w:r>
      <w:r w:rsidR="00BB3F32" w:rsidRPr="00B82E38">
        <w:rPr>
          <w:rFonts w:ascii="Book Antiqua" w:eastAsia="Book Antiqua" w:hAnsi="Book Antiqua" w:cs="Book Antiqua"/>
          <w:color w:val="000000" w:themeColor="text1"/>
        </w:rPr>
        <w:t xml:space="preserve"> </w:t>
      </w:r>
      <w:r w:rsidRPr="00B82E38">
        <w:rPr>
          <w:rFonts w:ascii="Book Antiqua" w:eastAsia="Book Antiqua" w:hAnsi="Book Antiqua" w:cs="Book Antiqua"/>
          <w:color w:val="000000" w:themeColor="text1"/>
        </w:rPr>
        <w:t>of the CPS, MELD score</w:t>
      </w:r>
      <w:r w:rsidR="00BB3F32">
        <w:rPr>
          <w:rFonts w:ascii="Book Antiqua" w:eastAsia="Book Antiqua" w:hAnsi="Book Antiqua" w:cs="Book Antiqua"/>
          <w:color w:val="000000" w:themeColor="text1"/>
        </w:rPr>
        <w:t>,</w:t>
      </w:r>
      <w:r w:rsidRPr="00B82E38">
        <w:rPr>
          <w:rFonts w:ascii="Book Antiqua" w:eastAsia="Book Antiqua" w:hAnsi="Book Antiqua" w:cs="Book Antiqua"/>
          <w:color w:val="000000" w:themeColor="text1"/>
        </w:rPr>
        <w:t xml:space="preserve"> and ICG-R15 for predicting the survival of patients after TIPS, which needs further study. In addition, future studies</w:t>
      </w:r>
      <w:r w:rsidR="00BB3F32">
        <w:rPr>
          <w:rFonts w:ascii="Book Antiqua" w:eastAsia="Book Antiqua" w:hAnsi="Book Antiqua" w:cs="Book Antiqua"/>
          <w:color w:val="000000" w:themeColor="text1"/>
        </w:rPr>
        <w:t xml:space="preserve"> </w:t>
      </w:r>
      <w:r w:rsidRPr="00B82E38">
        <w:rPr>
          <w:rFonts w:ascii="Book Antiqua" w:eastAsia="Book Antiqua" w:hAnsi="Book Antiqua" w:cs="Book Antiqua"/>
          <w:color w:val="000000" w:themeColor="text1"/>
        </w:rPr>
        <w:t xml:space="preserve">should </w:t>
      </w:r>
      <w:proofErr w:type="spellStart"/>
      <w:r w:rsidRPr="00B82E38">
        <w:rPr>
          <w:rFonts w:ascii="Book Antiqua" w:eastAsia="Book Antiqua" w:hAnsi="Book Antiqua" w:cs="Book Antiqua"/>
          <w:color w:val="000000" w:themeColor="text1"/>
        </w:rPr>
        <w:t>analyse</w:t>
      </w:r>
      <w:proofErr w:type="spellEnd"/>
      <w:r w:rsidRPr="00B82E38">
        <w:rPr>
          <w:rFonts w:ascii="Book Antiqua" w:eastAsia="Book Antiqua" w:hAnsi="Book Antiqua" w:cs="Book Antiqua"/>
          <w:color w:val="000000" w:themeColor="text1"/>
        </w:rPr>
        <w:t xml:space="preserve"> the incidence of complications and survival between different ICG-R15 groups. A small number of patients with Child</w:t>
      </w:r>
      <w:r w:rsidR="00BB3F32">
        <w:rPr>
          <w:rFonts w:ascii="Book Antiqua" w:eastAsia="Book Antiqua" w:hAnsi="Book Antiqua" w:cs="Book Antiqua"/>
          <w:color w:val="000000" w:themeColor="text1"/>
        </w:rPr>
        <w:t>-Pugh</w:t>
      </w:r>
      <w:r w:rsidRPr="00B82E38">
        <w:rPr>
          <w:rFonts w:ascii="Book Antiqua" w:eastAsia="Book Antiqua" w:hAnsi="Book Antiqua" w:cs="Book Antiqua"/>
          <w:color w:val="000000" w:themeColor="text1"/>
        </w:rPr>
        <w:t xml:space="preserve"> C cirrhosis and the low median MELD score were limitations of this study</w:t>
      </w:r>
      <w:r w:rsidR="00BB3F32">
        <w:rPr>
          <w:rFonts w:ascii="Book Antiqua" w:eastAsia="Book Antiqua" w:hAnsi="Book Antiqua" w:cs="Book Antiqua"/>
          <w:color w:val="000000" w:themeColor="text1"/>
        </w:rPr>
        <w:t xml:space="preserve">. Since </w:t>
      </w:r>
      <w:r w:rsidRPr="00B82E38">
        <w:rPr>
          <w:rFonts w:ascii="Book Antiqua" w:eastAsia="Book Antiqua" w:hAnsi="Book Antiqua" w:cs="Book Antiqua"/>
          <w:color w:val="000000" w:themeColor="text1"/>
        </w:rPr>
        <w:t>this may be rel</w:t>
      </w:r>
      <w:r w:rsidRPr="00B82E38">
        <w:rPr>
          <w:rFonts w:ascii="Book Antiqua" w:eastAsia="Book Antiqua" w:hAnsi="Book Antiqua" w:cs="Book Antiqua"/>
          <w:color w:val="000000" w:themeColor="text1"/>
        </w:rPr>
        <w:t>ated to the small sample size, we will increase the amount of the sample in the future.</w:t>
      </w:r>
    </w:p>
    <w:p w14:paraId="5CD3B36D" w14:textId="77777777" w:rsidR="00BA37FB" w:rsidRPr="00B82E38" w:rsidRDefault="008F363E" w:rsidP="00372A8C">
      <w:pPr>
        <w:spacing w:line="360" w:lineRule="auto"/>
        <w:ind w:firstLineChars="200" w:firstLine="480"/>
        <w:jc w:val="both"/>
        <w:rPr>
          <w:rFonts w:ascii="Book Antiqua" w:hAnsi="Book Antiqua"/>
          <w:color w:val="000000" w:themeColor="text1"/>
        </w:rPr>
      </w:pPr>
      <w:r w:rsidRPr="00B82E38">
        <w:rPr>
          <w:rFonts w:ascii="Book Antiqua" w:eastAsia="Book Antiqua" w:hAnsi="Book Antiqua" w:cs="Book Antiqua"/>
          <w:color w:val="000000" w:themeColor="text1"/>
        </w:rPr>
        <w:t>In summary, the ICG-R15 can be used for predicting post-TIPS HE in patients with PHT. We propose using the ICG-R15 to evaluate the risk of HE in PHT patients undergoing TIPS.</w:t>
      </w:r>
    </w:p>
    <w:p w14:paraId="40974EA4" w14:textId="77777777" w:rsidR="00BA37FB" w:rsidRPr="00B82E38" w:rsidRDefault="00BA37FB" w:rsidP="003F289C">
      <w:pPr>
        <w:spacing w:line="360" w:lineRule="auto"/>
        <w:jc w:val="both"/>
        <w:rPr>
          <w:rFonts w:ascii="Book Antiqua" w:hAnsi="Book Antiqua"/>
          <w:color w:val="000000" w:themeColor="text1"/>
        </w:rPr>
      </w:pPr>
    </w:p>
    <w:p w14:paraId="07B0AE97" w14:textId="77777777" w:rsidR="00BA37FB" w:rsidRPr="00B82E38" w:rsidRDefault="008F363E" w:rsidP="00372A8C">
      <w:pPr>
        <w:spacing w:line="360" w:lineRule="auto"/>
        <w:jc w:val="both"/>
        <w:rPr>
          <w:rFonts w:ascii="Book Antiqua" w:hAnsi="Book Antiqua"/>
          <w:color w:val="000000" w:themeColor="text1"/>
        </w:rPr>
      </w:pPr>
      <w:r w:rsidRPr="00B82E38">
        <w:rPr>
          <w:rFonts w:ascii="Book Antiqua" w:eastAsia="Book Antiqua" w:hAnsi="Book Antiqua" w:cs="Book Antiqua"/>
          <w:b/>
          <w:caps/>
          <w:color w:val="000000" w:themeColor="text1"/>
          <w:u w:val="single"/>
        </w:rPr>
        <w:t>CONCLUSION</w:t>
      </w:r>
    </w:p>
    <w:p w14:paraId="2026957F" w14:textId="13D4989C" w:rsidR="00BA37FB" w:rsidRPr="00B82E38" w:rsidRDefault="008F363E" w:rsidP="00372A8C">
      <w:pPr>
        <w:spacing w:line="360" w:lineRule="auto"/>
        <w:jc w:val="both"/>
        <w:rPr>
          <w:rFonts w:ascii="Book Antiqua" w:hAnsi="Book Antiqua"/>
          <w:color w:val="000000" w:themeColor="text1"/>
        </w:rPr>
      </w:pPr>
      <w:r w:rsidRPr="00B82E38">
        <w:rPr>
          <w:rFonts w:ascii="Book Antiqua" w:eastAsia="Book Antiqua" w:hAnsi="Book Antiqua" w:cs="Book Antiqua"/>
          <w:color w:val="000000" w:themeColor="text1"/>
        </w:rPr>
        <w:t>TIPS for PHT in patients with cirrhosis should be considered after careful selection based on patient characteristics and liver function. The ICG-R15</w:t>
      </w:r>
      <w:r w:rsidRPr="00B82E38">
        <w:rPr>
          <w:rFonts w:ascii="Book Antiqua" w:eastAsia="Book Antiqua" w:hAnsi="Book Antiqua" w:cs="Book Antiqua"/>
          <w:color w:val="000000" w:themeColor="text1"/>
        </w:rPr>
        <w:t xml:space="preserve"> has a</w:t>
      </w:r>
      <w:r w:rsidR="00BB3F32">
        <w:rPr>
          <w:rFonts w:ascii="Book Antiqua" w:eastAsia="Book Antiqua" w:hAnsi="Book Antiqua" w:cs="Book Antiqua"/>
          <w:color w:val="000000" w:themeColor="text1"/>
        </w:rPr>
        <w:t>ppreciated</w:t>
      </w:r>
      <w:r w:rsidRPr="00B82E38">
        <w:rPr>
          <w:rFonts w:ascii="Book Antiqua" w:eastAsia="Book Antiqua" w:hAnsi="Book Antiqua" w:cs="Book Antiqua"/>
          <w:color w:val="000000" w:themeColor="text1"/>
        </w:rPr>
        <w:t xml:space="preserve"> clini</w:t>
      </w:r>
      <w:r w:rsidRPr="00B82E38">
        <w:rPr>
          <w:rFonts w:ascii="Book Antiqua" w:eastAsia="Book Antiqua" w:hAnsi="Book Antiqua" w:cs="Book Antiqua"/>
          <w:color w:val="000000" w:themeColor="text1"/>
        </w:rPr>
        <w:t>cal value for predicting the occurrence of post-TIPS HE and is a choice for evaluating the prognosis of patients undergoing TIPS.</w:t>
      </w:r>
    </w:p>
    <w:p w14:paraId="0341FD49" w14:textId="77777777" w:rsidR="00BA37FB" w:rsidRPr="00B82E38" w:rsidRDefault="00BA37FB" w:rsidP="00372A8C">
      <w:pPr>
        <w:spacing w:line="360" w:lineRule="auto"/>
        <w:ind w:firstLine="560"/>
        <w:jc w:val="both"/>
        <w:rPr>
          <w:rFonts w:ascii="Book Antiqua" w:hAnsi="Book Antiqua"/>
          <w:color w:val="000000" w:themeColor="text1"/>
        </w:rPr>
      </w:pPr>
    </w:p>
    <w:p w14:paraId="159E8C53" w14:textId="77777777" w:rsidR="00BA37FB" w:rsidRPr="00B82E38" w:rsidRDefault="008F363E" w:rsidP="00372A8C">
      <w:pPr>
        <w:spacing w:line="360" w:lineRule="auto"/>
        <w:jc w:val="both"/>
        <w:rPr>
          <w:rFonts w:ascii="Book Antiqua" w:hAnsi="Book Antiqua"/>
          <w:color w:val="000000" w:themeColor="text1"/>
        </w:rPr>
      </w:pPr>
      <w:r w:rsidRPr="00B82E38">
        <w:rPr>
          <w:rFonts w:ascii="Book Antiqua" w:eastAsia="Book Antiqua" w:hAnsi="Book Antiqua" w:cs="Book Antiqua"/>
          <w:b/>
          <w:caps/>
          <w:color w:val="000000" w:themeColor="text1"/>
          <w:u w:val="single"/>
        </w:rPr>
        <w:t>ARTICLE HIGHLIGHTS</w:t>
      </w:r>
    </w:p>
    <w:p w14:paraId="7E7A0579" w14:textId="77777777" w:rsidR="00BA37FB" w:rsidRPr="00B82E38" w:rsidRDefault="008F363E" w:rsidP="00372A8C">
      <w:pPr>
        <w:spacing w:line="360" w:lineRule="auto"/>
        <w:jc w:val="both"/>
        <w:rPr>
          <w:rFonts w:ascii="Book Antiqua" w:hAnsi="Book Antiqua"/>
          <w:color w:val="000000" w:themeColor="text1"/>
        </w:rPr>
      </w:pPr>
      <w:r w:rsidRPr="00B82E38">
        <w:rPr>
          <w:rFonts w:ascii="Book Antiqua" w:eastAsia="Book Antiqua" w:hAnsi="Book Antiqua" w:cs="Book Antiqua"/>
          <w:b/>
          <w:i/>
          <w:color w:val="000000" w:themeColor="text1"/>
        </w:rPr>
        <w:t>Research background</w:t>
      </w:r>
    </w:p>
    <w:p w14:paraId="2A30E214" w14:textId="016AD014" w:rsidR="00BA37FB" w:rsidRPr="00B82E38" w:rsidRDefault="008F363E" w:rsidP="00372A8C">
      <w:pPr>
        <w:spacing w:line="360" w:lineRule="auto"/>
        <w:jc w:val="both"/>
        <w:rPr>
          <w:rFonts w:ascii="Book Antiqua" w:hAnsi="Book Antiqua"/>
          <w:color w:val="000000" w:themeColor="text1"/>
        </w:rPr>
      </w:pPr>
      <w:proofErr w:type="spellStart"/>
      <w:r w:rsidRPr="00B82E38">
        <w:rPr>
          <w:rFonts w:ascii="Book Antiqua" w:eastAsia="Book Antiqua" w:hAnsi="Book Antiqua" w:cs="Book Antiqua"/>
          <w:color w:val="000000" w:themeColor="text1"/>
        </w:rPr>
        <w:t>Transjugular</w:t>
      </w:r>
      <w:proofErr w:type="spellEnd"/>
      <w:r w:rsidRPr="00B82E38">
        <w:rPr>
          <w:rFonts w:ascii="Book Antiqua" w:eastAsia="Book Antiqua" w:hAnsi="Book Antiqua" w:cs="Book Antiqua"/>
          <w:color w:val="000000" w:themeColor="text1"/>
        </w:rPr>
        <w:t xml:space="preserve"> intrahepatic portosystemic shunt (TIPS) is a technique for the treatment of portal hypertension-related complications such as esophageal variceal bleeding and refractory ascites by establishing shunt channels in the hepatic parenchyma between the hepatic vein and the portal vein. It can also be used as a bridging therapy for decompensated patients with cirrhosis and other patients waiting for liver transplantation. However, the high incidence of postoperative </w:t>
      </w:r>
      <w:r w:rsidRPr="00B82E38">
        <w:rPr>
          <w:rFonts w:ascii="Book Antiqua" w:hAnsi="Book Antiqua"/>
          <w:color w:val="000000" w:themeColor="text1"/>
          <w:lang w:eastAsia="zh-CN"/>
        </w:rPr>
        <w:t>hepatic encephalopathy</w:t>
      </w:r>
      <w:r w:rsidRPr="00B82E38">
        <w:rPr>
          <w:rFonts w:ascii="Book Antiqua" w:eastAsia="Book Antiqua" w:hAnsi="Book Antiqua" w:cs="Book Antiqua"/>
          <w:color w:val="000000" w:themeColor="text1"/>
        </w:rPr>
        <w:t xml:space="preserve"> (HE) seriously affects the prognosis and survival of pati</w:t>
      </w:r>
      <w:r w:rsidRPr="00B82E38">
        <w:rPr>
          <w:rFonts w:ascii="Book Antiqua" w:eastAsia="Book Antiqua" w:hAnsi="Book Antiqua" w:cs="Book Antiqua"/>
          <w:color w:val="000000" w:themeColor="text1"/>
        </w:rPr>
        <w:t xml:space="preserve">ents, </w:t>
      </w:r>
      <w:r w:rsidR="00C833DA">
        <w:rPr>
          <w:rFonts w:ascii="Book Antiqua" w:eastAsia="Book Antiqua" w:hAnsi="Book Antiqua" w:cs="Book Antiqua"/>
          <w:color w:val="000000" w:themeColor="text1"/>
        </w:rPr>
        <w:t xml:space="preserve">and </w:t>
      </w:r>
      <w:r w:rsidRPr="00B82E38">
        <w:rPr>
          <w:rFonts w:ascii="Book Antiqua" w:eastAsia="Book Antiqua" w:hAnsi="Book Antiqua" w:cs="Book Antiqua"/>
          <w:color w:val="000000" w:themeColor="text1"/>
        </w:rPr>
        <w:t xml:space="preserve">it is particularly important to find accurate methods to predict post-TIPS </w:t>
      </w:r>
      <w:proofErr w:type="gramStart"/>
      <w:r w:rsidRPr="00B82E38">
        <w:rPr>
          <w:rFonts w:ascii="Book Antiqua" w:eastAsia="Book Antiqua" w:hAnsi="Book Antiqua" w:cs="Book Antiqua"/>
          <w:color w:val="000000" w:themeColor="text1"/>
        </w:rPr>
        <w:t>HE</w:t>
      </w:r>
      <w:proofErr w:type="gramEnd"/>
      <w:r w:rsidRPr="00B82E38">
        <w:rPr>
          <w:rFonts w:ascii="Book Antiqua" w:eastAsia="Book Antiqua" w:hAnsi="Book Antiqua" w:cs="Book Antiqua"/>
          <w:color w:val="000000" w:themeColor="text1"/>
        </w:rPr>
        <w:t xml:space="preserve">. Some studies have shown that the clearance rate of indocyanine green before operation has good predictive value for the prognosis of patients undergoing hepatectomy. We hypothesized that </w:t>
      </w:r>
      <w:proofErr w:type="spellStart"/>
      <w:r w:rsidRPr="00B82E38">
        <w:rPr>
          <w:rFonts w:ascii="Book Antiqua" w:eastAsia="Book Antiqua" w:hAnsi="Book Antiqua" w:cs="Book Antiqua"/>
          <w:color w:val="000000" w:themeColor="text1"/>
        </w:rPr>
        <w:t>indocyanine</w:t>
      </w:r>
      <w:proofErr w:type="spellEnd"/>
      <w:r w:rsidRPr="00B82E38">
        <w:rPr>
          <w:rFonts w:ascii="Book Antiqua" w:eastAsia="Book Antiqua" w:hAnsi="Book Antiqua" w:cs="Book Antiqua"/>
          <w:color w:val="000000" w:themeColor="text1"/>
        </w:rPr>
        <w:t xml:space="preserve"> green </w:t>
      </w:r>
      <w:r w:rsidR="00C833DA" w:rsidRPr="00461C27">
        <w:rPr>
          <w:rFonts w:ascii="Book Antiqua" w:eastAsia="Book Antiqua" w:hAnsi="Book Antiqua" w:cs="Book Antiqua"/>
          <w:color w:val="000000" w:themeColor="text1"/>
        </w:rPr>
        <w:t xml:space="preserve">retention rate </w:t>
      </w:r>
      <w:r w:rsidR="00C833DA">
        <w:rPr>
          <w:rFonts w:ascii="Book Antiqua" w:eastAsia="Book Antiqua" w:hAnsi="Book Antiqua" w:cs="Book Antiqua"/>
          <w:color w:val="000000" w:themeColor="text1"/>
        </w:rPr>
        <w:t>at</w:t>
      </w:r>
      <w:r w:rsidR="00C833DA" w:rsidRPr="00461C27">
        <w:rPr>
          <w:rFonts w:ascii="Book Antiqua" w:eastAsia="Book Antiqua" w:hAnsi="Book Antiqua" w:cs="Book Antiqua"/>
          <w:color w:val="000000" w:themeColor="text1"/>
        </w:rPr>
        <w:t xml:space="preserve"> 15 min</w:t>
      </w:r>
      <w:r w:rsidR="00C833DA" w:rsidRPr="00B82E38">
        <w:rPr>
          <w:rFonts w:ascii="Book Antiqua" w:eastAsia="Book Antiqua" w:hAnsi="Book Antiqua" w:cs="Book Antiqua"/>
          <w:color w:val="000000" w:themeColor="text1"/>
        </w:rPr>
        <w:t xml:space="preserve"> </w:t>
      </w:r>
      <w:r w:rsidRPr="00B82E38">
        <w:rPr>
          <w:rFonts w:ascii="Book Antiqua" w:eastAsia="Book Antiqua" w:hAnsi="Book Antiqua" w:cs="Book Antiqua"/>
          <w:color w:val="000000" w:themeColor="text1"/>
        </w:rPr>
        <w:t>(ICG-R15</w:t>
      </w:r>
      <w:r w:rsidR="00C833DA">
        <w:rPr>
          <w:rFonts w:ascii="Book Antiqua" w:eastAsia="Book Antiqua" w:hAnsi="Book Antiqua" w:cs="Book Antiqua"/>
          <w:color w:val="000000" w:themeColor="text1"/>
        </w:rPr>
        <w:t>)</w:t>
      </w:r>
      <w:r w:rsidRPr="00B82E38">
        <w:rPr>
          <w:rFonts w:ascii="Book Antiqua" w:eastAsia="Book Antiqua" w:hAnsi="Book Antiqua" w:cs="Book Antiqua"/>
          <w:color w:val="000000" w:themeColor="text1"/>
        </w:rPr>
        <w:t xml:space="preserve"> may can predi</w:t>
      </w:r>
      <w:r w:rsidRPr="00B82E38">
        <w:rPr>
          <w:rFonts w:ascii="Book Antiqua" w:eastAsia="Book Antiqua" w:hAnsi="Book Antiqua" w:cs="Book Antiqua"/>
          <w:color w:val="000000" w:themeColor="text1"/>
        </w:rPr>
        <w:t xml:space="preserve">ct postoperative HE </w:t>
      </w:r>
      <w:r w:rsidRPr="00B82E38">
        <w:rPr>
          <w:rFonts w:ascii="Book Antiqua" w:eastAsia="Book Antiqua" w:hAnsi="Book Antiqua" w:cs="Book Antiqua"/>
          <w:color w:val="000000" w:themeColor="text1"/>
        </w:rPr>
        <w:lastRenderedPageBreak/>
        <w:t>after TIPS (post-TIPS HE); therefore, prevention and treatment can be implemented in high-risk HE patients to avoid adverse outcomes.</w:t>
      </w:r>
    </w:p>
    <w:p w14:paraId="305DDB21" w14:textId="77777777" w:rsidR="00BA37FB" w:rsidRPr="00B82E38" w:rsidRDefault="00BA37FB" w:rsidP="00372A8C">
      <w:pPr>
        <w:spacing w:line="360" w:lineRule="auto"/>
        <w:ind w:firstLine="320"/>
        <w:jc w:val="both"/>
        <w:rPr>
          <w:rFonts w:ascii="Book Antiqua" w:hAnsi="Book Antiqua"/>
          <w:color w:val="000000" w:themeColor="text1"/>
        </w:rPr>
      </w:pPr>
    </w:p>
    <w:p w14:paraId="1BAC4DDE" w14:textId="77777777" w:rsidR="00BA37FB" w:rsidRPr="00B82E38" w:rsidRDefault="008F363E" w:rsidP="00372A8C">
      <w:pPr>
        <w:spacing w:line="360" w:lineRule="auto"/>
        <w:jc w:val="both"/>
        <w:rPr>
          <w:rFonts w:ascii="Book Antiqua" w:hAnsi="Book Antiqua"/>
          <w:color w:val="000000" w:themeColor="text1"/>
        </w:rPr>
      </w:pPr>
      <w:r w:rsidRPr="00B82E38">
        <w:rPr>
          <w:rFonts w:ascii="Book Antiqua" w:eastAsia="Book Antiqua" w:hAnsi="Book Antiqua" w:cs="Book Antiqua"/>
          <w:b/>
          <w:i/>
          <w:color w:val="000000" w:themeColor="text1"/>
        </w:rPr>
        <w:t>Research motivation</w:t>
      </w:r>
    </w:p>
    <w:p w14:paraId="3C33FF10" w14:textId="7CA5C354" w:rsidR="00BA37FB" w:rsidRPr="00B82E38" w:rsidRDefault="008F363E" w:rsidP="00372A8C">
      <w:pPr>
        <w:spacing w:line="360" w:lineRule="auto"/>
        <w:jc w:val="both"/>
        <w:rPr>
          <w:rFonts w:ascii="Book Antiqua" w:hAnsi="Book Antiqua"/>
          <w:color w:val="000000" w:themeColor="text1"/>
        </w:rPr>
      </w:pPr>
      <w:r w:rsidRPr="00B82E38">
        <w:rPr>
          <w:rFonts w:ascii="Book Antiqua" w:eastAsia="Book Antiqua" w:hAnsi="Book Antiqua" w:cs="Book Antiqua"/>
          <w:color w:val="000000" w:themeColor="text1"/>
        </w:rPr>
        <w:t>TIPS is currently used in the management of complications of portal hypertension. However, the incidence of HE remains an issue in TIPS placement and affects patient quality of life and long-term outcomes. The preoperative ICG-R15 has been developed as a prognostic indicator in patients undergoing surgery, but there are limited data on its role in TIPS. The purpose of this study was to explore whether ICG-R15 can be used as a predictor of post-TIPS HE and compa</w:t>
      </w:r>
      <w:r w:rsidRPr="00B82E38">
        <w:rPr>
          <w:rFonts w:ascii="Book Antiqua" w:eastAsia="Book Antiqua" w:hAnsi="Book Antiqua" w:cs="Book Antiqua"/>
          <w:color w:val="000000" w:themeColor="text1"/>
        </w:rPr>
        <w:t>red the</w:t>
      </w:r>
      <w:r w:rsidR="00C833DA">
        <w:rPr>
          <w:rFonts w:ascii="Book Antiqua" w:eastAsia="Book Antiqua" w:hAnsi="Book Antiqua" w:cs="Book Antiqua"/>
          <w:color w:val="000000" w:themeColor="text1"/>
        </w:rPr>
        <w:t xml:space="preserve"> </w:t>
      </w:r>
      <w:r w:rsidR="00C833DA" w:rsidRPr="00B82E38">
        <w:rPr>
          <w:rFonts w:ascii="Book Antiqua" w:eastAsia="Book Antiqua" w:hAnsi="Book Antiqua" w:cs="Book Antiqua"/>
          <w:color w:val="000000" w:themeColor="text1"/>
        </w:rPr>
        <w:t>clinical value</w:t>
      </w:r>
      <w:r w:rsidRPr="00B82E38">
        <w:rPr>
          <w:rFonts w:ascii="Book Antiqua" w:eastAsia="Book Antiqua" w:hAnsi="Book Antiqua" w:cs="Book Antiqua"/>
          <w:color w:val="000000" w:themeColor="text1"/>
        </w:rPr>
        <w:t xml:space="preserve"> </w:t>
      </w:r>
      <w:r w:rsidR="00C833DA">
        <w:rPr>
          <w:rFonts w:ascii="Book Antiqua" w:eastAsia="Book Antiqua" w:hAnsi="Book Antiqua" w:cs="Book Antiqua"/>
          <w:color w:val="000000" w:themeColor="text1"/>
        </w:rPr>
        <w:t xml:space="preserve">of the </w:t>
      </w:r>
      <w:r w:rsidRPr="00B82E38">
        <w:rPr>
          <w:rFonts w:ascii="Book Antiqua" w:eastAsia="Book Antiqua" w:hAnsi="Book Antiqua" w:cs="Book Antiqua"/>
          <w:color w:val="000000" w:themeColor="text1"/>
        </w:rPr>
        <w:t>ICG-</w:t>
      </w:r>
      <w:r w:rsidR="00811925" w:rsidRPr="00B82E38">
        <w:rPr>
          <w:rFonts w:ascii="Book Antiqua" w:eastAsia="Book Antiqua" w:hAnsi="Book Antiqua" w:cs="Book Antiqua"/>
          <w:color w:val="000000" w:themeColor="text1"/>
        </w:rPr>
        <w:t>R</w:t>
      </w:r>
      <w:r w:rsidRPr="00B82E38">
        <w:rPr>
          <w:rFonts w:ascii="Book Antiqua" w:eastAsia="Book Antiqua" w:hAnsi="Book Antiqua" w:cs="Book Antiqua"/>
          <w:color w:val="000000" w:themeColor="text1"/>
        </w:rPr>
        <w:t>15, Child-Pugh score (CPS)</w:t>
      </w:r>
      <w:r w:rsidR="00C833DA">
        <w:rPr>
          <w:rFonts w:ascii="Book Antiqua" w:eastAsia="Book Antiqua" w:hAnsi="Book Antiqua" w:cs="Book Antiqua"/>
          <w:color w:val="000000" w:themeColor="text1"/>
        </w:rPr>
        <w:t>,</w:t>
      </w:r>
      <w:r w:rsidRPr="00B82E38">
        <w:rPr>
          <w:rFonts w:ascii="Book Antiqua" w:eastAsia="Book Antiqua" w:hAnsi="Book Antiqua" w:cs="Book Antiqua"/>
          <w:color w:val="000000" w:themeColor="text1"/>
        </w:rPr>
        <w:t xml:space="preserve"> and model for end-stage liver disease (MELD) score for the prediction </w:t>
      </w:r>
      <w:r w:rsidR="00C833DA">
        <w:rPr>
          <w:rFonts w:ascii="Book Antiqua" w:eastAsia="Book Antiqua" w:hAnsi="Book Antiqua" w:cs="Book Antiqua"/>
          <w:color w:val="000000" w:themeColor="text1"/>
        </w:rPr>
        <w:t xml:space="preserve">of </w:t>
      </w:r>
      <w:r w:rsidR="00C833DA" w:rsidRPr="00B82E38">
        <w:rPr>
          <w:rFonts w:ascii="Book Antiqua" w:eastAsia="Book Antiqua" w:hAnsi="Book Antiqua" w:cs="Book Antiqua"/>
          <w:color w:val="000000" w:themeColor="text1"/>
        </w:rPr>
        <w:t>post-TIPS HE</w:t>
      </w:r>
      <w:r w:rsidR="00C833DA" w:rsidRPr="00B82E38" w:rsidDel="00C833DA">
        <w:rPr>
          <w:rFonts w:ascii="Book Antiqua" w:eastAsia="Book Antiqua" w:hAnsi="Book Antiqua" w:cs="Book Antiqua"/>
          <w:color w:val="000000" w:themeColor="text1"/>
        </w:rPr>
        <w:t xml:space="preserve"> </w:t>
      </w:r>
      <w:r w:rsidRPr="00B82E38">
        <w:rPr>
          <w:rFonts w:ascii="Book Antiqua" w:eastAsia="Book Antiqua" w:hAnsi="Book Antiqua" w:cs="Book Antiqua"/>
          <w:color w:val="000000" w:themeColor="text1"/>
        </w:rPr>
        <w:t xml:space="preserve">in decompensated cirrhosis patients with portal hypertension (PHT). </w:t>
      </w:r>
    </w:p>
    <w:p w14:paraId="31CCD23E" w14:textId="77777777" w:rsidR="00BA37FB" w:rsidRPr="00B82E38" w:rsidRDefault="00BA37FB" w:rsidP="00372A8C">
      <w:pPr>
        <w:spacing w:line="360" w:lineRule="auto"/>
        <w:ind w:firstLine="320"/>
        <w:jc w:val="both"/>
        <w:rPr>
          <w:rFonts w:ascii="Book Antiqua" w:hAnsi="Book Antiqua"/>
          <w:color w:val="000000" w:themeColor="text1"/>
        </w:rPr>
      </w:pPr>
    </w:p>
    <w:p w14:paraId="19AA6EAA" w14:textId="77777777" w:rsidR="00BA37FB" w:rsidRPr="00B82E38" w:rsidRDefault="008F363E" w:rsidP="00372A8C">
      <w:pPr>
        <w:spacing w:line="360" w:lineRule="auto"/>
        <w:jc w:val="both"/>
        <w:rPr>
          <w:rFonts w:ascii="Book Antiqua" w:hAnsi="Book Antiqua"/>
          <w:color w:val="000000" w:themeColor="text1"/>
        </w:rPr>
      </w:pPr>
      <w:r w:rsidRPr="00B82E38">
        <w:rPr>
          <w:rFonts w:ascii="Book Antiqua" w:eastAsia="Book Antiqua" w:hAnsi="Book Antiqua" w:cs="Book Antiqua"/>
          <w:b/>
          <w:i/>
          <w:color w:val="000000" w:themeColor="text1"/>
        </w:rPr>
        <w:t>Research objectives</w:t>
      </w:r>
    </w:p>
    <w:p w14:paraId="3A6436F1" w14:textId="39012F65" w:rsidR="00BA37FB" w:rsidRPr="00B82E38" w:rsidRDefault="008F363E" w:rsidP="00372A8C">
      <w:pPr>
        <w:spacing w:line="360" w:lineRule="auto"/>
        <w:jc w:val="both"/>
        <w:rPr>
          <w:rFonts w:ascii="Book Antiqua" w:hAnsi="Book Antiqua"/>
          <w:color w:val="000000" w:themeColor="text1"/>
        </w:rPr>
      </w:pPr>
      <w:r w:rsidRPr="00B82E38">
        <w:rPr>
          <w:rFonts w:ascii="Book Antiqua" w:eastAsia="Book Antiqua" w:hAnsi="Book Antiqua" w:cs="Book Antiqua"/>
          <w:color w:val="000000" w:themeColor="text1"/>
        </w:rPr>
        <w:t>The aim of this study was to explore whether ICG-R15 can be used as a predictor of post-TIPS HE and compar</w:t>
      </w:r>
      <w:r w:rsidRPr="00B82E38">
        <w:rPr>
          <w:rFonts w:ascii="Book Antiqua" w:eastAsia="Book Antiqua" w:hAnsi="Book Antiqua" w:cs="Book Antiqua"/>
          <w:color w:val="000000" w:themeColor="text1"/>
        </w:rPr>
        <w:t xml:space="preserve">ed the </w:t>
      </w:r>
      <w:r w:rsidR="00C833DA" w:rsidRPr="00B82E38">
        <w:rPr>
          <w:rFonts w:ascii="Book Antiqua" w:eastAsia="Book Antiqua" w:hAnsi="Book Antiqua" w:cs="Book Antiqua"/>
          <w:color w:val="000000" w:themeColor="text1"/>
        </w:rPr>
        <w:t>clinical value</w:t>
      </w:r>
      <w:r w:rsidR="00C833DA">
        <w:rPr>
          <w:rFonts w:ascii="Book Antiqua" w:eastAsia="Book Antiqua" w:hAnsi="Book Antiqua" w:cs="Book Antiqua"/>
          <w:color w:val="000000" w:themeColor="text1"/>
        </w:rPr>
        <w:t xml:space="preserve"> of the </w:t>
      </w:r>
      <w:r w:rsidRPr="00B82E38">
        <w:rPr>
          <w:rFonts w:ascii="Book Antiqua" w:eastAsia="Book Antiqua" w:hAnsi="Book Antiqua" w:cs="Book Antiqua"/>
          <w:color w:val="000000" w:themeColor="text1"/>
        </w:rPr>
        <w:t>ICG-</w:t>
      </w:r>
      <w:r w:rsidR="00811925" w:rsidRPr="00B82E38">
        <w:rPr>
          <w:rFonts w:ascii="Book Antiqua" w:eastAsia="Book Antiqua" w:hAnsi="Book Antiqua" w:cs="Book Antiqua"/>
          <w:color w:val="000000" w:themeColor="text1"/>
        </w:rPr>
        <w:t>R</w:t>
      </w:r>
      <w:r w:rsidRPr="00B82E38">
        <w:rPr>
          <w:rFonts w:ascii="Book Antiqua" w:eastAsia="Book Antiqua" w:hAnsi="Book Antiqua" w:cs="Book Antiqua"/>
          <w:color w:val="000000" w:themeColor="text1"/>
        </w:rPr>
        <w:t>15, CPS</w:t>
      </w:r>
      <w:r w:rsidR="00C833DA">
        <w:rPr>
          <w:rFonts w:ascii="Book Antiqua" w:eastAsia="Book Antiqua" w:hAnsi="Book Antiqua" w:cs="Book Antiqua"/>
          <w:color w:val="000000" w:themeColor="text1"/>
        </w:rPr>
        <w:t xml:space="preserve">, </w:t>
      </w:r>
      <w:r w:rsidRPr="00B82E38">
        <w:rPr>
          <w:rFonts w:ascii="Book Antiqua" w:eastAsia="Book Antiqua" w:hAnsi="Book Antiqua" w:cs="Book Antiqua"/>
          <w:color w:val="000000" w:themeColor="text1"/>
        </w:rPr>
        <w:t xml:space="preserve">and MELD score for the prediction </w:t>
      </w:r>
      <w:r w:rsidR="00C833DA">
        <w:rPr>
          <w:rFonts w:ascii="Book Antiqua" w:eastAsia="Book Antiqua" w:hAnsi="Book Antiqua" w:cs="Book Antiqua"/>
          <w:color w:val="000000" w:themeColor="text1"/>
        </w:rPr>
        <w:t xml:space="preserve">of </w:t>
      </w:r>
      <w:r w:rsidR="00C833DA" w:rsidRPr="00B82E38">
        <w:rPr>
          <w:rFonts w:ascii="Book Antiqua" w:eastAsia="Book Antiqua" w:hAnsi="Book Antiqua" w:cs="Book Antiqua"/>
          <w:color w:val="000000" w:themeColor="text1"/>
        </w:rPr>
        <w:t xml:space="preserve">post-TIPS HE </w:t>
      </w:r>
      <w:r w:rsidRPr="00B82E38">
        <w:rPr>
          <w:rFonts w:ascii="Book Antiqua" w:eastAsia="Book Antiqua" w:hAnsi="Book Antiqua" w:cs="Book Antiqua"/>
          <w:color w:val="000000" w:themeColor="text1"/>
        </w:rPr>
        <w:t>in decompensated cirrhosis patients with PHT. According to the ICG-R15 value, appropriate and timely intervention</w:t>
      </w:r>
      <w:r w:rsidR="00C833DA">
        <w:rPr>
          <w:rFonts w:ascii="Book Antiqua" w:eastAsia="Book Antiqua" w:hAnsi="Book Antiqua" w:cs="Book Antiqua"/>
          <w:color w:val="000000" w:themeColor="text1"/>
        </w:rPr>
        <w:t xml:space="preserve"> </w:t>
      </w:r>
      <w:r w:rsidRPr="00B82E38">
        <w:rPr>
          <w:rFonts w:ascii="Book Antiqua" w:eastAsia="Book Antiqua" w:hAnsi="Book Antiqua" w:cs="Book Antiqua"/>
          <w:color w:val="000000" w:themeColor="text1"/>
        </w:rPr>
        <w:t>can</w:t>
      </w:r>
      <w:r w:rsidRPr="00B82E38">
        <w:rPr>
          <w:rFonts w:ascii="Book Antiqua" w:eastAsia="Book Antiqua" w:hAnsi="Book Antiqua" w:cs="Book Antiqua"/>
          <w:color w:val="000000" w:themeColor="text1"/>
        </w:rPr>
        <w:t xml:space="preserve"> be implemented in patients with high-risk HE patients.</w:t>
      </w:r>
    </w:p>
    <w:p w14:paraId="319C8475" w14:textId="77777777" w:rsidR="00BA37FB" w:rsidRPr="00B82E38" w:rsidRDefault="00BA37FB" w:rsidP="00372A8C">
      <w:pPr>
        <w:spacing w:line="360" w:lineRule="auto"/>
        <w:jc w:val="both"/>
        <w:rPr>
          <w:rFonts w:ascii="Book Antiqua" w:hAnsi="Book Antiqua"/>
          <w:color w:val="000000" w:themeColor="text1"/>
        </w:rPr>
      </w:pPr>
    </w:p>
    <w:p w14:paraId="5C924C3A" w14:textId="77777777" w:rsidR="00BA37FB" w:rsidRPr="00B82E38" w:rsidRDefault="008F363E" w:rsidP="00372A8C">
      <w:pPr>
        <w:spacing w:line="360" w:lineRule="auto"/>
        <w:jc w:val="both"/>
        <w:rPr>
          <w:rFonts w:ascii="Book Antiqua" w:hAnsi="Book Antiqua"/>
          <w:color w:val="000000" w:themeColor="text1"/>
        </w:rPr>
      </w:pPr>
      <w:r w:rsidRPr="00B82E38">
        <w:rPr>
          <w:rFonts w:ascii="Book Antiqua" w:eastAsia="Book Antiqua" w:hAnsi="Book Antiqua" w:cs="Book Antiqua"/>
          <w:b/>
          <w:i/>
          <w:color w:val="000000" w:themeColor="text1"/>
        </w:rPr>
        <w:t>Research methods</w:t>
      </w:r>
    </w:p>
    <w:p w14:paraId="73833119" w14:textId="077F1E55" w:rsidR="00BA37FB" w:rsidRPr="00B82E38" w:rsidRDefault="008F363E" w:rsidP="00372A8C">
      <w:pPr>
        <w:spacing w:line="360" w:lineRule="auto"/>
        <w:jc w:val="both"/>
        <w:rPr>
          <w:rFonts w:ascii="Book Antiqua" w:hAnsi="Book Antiqua"/>
          <w:color w:val="000000" w:themeColor="text1"/>
        </w:rPr>
      </w:pPr>
      <w:r w:rsidRPr="00B82E38">
        <w:rPr>
          <w:rFonts w:ascii="Book Antiqua" w:eastAsia="Book Antiqua" w:hAnsi="Book Antiqua" w:cs="Book Antiqua"/>
          <w:color w:val="000000" w:themeColor="text1"/>
        </w:rPr>
        <w:t>We conducted a prospective study of 195 patients with PHT who underwent elective TIPS. All patients underwent the I</w:t>
      </w:r>
      <w:r w:rsidRPr="00B82E38">
        <w:rPr>
          <w:rFonts w:ascii="Book Antiqua" w:eastAsia="Book Antiqua" w:hAnsi="Book Antiqua" w:cs="Book Antiqua"/>
          <w:color w:val="000000" w:themeColor="text1"/>
        </w:rPr>
        <w:t>CG-R15 test, CPS</w:t>
      </w:r>
      <w:r w:rsidR="00C833DA">
        <w:rPr>
          <w:rFonts w:ascii="Book Antiqua" w:eastAsia="Book Antiqua" w:hAnsi="Book Antiqua" w:cs="Book Antiqua"/>
          <w:color w:val="000000" w:themeColor="text1"/>
        </w:rPr>
        <w:t xml:space="preserve"> evaluation,</w:t>
      </w:r>
      <w:r w:rsidRPr="00B82E38">
        <w:rPr>
          <w:rFonts w:ascii="Book Antiqua" w:eastAsia="Book Antiqua" w:hAnsi="Book Antiqua" w:cs="Book Antiqua"/>
          <w:color w:val="000000" w:themeColor="text1"/>
        </w:rPr>
        <w:t xml:space="preserve"> and MELD scoring. According to whether </w:t>
      </w:r>
      <w:r w:rsidR="00C833DA">
        <w:rPr>
          <w:rFonts w:ascii="Book Antiqua" w:eastAsia="Book Antiqua" w:hAnsi="Book Antiqua" w:cs="Book Antiqua"/>
          <w:color w:val="000000" w:themeColor="text1"/>
        </w:rPr>
        <w:t xml:space="preserve">they </w:t>
      </w:r>
      <w:r w:rsidRPr="00B82E38">
        <w:rPr>
          <w:rFonts w:ascii="Book Antiqua" w:eastAsia="Book Antiqua" w:hAnsi="Book Antiqua" w:cs="Book Antiqua"/>
          <w:color w:val="000000" w:themeColor="text1"/>
        </w:rPr>
        <w:t xml:space="preserve">developed </w:t>
      </w:r>
      <w:proofErr w:type="gramStart"/>
      <w:r w:rsidRPr="00B82E38">
        <w:rPr>
          <w:rFonts w:ascii="Book Antiqua" w:eastAsia="Book Antiqua" w:hAnsi="Book Antiqua" w:cs="Book Antiqua"/>
          <w:color w:val="000000" w:themeColor="text1"/>
        </w:rPr>
        <w:t>HE</w:t>
      </w:r>
      <w:proofErr w:type="gramEnd"/>
      <w:r w:rsidR="00C833DA">
        <w:rPr>
          <w:rFonts w:ascii="Book Antiqua" w:eastAsia="Book Antiqua" w:hAnsi="Book Antiqua" w:cs="Book Antiqua"/>
          <w:color w:val="000000" w:themeColor="text1"/>
        </w:rPr>
        <w:t xml:space="preserve"> or not</w:t>
      </w:r>
      <w:r w:rsidRPr="00B82E38">
        <w:rPr>
          <w:rFonts w:ascii="Book Antiqua" w:eastAsia="Book Antiqua" w:hAnsi="Book Antiqua" w:cs="Book Antiqua"/>
          <w:color w:val="000000" w:themeColor="text1"/>
        </w:rPr>
        <w:t xml:space="preserve">, </w:t>
      </w:r>
      <w:r w:rsidR="00C833DA">
        <w:rPr>
          <w:rFonts w:ascii="Book Antiqua" w:eastAsia="Book Antiqua" w:hAnsi="Book Antiqua" w:cs="Book Antiqua"/>
          <w:color w:val="000000" w:themeColor="text1"/>
        </w:rPr>
        <w:t>the patients were</w:t>
      </w:r>
      <w:r w:rsidR="00C833DA" w:rsidRPr="00B82E38">
        <w:rPr>
          <w:rFonts w:ascii="Book Antiqua" w:eastAsia="Book Antiqua" w:hAnsi="Book Antiqua" w:cs="Book Antiqua"/>
          <w:color w:val="000000" w:themeColor="text1"/>
        </w:rPr>
        <w:t xml:space="preserve"> </w:t>
      </w:r>
      <w:r w:rsidRPr="00B82E38">
        <w:rPr>
          <w:rFonts w:ascii="Book Antiqua" w:eastAsia="Book Antiqua" w:hAnsi="Book Antiqua" w:cs="Book Antiqua"/>
          <w:color w:val="000000" w:themeColor="text1"/>
        </w:rPr>
        <w:t>divided</w:t>
      </w:r>
      <w:r w:rsidR="00C833DA">
        <w:rPr>
          <w:rFonts w:ascii="Book Antiqua" w:eastAsia="Book Antiqua" w:hAnsi="Book Antiqua" w:cs="Book Antiqua"/>
          <w:color w:val="000000" w:themeColor="text1"/>
        </w:rPr>
        <w:t xml:space="preserve"> </w:t>
      </w:r>
      <w:r w:rsidRPr="00B82E38">
        <w:rPr>
          <w:rFonts w:ascii="Book Antiqua" w:eastAsia="Book Antiqua" w:hAnsi="Book Antiqua" w:cs="Book Antiqua"/>
          <w:color w:val="000000" w:themeColor="text1"/>
        </w:rPr>
        <w:t xml:space="preserve">into </w:t>
      </w:r>
      <w:r w:rsidR="00C833DA">
        <w:rPr>
          <w:rFonts w:ascii="Book Antiqua" w:eastAsia="Book Antiqua" w:hAnsi="Book Antiqua" w:cs="Book Antiqua"/>
          <w:color w:val="000000" w:themeColor="text1"/>
        </w:rPr>
        <w:t>two</w:t>
      </w:r>
      <w:r w:rsidR="00C833DA" w:rsidRPr="00B82E38">
        <w:rPr>
          <w:rFonts w:ascii="Book Antiqua" w:eastAsia="Book Antiqua" w:hAnsi="Book Antiqua" w:cs="Book Antiqua"/>
          <w:color w:val="000000" w:themeColor="text1"/>
        </w:rPr>
        <w:t xml:space="preserve"> </w:t>
      </w:r>
      <w:r w:rsidRPr="00B82E38">
        <w:rPr>
          <w:rFonts w:ascii="Book Antiqua" w:eastAsia="Book Antiqua" w:hAnsi="Book Antiqua" w:cs="Book Antiqua"/>
          <w:color w:val="000000" w:themeColor="text1"/>
        </w:rPr>
        <w:t xml:space="preserve">groups: HE group and non-HE group. Descriptive data are presented as the mean ± SD, and qualitative variables are presented as frequencies or percentages. Student's </w:t>
      </w:r>
      <w:r w:rsidRPr="00455F70">
        <w:rPr>
          <w:rFonts w:ascii="Book Antiqua" w:eastAsia="Book Antiqua" w:hAnsi="Book Antiqua" w:cs="Book Antiqua"/>
          <w:i/>
          <w:color w:val="000000" w:themeColor="text1"/>
        </w:rPr>
        <w:t>t</w:t>
      </w:r>
      <w:r w:rsidRPr="00B82E38">
        <w:rPr>
          <w:rFonts w:ascii="Book Antiqua" w:eastAsia="Book Antiqua" w:hAnsi="Book Antiqua" w:cs="Book Antiqua"/>
          <w:color w:val="000000" w:themeColor="text1"/>
        </w:rPr>
        <w:t xml:space="preserve"> test or the Mann-Whitney </w:t>
      </w:r>
      <w:r w:rsidRPr="00455F70">
        <w:rPr>
          <w:rFonts w:ascii="Book Antiqua" w:eastAsia="Book Antiqua" w:hAnsi="Book Antiqua" w:cs="Book Antiqua"/>
          <w:i/>
          <w:color w:val="000000" w:themeColor="text1"/>
        </w:rPr>
        <w:t>U</w:t>
      </w:r>
      <w:r w:rsidRPr="00B82E38">
        <w:rPr>
          <w:rFonts w:ascii="Book Antiqua" w:eastAsia="Book Antiqua" w:hAnsi="Book Antiqua" w:cs="Book Antiqua"/>
          <w:color w:val="000000" w:themeColor="text1"/>
        </w:rPr>
        <w:t xml:space="preserve"> test was utilized to compare</w:t>
      </w:r>
      <w:r w:rsidRPr="00B82E38">
        <w:rPr>
          <w:rFonts w:ascii="Book Antiqua" w:eastAsia="Book Antiqua" w:hAnsi="Book Antiqua" w:cs="Book Antiqua"/>
          <w:color w:val="000000" w:themeColor="text1"/>
        </w:rPr>
        <w:t xml:space="preserve"> quantitative variables between groups, and the chi-square test or Fisher's exact test was used for qualitative variables. Univariate and multivariable logistic regression analyses were used to determine HE-related risk </w:t>
      </w:r>
      <w:r w:rsidRPr="00B82E38">
        <w:rPr>
          <w:rFonts w:ascii="Book Antiqua" w:eastAsia="Book Antiqua" w:hAnsi="Book Antiqua" w:cs="Book Antiqua"/>
          <w:color w:val="000000" w:themeColor="text1"/>
        </w:rPr>
        <w:lastRenderedPageBreak/>
        <w:t>factors a</w:t>
      </w:r>
      <w:r w:rsidRPr="00B82E38">
        <w:rPr>
          <w:rFonts w:ascii="Book Antiqua" w:eastAsia="Book Antiqua" w:hAnsi="Book Antiqua" w:cs="Book Antiqua"/>
          <w:color w:val="000000" w:themeColor="text1"/>
        </w:rPr>
        <w:t>fter TIPS. The prediction of one-year post-TIPS HE by ICG-R15, CPS</w:t>
      </w:r>
      <w:r w:rsidR="00C833DA">
        <w:rPr>
          <w:rFonts w:ascii="Book Antiqua" w:eastAsia="Book Antiqua" w:hAnsi="Book Antiqua" w:cs="Book Antiqua"/>
          <w:color w:val="000000" w:themeColor="text1"/>
        </w:rPr>
        <w:t>,</w:t>
      </w:r>
      <w:r w:rsidRPr="00B82E38">
        <w:rPr>
          <w:rFonts w:ascii="Book Antiqua" w:eastAsia="Book Antiqua" w:hAnsi="Book Antiqua" w:cs="Book Antiqua"/>
          <w:color w:val="000000" w:themeColor="text1"/>
        </w:rPr>
        <w:t xml:space="preserve"> and MELD score was evaluated by the areas under the receiver operating characteristic curves (AUCs). Pairwise comparison of AUCs in three different function tools was </w:t>
      </w:r>
      <w:proofErr w:type="spellStart"/>
      <w:r w:rsidRPr="00B82E38">
        <w:rPr>
          <w:rFonts w:ascii="Book Antiqua" w:eastAsia="Book Antiqua" w:hAnsi="Book Antiqua" w:cs="Book Antiqua"/>
          <w:color w:val="000000" w:themeColor="text1"/>
        </w:rPr>
        <w:t>analysed</w:t>
      </w:r>
      <w:proofErr w:type="spellEnd"/>
      <w:r w:rsidRPr="00B82E38">
        <w:rPr>
          <w:rFonts w:ascii="Book Antiqua" w:eastAsia="Book Antiqua" w:hAnsi="Book Antiqua" w:cs="Book Antiqua"/>
          <w:color w:val="000000" w:themeColor="text1"/>
        </w:rPr>
        <w:t>.</w:t>
      </w:r>
    </w:p>
    <w:p w14:paraId="0AFF78BB" w14:textId="77777777" w:rsidR="00BA37FB" w:rsidRPr="00B82E38" w:rsidRDefault="00BA37FB" w:rsidP="00372A8C">
      <w:pPr>
        <w:spacing w:line="360" w:lineRule="auto"/>
        <w:ind w:firstLine="320"/>
        <w:jc w:val="both"/>
        <w:rPr>
          <w:rFonts w:ascii="Book Antiqua" w:hAnsi="Book Antiqua"/>
          <w:color w:val="000000" w:themeColor="text1"/>
        </w:rPr>
      </w:pPr>
    </w:p>
    <w:p w14:paraId="05C76019" w14:textId="77777777" w:rsidR="00BA37FB" w:rsidRPr="00B82E38" w:rsidRDefault="008F363E" w:rsidP="00372A8C">
      <w:pPr>
        <w:spacing w:line="360" w:lineRule="auto"/>
        <w:jc w:val="both"/>
        <w:rPr>
          <w:rFonts w:ascii="Book Antiqua" w:hAnsi="Book Antiqua"/>
          <w:color w:val="000000" w:themeColor="text1"/>
        </w:rPr>
      </w:pPr>
      <w:r w:rsidRPr="00B82E38">
        <w:rPr>
          <w:rFonts w:ascii="Book Antiqua" w:eastAsia="Book Antiqua" w:hAnsi="Book Antiqua" w:cs="Book Antiqua"/>
          <w:b/>
          <w:i/>
          <w:color w:val="000000" w:themeColor="text1"/>
        </w:rPr>
        <w:t>Research results</w:t>
      </w:r>
    </w:p>
    <w:p w14:paraId="4CBE6178" w14:textId="230913D6" w:rsidR="00BA37FB" w:rsidRPr="00B82E38" w:rsidRDefault="008F363E" w:rsidP="00372A8C">
      <w:pPr>
        <w:spacing w:line="360" w:lineRule="auto"/>
        <w:jc w:val="both"/>
        <w:rPr>
          <w:rFonts w:ascii="Book Antiqua" w:hAnsi="Book Antiqua"/>
          <w:color w:val="000000" w:themeColor="text1"/>
        </w:rPr>
      </w:pPr>
      <w:r w:rsidRPr="00B82E38">
        <w:rPr>
          <w:rFonts w:ascii="Book Antiqua" w:eastAsia="Book Antiqua" w:hAnsi="Book Antiqua" w:cs="Book Antiqua"/>
          <w:color w:val="000000" w:themeColor="text1"/>
        </w:rPr>
        <w:t xml:space="preserve">A total of 195 patients with </w:t>
      </w:r>
      <w:r w:rsidR="00C833DA">
        <w:rPr>
          <w:rFonts w:ascii="Book Antiqua" w:eastAsia="Book Antiqua" w:hAnsi="Book Antiqua" w:cs="Book Antiqua"/>
          <w:color w:val="000000" w:themeColor="text1"/>
        </w:rPr>
        <w:t>PHT</w:t>
      </w:r>
      <w:r w:rsidRPr="00B82E38">
        <w:rPr>
          <w:rFonts w:ascii="Book Antiqua" w:eastAsia="Book Antiqua" w:hAnsi="Book Antiqua" w:cs="Book Antiqua"/>
          <w:color w:val="000000" w:themeColor="text1"/>
        </w:rPr>
        <w:t xml:space="preserve"> were included and 23% (45/195) of the patients developed post-TIPS HE. The ICG-R15 was identified as an independent predictor of post-TIPS HE. The AUCs for the ICG-R15, CPS</w:t>
      </w:r>
      <w:r w:rsidR="00C833DA">
        <w:rPr>
          <w:rFonts w:ascii="Book Antiqua" w:eastAsia="Book Antiqua" w:hAnsi="Book Antiqua" w:cs="Book Antiqua"/>
          <w:color w:val="000000" w:themeColor="text1"/>
        </w:rPr>
        <w:t>,</w:t>
      </w:r>
      <w:r w:rsidRPr="00B82E38">
        <w:rPr>
          <w:rFonts w:ascii="Book Antiqua" w:eastAsia="Book Antiqua" w:hAnsi="Book Antiqua" w:cs="Book Antiqua"/>
          <w:color w:val="000000" w:themeColor="text1"/>
        </w:rPr>
        <w:t xml:space="preserve"> and MELD score for predicting post-TIPS HE were 0.664 (95%</w:t>
      </w:r>
      <w:r w:rsidR="00422C74">
        <w:rPr>
          <w:rFonts w:ascii="Book Antiqua" w:eastAsia="Book Antiqua" w:hAnsi="Book Antiqua" w:cs="Book Antiqua"/>
          <w:color w:val="000000" w:themeColor="text1"/>
        </w:rPr>
        <w:t xml:space="preserve"> confidence interval [</w:t>
      </w:r>
      <w:r w:rsidRPr="00B82E38">
        <w:rPr>
          <w:rFonts w:ascii="Book Antiqua" w:eastAsia="Book Antiqua" w:hAnsi="Book Antiqua" w:cs="Book Antiqua"/>
          <w:color w:val="000000" w:themeColor="text1"/>
        </w:rPr>
        <w:t>CI</w:t>
      </w:r>
      <w:r w:rsidR="00422C74">
        <w:rPr>
          <w:rFonts w:ascii="Book Antiqua" w:eastAsia="Book Antiqua" w:hAnsi="Book Antiqua" w:cs="Book Antiqua"/>
          <w:color w:val="000000" w:themeColor="text1"/>
        </w:rPr>
        <w:t>]</w:t>
      </w:r>
      <w:r w:rsidRPr="00B82E38">
        <w:rPr>
          <w:rFonts w:ascii="Book Antiqua" w:eastAsia="Book Antiqua" w:hAnsi="Book Antiqua" w:cs="Book Antiqua"/>
          <w:color w:val="000000" w:themeColor="text1"/>
        </w:rPr>
        <w:t>: 0.557-0</w:t>
      </w:r>
      <w:r w:rsidRPr="00B82E38">
        <w:rPr>
          <w:rFonts w:ascii="Book Antiqua" w:eastAsia="Book Antiqua" w:hAnsi="Book Antiqua" w:cs="Book Antiqua"/>
          <w:color w:val="000000" w:themeColor="text1"/>
        </w:rPr>
        <w:t xml:space="preserve">.743, </w:t>
      </w:r>
      <w:r w:rsidRPr="00B82E38">
        <w:rPr>
          <w:rFonts w:ascii="Book Antiqua" w:eastAsia="Book Antiqua" w:hAnsi="Book Antiqua" w:cs="Book Antiqua"/>
          <w:i/>
          <w:iCs/>
          <w:color w:val="000000" w:themeColor="text1"/>
        </w:rPr>
        <w:t>P</w:t>
      </w:r>
      <w:r w:rsidRPr="00B82E38">
        <w:rPr>
          <w:rFonts w:ascii="Book Antiqua" w:eastAsia="Book Antiqua" w:hAnsi="Book Antiqua" w:cs="Book Antiqua"/>
          <w:color w:val="000000" w:themeColor="text1"/>
        </w:rPr>
        <w:t xml:space="preserve"> = 0.0046), 0.596 (95%CI</w:t>
      </w:r>
      <w:r w:rsidRPr="00B82E38">
        <w:rPr>
          <w:rFonts w:ascii="Book Antiqua" w:eastAsia="宋体" w:hAnsi="Book Antiqua" w:cs="宋体"/>
          <w:color w:val="000000" w:themeColor="text1"/>
          <w:lang w:eastAsia="zh-CN"/>
        </w:rPr>
        <w:t>:</w:t>
      </w:r>
      <w:r w:rsidRPr="00B82E38">
        <w:rPr>
          <w:rFonts w:ascii="Book Antiqua" w:eastAsia="Book Antiqua" w:hAnsi="Book Antiqua" w:cs="Book Antiqua"/>
          <w:color w:val="000000" w:themeColor="text1"/>
        </w:rPr>
        <w:t xml:space="preserve"> 0.508-0.679, </w:t>
      </w:r>
      <w:r w:rsidRPr="00B82E38">
        <w:rPr>
          <w:rFonts w:ascii="Book Antiqua" w:eastAsia="Book Antiqua" w:hAnsi="Book Antiqua" w:cs="Book Antiqua"/>
          <w:i/>
          <w:iCs/>
          <w:color w:val="000000" w:themeColor="text1"/>
        </w:rPr>
        <w:t>P</w:t>
      </w:r>
      <w:r w:rsidRPr="00B82E38">
        <w:rPr>
          <w:rFonts w:ascii="Book Antiqua" w:eastAsia="Book Antiqua" w:hAnsi="Book Antiqua" w:cs="Book Antiqua"/>
          <w:color w:val="000000" w:themeColor="text1"/>
        </w:rPr>
        <w:t xml:space="preserve"> = 0</w:t>
      </w:r>
      <w:r w:rsidRPr="00B82E38">
        <w:rPr>
          <w:rFonts w:ascii="Book Antiqua" w:eastAsia="Book Antiqua" w:hAnsi="Book Antiqua" w:cs="Book Antiqua"/>
          <w:color w:val="000000" w:themeColor="text1"/>
        </w:rPr>
        <w:t>.087)</w:t>
      </w:r>
      <w:r w:rsidR="00C833DA">
        <w:rPr>
          <w:rFonts w:ascii="Book Antiqua" w:eastAsia="Book Antiqua" w:hAnsi="Book Antiqua" w:cs="Book Antiqua"/>
          <w:color w:val="000000" w:themeColor="text1"/>
        </w:rPr>
        <w:t>,</w:t>
      </w:r>
      <w:r w:rsidRPr="00B82E38">
        <w:rPr>
          <w:rFonts w:ascii="Book Antiqua" w:eastAsia="Book Antiqua" w:hAnsi="Book Antiqua" w:cs="Book Antiqua"/>
          <w:color w:val="000000" w:themeColor="text1"/>
        </w:rPr>
        <w:t xml:space="preserve"> and 0.641 (95%CI: 0.554-0.721, </w:t>
      </w:r>
      <w:r w:rsidRPr="00B82E38">
        <w:rPr>
          <w:rFonts w:ascii="Book Antiqua" w:eastAsia="Book Antiqua" w:hAnsi="Book Antiqua" w:cs="Book Antiqua"/>
          <w:i/>
          <w:iCs/>
          <w:color w:val="000000" w:themeColor="text1"/>
        </w:rPr>
        <w:t>P</w:t>
      </w:r>
      <w:r w:rsidRPr="00B82E38">
        <w:rPr>
          <w:rFonts w:ascii="Book Antiqua" w:eastAsia="Book Antiqua" w:hAnsi="Book Antiqua" w:cs="Book Antiqua"/>
          <w:color w:val="000000" w:themeColor="text1"/>
        </w:rPr>
        <w:t xml:space="preserve"> = 0.021), respectively. </w:t>
      </w:r>
      <w:proofErr w:type="spellStart"/>
      <w:r w:rsidR="0034738A" w:rsidRPr="00B82E38">
        <w:rPr>
          <w:rFonts w:ascii="Book Antiqua" w:eastAsia="Book Antiqua" w:hAnsi="Book Antiqua" w:cs="Book Antiqua"/>
          <w:color w:val="000000" w:themeColor="text1"/>
        </w:rPr>
        <w:t>Molodianovitch</w:t>
      </w:r>
      <w:proofErr w:type="spellEnd"/>
      <w:r w:rsidRPr="00B82E38">
        <w:rPr>
          <w:rFonts w:ascii="Book Antiqua" w:eastAsia="Book Antiqua" w:hAnsi="Book Antiqua" w:cs="Book Antiqua"/>
          <w:color w:val="000000" w:themeColor="text1"/>
        </w:rPr>
        <w:t xml:space="preserve"> </w:t>
      </w:r>
      <w:r w:rsidRPr="00B82E38">
        <w:rPr>
          <w:rFonts w:ascii="Book Antiqua" w:eastAsia="Book Antiqua" w:hAnsi="Book Antiqua" w:cs="Book Antiqua"/>
          <w:i/>
          <w:iCs/>
          <w:color w:val="000000" w:themeColor="text1"/>
        </w:rPr>
        <w:t xml:space="preserve">et </w:t>
      </w:r>
      <w:proofErr w:type="gramStart"/>
      <w:r w:rsidRPr="00B82E38">
        <w:rPr>
          <w:rFonts w:ascii="Book Antiqua" w:eastAsia="Book Antiqua" w:hAnsi="Book Antiqua" w:cs="Book Antiqua"/>
          <w:i/>
          <w:iCs/>
          <w:color w:val="000000" w:themeColor="text1"/>
        </w:rPr>
        <w:t>al</w:t>
      </w:r>
      <w:r w:rsidRPr="00B82E38">
        <w:rPr>
          <w:rFonts w:ascii="Book Antiqua" w:eastAsia="Book Antiqua" w:hAnsi="Book Antiqua" w:cs="Book Antiqua"/>
          <w:color w:val="000000" w:themeColor="text1"/>
          <w:vertAlign w:val="superscript"/>
        </w:rPr>
        <w:t>[</w:t>
      </w:r>
      <w:proofErr w:type="gramEnd"/>
      <w:r w:rsidRPr="00B82E38">
        <w:rPr>
          <w:rFonts w:ascii="Book Antiqua" w:eastAsia="Book Antiqua" w:hAnsi="Book Antiqua" w:cs="Book Antiqua"/>
          <w:color w:val="000000" w:themeColor="text1"/>
          <w:vertAlign w:val="superscript"/>
        </w:rPr>
        <w:t>17]</w:t>
      </w:r>
      <w:r w:rsidRPr="00B82E38">
        <w:rPr>
          <w:rFonts w:ascii="Book Antiqua" w:eastAsia="Book Antiqua" w:hAnsi="Book Antiqua" w:cs="Book Antiqua"/>
          <w:color w:val="000000" w:themeColor="text1"/>
          <w:lang w:eastAsia="zh-CN"/>
        </w:rPr>
        <w:t xml:space="preserve"> </w:t>
      </w:r>
      <w:r w:rsidRPr="00B82E38">
        <w:rPr>
          <w:rFonts w:ascii="Book Antiqua" w:eastAsia="Book Antiqua" w:hAnsi="Book Antiqua" w:cs="Book Antiqua"/>
          <w:color w:val="000000" w:themeColor="text1"/>
        </w:rPr>
        <w:t>showed that there was</w:t>
      </w:r>
      <w:r w:rsidR="00422C74">
        <w:rPr>
          <w:rFonts w:ascii="Book Antiqua" w:eastAsia="Book Antiqua" w:hAnsi="Book Antiqua" w:cs="Book Antiqua"/>
          <w:color w:val="000000" w:themeColor="text1"/>
        </w:rPr>
        <w:t xml:space="preserve"> </w:t>
      </w:r>
      <w:r w:rsidRPr="00B82E38">
        <w:rPr>
          <w:rFonts w:ascii="Book Antiqua" w:eastAsia="Book Antiqua" w:hAnsi="Book Antiqua" w:cs="Book Antiqua"/>
          <w:color w:val="000000" w:themeColor="text1"/>
        </w:rPr>
        <w:t>statistical si</w:t>
      </w:r>
      <w:r w:rsidRPr="00B82E38">
        <w:rPr>
          <w:rFonts w:ascii="Book Antiqua" w:eastAsia="Book Antiqua" w:hAnsi="Book Antiqua" w:cs="Book Antiqua"/>
          <w:color w:val="000000" w:themeColor="text1"/>
        </w:rPr>
        <w:t>gnificance in pairwise comparison between AUCs of ICG-R15 and MELD score (</w:t>
      </w:r>
      <w:r w:rsidRPr="00B82E38">
        <w:rPr>
          <w:rFonts w:ascii="Book Antiqua" w:eastAsia="Book Antiqua" w:hAnsi="Book Antiqua" w:cs="Book Antiqua"/>
          <w:i/>
          <w:iCs/>
          <w:color w:val="000000" w:themeColor="text1"/>
        </w:rPr>
        <w:t>P</w:t>
      </w:r>
      <w:r w:rsidRPr="00B82E38">
        <w:rPr>
          <w:rFonts w:ascii="Book Antiqua" w:eastAsia="Book Antiqua" w:hAnsi="Book Antiqua" w:cs="Book Antiqua"/>
          <w:color w:val="000000" w:themeColor="text1"/>
        </w:rPr>
        <w:t xml:space="preserve"> = 0.0229). </w:t>
      </w:r>
    </w:p>
    <w:p w14:paraId="3EAE0FE3" w14:textId="77777777" w:rsidR="00BA37FB" w:rsidRPr="00B82E38" w:rsidRDefault="00BA37FB" w:rsidP="00372A8C">
      <w:pPr>
        <w:spacing w:line="360" w:lineRule="auto"/>
        <w:ind w:firstLine="320"/>
        <w:jc w:val="both"/>
        <w:rPr>
          <w:rFonts w:ascii="Book Antiqua" w:hAnsi="Book Antiqua"/>
          <w:color w:val="000000" w:themeColor="text1"/>
        </w:rPr>
      </w:pPr>
    </w:p>
    <w:p w14:paraId="36A44265" w14:textId="77777777" w:rsidR="00BA37FB" w:rsidRPr="00B82E38" w:rsidRDefault="008F363E" w:rsidP="00372A8C">
      <w:pPr>
        <w:spacing w:line="360" w:lineRule="auto"/>
        <w:jc w:val="both"/>
        <w:rPr>
          <w:rFonts w:ascii="Book Antiqua" w:hAnsi="Book Antiqua"/>
          <w:color w:val="000000" w:themeColor="text1"/>
        </w:rPr>
      </w:pPr>
      <w:r w:rsidRPr="00B82E38">
        <w:rPr>
          <w:rFonts w:ascii="Book Antiqua" w:eastAsia="Book Antiqua" w:hAnsi="Book Antiqua" w:cs="Book Antiqua"/>
          <w:b/>
          <w:i/>
          <w:color w:val="000000" w:themeColor="text1"/>
        </w:rPr>
        <w:t>Research conclusions</w:t>
      </w:r>
    </w:p>
    <w:p w14:paraId="5693E8BE" w14:textId="43A658BC" w:rsidR="00BA37FB" w:rsidRPr="00B82E38" w:rsidRDefault="008F363E" w:rsidP="00372A8C">
      <w:pPr>
        <w:spacing w:line="360" w:lineRule="auto"/>
        <w:jc w:val="both"/>
        <w:rPr>
          <w:rFonts w:ascii="Book Antiqua" w:hAnsi="Book Antiqua"/>
          <w:color w:val="000000" w:themeColor="text1"/>
        </w:rPr>
      </w:pPr>
      <w:r w:rsidRPr="00B82E38">
        <w:rPr>
          <w:rFonts w:ascii="Book Antiqua" w:eastAsia="Book Antiqua" w:hAnsi="Book Antiqua" w:cs="Book Antiqua"/>
          <w:color w:val="000000" w:themeColor="text1"/>
        </w:rPr>
        <w:t>TIPS for PHT in patients with cirrhosis should be considered after careful selection based on patient characteristics and liver function. T</w:t>
      </w:r>
      <w:r w:rsidRPr="00B82E38">
        <w:rPr>
          <w:rFonts w:ascii="Book Antiqua" w:eastAsia="Book Antiqua" w:hAnsi="Book Antiqua" w:cs="Book Antiqua"/>
          <w:color w:val="000000" w:themeColor="text1"/>
        </w:rPr>
        <w:t>he ICG-</w:t>
      </w:r>
      <w:r w:rsidR="00811925" w:rsidRPr="00B82E38">
        <w:rPr>
          <w:rFonts w:ascii="Book Antiqua" w:eastAsia="Book Antiqua" w:hAnsi="Book Antiqua" w:cs="Book Antiqua"/>
          <w:color w:val="000000" w:themeColor="text1"/>
        </w:rPr>
        <w:t>R</w:t>
      </w:r>
      <w:r w:rsidRPr="00B82E38">
        <w:rPr>
          <w:rFonts w:ascii="Book Antiqua" w:eastAsia="Book Antiqua" w:hAnsi="Book Antiqua" w:cs="Book Antiqua"/>
          <w:color w:val="000000" w:themeColor="text1"/>
        </w:rPr>
        <w:t>15 has a</w:t>
      </w:r>
      <w:r w:rsidR="00422C74">
        <w:rPr>
          <w:rFonts w:ascii="Book Antiqua" w:eastAsia="Book Antiqua" w:hAnsi="Book Antiqua" w:cs="Book Antiqua"/>
          <w:color w:val="000000" w:themeColor="text1"/>
        </w:rPr>
        <w:t>ppreciated</w:t>
      </w:r>
      <w:r w:rsidRPr="00B82E38">
        <w:rPr>
          <w:rFonts w:ascii="Book Antiqua" w:eastAsia="Book Antiqua" w:hAnsi="Book Antiqua" w:cs="Book Antiqua"/>
          <w:color w:val="000000" w:themeColor="text1"/>
        </w:rPr>
        <w:t xml:space="preserve"> clinica</w:t>
      </w:r>
      <w:r w:rsidRPr="00B82E38">
        <w:rPr>
          <w:rFonts w:ascii="Book Antiqua" w:eastAsia="Book Antiqua" w:hAnsi="Book Antiqua" w:cs="Book Antiqua"/>
          <w:color w:val="000000" w:themeColor="text1"/>
        </w:rPr>
        <w:t xml:space="preserve">l value for predicting the occurrence of post-TIPS HE and is a choice for evaluating the prognosis of patients undergoing TIPS. </w:t>
      </w:r>
    </w:p>
    <w:p w14:paraId="0354A8E1" w14:textId="77777777" w:rsidR="00BA37FB" w:rsidRPr="00B82E38" w:rsidRDefault="00BA37FB" w:rsidP="00372A8C">
      <w:pPr>
        <w:spacing w:line="360" w:lineRule="auto"/>
        <w:ind w:firstLine="320"/>
        <w:jc w:val="both"/>
        <w:rPr>
          <w:rFonts w:ascii="Book Antiqua" w:hAnsi="Book Antiqua"/>
          <w:color w:val="000000" w:themeColor="text1"/>
        </w:rPr>
      </w:pPr>
    </w:p>
    <w:p w14:paraId="61DF69C5" w14:textId="77777777" w:rsidR="00BA37FB" w:rsidRPr="00B82E38" w:rsidRDefault="008F363E" w:rsidP="00372A8C">
      <w:pPr>
        <w:spacing w:line="360" w:lineRule="auto"/>
        <w:jc w:val="both"/>
        <w:rPr>
          <w:rFonts w:ascii="Book Antiqua" w:hAnsi="Book Antiqua"/>
          <w:color w:val="000000" w:themeColor="text1"/>
        </w:rPr>
      </w:pPr>
      <w:r w:rsidRPr="00B82E38">
        <w:rPr>
          <w:rFonts w:ascii="Book Antiqua" w:eastAsia="Book Antiqua" w:hAnsi="Book Antiqua" w:cs="Book Antiqua"/>
          <w:b/>
          <w:i/>
          <w:color w:val="000000" w:themeColor="text1"/>
        </w:rPr>
        <w:t>Research perspectives</w:t>
      </w:r>
    </w:p>
    <w:p w14:paraId="52E9A6F3" w14:textId="03056347" w:rsidR="00BA37FB" w:rsidRPr="00B82E38" w:rsidRDefault="008F363E" w:rsidP="00372A8C">
      <w:pPr>
        <w:spacing w:line="360" w:lineRule="auto"/>
        <w:jc w:val="both"/>
        <w:rPr>
          <w:rFonts w:ascii="Book Antiqua" w:hAnsi="Book Antiqua"/>
          <w:color w:val="000000" w:themeColor="text1"/>
        </w:rPr>
      </w:pPr>
      <w:r w:rsidRPr="00B82E38">
        <w:rPr>
          <w:rFonts w:ascii="Book Antiqua" w:eastAsia="Book Antiqua" w:hAnsi="Book Antiqua" w:cs="Book Antiqua"/>
          <w:color w:val="000000" w:themeColor="text1"/>
        </w:rPr>
        <w:t>We can learn from this</w:t>
      </w:r>
      <w:r w:rsidRPr="00B82E38">
        <w:rPr>
          <w:rFonts w:ascii="Book Antiqua" w:eastAsia="Book Antiqua" w:hAnsi="Book Antiqua" w:cs="Book Antiqua"/>
          <w:color w:val="000000" w:themeColor="text1"/>
        </w:rPr>
        <w:t xml:space="preserve"> study that </w:t>
      </w:r>
      <w:r w:rsidR="00422C74">
        <w:rPr>
          <w:rFonts w:ascii="Book Antiqua" w:eastAsia="Book Antiqua" w:hAnsi="Book Antiqua" w:cs="Book Antiqua"/>
          <w:color w:val="000000" w:themeColor="text1"/>
        </w:rPr>
        <w:t>monitoring</w:t>
      </w:r>
      <w:r w:rsidRPr="00B82E38">
        <w:rPr>
          <w:rFonts w:ascii="Book Antiqua" w:eastAsia="Book Antiqua" w:hAnsi="Book Antiqua" w:cs="Book Antiqua"/>
          <w:color w:val="000000" w:themeColor="text1"/>
        </w:rPr>
        <w:t xml:space="preserve"> patients who underwent TIPS with </w:t>
      </w:r>
      <w:r w:rsidR="00422C74">
        <w:rPr>
          <w:rFonts w:ascii="Book Antiqua" w:eastAsia="Book Antiqua" w:hAnsi="Book Antiqua" w:cs="Book Antiqua"/>
          <w:color w:val="000000" w:themeColor="text1"/>
        </w:rPr>
        <w:t xml:space="preserve">an </w:t>
      </w:r>
      <w:r w:rsidR="00422C74" w:rsidRPr="00B82E38">
        <w:rPr>
          <w:rFonts w:ascii="Book Antiqua" w:eastAsia="Book Antiqua" w:hAnsi="Book Antiqua" w:cs="Book Antiqua"/>
          <w:color w:val="000000" w:themeColor="text1"/>
        </w:rPr>
        <w:t>ICG-R15</w:t>
      </w:r>
      <w:r w:rsidR="00422C74">
        <w:rPr>
          <w:rFonts w:ascii="Book Antiqua" w:eastAsia="Book Antiqua" w:hAnsi="Book Antiqua" w:cs="Book Antiqua"/>
          <w:color w:val="000000" w:themeColor="text1"/>
        </w:rPr>
        <w:t xml:space="preserve"> </w:t>
      </w:r>
      <w:r w:rsidRPr="00B82E38">
        <w:rPr>
          <w:rFonts w:ascii="Book Antiqua" w:eastAsia="Book Antiqua" w:hAnsi="Book Antiqua" w:cs="Book Antiqua"/>
          <w:color w:val="000000" w:themeColor="text1"/>
        </w:rPr>
        <w:t>value above 30% can better</w:t>
      </w:r>
      <w:r w:rsidRPr="00B82E38">
        <w:rPr>
          <w:rFonts w:ascii="Book Antiqua" w:eastAsia="Book Antiqua" w:hAnsi="Book Antiqua" w:cs="Book Antiqua"/>
          <w:color w:val="000000" w:themeColor="text1"/>
        </w:rPr>
        <w:t xml:space="preserve"> prevent adverse outcomes. Future studies will focus on the incidence of complications and survival in terms of the value of ICG</w:t>
      </w:r>
      <w:r w:rsidR="00811925" w:rsidRPr="00B82E38">
        <w:rPr>
          <w:rFonts w:ascii="Book Antiqua" w:eastAsia="Book Antiqua" w:hAnsi="Book Antiqua" w:cs="Book Antiqua"/>
          <w:color w:val="000000" w:themeColor="text1"/>
        </w:rPr>
        <w:t>-</w:t>
      </w:r>
      <w:r w:rsidRPr="00B82E38">
        <w:rPr>
          <w:rFonts w:ascii="Book Antiqua" w:eastAsia="Book Antiqua" w:hAnsi="Book Antiqua" w:cs="Book Antiqua"/>
          <w:color w:val="000000" w:themeColor="text1"/>
        </w:rPr>
        <w:t xml:space="preserve">R15 and randomized controlled trials are needed in order to verify our results. </w:t>
      </w:r>
    </w:p>
    <w:p w14:paraId="68B696D6" w14:textId="77777777" w:rsidR="00BA37FB" w:rsidRPr="00B82E38" w:rsidRDefault="00BA37FB" w:rsidP="00372A8C">
      <w:pPr>
        <w:spacing w:line="360" w:lineRule="auto"/>
        <w:jc w:val="both"/>
        <w:rPr>
          <w:rFonts w:ascii="Book Antiqua" w:hAnsi="Book Antiqua"/>
          <w:color w:val="000000" w:themeColor="text1"/>
        </w:rPr>
      </w:pPr>
    </w:p>
    <w:p w14:paraId="3FC5726C" w14:textId="77777777" w:rsidR="00BA37FB" w:rsidRPr="00B82E38" w:rsidRDefault="008F363E" w:rsidP="00372A8C">
      <w:pPr>
        <w:spacing w:line="360" w:lineRule="auto"/>
        <w:jc w:val="both"/>
        <w:rPr>
          <w:rFonts w:ascii="Book Antiqua" w:hAnsi="Book Antiqua"/>
          <w:color w:val="000000" w:themeColor="text1"/>
        </w:rPr>
      </w:pPr>
      <w:r w:rsidRPr="00B82E38">
        <w:rPr>
          <w:rFonts w:ascii="Book Antiqua" w:eastAsia="Book Antiqua" w:hAnsi="Book Antiqua" w:cs="Book Antiqua"/>
          <w:b/>
          <w:color w:val="000000" w:themeColor="text1"/>
        </w:rPr>
        <w:t>REFERENCES</w:t>
      </w:r>
    </w:p>
    <w:p w14:paraId="14C37B8B" w14:textId="77777777" w:rsidR="00BA37FB" w:rsidRPr="00B82E38" w:rsidRDefault="008F363E" w:rsidP="00372A8C">
      <w:pPr>
        <w:spacing w:line="360" w:lineRule="auto"/>
        <w:jc w:val="both"/>
        <w:rPr>
          <w:rFonts w:ascii="Book Antiqua" w:hAnsi="Book Antiqua"/>
          <w:color w:val="000000" w:themeColor="text1"/>
        </w:rPr>
      </w:pPr>
      <w:r w:rsidRPr="00B82E38">
        <w:rPr>
          <w:rFonts w:ascii="Book Antiqua" w:eastAsia="Book Antiqua" w:hAnsi="Book Antiqua" w:cs="Book Antiqua"/>
          <w:color w:val="000000" w:themeColor="text1"/>
        </w:rPr>
        <w:t xml:space="preserve">1 </w:t>
      </w:r>
      <w:proofErr w:type="spellStart"/>
      <w:r w:rsidRPr="00B82E38">
        <w:rPr>
          <w:rFonts w:ascii="Book Antiqua" w:eastAsia="Book Antiqua" w:hAnsi="Book Antiqua" w:cs="Book Antiqua"/>
          <w:b/>
          <w:bCs/>
          <w:color w:val="000000" w:themeColor="text1"/>
        </w:rPr>
        <w:t>Tsochatzis</w:t>
      </w:r>
      <w:proofErr w:type="spellEnd"/>
      <w:r w:rsidRPr="00B82E38">
        <w:rPr>
          <w:rFonts w:ascii="Book Antiqua" w:eastAsia="Book Antiqua" w:hAnsi="Book Antiqua" w:cs="Book Antiqua"/>
          <w:b/>
          <w:bCs/>
          <w:color w:val="000000" w:themeColor="text1"/>
        </w:rPr>
        <w:t xml:space="preserve"> EA</w:t>
      </w:r>
      <w:r w:rsidRPr="00B82E38">
        <w:rPr>
          <w:rFonts w:ascii="Book Antiqua" w:eastAsia="Book Antiqua" w:hAnsi="Book Antiqua" w:cs="Book Antiqua"/>
          <w:color w:val="000000" w:themeColor="text1"/>
        </w:rPr>
        <w:t xml:space="preserve">, Bosch J, Burroughs AK. Liver cirrhosis. </w:t>
      </w:r>
      <w:r w:rsidRPr="00B82E38">
        <w:rPr>
          <w:rFonts w:ascii="Book Antiqua" w:eastAsia="Book Antiqua" w:hAnsi="Book Antiqua" w:cs="Book Antiqua"/>
          <w:i/>
          <w:iCs/>
          <w:color w:val="000000" w:themeColor="text1"/>
        </w:rPr>
        <w:t>Lancet</w:t>
      </w:r>
      <w:r w:rsidRPr="00B82E38">
        <w:rPr>
          <w:rFonts w:ascii="Book Antiqua" w:eastAsia="Book Antiqua" w:hAnsi="Book Antiqua" w:cs="Book Antiqua"/>
          <w:color w:val="000000" w:themeColor="text1"/>
        </w:rPr>
        <w:t xml:space="preserve"> 2014; </w:t>
      </w:r>
      <w:r w:rsidRPr="00B82E38">
        <w:rPr>
          <w:rFonts w:ascii="Book Antiqua" w:eastAsia="Book Antiqua" w:hAnsi="Book Antiqua" w:cs="Book Antiqua"/>
          <w:b/>
          <w:bCs/>
          <w:color w:val="000000" w:themeColor="text1"/>
        </w:rPr>
        <w:t>383</w:t>
      </w:r>
      <w:r w:rsidRPr="00B82E38">
        <w:rPr>
          <w:rFonts w:ascii="Book Antiqua" w:eastAsia="Book Antiqua" w:hAnsi="Book Antiqua" w:cs="Book Antiqua"/>
          <w:color w:val="000000" w:themeColor="text1"/>
        </w:rPr>
        <w:t>: 1749-1761 [PMID: 24480518 DOI: 10.1016/S0140-6736(14)60121-5]</w:t>
      </w:r>
    </w:p>
    <w:p w14:paraId="2A6742F6" w14:textId="77777777" w:rsidR="00BA37FB" w:rsidRPr="00B82E38" w:rsidRDefault="008F363E" w:rsidP="00372A8C">
      <w:pPr>
        <w:spacing w:line="360" w:lineRule="auto"/>
        <w:jc w:val="both"/>
        <w:rPr>
          <w:rFonts w:ascii="Book Antiqua" w:hAnsi="Book Antiqua"/>
          <w:color w:val="000000" w:themeColor="text1"/>
        </w:rPr>
      </w:pPr>
      <w:r w:rsidRPr="00B82E38">
        <w:rPr>
          <w:rFonts w:ascii="Book Antiqua" w:eastAsia="Book Antiqua" w:hAnsi="Book Antiqua" w:cs="Book Antiqua"/>
          <w:color w:val="000000" w:themeColor="text1"/>
        </w:rPr>
        <w:lastRenderedPageBreak/>
        <w:t xml:space="preserve">2 </w:t>
      </w:r>
      <w:r w:rsidRPr="00B82E38">
        <w:rPr>
          <w:rFonts w:ascii="Book Antiqua" w:eastAsia="Book Antiqua" w:hAnsi="Book Antiqua" w:cs="Book Antiqua"/>
          <w:b/>
          <w:bCs/>
          <w:color w:val="000000" w:themeColor="text1"/>
        </w:rPr>
        <w:t>Hung ML</w:t>
      </w:r>
      <w:r w:rsidRPr="00B82E38">
        <w:rPr>
          <w:rFonts w:ascii="Book Antiqua" w:eastAsia="Book Antiqua" w:hAnsi="Book Antiqua" w:cs="Book Antiqua"/>
          <w:color w:val="000000" w:themeColor="text1"/>
        </w:rPr>
        <w:t xml:space="preserve">, Lee EW. Role of </w:t>
      </w:r>
      <w:proofErr w:type="spellStart"/>
      <w:r w:rsidRPr="00B82E38">
        <w:rPr>
          <w:rFonts w:ascii="Book Antiqua" w:eastAsia="Book Antiqua" w:hAnsi="Book Antiqua" w:cs="Book Antiqua"/>
          <w:color w:val="000000" w:themeColor="text1"/>
        </w:rPr>
        <w:t>Transjugular</w:t>
      </w:r>
      <w:proofErr w:type="spellEnd"/>
      <w:r w:rsidRPr="00B82E38">
        <w:rPr>
          <w:rFonts w:ascii="Book Antiqua" w:eastAsia="Book Antiqua" w:hAnsi="Book Antiqua" w:cs="Book Antiqua"/>
          <w:color w:val="000000" w:themeColor="text1"/>
        </w:rPr>
        <w:t xml:space="preserve"> Intrahepatic Portosystemic Shunt in the Management of Portal Hypertension: Review and Update of the Literature. </w:t>
      </w:r>
      <w:r w:rsidRPr="00B82E38">
        <w:rPr>
          <w:rFonts w:ascii="Book Antiqua" w:eastAsia="Book Antiqua" w:hAnsi="Book Antiqua" w:cs="Book Antiqua"/>
          <w:i/>
          <w:iCs/>
          <w:color w:val="000000" w:themeColor="text1"/>
        </w:rPr>
        <w:t>Clin Liver Dis</w:t>
      </w:r>
      <w:r w:rsidRPr="00B82E38">
        <w:rPr>
          <w:rFonts w:ascii="Book Antiqua" w:eastAsia="Book Antiqua" w:hAnsi="Book Antiqua" w:cs="Book Antiqua"/>
          <w:color w:val="000000" w:themeColor="text1"/>
        </w:rPr>
        <w:t xml:space="preserve"> 2019; </w:t>
      </w:r>
      <w:r w:rsidRPr="00B82E38">
        <w:rPr>
          <w:rFonts w:ascii="Book Antiqua" w:eastAsia="Book Antiqua" w:hAnsi="Book Antiqua" w:cs="Book Antiqua"/>
          <w:b/>
          <w:bCs/>
          <w:color w:val="000000" w:themeColor="text1"/>
        </w:rPr>
        <w:t>23</w:t>
      </w:r>
      <w:r w:rsidRPr="00B82E38">
        <w:rPr>
          <w:rFonts w:ascii="Book Antiqua" w:eastAsia="Book Antiqua" w:hAnsi="Book Antiqua" w:cs="Book Antiqua"/>
          <w:color w:val="000000" w:themeColor="text1"/>
        </w:rPr>
        <w:t>: 737-754 [PMID: 31563220 DOI: 10.1016/j.cld.2019.07.004]</w:t>
      </w:r>
    </w:p>
    <w:p w14:paraId="5680AB70" w14:textId="77777777" w:rsidR="00BA37FB" w:rsidRPr="00B82E38" w:rsidRDefault="008F363E" w:rsidP="00372A8C">
      <w:pPr>
        <w:spacing w:line="360" w:lineRule="auto"/>
        <w:jc w:val="both"/>
        <w:rPr>
          <w:rFonts w:ascii="Book Antiqua" w:hAnsi="Book Antiqua"/>
          <w:color w:val="000000" w:themeColor="text1"/>
        </w:rPr>
      </w:pPr>
      <w:r w:rsidRPr="00B82E38">
        <w:rPr>
          <w:rFonts w:ascii="Book Antiqua" w:eastAsia="Book Antiqua" w:hAnsi="Book Antiqua" w:cs="Book Antiqua"/>
          <w:color w:val="000000" w:themeColor="text1"/>
        </w:rPr>
        <w:t xml:space="preserve">3 </w:t>
      </w:r>
      <w:r w:rsidRPr="00B82E38">
        <w:rPr>
          <w:rFonts w:ascii="Book Antiqua" w:eastAsia="Book Antiqua" w:hAnsi="Book Antiqua" w:cs="Book Antiqua"/>
          <w:b/>
          <w:bCs/>
          <w:color w:val="000000" w:themeColor="text1"/>
        </w:rPr>
        <w:t>Sankar K</w:t>
      </w:r>
      <w:r w:rsidRPr="00B82E38">
        <w:rPr>
          <w:rFonts w:ascii="Book Antiqua" w:eastAsia="Book Antiqua" w:hAnsi="Book Antiqua" w:cs="Book Antiqua"/>
          <w:color w:val="000000" w:themeColor="text1"/>
        </w:rPr>
        <w:t xml:space="preserve">, Moore CM. </w:t>
      </w:r>
      <w:proofErr w:type="spellStart"/>
      <w:r w:rsidRPr="00B82E38">
        <w:rPr>
          <w:rFonts w:ascii="Book Antiqua" w:eastAsia="Book Antiqua" w:hAnsi="Book Antiqua" w:cs="Book Antiqua"/>
          <w:color w:val="000000" w:themeColor="text1"/>
        </w:rPr>
        <w:t>Transjugular</w:t>
      </w:r>
      <w:proofErr w:type="spellEnd"/>
      <w:r w:rsidRPr="00B82E38">
        <w:rPr>
          <w:rFonts w:ascii="Book Antiqua" w:eastAsia="Book Antiqua" w:hAnsi="Book Antiqua" w:cs="Book Antiqua"/>
          <w:color w:val="000000" w:themeColor="text1"/>
        </w:rPr>
        <w:t xml:space="preserve"> Intrahepatic Portosystemic Shunts. </w:t>
      </w:r>
      <w:r w:rsidRPr="00B82E38">
        <w:rPr>
          <w:rFonts w:ascii="Book Antiqua" w:eastAsia="Book Antiqua" w:hAnsi="Book Antiqua" w:cs="Book Antiqua"/>
          <w:i/>
          <w:iCs/>
          <w:color w:val="000000" w:themeColor="text1"/>
        </w:rPr>
        <w:t>JAMA</w:t>
      </w:r>
      <w:r w:rsidRPr="00B82E38">
        <w:rPr>
          <w:rFonts w:ascii="Book Antiqua" w:eastAsia="Book Antiqua" w:hAnsi="Book Antiqua" w:cs="Book Antiqua"/>
          <w:color w:val="000000" w:themeColor="text1"/>
        </w:rPr>
        <w:t xml:space="preserve"> 2017; </w:t>
      </w:r>
      <w:r w:rsidRPr="00B82E38">
        <w:rPr>
          <w:rFonts w:ascii="Book Antiqua" w:eastAsia="Book Antiqua" w:hAnsi="Book Antiqua" w:cs="Book Antiqua"/>
          <w:b/>
          <w:bCs/>
          <w:color w:val="000000" w:themeColor="text1"/>
        </w:rPr>
        <w:t>317</w:t>
      </w:r>
      <w:r w:rsidRPr="00B82E38">
        <w:rPr>
          <w:rFonts w:ascii="Book Antiqua" w:eastAsia="Book Antiqua" w:hAnsi="Book Antiqua" w:cs="Book Antiqua"/>
          <w:color w:val="000000" w:themeColor="text1"/>
        </w:rPr>
        <w:t>: 880 [PMID: 28245324 DOI: 10.1001/jama.2016.20899]</w:t>
      </w:r>
    </w:p>
    <w:p w14:paraId="213DB9E3" w14:textId="77777777" w:rsidR="00BA37FB" w:rsidRPr="00B82E38" w:rsidRDefault="008F363E" w:rsidP="00372A8C">
      <w:pPr>
        <w:spacing w:line="360" w:lineRule="auto"/>
        <w:jc w:val="both"/>
        <w:rPr>
          <w:rFonts w:ascii="Book Antiqua" w:hAnsi="Book Antiqua"/>
          <w:color w:val="000000" w:themeColor="text1"/>
        </w:rPr>
      </w:pPr>
      <w:r w:rsidRPr="00B82E38">
        <w:rPr>
          <w:rFonts w:ascii="Book Antiqua" w:eastAsia="Book Antiqua" w:hAnsi="Book Antiqua" w:cs="Book Antiqua"/>
          <w:color w:val="000000" w:themeColor="text1"/>
        </w:rPr>
        <w:t xml:space="preserve">4 </w:t>
      </w:r>
      <w:proofErr w:type="spellStart"/>
      <w:r w:rsidRPr="00B82E38">
        <w:rPr>
          <w:rFonts w:ascii="Book Antiqua" w:eastAsia="Book Antiqua" w:hAnsi="Book Antiqua" w:cs="Book Antiqua"/>
          <w:b/>
          <w:bCs/>
          <w:color w:val="000000" w:themeColor="text1"/>
        </w:rPr>
        <w:t>Fonio</w:t>
      </w:r>
      <w:proofErr w:type="spellEnd"/>
      <w:r w:rsidRPr="00B82E38">
        <w:rPr>
          <w:rFonts w:ascii="Book Antiqua" w:eastAsia="Book Antiqua" w:hAnsi="Book Antiqua" w:cs="Book Antiqua"/>
          <w:b/>
          <w:bCs/>
          <w:color w:val="000000" w:themeColor="text1"/>
        </w:rPr>
        <w:t xml:space="preserve"> P</w:t>
      </w:r>
      <w:r w:rsidRPr="00B82E38">
        <w:rPr>
          <w:rFonts w:ascii="Book Antiqua" w:eastAsia="Book Antiqua" w:hAnsi="Book Antiqua" w:cs="Book Antiqua"/>
          <w:color w:val="000000" w:themeColor="text1"/>
        </w:rPr>
        <w:t xml:space="preserve">, </w:t>
      </w:r>
      <w:proofErr w:type="spellStart"/>
      <w:r w:rsidRPr="00B82E38">
        <w:rPr>
          <w:rFonts w:ascii="Book Antiqua" w:eastAsia="Book Antiqua" w:hAnsi="Book Antiqua" w:cs="Book Antiqua"/>
          <w:color w:val="000000" w:themeColor="text1"/>
        </w:rPr>
        <w:t>Discalzi</w:t>
      </w:r>
      <w:proofErr w:type="spellEnd"/>
      <w:r w:rsidRPr="00B82E38">
        <w:rPr>
          <w:rFonts w:ascii="Book Antiqua" w:eastAsia="Book Antiqua" w:hAnsi="Book Antiqua" w:cs="Book Antiqua"/>
          <w:color w:val="000000" w:themeColor="text1"/>
        </w:rPr>
        <w:t xml:space="preserve"> A, </w:t>
      </w:r>
      <w:proofErr w:type="spellStart"/>
      <w:r w:rsidRPr="00B82E38">
        <w:rPr>
          <w:rFonts w:ascii="Book Antiqua" w:eastAsia="Book Antiqua" w:hAnsi="Book Antiqua" w:cs="Book Antiqua"/>
          <w:color w:val="000000" w:themeColor="text1"/>
        </w:rPr>
        <w:t>Calandri</w:t>
      </w:r>
      <w:proofErr w:type="spellEnd"/>
      <w:r w:rsidRPr="00B82E38">
        <w:rPr>
          <w:rFonts w:ascii="Book Antiqua" w:eastAsia="Book Antiqua" w:hAnsi="Book Antiqua" w:cs="Book Antiqua"/>
          <w:color w:val="000000" w:themeColor="text1"/>
        </w:rPr>
        <w:t xml:space="preserve"> M, </w:t>
      </w:r>
      <w:proofErr w:type="spellStart"/>
      <w:r w:rsidRPr="00B82E38">
        <w:rPr>
          <w:rFonts w:ascii="Book Antiqua" w:eastAsia="Book Antiqua" w:hAnsi="Book Antiqua" w:cs="Book Antiqua"/>
          <w:color w:val="000000" w:themeColor="text1"/>
        </w:rPr>
        <w:t>Doriguzzi</w:t>
      </w:r>
      <w:proofErr w:type="spellEnd"/>
      <w:r w:rsidRPr="00B82E38">
        <w:rPr>
          <w:rFonts w:ascii="Book Antiqua" w:eastAsia="Book Antiqua" w:hAnsi="Book Antiqua" w:cs="Book Antiqua"/>
          <w:color w:val="000000" w:themeColor="text1"/>
        </w:rPr>
        <w:t xml:space="preserve"> </w:t>
      </w:r>
      <w:proofErr w:type="spellStart"/>
      <w:r w:rsidRPr="00B82E38">
        <w:rPr>
          <w:rFonts w:ascii="Book Antiqua" w:eastAsia="Book Antiqua" w:hAnsi="Book Antiqua" w:cs="Book Antiqua"/>
          <w:color w:val="000000" w:themeColor="text1"/>
        </w:rPr>
        <w:t>Breatta</w:t>
      </w:r>
      <w:proofErr w:type="spellEnd"/>
      <w:r w:rsidRPr="00B82E38">
        <w:rPr>
          <w:rFonts w:ascii="Book Antiqua" w:eastAsia="Book Antiqua" w:hAnsi="Book Antiqua" w:cs="Book Antiqua"/>
          <w:color w:val="000000" w:themeColor="text1"/>
        </w:rPr>
        <w:t xml:space="preserve"> A, Bergamasco L, Martini S, </w:t>
      </w:r>
      <w:proofErr w:type="spellStart"/>
      <w:r w:rsidRPr="00B82E38">
        <w:rPr>
          <w:rFonts w:ascii="Book Antiqua" w:eastAsia="Book Antiqua" w:hAnsi="Book Antiqua" w:cs="Book Antiqua"/>
          <w:color w:val="000000" w:themeColor="text1"/>
        </w:rPr>
        <w:t>Ottobrelli</w:t>
      </w:r>
      <w:proofErr w:type="spellEnd"/>
      <w:r w:rsidRPr="00B82E38">
        <w:rPr>
          <w:rFonts w:ascii="Book Antiqua" w:eastAsia="Book Antiqua" w:hAnsi="Book Antiqua" w:cs="Book Antiqua"/>
          <w:color w:val="000000" w:themeColor="text1"/>
        </w:rPr>
        <w:t xml:space="preserve"> A, </w:t>
      </w:r>
      <w:proofErr w:type="spellStart"/>
      <w:r w:rsidRPr="00B82E38">
        <w:rPr>
          <w:rFonts w:ascii="Book Antiqua" w:eastAsia="Book Antiqua" w:hAnsi="Book Antiqua" w:cs="Book Antiqua"/>
          <w:color w:val="000000" w:themeColor="text1"/>
        </w:rPr>
        <w:t>Righi</w:t>
      </w:r>
      <w:proofErr w:type="spellEnd"/>
      <w:r w:rsidRPr="00B82E38">
        <w:rPr>
          <w:rFonts w:ascii="Book Antiqua" w:eastAsia="Book Antiqua" w:hAnsi="Book Antiqua" w:cs="Book Antiqua"/>
          <w:color w:val="000000" w:themeColor="text1"/>
        </w:rPr>
        <w:t xml:space="preserve"> D, Gandini G. Incidence of hepatic encephalopathy after </w:t>
      </w:r>
      <w:proofErr w:type="spellStart"/>
      <w:r w:rsidRPr="00B82E38">
        <w:rPr>
          <w:rFonts w:ascii="Book Antiqua" w:eastAsia="Book Antiqua" w:hAnsi="Book Antiqua" w:cs="Book Antiqua"/>
          <w:color w:val="000000" w:themeColor="text1"/>
        </w:rPr>
        <w:t>transjugular</w:t>
      </w:r>
      <w:proofErr w:type="spellEnd"/>
      <w:r w:rsidRPr="00B82E38">
        <w:rPr>
          <w:rFonts w:ascii="Book Antiqua" w:eastAsia="Book Antiqua" w:hAnsi="Book Antiqua" w:cs="Book Antiqua"/>
          <w:color w:val="000000" w:themeColor="text1"/>
        </w:rPr>
        <w:t xml:space="preserve"> intrahepatic portosystemic shunt (TIPS) according to its severity and temporal grading classification. </w:t>
      </w:r>
      <w:proofErr w:type="spellStart"/>
      <w:r w:rsidRPr="00B82E38">
        <w:rPr>
          <w:rFonts w:ascii="Book Antiqua" w:eastAsia="Book Antiqua" w:hAnsi="Book Antiqua" w:cs="Book Antiqua"/>
          <w:i/>
          <w:iCs/>
          <w:color w:val="000000" w:themeColor="text1"/>
        </w:rPr>
        <w:t>Radiol</w:t>
      </w:r>
      <w:proofErr w:type="spellEnd"/>
      <w:r w:rsidRPr="00B82E38">
        <w:rPr>
          <w:rFonts w:ascii="Book Antiqua" w:eastAsia="Book Antiqua" w:hAnsi="Book Antiqua" w:cs="Book Antiqua"/>
          <w:i/>
          <w:iCs/>
          <w:color w:val="000000" w:themeColor="text1"/>
        </w:rPr>
        <w:t xml:space="preserve"> Med</w:t>
      </w:r>
      <w:r w:rsidRPr="00B82E38">
        <w:rPr>
          <w:rFonts w:ascii="Book Antiqua" w:eastAsia="Book Antiqua" w:hAnsi="Book Antiqua" w:cs="Book Antiqua"/>
          <w:color w:val="000000" w:themeColor="text1"/>
        </w:rPr>
        <w:t xml:space="preserve"> 2017; </w:t>
      </w:r>
      <w:r w:rsidRPr="00B82E38">
        <w:rPr>
          <w:rFonts w:ascii="Book Antiqua" w:eastAsia="Book Antiqua" w:hAnsi="Book Antiqua" w:cs="Book Antiqua"/>
          <w:b/>
          <w:bCs/>
          <w:color w:val="000000" w:themeColor="text1"/>
        </w:rPr>
        <w:t>122</w:t>
      </w:r>
      <w:r w:rsidRPr="00B82E38">
        <w:rPr>
          <w:rFonts w:ascii="Book Antiqua" w:eastAsia="Book Antiqua" w:hAnsi="Book Antiqua" w:cs="Book Antiqua"/>
          <w:color w:val="000000" w:themeColor="text1"/>
        </w:rPr>
        <w:t>: 713-721 [PMID: 28510807 DOI: 10.1007/s11547-017-0770-6]</w:t>
      </w:r>
    </w:p>
    <w:p w14:paraId="5810F6E8" w14:textId="77777777" w:rsidR="00BA37FB" w:rsidRPr="00B82E38" w:rsidRDefault="008F363E" w:rsidP="00372A8C">
      <w:pPr>
        <w:spacing w:line="360" w:lineRule="auto"/>
        <w:jc w:val="both"/>
        <w:rPr>
          <w:rFonts w:ascii="Book Antiqua" w:hAnsi="Book Antiqua"/>
          <w:color w:val="000000" w:themeColor="text1"/>
        </w:rPr>
      </w:pPr>
      <w:r w:rsidRPr="00B82E38">
        <w:rPr>
          <w:rFonts w:ascii="Book Antiqua" w:eastAsia="Book Antiqua" w:hAnsi="Book Antiqua" w:cs="Book Antiqua"/>
          <w:color w:val="000000" w:themeColor="text1"/>
        </w:rPr>
        <w:t xml:space="preserve">5 </w:t>
      </w:r>
      <w:proofErr w:type="spellStart"/>
      <w:r w:rsidRPr="00B82E38">
        <w:rPr>
          <w:rFonts w:ascii="Book Antiqua" w:eastAsia="Book Antiqua" w:hAnsi="Book Antiqua" w:cs="Book Antiqua"/>
          <w:b/>
          <w:bCs/>
          <w:color w:val="000000" w:themeColor="text1"/>
        </w:rPr>
        <w:t>Teng</w:t>
      </w:r>
      <w:proofErr w:type="spellEnd"/>
      <w:r w:rsidRPr="00B82E38">
        <w:rPr>
          <w:rFonts w:ascii="Book Antiqua" w:eastAsia="Book Antiqua" w:hAnsi="Book Antiqua" w:cs="Book Antiqua"/>
          <w:b/>
          <w:bCs/>
          <w:color w:val="000000" w:themeColor="text1"/>
        </w:rPr>
        <w:t xml:space="preserve"> D</w:t>
      </w:r>
      <w:r w:rsidRPr="00B82E38">
        <w:rPr>
          <w:rFonts w:ascii="Book Antiqua" w:eastAsia="Book Antiqua" w:hAnsi="Book Antiqua" w:cs="Book Antiqua"/>
          <w:color w:val="000000" w:themeColor="text1"/>
        </w:rPr>
        <w:t xml:space="preserve">, </w:t>
      </w:r>
      <w:proofErr w:type="spellStart"/>
      <w:r w:rsidRPr="00B82E38">
        <w:rPr>
          <w:rFonts w:ascii="Book Antiqua" w:eastAsia="Book Antiqua" w:hAnsi="Book Antiqua" w:cs="Book Antiqua"/>
          <w:color w:val="000000" w:themeColor="text1"/>
        </w:rPr>
        <w:t>Zuo</w:t>
      </w:r>
      <w:proofErr w:type="spellEnd"/>
      <w:r w:rsidRPr="00B82E38">
        <w:rPr>
          <w:rFonts w:ascii="Book Antiqua" w:eastAsia="Book Antiqua" w:hAnsi="Book Antiqua" w:cs="Book Antiqua"/>
          <w:color w:val="000000" w:themeColor="text1"/>
        </w:rPr>
        <w:t xml:space="preserve"> H, Liu L, Dong J, Ding L. Long-term clinical outcomes in patients with viral hepatitis related liver cirrhosis after </w:t>
      </w:r>
      <w:proofErr w:type="spellStart"/>
      <w:r w:rsidRPr="00B82E38">
        <w:rPr>
          <w:rFonts w:ascii="Book Antiqua" w:eastAsia="Book Antiqua" w:hAnsi="Book Antiqua" w:cs="Book Antiqua"/>
          <w:color w:val="000000" w:themeColor="text1"/>
        </w:rPr>
        <w:t>transjugular</w:t>
      </w:r>
      <w:proofErr w:type="spellEnd"/>
      <w:r w:rsidRPr="00B82E38">
        <w:rPr>
          <w:rFonts w:ascii="Book Antiqua" w:eastAsia="Book Antiqua" w:hAnsi="Book Antiqua" w:cs="Book Antiqua"/>
          <w:color w:val="000000" w:themeColor="text1"/>
        </w:rPr>
        <w:t xml:space="preserve"> intrahepatic portosystemic shunt treatment. </w:t>
      </w:r>
      <w:proofErr w:type="spellStart"/>
      <w:r w:rsidRPr="00B82E38">
        <w:rPr>
          <w:rFonts w:ascii="Book Antiqua" w:eastAsia="Book Antiqua" w:hAnsi="Book Antiqua" w:cs="Book Antiqua"/>
          <w:i/>
          <w:iCs/>
          <w:color w:val="000000" w:themeColor="text1"/>
        </w:rPr>
        <w:t>Virol</w:t>
      </w:r>
      <w:proofErr w:type="spellEnd"/>
      <w:r w:rsidRPr="00B82E38">
        <w:rPr>
          <w:rFonts w:ascii="Book Antiqua" w:eastAsia="Book Antiqua" w:hAnsi="Book Antiqua" w:cs="Book Antiqua"/>
          <w:i/>
          <w:iCs/>
          <w:color w:val="000000" w:themeColor="text1"/>
        </w:rPr>
        <w:t xml:space="preserve"> J</w:t>
      </w:r>
      <w:r w:rsidRPr="00B82E38">
        <w:rPr>
          <w:rFonts w:ascii="Book Antiqua" w:eastAsia="Book Antiqua" w:hAnsi="Book Antiqua" w:cs="Book Antiqua"/>
          <w:color w:val="000000" w:themeColor="text1"/>
        </w:rPr>
        <w:t xml:space="preserve"> 2018; </w:t>
      </w:r>
      <w:r w:rsidRPr="00B82E38">
        <w:rPr>
          <w:rFonts w:ascii="Book Antiqua" w:eastAsia="Book Antiqua" w:hAnsi="Book Antiqua" w:cs="Book Antiqua"/>
          <w:b/>
          <w:bCs/>
          <w:color w:val="000000" w:themeColor="text1"/>
        </w:rPr>
        <w:t>15</w:t>
      </w:r>
      <w:r w:rsidRPr="00B82E38">
        <w:rPr>
          <w:rFonts w:ascii="Book Antiqua" w:eastAsia="Book Antiqua" w:hAnsi="Book Antiqua" w:cs="Book Antiqua"/>
          <w:color w:val="000000" w:themeColor="text1"/>
        </w:rPr>
        <w:t>: 151 [PMID: 30285813 DOI: 10.1186/s12985-018-1067-7]</w:t>
      </w:r>
    </w:p>
    <w:p w14:paraId="1DDCFA06" w14:textId="77777777" w:rsidR="00BA37FB" w:rsidRPr="00B82E38" w:rsidRDefault="008F363E" w:rsidP="00372A8C">
      <w:pPr>
        <w:spacing w:line="360" w:lineRule="auto"/>
        <w:jc w:val="both"/>
        <w:rPr>
          <w:rFonts w:ascii="Book Antiqua" w:hAnsi="Book Antiqua"/>
          <w:color w:val="000000" w:themeColor="text1"/>
        </w:rPr>
      </w:pPr>
      <w:r w:rsidRPr="00B82E38">
        <w:rPr>
          <w:rFonts w:ascii="Book Antiqua" w:eastAsia="Book Antiqua" w:hAnsi="Book Antiqua" w:cs="Book Antiqua"/>
          <w:color w:val="000000" w:themeColor="text1"/>
        </w:rPr>
        <w:t xml:space="preserve">6 </w:t>
      </w:r>
      <w:proofErr w:type="spellStart"/>
      <w:r w:rsidRPr="00B82E38">
        <w:rPr>
          <w:rFonts w:ascii="Book Antiqua" w:eastAsia="Book Antiqua" w:hAnsi="Book Antiqua" w:cs="Book Antiqua"/>
          <w:b/>
          <w:bCs/>
          <w:color w:val="000000" w:themeColor="text1"/>
        </w:rPr>
        <w:t>Zuo</w:t>
      </w:r>
      <w:proofErr w:type="spellEnd"/>
      <w:r w:rsidRPr="00B82E38">
        <w:rPr>
          <w:rFonts w:ascii="Book Antiqua" w:eastAsia="Book Antiqua" w:hAnsi="Book Antiqua" w:cs="Book Antiqua"/>
          <w:b/>
          <w:bCs/>
          <w:color w:val="000000" w:themeColor="text1"/>
        </w:rPr>
        <w:t xml:space="preserve"> L</w:t>
      </w:r>
      <w:r w:rsidRPr="00B82E38">
        <w:rPr>
          <w:rFonts w:ascii="Book Antiqua" w:eastAsia="Book Antiqua" w:hAnsi="Book Antiqua" w:cs="Book Antiqua"/>
          <w:color w:val="000000" w:themeColor="text1"/>
        </w:rPr>
        <w:t xml:space="preserve">, </w:t>
      </w:r>
      <w:proofErr w:type="spellStart"/>
      <w:r w:rsidRPr="00B82E38">
        <w:rPr>
          <w:rFonts w:ascii="Book Antiqua" w:eastAsia="Book Antiqua" w:hAnsi="Book Antiqua" w:cs="Book Antiqua"/>
          <w:color w:val="000000" w:themeColor="text1"/>
        </w:rPr>
        <w:t>Lv</w:t>
      </w:r>
      <w:proofErr w:type="spellEnd"/>
      <w:r w:rsidRPr="00B82E38">
        <w:rPr>
          <w:rFonts w:ascii="Book Antiqua" w:eastAsia="Book Antiqua" w:hAnsi="Book Antiqua" w:cs="Book Antiqua"/>
          <w:color w:val="000000" w:themeColor="text1"/>
        </w:rPr>
        <w:t xml:space="preserve"> Y, Wang Q, Yin Z, Wang Z, He C, </w:t>
      </w:r>
      <w:proofErr w:type="spellStart"/>
      <w:r w:rsidRPr="00B82E38">
        <w:rPr>
          <w:rFonts w:ascii="Book Antiqua" w:eastAsia="Book Antiqua" w:hAnsi="Book Antiqua" w:cs="Book Antiqua"/>
          <w:color w:val="000000" w:themeColor="text1"/>
        </w:rPr>
        <w:t>Guo</w:t>
      </w:r>
      <w:proofErr w:type="spellEnd"/>
      <w:r w:rsidRPr="00B82E38">
        <w:rPr>
          <w:rFonts w:ascii="Book Antiqua" w:eastAsia="Book Antiqua" w:hAnsi="Book Antiqua" w:cs="Book Antiqua"/>
          <w:color w:val="000000" w:themeColor="text1"/>
        </w:rPr>
        <w:t xml:space="preserve"> W, </w:t>
      </w:r>
      <w:proofErr w:type="spellStart"/>
      <w:r w:rsidRPr="00B82E38">
        <w:rPr>
          <w:rFonts w:ascii="Book Antiqua" w:eastAsia="Book Antiqua" w:hAnsi="Book Antiqua" w:cs="Book Antiqua"/>
          <w:color w:val="000000" w:themeColor="text1"/>
        </w:rPr>
        <w:t>Niu</w:t>
      </w:r>
      <w:proofErr w:type="spellEnd"/>
      <w:r w:rsidRPr="00B82E38">
        <w:rPr>
          <w:rFonts w:ascii="Book Antiqua" w:eastAsia="Book Antiqua" w:hAnsi="Book Antiqua" w:cs="Book Antiqua"/>
          <w:color w:val="000000" w:themeColor="text1"/>
        </w:rPr>
        <w:t xml:space="preserve"> J, Bai W, Li K, Yu T, Yuan X, Chen H, Liu H, Xia D, Wang E, Luo B, Li X, Yuan J, Han N, </w:t>
      </w:r>
      <w:proofErr w:type="spellStart"/>
      <w:r w:rsidRPr="00B82E38">
        <w:rPr>
          <w:rFonts w:ascii="Book Antiqua" w:eastAsia="Book Antiqua" w:hAnsi="Book Antiqua" w:cs="Book Antiqua"/>
          <w:color w:val="000000" w:themeColor="text1"/>
        </w:rPr>
        <w:t>Nie</w:t>
      </w:r>
      <w:proofErr w:type="spellEnd"/>
      <w:r w:rsidRPr="00B82E38">
        <w:rPr>
          <w:rFonts w:ascii="Book Antiqua" w:eastAsia="Book Antiqua" w:hAnsi="Book Antiqua" w:cs="Book Antiqua"/>
          <w:color w:val="000000" w:themeColor="text1"/>
        </w:rPr>
        <w:t xml:space="preserve"> Y, Fan D, Han G. Early-Recurrent Overt Hepatic Encephalopathy Is Associated with Reduced Survival in Cirrhotic Patients after </w:t>
      </w:r>
      <w:proofErr w:type="spellStart"/>
      <w:r w:rsidRPr="00B82E38">
        <w:rPr>
          <w:rFonts w:ascii="Book Antiqua" w:eastAsia="Book Antiqua" w:hAnsi="Book Antiqua" w:cs="Book Antiqua"/>
          <w:color w:val="000000" w:themeColor="text1"/>
        </w:rPr>
        <w:t>Transjugular</w:t>
      </w:r>
      <w:proofErr w:type="spellEnd"/>
      <w:r w:rsidRPr="00B82E38">
        <w:rPr>
          <w:rFonts w:ascii="Book Antiqua" w:eastAsia="Book Antiqua" w:hAnsi="Book Antiqua" w:cs="Book Antiqua"/>
          <w:color w:val="000000" w:themeColor="text1"/>
        </w:rPr>
        <w:t xml:space="preserve"> Intrahepatic Portosystemic Shunt Creation. </w:t>
      </w:r>
      <w:r w:rsidRPr="00B82E38">
        <w:rPr>
          <w:rFonts w:ascii="Book Antiqua" w:eastAsia="Book Antiqua" w:hAnsi="Book Antiqua" w:cs="Book Antiqua"/>
          <w:i/>
          <w:iCs/>
          <w:color w:val="000000" w:themeColor="text1"/>
        </w:rPr>
        <w:t xml:space="preserve">J </w:t>
      </w:r>
      <w:proofErr w:type="spellStart"/>
      <w:r w:rsidRPr="00B82E38">
        <w:rPr>
          <w:rFonts w:ascii="Book Antiqua" w:eastAsia="Book Antiqua" w:hAnsi="Book Antiqua" w:cs="Book Antiqua"/>
          <w:i/>
          <w:iCs/>
          <w:color w:val="000000" w:themeColor="text1"/>
        </w:rPr>
        <w:t>Vasc</w:t>
      </w:r>
      <w:proofErr w:type="spellEnd"/>
      <w:r w:rsidRPr="00B82E38">
        <w:rPr>
          <w:rFonts w:ascii="Book Antiqua" w:eastAsia="Book Antiqua" w:hAnsi="Book Antiqua" w:cs="Book Antiqua"/>
          <w:i/>
          <w:iCs/>
          <w:color w:val="000000" w:themeColor="text1"/>
        </w:rPr>
        <w:t xml:space="preserve"> </w:t>
      </w:r>
      <w:proofErr w:type="spellStart"/>
      <w:r w:rsidRPr="00B82E38">
        <w:rPr>
          <w:rFonts w:ascii="Book Antiqua" w:eastAsia="Book Antiqua" w:hAnsi="Book Antiqua" w:cs="Book Antiqua"/>
          <w:i/>
          <w:iCs/>
          <w:color w:val="000000" w:themeColor="text1"/>
        </w:rPr>
        <w:t>Interv</w:t>
      </w:r>
      <w:proofErr w:type="spellEnd"/>
      <w:r w:rsidRPr="00B82E38">
        <w:rPr>
          <w:rFonts w:ascii="Book Antiqua" w:eastAsia="Book Antiqua" w:hAnsi="Book Antiqua" w:cs="Book Antiqua"/>
          <w:i/>
          <w:iCs/>
          <w:color w:val="000000" w:themeColor="text1"/>
        </w:rPr>
        <w:t xml:space="preserve"> </w:t>
      </w:r>
      <w:proofErr w:type="spellStart"/>
      <w:r w:rsidRPr="00B82E38">
        <w:rPr>
          <w:rFonts w:ascii="Book Antiqua" w:eastAsia="Book Antiqua" w:hAnsi="Book Antiqua" w:cs="Book Antiqua"/>
          <w:i/>
          <w:iCs/>
          <w:color w:val="000000" w:themeColor="text1"/>
        </w:rPr>
        <w:t>Radiol</w:t>
      </w:r>
      <w:proofErr w:type="spellEnd"/>
      <w:r w:rsidRPr="00B82E38">
        <w:rPr>
          <w:rFonts w:ascii="Book Antiqua" w:eastAsia="Book Antiqua" w:hAnsi="Book Antiqua" w:cs="Book Antiqua"/>
          <w:color w:val="000000" w:themeColor="text1"/>
        </w:rPr>
        <w:t xml:space="preserve"> 2019; </w:t>
      </w:r>
      <w:r w:rsidRPr="00B82E38">
        <w:rPr>
          <w:rFonts w:ascii="Book Antiqua" w:eastAsia="Book Antiqua" w:hAnsi="Book Antiqua" w:cs="Book Antiqua"/>
          <w:b/>
          <w:bCs/>
          <w:color w:val="000000" w:themeColor="text1"/>
        </w:rPr>
        <w:t>30</w:t>
      </w:r>
      <w:r w:rsidRPr="00B82E38">
        <w:rPr>
          <w:rFonts w:ascii="Book Antiqua" w:eastAsia="Book Antiqua" w:hAnsi="Book Antiqua" w:cs="Book Antiqua"/>
          <w:color w:val="000000" w:themeColor="text1"/>
        </w:rPr>
        <w:t>: 148-153.e2 [PMID: 30638778 DOI: 10.1016/j.jvir.2018.08.023]</w:t>
      </w:r>
    </w:p>
    <w:p w14:paraId="4170868E" w14:textId="77777777" w:rsidR="00BA37FB" w:rsidRPr="00B82E38" w:rsidRDefault="008F363E" w:rsidP="00372A8C">
      <w:pPr>
        <w:spacing w:line="360" w:lineRule="auto"/>
        <w:jc w:val="both"/>
        <w:rPr>
          <w:rFonts w:ascii="Book Antiqua" w:hAnsi="Book Antiqua"/>
          <w:color w:val="000000" w:themeColor="text1"/>
        </w:rPr>
      </w:pPr>
      <w:r w:rsidRPr="00B82E38">
        <w:rPr>
          <w:rFonts w:ascii="Book Antiqua" w:eastAsia="Book Antiqua" w:hAnsi="Book Antiqua" w:cs="Book Antiqua"/>
          <w:color w:val="000000" w:themeColor="text1"/>
        </w:rPr>
        <w:t xml:space="preserve">7 </w:t>
      </w:r>
      <w:proofErr w:type="spellStart"/>
      <w:r w:rsidRPr="00B82E38">
        <w:rPr>
          <w:rFonts w:ascii="Book Antiqua" w:eastAsia="Book Antiqua" w:hAnsi="Book Antiqua" w:cs="Book Antiqua"/>
          <w:b/>
          <w:bCs/>
          <w:color w:val="000000" w:themeColor="text1"/>
        </w:rPr>
        <w:t>Pind</w:t>
      </w:r>
      <w:proofErr w:type="spellEnd"/>
      <w:r w:rsidRPr="00B82E38">
        <w:rPr>
          <w:rFonts w:ascii="Book Antiqua" w:eastAsia="Book Antiqua" w:hAnsi="Book Antiqua" w:cs="Book Antiqua"/>
          <w:b/>
          <w:bCs/>
          <w:color w:val="000000" w:themeColor="text1"/>
        </w:rPr>
        <w:t xml:space="preserve"> ML</w:t>
      </w:r>
      <w:r w:rsidRPr="00B82E38">
        <w:rPr>
          <w:rFonts w:ascii="Book Antiqua" w:eastAsia="Book Antiqua" w:hAnsi="Book Antiqua" w:cs="Book Antiqua"/>
          <w:color w:val="000000" w:themeColor="text1"/>
        </w:rPr>
        <w:t xml:space="preserve">, </w:t>
      </w:r>
      <w:proofErr w:type="spellStart"/>
      <w:r w:rsidRPr="00B82E38">
        <w:rPr>
          <w:rFonts w:ascii="Book Antiqua" w:eastAsia="Book Antiqua" w:hAnsi="Book Antiqua" w:cs="Book Antiqua"/>
          <w:color w:val="000000" w:themeColor="text1"/>
        </w:rPr>
        <w:t>Bendtsen</w:t>
      </w:r>
      <w:proofErr w:type="spellEnd"/>
      <w:r w:rsidRPr="00B82E38">
        <w:rPr>
          <w:rFonts w:ascii="Book Antiqua" w:eastAsia="Book Antiqua" w:hAnsi="Book Antiqua" w:cs="Book Antiqua"/>
          <w:color w:val="000000" w:themeColor="text1"/>
        </w:rPr>
        <w:t xml:space="preserve"> F, </w:t>
      </w:r>
      <w:proofErr w:type="spellStart"/>
      <w:r w:rsidRPr="00B82E38">
        <w:rPr>
          <w:rFonts w:ascii="Book Antiqua" w:eastAsia="Book Antiqua" w:hAnsi="Book Antiqua" w:cs="Book Antiqua"/>
          <w:color w:val="000000" w:themeColor="text1"/>
        </w:rPr>
        <w:t>Kallemose</w:t>
      </w:r>
      <w:proofErr w:type="spellEnd"/>
      <w:r w:rsidRPr="00B82E38">
        <w:rPr>
          <w:rFonts w:ascii="Book Antiqua" w:eastAsia="Book Antiqua" w:hAnsi="Book Antiqua" w:cs="Book Antiqua"/>
          <w:color w:val="000000" w:themeColor="text1"/>
        </w:rPr>
        <w:t xml:space="preserve"> T, </w:t>
      </w:r>
      <w:proofErr w:type="spellStart"/>
      <w:r w:rsidRPr="00B82E38">
        <w:rPr>
          <w:rFonts w:ascii="Book Antiqua" w:eastAsia="Book Antiqua" w:hAnsi="Book Antiqua" w:cs="Book Antiqua"/>
          <w:color w:val="000000" w:themeColor="text1"/>
        </w:rPr>
        <w:t>Møller</w:t>
      </w:r>
      <w:proofErr w:type="spellEnd"/>
      <w:r w:rsidRPr="00B82E38">
        <w:rPr>
          <w:rFonts w:ascii="Book Antiqua" w:eastAsia="Book Antiqua" w:hAnsi="Book Antiqua" w:cs="Book Antiqua"/>
          <w:color w:val="000000" w:themeColor="text1"/>
        </w:rPr>
        <w:t xml:space="preserve"> S. Indocyanine green retention test (ICG-r15) as a noninvasive predictor of portal hypertension in patients with different severity of cirrhosis. </w:t>
      </w:r>
      <w:r w:rsidRPr="00B82E38">
        <w:rPr>
          <w:rFonts w:ascii="Book Antiqua" w:eastAsia="Book Antiqua" w:hAnsi="Book Antiqua" w:cs="Book Antiqua"/>
          <w:i/>
          <w:iCs/>
          <w:color w:val="000000" w:themeColor="text1"/>
        </w:rPr>
        <w:t>Eur J Gastroenterol Hepatol</w:t>
      </w:r>
      <w:r w:rsidRPr="00B82E38">
        <w:rPr>
          <w:rFonts w:ascii="Book Antiqua" w:eastAsia="Book Antiqua" w:hAnsi="Book Antiqua" w:cs="Book Antiqua"/>
          <w:color w:val="000000" w:themeColor="text1"/>
        </w:rPr>
        <w:t xml:space="preserve"> 2016; </w:t>
      </w:r>
      <w:r w:rsidRPr="00B82E38">
        <w:rPr>
          <w:rFonts w:ascii="Book Antiqua" w:eastAsia="Book Antiqua" w:hAnsi="Book Antiqua" w:cs="Book Antiqua"/>
          <w:b/>
          <w:bCs/>
          <w:color w:val="000000" w:themeColor="text1"/>
        </w:rPr>
        <w:t>28</w:t>
      </w:r>
      <w:r w:rsidRPr="00B82E38">
        <w:rPr>
          <w:rFonts w:ascii="Book Antiqua" w:eastAsia="Book Antiqua" w:hAnsi="Book Antiqua" w:cs="Book Antiqua"/>
          <w:color w:val="000000" w:themeColor="text1"/>
        </w:rPr>
        <w:t>: 948-954 [PMID: 27172450 DOI: 10.1097/MEG.0000000000000611]</w:t>
      </w:r>
    </w:p>
    <w:p w14:paraId="14E6CF47" w14:textId="77777777" w:rsidR="00BA37FB" w:rsidRPr="00B82E38" w:rsidRDefault="008F363E" w:rsidP="00372A8C">
      <w:pPr>
        <w:spacing w:line="360" w:lineRule="auto"/>
        <w:jc w:val="both"/>
        <w:rPr>
          <w:rFonts w:ascii="Book Antiqua" w:hAnsi="Book Antiqua"/>
          <w:color w:val="000000" w:themeColor="text1"/>
        </w:rPr>
      </w:pPr>
      <w:r w:rsidRPr="00B82E38">
        <w:rPr>
          <w:rFonts w:ascii="Book Antiqua" w:eastAsia="Book Antiqua" w:hAnsi="Book Antiqua" w:cs="Book Antiqua"/>
          <w:color w:val="000000" w:themeColor="text1"/>
        </w:rPr>
        <w:t xml:space="preserve">8 </w:t>
      </w:r>
      <w:r w:rsidRPr="00B82E38">
        <w:rPr>
          <w:rFonts w:ascii="Book Antiqua" w:eastAsia="Book Antiqua" w:hAnsi="Book Antiqua" w:cs="Book Antiqua"/>
          <w:b/>
          <w:bCs/>
          <w:color w:val="000000" w:themeColor="text1"/>
        </w:rPr>
        <w:t>Haj M</w:t>
      </w:r>
      <w:r w:rsidRPr="00B82E38">
        <w:rPr>
          <w:rFonts w:ascii="Book Antiqua" w:eastAsia="Book Antiqua" w:hAnsi="Book Antiqua" w:cs="Book Antiqua"/>
          <w:color w:val="000000" w:themeColor="text1"/>
        </w:rPr>
        <w:t xml:space="preserve">, </w:t>
      </w:r>
      <w:proofErr w:type="spellStart"/>
      <w:r w:rsidRPr="00B82E38">
        <w:rPr>
          <w:rFonts w:ascii="Book Antiqua" w:eastAsia="Book Antiqua" w:hAnsi="Book Antiqua" w:cs="Book Antiqua"/>
          <w:color w:val="000000" w:themeColor="text1"/>
        </w:rPr>
        <w:t>Rockey</w:t>
      </w:r>
      <w:proofErr w:type="spellEnd"/>
      <w:r w:rsidRPr="00B82E38">
        <w:rPr>
          <w:rFonts w:ascii="Book Antiqua" w:eastAsia="Book Antiqua" w:hAnsi="Book Antiqua" w:cs="Book Antiqua"/>
          <w:color w:val="000000" w:themeColor="text1"/>
        </w:rPr>
        <w:t xml:space="preserve"> DC. Predictors of clinical outcomes in cirrhosis patients. </w:t>
      </w:r>
      <w:proofErr w:type="spellStart"/>
      <w:r w:rsidRPr="00B82E38">
        <w:rPr>
          <w:rFonts w:ascii="Book Antiqua" w:eastAsia="Book Antiqua" w:hAnsi="Book Antiqua" w:cs="Book Antiqua"/>
          <w:i/>
          <w:iCs/>
          <w:color w:val="000000" w:themeColor="text1"/>
        </w:rPr>
        <w:t>Curr</w:t>
      </w:r>
      <w:proofErr w:type="spellEnd"/>
      <w:r w:rsidRPr="00B82E38">
        <w:rPr>
          <w:rFonts w:ascii="Book Antiqua" w:eastAsia="Book Antiqua" w:hAnsi="Book Antiqua" w:cs="Book Antiqua"/>
          <w:i/>
          <w:iCs/>
          <w:color w:val="000000" w:themeColor="text1"/>
        </w:rPr>
        <w:t xml:space="preserve"> </w:t>
      </w:r>
      <w:proofErr w:type="spellStart"/>
      <w:r w:rsidRPr="00B82E38">
        <w:rPr>
          <w:rFonts w:ascii="Book Antiqua" w:eastAsia="Book Antiqua" w:hAnsi="Book Antiqua" w:cs="Book Antiqua"/>
          <w:i/>
          <w:iCs/>
          <w:color w:val="000000" w:themeColor="text1"/>
        </w:rPr>
        <w:t>Opin</w:t>
      </w:r>
      <w:proofErr w:type="spellEnd"/>
      <w:r w:rsidRPr="00B82E38">
        <w:rPr>
          <w:rFonts w:ascii="Book Antiqua" w:eastAsia="Book Antiqua" w:hAnsi="Book Antiqua" w:cs="Book Antiqua"/>
          <w:i/>
          <w:iCs/>
          <w:color w:val="000000" w:themeColor="text1"/>
        </w:rPr>
        <w:t xml:space="preserve"> </w:t>
      </w:r>
      <w:proofErr w:type="spellStart"/>
      <w:r w:rsidRPr="00B82E38">
        <w:rPr>
          <w:rFonts w:ascii="Book Antiqua" w:eastAsia="Book Antiqua" w:hAnsi="Book Antiqua" w:cs="Book Antiqua"/>
          <w:i/>
          <w:iCs/>
          <w:color w:val="000000" w:themeColor="text1"/>
        </w:rPr>
        <w:t>Gastroenterol</w:t>
      </w:r>
      <w:proofErr w:type="spellEnd"/>
      <w:r w:rsidRPr="00B82E38">
        <w:rPr>
          <w:rFonts w:ascii="Book Antiqua" w:eastAsia="Book Antiqua" w:hAnsi="Book Antiqua" w:cs="Book Antiqua"/>
          <w:color w:val="000000" w:themeColor="text1"/>
        </w:rPr>
        <w:t xml:space="preserve"> 2018; </w:t>
      </w:r>
      <w:r w:rsidRPr="00B82E38">
        <w:rPr>
          <w:rFonts w:ascii="Book Antiqua" w:eastAsia="Book Antiqua" w:hAnsi="Book Antiqua" w:cs="Book Antiqua"/>
          <w:b/>
          <w:bCs/>
          <w:color w:val="000000" w:themeColor="text1"/>
        </w:rPr>
        <w:t>34</w:t>
      </w:r>
      <w:r w:rsidRPr="00B82E38">
        <w:rPr>
          <w:rFonts w:ascii="Book Antiqua" w:eastAsia="Book Antiqua" w:hAnsi="Book Antiqua" w:cs="Book Antiqua"/>
          <w:color w:val="000000" w:themeColor="text1"/>
        </w:rPr>
        <w:t>: 266-271 [PMID: 29846263 DOI: 10.1097/MOG.0000000000000450]</w:t>
      </w:r>
    </w:p>
    <w:p w14:paraId="75AA9A86" w14:textId="77777777" w:rsidR="00BA37FB" w:rsidRPr="00B82E38" w:rsidRDefault="008F363E" w:rsidP="00372A8C">
      <w:pPr>
        <w:spacing w:line="360" w:lineRule="auto"/>
        <w:jc w:val="both"/>
        <w:rPr>
          <w:rFonts w:ascii="Book Antiqua" w:hAnsi="Book Antiqua"/>
          <w:color w:val="000000" w:themeColor="text1"/>
        </w:rPr>
      </w:pPr>
      <w:r w:rsidRPr="00B82E38">
        <w:rPr>
          <w:rFonts w:ascii="Book Antiqua" w:eastAsia="Book Antiqua" w:hAnsi="Book Antiqua" w:cs="Book Antiqua"/>
          <w:color w:val="000000" w:themeColor="text1"/>
        </w:rPr>
        <w:t xml:space="preserve">9 </w:t>
      </w:r>
      <w:r w:rsidRPr="00B82E38">
        <w:rPr>
          <w:rFonts w:ascii="Book Antiqua" w:eastAsia="Book Antiqua" w:hAnsi="Book Antiqua" w:cs="Book Antiqua"/>
          <w:b/>
          <w:bCs/>
          <w:color w:val="000000" w:themeColor="text1"/>
        </w:rPr>
        <w:t>Reinhart MB</w:t>
      </w:r>
      <w:r w:rsidRPr="00B82E38">
        <w:rPr>
          <w:rFonts w:ascii="Book Antiqua" w:eastAsia="Book Antiqua" w:hAnsi="Book Antiqua" w:cs="Book Antiqua"/>
          <w:color w:val="000000" w:themeColor="text1"/>
        </w:rPr>
        <w:t xml:space="preserve">, Huntington CR, Blair LJ, </w:t>
      </w:r>
      <w:proofErr w:type="spellStart"/>
      <w:r w:rsidRPr="00B82E38">
        <w:rPr>
          <w:rFonts w:ascii="Book Antiqua" w:eastAsia="Book Antiqua" w:hAnsi="Book Antiqua" w:cs="Book Antiqua"/>
          <w:color w:val="000000" w:themeColor="text1"/>
        </w:rPr>
        <w:t>Heniford</w:t>
      </w:r>
      <w:proofErr w:type="spellEnd"/>
      <w:r w:rsidRPr="00B82E38">
        <w:rPr>
          <w:rFonts w:ascii="Book Antiqua" w:eastAsia="Book Antiqua" w:hAnsi="Book Antiqua" w:cs="Book Antiqua"/>
          <w:color w:val="000000" w:themeColor="text1"/>
        </w:rPr>
        <w:t xml:space="preserve"> BT, </w:t>
      </w:r>
      <w:proofErr w:type="spellStart"/>
      <w:r w:rsidRPr="00B82E38">
        <w:rPr>
          <w:rFonts w:ascii="Book Antiqua" w:eastAsia="Book Antiqua" w:hAnsi="Book Antiqua" w:cs="Book Antiqua"/>
          <w:color w:val="000000" w:themeColor="text1"/>
        </w:rPr>
        <w:t>Augenstein</w:t>
      </w:r>
      <w:proofErr w:type="spellEnd"/>
      <w:r w:rsidRPr="00B82E38">
        <w:rPr>
          <w:rFonts w:ascii="Book Antiqua" w:eastAsia="Book Antiqua" w:hAnsi="Book Antiqua" w:cs="Book Antiqua"/>
          <w:color w:val="000000" w:themeColor="text1"/>
        </w:rPr>
        <w:t xml:space="preserve"> VA. Indocyanine Green: Historical Context, Current Applications, and Future Considerations. </w:t>
      </w:r>
      <w:proofErr w:type="spellStart"/>
      <w:r w:rsidRPr="00B82E38">
        <w:rPr>
          <w:rFonts w:ascii="Book Antiqua" w:eastAsia="Book Antiqua" w:hAnsi="Book Antiqua" w:cs="Book Antiqua"/>
          <w:i/>
          <w:iCs/>
          <w:color w:val="000000" w:themeColor="text1"/>
        </w:rPr>
        <w:t>Surg</w:t>
      </w:r>
      <w:proofErr w:type="spellEnd"/>
      <w:r w:rsidRPr="00B82E38">
        <w:rPr>
          <w:rFonts w:ascii="Book Antiqua" w:eastAsia="Book Antiqua" w:hAnsi="Book Antiqua" w:cs="Book Antiqua"/>
          <w:i/>
          <w:iCs/>
          <w:color w:val="000000" w:themeColor="text1"/>
        </w:rPr>
        <w:t xml:space="preserve"> </w:t>
      </w:r>
      <w:proofErr w:type="spellStart"/>
      <w:r w:rsidRPr="00B82E38">
        <w:rPr>
          <w:rFonts w:ascii="Book Antiqua" w:eastAsia="Book Antiqua" w:hAnsi="Book Antiqua" w:cs="Book Antiqua"/>
          <w:i/>
          <w:iCs/>
          <w:color w:val="000000" w:themeColor="text1"/>
        </w:rPr>
        <w:t>Innov</w:t>
      </w:r>
      <w:proofErr w:type="spellEnd"/>
      <w:r w:rsidRPr="00B82E38">
        <w:rPr>
          <w:rFonts w:ascii="Book Antiqua" w:eastAsia="Book Antiqua" w:hAnsi="Book Antiqua" w:cs="Book Antiqua"/>
          <w:color w:val="000000" w:themeColor="text1"/>
        </w:rPr>
        <w:t xml:space="preserve"> 2016; </w:t>
      </w:r>
      <w:r w:rsidRPr="00B82E38">
        <w:rPr>
          <w:rFonts w:ascii="Book Antiqua" w:eastAsia="Book Antiqua" w:hAnsi="Book Antiqua" w:cs="Book Antiqua"/>
          <w:b/>
          <w:bCs/>
          <w:color w:val="000000" w:themeColor="text1"/>
        </w:rPr>
        <w:t>23</w:t>
      </w:r>
      <w:r w:rsidRPr="00B82E38">
        <w:rPr>
          <w:rFonts w:ascii="Book Antiqua" w:eastAsia="Book Antiqua" w:hAnsi="Book Antiqua" w:cs="Book Antiqua"/>
          <w:color w:val="000000" w:themeColor="text1"/>
        </w:rPr>
        <w:t>: 166-175 [PMID: 26359355 DOI: 10.1177/1553350615604053]</w:t>
      </w:r>
    </w:p>
    <w:p w14:paraId="2CF70EAD" w14:textId="77777777" w:rsidR="00BA37FB" w:rsidRPr="00B82E38" w:rsidRDefault="008F363E" w:rsidP="00372A8C">
      <w:pPr>
        <w:spacing w:line="360" w:lineRule="auto"/>
        <w:jc w:val="both"/>
        <w:rPr>
          <w:rFonts w:ascii="Book Antiqua" w:hAnsi="Book Antiqua"/>
          <w:color w:val="000000" w:themeColor="text1"/>
        </w:rPr>
      </w:pPr>
      <w:r w:rsidRPr="00B82E38">
        <w:rPr>
          <w:rFonts w:ascii="Book Antiqua" w:eastAsia="Book Antiqua" w:hAnsi="Book Antiqua" w:cs="Book Antiqua"/>
          <w:color w:val="000000" w:themeColor="text1"/>
        </w:rPr>
        <w:t xml:space="preserve">10 </w:t>
      </w:r>
      <w:proofErr w:type="spellStart"/>
      <w:r w:rsidRPr="00B82E38">
        <w:rPr>
          <w:rFonts w:ascii="Book Antiqua" w:eastAsia="Book Antiqua" w:hAnsi="Book Antiqua" w:cs="Book Antiqua"/>
          <w:b/>
          <w:bCs/>
          <w:color w:val="000000" w:themeColor="text1"/>
        </w:rPr>
        <w:t>Zipprich</w:t>
      </w:r>
      <w:proofErr w:type="spellEnd"/>
      <w:r w:rsidRPr="00B82E38">
        <w:rPr>
          <w:rFonts w:ascii="Book Antiqua" w:eastAsia="Book Antiqua" w:hAnsi="Book Antiqua" w:cs="Book Antiqua"/>
          <w:b/>
          <w:bCs/>
          <w:color w:val="000000" w:themeColor="text1"/>
        </w:rPr>
        <w:t xml:space="preserve"> A</w:t>
      </w:r>
      <w:r w:rsidRPr="00B82E38">
        <w:rPr>
          <w:rFonts w:ascii="Book Antiqua" w:eastAsia="Book Antiqua" w:hAnsi="Book Antiqua" w:cs="Book Antiqua"/>
          <w:color w:val="000000" w:themeColor="text1"/>
        </w:rPr>
        <w:t xml:space="preserve">, </w:t>
      </w:r>
      <w:proofErr w:type="spellStart"/>
      <w:r w:rsidRPr="00B82E38">
        <w:rPr>
          <w:rFonts w:ascii="Book Antiqua" w:eastAsia="Book Antiqua" w:hAnsi="Book Antiqua" w:cs="Book Antiqua"/>
          <w:color w:val="000000" w:themeColor="text1"/>
        </w:rPr>
        <w:t>Kuss</w:t>
      </w:r>
      <w:proofErr w:type="spellEnd"/>
      <w:r w:rsidRPr="00B82E38">
        <w:rPr>
          <w:rFonts w:ascii="Book Antiqua" w:eastAsia="Book Antiqua" w:hAnsi="Book Antiqua" w:cs="Book Antiqua"/>
          <w:color w:val="000000" w:themeColor="text1"/>
        </w:rPr>
        <w:t xml:space="preserve"> O, </w:t>
      </w:r>
      <w:proofErr w:type="spellStart"/>
      <w:r w:rsidRPr="00B82E38">
        <w:rPr>
          <w:rFonts w:ascii="Book Antiqua" w:eastAsia="Book Antiqua" w:hAnsi="Book Antiqua" w:cs="Book Antiqua"/>
          <w:color w:val="000000" w:themeColor="text1"/>
        </w:rPr>
        <w:t>Rogowski</w:t>
      </w:r>
      <w:proofErr w:type="spellEnd"/>
      <w:r w:rsidRPr="00B82E38">
        <w:rPr>
          <w:rFonts w:ascii="Book Antiqua" w:eastAsia="Book Antiqua" w:hAnsi="Book Antiqua" w:cs="Book Antiqua"/>
          <w:color w:val="000000" w:themeColor="text1"/>
        </w:rPr>
        <w:t xml:space="preserve"> S, </w:t>
      </w:r>
      <w:proofErr w:type="spellStart"/>
      <w:r w:rsidRPr="00B82E38">
        <w:rPr>
          <w:rFonts w:ascii="Book Antiqua" w:eastAsia="Book Antiqua" w:hAnsi="Book Antiqua" w:cs="Book Antiqua"/>
          <w:color w:val="000000" w:themeColor="text1"/>
        </w:rPr>
        <w:t>Kleber</w:t>
      </w:r>
      <w:proofErr w:type="spellEnd"/>
      <w:r w:rsidRPr="00B82E38">
        <w:rPr>
          <w:rFonts w:ascii="Book Antiqua" w:eastAsia="Book Antiqua" w:hAnsi="Book Antiqua" w:cs="Book Antiqua"/>
          <w:color w:val="000000" w:themeColor="text1"/>
        </w:rPr>
        <w:t xml:space="preserve"> G, </w:t>
      </w:r>
      <w:proofErr w:type="spellStart"/>
      <w:r w:rsidRPr="00B82E38">
        <w:rPr>
          <w:rFonts w:ascii="Book Antiqua" w:eastAsia="Book Antiqua" w:hAnsi="Book Antiqua" w:cs="Book Antiqua"/>
          <w:color w:val="000000" w:themeColor="text1"/>
        </w:rPr>
        <w:t>Lotterer</w:t>
      </w:r>
      <w:proofErr w:type="spellEnd"/>
      <w:r w:rsidRPr="00B82E38">
        <w:rPr>
          <w:rFonts w:ascii="Book Antiqua" w:eastAsia="Book Antiqua" w:hAnsi="Book Antiqua" w:cs="Book Antiqua"/>
          <w:color w:val="000000" w:themeColor="text1"/>
        </w:rPr>
        <w:t xml:space="preserve"> E, </w:t>
      </w:r>
      <w:proofErr w:type="spellStart"/>
      <w:r w:rsidRPr="00B82E38">
        <w:rPr>
          <w:rFonts w:ascii="Book Antiqua" w:eastAsia="Book Antiqua" w:hAnsi="Book Antiqua" w:cs="Book Antiqua"/>
          <w:color w:val="000000" w:themeColor="text1"/>
        </w:rPr>
        <w:t>Seufferlein</w:t>
      </w:r>
      <w:proofErr w:type="spellEnd"/>
      <w:r w:rsidRPr="00B82E38">
        <w:rPr>
          <w:rFonts w:ascii="Book Antiqua" w:eastAsia="Book Antiqua" w:hAnsi="Book Antiqua" w:cs="Book Antiqua"/>
          <w:color w:val="000000" w:themeColor="text1"/>
        </w:rPr>
        <w:t xml:space="preserve"> T, </w:t>
      </w:r>
      <w:proofErr w:type="spellStart"/>
      <w:r w:rsidRPr="00B82E38">
        <w:rPr>
          <w:rFonts w:ascii="Book Antiqua" w:eastAsia="Book Antiqua" w:hAnsi="Book Antiqua" w:cs="Book Antiqua"/>
          <w:color w:val="000000" w:themeColor="text1"/>
        </w:rPr>
        <w:t>Fleig</w:t>
      </w:r>
      <w:proofErr w:type="spellEnd"/>
      <w:r w:rsidRPr="00B82E38">
        <w:rPr>
          <w:rFonts w:ascii="Book Antiqua" w:eastAsia="Book Antiqua" w:hAnsi="Book Antiqua" w:cs="Book Antiqua"/>
          <w:color w:val="000000" w:themeColor="text1"/>
        </w:rPr>
        <w:t xml:space="preserve"> WE, </w:t>
      </w:r>
      <w:proofErr w:type="spellStart"/>
      <w:r w:rsidRPr="00B82E38">
        <w:rPr>
          <w:rFonts w:ascii="Book Antiqua" w:eastAsia="Book Antiqua" w:hAnsi="Book Antiqua" w:cs="Book Antiqua"/>
          <w:color w:val="000000" w:themeColor="text1"/>
        </w:rPr>
        <w:t>Dollinger</w:t>
      </w:r>
      <w:proofErr w:type="spellEnd"/>
      <w:r w:rsidRPr="00B82E38">
        <w:rPr>
          <w:rFonts w:ascii="Book Antiqua" w:eastAsia="Book Antiqua" w:hAnsi="Book Antiqua" w:cs="Book Antiqua"/>
          <w:color w:val="000000" w:themeColor="text1"/>
        </w:rPr>
        <w:t xml:space="preserve"> MM. Incorporating </w:t>
      </w:r>
      <w:proofErr w:type="spellStart"/>
      <w:r w:rsidRPr="00B82E38">
        <w:rPr>
          <w:rFonts w:ascii="Book Antiqua" w:eastAsia="Book Antiqua" w:hAnsi="Book Antiqua" w:cs="Book Antiqua"/>
          <w:color w:val="000000" w:themeColor="text1"/>
        </w:rPr>
        <w:t>indocyanin</w:t>
      </w:r>
      <w:proofErr w:type="spellEnd"/>
      <w:r w:rsidRPr="00B82E38">
        <w:rPr>
          <w:rFonts w:ascii="Book Antiqua" w:eastAsia="Book Antiqua" w:hAnsi="Book Antiqua" w:cs="Book Antiqua"/>
          <w:color w:val="000000" w:themeColor="text1"/>
        </w:rPr>
        <w:t xml:space="preserve"> green clearance into the Model for End Stage </w:t>
      </w:r>
      <w:r w:rsidRPr="00B82E38">
        <w:rPr>
          <w:rFonts w:ascii="Book Antiqua" w:eastAsia="Book Antiqua" w:hAnsi="Book Antiqua" w:cs="Book Antiqua"/>
          <w:color w:val="000000" w:themeColor="text1"/>
        </w:rPr>
        <w:lastRenderedPageBreak/>
        <w:t xml:space="preserve">Liver Disease (MELD-ICG) improves prognostic accuracy in intermediate to advanced cirrhosis. </w:t>
      </w:r>
      <w:r w:rsidRPr="00B82E38">
        <w:rPr>
          <w:rFonts w:ascii="Book Antiqua" w:eastAsia="Book Antiqua" w:hAnsi="Book Antiqua" w:cs="Book Antiqua"/>
          <w:i/>
          <w:iCs/>
          <w:color w:val="000000" w:themeColor="text1"/>
        </w:rPr>
        <w:t>Gut</w:t>
      </w:r>
      <w:r w:rsidRPr="00B82E38">
        <w:rPr>
          <w:rFonts w:ascii="Book Antiqua" w:eastAsia="Book Antiqua" w:hAnsi="Book Antiqua" w:cs="Book Antiqua"/>
          <w:color w:val="000000" w:themeColor="text1"/>
        </w:rPr>
        <w:t xml:space="preserve"> 2010; </w:t>
      </w:r>
      <w:r w:rsidRPr="00B82E38">
        <w:rPr>
          <w:rFonts w:ascii="Book Antiqua" w:eastAsia="Book Antiqua" w:hAnsi="Book Antiqua" w:cs="Book Antiqua"/>
          <w:b/>
          <w:bCs/>
          <w:color w:val="000000" w:themeColor="text1"/>
        </w:rPr>
        <w:t>59</w:t>
      </w:r>
      <w:r w:rsidRPr="00B82E38">
        <w:rPr>
          <w:rFonts w:ascii="Book Antiqua" w:eastAsia="Book Antiqua" w:hAnsi="Book Antiqua" w:cs="Book Antiqua"/>
          <w:color w:val="000000" w:themeColor="text1"/>
        </w:rPr>
        <w:t>: 963-968 [PMID: 20581243 DOI: 10.1136/gut.2010.208595]</w:t>
      </w:r>
    </w:p>
    <w:p w14:paraId="1CFAD067" w14:textId="77777777" w:rsidR="00BA37FB" w:rsidRPr="00B82E38" w:rsidRDefault="008F363E" w:rsidP="00372A8C">
      <w:pPr>
        <w:spacing w:line="360" w:lineRule="auto"/>
        <w:jc w:val="both"/>
        <w:rPr>
          <w:rFonts w:ascii="Book Antiqua" w:hAnsi="Book Antiqua"/>
          <w:color w:val="000000" w:themeColor="text1"/>
        </w:rPr>
      </w:pPr>
      <w:r w:rsidRPr="00B82E38">
        <w:rPr>
          <w:rFonts w:ascii="Book Antiqua" w:eastAsia="Book Antiqua" w:hAnsi="Book Antiqua" w:cs="Book Antiqua"/>
          <w:color w:val="000000" w:themeColor="text1"/>
        </w:rPr>
        <w:t xml:space="preserve">11 </w:t>
      </w:r>
      <w:r w:rsidRPr="00B82E38">
        <w:rPr>
          <w:rFonts w:ascii="Book Antiqua" w:eastAsia="Book Antiqua" w:hAnsi="Book Antiqua" w:cs="Book Antiqua"/>
          <w:b/>
          <w:bCs/>
          <w:color w:val="000000" w:themeColor="text1"/>
        </w:rPr>
        <w:t>Schwarz C</w:t>
      </w:r>
      <w:r w:rsidRPr="00B82E38">
        <w:rPr>
          <w:rFonts w:ascii="Book Antiqua" w:eastAsia="Book Antiqua" w:hAnsi="Book Antiqua" w:cs="Book Antiqua"/>
          <w:color w:val="000000" w:themeColor="text1"/>
        </w:rPr>
        <w:t xml:space="preserve">, </w:t>
      </w:r>
      <w:proofErr w:type="spellStart"/>
      <w:r w:rsidRPr="00B82E38">
        <w:rPr>
          <w:rFonts w:ascii="Book Antiqua" w:eastAsia="Book Antiqua" w:hAnsi="Book Antiqua" w:cs="Book Antiqua"/>
          <w:color w:val="000000" w:themeColor="text1"/>
        </w:rPr>
        <w:t>Plass</w:t>
      </w:r>
      <w:proofErr w:type="spellEnd"/>
      <w:r w:rsidRPr="00B82E38">
        <w:rPr>
          <w:rFonts w:ascii="Book Antiqua" w:eastAsia="Book Antiqua" w:hAnsi="Book Antiqua" w:cs="Book Antiqua"/>
          <w:color w:val="000000" w:themeColor="text1"/>
        </w:rPr>
        <w:t xml:space="preserve"> I, </w:t>
      </w:r>
      <w:proofErr w:type="spellStart"/>
      <w:r w:rsidRPr="00B82E38">
        <w:rPr>
          <w:rFonts w:ascii="Book Antiqua" w:eastAsia="Book Antiqua" w:hAnsi="Book Antiqua" w:cs="Book Antiqua"/>
          <w:color w:val="000000" w:themeColor="text1"/>
        </w:rPr>
        <w:t>Fitschek</w:t>
      </w:r>
      <w:proofErr w:type="spellEnd"/>
      <w:r w:rsidRPr="00B82E38">
        <w:rPr>
          <w:rFonts w:ascii="Book Antiqua" w:eastAsia="Book Antiqua" w:hAnsi="Book Antiqua" w:cs="Book Antiqua"/>
          <w:color w:val="000000" w:themeColor="text1"/>
        </w:rPr>
        <w:t xml:space="preserve"> F, </w:t>
      </w:r>
      <w:proofErr w:type="spellStart"/>
      <w:r w:rsidRPr="00B82E38">
        <w:rPr>
          <w:rFonts w:ascii="Book Antiqua" w:eastAsia="Book Antiqua" w:hAnsi="Book Antiqua" w:cs="Book Antiqua"/>
          <w:color w:val="000000" w:themeColor="text1"/>
        </w:rPr>
        <w:t>Punzengruber</w:t>
      </w:r>
      <w:proofErr w:type="spellEnd"/>
      <w:r w:rsidRPr="00B82E38">
        <w:rPr>
          <w:rFonts w:ascii="Book Antiqua" w:eastAsia="Book Antiqua" w:hAnsi="Book Antiqua" w:cs="Book Antiqua"/>
          <w:color w:val="000000" w:themeColor="text1"/>
        </w:rPr>
        <w:t xml:space="preserve"> A, </w:t>
      </w:r>
      <w:proofErr w:type="spellStart"/>
      <w:r w:rsidRPr="00B82E38">
        <w:rPr>
          <w:rFonts w:ascii="Book Antiqua" w:eastAsia="Book Antiqua" w:hAnsi="Book Antiqua" w:cs="Book Antiqua"/>
          <w:color w:val="000000" w:themeColor="text1"/>
        </w:rPr>
        <w:t>Mittlböck</w:t>
      </w:r>
      <w:proofErr w:type="spellEnd"/>
      <w:r w:rsidRPr="00B82E38">
        <w:rPr>
          <w:rFonts w:ascii="Book Antiqua" w:eastAsia="Book Antiqua" w:hAnsi="Book Antiqua" w:cs="Book Antiqua"/>
          <w:color w:val="000000" w:themeColor="text1"/>
        </w:rPr>
        <w:t xml:space="preserve"> M, </w:t>
      </w:r>
      <w:proofErr w:type="spellStart"/>
      <w:r w:rsidRPr="00B82E38">
        <w:rPr>
          <w:rFonts w:ascii="Book Antiqua" w:eastAsia="Book Antiqua" w:hAnsi="Book Antiqua" w:cs="Book Antiqua"/>
          <w:color w:val="000000" w:themeColor="text1"/>
        </w:rPr>
        <w:t>Kampf</w:t>
      </w:r>
      <w:proofErr w:type="spellEnd"/>
      <w:r w:rsidRPr="00B82E38">
        <w:rPr>
          <w:rFonts w:ascii="Book Antiqua" w:eastAsia="Book Antiqua" w:hAnsi="Book Antiqua" w:cs="Book Antiqua"/>
          <w:color w:val="000000" w:themeColor="text1"/>
        </w:rPr>
        <w:t xml:space="preserve"> S, </w:t>
      </w:r>
      <w:proofErr w:type="spellStart"/>
      <w:r w:rsidRPr="00B82E38">
        <w:rPr>
          <w:rFonts w:ascii="Book Antiqua" w:eastAsia="Book Antiqua" w:hAnsi="Book Antiqua" w:cs="Book Antiqua"/>
          <w:color w:val="000000" w:themeColor="text1"/>
        </w:rPr>
        <w:t>Asenbaum</w:t>
      </w:r>
      <w:proofErr w:type="spellEnd"/>
      <w:r w:rsidRPr="00B82E38">
        <w:rPr>
          <w:rFonts w:ascii="Book Antiqua" w:eastAsia="Book Antiqua" w:hAnsi="Book Antiqua" w:cs="Book Antiqua"/>
          <w:color w:val="000000" w:themeColor="text1"/>
        </w:rPr>
        <w:t xml:space="preserve"> U, </w:t>
      </w:r>
      <w:proofErr w:type="spellStart"/>
      <w:r w:rsidRPr="00B82E38">
        <w:rPr>
          <w:rFonts w:ascii="Book Antiqua" w:eastAsia="Book Antiqua" w:hAnsi="Book Antiqua" w:cs="Book Antiqua"/>
          <w:color w:val="000000" w:themeColor="text1"/>
        </w:rPr>
        <w:t>Starlinger</w:t>
      </w:r>
      <w:proofErr w:type="spellEnd"/>
      <w:r w:rsidRPr="00B82E38">
        <w:rPr>
          <w:rFonts w:ascii="Book Antiqua" w:eastAsia="Book Antiqua" w:hAnsi="Book Antiqua" w:cs="Book Antiqua"/>
          <w:color w:val="000000" w:themeColor="text1"/>
        </w:rPr>
        <w:t xml:space="preserve"> P, </w:t>
      </w:r>
      <w:proofErr w:type="spellStart"/>
      <w:r w:rsidRPr="00B82E38">
        <w:rPr>
          <w:rFonts w:ascii="Book Antiqua" w:eastAsia="Book Antiqua" w:hAnsi="Book Antiqua" w:cs="Book Antiqua"/>
          <w:color w:val="000000" w:themeColor="text1"/>
        </w:rPr>
        <w:t>Stremitzer</w:t>
      </w:r>
      <w:proofErr w:type="spellEnd"/>
      <w:r w:rsidRPr="00B82E38">
        <w:rPr>
          <w:rFonts w:ascii="Book Antiqua" w:eastAsia="Book Antiqua" w:hAnsi="Book Antiqua" w:cs="Book Antiqua"/>
          <w:color w:val="000000" w:themeColor="text1"/>
        </w:rPr>
        <w:t xml:space="preserve"> S, </w:t>
      </w:r>
      <w:proofErr w:type="spellStart"/>
      <w:r w:rsidRPr="00B82E38">
        <w:rPr>
          <w:rFonts w:ascii="Book Antiqua" w:eastAsia="Book Antiqua" w:hAnsi="Book Antiqua" w:cs="Book Antiqua"/>
          <w:color w:val="000000" w:themeColor="text1"/>
        </w:rPr>
        <w:t>Bodingbauer</w:t>
      </w:r>
      <w:proofErr w:type="spellEnd"/>
      <w:r w:rsidRPr="00B82E38">
        <w:rPr>
          <w:rFonts w:ascii="Book Antiqua" w:eastAsia="Book Antiqua" w:hAnsi="Book Antiqua" w:cs="Book Antiqua"/>
          <w:color w:val="000000" w:themeColor="text1"/>
        </w:rPr>
        <w:t xml:space="preserve"> M, </w:t>
      </w:r>
      <w:proofErr w:type="spellStart"/>
      <w:r w:rsidRPr="00B82E38">
        <w:rPr>
          <w:rFonts w:ascii="Book Antiqua" w:eastAsia="Book Antiqua" w:hAnsi="Book Antiqua" w:cs="Book Antiqua"/>
          <w:color w:val="000000" w:themeColor="text1"/>
        </w:rPr>
        <w:t>Kaczirek</w:t>
      </w:r>
      <w:proofErr w:type="spellEnd"/>
      <w:r w:rsidRPr="00B82E38">
        <w:rPr>
          <w:rFonts w:ascii="Book Antiqua" w:eastAsia="Book Antiqua" w:hAnsi="Book Antiqua" w:cs="Book Antiqua"/>
          <w:color w:val="000000" w:themeColor="text1"/>
        </w:rPr>
        <w:t xml:space="preserve"> K. The value of indocyanine green clearance assessment to predict postoperative liver dysfunction in patients undergoing liver resection. </w:t>
      </w:r>
      <w:r w:rsidRPr="00B82E38">
        <w:rPr>
          <w:rFonts w:ascii="Book Antiqua" w:eastAsia="Book Antiqua" w:hAnsi="Book Antiqua" w:cs="Book Antiqua"/>
          <w:i/>
          <w:iCs/>
          <w:color w:val="000000" w:themeColor="text1"/>
        </w:rPr>
        <w:t>Sci Rep</w:t>
      </w:r>
      <w:r w:rsidRPr="00B82E38">
        <w:rPr>
          <w:rFonts w:ascii="Book Antiqua" w:eastAsia="Book Antiqua" w:hAnsi="Book Antiqua" w:cs="Book Antiqua"/>
          <w:color w:val="000000" w:themeColor="text1"/>
        </w:rPr>
        <w:t xml:space="preserve"> 2019; </w:t>
      </w:r>
      <w:r w:rsidRPr="00B82E38">
        <w:rPr>
          <w:rFonts w:ascii="Book Antiqua" w:eastAsia="Book Antiqua" w:hAnsi="Book Antiqua" w:cs="Book Antiqua"/>
          <w:b/>
          <w:bCs/>
          <w:color w:val="000000" w:themeColor="text1"/>
        </w:rPr>
        <w:t>9</w:t>
      </w:r>
      <w:r w:rsidRPr="00B82E38">
        <w:rPr>
          <w:rFonts w:ascii="Book Antiqua" w:eastAsia="Book Antiqua" w:hAnsi="Book Antiqua" w:cs="Book Antiqua"/>
          <w:color w:val="000000" w:themeColor="text1"/>
        </w:rPr>
        <w:t>: 8421 [PMID: 31182746 DOI: 10.1038/s41598-019-44815-x]</w:t>
      </w:r>
    </w:p>
    <w:p w14:paraId="5D19B2D1" w14:textId="77777777" w:rsidR="00BA37FB" w:rsidRPr="00B82E38" w:rsidRDefault="008F363E" w:rsidP="00372A8C">
      <w:pPr>
        <w:spacing w:line="360" w:lineRule="auto"/>
        <w:jc w:val="both"/>
        <w:rPr>
          <w:rFonts w:ascii="Book Antiqua" w:hAnsi="Book Antiqua"/>
          <w:color w:val="000000" w:themeColor="text1"/>
        </w:rPr>
      </w:pPr>
      <w:r w:rsidRPr="00B82E38">
        <w:rPr>
          <w:rFonts w:ascii="Book Antiqua" w:eastAsia="Book Antiqua" w:hAnsi="Book Antiqua" w:cs="Book Antiqua"/>
          <w:color w:val="000000" w:themeColor="text1"/>
        </w:rPr>
        <w:t xml:space="preserve">12 </w:t>
      </w:r>
      <w:r w:rsidRPr="00B82E38">
        <w:rPr>
          <w:rFonts w:ascii="Book Antiqua" w:eastAsia="Book Antiqua" w:hAnsi="Book Antiqua" w:cs="Book Antiqua"/>
          <w:b/>
          <w:bCs/>
          <w:color w:val="000000" w:themeColor="text1"/>
        </w:rPr>
        <w:t>Kaplan DE</w:t>
      </w:r>
      <w:r w:rsidRPr="00B82E38">
        <w:rPr>
          <w:rFonts w:ascii="Book Antiqua" w:eastAsia="Book Antiqua" w:hAnsi="Book Antiqua" w:cs="Book Antiqua"/>
          <w:color w:val="000000" w:themeColor="text1"/>
        </w:rPr>
        <w:t xml:space="preserve">, Dai F, </w:t>
      </w:r>
      <w:proofErr w:type="spellStart"/>
      <w:r w:rsidRPr="00B82E38">
        <w:rPr>
          <w:rFonts w:ascii="Book Antiqua" w:eastAsia="Book Antiqua" w:hAnsi="Book Antiqua" w:cs="Book Antiqua"/>
          <w:color w:val="000000" w:themeColor="text1"/>
        </w:rPr>
        <w:t>Aytaman</w:t>
      </w:r>
      <w:proofErr w:type="spellEnd"/>
      <w:r w:rsidRPr="00B82E38">
        <w:rPr>
          <w:rFonts w:ascii="Book Antiqua" w:eastAsia="Book Antiqua" w:hAnsi="Book Antiqua" w:cs="Book Antiqua"/>
          <w:color w:val="000000" w:themeColor="text1"/>
        </w:rPr>
        <w:t xml:space="preserve"> A, </w:t>
      </w:r>
      <w:proofErr w:type="spellStart"/>
      <w:r w:rsidRPr="00B82E38">
        <w:rPr>
          <w:rFonts w:ascii="Book Antiqua" w:eastAsia="Book Antiqua" w:hAnsi="Book Antiqua" w:cs="Book Antiqua"/>
          <w:color w:val="000000" w:themeColor="text1"/>
        </w:rPr>
        <w:t>Baytarian</w:t>
      </w:r>
      <w:proofErr w:type="spellEnd"/>
      <w:r w:rsidRPr="00B82E38">
        <w:rPr>
          <w:rFonts w:ascii="Book Antiqua" w:eastAsia="Book Antiqua" w:hAnsi="Book Antiqua" w:cs="Book Antiqua"/>
          <w:color w:val="000000" w:themeColor="text1"/>
        </w:rPr>
        <w:t xml:space="preserve"> M, Fox R, Hunt K, Knott A, </w:t>
      </w:r>
      <w:proofErr w:type="spellStart"/>
      <w:r w:rsidRPr="00B82E38">
        <w:rPr>
          <w:rFonts w:ascii="Book Antiqua" w:eastAsia="Book Antiqua" w:hAnsi="Book Antiqua" w:cs="Book Antiqua"/>
          <w:color w:val="000000" w:themeColor="text1"/>
        </w:rPr>
        <w:t>Pedrosa</w:t>
      </w:r>
      <w:proofErr w:type="spellEnd"/>
      <w:r w:rsidRPr="00B82E38">
        <w:rPr>
          <w:rFonts w:ascii="Book Antiqua" w:eastAsia="Book Antiqua" w:hAnsi="Book Antiqua" w:cs="Book Antiqua"/>
          <w:color w:val="000000" w:themeColor="text1"/>
        </w:rPr>
        <w:t xml:space="preserve"> M, </w:t>
      </w:r>
      <w:proofErr w:type="spellStart"/>
      <w:r w:rsidRPr="00B82E38">
        <w:rPr>
          <w:rFonts w:ascii="Book Antiqua" w:eastAsia="Book Antiqua" w:hAnsi="Book Antiqua" w:cs="Book Antiqua"/>
          <w:color w:val="000000" w:themeColor="text1"/>
        </w:rPr>
        <w:t>Pocha</w:t>
      </w:r>
      <w:proofErr w:type="spellEnd"/>
      <w:r w:rsidRPr="00B82E38">
        <w:rPr>
          <w:rFonts w:ascii="Book Antiqua" w:eastAsia="Book Antiqua" w:hAnsi="Book Antiqua" w:cs="Book Antiqua"/>
          <w:color w:val="000000" w:themeColor="text1"/>
        </w:rPr>
        <w:t xml:space="preserve"> C, Mehta R, Duggal M, </w:t>
      </w:r>
      <w:proofErr w:type="spellStart"/>
      <w:r w:rsidRPr="00B82E38">
        <w:rPr>
          <w:rFonts w:ascii="Book Antiqua" w:eastAsia="Book Antiqua" w:hAnsi="Book Antiqua" w:cs="Book Antiqua"/>
          <w:color w:val="000000" w:themeColor="text1"/>
        </w:rPr>
        <w:t>Skanderson</w:t>
      </w:r>
      <w:proofErr w:type="spellEnd"/>
      <w:r w:rsidRPr="00B82E38">
        <w:rPr>
          <w:rFonts w:ascii="Book Antiqua" w:eastAsia="Book Antiqua" w:hAnsi="Book Antiqua" w:cs="Book Antiqua"/>
          <w:color w:val="000000" w:themeColor="text1"/>
        </w:rPr>
        <w:t xml:space="preserve"> M, </w:t>
      </w:r>
      <w:proofErr w:type="spellStart"/>
      <w:r w:rsidRPr="00B82E38">
        <w:rPr>
          <w:rFonts w:ascii="Book Antiqua" w:eastAsia="Book Antiqua" w:hAnsi="Book Antiqua" w:cs="Book Antiqua"/>
          <w:color w:val="000000" w:themeColor="text1"/>
        </w:rPr>
        <w:t>Valderrama</w:t>
      </w:r>
      <w:proofErr w:type="spellEnd"/>
      <w:r w:rsidRPr="00B82E38">
        <w:rPr>
          <w:rFonts w:ascii="Book Antiqua" w:eastAsia="Book Antiqua" w:hAnsi="Book Antiqua" w:cs="Book Antiqua"/>
          <w:color w:val="000000" w:themeColor="text1"/>
        </w:rPr>
        <w:t xml:space="preserve"> A, </w:t>
      </w:r>
      <w:proofErr w:type="spellStart"/>
      <w:r w:rsidRPr="00B82E38">
        <w:rPr>
          <w:rFonts w:ascii="Book Antiqua" w:eastAsia="Book Antiqua" w:hAnsi="Book Antiqua" w:cs="Book Antiqua"/>
          <w:color w:val="000000" w:themeColor="text1"/>
        </w:rPr>
        <w:t>Taddei</w:t>
      </w:r>
      <w:proofErr w:type="spellEnd"/>
      <w:r w:rsidRPr="00B82E38">
        <w:rPr>
          <w:rFonts w:ascii="Book Antiqua" w:eastAsia="Book Antiqua" w:hAnsi="Book Antiqua" w:cs="Book Antiqua"/>
          <w:color w:val="000000" w:themeColor="text1"/>
        </w:rPr>
        <w:t xml:space="preserve"> TH; VOCAL Study Group. Development and Performance of an Algorithm to Estimate the Child-Turcotte-Pugh Score </w:t>
      </w:r>
      <w:proofErr w:type="gramStart"/>
      <w:r w:rsidRPr="00B82E38">
        <w:rPr>
          <w:rFonts w:ascii="Book Antiqua" w:eastAsia="Book Antiqua" w:hAnsi="Book Antiqua" w:cs="Book Antiqua"/>
          <w:color w:val="000000" w:themeColor="text1"/>
        </w:rPr>
        <w:t>From</w:t>
      </w:r>
      <w:proofErr w:type="gramEnd"/>
      <w:r w:rsidRPr="00B82E38">
        <w:rPr>
          <w:rFonts w:ascii="Book Antiqua" w:eastAsia="Book Antiqua" w:hAnsi="Book Antiqua" w:cs="Book Antiqua"/>
          <w:color w:val="000000" w:themeColor="text1"/>
        </w:rPr>
        <w:t xml:space="preserve"> a National Electronic Healthcare Database. </w:t>
      </w:r>
      <w:r w:rsidRPr="00B82E38">
        <w:rPr>
          <w:rFonts w:ascii="Book Antiqua" w:eastAsia="Book Antiqua" w:hAnsi="Book Antiqua" w:cs="Book Antiqua"/>
          <w:i/>
          <w:iCs/>
          <w:color w:val="000000" w:themeColor="text1"/>
        </w:rPr>
        <w:t>Clin Gastroenterol Hepatol</w:t>
      </w:r>
      <w:r w:rsidRPr="00B82E38">
        <w:rPr>
          <w:rFonts w:ascii="Book Antiqua" w:eastAsia="Book Antiqua" w:hAnsi="Book Antiqua" w:cs="Book Antiqua"/>
          <w:color w:val="000000" w:themeColor="text1"/>
        </w:rPr>
        <w:t xml:space="preserve"> 2015; </w:t>
      </w:r>
      <w:r w:rsidRPr="00B82E38">
        <w:rPr>
          <w:rFonts w:ascii="Book Antiqua" w:eastAsia="Book Antiqua" w:hAnsi="Book Antiqua" w:cs="Book Antiqua"/>
          <w:b/>
          <w:bCs/>
          <w:color w:val="000000" w:themeColor="text1"/>
        </w:rPr>
        <w:t>13</w:t>
      </w:r>
      <w:r w:rsidRPr="00B82E38">
        <w:rPr>
          <w:rFonts w:ascii="Book Antiqua" w:eastAsia="Book Antiqua" w:hAnsi="Book Antiqua" w:cs="Book Antiqua"/>
          <w:color w:val="000000" w:themeColor="text1"/>
        </w:rPr>
        <w:t>: 2333-41.e1-6 [PMID: 26188137 DOI: 10.1016/j.cgh.2015.07.010]</w:t>
      </w:r>
    </w:p>
    <w:p w14:paraId="3DEDECFE" w14:textId="77777777" w:rsidR="00BA37FB" w:rsidRPr="00B82E38" w:rsidRDefault="008F363E" w:rsidP="00372A8C">
      <w:pPr>
        <w:spacing w:line="360" w:lineRule="auto"/>
        <w:jc w:val="both"/>
        <w:rPr>
          <w:rFonts w:ascii="Book Antiqua" w:hAnsi="Book Antiqua"/>
          <w:color w:val="000000" w:themeColor="text1"/>
        </w:rPr>
      </w:pPr>
      <w:r w:rsidRPr="00B82E38">
        <w:rPr>
          <w:rFonts w:ascii="Book Antiqua" w:eastAsia="Book Antiqua" w:hAnsi="Book Antiqua" w:cs="Book Antiqua"/>
          <w:color w:val="000000" w:themeColor="text1"/>
        </w:rPr>
        <w:t xml:space="preserve">13 </w:t>
      </w:r>
      <w:r w:rsidRPr="00B82E38">
        <w:rPr>
          <w:rFonts w:ascii="Book Antiqua" w:eastAsia="Book Antiqua" w:hAnsi="Book Antiqua" w:cs="Book Antiqua"/>
          <w:b/>
          <w:bCs/>
          <w:color w:val="000000" w:themeColor="text1"/>
        </w:rPr>
        <w:t>Hoekstra LT</w:t>
      </w:r>
      <w:r w:rsidRPr="00B82E38">
        <w:rPr>
          <w:rFonts w:ascii="Book Antiqua" w:eastAsia="Book Antiqua" w:hAnsi="Book Antiqua" w:cs="Book Antiqua"/>
          <w:color w:val="000000" w:themeColor="text1"/>
        </w:rPr>
        <w:t xml:space="preserve">, de </w:t>
      </w:r>
      <w:proofErr w:type="spellStart"/>
      <w:r w:rsidRPr="00B82E38">
        <w:rPr>
          <w:rFonts w:ascii="Book Antiqua" w:eastAsia="Book Antiqua" w:hAnsi="Book Antiqua" w:cs="Book Antiqua"/>
          <w:color w:val="000000" w:themeColor="text1"/>
        </w:rPr>
        <w:t>Graaf</w:t>
      </w:r>
      <w:proofErr w:type="spellEnd"/>
      <w:r w:rsidRPr="00B82E38">
        <w:rPr>
          <w:rFonts w:ascii="Book Antiqua" w:eastAsia="Book Antiqua" w:hAnsi="Book Antiqua" w:cs="Book Antiqua"/>
          <w:color w:val="000000" w:themeColor="text1"/>
        </w:rPr>
        <w:t xml:space="preserve"> W, </w:t>
      </w:r>
      <w:proofErr w:type="spellStart"/>
      <w:r w:rsidRPr="00B82E38">
        <w:rPr>
          <w:rFonts w:ascii="Book Antiqua" w:eastAsia="Book Antiqua" w:hAnsi="Book Antiqua" w:cs="Book Antiqua"/>
          <w:color w:val="000000" w:themeColor="text1"/>
        </w:rPr>
        <w:t>Nibourg</w:t>
      </w:r>
      <w:proofErr w:type="spellEnd"/>
      <w:r w:rsidRPr="00B82E38">
        <w:rPr>
          <w:rFonts w:ascii="Book Antiqua" w:eastAsia="Book Antiqua" w:hAnsi="Book Antiqua" w:cs="Book Antiqua"/>
          <w:color w:val="000000" w:themeColor="text1"/>
        </w:rPr>
        <w:t xml:space="preserve"> GA, </w:t>
      </w:r>
      <w:proofErr w:type="spellStart"/>
      <w:r w:rsidRPr="00B82E38">
        <w:rPr>
          <w:rFonts w:ascii="Book Antiqua" w:eastAsia="Book Antiqua" w:hAnsi="Book Antiqua" w:cs="Book Antiqua"/>
          <w:color w:val="000000" w:themeColor="text1"/>
        </w:rPr>
        <w:t>Heger</w:t>
      </w:r>
      <w:proofErr w:type="spellEnd"/>
      <w:r w:rsidRPr="00B82E38">
        <w:rPr>
          <w:rFonts w:ascii="Book Antiqua" w:eastAsia="Book Antiqua" w:hAnsi="Book Antiqua" w:cs="Book Antiqua"/>
          <w:color w:val="000000" w:themeColor="text1"/>
        </w:rPr>
        <w:t xml:space="preserve"> M, </w:t>
      </w:r>
      <w:proofErr w:type="spellStart"/>
      <w:r w:rsidRPr="00B82E38">
        <w:rPr>
          <w:rFonts w:ascii="Book Antiqua" w:eastAsia="Book Antiqua" w:hAnsi="Book Antiqua" w:cs="Book Antiqua"/>
          <w:color w:val="000000" w:themeColor="text1"/>
        </w:rPr>
        <w:t>Bennink</w:t>
      </w:r>
      <w:proofErr w:type="spellEnd"/>
      <w:r w:rsidRPr="00B82E38">
        <w:rPr>
          <w:rFonts w:ascii="Book Antiqua" w:eastAsia="Book Antiqua" w:hAnsi="Book Antiqua" w:cs="Book Antiqua"/>
          <w:color w:val="000000" w:themeColor="text1"/>
        </w:rPr>
        <w:t xml:space="preserve"> RJ, </w:t>
      </w:r>
      <w:proofErr w:type="spellStart"/>
      <w:r w:rsidRPr="00B82E38">
        <w:rPr>
          <w:rFonts w:ascii="Book Antiqua" w:eastAsia="Book Antiqua" w:hAnsi="Book Antiqua" w:cs="Book Antiqua"/>
          <w:color w:val="000000" w:themeColor="text1"/>
        </w:rPr>
        <w:t>Stieger</w:t>
      </w:r>
      <w:proofErr w:type="spellEnd"/>
      <w:r w:rsidRPr="00B82E38">
        <w:rPr>
          <w:rFonts w:ascii="Book Antiqua" w:eastAsia="Book Antiqua" w:hAnsi="Book Antiqua" w:cs="Book Antiqua"/>
          <w:color w:val="000000" w:themeColor="text1"/>
        </w:rPr>
        <w:t xml:space="preserve"> B, van </w:t>
      </w:r>
      <w:proofErr w:type="spellStart"/>
      <w:r w:rsidRPr="00B82E38">
        <w:rPr>
          <w:rFonts w:ascii="Book Antiqua" w:eastAsia="Book Antiqua" w:hAnsi="Book Antiqua" w:cs="Book Antiqua"/>
          <w:color w:val="000000" w:themeColor="text1"/>
        </w:rPr>
        <w:t>Gulik</w:t>
      </w:r>
      <w:proofErr w:type="spellEnd"/>
      <w:r w:rsidRPr="00B82E38">
        <w:rPr>
          <w:rFonts w:ascii="Book Antiqua" w:eastAsia="Book Antiqua" w:hAnsi="Book Antiqua" w:cs="Book Antiqua"/>
          <w:color w:val="000000" w:themeColor="text1"/>
        </w:rPr>
        <w:t xml:space="preserve"> TM. Physiological and biochemical basis of clinical liver function tests: a review. </w:t>
      </w:r>
      <w:r w:rsidRPr="00B82E38">
        <w:rPr>
          <w:rFonts w:ascii="Book Antiqua" w:eastAsia="Book Antiqua" w:hAnsi="Book Antiqua" w:cs="Book Antiqua"/>
          <w:i/>
          <w:iCs/>
          <w:color w:val="000000" w:themeColor="text1"/>
        </w:rPr>
        <w:t>Ann Surg</w:t>
      </w:r>
      <w:r w:rsidRPr="00B82E38">
        <w:rPr>
          <w:rFonts w:ascii="Book Antiqua" w:eastAsia="Book Antiqua" w:hAnsi="Book Antiqua" w:cs="Book Antiqua"/>
          <w:color w:val="000000" w:themeColor="text1"/>
        </w:rPr>
        <w:t xml:space="preserve"> 2013; </w:t>
      </w:r>
      <w:r w:rsidRPr="00B82E38">
        <w:rPr>
          <w:rFonts w:ascii="Book Antiqua" w:eastAsia="Book Antiqua" w:hAnsi="Book Antiqua" w:cs="Book Antiqua"/>
          <w:b/>
          <w:bCs/>
          <w:color w:val="000000" w:themeColor="text1"/>
        </w:rPr>
        <w:t>257</w:t>
      </w:r>
      <w:r w:rsidRPr="00B82E38">
        <w:rPr>
          <w:rFonts w:ascii="Book Antiqua" w:eastAsia="Book Antiqua" w:hAnsi="Book Antiqua" w:cs="Book Antiqua"/>
          <w:color w:val="000000" w:themeColor="text1"/>
        </w:rPr>
        <w:t>: 27-36 [PMID: 22836216 DOI: 10.1097/SLA.0b013e31825d5d47]</w:t>
      </w:r>
    </w:p>
    <w:p w14:paraId="6BA9A9C8" w14:textId="77777777" w:rsidR="00BA37FB" w:rsidRPr="00B82E38" w:rsidRDefault="008F363E" w:rsidP="00372A8C">
      <w:pPr>
        <w:spacing w:line="360" w:lineRule="auto"/>
        <w:jc w:val="both"/>
        <w:rPr>
          <w:rFonts w:ascii="Book Antiqua" w:hAnsi="Book Antiqua"/>
          <w:color w:val="000000" w:themeColor="text1"/>
        </w:rPr>
      </w:pPr>
      <w:r w:rsidRPr="00B82E38">
        <w:rPr>
          <w:rFonts w:ascii="Book Antiqua" w:eastAsia="Book Antiqua" w:hAnsi="Book Antiqua" w:cs="Book Antiqua"/>
          <w:color w:val="000000" w:themeColor="text1"/>
        </w:rPr>
        <w:t xml:space="preserve">14 </w:t>
      </w:r>
      <w:r w:rsidRPr="00B82E38">
        <w:rPr>
          <w:rFonts w:ascii="Book Antiqua" w:eastAsia="Book Antiqua" w:hAnsi="Book Antiqua" w:cs="Book Antiqua"/>
          <w:b/>
          <w:bCs/>
          <w:color w:val="000000" w:themeColor="text1"/>
        </w:rPr>
        <w:t>Turco L</w:t>
      </w:r>
      <w:r w:rsidRPr="00B82E38">
        <w:rPr>
          <w:rFonts w:ascii="Book Antiqua" w:eastAsia="Book Antiqua" w:hAnsi="Book Antiqua" w:cs="Book Antiqua"/>
          <w:color w:val="000000" w:themeColor="text1"/>
        </w:rPr>
        <w:t xml:space="preserve">, Garcia-Tsao G. Portal Hypertension: Pathogenesis and Diagnosis. </w:t>
      </w:r>
      <w:r w:rsidRPr="00B82E38">
        <w:rPr>
          <w:rFonts w:ascii="Book Antiqua" w:eastAsia="Book Antiqua" w:hAnsi="Book Antiqua" w:cs="Book Antiqua"/>
          <w:i/>
          <w:iCs/>
          <w:color w:val="000000" w:themeColor="text1"/>
        </w:rPr>
        <w:t>Clin Liver Dis</w:t>
      </w:r>
      <w:r w:rsidRPr="00B82E38">
        <w:rPr>
          <w:rFonts w:ascii="Book Antiqua" w:eastAsia="Book Antiqua" w:hAnsi="Book Antiqua" w:cs="Book Antiqua"/>
          <w:color w:val="000000" w:themeColor="text1"/>
        </w:rPr>
        <w:t xml:space="preserve"> 2019; </w:t>
      </w:r>
      <w:r w:rsidRPr="00B82E38">
        <w:rPr>
          <w:rFonts w:ascii="Book Antiqua" w:eastAsia="Book Antiqua" w:hAnsi="Book Antiqua" w:cs="Book Antiqua"/>
          <w:b/>
          <w:bCs/>
          <w:color w:val="000000" w:themeColor="text1"/>
        </w:rPr>
        <w:t>23</w:t>
      </w:r>
      <w:r w:rsidRPr="00B82E38">
        <w:rPr>
          <w:rFonts w:ascii="Book Antiqua" w:eastAsia="Book Antiqua" w:hAnsi="Book Antiqua" w:cs="Book Antiqua"/>
          <w:color w:val="000000" w:themeColor="text1"/>
        </w:rPr>
        <w:t>: 573-587 [PMID: 31563212 DOI: 10.1016/j.cld.2019.07.007]</w:t>
      </w:r>
    </w:p>
    <w:p w14:paraId="66E351DE" w14:textId="77777777" w:rsidR="00BA37FB" w:rsidRPr="00B82E38" w:rsidRDefault="008F363E" w:rsidP="00372A8C">
      <w:pPr>
        <w:spacing w:line="360" w:lineRule="auto"/>
        <w:jc w:val="both"/>
        <w:rPr>
          <w:rFonts w:ascii="Book Antiqua" w:hAnsi="Book Antiqua"/>
          <w:color w:val="000000" w:themeColor="text1"/>
        </w:rPr>
      </w:pPr>
      <w:r w:rsidRPr="00B82E38">
        <w:rPr>
          <w:rFonts w:ascii="Book Antiqua" w:eastAsia="Book Antiqua" w:hAnsi="Book Antiqua" w:cs="Book Antiqua"/>
          <w:color w:val="000000" w:themeColor="text1"/>
        </w:rPr>
        <w:t xml:space="preserve">15 </w:t>
      </w:r>
      <w:proofErr w:type="spellStart"/>
      <w:r w:rsidRPr="00B82E38">
        <w:rPr>
          <w:rFonts w:ascii="Book Antiqua" w:eastAsia="Book Antiqua" w:hAnsi="Book Antiqua" w:cs="Book Antiqua"/>
          <w:b/>
          <w:bCs/>
          <w:color w:val="000000" w:themeColor="text1"/>
        </w:rPr>
        <w:t>Montagnese</w:t>
      </w:r>
      <w:proofErr w:type="spellEnd"/>
      <w:r w:rsidRPr="00B82E38">
        <w:rPr>
          <w:rFonts w:ascii="Book Antiqua" w:eastAsia="Book Antiqua" w:hAnsi="Book Antiqua" w:cs="Book Antiqua"/>
          <w:b/>
          <w:bCs/>
          <w:color w:val="000000" w:themeColor="text1"/>
        </w:rPr>
        <w:t xml:space="preserve"> S</w:t>
      </w:r>
      <w:r w:rsidRPr="00B82E38">
        <w:rPr>
          <w:rFonts w:ascii="Book Antiqua" w:eastAsia="Book Antiqua" w:hAnsi="Book Antiqua" w:cs="Book Antiqua"/>
          <w:color w:val="000000" w:themeColor="text1"/>
        </w:rPr>
        <w:t xml:space="preserve">, Russo FP, </w:t>
      </w:r>
      <w:proofErr w:type="spellStart"/>
      <w:r w:rsidRPr="00B82E38">
        <w:rPr>
          <w:rFonts w:ascii="Book Antiqua" w:eastAsia="Book Antiqua" w:hAnsi="Book Antiqua" w:cs="Book Antiqua"/>
          <w:color w:val="000000" w:themeColor="text1"/>
        </w:rPr>
        <w:t>Amodio</w:t>
      </w:r>
      <w:proofErr w:type="spellEnd"/>
      <w:r w:rsidRPr="00B82E38">
        <w:rPr>
          <w:rFonts w:ascii="Book Antiqua" w:eastAsia="Book Antiqua" w:hAnsi="Book Antiqua" w:cs="Book Antiqua"/>
          <w:color w:val="000000" w:themeColor="text1"/>
        </w:rPr>
        <w:t xml:space="preserve"> P, Burra P, </w:t>
      </w:r>
      <w:proofErr w:type="spellStart"/>
      <w:r w:rsidRPr="00B82E38">
        <w:rPr>
          <w:rFonts w:ascii="Book Antiqua" w:eastAsia="Book Antiqua" w:hAnsi="Book Antiqua" w:cs="Book Antiqua"/>
          <w:color w:val="000000" w:themeColor="text1"/>
        </w:rPr>
        <w:t>Gasbarrini</w:t>
      </w:r>
      <w:proofErr w:type="spellEnd"/>
      <w:r w:rsidRPr="00B82E38">
        <w:rPr>
          <w:rFonts w:ascii="Book Antiqua" w:eastAsia="Book Antiqua" w:hAnsi="Book Antiqua" w:cs="Book Antiqua"/>
          <w:color w:val="000000" w:themeColor="text1"/>
        </w:rPr>
        <w:t xml:space="preserve"> A, </w:t>
      </w:r>
      <w:proofErr w:type="spellStart"/>
      <w:r w:rsidRPr="00B82E38">
        <w:rPr>
          <w:rFonts w:ascii="Book Antiqua" w:eastAsia="Book Antiqua" w:hAnsi="Book Antiqua" w:cs="Book Antiqua"/>
          <w:color w:val="000000" w:themeColor="text1"/>
        </w:rPr>
        <w:t>Loguercio</w:t>
      </w:r>
      <w:proofErr w:type="spellEnd"/>
      <w:r w:rsidRPr="00B82E38">
        <w:rPr>
          <w:rFonts w:ascii="Book Antiqua" w:eastAsia="Book Antiqua" w:hAnsi="Book Antiqua" w:cs="Book Antiqua"/>
          <w:color w:val="000000" w:themeColor="text1"/>
        </w:rPr>
        <w:t xml:space="preserve"> C, </w:t>
      </w:r>
      <w:proofErr w:type="spellStart"/>
      <w:r w:rsidRPr="00B82E38">
        <w:rPr>
          <w:rFonts w:ascii="Book Antiqua" w:eastAsia="Book Antiqua" w:hAnsi="Book Antiqua" w:cs="Book Antiqua"/>
          <w:color w:val="000000" w:themeColor="text1"/>
        </w:rPr>
        <w:t>Marchesini</w:t>
      </w:r>
      <w:proofErr w:type="spellEnd"/>
      <w:r w:rsidRPr="00B82E38">
        <w:rPr>
          <w:rFonts w:ascii="Book Antiqua" w:eastAsia="Book Antiqua" w:hAnsi="Book Antiqua" w:cs="Book Antiqua"/>
          <w:color w:val="000000" w:themeColor="text1"/>
        </w:rPr>
        <w:t xml:space="preserve"> G, </w:t>
      </w:r>
      <w:proofErr w:type="spellStart"/>
      <w:r w:rsidRPr="00B82E38">
        <w:rPr>
          <w:rFonts w:ascii="Book Antiqua" w:eastAsia="Book Antiqua" w:hAnsi="Book Antiqua" w:cs="Book Antiqua"/>
          <w:color w:val="000000" w:themeColor="text1"/>
        </w:rPr>
        <w:t>Merli</w:t>
      </w:r>
      <w:proofErr w:type="spellEnd"/>
      <w:r w:rsidRPr="00B82E38">
        <w:rPr>
          <w:rFonts w:ascii="Book Antiqua" w:eastAsia="Book Antiqua" w:hAnsi="Book Antiqua" w:cs="Book Antiqua"/>
          <w:color w:val="000000" w:themeColor="text1"/>
        </w:rPr>
        <w:t xml:space="preserve"> M, </w:t>
      </w:r>
      <w:proofErr w:type="spellStart"/>
      <w:r w:rsidRPr="00B82E38">
        <w:rPr>
          <w:rFonts w:ascii="Book Antiqua" w:eastAsia="Book Antiqua" w:hAnsi="Book Antiqua" w:cs="Book Antiqua"/>
          <w:color w:val="000000" w:themeColor="text1"/>
        </w:rPr>
        <w:t>Ponziani</w:t>
      </w:r>
      <w:proofErr w:type="spellEnd"/>
      <w:r w:rsidRPr="00B82E38">
        <w:rPr>
          <w:rFonts w:ascii="Book Antiqua" w:eastAsia="Book Antiqua" w:hAnsi="Book Antiqua" w:cs="Book Antiqua"/>
          <w:color w:val="000000" w:themeColor="text1"/>
        </w:rPr>
        <w:t xml:space="preserve"> FR, </w:t>
      </w:r>
      <w:proofErr w:type="spellStart"/>
      <w:r w:rsidRPr="00B82E38">
        <w:rPr>
          <w:rFonts w:ascii="Book Antiqua" w:eastAsia="Book Antiqua" w:hAnsi="Book Antiqua" w:cs="Book Antiqua"/>
          <w:color w:val="000000" w:themeColor="text1"/>
        </w:rPr>
        <w:t>Riggio</w:t>
      </w:r>
      <w:proofErr w:type="spellEnd"/>
      <w:r w:rsidRPr="00B82E38">
        <w:rPr>
          <w:rFonts w:ascii="Book Antiqua" w:eastAsia="Book Antiqua" w:hAnsi="Book Antiqua" w:cs="Book Antiqua"/>
          <w:color w:val="000000" w:themeColor="text1"/>
        </w:rPr>
        <w:t xml:space="preserve"> O, </w:t>
      </w:r>
      <w:proofErr w:type="spellStart"/>
      <w:r w:rsidRPr="00B82E38">
        <w:rPr>
          <w:rFonts w:ascii="Book Antiqua" w:eastAsia="Book Antiqua" w:hAnsi="Book Antiqua" w:cs="Book Antiqua"/>
          <w:color w:val="000000" w:themeColor="text1"/>
        </w:rPr>
        <w:t>Scarpignato</w:t>
      </w:r>
      <w:proofErr w:type="spellEnd"/>
      <w:r w:rsidRPr="00B82E38">
        <w:rPr>
          <w:rFonts w:ascii="Book Antiqua" w:eastAsia="Book Antiqua" w:hAnsi="Book Antiqua" w:cs="Book Antiqua"/>
          <w:color w:val="000000" w:themeColor="text1"/>
        </w:rPr>
        <w:t xml:space="preserve"> C. Hepatic encephalopathy 2018: A clinical practice guideline by the Italian Association for the Study of the Liver (AISF). </w:t>
      </w:r>
      <w:r w:rsidRPr="00B82E38">
        <w:rPr>
          <w:rFonts w:ascii="Book Antiqua" w:eastAsia="Book Antiqua" w:hAnsi="Book Antiqua" w:cs="Book Antiqua"/>
          <w:i/>
          <w:iCs/>
          <w:color w:val="000000" w:themeColor="text1"/>
        </w:rPr>
        <w:t>Dig Liver Dis</w:t>
      </w:r>
      <w:r w:rsidRPr="00B82E38">
        <w:rPr>
          <w:rFonts w:ascii="Book Antiqua" w:eastAsia="Book Antiqua" w:hAnsi="Book Antiqua" w:cs="Book Antiqua"/>
          <w:color w:val="000000" w:themeColor="text1"/>
        </w:rPr>
        <w:t xml:space="preserve"> 2019; </w:t>
      </w:r>
      <w:r w:rsidRPr="00B82E38">
        <w:rPr>
          <w:rFonts w:ascii="Book Antiqua" w:eastAsia="Book Antiqua" w:hAnsi="Book Antiqua" w:cs="Book Antiqua"/>
          <w:b/>
          <w:bCs/>
          <w:color w:val="000000" w:themeColor="text1"/>
        </w:rPr>
        <w:t>51</w:t>
      </w:r>
      <w:r w:rsidRPr="00B82E38">
        <w:rPr>
          <w:rFonts w:ascii="Book Antiqua" w:eastAsia="Book Antiqua" w:hAnsi="Book Antiqua" w:cs="Book Antiqua"/>
          <w:color w:val="000000" w:themeColor="text1"/>
        </w:rPr>
        <w:t>: 190-205 [PMID: 30606696 DOI: 10.1016/j.dld.2018.11.035]</w:t>
      </w:r>
    </w:p>
    <w:p w14:paraId="39C8A75D" w14:textId="77777777" w:rsidR="00BA37FB" w:rsidRPr="00B82E38" w:rsidRDefault="008F363E" w:rsidP="00372A8C">
      <w:pPr>
        <w:spacing w:line="360" w:lineRule="auto"/>
        <w:jc w:val="both"/>
        <w:rPr>
          <w:rFonts w:ascii="Book Antiqua" w:eastAsia="Book Antiqua" w:hAnsi="Book Antiqua" w:cs="Book Antiqua"/>
          <w:color w:val="000000" w:themeColor="text1"/>
        </w:rPr>
      </w:pPr>
      <w:r w:rsidRPr="00B82E38">
        <w:rPr>
          <w:rFonts w:ascii="Book Antiqua" w:eastAsia="Book Antiqua" w:hAnsi="Book Antiqua" w:cs="Book Antiqua"/>
          <w:color w:val="000000" w:themeColor="text1"/>
        </w:rPr>
        <w:t xml:space="preserve">16 </w:t>
      </w:r>
      <w:r w:rsidRPr="00B82E38">
        <w:rPr>
          <w:rFonts w:ascii="Book Antiqua" w:eastAsia="Book Antiqua" w:hAnsi="Book Antiqua" w:cs="Book Antiqua"/>
          <w:b/>
          <w:bCs/>
          <w:color w:val="000000" w:themeColor="text1"/>
        </w:rPr>
        <w:t>Asrani SK</w:t>
      </w:r>
      <w:r w:rsidRPr="00B82E38">
        <w:rPr>
          <w:rFonts w:ascii="Book Antiqua" w:eastAsia="Book Antiqua" w:hAnsi="Book Antiqua" w:cs="Book Antiqua"/>
          <w:color w:val="000000" w:themeColor="text1"/>
        </w:rPr>
        <w:t xml:space="preserve">, Kamath PS. Model for end-stage liver disease score and MELD exceptions: 15 years later. </w:t>
      </w:r>
      <w:r w:rsidRPr="00B82E38">
        <w:rPr>
          <w:rFonts w:ascii="Book Antiqua" w:eastAsia="Book Antiqua" w:hAnsi="Book Antiqua" w:cs="Book Antiqua"/>
          <w:i/>
          <w:iCs/>
          <w:color w:val="000000" w:themeColor="text1"/>
        </w:rPr>
        <w:t>Hepatol Int</w:t>
      </w:r>
      <w:r w:rsidRPr="00B82E38">
        <w:rPr>
          <w:rFonts w:ascii="Book Antiqua" w:eastAsia="Book Antiqua" w:hAnsi="Book Antiqua" w:cs="Book Antiqua"/>
          <w:color w:val="000000" w:themeColor="text1"/>
        </w:rPr>
        <w:t xml:space="preserve"> 2015; </w:t>
      </w:r>
      <w:r w:rsidRPr="00B82E38">
        <w:rPr>
          <w:rFonts w:ascii="Book Antiqua" w:eastAsia="Book Antiqua" w:hAnsi="Book Antiqua" w:cs="Book Antiqua"/>
          <w:b/>
          <w:bCs/>
          <w:color w:val="000000" w:themeColor="text1"/>
        </w:rPr>
        <w:t>9</w:t>
      </w:r>
      <w:r w:rsidRPr="00B82E38">
        <w:rPr>
          <w:rFonts w:ascii="Book Antiqua" w:eastAsia="Book Antiqua" w:hAnsi="Book Antiqua" w:cs="Book Antiqua"/>
          <w:color w:val="000000" w:themeColor="text1"/>
        </w:rPr>
        <w:t>: 346-354 [PMID: 26016462 DOI: 10.1007/s12072-015-9631-3]</w:t>
      </w:r>
    </w:p>
    <w:p w14:paraId="61C95BF9" w14:textId="0457349C" w:rsidR="00BA37FB" w:rsidRPr="00B82E38" w:rsidRDefault="008F363E" w:rsidP="00372A8C">
      <w:pPr>
        <w:spacing w:line="360" w:lineRule="auto"/>
        <w:jc w:val="both"/>
        <w:rPr>
          <w:rFonts w:ascii="Book Antiqua" w:eastAsia="Book Antiqua" w:hAnsi="Book Antiqua" w:cs="Book Antiqua"/>
          <w:color w:val="000000" w:themeColor="text1"/>
        </w:rPr>
      </w:pPr>
      <w:r w:rsidRPr="00B82E38">
        <w:rPr>
          <w:rFonts w:ascii="Book Antiqua" w:eastAsia="Book Antiqua" w:hAnsi="Book Antiqua" w:cs="Book Antiqua"/>
          <w:color w:val="000000" w:themeColor="text1"/>
          <w:lang w:eastAsia="zh-CN"/>
        </w:rPr>
        <w:t>17</w:t>
      </w:r>
      <w:r w:rsidRPr="00B82E38">
        <w:rPr>
          <w:rFonts w:ascii="Book Antiqua" w:eastAsia="Book Antiqua" w:hAnsi="Book Antiqua" w:cs="Book Antiqua"/>
          <w:color w:val="000000" w:themeColor="text1"/>
        </w:rPr>
        <w:t xml:space="preserve"> </w:t>
      </w:r>
      <w:proofErr w:type="spellStart"/>
      <w:r w:rsidRPr="00B82E38">
        <w:rPr>
          <w:rFonts w:ascii="Book Antiqua" w:eastAsia="Book Antiqua" w:hAnsi="Book Antiqua" w:cs="Book Antiqua"/>
          <w:b/>
          <w:bCs/>
          <w:color w:val="000000" w:themeColor="text1"/>
        </w:rPr>
        <w:t>Molodianovitch</w:t>
      </w:r>
      <w:proofErr w:type="spellEnd"/>
      <w:r w:rsidRPr="00B82E38">
        <w:rPr>
          <w:rFonts w:ascii="Book Antiqua" w:eastAsia="Book Antiqua" w:hAnsi="Book Antiqua" w:cs="Book Antiqua"/>
          <w:b/>
          <w:bCs/>
          <w:color w:val="000000" w:themeColor="text1"/>
        </w:rPr>
        <w:t xml:space="preserve"> K</w:t>
      </w:r>
      <w:r w:rsidRPr="00B82E38">
        <w:rPr>
          <w:rFonts w:ascii="Book Antiqua" w:eastAsia="Book Antiqua" w:hAnsi="Book Antiqua" w:cs="Book Antiqua"/>
          <w:color w:val="000000" w:themeColor="text1"/>
        </w:rPr>
        <w:t xml:space="preserve">, </w:t>
      </w:r>
      <w:proofErr w:type="spellStart"/>
      <w:r w:rsidRPr="00B82E38">
        <w:rPr>
          <w:rFonts w:ascii="Book Antiqua" w:eastAsia="Book Antiqua" w:hAnsi="Book Antiqua" w:cs="Book Antiqua"/>
          <w:color w:val="000000" w:themeColor="text1"/>
        </w:rPr>
        <w:t>Faraggi</w:t>
      </w:r>
      <w:proofErr w:type="spellEnd"/>
      <w:r w:rsidRPr="00B82E38">
        <w:rPr>
          <w:rFonts w:ascii="Book Antiqua" w:eastAsia="Book Antiqua" w:hAnsi="Book Antiqua" w:cs="Book Antiqua"/>
          <w:color w:val="000000" w:themeColor="text1"/>
        </w:rPr>
        <w:t xml:space="preserve"> D, Reiser B. Comparing the areas under two correlated ROC curves: parametric and non-parametric approaches. </w:t>
      </w:r>
      <w:proofErr w:type="spellStart"/>
      <w:r w:rsidRPr="00B82E38">
        <w:rPr>
          <w:rFonts w:ascii="Book Antiqua" w:eastAsia="Book Antiqua" w:hAnsi="Book Antiqua" w:cs="Book Antiqua"/>
          <w:i/>
          <w:iCs/>
          <w:color w:val="000000" w:themeColor="text1"/>
        </w:rPr>
        <w:t>Biom</w:t>
      </w:r>
      <w:proofErr w:type="spellEnd"/>
      <w:r w:rsidRPr="00B82E38">
        <w:rPr>
          <w:rFonts w:ascii="Book Antiqua" w:eastAsia="Book Antiqua" w:hAnsi="Book Antiqua" w:cs="Book Antiqua"/>
          <w:i/>
          <w:iCs/>
          <w:color w:val="000000" w:themeColor="text1"/>
        </w:rPr>
        <w:t xml:space="preserve"> J</w:t>
      </w:r>
      <w:r w:rsidRPr="00B82E38">
        <w:rPr>
          <w:rFonts w:ascii="Book Antiqua" w:eastAsia="Book Antiqua" w:hAnsi="Book Antiqua" w:cs="Book Antiqua"/>
          <w:color w:val="000000" w:themeColor="text1"/>
        </w:rPr>
        <w:t xml:space="preserve"> 2006;</w:t>
      </w:r>
      <w:r w:rsidRPr="00B82E38">
        <w:rPr>
          <w:rFonts w:ascii="Book Antiqua" w:eastAsia="宋体" w:hAnsi="Book Antiqua" w:cs="Book Antiqua"/>
          <w:color w:val="000000" w:themeColor="text1"/>
          <w:lang w:eastAsia="zh-CN"/>
        </w:rPr>
        <w:t xml:space="preserve"> </w:t>
      </w:r>
      <w:r w:rsidRPr="00B82E38">
        <w:rPr>
          <w:rFonts w:ascii="Book Antiqua" w:eastAsia="Book Antiqua" w:hAnsi="Book Antiqua" w:cs="Book Antiqua"/>
          <w:b/>
          <w:bCs/>
          <w:color w:val="000000" w:themeColor="text1"/>
        </w:rPr>
        <w:t>48:</w:t>
      </w:r>
      <w:r w:rsidRPr="00B82E38">
        <w:rPr>
          <w:rFonts w:ascii="Book Antiqua" w:eastAsia="宋体" w:hAnsi="Book Antiqua" w:cs="Book Antiqua"/>
          <w:color w:val="000000" w:themeColor="text1"/>
          <w:lang w:eastAsia="zh-CN"/>
        </w:rPr>
        <w:t xml:space="preserve"> </w:t>
      </w:r>
      <w:r w:rsidRPr="00B82E38">
        <w:rPr>
          <w:rFonts w:ascii="Book Antiqua" w:eastAsia="Book Antiqua" w:hAnsi="Book Antiqua" w:cs="Book Antiqua"/>
          <w:color w:val="000000" w:themeColor="text1"/>
        </w:rPr>
        <w:t>745-</w:t>
      </w:r>
      <w:r w:rsidR="00811925" w:rsidRPr="00B82E38">
        <w:rPr>
          <w:rFonts w:ascii="Book Antiqua" w:eastAsia="Book Antiqua" w:hAnsi="Book Antiqua" w:cs="Book Antiqua"/>
          <w:color w:val="000000" w:themeColor="text1"/>
        </w:rPr>
        <w:t>7</w:t>
      </w:r>
      <w:r w:rsidRPr="00B82E38">
        <w:rPr>
          <w:rFonts w:ascii="Book Antiqua" w:eastAsia="Book Antiqua" w:hAnsi="Book Antiqua" w:cs="Book Antiqua"/>
          <w:color w:val="000000" w:themeColor="text1"/>
        </w:rPr>
        <w:t>57</w:t>
      </w:r>
      <w:r w:rsidR="00811925" w:rsidRPr="00B82E38">
        <w:rPr>
          <w:rFonts w:ascii="Book Antiqua" w:eastAsia="Book Antiqua" w:hAnsi="Book Antiqua" w:cs="Book Antiqua"/>
          <w:color w:val="000000" w:themeColor="text1"/>
        </w:rPr>
        <w:t xml:space="preserve"> </w:t>
      </w:r>
      <w:r w:rsidRPr="00B82E38">
        <w:rPr>
          <w:rFonts w:ascii="Book Antiqua" w:eastAsia="Book Antiqua" w:hAnsi="Book Antiqua" w:cs="Book Antiqua"/>
          <w:color w:val="000000" w:themeColor="text1"/>
        </w:rPr>
        <w:t>[PMID: 17094340 DOI: 10.1002/bimj.200610223]</w:t>
      </w:r>
    </w:p>
    <w:p w14:paraId="04DA3A59" w14:textId="77777777" w:rsidR="00BA37FB" w:rsidRPr="00B82E38" w:rsidRDefault="008F363E" w:rsidP="00372A8C">
      <w:pPr>
        <w:spacing w:line="360" w:lineRule="auto"/>
        <w:jc w:val="both"/>
        <w:rPr>
          <w:rFonts w:ascii="Book Antiqua" w:hAnsi="Book Antiqua"/>
          <w:color w:val="000000" w:themeColor="text1"/>
        </w:rPr>
      </w:pPr>
      <w:r w:rsidRPr="00B82E38">
        <w:rPr>
          <w:rFonts w:ascii="Book Antiqua" w:eastAsia="Book Antiqua" w:hAnsi="Book Antiqua" w:cs="Book Antiqua"/>
          <w:color w:val="000000" w:themeColor="text1"/>
        </w:rPr>
        <w:t>1</w:t>
      </w:r>
      <w:r w:rsidRPr="00B82E38">
        <w:rPr>
          <w:rFonts w:ascii="Book Antiqua" w:eastAsia="宋体" w:hAnsi="Book Antiqua" w:cs="Book Antiqua"/>
          <w:color w:val="000000" w:themeColor="text1"/>
          <w:lang w:eastAsia="zh-CN"/>
        </w:rPr>
        <w:t>8</w:t>
      </w:r>
      <w:r w:rsidRPr="00B82E38">
        <w:rPr>
          <w:rFonts w:ascii="Book Antiqua" w:eastAsia="Book Antiqua" w:hAnsi="Book Antiqua" w:cs="Book Antiqua"/>
          <w:color w:val="000000" w:themeColor="text1"/>
        </w:rPr>
        <w:t xml:space="preserve"> </w:t>
      </w:r>
      <w:proofErr w:type="spellStart"/>
      <w:r w:rsidRPr="00B82E38">
        <w:rPr>
          <w:rFonts w:ascii="Book Antiqua" w:eastAsia="Book Antiqua" w:hAnsi="Book Antiqua" w:cs="Book Antiqua"/>
          <w:b/>
          <w:bCs/>
          <w:color w:val="000000" w:themeColor="text1"/>
        </w:rPr>
        <w:t>Routhu</w:t>
      </w:r>
      <w:proofErr w:type="spellEnd"/>
      <w:r w:rsidRPr="00B82E38">
        <w:rPr>
          <w:rFonts w:ascii="Book Antiqua" w:eastAsia="Book Antiqua" w:hAnsi="Book Antiqua" w:cs="Book Antiqua"/>
          <w:b/>
          <w:bCs/>
          <w:color w:val="000000" w:themeColor="text1"/>
        </w:rPr>
        <w:t xml:space="preserve"> M</w:t>
      </w:r>
      <w:r w:rsidRPr="00B82E38">
        <w:rPr>
          <w:rFonts w:ascii="Book Antiqua" w:eastAsia="Book Antiqua" w:hAnsi="Book Antiqua" w:cs="Book Antiqua"/>
          <w:color w:val="000000" w:themeColor="text1"/>
        </w:rPr>
        <w:t xml:space="preserve">, </w:t>
      </w:r>
      <w:proofErr w:type="spellStart"/>
      <w:r w:rsidRPr="00B82E38">
        <w:rPr>
          <w:rFonts w:ascii="Book Antiqua" w:eastAsia="Book Antiqua" w:hAnsi="Book Antiqua" w:cs="Book Antiqua"/>
          <w:color w:val="000000" w:themeColor="text1"/>
        </w:rPr>
        <w:t>Safka</w:t>
      </w:r>
      <w:proofErr w:type="spellEnd"/>
      <w:r w:rsidRPr="00B82E38">
        <w:rPr>
          <w:rFonts w:ascii="Book Antiqua" w:eastAsia="Book Antiqua" w:hAnsi="Book Antiqua" w:cs="Book Antiqua"/>
          <w:color w:val="000000" w:themeColor="text1"/>
        </w:rPr>
        <w:t xml:space="preserve"> V, </w:t>
      </w:r>
      <w:proofErr w:type="spellStart"/>
      <w:r w:rsidRPr="00B82E38">
        <w:rPr>
          <w:rFonts w:ascii="Book Antiqua" w:eastAsia="Book Antiqua" w:hAnsi="Book Antiqua" w:cs="Book Antiqua"/>
          <w:color w:val="000000" w:themeColor="text1"/>
        </w:rPr>
        <w:t>Routhu</w:t>
      </w:r>
      <w:proofErr w:type="spellEnd"/>
      <w:r w:rsidRPr="00B82E38">
        <w:rPr>
          <w:rFonts w:ascii="Book Antiqua" w:eastAsia="Book Antiqua" w:hAnsi="Book Antiqua" w:cs="Book Antiqua"/>
          <w:color w:val="000000" w:themeColor="text1"/>
        </w:rPr>
        <w:t xml:space="preserve"> SK, </w:t>
      </w:r>
      <w:proofErr w:type="spellStart"/>
      <w:r w:rsidRPr="00B82E38">
        <w:rPr>
          <w:rFonts w:ascii="Book Antiqua" w:eastAsia="Book Antiqua" w:hAnsi="Book Antiqua" w:cs="Book Antiqua"/>
          <w:color w:val="000000" w:themeColor="text1"/>
        </w:rPr>
        <w:t>Fejfar</w:t>
      </w:r>
      <w:proofErr w:type="spellEnd"/>
      <w:r w:rsidRPr="00B82E38">
        <w:rPr>
          <w:rFonts w:ascii="Book Antiqua" w:eastAsia="Book Antiqua" w:hAnsi="Book Antiqua" w:cs="Book Antiqua"/>
          <w:color w:val="000000" w:themeColor="text1"/>
        </w:rPr>
        <w:t xml:space="preserve"> T, </w:t>
      </w:r>
      <w:proofErr w:type="spellStart"/>
      <w:r w:rsidRPr="00B82E38">
        <w:rPr>
          <w:rFonts w:ascii="Book Antiqua" w:eastAsia="Book Antiqua" w:hAnsi="Book Antiqua" w:cs="Book Antiqua"/>
          <w:color w:val="000000" w:themeColor="text1"/>
        </w:rPr>
        <w:t>Jirkovsky</w:t>
      </w:r>
      <w:proofErr w:type="spellEnd"/>
      <w:r w:rsidRPr="00B82E38">
        <w:rPr>
          <w:rFonts w:ascii="Book Antiqua" w:eastAsia="Book Antiqua" w:hAnsi="Book Antiqua" w:cs="Book Antiqua"/>
          <w:color w:val="000000" w:themeColor="text1"/>
        </w:rPr>
        <w:t xml:space="preserve"> V, Krajina A, </w:t>
      </w:r>
      <w:proofErr w:type="spellStart"/>
      <w:r w:rsidRPr="00B82E38">
        <w:rPr>
          <w:rFonts w:ascii="Book Antiqua" w:eastAsia="Book Antiqua" w:hAnsi="Book Antiqua" w:cs="Book Antiqua"/>
          <w:color w:val="000000" w:themeColor="text1"/>
        </w:rPr>
        <w:t>Cermakova</w:t>
      </w:r>
      <w:proofErr w:type="spellEnd"/>
      <w:r w:rsidRPr="00B82E38">
        <w:rPr>
          <w:rFonts w:ascii="Book Antiqua" w:eastAsia="Book Antiqua" w:hAnsi="Book Antiqua" w:cs="Book Antiqua"/>
          <w:color w:val="000000" w:themeColor="text1"/>
        </w:rPr>
        <w:t xml:space="preserve"> E, </w:t>
      </w:r>
      <w:proofErr w:type="spellStart"/>
      <w:r w:rsidRPr="00B82E38">
        <w:rPr>
          <w:rFonts w:ascii="Book Antiqua" w:eastAsia="Book Antiqua" w:hAnsi="Book Antiqua" w:cs="Book Antiqua"/>
          <w:color w:val="000000" w:themeColor="text1"/>
        </w:rPr>
        <w:t>Hosak</w:t>
      </w:r>
      <w:proofErr w:type="spellEnd"/>
      <w:r w:rsidRPr="00B82E38">
        <w:rPr>
          <w:rFonts w:ascii="Book Antiqua" w:eastAsia="Book Antiqua" w:hAnsi="Book Antiqua" w:cs="Book Antiqua"/>
          <w:color w:val="000000" w:themeColor="text1"/>
        </w:rPr>
        <w:t xml:space="preserve"> L, </w:t>
      </w:r>
      <w:proofErr w:type="spellStart"/>
      <w:r w:rsidRPr="00B82E38">
        <w:rPr>
          <w:rFonts w:ascii="Book Antiqua" w:eastAsia="Book Antiqua" w:hAnsi="Book Antiqua" w:cs="Book Antiqua"/>
          <w:color w:val="000000" w:themeColor="text1"/>
        </w:rPr>
        <w:t>Hulek</w:t>
      </w:r>
      <w:proofErr w:type="spellEnd"/>
      <w:r w:rsidRPr="00B82E38">
        <w:rPr>
          <w:rFonts w:ascii="Book Antiqua" w:eastAsia="Book Antiqua" w:hAnsi="Book Antiqua" w:cs="Book Antiqua"/>
          <w:color w:val="000000" w:themeColor="text1"/>
        </w:rPr>
        <w:t xml:space="preserve"> P. Observational cohort study of hepatic encephalopathy after </w:t>
      </w:r>
      <w:proofErr w:type="spellStart"/>
      <w:r w:rsidRPr="00B82E38">
        <w:rPr>
          <w:rFonts w:ascii="Book Antiqua" w:eastAsia="Book Antiqua" w:hAnsi="Book Antiqua" w:cs="Book Antiqua"/>
          <w:color w:val="000000" w:themeColor="text1"/>
        </w:rPr>
        <w:t>transjugular</w:t>
      </w:r>
      <w:proofErr w:type="spellEnd"/>
      <w:r w:rsidRPr="00B82E38">
        <w:rPr>
          <w:rFonts w:ascii="Book Antiqua" w:eastAsia="Book Antiqua" w:hAnsi="Book Antiqua" w:cs="Book Antiqua"/>
          <w:color w:val="000000" w:themeColor="text1"/>
        </w:rPr>
        <w:t xml:space="preserve"> </w:t>
      </w:r>
      <w:r w:rsidRPr="00B82E38">
        <w:rPr>
          <w:rFonts w:ascii="Book Antiqua" w:eastAsia="Book Antiqua" w:hAnsi="Book Antiqua" w:cs="Book Antiqua"/>
          <w:color w:val="000000" w:themeColor="text1"/>
        </w:rPr>
        <w:lastRenderedPageBreak/>
        <w:t xml:space="preserve">intrahepatic portosystemic shunt (TIPS). </w:t>
      </w:r>
      <w:r w:rsidRPr="00B82E38">
        <w:rPr>
          <w:rFonts w:ascii="Book Antiqua" w:eastAsia="Book Antiqua" w:hAnsi="Book Antiqua" w:cs="Book Antiqua"/>
          <w:i/>
          <w:iCs/>
          <w:color w:val="000000" w:themeColor="text1"/>
        </w:rPr>
        <w:t>Ann Hepatol</w:t>
      </w:r>
      <w:r w:rsidRPr="00B82E38">
        <w:rPr>
          <w:rFonts w:ascii="Book Antiqua" w:eastAsia="Book Antiqua" w:hAnsi="Book Antiqua" w:cs="Book Antiqua"/>
          <w:color w:val="000000" w:themeColor="text1"/>
        </w:rPr>
        <w:t xml:space="preserve"> 2017; </w:t>
      </w:r>
      <w:r w:rsidRPr="00B82E38">
        <w:rPr>
          <w:rFonts w:ascii="Book Antiqua" w:eastAsia="Book Antiqua" w:hAnsi="Book Antiqua" w:cs="Book Antiqua"/>
          <w:b/>
          <w:bCs/>
          <w:color w:val="000000" w:themeColor="text1"/>
        </w:rPr>
        <w:t>16</w:t>
      </w:r>
      <w:r w:rsidRPr="00B82E38">
        <w:rPr>
          <w:rFonts w:ascii="Book Antiqua" w:eastAsia="Book Antiqua" w:hAnsi="Book Antiqua" w:cs="Book Antiqua"/>
          <w:color w:val="000000" w:themeColor="text1"/>
        </w:rPr>
        <w:t>: 140-148 [PMID: 28051803 DOI: 10.5604/16652681.1226932]</w:t>
      </w:r>
    </w:p>
    <w:p w14:paraId="42FD2879" w14:textId="77777777" w:rsidR="00BA37FB" w:rsidRPr="00B82E38" w:rsidRDefault="008F363E" w:rsidP="00372A8C">
      <w:pPr>
        <w:spacing w:line="360" w:lineRule="auto"/>
        <w:jc w:val="both"/>
        <w:rPr>
          <w:rFonts w:ascii="Book Antiqua" w:eastAsia="Book Antiqua" w:hAnsi="Book Antiqua" w:cs="Book Antiqua"/>
          <w:color w:val="000000" w:themeColor="text1"/>
        </w:rPr>
      </w:pPr>
      <w:r w:rsidRPr="00B82E38">
        <w:rPr>
          <w:rFonts w:ascii="Book Antiqua" w:eastAsia="Book Antiqua" w:hAnsi="Book Antiqua" w:cs="Book Antiqua"/>
          <w:color w:val="000000" w:themeColor="text1"/>
        </w:rPr>
        <w:t>1</w:t>
      </w:r>
      <w:r w:rsidRPr="00B82E38">
        <w:rPr>
          <w:rFonts w:ascii="Book Antiqua" w:eastAsia="宋体" w:hAnsi="Book Antiqua" w:cs="Book Antiqua"/>
          <w:color w:val="000000" w:themeColor="text1"/>
          <w:lang w:eastAsia="zh-CN"/>
        </w:rPr>
        <w:t>9</w:t>
      </w:r>
      <w:r w:rsidRPr="00B82E38">
        <w:rPr>
          <w:rFonts w:ascii="Book Antiqua" w:eastAsia="Book Antiqua" w:hAnsi="Book Antiqua" w:cs="Book Antiqua"/>
          <w:color w:val="000000" w:themeColor="text1"/>
        </w:rPr>
        <w:t xml:space="preserve"> </w:t>
      </w:r>
      <w:proofErr w:type="spellStart"/>
      <w:r w:rsidRPr="00B82E38">
        <w:rPr>
          <w:rFonts w:ascii="Book Antiqua" w:eastAsia="Book Antiqua" w:hAnsi="Book Antiqua" w:cs="Book Antiqua"/>
          <w:b/>
          <w:bCs/>
          <w:color w:val="000000" w:themeColor="text1"/>
        </w:rPr>
        <w:t>Lisotti</w:t>
      </w:r>
      <w:proofErr w:type="spellEnd"/>
      <w:r w:rsidRPr="00B82E38">
        <w:rPr>
          <w:rFonts w:ascii="Book Antiqua" w:eastAsia="Book Antiqua" w:hAnsi="Book Antiqua" w:cs="Book Antiqua"/>
          <w:b/>
          <w:bCs/>
          <w:color w:val="000000" w:themeColor="text1"/>
        </w:rPr>
        <w:t xml:space="preserve"> A</w:t>
      </w:r>
      <w:r w:rsidRPr="00B82E38">
        <w:rPr>
          <w:rFonts w:ascii="Book Antiqua" w:eastAsia="Book Antiqua" w:hAnsi="Book Antiqua" w:cs="Book Antiqua"/>
          <w:color w:val="000000" w:themeColor="text1"/>
        </w:rPr>
        <w:t xml:space="preserve">, </w:t>
      </w:r>
      <w:proofErr w:type="spellStart"/>
      <w:r w:rsidRPr="00B82E38">
        <w:rPr>
          <w:rFonts w:ascii="Book Antiqua" w:eastAsia="Book Antiqua" w:hAnsi="Book Antiqua" w:cs="Book Antiqua"/>
          <w:color w:val="000000" w:themeColor="text1"/>
        </w:rPr>
        <w:t>Azzaroli</w:t>
      </w:r>
      <w:proofErr w:type="spellEnd"/>
      <w:r w:rsidRPr="00B82E38">
        <w:rPr>
          <w:rFonts w:ascii="Book Antiqua" w:eastAsia="Book Antiqua" w:hAnsi="Book Antiqua" w:cs="Book Antiqua"/>
          <w:color w:val="000000" w:themeColor="text1"/>
        </w:rPr>
        <w:t xml:space="preserve"> F, </w:t>
      </w:r>
      <w:proofErr w:type="spellStart"/>
      <w:r w:rsidRPr="00B82E38">
        <w:rPr>
          <w:rFonts w:ascii="Book Antiqua" w:eastAsia="Book Antiqua" w:hAnsi="Book Antiqua" w:cs="Book Antiqua"/>
          <w:color w:val="000000" w:themeColor="text1"/>
        </w:rPr>
        <w:t>Buonfiglioli</w:t>
      </w:r>
      <w:proofErr w:type="spellEnd"/>
      <w:r w:rsidRPr="00B82E38">
        <w:rPr>
          <w:rFonts w:ascii="Book Antiqua" w:eastAsia="Book Antiqua" w:hAnsi="Book Antiqua" w:cs="Book Antiqua"/>
          <w:color w:val="000000" w:themeColor="text1"/>
        </w:rPr>
        <w:t xml:space="preserve"> F, </w:t>
      </w:r>
      <w:proofErr w:type="spellStart"/>
      <w:r w:rsidRPr="00B82E38">
        <w:rPr>
          <w:rFonts w:ascii="Book Antiqua" w:eastAsia="Book Antiqua" w:hAnsi="Book Antiqua" w:cs="Book Antiqua"/>
          <w:color w:val="000000" w:themeColor="text1"/>
        </w:rPr>
        <w:t>Montagnani</w:t>
      </w:r>
      <w:proofErr w:type="spellEnd"/>
      <w:r w:rsidRPr="00B82E38">
        <w:rPr>
          <w:rFonts w:ascii="Book Antiqua" w:eastAsia="Book Antiqua" w:hAnsi="Book Antiqua" w:cs="Book Antiqua"/>
          <w:color w:val="000000" w:themeColor="text1"/>
        </w:rPr>
        <w:t xml:space="preserve"> M, </w:t>
      </w:r>
      <w:proofErr w:type="spellStart"/>
      <w:r w:rsidRPr="00B82E38">
        <w:rPr>
          <w:rFonts w:ascii="Book Antiqua" w:eastAsia="Book Antiqua" w:hAnsi="Book Antiqua" w:cs="Book Antiqua"/>
          <w:color w:val="000000" w:themeColor="text1"/>
        </w:rPr>
        <w:t>Cecinato</w:t>
      </w:r>
      <w:proofErr w:type="spellEnd"/>
      <w:r w:rsidRPr="00B82E38">
        <w:rPr>
          <w:rFonts w:ascii="Book Antiqua" w:eastAsia="Book Antiqua" w:hAnsi="Book Antiqua" w:cs="Book Antiqua"/>
          <w:color w:val="000000" w:themeColor="text1"/>
        </w:rPr>
        <w:t xml:space="preserve"> P, Turco L, </w:t>
      </w:r>
      <w:proofErr w:type="spellStart"/>
      <w:r w:rsidRPr="00B82E38">
        <w:rPr>
          <w:rFonts w:ascii="Book Antiqua" w:eastAsia="Book Antiqua" w:hAnsi="Book Antiqua" w:cs="Book Antiqua"/>
          <w:color w:val="000000" w:themeColor="text1"/>
        </w:rPr>
        <w:t>Calvanese</w:t>
      </w:r>
      <w:proofErr w:type="spellEnd"/>
      <w:r w:rsidRPr="00B82E38">
        <w:rPr>
          <w:rFonts w:ascii="Book Antiqua" w:eastAsia="Book Antiqua" w:hAnsi="Book Antiqua" w:cs="Book Antiqua"/>
          <w:color w:val="000000" w:themeColor="text1"/>
        </w:rPr>
        <w:t xml:space="preserve"> C, </w:t>
      </w:r>
      <w:proofErr w:type="spellStart"/>
      <w:r w:rsidRPr="00B82E38">
        <w:rPr>
          <w:rFonts w:ascii="Book Antiqua" w:eastAsia="Book Antiqua" w:hAnsi="Book Antiqua" w:cs="Book Antiqua"/>
          <w:color w:val="000000" w:themeColor="text1"/>
        </w:rPr>
        <w:t>Simoni</w:t>
      </w:r>
      <w:proofErr w:type="spellEnd"/>
      <w:r w:rsidRPr="00B82E38">
        <w:rPr>
          <w:rFonts w:ascii="Book Antiqua" w:eastAsia="Book Antiqua" w:hAnsi="Book Antiqua" w:cs="Book Antiqua"/>
          <w:color w:val="000000" w:themeColor="text1"/>
        </w:rPr>
        <w:t xml:space="preserve"> P, </w:t>
      </w:r>
      <w:proofErr w:type="spellStart"/>
      <w:r w:rsidRPr="00B82E38">
        <w:rPr>
          <w:rFonts w:ascii="Book Antiqua" w:eastAsia="Book Antiqua" w:hAnsi="Book Antiqua" w:cs="Book Antiqua"/>
          <w:color w:val="000000" w:themeColor="text1"/>
        </w:rPr>
        <w:t>Guardigli</w:t>
      </w:r>
      <w:proofErr w:type="spellEnd"/>
      <w:r w:rsidRPr="00B82E38">
        <w:rPr>
          <w:rFonts w:ascii="Book Antiqua" w:eastAsia="Book Antiqua" w:hAnsi="Book Antiqua" w:cs="Book Antiqua"/>
          <w:color w:val="000000" w:themeColor="text1"/>
        </w:rPr>
        <w:t xml:space="preserve"> M, Arena R, </w:t>
      </w:r>
      <w:proofErr w:type="spellStart"/>
      <w:r w:rsidRPr="00B82E38">
        <w:rPr>
          <w:rFonts w:ascii="Book Antiqua" w:eastAsia="Book Antiqua" w:hAnsi="Book Antiqua" w:cs="Book Antiqua"/>
          <w:color w:val="000000" w:themeColor="text1"/>
        </w:rPr>
        <w:t>Cucchetti</w:t>
      </w:r>
      <w:proofErr w:type="spellEnd"/>
      <w:r w:rsidRPr="00B82E38">
        <w:rPr>
          <w:rFonts w:ascii="Book Antiqua" w:eastAsia="Book Antiqua" w:hAnsi="Book Antiqua" w:cs="Book Antiqua"/>
          <w:color w:val="000000" w:themeColor="text1"/>
        </w:rPr>
        <w:t xml:space="preserve"> A, </w:t>
      </w:r>
      <w:proofErr w:type="spellStart"/>
      <w:r w:rsidRPr="00B82E38">
        <w:rPr>
          <w:rFonts w:ascii="Book Antiqua" w:eastAsia="Book Antiqua" w:hAnsi="Book Antiqua" w:cs="Book Antiqua"/>
          <w:color w:val="000000" w:themeColor="text1"/>
        </w:rPr>
        <w:t>Colecchia</w:t>
      </w:r>
      <w:proofErr w:type="spellEnd"/>
      <w:r w:rsidRPr="00B82E38">
        <w:rPr>
          <w:rFonts w:ascii="Book Antiqua" w:eastAsia="Book Antiqua" w:hAnsi="Book Antiqua" w:cs="Book Antiqua"/>
          <w:color w:val="000000" w:themeColor="text1"/>
        </w:rPr>
        <w:t xml:space="preserve"> A, </w:t>
      </w:r>
      <w:proofErr w:type="spellStart"/>
      <w:r w:rsidRPr="00B82E38">
        <w:rPr>
          <w:rFonts w:ascii="Book Antiqua" w:eastAsia="Book Antiqua" w:hAnsi="Book Antiqua" w:cs="Book Antiqua"/>
          <w:color w:val="000000" w:themeColor="text1"/>
        </w:rPr>
        <w:t>Festi</w:t>
      </w:r>
      <w:proofErr w:type="spellEnd"/>
      <w:r w:rsidRPr="00B82E38">
        <w:rPr>
          <w:rFonts w:ascii="Book Antiqua" w:eastAsia="Book Antiqua" w:hAnsi="Book Antiqua" w:cs="Book Antiqua"/>
          <w:color w:val="000000" w:themeColor="text1"/>
        </w:rPr>
        <w:t xml:space="preserve"> D, </w:t>
      </w:r>
      <w:proofErr w:type="spellStart"/>
      <w:r w:rsidRPr="00B82E38">
        <w:rPr>
          <w:rFonts w:ascii="Book Antiqua" w:eastAsia="Book Antiqua" w:hAnsi="Book Antiqua" w:cs="Book Antiqua"/>
          <w:color w:val="000000" w:themeColor="text1"/>
        </w:rPr>
        <w:t>Golfieri</w:t>
      </w:r>
      <w:proofErr w:type="spellEnd"/>
      <w:r w:rsidRPr="00B82E38">
        <w:rPr>
          <w:rFonts w:ascii="Book Antiqua" w:eastAsia="Book Antiqua" w:hAnsi="Book Antiqua" w:cs="Book Antiqua"/>
          <w:color w:val="000000" w:themeColor="text1"/>
        </w:rPr>
        <w:t xml:space="preserve"> R, Mazzella G. Indocyanine green retention test as a noninvasive marker of portal hypertension and esophageal varices in compensated liver cirrhosis. </w:t>
      </w:r>
      <w:r w:rsidRPr="00B82E38">
        <w:rPr>
          <w:rFonts w:ascii="Book Antiqua" w:eastAsia="Book Antiqua" w:hAnsi="Book Antiqua" w:cs="Book Antiqua"/>
          <w:i/>
          <w:iCs/>
          <w:color w:val="000000" w:themeColor="text1"/>
        </w:rPr>
        <w:t>Hepatology</w:t>
      </w:r>
      <w:r w:rsidRPr="00B82E38">
        <w:rPr>
          <w:rFonts w:ascii="Book Antiqua" w:eastAsia="Book Antiqua" w:hAnsi="Book Antiqua" w:cs="Book Antiqua"/>
          <w:color w:val="000000" w:themeColor="text1"/>
        </w:rPr>
        <w:t xml:space="preserve"> 2014; </w:t>
      </w:r>
      <w:r w:rsidRPr="00B82E38">
        <w:rPr>
          <w:rFonts w:ascii="Book Antiqua" w:eastAsia="Book Antiqua" w:hAnsi="Book Antiqua" w:cs="Book Antiqua"/>
          <w:b/>
          <w:bCs/>
          <w:color w:val="000000" w:themeColor="text1"/>
        </w:rPr>
        <w:t>59</w:t>
      </w:r>
      <w:r w:rsidRPr="00B82E38">
        <w:rPr>
          <w:rFonts w:ascii="Book Antiqua" w:eastAsia="Book Antiqua" w:hAnsi="Book Antiqua" w:cs="Book Antiqua"/>
          <w:color w:val="000000" w:themeColor="text1"/>
        </w:rPr>
        <w:t>: 643-650 [PMID: 24038116 DOI: 10.1002/hep.26700]</w:t>
      </w:r>
    </w:p>
    <w:p w14:paraId="05067005" w14:textId="77777777" w:rsidR="00BA37FB" w:rsidRPr="00B82E38" w:rsidRDefault="008F363E" w:rsidP="00372A8C">
      <w:pPr>
        <w:spacing w:line="360" w:lineRule="auto"/>
        <w:jc w:val="both"/>
        <w:rPr>
          <w:rFonts w:ascii="Book Antiqua" w:hAnsi="Book Antiqua"/>
          <w:color w:val="000000" w:themeColor="text1"/>
        </w:rPr>
      </w:pPr>
      <w:r w:rsidRPr="00B82E38">
        <w:rPr>
          <w:rFonts w:ascii="Book Antiqua" w:eastAsia="宋体" w:hAnsi="Book Antiqua" w:cs="Book Antiqua"/>
          <w:color w:val="000000" w:themeColor="text1"/>
          <w:lang w:eastAsia="zh-CN"/>
        </w:rPr>
        <w:t>20</w:t>
      </w:r>
      <w:r w:rsidRPr="00B82E38">
        <w:rPr>
          <w:rFonts w:ascii="Book Antiqua" w:eastAsia="Book Antiqua" w:hAnsi="Book Antiqua" w:cs="Book Antiqua"/>
          <w:color w:val="000000" w:themeColor="text1"/>
        </w:rPr>
        <w:t xml:space="preserve"> </w:t>
      </w:r>
      <w:proofErr w:type="spellStart"/>
      <w:r w:rsidRPr="00B82E38">
        <w:rPr>
          <w:rFonts w:ascii="Book Antiqua" w:eastAsia="Book Antiqua" w:hAnsi="Book Antiqua" w:cs="Book Antiqua"/>
          <w:b/>
          <w:bCs/>
          <w:color w:val="000000" w:themeColor="text1"/>
        </w:rPr>
        <w:t>Stauber</w:t>
      </w:r>
      <w:proofErr w:type="spellEnd"/>
      <w:r w:rsidRPr="00B82E38">
        <w:rPr>
          <w:rFonts w:ascii="Book Antiqua" w:eastAsia="Book Antiqua" w:hAnsi="Book Antiqua" w:cs="Book Antiqua"/>
          <w:b/>
          <w:bCs/>
          <w:color w:val="000000" w:themeColor="text1"/>
        </w:rPr>
        <w:t xml:space="preserve"> RE</w:t>
      </w:r>
      <w:r w:rsidRPr="00B82E38">
        <w:rPr>
          <w:rFonts w:ascii="Book Antiqua" w:eastAsia="Book Antiqua" w:hAnsi="Book Antiqua" w:cs="Book Antiqua"/>
          <w:color w:val="000000" w:themeColor="text1"/>
        </w:rPr>
        <w:t xml:space="preserve">, Wagner D, Stadlbauer V, Palma S, </w:t>
      </w:r>
      <w:proofErr w:type="spellStart"/>
      <w:r w:rsidRPr="00B82E38">
        <w:rPr>
          <w:rFonts w:ascii="Book Antiqua" w:eastAsia="Book Antiqua" w:hAnsi="Book Antiqua" w:cs="Book Antiqua"/>
          <w:color w:val="000000" w:themeColor="text1"/>
        </w:rPr>
        <w:t>Gurakuqi</w:t>
      </w:r>
      <w:proofErr w:type="spellEnd"/>
      <w:r w:rsidRPr="00B82E38">
        <w:rPr>
          <w:rFonts w:ascii="Book Antiqua" w:eastAsia="Book Antiqua" w:hAnsi="Book Antiqua" w:cs="Book Antiqua"/>
          <w:color w:val="000000" w:themeColor="text1"/>
        </w:rPr>
        <w:t xml:space="preserve"> G, </w:t>
      </w:r>
      <w:proofErr w:type="spellStart"/>
      <w:r w:rsidRPr="00B82E38">
        <w:rPr>
          <w:rFonts w:ascii="Book Antiqua" w:eastAsia="Book Antiqua" w:hAnsi="Book Antiqua" w:cs="Book Antiqua"/>
          <w:color w:val="000000" w:themeColor="text1"/>
        </w:rPr>
        <w:t>Kniepeiss</w:t>
      </w:r>
      <w:proofErr w:type="spellEnd"/>
      <w:r w:rsidRPr="00B82E38">
        <w:rPr>
          <w:rFonts w:ascii="Book Antiqua" w:eastAsia="Book Antiqua" w:hAnsi="Book Antiqua" w:cs="Book Antiqua"/>
          <w:color w:val="000000" w:themeColor="text1"/>
        </w:rPr>
        <w:t xml:space="preserve"> D, </w:t>
      </w:r>
      <w:proofErr w:type="spellStart"/>
      <w:r w:rsidRPr="00B82E38">
        <w:rPr>
          <w:rFonts w:ascii="Book Antiqua" w:eastAsia="Book Antiqua" w:hAnsi="Book Antiqua" w:cs="Book Antiqua"/>
          <w:color w:val="000000" w:themeColor="text1"/>
        </w:rPr>
        <w:t>Iberer</w:t>
      </w:r>
      <w:proofErr w:type="spellEnd"/>
      <w:r w:rsidRPr="00B82E38">
        <w:rPr>
          <w:rFonts w:ascii="Book Antiqua" w:eastAsia="Book Antiqua" w:hAnsi="Book Antiqua" w:cs="Book Antiqua"/>
          <w:color w:val="000000" w:themeColor="text1"/>
        </w:rPr>
        <w:t xml:space="preserve"> F, </w:t>
      </w:r>
      <w:proofErr w:type="spellStart"/>
      <w:r w:rsidRPr="00B82E38">
        <w:rPr>
          <w:rFonts w:ascii="Book Antiqua" w:eastAsia="Book Antiqua" w:hAnsi="Book Antiqua" w:cs="Book Antiqua"/>
          <w:color w:val="000000" w:themeColor="text1"/>
        </w:rPr>
        <w:t>Smolle</w:t>
      </w:r>
      <w:proofErr w:type="spellEnd"/>
      <w:r w:rsidRPr="00B82E38">
        <w:rPr>
          <w:rFonts w:ascii="Book Antiqua" w:eastAsia="Book Antiqua" w:hAnsi="Book Antiqua" w:cs="Book Antiqua"/>
          <w:color w:val="000000" w:themeColor="text1"/>
        </w:rPr>
        <w:t xml:space="preserve"> KH, Haas J, </w:t>
      </w:r>
      <w:proofErr w:type="spellStart"/>
      <w:r w:rsidRPr="00B82E38">
        <w:rPr>
          <w:rFonts w:ascii="Book Antiqua" w:eastAsia="Book Antiqua" w:hAnsi="Book Antiqua" w:cs="Book Antiqua"/>
          <w:color w:val="000000" w:themeColor="text1"/>
        </w:rPr>
        <w:t>Trauner</w:t>
      </w:r>
      <w:proofErr w:type="spellEnd"/>
      <w:r w:rsidRPr="00B82E38">
        <w:rPr>
          <w:rFonts w:ascii="Book Antiqua" w:eastAsia="Book Antiqua" w:hAnsi="Book Antiqua" w:cs="Book Antiqua"/>
          <w:color w:val="000000" w:themeColor="text1"/>
        </w:rPr>
        <w:t xml:space="preserve"> M. Evaluation of indocyanine green clearance and model for end-stage liver disease for estimation of short-term prognosis in decompensated cirrhosis. </w:t>
      </w:r>
      <w:r w:rsidRPr="00B82E38">
        <w:rPr>
          <w:rFonts w:ascii="Book Antiqua" w:eastAsia="Book Antiqua" w:hAnsi="Book Antiqua" w:cs="Book Antiqua"/>
          <w:i/>
          <w:iCs/>
          <w:color w:val="000000" w:themeColor="text1"/>
        </w:rPr>
        <w:t>Liver Int</w:t>
      </w:r>
      <w:r w:rsidRPr="00B82E38">
        <w:rPr>
          <w:rFonts w:ascii="Book Antiqua" w:eastAsia="Book Antiqua" w:hAnsi="Book Antiqua" w:cs="Book Antiqua"/>
          <w:color w:val="000000" w:themeColor="text1"/>
        </w:rPr>
        <w:t xml:space="preserve"> 2009; </w:t>
      </w:r>
      <w:r w:rsidRPr="00B82E38">
        <w:rPr>
          <w:rFonts w:ascii="Book Antiqua" w:eastAsia="Book Antiqua" w:hAnsi="Book Antiqua" w:cs="Book Antiqua"/>
          <w:b/>
          <w:bCs/>
          <w:color w:val="000000" w:themeColor="text1"/>
        </w:rPr>
        <w:t>29</w:t>
      </w:r>
      <w:r w:rsidRPr="00B82E38">
        <w:rPr>
          <w:rFonts w:ascii="Book Antiqua" w:eastAsia="Book Antiqua" w:hAnsi="Book Antiqua" w:cs="Book Antiqua"/>
          <w:color w:val="000000" w:themeColor="text1"/>
        </w:rPr>
        <w:t>: 1516-1520 [PMID: 19732329 DOI: 10.1111/j.1478-3231.2009.02104.x]</w:t>
      </w:r>
    </w:p>
    <w:p w14:paraId="63041CEC" w14:textId="77777777" w:rsidR="00BA37FB" w:rsidRPr="00B82E38" w:rsidRDefault="008F363E" w:rsidP="00372A8C">
      <w:pPr>
        <w:spacing w:line="360" w:lineRule="auto"/>
        <w:jc w:val="both"/>
        <w:rPr>
          <w:rFonts w:ascii="Book Antiqua" w:hAnsi="Book Antiqua"/>
          <w:color w:val="000000" w:themeColor="text1"/>
        </w:rPr>
      </w:pPr>
      <w:r w:rsidRPr="00B82E38">
        <w:rPr>
          <w:rFonts w:ascii="Book Antiqua" w:eastAsia="Book Antiqua" w:hAnsi="Book Antiqua" w:cs="Book Antiqua"/>
          <w:color w:val="000000" w:themeColor="text1"/>
        </w:rPr>
        <w:t>2</w:t>
      </w:r>
      <w:r w:rsidRPr="00B82E38">
        <w:rPr>
          <w:rFonts w:ascii="Book Antiqua" w:eastAsia="宋体" w:hAnsi="Book Antiqua" w:cs="Book Antiqua"/>
          <w:color w:val="000000" w:themeColor="text1"/>
          <w:lang w:eastAsia="zh-CN"/>
        </w:rPr>
        <w:t>1</w:t>
      </w:r>
      <w:r w:rsidRPr="00B82E38">
        <w:rPr>
          <w:rFonts w:ascii="Book Antiqua" w:eastAsia="Book Antiqua" w:hAnsi="Book Antiqua" w:cs="Book Antiqua"/>
          <w:color w:val="000000" w:themeColor="text1"/>
        </w:rPr>
        <w:t xml:space="preserve"> </w:t>
      </w:r>
      <w:proofErr w:type="spellStart"/>
      <w:r w:rsidRPr="00B82E38">
        <w:rPr>
          <w:rFonts w:ascii="Book Antiqua" w:eastAsia="Book Antiqua" w:hAnsi="Book Antiqua" w:cs="Book Antiqua"/>
          <w:b/>
          <w:bCs/>
          <w:color w:val="000000" w:themeColor="text1"/>
        </w:rPr>
        <w:t>Mogicato</w:t>
      </w:r>
      <w:proofErr w:type="spellEnd"/>
      <w:r w:rsidRPr="00B82E38">
        <w:rPr>
          <w:rFonts w:ascii="Book Antiqua" w:eastAsia="Book Antiqua" w:hAnsi="Book Antiqua" w:cs="Book Antiqua"/>
          <w:b/>
          <w:bCs/>
          <w:color w:val="000000" w:themeColor="text1"/>
        </w:rPr>
        <w:t xml:space="preserve"> G</w:t>
      </w:r>
      <w:r w:rsidRPr="00B82E38">
        <w:rPr>
          <w:rFonts w:ascii="Book Antiqua" w:eastAsia="Book Antiqua" w:hAnsi="Book Antiqua" w:cs="Book Antiqua"/>
          <w:color w:val="000000" w:themeColor="text1"/>
        </w:rPr>
        <w:t xml:space="preserve">, </w:t>
      </w:r>
      <w:proofErr w:type="spellStart"/>
      <w:r w:rsidRPr="00B82E38">
        <w:rPr>
          <w:rFonts w:ascii="Book Antiqua" w:eastAsia="Book Antiqua" w:hAnsi="Book Antiqua" w:cs="Book Antiqua"/>
          <w:color w:val="000000" w:themeColor="text1"/>
        </w:rPr>
        <w:t>Vautravers</w:t>
      </w:r>
      <w:proofErr w:type="spellEnd"/>
      <w:r w:rsidRPr="00B82E38">
        <w:rPr>
          <w:rFonts w:ascii="Book Antiqua" w:eastAsia="Book Antiqua" w:hAnsi="Book Antiqua" w:cs="Book Antiqua"/>
          <w:color w:val="000000" w:themeColor="text1"/>
        </w:rPr>
        <w:t xml:space="preserve"> G, </w:t>
      </w:r>
      <w:proofErr w:type="spellStart"/>
      <w:r w:rsidRPr="00B82E38">
        <w:rPr>
          <w:rFonts w:ascii="Book Antiqua" w:eastAsia="Book Antiqua" w:hAnsi="Book Antiqua" w:cs="Book Antiqua"/>
          <w:color w:val="000000" w:themeColor="text1"/>
        </w:rPr>
        <w:t>Meynaud</w:t>
      </w:r>
      <w:proofErr w:type="spellEnd"/>
      <w:r w:rsidRPr="00B82E38">
        <w:rPr>
          <w:rFonts w:ascii="Book Antiqua" w:eastAsia="Book Antiqua" w:hAnsi="Book Antiqua" w:cs="Book Antiqua"/>
          <w:color w:val="000000" w:themeColor="text1"/>
        </w:rPr>
        <w:t xml:space="preserve">-Collard P, </w:t>
      </w:r>
      <w:proofErr w:type="spellStart"/>
      <w:r w:rsidRPr="00B82E38">
        <w:rPr>
          <w:rFonts w:ascii="Book Antiqua" w:eastAsia="Book Antiqua" w:hAnsi="Book Antiqua" w:cs="Book Antiqua"/>
          <w:color w:val="000000" w:themeColor="text1"/>
        </w:rPr>
        <w:t>Deviers</w:t>
      </w:r>
      <w:proofErr w:type="spellEnd"/>
      <w:r w:rsidRPr="00B82E38">
        <w:rPr>
          <w:rFonts w:ascii="Book Antiqua" w:eastAsia="Book Antiqua" w:hAnsi="Book Antiqua" w:cs="Book Antiqua"/>
          <w:color w:val="000000" w:themeColor="text1"/>
        </w:rPr>
        <w:t xml:space="preserve"> A, </w:t>
      </w:r>
      <w:proofErr w:type="spellStart"/>
      <w:r w:rsidRPr="00B82E38">
        <w:rPr>
          <w:rFonts w:ascii="Book Antiqua" w:eastAsia="Book Antiqua" w:hAnsi="Book Antiqua" w:cs="Book Antiqua"/>
          <w:color w:val="000000" w:themeColor="text1"/>
        </w:rPr>
        <w:t>Sautet</w:t>
      </w:r>
      <w:proofErr w:type="spellEnd"/>
      <w:r w:rsidRPr="00B82E38">
        <w:rPr>
          <w:rFonts w:ascii="Book Antiqua" w:eastAsia="Book Antiqua" w:hAnsi="Book Antiqua" w:cs="Book Antiqua"/>
          <w:color w:val="000000" w:themeColor="text1"/>
        </w:rPr>
        <w:t xml:space="preserve"> J. Blood flows in tributaries of the portal vein: anatomical and angiographic studies in normal beagle dogs. </w:t>
      </w:r>
      <w:proofErr w:type="spellStart"/>
      <w:r w:rsidRPr="00B82E38">
        <w:rPr>
          <w:rFonts w:ascii="Book Antiqua" w:eastAsia="Book Antiqua" w:hAnsi="Book Antiqua" w:cs="Book Antiqua"/>
          <w:i/>
          <w:iCs/>
          <w:color w:val="000000" w:themeColor="text1"/>
        </w:rPr>
        <w:t>Anat</w:t>
      </w:r>
      <w:proofErr w:type="spellEnd"/>
      <w:r w:rsidRPr="00B82E38">
        <w:rPr>
          <w:rFonts w:ascii="Book Antiqua" w:eastAsia="Book Antiqua" w:hAnsi="Book Antiqua" w:cs="Book Antiqua"/>
          <w:i/>
          <w:iCs/>
          <w:color w:val="000000" w:themeColor="text1"/>
        </w:rPr>
        <w:t xml:space="preserve"> </w:t>
      </w:r>
      <w:proofErr w:type="spellStart"/>
      <w:r w:rsidRPr="00B82E38">
        <w:rPr>
          <w:rFonts w:ascii="Book Antiqua" w:eastAsia="Book Antiqua" w:hAnsi="Book Antiqua" w:cs="Book Antiqua"/>
          <w:i/>
          <w:iCs/>
          <w:color w:val="000000" w:themeColor="text1"/>
        </w:rPr>
        <w:t>Histol</w:t>
      </w:r>
      <w:proofErr w:type="spellEnd"/>
      <w:r w:rsidRPr="00B82E38">
        <w:rPr>
          <w:rFonts w:ascii="Book Antiqua" w:eastAsia="Book Antiqua" w:hAnsi="Book Antiqua" w:cs="Book Antiqua"/>
          <w:i/>
          <w:iCs/>
          <w:color w:val="000000" w:themeColor="text1"/>
        </w:rPr>
        <w:t xml:space="preserve"> </w:t>
      </w:r>
      <w:proofErr w:type="spellStart"/>
      <w:r w:rsidRPr="00B82E38">
        <w:rPr>
          <w:rFonts w:ascii="Book Antiqua" w:eastAsia="Book Antiqua" w:hAnsi="Book Antiqua" w:cs="Book Antiqua"/>
          <w:i/>
          <w:iCs/>
          <w:color w:val="000000" w:themeColor="text1"/>
        </w:rPr>
        <w:t>Embryol</w:t>
      </w:r>
      <w:proofErr w:type="spellEnd"/>
      <w:r w:rsidRPr="00B82E38">
        <w:rPr>
          <w:rFonts w:ascii="Book Antiqua" w:eastAsia="Book Antiqua" w:hAnsi="Book Antiqua" w:cs="Book Antiqua"/>
          <w:color w:val="000000" w:themeColor="text1"/>
        </w:rPr>
        <w:t xml:space="preserve"> 2015; </w:t>
      </w:r>
      <w:r w:rsidRPr="00B82E38">
        <w:rPr>
          <w:rFonts w:ascii="Book Antiqua" w:eastAsia="Book Antiqua" w:hAnsi="Book Antiqua" w:cs="Book Antiqua"/>
          <w:b/>
          <w:bCs/>
          <w:color w:val="000000" w:themeColor="text1"/>
        </w:rPr>
        <w:t>44</w:t>
      </w:r>
      <w:r w:rsidRPr="00B82E38">
        <w:rPr>
          <w:rFonts w:ascii="Book Antiqua" w:eastAsia="Book Antiqua" w:hAnsi="Book Antiqua" w:cs="Book Antiqua"/>
          <w:color w:val="000000" w:themeColor="text1"/>
        </w:rPr>
        <w:t>: 460-467 [PMID: 25376527 DOI: 10.1111/ahe.12161]</w:t>
      </w:r>
    </w:p>
    <w:p w14:paraId="2FD670E9" w14:textId="77777777" w:rsidR="00BA37FB" w:rsidRPr="00B82E38" w:rsidRDefault="008F363E" w:rsidP="00372A8C">
      <w:pPr>
        <w:spacing w:line="360" w:lineRule="auto"/>
        <w:jc w:val="both"/>
        <w:rPr>
          <w:rFonts w:ascii="Book Antiqua" w:hAnsi="Book Antiqua"/>
          <w:color w:val="000000" w:themeColor="text1"/>
        </w:rPr>
      </w:pPr>
      <w:r w:rsidRPr="00B82E38">
        <w:rPr>
          <w:rFonts w:ascii="Book Antiqua" w:eastAsia="Book Antiqua" w:hAnsi="Book Antiqua" w:cs="Book Antiqua"/>
          <w:color w:val="000000" w:themeColor="text1"/>
        </w:rPr>
        <w:t>2</w:t>
      </w:r>
      <w:r w:rsidRPr="00B82E38">
        <w:rPr>
          <w:rFonts w:ascii="Book Antiqua" w:eastAsia="宋体" w:hAnsi="Book Antiqua" w:cs="Book Antiqua"/>
          <w:color w:val="000000" w:themeColor="text1"/>
          <w:lang w:eastAsia="zh-CN"/>
        </w:rPr>
        <w:t>2</w:t>
      </w:r>
      <w:r w:rsidRPr="00B82E38">
        <w:rPr>
          <w:rFonts w:ascii="Book Antiqua" w:eastAsia="Book Antiqua" w:hAnsi="Book Antiqua" w:cs="Book Antiqua"/>
          <w:color w:val="000000" w:themeColor="text1"/>
        </w:rPr>
        <w:t xml:space="preserve"> </w:t>
      </w:r>
      <w:proofErr w:type="spellStart"/>
      <w:r w:rsidRPr="00B82E38">
        <w:rPr>
          <w:rFonts w:ascii="Book Antiqua" w:eastAsia="Book Antiqua" w:hAnsi="Book Antiqua" w:cs="Book Antiqua"/>
          <w:b/>
          <w:bCs/>
          <w:color w:val="000000" w:themeColor="text1"/>
        </w:rPr>
        <w:t>Ursic</w:t>
      </w:r>
      <w:proofErr w:type="spellEnd"/>
      <w:r w:rsidRPr="00B82E38">
        <w:rPr>
          <w:rFonts w:ascii="Book Antiqua" w:eastAsia="Book Antiqua" w:hAnsi="Book Antiqua" w:cs="Book Antiqua"/>
          <w:b/>
          <w:bCs/>
          <w:color w:val="000000" w:themeColor="text1"/>
        </w:rPr>
        <w:t xml:space="preserve"> M</w:t>
      </w:r>
      <w:r w:rsidRPr="00B82E38">
        <w:rPr>
          <w:rFonts w:ascii="Book Antiqua" w:eastAsia="Book Antiqua" w:hAnsi="Book Antiqua" w:cs="Book Antiqua"/>
          <w:color w:val="000000" w:themeColor="text1"/>
        </w:rPr>
        <w:t xml:space="preserve">, </w:t>
      </w:r>
      <w:proofErr w:type="spellStart"/>
      <w:r w:rsidRPr="00B82E38">
        <w:rPr>
          <w:rFonts w:ascii="Book Antiqua" w:eastAsia="Book Antiqua" w:hAnsi="Book Antiqua" w:cs="Book Antiqua"/>
          <w:color w:val="000000" w:themeColor="text1"/>
        </w:rPr>
        <w:t>Ravnik</w:t>
      </w:r>
      <w:proofErr w:type="spellEnd"/>
      <w:r w:rsidRPr="00B82E38">
        <w:rPr>
          <w:rFonts w:ascii="Book Antiqua" w:eastAsia="Book Antiqua" w:hAnsi="Book Antiqua" w:cs="Book Antiqua"/>
          <w:color w:val="000000" w:themeColor="text1"/>
        </w:rPr>
        <w:t xml:space="preserve"> D, </w:t>
      </w:r>
      <w:proofErr w:type="spellStart"/>
      <w:r w:rsidRPr="00B82E38">
        <w:rPr>
          <w:rFonts w:ascii="Book Antiqua" w:eastAsia="Book Antiqua" w:hAnsi="Book Antiqua" w:cs="Book Antiqua"/>
          <w:color w:val="000000" w:themeColor="text1"/>
        </w:rPr>
        <w:t>Hribernik</w:t>
      </w:r>
      <w:proofErr w:type="spellEnd"/>
      <w:r w:rsidRPr="00B82E38">
        <w:rPr>
          <w:rFonts w:ascii="Book Antiqua" w:eastAsia="Book Antiqua" w:hAnsi="Book Antiqua" w:cs="Book Antiqua"/>
          <w:color w:val="000000" w:themeColor="text1"/>
        </w:rPr>
        <w:t xml:space="preserve"> M, </w:t>
      </w:r>
      <w:proofErr w:type="spellStart"/>
      <w:r w:rsidRPr="00B82E38">
        <w:rPr>
          <w:rFonts w:ascii="Book Antiqua" w:eastAsia="Book Antiqua" w:hAnsi="Book Antiqua" w:cs="Book Antiqua"/>
          <w:color w:val="000000" w:themeColor="text1"/>
        </w:rPr>
        <w:t>Pecar</w:t>
      </w:r>
      <w:proofErr w:type="spellEnd"/>
      <w:r w:rsidRPr="00B82E38">
        <w:rPr>
          <w:rFonts w:ascii="Book Antiqua" w:eastAsia="Book Antiqua" w:hAnsi="Book Antiqua" w:cs="Book Antiqua"/>
          <w:color w:val="000000" w:themeColor="text1"/>
        </w:rPr>
        <w:t xml:space="preserve"> J, </w:t>
      </w:r>
      <w:proofErr w:type="spellStart"/>
      <w:r w:rsidRPr="00B82E38">
        <w:rPr>
          <w:rFonts w:ascii="Book Antiqua" w:eastAsia="Book Antiqua" w:hAnsi="Book Antiqua" w:cs="Book Antiqua"/>
          <w:color w:val="000000" w:themeColor="text1"/>
        </w:rPr>
        <w:t>Butinar</w:t>
      </w:r>
      <w:proofErr w:type="spellEnd"/>
      <w:r w:rsidRPr="00B82E38">
        <w:rPr>
          <w:rFonts w:ascii="Book Antiqua" w:eastAsia="Book Antiqua" w:hAnsi="Book Antiqua" w:cs="Book Antiqua"/>
          <w:color w:val="000000" w:themeColor="text1"/>
        </w:rPr>
        <w:t xml:space="preserve"> J, </w:t>
      </w:r>
      <w:proofErr w:type="spellStart"/>
      <w:r w:rsidRPr="00B82E38">
        <w:rPr>
          <w:rFonts w:ascii="Book Antiqua" w:eastAsia="Book Antiqua" w:hAnsi="Book Antiqua" w:cs="Book Antiqua"/>
          <w:color w:val="000000" w:themeColor="text1"/>
        </w:rPr>
        <w:t>Fazarinc</w:t>
      </w:r>
      <w:proofErr w:type="spellEnd"/>
      <w:r w:rsidRPr="00B82E38">
        <w:rPr>
          <w:rFonts w:ascii="Book Antiqua" w:eastAsia="Book Antiqua" w:hAnsi="Book Antiqua" w:cs="Book Antiqua"/>
          <w:color w:val="000000" w:themeColor="text1"/>
        </w:rPr>
        <w:t xml:space="preserve"> G. Gross anatomy of the portal vein and hepatic artery ramifications in dogs: corrosion cast study. </w:t>
      </w:r>
      <w:proofErr w:type="spellStart"/>
      <w:r w:rsidRPr="00B82E38">
        <w:rPr>
          <w:rFonts w:ascii="Book Antiqua" w:eastAsia="Book Antiqua" w:hAnsi="Book Antiqua" w:cs="Book Antiqua"/>
          <w:i/>
          <w:iCs/>
          <w:color w:val="000000" w:themeColor="text1"/>
        </w:rPr>
        <w:t>Anat</w:t>
      </w:r>
      <w:proofErr w:type="spellEnd"/>
      <w:r w:rsidRPr="00B82E38">
        <w:rPr>
          <w:rFonts w:ascii="Book Antiqua" w:eastAsia="Book Antiqua" w:hAnsi="Book Antiqua" w:cs="Book Antiqua"/>
          <w:i/>
          <w:iCs/>
          <w:color w:val="000000" w:themeColor="text1"/>
        </w:rPr>
        <w:t xml:space="preserve"> </w:t>
      </w:r>
      <w:proofErr w:type="spellStart"/>
      <w:r w:rsidRPr="00B82E38">
        <w:rPr>
          <w:rFonts w:ascii="Book Antiqua" w:eastAsia="Book Antiqua" w:hAnsi="Book Antiqua" w:cs="Book Antiqua"/>
          <w:i/>
          <w:iCs/>
          <w:color w:val="000000" w:themeColor="text1"/>
        </w:rPr>
        <w:t>Histol</w:t>
      </w:r>
      <w:proofErr w:type="spellEnd"/>
      <w:r w:rsidRPr="00B82E38">
        <w:rPr>
          <w:rFonts w:ascii="Book Antiqua" w:eastAsia="Book Antiqua" w:hAnsi="Book Antiqua" w:cs="Book Antiqua"/>
          <w:i/>
          <w:iCs/>
          <w:color w:val="000000" w:themeColor="text1"/>
        </w:rPr>
        <w:t xml:space="preserve"> </w:t>
      </w:r>
      <w:proofErr w:type="spellStart"/>
      <w:r w:rsidRPr="00B82E38">
        <w:rPr>
          <w:rFonts w:ascii="Book Antiqua" w:eastAsia="Book Antiqua" w:hAnsi="Book Antiqua" w:cs="Book Antiqua"/>
          <w:i/>
          <w:iCs/>
          <w:color w:val="000000" w:themeColor="text1"/>
        </w:rPr>
        <w:t>Embryol</w:t>
      </w:r>
      <w:proofErr w:type="spellEnd"/>
      <w:r w:rsidRPr="00B82E38">
        <w:rPr>
          <w:rFonts w:ascii="Book Antiqua" w:eastAsia="Book Antiqua" w:hAnsi="Book Antiqua" w:cs="Book Antiqua"/>
          <w:color w:val="000000" w:themeColor="text1"/>
        </w:rPr>
        <w:t xml:space="preserve"> 2007; </w:t>
      </w:r>
      <w:r w:rsidRPr="00B82E38">
        <w:rPr>
          <w:rFonts w:ascii="Book Antiqua" w:eastAsia="Book Antiqua" w:hAnsi="Book Antiqua" w:cs="Book Antiqua"/>
          <w:b/>
          <w:bCs/>
          <w:color w:val="000000" w:themeColor="text1"/>
        </w:rPr>
        <w:t>36</w:t>
      </w:r>
      <w:r w:rsidRPr="00B82E38">
        <w:rPr>
          <w:rFonts w:ascii="Book Antiqua" w:eastAsia="Book Antiqua" w:hAnsi="Book Antiqua" w:cs="Book Antiqua"/>
          <w:color w:val="000000" w:themeColor="text1"/>
        </w:rPr>
        <w:t>: 83-87 [PMID: 17371378 DOI: 10.1111/j.1439-0264.2006.00719.x]</w:t>
      </w:r>
    </w:p>
    <w:p w14:paraId="50B6790E" w14:textId="77777777" w:rsidR="00BA37FB" w:rsidRPr="00B82E38" w:rsidRDefault="008F363E" w:rsidP="00372A8C">
      <w:pPr>
        <w:spacing w:line="360" w:lineRule="auto"/>
        <w:jc w:val="both"/>
        <w:rPr>
          <w:rFonts w:ascii="Book Antiqua" w:hAnsi="Book Antiqua"/>
          <w:color w:val="000000" w:themeColor="text1"/>
        </w:rPr>
      </w:pPr>
      <w:r w:rsidRPr="00B82E38">
        <w:rPr>
          <w:rFonts w:ascii="Book Antiqua" w:eastAsia="Book Antiqua" w:hAnsi="Book Antiqua" w:cs="Book Antiqua"/>
          <w:color w:val="000000" w:themeColor="text1"/>
        </w:rPr>
        <w:t>2</w:t>
      </w:r>
      <w:r w:rsidRPr="00B82E38">
        <w:rPr>
          <w:rFonts w:ascii="Book Antiqua" w:eastAsia="宋体" w:hAnsi="Book Antiqua" w:cs="Book Antiqua"/>
          <w:color w:val="000000" w:themeColor="text1"/>
          <w:lang w:eastAsia="zh-CN"/>
        </w:rPr>
        <w:t>3</w:t>
      </w:r>
      <w:r w:rsidRPr="00B82E38">
        <w:rPr>
          <w:rFonts w:ascii="Book Antiqua" w:eastAsia="Book Antiqua" w:hAnsi="Book Antiqua" w:cs="Book Antiqua"/>
          <w:color w:val="000000" w:themeColor="text1"/>
        </w:rPr>
        <w:t xml:space="preserve"> </w:t>
      </w:r>
      <w:r w:rsidRPr="00B82E38">
        <w:rPr>
          <w:rFonts w:ascii="Book Antiqua" w:eastAsia="Book Antiqua" w:hAnsi="Book Antiqua" w:cs="Book Antiqua"/>
          <w:b/>
          <w:bCs/>
          <w:color w:val="000000" w:themeColor="text1"/>
        </w:rPr>
        <w:t>Maruyama H</w:t>
      </w:r>
      <w:r w:rsidRPr="00B82E38">
        <w:rPr>
          <w:rFonts w:ascii="Book Antiqua" w:eastAsia="Book Antiqua" w:hAnsi="Book Antiqua" w:cs="Book Antiqua"/>
          <w:color w:val="000000" w:themeColor="text1"/>
        </w:rPr>
        <w:t xml:space="preserve">, </w:t>
      </w:r>
      <w:proofErr w:type="spellStart"/>
      <w:r w:rsidRPr="00B82E38">
        <w:rPr>
          <w:rFonts w:ascii="Book Antiqua" w:eastAsia="Book Antiqua" w:hAnsi="Book Antiqua" w:cs="Book Antiqua"/>
          <w:color w:val="000000" w:themeColor="text1"/>
        </w:rPr>
        <w:t>Okugawa</w:t>
      </w:r>
      <w:proofErr w:type="spellEnd"/>
      <w:r w:rsidRPr="00B82E38">
        <w:rPr>
          <w:rFonts w:ascii="Book Antiqua" w:eastAsia="Book Antiqua" w:hAnsi="Book Antiqua" w:cs="Book Antiqua"/>
          <w:color w:val="000000" w:themeColor="text1"/>
        </w:rPr>
        <w:t xml:space="preserve"> H, Ishibashi H, Takahashi M, Kobayashi S, </w:t>
      </w:r>
      <w:proofErr w:type="spellStart"/>
      <w:r w:rsidRPr="00B82E38">
        <w:rPr>
          <w:rFonts w:ascii="Book Antiqua" w:eastAsia="Book Antiqua" w:hAnsi="Book Antiqua" w:cs="Book Antiqua"/>
          <w:color w:val="000000" w:themeColor="text1"/>
        </w:rPr>
        <w:t>Yoshizumi</w:t>
      </w:r>
      <w:proofErr w:type="spellEnd"/>
      <w:r w:rsidRPr="00B82E38">
        <w:rPr>
          <w:rFonts w:ascii="Book Antiqua" w:eastAsia="Book Antiqua" w:hAnsi="Book Antiqua" w:cs="Book Antiqua"/>
          <w:color w:val="000000" w:themeColor="text1"/>
        </w:rPr>
        <w:t xml:space="preserve"> H, Yokosuka O. Carbon dioxide-based </w:t>
      </w:r>
      <w:proofErr w:type="spellStart"/>
      <w:r w:rsidRPr="00B82E38">
        <w:rPr>
          <w:rFonts w:ascii="Book Antiqua" w:eastAsia="Book Antiqua" w:hAnsi="Book Antiqua" w:cs="Book Antiqua"/>
          <w:color w:val="000000" w:themeColor="text1"/>
        </w:rPr>
        <w:t>portography</w:t>
      </w:r>
      <w:proofErr w:type="spellEnd"/>
      <w:r w:rsidRPr="00B82E38">
        <w:rPr>
          <w:rFonts w:ascii="Book Antiqua" w:eastAsia="Book Antiqua" w:hAnsi="Book Antiqua" w:cs="Book Antiqua"/>
          <w:color w:val="000000" w:themeColor="text1"/>
        </w:rPr>
        <w:t xml:space="preserve">: an alternative to conventional imaging with the use of iodinated contrast medium. </w:t>
      </w:r>
      <w:r w:rsidRPr="00B82E38">
        <w:rPr>
          <w:rFonts w:ascii="Book Antiqua" w:eastAsia="Book Antiqua" w:hAnsi="Book Antiqua" w:cs="Book Antiqua"/>
          <w:i/>
          <w:iCs/>
          <w:color w:val="000000" w:themeColor="text1"/>
        </w:rPr>
        <w:t>J Gastroenterol Hepatol</w:t>
      </w:r>
      <w:r w:rsidRPr="00B82E38">
        <w:rPr>
          <w:rFonts w:ascii="Book Antiqua" w:eastAsia="Book Antiqua" w:hAnsi="Book Antiqua" w:cs="Book Antiqua"/>
          <w:color w:val="000000" w:themeColor="text1"/>
        </w:rPr>
        <w:t xml:space="preserve"> 2010; </w:t>
      </w:r>
      <w:r w:rsidRPr="00B82E38">
        <w:rPr>
          <w:rFonts w:ascii="Book Antiqua" w:eastAsia="Book Antiqua" w:hAnsi="Book Antiqua" w:cs="Book Antiqua"/>
          <w:b/>
          <w:bCs/>
          <w:color w:val="000000" w:themeColor="text1"/>
        </w:rPr>
        <w:t>25</w:t>
      </w:r>
      <w:r w:rsidRPr="00B82E38">
        <w:rPr>
          <w:rFonts w:ascii="Book Antiqua" w:eastAsia="Book Antiqua" w:hAnsi="Book Antiqua" w:cs="Book Antiqua"/>
          <w:color w:val="000000" w:themeColor="text1"/>
        </w:rPr>
        <w:t>: 1111-1116 [PMID: 20594227 DOI: 10.1111/j.1440-1746.2010.06248.x]</w:t>
      </w:r>
    </w:p>
    <w:p w14:paraId="034EE2D5" w14:textId="77777777" w:rsidR="00BA37FB" w:rsidRPr="00B82E38" w:rsidRDefault="008F363E" w:rsidP="00372A8C">
      <w:pPr>
        <w:spacing w:line="360" w:lineRule="auto"/>
        <w:jc w:val="both"/>
        <w:rPr>
          <w:rFonts w:ascii="Book Antiqua" w:hAnsi="Book Antiqua"/>
          <w:color w:val="000000" w:themeColor="text1"/>
        </w:rPr>
      </w:pPr>
      <w:r w:rsidRPr="00B82E38">
        <w:rPr>
          <w:rFonts w:ascii="Book Antiqua" w:eastAsia="Book Antiqua" w:hAnsi="Book Antiqua" w:cs="Book Antiqua"/>
          <w:color w:val="000000" w:themeColor="text1"/>
        </w:rPr>
        <w:t>2</w:t>
      </w:r>
      <w:r w:rsidRPr="00B82E38">
        <w:rPr>
          <w:rFonts w:ascii="Book Antiqua" w:eastAsia="宋体" w:hAnsi="Book Antiqua" w:cs="Book Antiqua"/>
          <w:color w:val="000000" w:themeColor="text1"/>
          <w:lang w:eastAsia="zh-CN"/>
        </w:rPr>
        <w:t>4</w:t>
      </w:r>
      <w:r w:rsidRPr="00B82E38">
        <w:rPr>
          <w:rFonts w:ascii="Book Antiqua" w:eastAsia="Book Antiqua" w:hAnsi="Book Antiqua" w:cs="Book Antiqua"/>
          <w:color w:val="000000" w:themeColor="text1"/>
        </w:rPr>
        <w:t xml:space="preserve"> </w:t>
      </w:r>
      <w:r w:rsidRPr="00B82E38">
        <w:rPr>
          <w:rFonts w:ascii="Book Antiqua" w:eastAsia="Book Antiqua" w:hAnsi="Book Antiqua" w:cs="Book Antiqua"/>
          <w:b/>
          <w:bCs/>
          <w:color w:val="000000" w:themeColor="text1"/>
        </w:rPr>
        <w:t>Chen SL</w:t>
      </w:r>
      <w:r w:rsidRPr="00B82E38">
        <w:rPr>
          <w:rFonts w:ascii="Book Antiqua" w:eastAsia="Book Antiqua" w:hAnsi="Book Antiqua" w:cs="Book Antiqua"/>
          <w:color w:val="000000" w:themeColor="text1"/>
        </w:rPr>
        <w:t xml:space="preserve">, Hu P, Lin ZP, Zhao JB. The Effect of Puncture Sites of Portal Vein in TIPS with </w:t>
      </w:r>
      <w:proofErr w:type="spellStart"/>
      <w:r w:rsidRPr="00B82E38">
        <w:rPr>
          <w:rFonts w:ascii="Book Antiqua" w:eastAsia="Book Antiqua" w:hAnsi="Book Antiqua" w:cs="Book Antiqua"/>
          <w:color w:val="000000" w:themeColor="text1"/>
        </w:rPr>
        <w:t>ePTFE</w:t>
      </w:r>
      <w:proofErr w:type="spellEnd"/>
      <w:r w:rsidRPr="00B82E38">
        <w:rPr>
          <w:rFonts w:ascii="Book Antiqua" w:eastAsia="Book Antiqua" w:hAnsi="Book Antiqua" w:cs="Book Antiqua"/>
          <w:color w:val="000000" w:themeColor="text1"/>
        </w:rPr>
        <w:t xml:space="preserve">-Covered Stents on Postoperative Long-Term Clinical Efficacy. </w:t>
      </w:r>
      <w:proofErr w:type="spellStart"/>
      <w:r w:rsidRPr="00B82E38">
        <w:rPr>
          <w:rFonts w:ascii="Book Antiqua" w:eastAsia="Book Antiqua" w:hAnsi="Book Antiqua" w:cs="Book Antiqua"/>
          <w:i/>
          <w:iCs/>
          <w:color w:val="000000" w:themeColor="text1"/>
        </w:rPr>
        <w:t>Gastroenterol</w:t>
      </w:r>
      <w:proofErr w:type="spellEnd"/>
      <w:r w:rsidRPr="00B82E38">
        <w:rPr>
          <w:rFonts w:ascii="Book Antiqua" w:eastAsia="Book Antiqua" w:hAnsi="Book Antiqua" w:cs="Book Antiqua"/>
          <w:i/>
          <w:iCs/>
          <w:color w:val="000000" w:themeColor="text1"/>
        </w:rPr>
        <w:t xml:space="preserve"> Res </w:t>
      </w:r>
      <w:proofErr w:type="spellStart"/>
      <w:r w:rsidRPr="00B82E38">
        <w:rPr>
          <w:rFonts w:ascii="Book Antiqua" w:eastAsia="Book Antiqua" w:hAnsi="Book Antiqua" w:cs="Book Antiqua"/>
          <w:i/>
          <w:iCs/>
          <w:color w:val="000000" w:themeColor="text1"/>
        </w:rPr>
        <w:t>Pract</w:t>
      </w:r>
      <w:proofErr w:type="spellEnd"/>
      <w:r w:rsidRPr="00B82E38">
        <w:rPr>
          <w:rFonts w:ascii="Book Antiqua" w:eastAsia="Book Antiqua" w:hAnsi="Book Antiqua" w:cs="Book Antiqua"/>
          <w:color w:val="000000" w:themeColor="text1"/>
        </w:rPr>
        <w:t xml:space="preserve"> 2019; </w:t>
      </w:r>
      <w:r w:rsidRPr="00B82E38">
        <w:rPr>
          <w:rFonts w:ascii="Book Antiqua" w:eastAsia="Book Antiqua" w:hAnsi="Book Antiqua" w:cs="Book Antiqua"/>
          <w:b/>
          <w:bCs/>
          <w:color w:val="000000" w:themeColor="text1"/>
        </w:rPr>
        <w:t>2019</w:t>
      </w:r>
      <w:r w:rsidRPr="00B82E38">
        <w:rPr>
          <w:rFonts w:ascii="Book Antiqua" w:eastAsia="Book Antiqua" w:hAnsi="Book Antiqua" w:cs="Book Antiqua"/>
          <w:color w:val="000000" w:themeColor="text1"/>
        </w:rPr>
        <w:t>: 2935498 [PMID: 30728835 DOI: 10.1155/2019/2935498]</w:t>
      </w:r>
    </w:p>
    <w:p w14:paraId="0460C991" w14:textId="77777777" w:rsidR="00BA37FB" w:rsidRPr="00B82E38" w:rsidRDefault="008F363E" w:rsidP="00372A8C">
      <w:pPr>
        <w:spacing w:line="360" w:lineRule="auto"/>
        <w:jc w:val="both"/>
        <w:rPr>
          <w:rFonts w:ascii="Book Antiqua" w:hAnsi="Book Antiqua"/>
          <w:color w:val="000000" w:themeColor="text1"/>
        </w:rPr>
      </w:pPr>
      <w:r w:rsidRPr="00B82E38">
        <w:rPr>
          <w:rFonts w:ascii="Book Antiqua" w:eastAsia="Book Antiqua" w:hAnsi="Book Antiqua" w:cs="Book Antiqua"/>
          <w:color w:val="000000" w:themeColor="text1"/>
        </w:rPr>
        <w:t>2</w:t>
      </w:r>
      <w:r w:rsidRPr="00B82E38">
        <w:rPr>
          <w:rFonts w:ascii="Book Antiqua" w:eastAsia="宋体" w:hAnsi="Book Antiqua" w:cs="Book Antiqua"/>
          <w:color w:val="000000" w:themeColor="text1"/>
          <w:lang w:eastAsia="zh-CN"/>
        </w:rPr>
        <w:t>5</w:t>
      </w:r>
      <w:r w:rsidRPr="00B82E38">
        <w:rPr>
          <w:rFonts w:ascii="Book Antiqua" w:eastAsia="Book Antiqua" w:hAnsi="Book Antiqua" w:cs="Book Antiqua"/>
          <w:color w:val="000000" w:themeColor="text1"/>
        </w:rPr>
        <w:t xml:space="preserve"> </w:t>
      </w:r>
      <w:r w:rsidRPr="00B82E38">
        <w:rPr>
          <w:rFonts w:ascii="Book Antiqua" w:eastAsia="Book Antiqua" w:hAnsi="Book Antiqua" w:cs="Book Antiqua"/>
          <w:b/>
          <w:bCs/>
          <w:color w:val="000000" w:themeColor="text1"/>
        </w:rPr>
        <w:t>Luo SH</w:t>
      </w:r>
      <w:r w:rsidRPr="00B82E38">
        <w:rPr>
          <w:rFonts w:ascii="Book Antiqua" w:eastAsia="Book Antiqua" w:hAnsi="Book Antiqua" w:cs="Book Antiqua"/>
          <w:color w:val="000000" w:themeColor="text1"/>
        </w:rPr>
        <w:t xml:space="preserve">, Chu JG, Huang H, Zhao GR, Yao KC. Targeted puncture of left branch of intrahepatic portal vein in </w:t>
      </w:r>
      <w:proofErr w:type="spellStart"/>
      <w:r w:rsidRPr="00B82E38">
        <w:rPr>
          <w:rFonts w:ascii="Book Antiqua" w:eastAsia="Book Antiqua" w:hAnsi="Book Antiqua" w:cs="Book Antiqua"/>
          <w:color w:val="000000" w:themeColor="text1"/>
        </w:rPr>
        <w:t>transjugular</w:t>
      </w:r>
      <w:proofErr w:type="spellEnd"/>
      <w:r w:rsidRPr="00B82E38">
        <w:rPr>
          <w:rFonts w:ascii="Book Antiqua" w:eastAsia="Book Antiqua" w:hAnsi="Book Antiqua" w:cs="Book Antiqua"/>
          <w:color w:val="000000" w:themeColor="text1"/>
        </w:rPr>
        <w:t xml:space="preserve"> intrahepatic portosystemic shunt to reduce hepatic encephalopathy. </w:t>
      </w:r>
      <w:r w:rsidRPr="00B82E38">
        <w:rPr>
          <w:rFonts w:ascii="Book Antiqua" w:eastAsia="Book Antiqua" w:hAnsi="Book Antiqua" w:cs="Book Antiqua"/>
          <w:i/>
          <w:iCs/>
          <w:color w:val="000000" w:themeColor="text1"/>
        </w:rPr>
        <w:t>World J Gastroenterol</w:t>
      </w:r>
      <w:r w:rsidRPr="00B82E38">
        <w:rPr>
          <w:rFonts w:ascii="Book Antiqua" w:eastAsia="Book Antiqua" w:hAnsi="Book Antiqua" w:cs="Book Antiqua"/>
          <w:color w:val="000000" w:themeColor="text1"/>
        </w:rPr>
        <w:t xml:space="preserve"> 2019; </w:t>
      </w:r>
      <w:r w:rsidRPr="00B82E38">
        <w:rPr>
          <w:rFonts w:ascii="Book Antiqua" w:eastAsia="Book Antiqua" w:hAnsi="Book Antiqua" w:cs="Book Antiqua"/>
          <w:b/>
          <w:bCs/>
          <w:color w:val="000000" w:themeColor="text1"/>
        </w:rPr>
        <w:t>25</w:t>
      </w:r>
      <w:r w:rsidRPr="00B82E38">
        <w:rPr>
          <w:rFonts w:ascii="Book Antiqua" w:eastAsia="Book Antiqua" w:hAnsi="Book Antiqua" w:cs="Book Antiqua"/>
          <w:color w:val="000000" w:themeColor="text1"/>
        </w:rPr>
        <w:t>: 1088-1099 [PMID: 30862997 DOI: 10.3748/wjg.v25.i9.1088]</w:t>
      </w:r>
    </w:p>
    <w:p w14:paraId="10217E65" w14:textId="77777777" w:rsidR="00BA37FB" w:rsidRPr="00B82E38" w:rsidRDefault="008F363E" w:rsidP="00372A8C">
      <w:pPr>
        <w:spacing w:line="360" w:lineRule="auto"/>
        <w:jc w:val="both"/>
        <w:rPr>
          <w:rFonts w:ascii="Book Antiqua" w:hAnsi="Book Antiqua"/>
          <w:color w:val="000000" w:themeColor="text1"/>
        </w:rPr>
      </w:pPr>
      <w:r w:rsidRPr="00B82E38">
        <w:rPr>
          <w:rFonts w:ascii="Book Antiqua" w:eastAsia="Book Antiqua" w:hAnsi="Book Antiqua" w:cs="Book Antiqua"/>
          <w:color w:val="000000" w:themeColor="text1"/>
        </w:rPr>
        <w:lastRenderedPageBreak/>
        <w:t>2</w:t>
      </w:r>
      <w:r w:rsidRPr="00B82E38">
        <w:rPr>
          <w:rFonts w:ascii="Book Antiqua" w:eastAsia="宋体" w:hAnsi="Book Antiqua" w:cs="Book Antiqua"/>
          <w:color w:val="000000" w:themeColor="text1"/>
          <w:lang w:eastAsia="zh-CN"/>
        </w:rPr>
        <w:t>6</w:t>
      </w:r>
      <w:r w:rsidRPr="00B82E38">
        <w:rPr>
          <w:rFonts w:ascii="Book Antiqua" w:eastAsia="Book Antiqua" w:hAnsi="Book Antiqua" w:cs="Book Antiqua"/>
          <w:color w:val="000000" w:themeColor="text1"/>
        </w:rPr>
        <w:t xml:space="preserve"> </w:t>
      </w:r>
      <w:proofErr w:type="spellStart"/>
      <w:r w:rsidRPr="00B82E38">
        <w:rPr>
          <w:rFonts w:ascii="Book Antiqua" w:eastAsia="Book Antiqua" w:hAnsi="Book Antiqua" w:cs="Book Antiqua"/>
          <w:b/>
          <w:bCs/>
          <w:color w:val="000000" w:themeColor="text1"/>
        </w:rPr>
        <w:t>Trebicka</w:t>
      </w:r>
      <w:proofErr w:type="spellEnd"/>
      <w:r w:rsidRPr="00B82E38">
        <w:rPr>
          <w:rFonts w:ascii="Book Antiqua" w:eastAsia="Book Antiqua" w:hAnsi="Book Antiqua" w:cs="Book Antiqua"/>
          <w:b/>
          <w:bCs/>
          <w:color w:val="000000" w:themeColor="text1"/>
        </w:rPr>
        <w:t xml:space="preserve"> J</w:t>
      </w:r>
      <w:r w:rsidRPr="00B82E38">
        <w:rPr>
          <w:rFonts w:ascii="Book Antiqua" w:eastAsia="Book Antiqua" w:hAnsi="Book Antiqua" w:cs="Book Antiqua"/>
          <w:color w:val="000000" w:themeColor="text1"/>
        </w:rPr>
        <w:t xml:space="preserve">, </w:t>
      </w:r>
      <w:proofErr w:type="spellStart"/>
      <w:r w:rsidRPr="00B82E38">
        <w:rPr>
          <w:rFonts w:ascii="Book Antiqua" w:eastAsia="Book Antiqua" w:hAnsi="Book Antiqua" w:cs="Book Antiqua"/>
          <w:color w:val="000000" w:themeColor="text1"/>
        </w:rPr>
        <w:t>Bastgen</w:t>
      </w:r>
      <w:proofErr w:type="spellEnd"/>
      <w:r w:rsidRPr="00B82E38">
        <w:rPr>
          <w:rFonts w:ascii="Book Antiqua" w:eastAsia="Book Antiqua" w:hAnsi="Book Antiqua" w:cs="Book Antiqua"/>
          <w:color w:val="000000" w:themeColor="text1"/>
        </w:rPr>
        <w:t xml:space="preserve"> D, </w:t>
      </w:r>
      <w:proofErr w:type="spellStart"/>
      <w:r w:rsidRPr="00B82E38">
        <w:rPr>
          <w:rFonts w:ascii="Book Antiqua" w:eastAsia="Book Antiqua" w:hAnsi="Book Antiqua" w:cs="Book Antiqua"/>
          <w:color w:val="000000" w:themeColor="text1"/>
        </w:rPr>
        <w:t>Byrtus</w:t>
      </w:r>
      <w:proofErr w:type="spellEnd"/>
      <w:r w:rsidRPr="00B82E38">
        <w:rPr>
          <w:rFonts w:ascii="Book Antiqua" w:eastAsia="Book Antiqua" w:hAnsi="Book Antiqua" w:cs="Book Antiqua"/>
          <w:color w:val="000000" w:themeColor="text1"/>
        </w:rPr>
        <w:t xml:space="preserve"> J, </w:t>
      </w:r>
      <w:proofErr w:type="spellStart"/>
      <w:r w:rsidRPr="00B82E38">
        <w:rPr>
          <w:rFonts w:ascii="Book Antiqua" w:eastAsia="Book Antiqua" w:hAnsi="Book Antiqua" w:cs="Book Antiqua"/>
          <w:color w:val="000000" w:themeColor="text1"/>
        </w:rPr>
        <w:t>Praktiknjo</w:t>
      </w:r>
      <w:proofErr w:type="spellEnd"/>
      <w:r w:rsidRPr="00B82E38">
        <w:rPr>
          <w:rFonts w:ascii="Book Antiqua" w:eastAsia="Book Antiqua" w:hAnsi="Book Antiqua" w:cs="Book Antiqua"/>
          <w:color w:val="000000" w:themeColor="text1"/>
        </w:rPr>
        <w:t xml:space="preserve"> M, </w:t>
      </w:r>
      <w:proofErr w:type="spellStart"/>
      <w:r w:rsidRPr="00B82E38">
        <w:rPr>
          <w:rFonts w:ascii="Book Antiqua" w:eastAsia="Book Antiqua" w:hAnsi="Book Antiqua" w:cs="Book Antiqua"/>
          <w:color w:val="000000" w:themeColor="text1"/>
        </w:rPr>
        <w:t>Terstiegen</w:t>
      </w:r>
      <w:proofErr w:type="spellEnd"/>
      <w:r w:rsidRPr="00B82E38">
        <w:rPr>
          <w:rFonts w:ascii="Book Antiqua" w:eastAsia="Book Antiqua" w:hAnsi="Book Antiqua" w:cs="Book Antiqua"/>
          <w:color w:val="000000" w:themeColor="text1"/>
        </w:rPr>
        <w:t xml:space="preserve"> S, Meyer C, Thomas D, </w:t>
      </w:r>
      <w:proofErr w:type="spellStart"/>
      <w:r w:rsidRPr="00B82E38">
        <w:rPr>
          <w:rFonts w:ascii="Book Antiqua" w:eastAsia="Book Antiqua" w:hAnsi="Book Antiqua" w:cs="Book Antiqua"/>
          <w:color w:val="000000" w:themeColor="text1"/>
        </w:rPr>
        <w:t>Fimmers</w:t>
      </w:r>
      <w:proofErr w:type="spellEnd"/>
      <w:r w:rsidRPr="00B82E38">
        <w:rPr>
          <w:rFonts w:ascii="Book Antiqua" w:eastAsia="Book Antiqua" w:hAnsi="Book Antiqua" w:cs="Book Antiqua"/>
          <w:color w:val="000000" w:themeColor="text1"/>
        </w:rPr>
        <w:t xml:space="preserve"> R, </w:t>
      </w:r>
      <w:proofErr w:type="spellStart"/>
      <w:r w:rsidRPr="00B82E38">
        <w:rPr>
          <w:rFonts w:ascii="Book Antiqua" w:eastAsia="Book Antiqua" w:hAnsi="Book Antiqua" w:cs="Book Antiqua"/>
          <w:color w:val="000000" w:themeColor="text1"/>
        </w:rPr>
        <w:t>Treitl</w:t>
      </w:r>
      <w:proofErr w:type="spellEnd"/>
      <w:r w:rsidRPr="00B82E38">
        <w:rPr>
          <w:rFonts w:ascii="Book Antiqua" w:eastAsia="Book Antiqua" w:hAnsi="Book Antiqua" w:cs="Book Antiqua"/>
          <w:color w:val="000000" w:themeColor="text1"/>
        </w:rPr>
        <w:t xml:space="preserve"> M, </w:t>
      </w:r>
      <w:proofErr w:type="spellStart"/>
      <w:r w:rsidRPr="00B82E38">
        <w:rPr>
          <w:rFonts w:ascii="Book Antiqua" w:eastAsia="Book Antiqua" w:hAnsi="Book Antiqua" w:cs="Book Antiqua"/>
          <w:color w:val="000000" w:themeColor="text1"/>
        </w:rPr>
        <w:t>Euringer</w:t>
      </w:r>
      <w:proofErr w:type="spellEnd"/>
      <w:r w:rsidRPr="00B82E38">
        <w:rPr>
          <w:rFonts w:ascii="Book Antiqua" w:eastAsia="Book Antiqua" w:hAnsi="Book Antiqua" w:cs="Book Antiqua"/>
          <w:color w:val="000000" w:themeColor="text1"/>
        </w:rPr>
        <w:t xml:space="preserve"> W, </w:t>
      </w:r>
      <w:proofErr w:type="spellStart"/>
      <w:r w:rsidRPr="00B82E38">
        <w:rPr>
          <w:rFonts w:ascii="Book Antiqua" w:eastAsia="Book Antiqua" w:hAnsi="Book Antiqua" w:cs="Book Antiqua"/>
          <w:color w:val="000000" w:themeColor="text1"/>
        </w:rPr>
        <w:t>Sauerbruch</w:t>
      </w:r>
      <w:proofErr w:type="spellEnd"/>
      <w:r w:rsidRPr="00B82E38">
        <w:rPr>
          <w:rFonts w:ascii="Book Antiqua" w:eastAsia="Book Antiqua" w:hAnsi="Book Antiqua" w:cs="Book Antiqua"/>
          <w:color w:val="000000" w:themeColor="text1"/>
        </w:rPr>
        <w:t xml:space="preserve"> T, </w:t>
      </w:r>
      <w:proofErr w:type="spellStart"/>
      <w:r w:rsidRPr="00B82E38">
        <w:rPr>
          <w:rFonts w:ascii="Book Antiqua" w:eastAsia="Book Antiqua" w:hAnsi="Book Antiqua" w:cs="Book Antiqua"/>
          <w:color w:val="000000" w:themeColor="text1"/>
        </w:rPr>
        <w:t>Rössle</w:t>
      </w:r>
      <w:proofErr w:type="spellEnd"/>
      <w:r w:rsidRPr="00B82E38">
        <w:rPr>
          <w:rFonts w:ascii="Book Antiqua" w:eastAsia="Book Antiqua" w:hAnsi="Book Antiqua" w:cs="Book Antiqua"/>
          <w:color w:val="000000" w:themeColor="text1"/>
        </w:rPr>
        <w:t xml:space="preserve"> M. Smaller-Diameter Covered </w:t>
      </w:r>
      <w:proofErr w:type="spellStart"/>
      <w:r w:rsidRPr="00B82E38">
        <w:rPr>
          <w:rFonts w:ascii="Book Antiqua" w:eastAsia="Book Antiqua" w:hAnsi="Book Antiqua" w:cs="Book Antiqua"/>
          <w:color w:val="000000" w:themeColor="text1"/>
        </w:rPr>
        <w:t>Transjugular</w:t>
      </w:r>
      <w:proofErr w:type="spellEnd"/>
      <w:r w:rsidRPr="00B82E38">
        <w:rPr>
          <w:rFonts w:ascii="Book Antiqua" w:eastAsia="Book Antiqua" w:hAnsi="Book Antiqua" w:cs="Book Antiqua"/>
          <w:color w:val="000000" w:themeColor="text1"/>
        </w:rPr>
        <w:t xml:space="preserve"> Intrahepatic Portosystemic Shunt Stents Are Associated With Increased Survival. </w:t>
      </w:r>
      <w:r w:rsidRPr="00B82E38">
        <w:rPr>
          <w:rFonts w:ascii="Book Antiqua" w:eastAsia="Book Antiqua" w:hAnsi="Book Antiqua" w:cs="Book Antiqua"/>
          <w:i/>
          <w:iCs/>
          <w:color w:val="000000" w:themeColor="text1"/>
        </w:rPr>
        <w:t>Clin Gastroenterol Hepatol</w:t>
      </w:r>
      <w:r w:rsidRPr="00B82E38">
        <w:rPr>
          <w:rFonts w:ascii="Book Antiqua" w:eastAsia="Book Antiqua" w:hAnsi="Book Antiqua" w:cs="Book Antiqua"/>
          <w:color w:val="000000" w:themeColor="text1"/>
        </w:rPr>
        <w:t xml:space="preserve"> 2019; </w:t>
      </w:r>
      <w:r w:rsidRPr="00B82E38">
        <w:rPr>
          <w:rFonts w:ascii="Book Antiqua" w:eastAsia="Book Antiqua" w:hAnsi="Book Antiqua" w:cs="Book Antiqua"/>
          <w:b/>
          <w:bCs/>
          <w:color w:val="000000" w:themeColor="text1"/>
        </w:rPr>
        <w:t>17</w:t>
      </w:r>
      <w:r w:rsidRPr="00B82E38">
        <w:rPr>
          <w:rFonts w:ascii="Book Antiqua" w:eastAsia="Book Antiqua" w:hAnsi="Book Antiqua" w:cs="Book Antiqua"/>
          <w:color w:val="000000" w:themeColor="text1"/>
        </w:rPr>
        <w:t>: 2793-2799.e1 [PMID: 30940552 DOI: 10.1016/j.cgh.2019.03.042]</w:t>
      </w:r>
    </w:p>
    <w:p w14:paraId="6FFAB46F" w14:textId="77777777" w:rsidR="00BA37FB" w:rsidRPr="00B82E38" w:rsidRDefault="008F363E" w:rsidP="00372A8C">
      <w:pPr>
        <w:spacing w:line="360" w:lineRule="auto"/>
        <w:jc w:val="both"/>
        <w:rPr>
          <w:rFonts w:ascii="Book Antiqua" w:hAnsi="Book Antiqua"/>
          <w:color w:val="000000" w:themeColor="text1"/>
        </w:rPr>
      </w:pPr>
      <w:r w:rsidRPr="00B82E38">
        <w:rPr>
          <w:rFonts w:ascii="Book Antiqua" w:eastAsia="Book Antiqua" w:hAnsi="Book Antiqua" w:cs="Book Antiqua"/>
          <w:color w:val="000000" w:themeColor="text1"/>
        </w:rPr>
        <w:t>2</w:t>
      </w:r>
      <w:r w:rsidRPr="00B82E38">
        <w:rPr>
          <w:rFonts w:ascii="Book Antiqua" w:eastAsia="宋体" w:hAnsi="Book Antiqua" w:cs="Book Antiqua"/>
          <w:color w:val="000000" w:themeColor="text1"/>
          <w:lang w:eastAsia="zh-CN"/>
        </w:rPr>
        <w:t>7</w:t>
      </w:r>
      <w:r w:rsidRPr="00B82E38">
        <w:rPr>
          <w:rFonts w:ascii="Book Antiqua" w:eastAsia="Book Antiqua" w:hAnsi="Book Antiqua" w:cs="Book Antiqua"/>
          <w:color w:val="000000" w:themeColor="text1"/>
        </w:rPr>
        <w:t xml:space="preserve"> </w:t>
      </w:r>
      <w:r w:rsidRPr="00B82E38">
        <w:rPr>
          <w:rFonts w:ascii="Book Antiqua" w:eastAsia="Book Antiqua" w:hAnsi="Book Antiqua" w:cs="Book Antiqua"/>
          <w:b/>
          <w:bCs/>
          <w:color w:val="000000" w:themeColor="text1"/>
        </w:rPr>
        <w:t>Li Y</w:t>
      </w:r>
      <w:r w:rsidRPr="00B82E38">
        <w:rPr>
          <w:rFonts w:ascii="Book Antiqua" w:eastAsia="Book Antiqua" w:hAnsi="Book Antiqua" w:cs="Book Antiqua"/>
          <w:color w:val="000000" w:themeColor="text1"/>
        </w:rPr>
        <w:t xml:space="preserve">, He X, Pang H. A model to predict early hepatic encephalopathy in patients undergoing </w:t>
      </w:r>
      <w:proofErr w:type="spellStart"/>
      <w:r w:rsidRPr="00B82E38">
        <w:rPr>
          <w:rFonts w:ascii="Book Antiqua" w:eastAsia="Book Antiqua" w:hAnsi="Book Antiqua" w:cs="Book Antiqua"/>
          <w:color w:val="000000" w:themeColor="text1"/>
        </w:rPr>
        <w:t>transjugular</w:t>
      </w:r>
      <w:proofErr w:type="spellEnd"/>
      <w:r w:rsidRPr="00B82E38">
        <w:rPr>
          <w:rFonts w:ascii="Book Antiqua" w:eastAsia="Book Antiqua" w:hAnsi="Book Antiqua" w:cs="Book Antiqua"/>
          <w:color w:val="000000" w:themeColor="text1"/>
        </w:rPr>
        <w:t xml:space="preserve"> intrahepatic portosystemic shunt. </w:t>
      </w:r>
      <w:r w:rsidRPr="00B82E38">
        <w:rPr>
          <w:rFonts w:ascii="Book Antiqua" w:eastAsia="Book Antiqua" w:hAnsi="Book Antiqua" w:cs="Book Antiqua"/>
          <w:i/>
          <w:iCs/>
          <w:color w:val="000000" w:themeColor="text1"/>
        </w:rPr>
        <w:t>Turk J Gastroenterol</w:t>
      </w:r>
      <w:r w:rsidRPr="00B82E38">
        <w:rPr>
          <w:rFonts w:ascii="Book Antiqua" w:eastAsia="Book Antiqua" w:hAnsi="Book Antiqua" w:cs="Book Antiqua"/>
          <w:color w:val="000000" w:themeColor="text1"/>
        </w:rPr>
        <w:t xml:space="preserve"> 2019; </w:t>
      </w:r>
      <w:r w:rsidRPr="00B82E38">
        <w:rPr>
          <w:rFonts w:ascii="Book Antiqua" w:eastAsia="Book Antiqua" w:hAnsi="Book Antiqua" w:cs="Book Antiqua"/>
          <w:b/>
          <w:bCs/>
          <w:color w:val="000000" w:themeColor="text1"/>
        </w:rPr>
        <w:t>30</w:t>
      </w:r>
      <w:r w:rsidRPr="00B82E38">
        <w:rPr>
          <w:rFonts w:ascii="Book Antiqua" w:eastAsia="Book Antiqua" w:hAnsi="Book Antiqua" w:cs="Book Antiqua"/>
          <w:color w:val="000000" w:themeColor="text1"/>
        </w:rPr>
        <w:t>: 702-707 [PMID: 31418414 DOI: 10.5152/tjg.2019.18485]</w:t>
      </w:r>
    </w:p>
    <w:p w14:paraId="7FE8E96A" w14:textId="77777777" w:rsidR="00BA37FB" w:rsidRPr="00B82E38" w:rsidRDefault="008F363E" w:rsidP="00372A8C">
      <w:pPr>
        <w:spacing w:line="360" w:lineRule="auto"/>
        <w:jc w:val="both"/>
        <w:rPr>
          <w:rFonts w:ascii="Book Antiqua" w:hAnsi="Book Antiqua"/>
          <w:color w:val="000000" w:themeColor="text1"/>
        </w:rPr>
      </w:pPr>
      <w:r w:rsidRPr="00B82E38">
        <w:rPr>
          <w:rFonts w:ascii="Book Antiqua" w:eastAsia="Book Antiqua" w:hAnsi="Book Antiqua" w:cs="Book Antiqua"/>
          <w:color w:val="000000" w:themeColor="text1"/>
        </w:rPr>
        <w:t>2</w:t>
      </w:r>
      <w:r w:rsidRPr="00B82E38">
        <w:rPr>
          <w:rFonts w:ascii="Book Antiqua" w:eastAsia="宋体" w:hAnsi="Book Antiqua" w:cs="Book Antiqua"/>
          <w:color w:val="000000" w:themeColor="text1"/>
          <w:lang w:eastAsia="zh-CN"/>
        </w:rPr>
        <w:t>8</w:t>
      </w:r>
      <w:r w:rsidRPr="00B82E38">
        <w:rPr>
          <w:rFonts w:ascii="Book Antiqua" w:eastAsia="Book Antiqua" w:hAnsi="Book Antiqua" w:cs="Book Antiqua"/>
          <w:color w:val="000000" w:themeColor="text1"/>
        </w:rPr>
        <w:t xml:space="preserve"> </w:t>
      </w:r>
      <w:proofErr w:type="spellStart"/>
      <w:r w:rsidRPr="00B82E38">
        <w:rPr>
          <w:rFonts w:ascii="Book Antiqua" w:eastAsia="Book Antiqua" w:hAnsi="Book Antiqua" w:cs="Book Antiqua"/>
          <w:b/>
          <w:bCs/>
          <w:color w:val="000000" w:themeColor="text1"/>
        </w:rPr>
        <w:t>Casadaban</w:t>
      </w:r>
      <w:proofErr w:type="spellEnd"/>
      <w:r w:rsidRPr="00B82E38">
        <w:rPr>
          <w:rFonts w:ascii="Book Antiqua" w:eastAsia="Book Antiqua" w:hAnsi="Book Antiqua" w:cs="Book Antiqua"/>
          <w:b/>
          <w:bCs/>
          <w:color w:val="000000" w:themeColor="text1"/>
        </w:rPr>
        <w:t xml:space="preserve"> LC</w:t>
      </w:r>
      <w:r w:rsidRPr="00B82E38">
        <w:rPr>
          <w:rFonts w:ascii="Book Antiqua" w:eastAsia="Book Antiqua" w:hAnsi="Book Antiqua" w:cs="Book Antiqua"/>
          <w:color w:val="000000" w:themeColor="text1"/>
        </w:rPr>
        <w:t xml:space="preserve">, </w:t>
      </w:r>
      <w:proofErr w:type="spellStart"/>
      <w:r w:rsidRPr="00B82E38">
        <w:rPr>
          <w:rFonts w:ascii="Book Antiqua" w:eastAsia="Book Antiqua" w:hAnsi="Book Antiqua" w:cs="Book Antiqua"/>
          <w:color w:val="000000" w:themeColor="text1"/>
        </w:rPr>
        <w:t>Parvinian</w:t>
      </w:r>
      <w:proofErr w:type="spellEnd"/>
      <w:r w:rsidRPr="00B82E38">
        <w:rPr>
          <w:rFonts w:ascii="Book Antiqua" w:eastAsia="Book Antiqua" w:hAnsi="Book Antiqua" w:cs="Book Antiqua"/>
          <w:color w:val="000000" w:themeColor="text1"/>
        </w:rPr>
        <w:t xml:space="preserve"> A, </w:t>
      </w:r>
      <w:proofErr w:type="spellStart"/>
      <w:r w:rsidRPr="00B82E38">
        <w:rPr>
          <w:rFonts w:ascii="Book Antiqua" w:eastAsia="Book Antiqua" w:hAnsi="Book Antiqua" w:cs="Book Antiqua"/>
          <w:color w:val="000000" w:themeColor="text1"/>
        </w:rPr>
        <w:t>Minocha</w:t>
      </w:r>
      <w:proofErr w:type="spellEnd"/>
      <w:r w:rsidRPr="00B82E38">
        <w:rPr>
          <w:rFonts w:ascii="Book Antiqua" w:eastAsia="Book Antiqua" w:hAnsi="Book Antiqua" w:cs="Book Antiqua"/>
          <w:color w:val="000000" w:themeColor="text1"/>
        </w:rPr>
        <w:t xml:space="preserve"> J, </w:t>
      </w:r>
      <w:proofErr w:type="spellStart"/>
      <w:r w:rsidRPr="00B82E38">
        <w:rPr>
          <w:rFonts w:ascii="Book Antiqua" w:eastAsia="Book Antiqua" w:hAnsi="Book Antiqua" w:cs="Book Antiqua"/>
          <w:color w:val="000000" w:themeColor="text1"/>
        </w:rPr>
        <w:t>Lakhoo</w:t>
      </w:r>
      <w:proofErr w:type="spellEnd"/>
      <w:r w:rsidRPr="00B82E38">
        <w:rPr>
          <w:rFonts w:ascii="Book Antiqua" w:eastAsia="Book Antiqua" w:hAnsi="Book Antiqua" w:cs="Book Antiqua"/>
          <w:color w:val="000000" w:themeColor="text1"/>
        </w:rPr>
        <w:t xml:space="preserve"> J, Grant CW, Ray CE Jr, </w:t>
      </w:r>
      <w:proofErr w:type="spellStart"/>
      <w:r w:rsidRPr="00B82E38">
        <w:rPr>
          <w:rFonts w:ascii="Book Antiqua" w:eastAsia="Book Antiqua" w:hAnsi="Book Antiqua" w:cs="Book Antiqua"/>
          <w:color w:val="000000" w:themeColor="text1"/>
        </w:rPr>
        <w:t>Knuttinen</w:t>
      </w:r>
      <w:proofErr w:type="spellEnd"/>
      <w:r w:rsidRPr="00B82E38">
        <w:rPr>
          <w:rFonts w:ascii="Book Antiqua" w:eastAsia="Book Antiqua" w:hAnsi="Book Antiqua" w:cs="Book Antiqua"/>
          <w:color w:val="000000" w:themeColor="text1"/>
        </w:rPr>
        <w:t xml:space="preserve"> MG, Bui JT, Gaba RC. Clearing the Confusion over Hepatic Encephalopathy After TIPS Creation: Incidence, Prognostic Factors, and Clinical Outcomes. </w:t>
      </w:r>
      <w:r w:rsidRPr="00B82E38">
        <w:rPr>
          <w:rFonts w:ascii="Book Antiqua" w:eastAsia="Book Antiqua" w:hAnsi="Book Antiqua" w:cs="Book Antiqua"/>
          <w:i/>
          <w:iCs/>
          <w:color w:val="000000" w:themeColor="text1"/>
        </w:rPr>
        <w:t>Dig Dis Sci</w:t>
      </w:r>
      <w:r w:rsidRPr="00B82E38">
        <w:rPr>
          <w:rFonts w:ascii="Book Antiqua" w:eastAsia="Book Antiqua" w:hAnsi="Book Antiqua" w:cs="Book Antiqua"/>
          <w:color w:val="000000" w:themeColor="text1"/>
        </w:rPr>
        <w:t xml:space="preserve"> 2015; </w:t>
      </w:r>
      <w:r w:rsidRPr="00B82E38">
        <w:rPr>
          <w:rFonts w:ascii="Book Antiqua" w:eastAsia="Book Antiqua" w:hAnsi="Book Antiqua" w:cs="Book Antiqua"/>
          <w:b/>
          <w:bCs/>
          <w:color w:val="000000" w:themeColor="text1"/>
        </w:rPr>
        <w:t>60</w:t>
      </w:r>
      <w:r w:rsidRPr="00B82E38">
        <w:rPr>
          <w:rFonts w:ascii="Book Antiqua" w:eastAsia="Book Antiqua" w:hAnsi="Book Antiqua" w:cs="Book Antiqua"/>
          <w:color w:val="000000" w:themeColor="text1"/>
        </w:rPr>
        <w:t>: 1059-1066 [PMID: 25316553 DOI: 10.1007/s10620-014-3391-0]</w:t>
      </w:r>
    </w:p>
    <w:p w14:paraId="254F7D12" w14:textId="77777777" w:rsidR="00BA37FB" w:rsidRPr="00B82E38" w:rsidRDefault="008F363E" w:rsidP="00372A8C">
      <w:pPr>
        <w:spacing w:line="360" w:lineRule="auto"/>
        <w:jc w:val="both"/>
        <w:rPr>
          <w:rFonts w:ascii="Book Antiqua" w:hAnsi="Book Antiqua"/>
          <w:color w:val="000000" w:themeColor="text1"/>
        </w:rPr>
      </w:pPr>
      <w:r w:rsidRPr="00B82E38">
        <w:rPr>
          <w:rFonts w:ascii="Book Antiqua" w:eastAsia="Book Antiqua" w:hAnsi="Book Antiqua" w:cs="Book Antiqua"/>
          <w:color w:val="000000" w:themeColor="text1"/>
        </w:rPr>
        <w:t>2</w:t>
      </w:r>
      <w:r w:rsidRPr="00B82E38">
        <w:rPr>
          <w:rFonts w:ascii="Book Antiqua" w:eastAsia="宋体" w:hAnsi="Book Antiqua" w:cs="Book Antiqua"/>
          <w:color w:val="000000" w:themeColor="text1"/>
          <w:lang w:eastAsia="zh-CN"/>
        </w:rPr>
        <w:t>9</w:t>
      </w:r>
      <w:r w:rsidRPr="00B82E38">
        <w:rPr>
          <w:rFonts w:ascii="Book Antiqua" w:eastAsia="Book Antiqua" w:hAnsi="Book Antiqua" w:cs="Book Antiqua"/>
          <w:color w:val="000000" w:themeColor="text1"/>
        </w:rPr>
        <w:t xml:space="preserve"> </w:t>
      </w:r>
      <w:r w:rsidRPr="00B82E38">
        <w:rPr>
          <w:rFonts w:ascii="Book Antiqua" w:eastAsia="Book Antiqua" w:hAnsi="Book Antiqua" w:cs="Book Antiqua"/>
          <w:b/>
          <w:bCs/>
          <w:color w:val="000000" w:themeColor="text1"/>
        </w:rPr>
        <w:t>Bai M</w:t>
      </w:r>
      <w:r w:rsidRPr="00B82E38">
        <w:rPr>
          <w:rFonts w:ascii="Book Antiqua" w:eastAsia="Book Antiqua" w:hAnsi="Book Antiqua" w:cs="Book Antiqua"/>
          <w:color w:val="000000" w:themeColor="text1"/>
        </w:rPr>
        <w:t xml:space="preserve">, Qi X, Yang Z, Yin Z, </w:t>
      </w:r>
      <w:proofErr w:type="spellStart"/>
      <w:r w:rsidRPr="00B82E38">
        <w:rPr>
          <w:rFonts w:ascii="Book Antiqua" w:eastAsia="Book Antiqua" w:hAnsi="Book Antiqua" w:cs="Book Antiqua"/>
          <w:color w:val="000000" w:themeColor="text1"/>
        </w:rPr>
        <w:t>Nie</w:t>
      </w:r>
      <w:proofErr w:type="spellEnd"/>
      <w:r w:rsidRPr="00B82E38">
        <w:rPr>
          <w:rFonts w:ascii="Book Antiqua" w:eastAsia="Book Antiqua" w:hAnsi="Book Antiqua" w:cs="Book Antiqua"/>
          <w:color w:val="000000" w:themeColor="text1"/>
        </w:rPr>
        <w:t xml:space="preserve"> Y, Yuan S, Wu K, Han G, Fan D. Predictors of hepatic encephalopathy after </w:t>
      </w:r>
      <w:proofErr w:type="spellStart"/>
      <w:r w:rsidRPr="00B82E38">
        <w:rPr>
          <w:rFonts w:ascii="Book Antiqua" w:eastAsia="Book Antiqua" w:hAnsi="Book Antiqua" w:cs="Book Antiqua"/>
          <w:color w:val="000000" w:themeColor="text1"/>
        </w:rPr>
        <w:t>transjugular</w:t>
      </w:r>
      <w:proofErr w:type="spellEnd"/>
      <w:r w:rsidRPr="00B82E38">
        <w:rPr>
          <w:rFonts w:ascii="Book Antiqua" w:eastAsia="Book Antiqua" w:hAnsi="Book Antiqua" w:cs="Book Antiqua"/>
          <w:color w:val="000000" w:themeColor="text1"/>
        </w:rPr>
        <w:t xml:space="preserve"> intrahepatic portosystemic shunt in cirrhotic patients: a systematic review. </w:t>
      </w:r>
      <w:r w:rsidRPr="00B82E38">
        <w:rPr>
          <w:rFonts w:ascii="Book Antiqua" w:eastAsia="Book Antiqua" w:hAnsi="Book Antiqua" w:cs="Book Antiqua"/>
          <w:i/>
          <w:iCs/>
          <w:color w:val="000000" w:themeColor="text1"/>
        </w:rPr>
        <w:t>J Gastroenterol Hepatol</w:t>
      </w:r>
      <w:r w:rsidRPr="00B82E38">
        <w:rPr>
          <w:rFonts w:ascii="Book Antiqua" w:eastAsia="Book Antiqua" w:hAnsi="Book Antiqua" w:cs="Book Antiqua"/>
          <w:color w:val="000000" w:themeColor="text1"/>
        </w:rPr>
        <w:t xml:space="preserve"> 2011; </w:t>
      </w:r>
      <w:r w:rsidRPr="00B82E38">
        <w:rPr>
          <w:rFonts w:ascii="Book Antiqua" w:eastAsia="Book Antiqua" w:hAnsi="Book Antiqua" w:cs="Book Antiqua"/>
          <w:b/>
          <w:bCs/>
          <w:color w:val="000000" w:themeColor="text1"/>
        </w:rPr>
        <w:t>26</w:t>
      </w:r>
      <w:r w:rsidRPr="00B82E38">
        <w:rPr>
          <w:rFonts w:ascii="Book Antiqua" w:eastAsia="Book Antiqua" w:hAnsi="Book Antiqua" w:cs="Book Antiqua"/>
          <w:color w:val="000000" w:themeColor="text1"/>
        </w:rPr>
        <w:t>: 943-951 [PMID: 21251067 DOI: 10.1111/j.1440-1746.2011.06663.x]</w:t>
      </w:r>
    </w:p>
    <w:p w14:paraId="757DF53A" w14:textId="77777777" w:rsidR="00BA37FB" w:rsidRPr="00B82E38" w:rsidRDefault="008F363E" w:rsidP="00372A8C">
      <w:pPr>
        <w:spacing w:line="360" w:lineRule="auto"/>
        <w:jc w:val="both"/>
        <w:rPr>
          <w:rFonts w:ascii="Book Antiqua" w:hAnsi="Book Antiqua"/>
          <w:color w:val="000000" w:themeColor="text1"/>
        </w:rPr>
      </w:pPr>
      <w:r w:rsidRPr="00B82E38">
        <w:rPr>
          <w:rFonts w:ascii="Book Antiqua" w:eastAsia="宋体" w:hAnsi="Book Antiqua" w:cs="Book Antiqua"/>
          <w:color w:val="000000" w:themeColor="text1"/>
          <w:lang w:eastAsia="zh-CN"/>
        </w:rPr>
        <w:t>30</w:t>
      </w:r>
      <w:r w:rsidRPr="00B82E38">
        <w:rPr>
          <w:rFonts w:ascii="Book Antiqua" w:eastAsia="Book Antiqua" w:hAnsi="Book Antiqua" w:cs="Book Antiqua"/>
          <w:color w:val="000000" w:themeColor="text1"/>
        </w:rPr>
        <w:t xml:space="preserve"> </w:t>
      </w:r>
      <w:r w:rsidRPr="00B82E38">
        <w:rPr>
          <w:rFonts w:ascii="Book Antiqua" w:eastAsia="Book Antiqua" w:hAnsi="Book Antiqua" w:cs="Book Antiqua"/>
          <w:b/>
          <w:bCs/>
          <w:color w:val="000000" w:themeColor="text1"/>
        </w:rPr>
        <w:t>Bigot A</w:t>
      </w:r>
      <w:r w:rsidRPr="00B82E38">
        <w:rPr>
          <w:rFonts w:ascii="Book Antiqua" w:eastAsia="Book Antiqua" w:hAnsi="Book Antiqua" w:cs="Book Antiqua"/>
          <w:color w:val="000000" w:themeColor="text1"/>
        </w:rPr>
        <w:t xml:space="preserve">, </w:t>
      </w:r>
      <w:proofErr w:type="spellStart"/>
      <w:r w:rsidRPr="00B82E38">
        <w:rPr>
          <w:rFonts w:ascii="Book Antiqua" w:eastAsia="Book Antiqua" w:hAnsi="Book Antiqua" w:cs="Book Antiqua"/>
          <w:color w:val="000000" w:themeColor="text1"/>
        </w:rPr>
        <w:t>Tchan</w:t>
      </w:r>
      <w:proofErr w:type="spellEnd"/>
      <w:r w:rsidRPr="00B82E38">
        <w:rPr>
          <w:rFonts w:ascii="Book Antiqua" w:eastAsia="Book Antiqua" w:hAnsi="Book Antiqua" w:cs="Book Antiqua"/>
          <w:color w:val="000000" w:themeColor="text1"/>
        </w:rPr>
        <w:t xml:space="preserve"> MC, Thoreau B, </w:t>
      </w:r>
      <w:proofErr w:type="spellStart"/>
      <w:r w:rsidRPr="00B82E38">
        <w:rPr>
          <w:rFonts w:ascii="Book Antiqua" w:eastAsia="Book Antiqua" w:hAnsi="Book Antiqua" w:cs="Book Antiqua"/>
          <w:color w:val="000000" w:themeColor="text1"/>
        </w:rPr>
        <w:t>Blasco</w:t>
      </w:r>
      <w:proofErr w:type="spellEnd"/>
      <w:r w:rsidRPr="00B82E38">
        <w:rPr>
          <w:rFonts w:ascii="Book Antiqua" w:eastAsia="Book Antiqua" w:hAnsi="Book Antiqua" w:cs="Book Antiqua"/>
          <w:color w:val="000000" w:themeColor="text1"/>
        </w:rPr>
        <w:t xml:space="preserve"> H, Maillot F. Liver involvement in urea cycle disorders: a review of the literature. </w:t>
      </w:r>
      <w:r w:rsidRPr="00B82E38">
        <w:rPr>
          <w:rFonts w:ascii="Book Antiqua" w:eastAsia="Book Antiqua" w:hAnsi="Book Antiqua" w:cs="Book Antiqua"/>
          <w:i/>
          <w:iCs/>
          <w:color w:val="000000" w:themeColor="text1"/>
        </w:rPr>
        <w:t xml:space="preserve">J Inherit </w:t>
      </w:r>
      <w:proofErr w:type="spellStart"/>
      <w:r w:rsidRPr="00B82E38">
        <w:rPr>
          <w:rFonts w:ascii="Book Antiqua" w:eastAsia="Book Antiqua" w:hAnsi="Book Antiqua" w:cs="Book Antiqua"/>
          <w:i/>
          <w:iCs/>
          <w:color w:val="000000" w:themeColor="text1"/>
        </w:rPr>
        <w:t>Metab</w:t>
      </w:r>
      <w:proofErr w:type="spellEnd"/>
      <w:r w:rsidRPr="00B82E38">
        <w:rPr>
          <w:rFonts w:ascii="Book Antiqua" w:eastAsia="Book Antiqua" w:hAnsi="Book Antiqua" w:cs="Book Antiqua"/>
          <w:i/>
          <w:iCs/>
          <w:color w:val="000000" w:themeColor="text1"/>
        </w:rPr>
        <w:t xml:space="preserve"> Dis</w:t>
      </w:r>
      <w:r w:rsidRPr="00B82E38">
        <w:rPr>
          <w:rFonts w:ascii="Book Antiqua" w:eastAsia="Book Antiqua" w:hAnsi="Book Antiqua" w:cs="Book Antiqua"/>
          <w:color w:val="000000" w:themeColor="text1"/>
        </w:rPr>
        <w:t xml:space="preserve"> 2017; </w:t>
      </w:r>
      <w:r w:rsidRPr="00B82E38">
        <w:rPr>
          <w:rFonts w:ascii="Book Antiqua" w:eastAsia="Book Antiqua" w:hAnsi="Book Antiqua" w:cs="Book Antiqua"/>
          <w:b/>
          <w:bCs/>
          <w:color w:val="000000" w:themeColor="text1"/>
        </w:rPr>
        <w:t>40</w:t>
      </w:r>
      <w:r w:rsidRPr="00B82E38">
        <w:rPr>
          <w:rFonts w:ascii="Book Antiqua" w:eastAsia="Book Antiqua" w:hAnsi="Book Antiqua" w:cs="Book Antiqua"/>
          <w:color w:val="000000" w:themeColor="text1"/>
        </w:rPr>
        <w:t>: 757-769 [PMID: 28900784 DOI: 10.1007/s10545-017-0088-5]</w:t>
      </w:r>
    </w:p>
    <w:p w14:paraId="7C359C2A" w14:textId="77777777" w:rsidR="00BA37FB" w:rsidRPr="00B82E38" w:rsidRDefault="008F363E" w:rsidP="00372A8C">
      <w:pPr>
        <w:spacing w:line="360" w:lineRule="auto"/>
        <w:jc w:val="both"/>
        <w:rPr>
          <w:rFonts w:ascii="Book Antiqua" w:hAnsi="Book Antiqua"/>
          <w:color w:val="000000" w:themeColor="text1"/>
        </w:rPr>
      </w:pPr>
      <w:r w:rsidRPr="00B82E38">
        <w:rPr>
          <w:rFonts w:ascii="Book Antiqua" w:eastAsia="Book Antiqua" w:hAnsi="Book Antiqua" w:cs="Book Antiqua"/>
          <w:color w:val="000000" w:themeColor="text1"/>
        </w:rPr>
        <w:t>3</w:t>
      </w:r>
      <w:r w:rsidRPr="00B82E38">
        <w:rPr>
          <w:rFonts w:ascii="Book Antiqua" w:eastAsia="宋体" w:hAnsi="Book Antiqua" w:cs="Book Antiqua"/>
          <w:color w:val="000000" w:themeColor="text1"/>
          <w:lang w:eastAsia="zh-CN"/>
        </w:rPr>
        <w:t>1</w:t>
      </w:r>
      <w:r w:rsidRPr="00B82E38">
        <w:rPr>
          <w:rFonts w:ascii="Book Antiqua" w:eastAsia="Book Antiqua" w:hAnsi="Book Antiqua" w:cs="Book Antiqua"/>
          <w:color w:val="000000" w:themeColor="text1"/>
        </w:rPr>
        <w:t xml:space="preserve"> </w:t>
      </w:r>
      <w:proofErr w:type="spellStart"/>
      <w:r w:rsidRPr="00B82E38">
        <w:rPr>
          <w:rFonts w:ascii="Book Antiqua" w:eastAsia="Book Antiqua" w:hAnsi="Book Antiqua" w:cs="Book Antiqua"/>
          <w:b/>
          <w:bCs/>
          <w:color w:val="000000" w:themeColor="text1"/>
        </w:rPr>
        <w:t>Hiwatashi</w:t>
      </w:r>
      <w:proofErr w:type="spellEnd"/>
      <w:r w:rsidRPr="00B82E38">
        <w:rPr>
          <w:rFonts w:ascii="Book Antiqua" w:eastAsia="Book Antiqua" w:hAnsi="Book Antiqua" w:cs="Book Antiqua"/>
          <w:b/>
          <w:bCs/>
          <w:color w:val="000000" w:themeColor="text1"/>
        </w:rPr>
        <w:t xml:space="preserve"> K</w:t>
      </w:r>
      <w:r w:rsidRPr="00B82E38">
        <w:rPr>
          <w:rFonts w:ascii="Book Antiqua" w:eastAsia="Book Antiqua" w:hAnsi="Book Antiqua" w:cs="Book Antiqua"/>
          <w:color w:val="000000" w:themeColor="text1"/>
        </w:rPr>
        <w:t xml:space="preserve">, Ueno S, Sakoda M, Iino S, Minami K, Mori S, Kita Y, Baba K, </w:t>
      </w:r>
      <w:proofErr w:type="spellStart"/>
      <w:r w:rsidRPr="00B82E38">
        <w:rPr>
          <w:rFonts w:ascii="Book Antiqua" w:eastAsia="Book Antiqua" w:hAnsi="Book Antiqua" w:cs="Book Antiqua"/>
          <w:color w:val="000000" w:themeColor="text1"/>
        </w:rPr>
        <w:t>Kurahara</w:t>
      </w:r>
      <w:proofErr w:type="spellEnd"/>
      <w:r w:rsidRPr="00B82E38">
        <w:rPr>
          <w:rFonts w:ascii="Book Antiqua" w:eastAsia="Book Antiqua" w:hAnsi="Book Antiqua" w:cs="Book Antiqua"/>
          <w:color w:val="000000" w:themeColor="text1"/>
        </w:rPr>
        <w:t xml:space="preserve"> H, </w:t>
      </w:r>
      <w:proofErr w:type="spellStart"/>
      <w:r w:rsidRPr="00B82E38">
        <w:rPr>
          <w:rFonts w:ascii="Book Antiqua" w:eastAsia="Book Antiqua" w:hAnsi="Book Antiqua" w:cs="Book Antiqua"/>
          <w:color w:val="000000" w:themeColor="text1"/>
        </w:rPr>
        <w:t>Mataki</w:t>
      </w:r>
      <w:proofErr w:type="spellEnd"/>
      <w:r w:rsidRPr="00B82E38">
        <w:rPr>
          <w:rFonts w:ascii="Book Antiqua" w:eastAsia="Book Antiqua" w:hAnsi="Book Antiqua" w:cs="Book Antiqua"/>
          <w:color w:val="000000" w:themeColor="text1"/>
        </w:rPr>
        <w:t xml:space="preserve"> Y, </w:t>
      </w:r>
      <w:proofErr w:type="spellStart"/>
      <w:r w:rsidRPr="00B82E38">
        <w:rPr>
          <w:rFonts w:ascii="Book Antiqua" w:eastAsia="Book Antiqua" w:hAnsi="Book Antiqua" w:cs="Book Antiqua"/>
          <w:color w:val="000000" w:themeColor="text1"/>
        </w:rPr>
        <w:t>Maemura</w:t>
      </w:r>
      <w:proofErr w:type="spellEnd"/>
      <w:r w:rsidRPr="00B82E38">
        <w:rPr>
          <w:rFonts w:ascii="Book Antiqua" w:eastAsia="Book Antiqua" w:hAnsi="Book Antiqua" w:cs="Book Antiqua"/>
          <w:color w:val="000000" w:themeColor="text1"/>
        </w:rPr>
        <w:t xml:space="preserve"> K, </w:t>
      </w:r>
      <w:proofErr w:type="spellStart"/>
      <w:r w:rsidRPr="00B82E38">
        <w:rPr>
          <w:rFonts w:ascii="Book Antiqua" w:eastAsia="Book Antiqua" w:hAnsi="Book Antiqua" w:cs="Book Antiqua"/>
          <w:color w:val="000000" w:themeColor="text1"/>
        </w:rPr>
        <w:t>Shinchi</w:t>
      </w:r>
      <w:proofErr w:type="spellEnd"/>
      <w:r w:rsidRPr="00B82E38">
        <w:rPr>
          <w:rFonts w:ascii="Book Antiqua" w:eastAsia="Book Antiqua" w:hAnsi="Book Antiqua" w:cs="Book Antiqua"/>
          <w:color w:val="000000" w:themeColor="text1"/>
        </w:rPr>
        <w:t xml:space="preserve"> H, </w:t>
      </w:r>
      <w:proofErr w:type="spellStart"/>
      <w:r w:rsidRPr="00B82E38">
        <w:rPr>
          <w:rFonts w:ascii="Book Antiqua" w:eastAsia="Book Antiqua" w:hAnsi="Book Antiqua" w:cs="Book Antiqua"/>
          <w:color w:val="000000" w:themeColor="text1"/>
        </w:rPr>
        <w:t>Natsugoe</w:t>
      </w:r>
      <w:proofErr w:type="spellEnd"/>
      <w:r w:rsidRPr="00B82E38">
        <w:rPr>
          <w:rFonts w:ascii="Book Antiqua" w:eastAsia="Book Antiqua" w:hAnsi="Book Antiqua" w:cs="Book Antiqua"/>
          <w:color w:val="000000" w:themeColor="text1"/>
        </w:rPr>
        <w:t xml:space="preserve"> S. The Evaluation of Liver Function and Surgical Influence by ICGR15 after Chemotherapy for Colorectal Liver Metastases. </w:t>
      </w:r>
      <w:r w:rsidRPr="00B82E38">
        <w:rPr>
          <w:rFonts w:ascii="Book Antiqua" w:eastAsia="Book Antiqua" w:hAnsi="Book Antiqua" w:cs="Book Antiqua"/>
          <w:i/>
          <w:iCs/>
          <w:color w:val="000000" w:themeColor="text1"/>
        </w:rPr>
        <w:t>J Cancer</w:t>
      </w:r>
      <w:r w:rsidRPr="00B82E38">
        <w:rPr>
          <w:rFonts w:ascii="Book Antiqua" w:eastAsia="Book Antiqua" w:hAnsi="Book Antiqua" w:cs="Book Antiqua"/>
          <w:color w:val="000000" w:themeColor="text1"/>
        </w:rPr>
        <w:t xml:space="preserve"> 2016; </w:t>
      </w:r>
      <w:r w:rsidRPr="00B82E38">
        <w:rPr>
          <w:rFonts w:ascii="Book Antiqua" w:eastAsia="Book Antiqua" w:hAnsi="Book Antiqua" w:cs="Book Antiqua"/>
          <w:b/>
          <w:bCs/>
          <w:color w:val="000000" w:themeColor="text1"/>
        </w:rPr>
        <w:t>7</w:t>
      </w:r>
      <w:r w:rsidRPr="00B82E38">
        <w:rPr>
          <w:rFonts w:ascii="Book Antiqua" w:eastAsia="Book Antiqua" w:hAnsi="Book Antiqua" w:cs="Book Antiqua"/>
          <w:color w:val="000000" w:themeColor="text1"/>
        </w:rPr>
        <w:t>: 595-599 [PMID: 27053958 DOI: 10.7150/jca.13759]</w:t>
      </w:r>
    </w:p>
    <w:p w14:paraId="2FB4FF41" w14:textId="77777777" w:rsidR="00BA37FB" w:rsidRPr="00B82E38" w:rsidRDefault="008F363E" w:rsidP="00372A8C">
      <w:pPr>
        <w:spacing w:line="360" w:lineRule="auto"/>
        <w:jc w:val="both"/>
        <w:rPr>
          <w:rFonts w:ascii="Book Antiqua" w:hAnsi="Book Antiqua"/>
          <w:color w:val="000000" w:themeColor="text1"/>
        </w:rPr>
      </w:pPr>
      <w:r w:rsidRPr="00B82E38">
        <w:rPr>
          <w:rFonts w:ascii="Book Antiqua" w:eastAsia="Book Antiqua" w:hAnsi="Book Antiqua" w:cs="Book Antiqua"/>
          <w:color w:val="000000" w:themeColor="text1"/>
        </w:rPr>
        <w:t>3</w:t>
      </w:r>
      <w:r w:rsidRPr="00B82E38">
        <w:rPr>
          <w:rFonts w:ascii="Book Antiqua" w:eastAsia="宋体" w:hAnsi="Book Antiqua" w:cs="Book Antiqua"/>
          <w:color w:val="000000" w:themeColor="text1"/>
          <w:lang w:eastAsia="zh-CN"/>
        </w:rPr>
        <w:t>2</w:t>
      </w:r>
      <w:r w:rsidRPr="00B82E38">
        <w:rPr>
          <w:rFonts w:ascii="Book Antiqua" w:eastAsia="Book Antiqua" w:hAnsi="Book Antiqua" w:cs="Book Antiqua"/>
          <w:color w:val="000000" w:themeColor="text1"/>
        </w:rPr>
        <w:t xml:space="preserve"> </w:t>
      </w:r>
      <w:r w:rsidRPr="00B82E38">
        <w:rPr>
          <w:rFonts w:ascii="Book Antiqua" w:eastAsia="Book Antiqua" w:hAnsi="Book Antiqua" w:cs="Book Antiqua"/>
          <w:b/>
          <w:bCs/>
          <w:color w:val="000000" w:themeColor="text1"/>
        </w:rPr>
        <w:t>Wang YY</w:t>
      </w:r>
      <w:r w:rsidRPr="00B82E38">
        <w:rPr>
          <w:rFonts w:ascii="Book Antiqua" w:eastAsia="Book Antiqua" w:hAnsi="Book Antiqua" w:cs="Book Antiqua"/>
          <w:color w:val="000000" w:themeColor="text1"/>
        </w:rPr>
        <w:t xml:space="preserve">, Zhao XH, Ma L, Ye JZ, Wu FX, Tang J, You XM, Xiang BD, Li LQ. Comparison of the ability of Child-Pugh score, MELD score, and ICG-R15 to assess preoperative hepatic functional reserve in patients with hepatocellular carcinoma. </w:t>
      </w:r>
      <w:r w:rsidRPr="00B82E38">
        <w:rPr>
          <w:rFonts w:ascii="Book Antiqua" w:eastAsia="Book Antiqua" w:hAnsi="Book Antiqua" w:cs="Book Antiqua"/>
          <w:i/>
          <w:iCs/>
          <w:color w:val="000000" w:themeColor="text1"/>
        </w:rPr>
        <w:t>J Surg Oncol</w:t>
      </w:r>
      <w:r w:rsidRPr="00B82E38">
        <w:rPr>
          <w:rFonts w:ascii="Book Antiqua" w:eastAsia="Book Antiqua" w:hAnsi="Book Antiqua" w:cs="Book Antiqua"/>
          <w:color w:val="000000" w:themeColor="text1"/>
        </w:rPr>
        <w:t xml:space="preserve"> 2018; </w:t>
      </w:r>
      <w:r w:rsidRPr="00B82E38">
        <w:rPr>
          <w:rFonts w:ascii="Book Antiqua" w:eastAsia="Book Antiqua" w:hAnsi="Book Antiqua" w:cs="Book Antiqua"/>
          <w:b/>
          <w:bCs/>
          <w:color w:val="000000" w:themeColor="text1"/>
        </w:rPr>
        <w:t>118</w:t>
      </w:r>
      <w:r w:rsidRPr="00B82E38">
        <w:rPr>
          <w:rFonts w:ascii="Book Antiqua" w:eastAsia="Book Antiqua" w:hAnsi="Book Antiqua" w:cs="Book Antiqua"/>
          <w:color w:val="000000" w:themeColor="text1"/>
        </w:rPr>
        <w:t>: 440-445 [PMID: 30259515 DOI: 10.1002/jso.25184]</w:t>
      </w:r>
    </w:p>
    <w:p w14:paraId="4DB12E2A" w14:textId="77777777" w:rsidR="00BA37FB" w:rsidRPr="00B82E38" w:rsidRDefault="008F363E" w:rsidP="00372A8C">
      <w:pPr>
        <w:spacing w:line="360" w:lineRule="auto"/>
        <w:jc w:val="both"/>
        <w:rPr>
          <w:rFonts w:ascii="Book Antiqua" w:hAnsi="Book Antiqua"/>
          <w:color w:val="000000" w:themeColor="text1"/>
        </w:rPr>
      </w:pPr>
      <w:r w:rsidRPr="00B82E38">
        <w:rPr>
          <w:rFonts w:ascii="Book Antiqua" w:eastAsia="Book Antiqua" w:hAnsi="Book Antiqua" w:cs="Book Antiqua"/>
          <w:color w:val="000000" w:themeColor="text1"/>
        </w:rPr>
        <w:t>3</w:t>
      </w:r>
      <w:r w:rsidRPr="00B82E38">
        <w:rPr>
          <w:rFonts w:ascii="Book Antiqua" w:eastAsia="宋体" w:hAnsi="Book Antiqua" w:cs="Book Antiqua"/>
          <w:color w:val="000000" w:themeColor="text1"/>
          <w:lang w:eastAsia="zh-CN"/>
        </w:rPr>
        <w:t>3</w:t>
      </w:r>
      <w:r w:rsidRPr="00B82E38">
        <w:rPr>
          <w:rFonts w:ascii="Book Antiqua" w:eastAsia="Book Antiqua" w:hAnsi="Book Antiqua" w:cs="Book Antiqua"/>
          <w:color w:val="000000" w:themeColor="text1"/>
        </w:rPr>
        <w:t xml:space="preserve"> </w:t>
      </w:r>
      <w:proofErr w:type="spellStart"/>
      <w:r w:rsidRPr="00B82E38">
        <w:rPr>
          <w:rFonts w:ascii="Book Antiqua" w:eastAsia="Book Antiqua" w:hAnsi="Book Antiqua" w:cs="Book Antiqua"/>
          <w:b/>
          <w:bCs/>
          <w:color w:val="000000" w:themeColor="text1"/>
        </w:rPr>
        <w:t>Kokudo</w:t>
      </w:r>
      <w:proofErr w:type="spellEnd"/>
      <w:r w:rsidRPr="00B82E38">
        <w:rPr>
          <w:rFonts w:ascii="Book Antiqua" w:eastAsia="Book Antiqua" w:hAnsi="Book Antiqua" w:cs="Book Antiqua"/>
          <w:b/>
          <w:bCs/>
          <w:color w:val="000000" w:themeColor="text1"/>
        </w:rPr>
        <w:t xml:space="preserve"> T</w:t>
      </w:r>
      <w:r w:rsidRPr="00B82E38">
        <w:rPr>
          <w:rFonts w:ascii="Book Antiqua" w:eastAsia="Book Antiqua" w:hAnsi="Book Antiqua" w:cs="Book Antiqua"/>
          <w:color w:val="000000" w:themeColor="text1"/>
        </w:rPr>
        <w:t xml:space="preserve">, Hasegawa K, </w:t>
      </w:r>
      <w:proofErr w:type="spellStart"/>
      <w:r w:rsidRPr="00B82E38">
        <w:rPr>
          <w:rFonts w:ascii="Book Antiqua" w:eastAsia="Book Antiqua" w:hAnsi="Book Antiqua" w:cs="Book Antiqua"/>
          <w:color w:val="000000" w:themeColor="text1"/>
        </w:rPr>
        <w:t>Amikura</w:t>
      </w:r>
      <w:proofErr w:type="spellEnd"/>
      <w:r w:rsidRPr="00B82E38">
        <w:rPr>
          <w:rFonts w:ascii="Book Antiqua" w:eastAsia="Book Antiqua" w:hAnsi="Book Antiqua" w:cs="Book Antiqua"/>
          <w:color w:val="000000" w:themeColor="text1"/>
        </w:rPr>
        <w:t xml:space="preserve"> K, </w:t>
      </w:r>
      <w:proofErr w:type="spellStart"/>
      <w:r w:rsidRPr="00B82E38">
        <w:rPr>
          <w:rFonts w:ascii="Book Antiqua" w:eastAsia="Book Antiqua" w:hAnsi="Book Antiqua" w:cs="Book Antiqua"/>
          <w:color w:val="000000" w:themeColor="text1"/>
        </w:rPr>
        <w:t>Uldry</w:t>
      </w:r>
      <w:proofErr w:type="spellEnd"/>
      <w:r w:rsidRPr="00B82E38">
        <w:rPr>
          <w:rFonts w:ascii="Book Antiqua" w:eastAsia="Book Antiqua" w:hAnsi="Book Antiqua" w:cs="Book Antiqua"/>
          <w:color w:val="000000" w:themeColor="text1"/>
        </w:rPr>
        <w:t xml:space="preserve"> E, </w:t>
      </w:r>
      <w:proofErr w:type="spellStart"/>
      <w:r w:rsidRPr="00B82E38">
        <w:rPr>
          <w:rFonts w:ascii="Book Antiqua" w:eastAsia="Book Antiqua" w:hAnsi="Book Antiqua" w:cs="Book Antiqua"/>
          <w:color w:val="000000" w:themeColor="text1"/>
        </w:rPr>
        <w:t>Shirata</w:t>
      </w:r>
      <w:proofErr w:type="spellEnd"/>
      <w:r w:rsidRPr="00B82E38">
        <w:rPr>
          <w:rFonts w:ascii="Book Antiqua" w:eastAsia="Book Antiqua" w:hAnsi="Book Antiqua" w:cs="Book Antiqua"/>
          <w:color w:val="000000" w:themeColor="text1"/>
        </w:rPr>
        <w:t xml:space="preserve"> C, Yamaguchi T, </w:t>
      </w:r>
      <w:proofErr w:type="spellStart"/>
      <w:r w:rsidRPr="00B82E38">
        <w:rPr>
          <w:rFonts w:ascii="Book Antiqua" w:eastAsia="Book Antiqua" w:hAnsi="Book Antiqua" w:cs="Book Antiqua"/>
          <w:color w:val="000000" w:themeColor="text1"/>
        </w:rPr>
        <w:t>Arita</w:t>
      </w:r>
      <w:proofErr w:type="spellEnd"/>
      <w:r w:rsidRPr="00B82E38">
        <w:rPr>
          <w:rFonts w:ascii="Book Antiqua" w:eastAsia="Book Antiqua" w:hAnsi="Book Antiqua" w:cs="Book Antiqua"/>
          <w:color w:val="000000" w:themeColor="text1"/>
        </w:rPr>
        <w:t xml:space="preserve"> J, Kaneko J, Akamatsu N, Sakamoto Y, Takahashi A, Sakamoto H, Makuuchi M, Matsuyama Y, </w:t>
      </w:r>
      <w:proofErr w:type="spellStart"/>
      <w:r w:rsidRPr="00B82E38">
        <w:rPr>
          <w:rFonts w:ascii="Book Antiqua" w:eastAsia="Book Antiqua" w:hAnsi="Book Antiqua" w:cs="Book Antiqua"/>
          <w:color w:val="000000" w:themeColor="text1"/>
        </w:rPr>
        <w:lastRenderedPageBreak/>
        <w:t>Demartines</w:t>
      </w:r>
      <w:proofErr w:type="spellEnd"/>
      <w:r w:rsidRPr="00B82E38">
        <w:rPr>
          <w:rFonts w:ascii="Book Antiqua" w:eastAsia="Book Antiqua" w:hAnsi="Book Antiqua" w:cs="Book Antiqua"/>
          <w:color w:val="000000" w:themeColor="text1"/>
        </w:rPr>
        <w:t xml:space="preserve"> N, </w:t>
      </w:r>
      <w:proofErr w:type="spellStart"/>
      <w:r w:rsidRPr="00B82E38">
        <w:rPr>
          <w:rFonts w:ascii="Book Antiqua" w:eastAsia="Book Antiqua" w:hAnsi="Book Antiqua" w:cs="Book Antiqua"/>
          <w:color w:val="000000" w:themeColor="text1"/>
        </w:rPr>
        <w:t>Malagó</w:t>
      </w:r>
      <w:proofErr w:type="spellEnd"/>
      <w:r w:rsidRPr="00B82E38">
        <w:rPr>
          <w:rFonts w:ascii="Book Antiqua" w:eastAsia="Book Antiqua" w:hAnsi="Book Antiqua" w:cs="Book Antiqua"/>
          <w:color w:val="000000" w:themeColor="text1"/>
        </w:rPr>
        <w:t xml:space="preserve"> M, </w:t>
      </w:r>
      <w:proofErr w:type="spellStart"/>
      <w:r w:rsidRPr="00B82E38">
        <w:rPr>
          <w:rFonts w:ascii="Book Antiqua" w:eastAsia="Book Antiqua" w:hAnsi="Book Antiqua" w:cs="Book Antiqua"/>
          <w:color w:val="000000" w:themeColor="text1"/>
        </w:rPr>
        <w:t>Kokudo</w:t>
      </w:r>
      <w:proofErr w:type="spellEnd"/>
      <w:r w:rsidRPr="00B82E38">
        <w:rPr>
          <w:rFonts w:ascii="Book Antiqua" w:eastAsia="Book Antiqua" w:hAnsi="Book Antiqua" w:cs="Book Antiqua"/>
          <w:color w:val="000000" w:themeColor="text1"/>
        </w:rPr>
        <w:t xml:space="preserve"> N, </w:t>
      </w:r>
      <w:proofErr w:type="spellStart"/>
      <w:r w:rsidRPr="00B82E38">
        <w:rPr>
          <w:rFonts w:ascii="Book Antiqua" w:eastAsia="Book Antiqua" w:hAnsi="Book Antiqua" w:cs="Book Antiqua"/>
          <w:color w:val="000000" w:themeColor="text1"/>
        </w:rPr>
        <w:t>Halkic</w:t>
      </w:r>
      <w:proofErr w:type="spellEnd"/>
      <w:r w:rsidRPr="00B82E38">
        <w:rPr>
          <w:rFonts w:ascii="Book Antiqua" w:eastAsia="Book Antiqua" w:hAnsi="Book Antiqua" w:cs="Book Antiqua"/>
          <w:color w:val="000000" w:themeColor="text1"/>
        </w:rPr>
        <w:t xml:space="preserve"> N. Assessment of Preoperative Liver Function in Patients with Hepatocellular Carcinoma - The Albumin-Indocyanine Green Evaluation (ALICE) Grade. </w:t>
      </w:r>
      <w:proofErr w:type="spellStart"/>
      <w:r w:rsidRPr="00B82E38">
        <w:rPr>
          <w:rFonts w:ascii="Book Antiqua" w:eastAsia="Book Antiqua" w:hAnsi="Book Antiqua" w:cs="Book Antiqua"/>
          <w:i/>
          <w:iCs/>
          <w:color w:val="000000" w:themeColor="text1"/>
        </w:rPr>
        <w:t>PLoS</w:t>
      </w:r>
      <w:proofErr w:type="spellEnd"/>
      <w:r w:rsidRPr="00B82E38">
        <w:rPr>
          <w:rFonts w:ascii="Book Antiqua" w:eastAsia="Book Antiqua" w:hAnsi="Book Antiqua" w:cs="Book Antiqua"/>
          <w:i/>
          <w:iCs/>
          <w:color w:val="000000" w:themeColor="text1"/>
        </w:rPr>
        <w:t xml:space="preserve"> One</w:t>
      </w:r>
      <w:r w:rsidRPr="00B82E38">
        <w:rPr>
          <w:rFonts w:ascii="Book Antiqua" w:eastAsia="Book Antiqua" w:hAnsi="Book Antiqua" w:cs="Book Antiqua"/>
          <w:color w:val="000000" w:themeColor="text1"/>
        </w:rPr>
        <w:t xml:space="preserve"> 2016; </w:t>
      </w:r>
      <w:r w:rsidRPr="00B82E38">
        <w:rPr>
          <w:rFonts w:ascii="Book Antiqua" w:eastAsia="Book Antiqua" w:hAnsi="Book Antiqua" w:cs="Book Antiqua"/>
          <w:b/>
          <w:bCs/>
          <w:color w:val="000000" w:themeColor="text1"/>
        </w:rPr>
        <w:t>11</w:t>
      </w:r>
      <w:r w:rsidRPr="00B82E38">
        <w:rPr>
          <w:rFonts w:ascii="Book Antiqua" w:eastAsia="Book Antiqua" w:hAnsi="Book Antiqua" w:cs="Book Antiqua"/>
          <w:color w:val="000000" w:themeColor="text1"/>
        </w:rPr>
        <w:t>: e0159530 [PMID: 27434062 DOI: 10.1371/journal.pone.0159530]</w:t>
      </w:r>
    </w:p>
    <w:p w14:paraId="2144DB06" w14:textId="77777777" w:rsidR="00BA37FB" w:rsidRPr="00B82E38" w:rsidRDefault="008F363E" w:rsidP="00372A8C">
      <w:pPr>
        <w:spacing w:line="360" w:lineRule="auto"/>
        <w:jc w:val="both"/>
        <w:rPr>
          <w:rFonts w:ascii="Book Antiqua" w:hAnsi="Book Antiqua"/>
          <w:color w:val="000000" w:themeColor="text1"/>
        </w:rPr>
      </w:pPr>
      <w:r w:rsidRPr="00B82E38">
        <w:rPr>
          <w:rFonts w:ascii="Book Antiqua" w:eastAsia="Book Antiqua" w:hAnsi="Book Antiqua" w:cs="Book Antiqua"/>
          <w:color w:val="000000" w:themeColor="text1"/>
        </w:rPr>
        <w:t>3</w:t>
      </w:r>
      <w:r w:rsidRPr="00B82E38">
        <w:rPr>
          <w:rFonts w:ascii="Book Antiqua" w:eastAsia="宋体" w:hAnsi="Book Antiqua" w:cs="Book Antiqua"/>
          <w:color w:val="000000" w:themeColor="text1"/>
          <w:lang w:eastAsia="zh-CN"/>
        </w:rPr>
        <w:t>4</w:t>
      </w:r>
      <w:r w:rsidRPr="00B82E38">
        <w:rPr>
          <w:rFonts w:ascii="Book Antiqua" w:eastAsia="Book Antiqua" w:hAnsi="Book Antiqua" w:cs="Book Antiqua"/>
          <w:color w:val="000000" w:themeColor="text1"/>
        </w:rPr>
        <w:t xml:space="preserve"> </w:t>
      </w:r>
      <w:r w:rsidRPr="00B82E38">
        <w:rPr>
          <w:rFonts w:ascii="Book Antiqua" w:eastAsia="Book Antiqua" w:hAnsi="Book Antiqua" w:cs="Book Antiqua"/>
          <w:b/>
          <w:bCs/>
          <w:color w:val="000000" w:themeColor="text1"/>
        </w:rPr>
        <w:t>Wong M</w:t>
      </w:r>
      <w:r w:rsidRPr="00B82E38">
        <w:rPr>
          <w:rFonts w:ascii="Book Antiqua" w:eastAsia="Book Antiqua" w:hAnsi="Book Antiqua" w:cs="Book Antiqua"/>
          <w:color w:val="000000" w:themeColor="text1"/>
        </w:rPr>
        <w:t xml:space="preserve">, Busuttil RW. Surgery in Patients with Portal Hypertension. </w:t>
      </w:r>
      <w:r w:rsidRPr="00B82E38">
        <w:rPr>
          <w:rFonts w:ascii="Book Antiqua" w:eastAsia="Book Antiqua" w:hAnsi="Book Antiqua" w:cs="Book Antiqua"/>
          <w:i/>
          <w:iCs/>
          <w:color w:val="000000" w:themeColor="text1"/>
        </w:rPr>
        <w:t>Clin Liver Dis</w:t>
      </w:r>
      <w:r w:rsidRPr="00B82E38">
        <w:rPr>
          <w:rFonts w:ascii="Book Antiqua" w:eastAsia="Book Antiqua" w:hAnsi="Book Antiqua" w:cs="Book Antiqua"/>
          <w:color w:val="000000" w:themeColor="text1"/>
        </w:rPr>
        <w:t xml:space="preserve"> 2019; </w:t>
      </w:r>
      <w:r w:rsidRPr="00B82E38">
        <w:rPr>
          <w:rFonts w:ascii="Book Antiqua" w:eastAsia="Book Antiqua" w:hAnsi="Book Antiqua" w:cs="Book Antiqua"/>
          <w:b/>
          <w:bCs/>
          <w:color w:val="000000" w:themeColor="text1"/>
        </w:rPr>
        <w:t>23</w:t>
      </w:r>
      <w:r w:rsidRPr="00B82E38">
        <w:rPr>
          <w:rFonts w:ascii="Book Antiqua" w:eastAsia="Book Antiqua" w:hAnsi="Book Antiqua" w:cs="Book Antiqua"/>
          <w:color w:val="000000" w:themeColor="text1"/>
        </w:rPr>
        <w:t>: 755-780 [PMID: 31563221 DOI: 10.1016/j.cld.2019.07.003]</w:t>
      </w:r>
    </w:p>
    <w:p w14:paraId="69933FE2" w14:textId="77777777" w:rsidR="00BA37FB" w:rsidRPr="00B82E38" w:rsidRDefault="008F363E" w:rsidP="00372A8C">
      <w:pPr>
        <w:spacing w:line="360" w:lineRule="auto"/>
        <w:jc w:val="both"/>
        <w:rPr>
          <w:rFonts w:ascii="Book Antiqua" w:hAnsi="Book Antiqua"/>
          <w:color w:val="000000" w:themeColor="text1"/>
        </w:rPr>
      </w:pPr>
      <w:r w:rsidRPr="00B82E38">
        <w:rPr>
          <w:rFonts w:ascii="Book Antiqua" w:eastAsia="Book Antiqua" w:hAnsi="Book Antiqua" w:cs="Book Antiqua"/>
          <w:color w:val="000000" w:themeColor="text1"/>
        </w:rPr>
        <w:t>3</w:t>
      </w:r>
      <w:r w:rsidRPr="00B82E38">
        <w:rPr>
          <w:rFonts w:ascii="Book Antiqua" w:eastAsia="宋体" w:hAnsi="Book Antiqua" w:cs="Book Antiqua"/>
          <w:color w:val="000000" w:themeColor="text1"/>
          <w:lang w:eastAsia="zh-CN"/>
        </w:rPr>
        <w:t>5</w:t>
      </w:r>
      <w:r w:rsidRPr="00B82E38">
        <w:rPr>
          <w:rFonts w:ascii="Book Antiqua" w:eastAsia="Book Antiqua" w:hAnsi="Book Antiqua" w:cs="Book Antiqua"/>
          <w:color w:val="000000" w:themeColor="text1"/>
        </w:rPr>
        <w:t xml:space="preserve"> </w:t>
      </w:r>
      <w:r w:rsidRPr="00B82E38">
        <w:rPr>
          <w:rFonts w:ascii="Book Antiqua" w:eastAsia="Book Antiqua" w:hAnsi="Book Antiqua" w:cs="Book Antiqua"/>
          <w:b/>
          <w:bCs/>
          <w:color w:val="000000" w:themeColor="text1"/>
        </w:rPr>
        <w:t>Cheng XP</w:t>
      </w:r>
      <w:r w:rsidRPr="00B82E38">
        <w:rPr>
          <w:rFonts w:ascii="Book Antiqua" w:eastAsia="Book Antiqua" w:hAnsi="Book Antiqua" w:cs="Book Antiqua"/>
          <w:color w:val="000000" w:themeColor="text1"/>
        </w:rPr>
        <w:t xml:space="preserve">, Zhao J, Chen Y, Meng FK, Xu B, Yu HW, Meng QH, Liu YM, Zhang SB, Meng S, Zhang JY, Zhang JY, Duan ZP, Zheng SJ. Comparison of the ability of the PDD-ICG clearance test, CTP, MELD, and MELD-Na to predict short-term and medium-term mortality in patients with decompensated hepatitis B cirrhosis. </w:t>
      </w:r>
      <w:r w:rsidRPr="00B82E38">
        <w:rPr>
          <w:rFonts w:ascii="Book Antiqua" w:eastAsia="Book Antiqua" w:hAnsi="Book Antiqua" w:cs="Book Antiqua"/>
          <w:i/>
          <w:iCs/>
          <w:color w:val="000000" w:themeColor="text1"/>
        </w:rPr>
        <w:t>Eur J Gastroenterol Hepatol</w:t>
      </w:r>
      <w:r w:rsidRPr="00B82E38">
        <w:rPr>
          <w:rFonts w:ascii="Book Antiqua" w:eastAsia="Book Antiqua" w:hAnsi="Book Antiqua" w:cs="Book Antiqua"/>
          <w:color w:val="000000" w:themeColor="text1"/>
        </w:rPr>
        <w:t xml:space="preserve"> 2016; </w:t>
      </w:r>
      <w:r w:rsidRPr="00B82E38">
        <w:rPr>
          <w:rFonts w:ascii="Book Antiqua" w:eastAsia="Book Antiqua" w:hAnsi="Book Antiqua" w:cs="Book Antiqua"/>
          <w:b/>
          <w:bCs/>
          <w:color w:val="000000" w:themeColor="text1"/>
        </w:rPr>
        <w:t>28</w:t>
      </w:r>
      <w:r w:rsidRPr="00B82E38">
        <w:rPr>
          <w:rFonts w:ascii="Book Antiqua" w:eastAsia="Book Antiqua" w:hAnsi="Book Antiqua" w:cs="Book Antiqua"/>
          <w:color w:val="000000" w:themeColor="text1"/>
        </w:rPr>
        <w:t>: 444-448 [PMID: 26649802 DOI: 10.1097/MEG.0000000000000538]</w:t>
      </w:r>
    </w:p>
    <w:p w14:paraId="51069E9D" w14:textId="77777777" w:rsidR="00BA37FB" w:rsidRPr="00B82E38" w:rsidRDefault="00BA37FB" w:rsidP="00372A8C">
      <w:pPr>
        <w:spacing w:line="360" w:lineRule="auto"/>
        <w:jc w:val="both"/>
        <w:rPr>
          <w:rFonts w:ascii="Book Antiqua" w:hAnsi="Book Antiqua"/>
          <w:color w:val="000000" w:themeColor="text1"/>
        </w:rPr>
        <w:sectPr w:rsidR="00BA37FB" w:rsidRPr="00B82E38">
          <w:pgSz w:w="12240" w:h="15840"/>
          <w:pgMar w:top="1440" w:right="1440" w:bottom="1440" w:left="1440" w:header="720" w:footer="720" w:gutter="0"/>
          <w:cols w:space="720"/>
          <w:docGrid w:linePitch="360"/>
        </w:sectPr>
      </w:pPr>
    </w:p>
    <w:p w14:paraId="05FFBAE4" w14:textId="77777777" w:rsidR="00BA37FB" w:rsidRPr="00B82E38" w:rsidRDefault="008F363E" w:rsidP="00372A8C">
      <w:pPr>
        <w:spacing w:line="360" w:lineRule="auto"/>
        <w:jc w:val="both"/>
        <w:rPr>
          <w:rFonts w:ascii="Book Antiqua" w:hAnsi="Book Antiqua"/>
          <w:color w:val="000000" w:themeColor="text1"/>
        </w:rPr>
      </w:pPr>
      <w:r w:rsidRPr="00B82E38">
        <w:rPr>
          <w:rFonts w:ascii="Book Antiqua" w:eastAsia="Book Antiqua" w:hAnsi="Book Antiqua" w:cs="Book Antiqua"/>
          <w:b/>
          <w:color w:val="000000" w:themeColor="text1"/>
        </w:rPr>
        <w:lastRenderedPageBreak/>
        <w:t>Footnotes</w:t>
      </w:r>
    </w:p>
    <w:p w14:paraId="3EB165BD" w14:textId="00BE4462" w:rsidR="00BA37FB" w:rsidRPr="00B82E38" w:rsidRDefault="008F363E" w:rsidP="00372A8C">
      <w:pPr>
        <w:spacing w:line="360" w:lineRule="auto"/>
        <w:jc w:val="both"/>
        <w:rPr>
          <w:rFonts w:ascii="Book Antiqua" w:hAnsi="Book Antiqua"/>
          <w:color w:val="000000" w:themeColor="text1"/>
        </w:rPr>
      </w:pPr>
      <w:r w:rsidRPr="00B82E38">
        <w:rPr>
          <w:rFonts w:ascii="Book Antiqua" w:eastAsia="Book Antiqua" w:hAnsi="Book Antiqua" w:cs="Book Antiqua"/>
          <w:b/>
          <w:bCs/>
          <w:color w:val="000000" w:themeColor="text1"/>
        </w:rPr>
        <w:t xml:space="preserve">Institutional review board statement: </w:t>
      </w:r>
      <w:r w:rsidRPr="00B82E38">
        <w:rPr>
          <w:rFonts w:ascii="Book Antiqua" w:eastAsia="Book Antiqua" w:hAnsi="Book Antiqua" w:cs="Book Antiqua"/>
          <w:color w:val="000000" w:themeColor="text1"/>
        </w:rPr>
        <w:t>The study was revie</w:t>
      </w:r>
      <w:r w:rsidRPr="00B82E38">
        <w:rPr>
          <w:rFonts w:ascii="Book Antiqua" w:eastAsia="Book Antiqua" w:hAnsi="Book Antiqua" w:cs="Book Antiqua"/>
          <w:color w:val="000000" w:themeColor="text1"/>
        </w:rPr>
        <w:t xml:space="preserve">wed and approved by the </w:t>
      </w:r>
      <w:r w:rsidR="00422C74" w:rsidRPr="00B82E38">
        <w:rPr>
          <w:rFonts w:ascii="Book Antiqua" w:eastAsia="Book Antiqua" w:hAnsi="Book Antiqua" w:cs="Book Antiqua"/>
          <w:color w:val="000000" w:themeColor="text1"/>
        </w:rPr>
        <w:t xml:space="preserve">Institutional Review Board </w:t>
      </w:r>
      <w:r w:rsidR="00422C74">
        <w:rPr>
          <w:rFonts w:ascii="Book Antiqua" w:eastAsia="Book Antiqua" w:hAnsi="Book Antiqua" w:cs="Book Antiqua"/>
          <w:color w:val="000000" w:themeColor="text1"/>
        </w:rPr>
        <w:t xml:space="preserve">of </w:t>
      </w:r>
      <w:proofErr w:type="spellStart"/>
      <w:r w:rsidRPr="00B82E38">
        <w:rPr>
          <w:rFonts w:ascii="Book Antiqua" w:eastAsia="Book Antiqua" w:hAnsi="Book Antiqua" w:cs="Book Antiqua"/>
          <w:color w:val="000000" w:themeColor="text1"/>
        </w:rPr>
        <w:t>Shijitan</w:t>
      </w:r>
      <w:proofErr w:type="spellEnd"/>
      <w:r w:rsidRPr="00B82E38">
        <w:rPr>
          <w:rFonts w:ascii="Book Antiqua" w:eastAsia="Book Antiqua" w:hAnsi="Book Antiqua" w:cs="Book Antiqua"/>
          <w:color w:val="000000" w:themeColor="text1"/>
        </w:rPr>
        <w:t xml:space="preserve"> Hospital, Capital Medical University</w:t>
      </w:r>
      <w:r w:rsidR="00422C74">
        <w:rPr>
          <w:rFonts w:ascii="Book Antiqua" w:eastAsia="Book Antiqua" w:hAnsi="Book Antiqua" w:cs="Book Antiqua"/>
          <w:color w:val="000000" w:themeColor="text1"/>
        </w:rPr>
        <w:t xml:space="preserve"> (</w:t>
      </w:r>
      <w:r w:rsidRPr="00B82E38">
        <w:rPr>
          <w:rFonts w:ascii="Book Antiqua" w:eastAsia="Book Antiqua" w:hAnsi="Book Antiqua" w:cs="Book Antiqua"/>
          <w:color w:val="000000" w:themeColor="text1"/>
        </w:rPr>
        <w:t>No. KY2019.2</w:t>
      </w:r>
      <w:r w:rsidR="00422C74">
        <w:rPr>
          <w:rFonts w:ascii="Book Antiqua" w:eastAsia="Book Antiqua" w:hAnsi="Book Antiqua" w:cs="Book Antiqua"/>
          <w:color w:val="000000" w:themeColor="text1"/>
        </w:rPr>
        <w:t>)</w:t>
      </w:r>
      <w:r w:rsidRPr="00B82E38">
        <w:rPr>
          <w:rFonts w:ascii="Book Antiqua" w:eastAsia="Book Antiqua" w:hAnsi="Book Antiqua" w:cs="Book Antiqua"/>
          <w:color w:val="000000" w:themeColor="text1"/>
        </w:rPr>
        <w:t>.</w:t>
      </w:r>
    </w:p>
    <w:p w14:paraId="3698E43E" w14:textId="77777777" w:rsidR="00BA37FB" w:rsidRPr="00B82E38" w:rsidRDefault="00BA37FB" w:rsidP="00372A8C">
      <w:pPr>
        <w:spacing w:line="360" w:lineRule="auto"/>
        <w:jc w:val="both"/>
        <w:rPr>
          <w:rFonts w:ascii="Book Antiqua" w:hAnsi="Book Antiqua"/>
          <w:color w:val="000000" w:themeColor="text1"/>
        </w:rPr>
      </w:pPr>
    </w:p>
    <w:p w14:paraId="2278FD89" w14:textId="77777777" w:rsidR="00BA37FB" w:rsidRPr="00B82E38" w:rsidRDefault="008F363E" w:rsidP="00372A8C">
      <w:pPr>
        <w:spacing w:line="360" w:lineRule="auto"/>
        <w:jc w:val="both"/>
        <w:rPr>
          <w:rFonts w:ascii="Book Antiqua" w:hAnsi="Book Antiqua"/>
          <w:color w:val="000000" w:themeColor="text1"/>
        </w:rPr>
      </w:pPr>
      <w:r w:rsidRPr="00B82E38">
        <w:rPr>
          <w:rFonts w:ascii="Book Antiqua" w:eastAsia="Book Antiqua" w:hAnsi="Book Antiqua" w:cs="Book Antiqua"/>
          <w:b/>
          <w:bCs/>
          <w:color w:val="000000" w:themeColor="text1"/>
        </w:rPr>
        <w:t xml:space="preserve">Conflict-of-interest statement: </w:t>
      </w:r>
      <w:r w:rsidRPr="00B82E38">
        <w:rPr>
          <w:rFonts w:ascii="Book Antiqua" w:eastAsia="Book Antiqua" w:hAnsi="Book Antiqua" w:cs="Book Antiqua"/>
          <w:color w:val="000000" w:themeColor="text1"/>
        </w:rPr>
        <w:t>There are no conflicts of interest related to this study.</w:t>
      </w:r>
    </w:p>
    <w:p w14:paraId="16A33089" w14:textId="77777777" w:rsidR="00BA37FB" w:rsidRPr="00B82E38" w:rsidRDefault="00BA37FB" w:rsidP="00372A8C">
      <w:pPr>
        <w:spacing w:line="360" w:lineRule="auto"/>
        <w:jc w:val="both"/>
        <w:rPr>
          <w:rFonts w:ascii="Book Antiqua" w:hAnsi="Book Antiqua"/>
          <w:color w:val="000000" w:themeColor="text1"/>
        </w:rPr>
      </w:pPr>
    </w:p>
    <w:p w14:paraId="350772F1" w14:textId="77777777" w:rsidR="00C2376F" w:rsidRPr="00B82E38" w:rsidRDefault="00C2376F" w:rsidP="00372A8C">
      <w:pPr>
        <w:spacing w:line="360" w:lineRule="auto"/>
        <w:jc w:val="both"/>
        <w:rPr>
          <w:rFonts w:ascii="Book Antiqua" w:hAnsi="Book Antiqua"/>
          <w:color w:val="000000" w:themeColor="text1"/>
        </w:rPr>
      </w:pPr>
      <w:r w:rsidRPr="00B82E38">
        <w:rPr>
          <w:rFonts w:ascii="Book Antiqua" w:eastAsia="Book Antiqua" w:hAnsi="Book Antiqua" w:cs="Book Antiqua"/>
          <w:b/>
          <w:bCs/>
          <w:color w:val="000000" w:themeColor="text1"/>
        </w:rPr>
        <w:t xml:space="preserve">Data sharing statement: </w:t>
      </w:r>
      <w:r w:rsidRPr="00B82E38">
        <w:rPr>
          <w:rFonts w:ascii="Book Antiqua" w:eastAsia="Book Antiqua" w:hAnsi="Book Antiqua" w:cs="Book Antiqua"/>
          <w:bCs/>
          <w:color w:val="000000" w:themeColor="text1"/>
        </w:rPr>
        <w:t>No additional data are available.</w:t>
      </w:r>
    </w:p>
    <w:p w14:paraId="4D704894" w14:textId="77777777" w:rsidR="00C2376F" w:rsidRPr="00B82E38" w:rsidRDefault="00C2376F" w:rsidP="00372A8C">
      <w:pPr>
        <w:spacing w:line="360" w:lineRule="auto"/>
        <w:jc w:val="both"/>
        <w:rPr>
          <w:rFonts w:ascii="Book Antiqua" w:hAnsi="Book Antiqua"/>
          <w:color w:val="000000" w:themeColor="text1"/>
        </w:rPr>
      </w:pPr>
    </w:p>
    <w:p w14:paraId="0D89C15A" w14:textId="77777777" w:rsidR="00BA37FB" w:rsidRPr="00B82E38" w:rsidRDefault="008F363E" w:rsidP="00372A8C">
      <w:pPr>
        <w:spacing w:line="360" w:lineRule="auto"/>
        <w:jc w:val="both"/>
        <w:rPr>
          <w:rFonts w:ascii="Book Antiqua" w:hAnsi="Book Antiqua"/>
          <w:color w:val="000000" w:themeColor="text1"/>
        </w:rPr>
      </w:pPr>
      <w:r w:rsidRPr="00B82E38">
        <w:rPr>
          <w:rFonts w:ascii="Book Antiqua" w:eastAsia="Book Antiqua" w:hAnsi="Book Antiqua" w:cs="Book Antiqua"/>
          <w:b/>
          <w:bCs/>
          <w:color w:val="000000" w:themeColor="text1"/>
        </w:rPr>
        <w:t xml:space="preserve">Open-Access: </w:t>
      </w:r>
      <w:r w:rsidRPr="00B82E38">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B82E38">
        <w:rPr>
          <w:rFonts w:ascii="Book Antiqua" w:eastAsia="Book Antiqua" w:hAnsi="Book Antiqua" w:cs="Book Antiqua"/>
          <w:color w:val="000000" w:themeColor="text1"/>
        </w:rPr>
        <w:t>NonCommercial</w:t>
      </w:r>
      <w:proofErr w:type="spellEnd"/>
      <w:r w:rsidRPr="00B82E38">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8CB5B67" w14:textId="77777777" w:rsidR="00BA37FB" w:rsidRPr="00B82E38" w:rsidRDefault="00BA37FB" w:rsidP="00372A8C">
      <w:pPr>
        <w:spacing w:line="360" w:lineRule="auto"/>
        <w:jc w:val="both"/>
        <w:rPr>
          <w:rFonts w:ascii="Book Antiqua" w:hAnsi="Book Antiqua"/>
          <w:color w:val="000000" w:themeColor="text1"/>
        </w:rPr>
      </w:pPr>
    </w:p>
    <w:p w14:paraId="2C7E8A16" w14:textId="77777777" w:rsidR="00BA37FB" w:rsidRPr="00B82E38" w:rsidRDefault="008F363E" w:rsidP="00372A8C">
      <w:pPr>
        <w:spacing w:line="360" w:lineRule="auto"/>
        <w:jc w:val="both"/>
        <w:rPr>
          <w:rFonts w:ascii="Book Antiqua" w:hAnsi="Book Antiqua"/>
          <w:color w:val="000000" w:themeColor="text1"/>
        </w:rPr>
      </w:pPr>
      <w:r w:rsidRPr="00B82E38">
        <w:rPr>
          <w:rFonts w:ascii="Book Antiqua" w:eastAsia="Book Antiqua" w:hAnsi="Book Antiqua" w:cs="Book Antiqua"/>
          <w:b/>
          <w:color w:val="000000" w:themeColor="text1"/>
        </w:rPr>
        <w:t xml:space="preserve">Manuscript source: </w:t>
      </w:r>
      <w:r w:rsidRPr="00B82E38">
        <w:rPr>
          <w:rFonts w:ascii="Book Antiqua" w:eastAsia="Book Antiqua" w:hAnsi="Book Antiqua" w:cs="Book Antiqua"/>
          <w:color w:val="000000" w:themeColor="text1"/>
        </w:rPr>
        <w:t>Unsolicited manuscript</w:t>
      </w:r>
    </w:p>
    <w:p w14:paraId="0D8437A6" w14:textId="77777777" w:rsidR="00BA37FB" w:rsidRPr="00B82E38" w:rsidRDefault="00BA37FB" w:rsidP="00372A8C">
      <w:pPr>
        <w:spacing w:line="360" w:lineRule="auto"/>
        <w:jc w:val="both"/>
        <w:rPr>
          <w:rFonts w:ascii="Book Antiqua" w:hAnsi="Book Antiqua"/>
          <w:color w:val="000000" w:themeColor="text1"/>
        </w:rPr>
      </w:pPr>
    </w:p>
    <w:p w14:paraId="2457A3FD" w14:textId="77777777" w:rsidR="00BA37FB" w:rsidRPr="00B82E38" w:rsidRDefault="008F363E" w:rsidP="00372A8C">
      <w:pPr>
        <w:spacing w:line="360" w:lineRule="auto"/>
        <w:jc w:val="both"/>
        <w:rPr>
          <w:rFonts w:ascii="Book Antiqua" w:hAnsi="Book Antiqua"/>
          <w:color w:val="000000" w:themeColor="text1"/>
        </w:rPr>
      </w:pPr>
      <w:r w:rsidRPr="00B82E38">
        <w:rPr>
          <w:rFonts w:ascii="Book Antiqua" w:eastAsia="Book Antiqua" w:hAnsi="Book Antiqua" w:cs="Book Antiqua"/>
          <w:b/>
          <w:color w:val="000000" w:themeColor="text1"/>
        </w:rPr>
        <w:t xml:space="preserve">Peer-review started: </w:t>
      </w:r>
      <w:r w:rsidRPr="00B82E38">
        <w:rPr>
          <w:rFonts w:ascii="Book Antiqua" w:eastAsia="Book Antiqua" w:hAnsi="Book Antiqua" w:cs="Book Antiqua"/>
          <w:color w:val="000000" w:themeColor="text1"/>
        </w:rPr>
        <w:t>November 23, 2020</w:t>
      </w:r>
    </w:p>
    <w:p w14:paraId="513ADBBA" w14:textId="77777777" w:rsidR="00BA37FB" w:rsidRPr="00B82E38" w:rsidRDefault="008F363E" w:rsidP="00372A8C">
      <w:pPr>
        <w:spacing w:line="360" w:lineRule="auto"/>
        <w:jc w:val="both"/>
        <w:rPr>
          <w:rFonts w:ascii="Book Antiqua" w:hAnsi="Book Antiqua"/>
          <w:color w:val="000000" w:themeColor="text1"/>
        </w:rPr>
      </w:pPr>
      <w:r w:rsidRPr="00B82E38">
        <w:rPr>
          <w:rFonts w:ascii="Book Antiqua" w:eastAsia="Book Antiqua" w:hAnsi="Book Antiqua" w:cs="Book Antiqua"/>
          <w:b/>
          <w:color w:val="000000" w:themeColor="text1"/>
        </w:rPr>
        <w:t xml:space="preserve">First decision: </w:t>
      </w:r>
      <w:r w:rsidRPr="00B82E38">
        <w:rPr>
          <w:rFonts w:ascii="Book Antiqua" w:eastAsia="Book Antiqua" w:hAnsi="Book Antiqua" w:cs="Book Antiqua"/>
          <w:color w:val="000000" w:themeColor="text1"/>
        </w:rPr>
        <w:t>December 17, 2020</w:t>
      </w:r>
    </w:p>
    <w:p w14:paraId="5A0C5EF6" w14:textId="77777777" w:rsidR="00BA37FB" w:rsidRPr="00B82E38" w:rsidRDefault="008F363E" w:rsidP="00372A8C">
      <w:pPr>
        <w:spacing w:line="360" w:lineRule="auto"/>
        <w:jc w:val="both"/>
        <w:rPr>
          <w:rFonts w:ascii="Book Antiqua" w:hAnsi="Book Antiqua"/>
          <w:color w:val="000000" w:themeColor="text1"/>
        </w:rPr>
      </w:pPr>
      <w:r w:rsidRPr="00B82E38">
        <w:rPr>
          <w:rFonts w:ascii="Book Antiqua" w:eastAsia="Book Antiqua" w:hAnsi="Book Antiqua" w:cs="Book Antiqua"/>
          <w:b/>
          <w:color w:val="000000" w:themeColor="text1"/>
        </w:rPr>
        <w:t xml:space="preserve">Article in press: </w:t>
      </w:r>
    </w:p>
    <w:p w14:paraId="27A3EEE4" w14:textId="77777777" w:rsidR="00BA37FB" w:rsidRPr="00B82E38" w:rsidRDefault="00BA37FB" w:rsidP="00372A8C">
      <w:pPr>
        <w:spacing w:line="360" w:lineRule="auto"/>
        <w:jc w:val="both"/>
        <w:rPr>
          <w:rFonts w:ascii="Book Antiqua" w:hAnsi="Book Antiqua"/>
          <w:color w:val="000000" w:themeColor="text1"/>
        </w:rPr>
      </w:pPr>
    </w:p>
    <w:p w14:paraId="57106D67" w14:textId="77777777" w:rsidR="00BA37FB" w:rsidRPr="00B82E38" w:rsidRDefault="008F363E" w:rsidP="00372A8C">
      <w:pPr>
        <w:spacing w:line="360" w:lineRule="auto"/>
        <w:jc w:val="both"/>
        <w:rPr>
          <w:rFonts w:ascii="Book Antiqua" w:hAnsi="Book Antiqua"/>
          <w:color w:val="000000" w:themeColor="text1"/>
        </w:rPr>
      </w:pPr>
      <w:r w:rsidRPr="00B82E38">
        <w:rPr>
          <w:rFonts w:ascii="Book Antiqua" w:eastAsia="Book Antiqua" w:hAnsi="Book Antiqua" w:cs="Book Antiqua"/>
          <w:b/>
          <w:color w:val="000000" w:themeColor="text1"/>
        </w:rPr>
        <w:t xml:space="preserve">Specialty type: </w:t>
      </w:r>
      <w:r w:rsidRPr="00B82E38">
        <w:rPr>
          <w:rFonts w:ascii="Book Antiqua" w:eastAsia="Book Antiqua" w:hAnsi="Book Antiqua" w:cs="Book Antiqua"/>
          <w:color w:val="000000" w:themeColor="text1"/>
        </w:rPr>
        <w:t>Gastroenterology and hepatology</w:t>
      </w:r>
    </w:p>
    <w:p w14:paraId="2C41FAAF" w14:textId="77777777" w:rsidR="00BA37FB" w:rsidRPr="00B82E38" w:rsidRDefault="008F363E" w:rsidP="00372A8C">
      <w:pPr>
        <w:spacing w:line="360" w:lineRule="auto"/>
        <w:jc w:val="both"/>
        <w:rPr>
          <w:rFonts w:ascii="Book Antiqua" w:hAnsi="Book Antiqua"/>
          <w:color w:val="000000" w:themeColor="text1"/>
        </w:rPr>
      </w:pPr>
      <w:r w:rsidRPr="00B82E38">
        <w:rPr>
          <w:rFonts w:ascii="Book Antiqua" w:eastAsia="Book Antiqua" w:hAnsi="Book Antiqua" w:cs="Book Antiqua"/>
          <w:b/>
          <w:color w:val="000000" w:themeColor="text1"/>
        </w:rPr>
        <w:t xml:space="preserve">Country/Territory of origin: </w:t>
      </w:r>
      <w:r w:rsidRPr="00B82E38">
        <w:rPr>
          <w:rFonts w:ascii="Book Antiqua" w:eastAsia="Book Antiqua" w:hAnsi="Book Antiqua" w:cs="Book Antiqua"/>
          <w:color w:val="000000" w:themeColor="text1"/>
        </w:rPr>
        <w:t>China</w:t>
      </w:r>
    </w:p>
    <w:p w14:paraId="7A3AE57C" w14:textId="77777777" w:rsidR="00BA37FB" w:rsidRPr="00B82E38" w:rsidRDefault="008F363E" w:rsidP="00372A8C">
      <w:pPr>
        <w:spacing w:line="360" w:lineRule="auto"/>
        <w:jc w:val="both"/>
        <w:rPr>
          <w:rFonts w:ascii="Book Antiqua" w:hAnsi="Book Antiqua"/>
          <w:color w:val="000000" w:themeColor="text1"/>
        </w:rPr>
      </w:pPr>
      <w:r w:rsidRPr="00B82E38">
        <w:rPr>
          <w:rFonts w:ascii="Book Antiqua" w:eastAsia="Book Antiqua" w:hAnsi="Book Antiqua" w:cs="Book Antiqua"/>
          <w:b/>
          <w:color w:val="000000" w:themeColor="text1"/>
        </w:rPr>
        <w:t>Peer-review report’s scientific quality classification</w:t>
      </w:r>
    </w:p>
    <w:p w14:paraId="4082C50D" w14:textId="77777777" w:rsidR="00BA37FB" w:rsidRPr="00B82E38" w:rsidRDefault="008F363E" w:rsidP="00372A8C">
      <w:pPr>
        <w:spacing w:line="360" w:lineRule="auto"/>
        <w:jc w:val="both"/>
        <w:rPr>
          <w:rFonts w:ascii="Book Antiqua" w:hAnsi="Book Antiqua"/>
          <w:color w:val="000000" w:themeColor="text1"/>
        </w:rPr>
      </w:pPr>
      <w:r w:rsidRPr="00B82E38">
        <w:rPr>
          <w:rFonts w:ascii="Book Antiqua" w:eastAsia="Book Antiqua" w:hAnsi="Book Antiqua" w:cs="Book Antiqua"/>
          <w:color w:val="000000" w:themeColor="text1"/>
        </w:rPr>
        <w:t>Grade A (Excellent): A</w:t>
      </w:r>
    </w:p>
    <w:p w14:paraId="73CE5910" w14:textId="77777777" w:rsidR="00BA37FB" w:rsidRPr="00B82E38" w:rsidRDefault="008F363E" w:rsidP="00372A8C">
      <w:pPr>
        <w:spacing w:line="360" w:lineRule="auto"/>
        <w:jc w:val="both"/>
        <w:rPr>
          <w:rFonts w:ascii="Book Antiqua" w:hAnsi="Book Antiqua"/>
          <w:color w:val="000000" w:themeColor="text1"/>
        </w:rPr>
      </w:pPr>
      <w:r w:rsidRPr="00B82E38">
        <w:rPr>
          <w:rFonts w:ascii="Book Antiqua" w:eastAsia="Book Antiqua" w:hAnsi="Book Antiqua" w:cs="Book Antiqua"/>
          <w:color w:val="000000" w:themeColor="text1"/>
        </w:rPr>
        <w:t>Grade B (Very good): B, B</w:t>
      </w:r>
    </w:p>
    <w:p w14:paraId="4E3BB6BE" w14:textId="77777777" w:rsidR="00BA37FB" w:rsidRPr="00B82E38" w:rsidRDefault="008F363E" w:rsidP="00372A8C">
      <w:pPr>
        <w:spacing w:line="360" w:lineRule="auto"/>
        <w:jc w:val="both"/>
        <w:rPr>
          <w:rFonts w:ascii="Book Antiqua" w:hAnsi="Book Antiqua"/>
          <w:color w:val="000000" w:themeColor="text1"/>
        </w:rPr>
      </w:pPr>
      <w:r w:rsidRPr="00B82E38">
        <w:rPr>
          <w:rFonts w:ascii="Book Antiqua" w:eastAsia="Book Antiqua" w:hAnsi="Book Antiqua" w:cs="Book Antiqua"/>
          <w:color w:val="000000" w:themeColor="text1"/>
        </w:rPr>
        <w:t>Grade C (Good): 0</w:t>
      </w:r>
    </w:p>
    <w:p w14:paraId="63DE81A5" w14:textId="77777777" w:rsidR="00BA37FB" w:rsidRPr="00B82E38" w:rsidRDefault="008F363E" w:rsidP="00372A8C">
      <w:pPr>
        <w:spacing w:line="360" w:lineRule="auto"/>
        <w:jc w:val="both"/>
        <w:rPr>
          <w:rFonts w:ascii="Book Antiqua" w:hAnsi="Book Antiqua"/>
          <w:color w:val="000000" w:themeColor="text1"/>
        </w:rPr>
      </w:pPr>
      <w:r w:rsidRPr="00B82E38">
        <w:rPr>
          <w:rFonts w:ascii="Book Antiqua" w:eastAsia="Book Antiqua" w:hAnsi="Book Antiqua" w:cs="Book Antiqua"/>
          <w:color w:val="000000" w:themeColor="text1"/>
        </w:rPr>
        <w:t>Grade D (Fair): 0</w:t>
      </w:r>
    </w:p>
    <w:p w14:paraId="6A2082FC" w14:textId="77777777" w:rsidR="00BA37FB" w:rsidRPr="00B82E38" w:rsidRDefault="008F363E" w:rsidP="00372A8C">
      <w:pPr>
        <w:spacing w:line="360" w:lineRule="auto"/>
        <w:jc w:val="both"/>
        <w:rPr>
          <w:rFonts w:ascii="Book Antiqua" w:hAnsi="Book Antiqua"/>
          <w:color w:val="000000" w:themeColor="text1"/>
        </w:rPr>
      </w:pPr>
      <w:r w:rsidRPr="00B82E38">
        <w:rPr>
          <w:rFonts w:ascii="Book Antiqua" w:eastAsia="Book Antiqua" w:hAnsi="Book Antiqua" w:cs="Book Antiqua"/>
          <w:color w:val="000000" w:themeColor="text1"/>
        </w:rPr>
        <w:lastRenderedPageBreak/>
        <w:t>Grade E (Poor): 0</w:t>
      </w:r>
    </w:p>
    <w:p w14:paraId="7C4DFAE6" w14:textId="77777777" w:rsidR="00BA37FB" w:rsidRPr="00B82E38" w:rsidRDefault="00BA37FB" w:rsidP="00372A8C">
      <w:pPr>
        <w:spacing w:line="360" w:lineRule="auto"/>
        <w:jc w:val="both"/>
        <w:rPr>
          <w:rFonts w:ascii="Book Antiqua" w:hAnsi="Book Antiqua"/>
          <w:color w:val="000000" w:themeColor="text1"/>
        </w:rPr>
      </w:pPr>
    </w:p>
    <w:p w14:paraId="569F4556" w14:textId="41176681" w:rsidR="00BA37FB" w:rsidRPr="00B82E38" w:rsidRDefault="008F363E" w:rsidP="00372A8C">
      <w:pPr>
        <w:spacing w:line="360" w:lineRule="auto"/>
        <w:jc w:val="both"/>
        <w:rPr>
          <w:rFonts w:ascii="Book Antiqua" w:hAnsi="Book Antiqua"/>
          <w:color w:val="000000" w:themeColor="text1"/>
        </w:rPr>
        <w:sectPr w:rsidR="00BA37FB" w:rsidRPr="00B82E38">
          <w:pgSz w:w="12240" w:h="15840"/>
          <w:pgMar w:top="1440" w:right="1440" w:bottom="1440" w:left="1440" w:header="720" w:footer="720" w:gutter="0"/>
          <w:cols w:space="720"/>
          <w:docGrid w:linePitch="360"/>
        </w:sectPr>
      </w:pPr>
      <w:r w:rsidRPr="00B82E38">
        <w:rPr>
          <w:rFonts w:ascii="Book Antiqua" w:eastAsia="Book Antiqua" w:hAnsi="Book Antiqua" w:cs="Book Antiqua"/>
          <w:b/>
          <w:color w:val="000000" w:themeColor="text1"/>
        </w:rPr>
        <w:t xml:space="preserve">P-Reviewer: </w:t>
      </w:r>
      <w:r w:rsidRPr="00B82E38">
        <w:rPr>
          <w:rFonts w:ascii="Book Antiqua" w:eastAsia="Book Antiqua" w:hAnsi="Book Antiqua" w:cs="Book Antiqua"/>
          <w:color w:val="000000" w:themeColor="text1"/>
        </w:rPr>
        <w:t xml:space="preserve">Joko K, </w:t>
      </w:r>
      <w:proofErr w:type="spellStart"/>
      <w:r w:rsidRPr="00B82E38">
        <w:rPr>
          <w:rFonts w:ascii="Book Antiqua" w:eastAsia="Book Antiqua" w:hAnsi="Book Antiqua" w:cs="Book Antiqua"/>
          <w:color w:val="000000" w:themeColor="text1"/>
        </w:rPr>
        <w:t>Liem</w:t>
      </w:r>
      <w:proofErr w:type="spellEnd"/>
      <w:r w:rsidRPr="00B82E38">
        <w:rPr>
          <w:rFonts w:ascii="Book Antiqua" w:eastAsia="Book Antiqua" w:hAnsi="Book Antiqua" w:cs="Book Antiqua"/>
          <w:color w:val="000000" w:themeColor="text1"/>
        </w:rPr>
        <w:t xml:space="preserve"> S, </w:t>
      </w:r>
      <w:proofErr w:type="gramStart"/>
      <w:r w:rsidRPr="00B82E38">
        <w:rPr>
          <w:rFonts w:ascii="Book Antiqua" w:eastAsia="Book Antiqua" w:hAnsi="Book Antiqua" w:cs="Book Antiqua"/>
          <w:color w:val="000000" w:themeColor="text1"/>
        </w:rPr>
        <w:t>Martins</w:t>
      </w:r>
      <w:proofErr w:type="gramEnd"/>
      <w:r w:rsidRPr="00B82E38">
        <w:rPr>
          <w:rFonts w:ascii="Book Antiqua" w:eastAsia="Book Antiqua" w:hAnsi="Book Antiqua" w:cs="Book Antiqua"/>
          <w:color w:val="000000" w:themeColor="text1"/>
        </w:rPr>
        <w:t xml:space="preserve"> VH</w:t>
      </w:r>
      <w:r w:rsidRPr="00B82E38">
        <w:rPr>
          <w:rFonts w:ascii="Book Antiqua" w:eastAsia="Book Antiqua" w:hAnsi="Book Antiqua" w:cs="Book Antiqua"/>
          <w:b/>
          <w:color w:val="000000" w:themeColor="text1"/>
        </w:rPr>
        <w:t xml:space="preserve"> S-Editor: </w:t>
      </w:r>
      <w:r w:rsidRPr="00B82E38">
        <w:rPr>
          <w:rFonts w:ascii="Book Antiqua" w:eastAsia="Book Antiqua" w:hAnsi="Book Antiqua" w:cs="Book Antiqua"/>
          <w:color w:val="000000" w:themeColor="text1"/>
        </w:rPr>
        <w:t>Fan JR</w:t>
      </w:r>
      <w:r w:rsidRPr="00B82E38">
        <w:rPr>
          <w:rFonts w:ascii="Book Antiqua" w:eastAsia="Book Antiqua" w:hAnsi="Book Antiqua" w:cs="Book Antiqua"/>
          <w:b/>
          <w:color w:val="000000" w:themeColor="text1"/>
        </w:rPr>
        <w:t xml:space="preserve"> L-E</w:t>
      </w:r>
      <w:r w:rsidRPr="00B82E38">
        <w:rPr>
          <w:rFonts w:ascii="Book Antiqua" w:eastAsia="Book Antiqua" w:hAnsi="Book Antiqua" w:cs="Book Antiqua"/>
          <w:b/>
          <w:color w:val="000000" w:themeColor="text1"/>
        </w:rPr>
        <w:t xml:space="preserve">ditor: </w:t>
      </w:r>
      <w:r w:rsidR="00422C74" w:rsidRPr="00455F70">
        <w:rPr>
          <w:rFonts w:ascii="Book Antiqua" w:eastAsia="Book Antiqua" w:hAnsi="Book Antiqua" w:cs="Book Antiqua"/>
          <w:color w:val="000000" w:themeColor="text1"/>
        </w:rPr>
        <w:t>Wang TQ</w:t>
      </w:r>
      <w:r w:rsidRPr="00B82E38">
        <w:rPr>
          <w:rFonts w:ascii="Book Antiqua" w:eastAsia="Book Antiqua" w:hAnsi="Book Antiqua" w:cs="Book Antiqua"/>
          <w:b/>
          <w:color w:val="000000" w:themeColor="text1"/>
        </w:rPr>
        <w:t xml:space="preserve"> P-</w:t>
      </w:r>
      <w:r w:rsidRPr="00B82E38">
        <w:rPr>
          <w:rFonts w:ascii="Book Antiqua" w:eastAsia="Book Antiqua" w:hAnsi="Book Antiqua" w:cs="Book Antiqua"/>
          <w:b/>
          <w:color w:val="000000" w:themeColor="text1"/>
        </w:rPr>
        <w:t xml:space="preserve">Editor: </w:t>
      </w:r>
    </w:p>
    <w:p w14:paraId="3733D0C8" w14:textId="77777777" w:rsidR="00BA37FB" w:rsidRPr="00B82E38" w:rsidRDefault="008F363E" w:rsidP="00372A8C">
      <w:pPr>
        <w:spacing w:line="360" w:lineRule="auto"/>
        <w:jc w:val="both"/>
        <w:rPr>
          <w:rFonts w:ascii="Book Antiqua" w:hAnsi="Book Antiqua"/>
          <w:color w:val="000000" w:themeColor="text1"/>
        </w:rPr>
      </w:pPr>
      <w:r w:rsidRPr="00B82E38">
        <w:rPr>
          <w:rFonts w:ascii="Book Antiqua" w:eastAsia="Book Antiqua" w:hAnsi="Book Antiqua" w:cs="Book Antiqua"/>
          <w:b/>
          <w:color w:val="000000" w:themeColor="text1"/>
        </w:rPr>
        <w:lastRenderedPageBreak/>
        <w:t>Figure Legends</w:t>
      </w:r>
    </w:p>
    <w:p w14:paraId="3CB3425B" w14:textId="77777777" w:rsidR="00E031E6" w:rsidRPr="00B82E38" w:rsidRDefault="008F363E" w:rsidP="00372A8C">
      <w:pPr>
        <w:spacing w:line="360" w:lineRule="auto"/>
        <w:jc w:val="both"/>
        <w:rPr>
          <w:rFonts w:ascii="Book Antiqua" w:eastAsia="Book Antiqua" w:hAnsi="Book Antiqua" w:cs="Book Antiqua"/>
          <w:b/>
          <w:bCs/>
          <w:color w:val="000000" w:themeColor="text1"/>
        </w:rPr>
      </w:pPr>
      <w:r w:rsidRPr="00B82E38">
        <w:rPr>
          <w:rFonts w:ascii="Book Antiqua" w:hAnsi="Book Antiqua"/>
          <w:noProof/>
          <w:color w:val="000000" w:themeColor="text1"/>
          <w:lang w:eastAsia="zh-CN"/>
        </w:rPr>
        <w:drawing>
          <wp:inline distT="0" distB="0" distL="0" distR="0" wp14:anchorId="7A2198FC" wp14:editId="10F907F7">
            <wp:extent cx="3861542" cy="317257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3866488" cy="3176633"/>
                    </a:xfrm>
                    <a:prstGeom prst="rect">
                      <a:avLst/>
                    </a:prstGeom>
                  </pic:spPr>
                </pic:pic>
              </a:graphicData>
            </a:graphic>
          </wp:inline>
        </w:drawing>
      </w:r>
      <w:r w:rsidRPr="00B82E38">
        <w:rPr>
          <w:rFonts w:ascii="Book Antiqua" w:eastAsia="Book Antiqua" w:hAnsi="Book Antiqua" w:cs="Book Antiqua"/>
          <w:b/>
          <w:bCs/>
          <w:color w:val="000000" w:themeColor="text1"/>
        </w:rPr>
        <w:t xml:space="preserve"> </w:t>
      </w:r>
    </w:p>
    <w:p w14:paraId="59DD48A5" w14:textId="39C4331D" w:rsidR="00BA37FB" w:rsidRPr="00B82E38" w:rsidRDefault="008F363E" w:rsidP="00372A8C">
      <w:pPr>
        <w:spacing w:line="360" w:lineRule="auto"/>
        <w:jc w:val="both"/>
        <w:rPr>
          <w:rFonts w:ascii="Book Antiqua" w:eastAsia="Book Antiqua" w:hAnsi="Book Antiqua" w:cs="Book Antiqua"/>
          <w:color w:val="000000" w:themeColor="text1"/>
        </w:rPr>
      </w:pPr>
      <w:r w:rsidRPr="00B82E38">
        <w:rPr>
          <w:rFonts w:ascii="Book Antiqua" w:eastAsia="Book Antiqua" w:hAnsi="Book Antiqua" w:cs="Book Antiqua"/>
          <w:b/>
          <w:bCs/>
          <w:color w:val="000000" w:themeColor="text1"/>
        </w:rPr>
        <w:t>Figure 1 Receive operating characteristic curve analyses of indocyanine green-R15, Child-Pugh s</w:t>
      </w:r>
      <w:r w:rsidRPr="00B82E38">
        <w:rPr>
          <w:rFonts w:ascii="Book Antiqua" w:eastAsia="Book Antiqua" w:hAnsi="Book Antiqua" w:cs="Book Antiqua"/>
          <w:b/>
          <w:bCs/>
          <w:color w:val="000000" w:themeColor="text1"/>
        </w:rPr>
        <w:t xml:space="preserve">core, </w:t>
      </w:r>
      <w:r w:rsidR="00422C74">
        <w:rPr>
          <w:rFonts w:ascii="Book Antiqua" w:eastAsia="Book Antiqua" w:hAnsi="Book Antiqua" w:cs="Book Antiqua"/>
          <w:b/>
          <w:bCs/>
          <w:color w:val="000000" w:themeColor="text1"/>
        </w:rPr>
        <w:t xml:space="preserve">and </w:t>
      </w:r>
      <w:r w:rsidRPr="00B82E38">
        <w:rPr>
          <w:rFonts w:ascii="Book Antiqua" w:eastAsia="Book Antiqua" w:hAnsi="Book Antiqua" w:cs="Book Antiqua"/>
          <w:b/>
          <w:bCs/>
          <w:color w:val="000000" w:themeColor="text1"/>
        </w:rPr>
        <w:t>model for end</w:t>
      </w:r>
      <w:r w:rsidRPr="00B82E38">
        <w:rPr>
          <w:rFonts w:ascii="Book Antiqua" w:eastAsia="Book Antiqua" w:hAnsi="Book Antiqua" w:cs="Book Antiqua"/>
          <w:b/>
          <w:bCs/>
          <w:color w:val="000000" w:themeColor="text1"/>
        </w:rPr>
        <w:t>-stage liver disease score to predict post-</w:t>
      </w:r>
      <w:proofErr w:type="spellStart"/>
      <w:r w:rsidRPr="00B82E38">
        <w:rPr>
          <w:rFonts w:ascii="Book Antiqua" w:eastAsia="Book Antiqua" w:hAnsi="Book Antiqua" w:cs="Book Antiqua"/>
          <w:b/>
          <w:bCs/>
          <w:color w:val="000000" w:themeColor="text1"/>
        </w:rPr>
        <w:t>transjugular</w:t>
      </w:r>
      <w:proofErr w:type="spellEnd"/>
      <w:r w:rsidRPr="00B82E38">
        <w:rPr>
          <w:rFonts w:ascii="Book Antiqua" w:eastAsia="Book Antiqua" w:hAnsi="Book Antiqua" w:cs="Book Antiqua"/>
          <w:b/>
          <w:bCs/>
          <w:color w:val="000000" w:themeColor="text1"/>
        </w:rPr>
        <w:t xml:space="preserve"> intrahepatic portosystemic shunt</w:t>
      </w:r>
      <w:r w:rsidRPr="00B82E38">
        <w:rPr>
          <w:rFonts w:ascii="Book Antiqua" w:hAnsi="Book Antiqua"/>
          <w:b/>
          <w:bCs/>
          <w:color w:val="000000" w:themeColor="text1"/>
          <w:lang w:eastAsia="zh-CN"/>
        </w:rPr>
        <w:t xml:space="preserve"> hepatic encephalopathy</w:t>
      </w:r>
      <w:r w:rsidRPr="00B82E38">
        <w:rPr>
          <w:rFonts w:ascii="Book Antiqua" w:eastAsia="Book Antiqua" w:hAnsi="Book Antiqua" w:cs="Book Antiqua"/>
          <w:b/>
          <w:bCs/>
          <w:color w:val="000000" w:themeColor="text1"/>
        </w:rPr>
        <w:t xml:space="preserve">. </w:t>
      </w:r>
      <w:r w:rsidRPr="00B82E38">
        <w:rPr>
          <w:rFonts w:ascii="Book Antiqua" w:eastAsia="Book Antiqua" w:hAnsi="Book Antiqua" w:cs="Book Antiqua"/>
          <w:color w:val="000000" w:themeColor="text1"/>
        </w:rPr>
        <w:t>ICG: Indocyanine green; MELD: Model for end-stage liver disease.</w:t>
      </w:r>
    </w:p>
    <w:p w14:paraId="1938C06E" w14:textId="77777777" w:rsidR="00BA37FB" w:rsidRPr="00B82E38" w:rsidRDefault="008F363E" w:rsidP="00372A8C">
      <w:pPr>
        <w:adjustRightInd w:val="0"/>
        <w:snapToGrid w:val="0"/>
        <w:spacing w:line="360" w:lineRule="auto"/>
        <w:jc w:val="both"/>
        <w:rPr>
          <w:rFonts w:ascii="Book Antiqua" w:hAnsi="Book Antiqua"/>
          <w:b/>
          <w:bCs/>
          <w:color w:val="000000" w:themeColor="text1"/>
        </w:rPr>
      </w:pPr>
      <w:r w:rsidRPr="00B82E38">
        <w:rPr>
          <w:rFonts w:ascii="Book Antiqua" w:eastAsia="Book Antiqua" w:hAnsi="Book Antiqua" w:cs="Book Antiqua"/>
          <w:color w:val="000000" w:themeColor="text1"/>
        </w:rPr>
        <w:br w:type="page"/>
      </w:r>
      <w:r w:rsidRPr="00B82E38">
        <w:rPr>
          <w:rFonts w:ascii="Book Antiqua" w:hAnsi="Book Antiqua"/>
          <w:b/>
          <w:bCs/>
          <w:color w:val="000000" w:themeColor="text1"/>
        </w:rPr>
        <w:lastRenderedPageBreak/>
        <w:t>Table 1 Patients’ preoperative characteristics</w:t>
      </w:r>
    </w:p>
    <w:tbl>
      <w:tblPr>
        <w:tblStyle w:val="a9"/>
        <w:tblW w:w="9356"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2118"/>
        <w:gridCol w:w="1667"/>
        <w:gridCol w:w="1600"/>
        <w:gridCol w:w="1277"/>
      </w:tblGrid>
      <w:tr w:rsidR="00B82E38" w:rsidRPr="00B82E38" w14:paraId="78DE685A" w14:textId="77777777">
        <w:trPr>
          <w:trHeight w:val="20"/>
          <w:jc w:val="center"/>
        </w:trPr>
        <w:tc>
          <w:tcPr>
            <w:tcW w:w="2694" w:type="dxa"/>
            <w:tcBorders>
              <w:top w:val="single" w:sz="4" w:space="0" w:color="auto"/>
              <w:bottom w:val="single" w:sz="4" w:space="0" w:color="auto"/>
            </w:tcBorders>
            <w:shd w:val="clear" w:color="auto" w:fill="auto"/>
          </w:tcPr>
          <w:p w14:paraId="313AF150" w14:textId="1E520FD0" w:rsidR="00BA37FB" w:rsidRPr="00B82E38" w:rsidRDefault="008F363E" w:rsidP="00372A8C">
            <w:pPr>
              <w:widowControl/>
              <w:adjustRightInd w:val="0"/>
              <w:snapToGrid w:val="0"/>
              <w:spacing w:line="360" w:lineRule="auto"/>
              <w:rPr>
                <w:rFonts w:ascii="Book Antiqua" w:eastAsia="宋体" w:hAnsi="Book Antiqua"/>
                <w:b/>
                <w:bCs/>
                <w:color w:val="000000" w:themeColor="text1"/>
                <w:lang w:eastAsia="zh-CN"/>
              </w:rPr>
            </w:pPr>
            <w:r w:rsidRPr="00B82E38">
              <w:rPr>
                <w:rFonts w:ascii="Book Antiqua" w:eastAsia="宋体" w:hAnsi="Book Antiqua"/>
                <w:b/>
                <w:bCs/>
                <w:color w:val="000000" w:themeColor="text1"/>
                <w:lang w:eastAsia="zh-CN"/>
              </w:rPr>
              <w:t>Parameter</w:t>
            </w:r>
          </w:p>
        </w:tc>
        <w:tc>
          <w:tcPr>
            <w:tcW w:w="2118" w:type="dxa"/>
            <w:tcBorders>
              <w:top w:val="single" w:sz="4" w:space="0" w:color="auto"/>
              <w:bottom w:val="single" w:sz="4" w:space="0" w:color="auto"/>
            </w:tcBorders>
            <w:shd w:val="clear" w:color="auto" w:fill="auto"/>
          </w:tcPr>
          <w:p w14:paraId="3D484A20" w14:textId="77777777" w:rsidR="00BA37FB" w:rsidRPr="00B82E38" w:rsidRDefault="008F363E" w:rsidP="00372A8C">
            <w:pPr>
              <w:widowControl/>
              <w:adjustRightInd w:val="0"/>
              <w:snapToGrid w:val="0"/>
              <w:spacing w:line="360" w:lineRule="auto"/>
              <w:rPr>
                <w:rFonts w:ascii="Book Antiqua" w:eastAsia="宋体" w:hAnsi="Book Antiqua"/>
                <w:b/>
                <w:bCs/>
                <w:color w:val="000000" w:themeColor="text1"/>
                <w:lang w:eastAsia="zh-CN"/>
              </w:rPr>
            </w:pPr>
            <w:r w:rsidRPr="00B82E38">
              <w:rPr>
                <w:rFonts w:ascii="Book Antiqua" w:eastAsia="宋体" w:hAnsi="Book Antiqua"/>
                <w:b/>
                <w:bCs/>
                <w:color w:val="000000" w:themeColor="text1"/>
                <w:lang w:eastAsia="zh-CN"/>
              </w:rPr>
              <w:t>Patients enrolled (</w:t>
            </w:r>
            <w:r w:rsidRPr="00B82E38">
              <w:rPr>
                <w:rFonts w:ascii="Book Antiqua" w:eastAsia="宋体" w:hAnsi="Book Antiqua"/>
                <w:b/>
                <w:bCs/>
                <w:i/>
                <w:iCs/>
                <w:color w:val="000000" w:themeColor="text1"/>
                <w:lang w:eastAsia="zh-CN"/>
              </w:rPr>
              <w:t>n</w:t>
            </w:r>
            <w:r w:rsidRPr="00B82E38">
              <w:rPr>
                <w:rFonts w:ascii="Book Antiqua" w:eastAsia="宋体" w:hAnsi="Book Antiqua"/>
                <w:b/>
                <w:bCs/>
                <w:color w:val="000000" w:themeColor="text1"/>
                <w:lang w:eastAsia="zh-CN"/>
              </w:rPr>
              <w:t xml:space="preserve"> = 195)</w:t>
            </w:r>
          </w:p>
        </w:tc>
        <w:tc>
          <w:tcPr>
            <w:tcW w:w="1667" w:type="dxa"/>
            <w:tcBorders>
              <w:top w:val="single" w:sz="4" w:space="0" w:color="auto"/>
              <w:bottom w:val="single" w:sz="4" w:space="0" w:color="auto"/>
            </w:tcBorders>
            <w:shd w:val="clear" w:color="auto" w:fill="auto"/>
          </w:tcPr>
          <w:p w14:paraId="19509315" w14:textId="4D356F7B" w:rsidR="00BA37FB" w:rsidRPr="00B82E38" w:rsidRDefault="008F363E">
            <w:pPr>
              <w:widowControl/>
              <w:adjustRightInd w:val="0"/>
              <w:snapToGrid w:val="0"/>
              <w:spacing w:line="360" w:lineRule="auto"/>
              <w:rPr>
                <w:rFonts w:ascii="Book Antiqua" w:eastAsia="宋体" w:hAnsi="Book Antiqua"/>
                <w:b/>
                <w:bCs/>
                <w:color w:val="000000" w:themeColor="text1"/>
                <w:lang w:eastAsia="zh-CN"/>
              </w:rPr>
            </w:pPr>
            <w:r w:rsidRPr="00B82E38">
              <w:rPr>
                <w:rFonts w:ascii="Book Antiqua" w:eastAsia="宋体" w:hAnsi="Book Antiqua"/>
                <w:b/>
                <w:bCs/>
                <w:color w:val="000000" w:themeColor="text1"/>
                <w:lang w:eastAsia="zh-CN"/>
              </w:rPr>
              <w:t xml:space="preserve">Patients without </w:t>
            </w:r>
            <w:r w:rsidR="00422C74">
              <w:rPr>
                <w:rFonts w:ascii="Book Antiqua" w:eastAsia="宋体" w:hAnsi="Book Antiqua"/>
                <w:b/>
                <w:bCs/>
                <w:color w:val="000000" w:themeColor="text1"/>
                <w:lang w:eastAsia="zh-CN"/>
              </w:rPr>
              <w:t>p</w:t>
            </w:r>
            <w:r w:rsidR="00422C74" w:rsidRPr="00B82E38">
              <w:rPr>
                <w:rFonts w:ascii="Book Antiqua" w:eastAsia="宋体" w:hAnsi="Book Antiqua"/>
                <w:b/>
                <w:bCs/>
                <w:color w:val="000000" w:themeColor="text1"/>
                <w:lang w:eastAsia="zh-CN"/>
              </w:rPr>
              <w:t>ost</w:t>
            </w:r>
            <w:r w:rsidRPr="00B82E38">
              <w:rPr>
                <w:rFonts w:ascii="Book Antiqua" w:eastAsia="宋体" w:hAnsi="Book Antiqua"/>
                <w:b/>
                <w:bCs/>
                <w:color w:val="000000" w:themeColor="text1"/>
                <w:lang w:eastAsia="zh-CN"/>
              </w:rPr>
              <w:t>-TIPS HE (</w:t>
            </w:r>
            <w:r w:rsidRPr="00B82E38">
              <w:rPr>
                <w:rFonts w:ascii="Book Antiqua" w:eastAsia="宋体" w:hAnsi="Book Antiqua"/>
                <w:b/>
                <w:bCs/>
                <w:i/>
                <w:iCs/>
                <w:color w:val="000000" w:themeColor="text1"/>
                <w:lang w:eastAsia="zh-CN"/>
              </w:rPr>
              <w:t>n</w:t>
            </w:r>
            <w:r w:rsidRPr="00B82E38">
              <w:rPr>
                <w:rFonts w:ascii="Book Antiqua" w:eastAsia="宋体" w:hAnsi="Book Antiqua"/>
                <w:b/>
                <w:bCs/>
                <w:color w:val="000000" w:themeColor="text1"/>
                <w:lang w:eastAsia="zh-CN"/>
              </w:rPr>
              <w:t xml:space="preserve"> = 45)</w:t>
            </w:r>
          </w:p>
        </w:tc>
        <w:tc>
          <w:tcPr>
            <w:tcW w:w="1600" w:type="dxa"/>
            <w:tcBorders>
              <w:top w:val="single" w:sz="4" w:space="0" w:color="auto"/>
              <w:bottom w:val="single" w:sz="4" w:space="0" w:color="auto"/>
            </w:tcBorders>
            <w:shd w:val="clear" w:color="auto" w:fill="auto"/>
          </w:tcPr>
          <w:p w14:paraId="43273DDB" w14:textId="16028EFA" w:rsidR="00BA37FB" w:rsidRPr="00B82E38" w:rsidRDefault="008F363E">
            <w:pPr>
              <w:widowControl/>
              <w:adjustRightInd w:val="0"/>
              <w:snapToGrid w:val="0"/>
              <w:spacing w:line="360" w:lineRule="auto"/>
              <w:rPr>
                <w:rFonts w:ascii="Book Antiqua" w:eastAsia="宋体" w:hAnsi="Book Antiqua"/>
                <w:b/>
                <w:bCs/>
                <w:color w:val="000000" w:themeColor="text1"/>
                <w:lang w:eastAsia="zh-CN"/>
              </w:rPr>
            </w:pPr>
            <w:r w:rsidRPr="00B82E38">
              <w:rPr>
                <w:rFonts w:ascii="Book Antiqua" w:eastAsia="宋体" w:hAnsi="Book Antiqua"/>
                <w:b/>
                <w:bCs/>
                <w:color w:val="000000" w:themeColor="text1"/>
                <w:lang w:eastAsia="zh-CN"/>
              </w:rPr>
              <w:t xml:space="preserve">Patients with </w:t>
            </w:r>
            <w:r w:rsidR="00422C74">
              <w:rPr>
                <w:rFonts w:ascii="Book Antiqua" w:eastAsia="宋体" w:hAnsi="Book Antiqua"/>
                <w:b/>
                <w:bCs/>
                <w:color w:val="000000" w:themeColor="text1"/>
                <w:lang w:eastAsia="zh-CN"/>
              </w:rPr>
              <w:t>p</w:t>
            </w:r>
            <w:r w:rsidR="00422C74" w:rsidRPr="00B82E38">
              <w:rPr>
                <w:rFonts w:ascii="Book Antiqua" w:eastAsia="宋体" w:hAnsi="Book Antiqua"/>
                <w:b/>
                <w:bCs/>
                <w:color w:val="000000" w:themeColor="text1"/>
                <w:lang w:eastAsia="zh-CN"/>
              </w:rPr>
              <w:t>ost</w:t>
            </w:r>
            <w:r w:rsidRPr="00B82E38">
              <w:rPr>
                <w:rFonts w:ascii="Book Antiqua" w:eastAsia="宋体" w:hAnsi="Book Antiqua"/>
                <w:b/>
                <w:bCs/>
                <w:color w:val="000000" w:themeColor="text1"/>
                <w:lang w:eastAsia="zh-CN"/>
              </w:rPr>
              <w:t>-TIPS HE (</w:t>
            </w:r>
            <w:r w:rsidRPr="00B82E38">
              <w:rPr>
                <w:rFonts w:ascii="Book Antiqua" w:eastAsia="宋体" w:hAnsi="Book Antiqua"/>
                <w:b/>
                <w:bCs/>
                <w:i/>
                <w:iCs/>
                <w:color w:val="000000" w:themeColor="text1"/>
                <w:lang w:eastAsia="zh-CN"/>
              </w:rPr>
              <w:t>n</w:t>
            </w:r>
            <w:r w:rsidRPr="00B82E38">
              <w:rPr>
                <w:rFonts w:ascii="Book Antiqua" w:eastAsia="宋体" w:hAnsi="Book Antiqua"/>
                <w:b/>
                <w:bCs/>
                <w:color w:val="000000" w:themeColor="text1"/>
                <w:lang w:eastAsia="zh-CN"/>
              </w:rPr>
              <w:t xml:space="preserve"> = 150)</w:t>
            </w:r>
          </w:p>
        </w:tc>
        <w:tc>
          <w:tcPr>
            <w:tcW w:w="1277" w:type="dxa"/>
            <w:tcBorders>
              <w:top w:val="single" w:sz="4" w:space="0" w:color="auto"/>
              <w:bottom w:val="single" w:sz="4" w:space="0" w:color="auto"/>
            </w:tcBorders>
            <w:shd w:val="clear" w:color="auto" w:fill="auto"/>
          </w:tcPr>
          <w:p w14:paraId="537CE15C" w14:textId="77777777" w:rsidR="00BA37FB" w:rsidRPr="00B82E38" w:rsidRDefault="008F363E" w:rsidP="00372A8C">
            <w:pPr>
              <w:widowControl/>
              <w:adjustRightInd w:val="0"/>
              <w:snapToGrid w:val="0"/>
              <w:spacing w:line="360" w:lineRule="auto"/>
              <w:rPr>
                <w:rFonts w:ascii="Book Antiqua" w:eastAsia="宋体" w:hAnsi="Book Antiqua"/>
                <w:b/>
                <w:bCs/>
                <w:color w:val="000000" w:themeColor="text1"/>
                <w:lang w:eastAsia="zh-CN"/>
              </w:rPr>
            </w:pPr>
            <w:r w:rsidRPr="00B82E38">
              <w:rPr>
                <w:rFonts w:ascii="Book Antiqua" w:eastAsia="宋体" w:hAnsi="Book Antiqua"/>
                <w:b/>
                <w:bCs/>
                <w:i/>
                <w:iCs/>
                <w:color w:val="000000" w:themeColor="text1"/>
                <w:lang w:eastAsia="zh-CN"/>
              </w:rPr>
              <w:t>P</w:t>
            </w:r>
            <w:r w:rsidRPr="00B82E38">
              <w:rPr>
                <w:rFonts w:ascii="Book Antiqua" w:eastAsia="宋体" w:hAnsi="Book Antiqua"/>
                <w:b/>
                <w:bCs/>
                <w:color w:val="000000" w:themeColor="text1"/>
                <w:lang w:eastAsia="zh-CN"/>
              </w:rPr>
              <w:t xml:space="preserve"> value</w:t>
            </w:r>
          </w:p>
        </w:tc>
      </w:tr>
      <w:tr w:rsidR="00B82E38" w:rsidRPr="00B82E38" w14:paraId="08929E36" w14:textId="77777777">
        <w:trPr>
          <w:trHeight w:val="20"/>
          <w:jc w:val="center"/>
        </w:trPr>
        <w:tc>
          <w:tcPr>
            <w:tcW w:w="2694" w:type="dxa"/>
            <w:tcBorders>
              <w:top w:val="single" w:sz="4" w:space="0" w:color="auto"/>
            </w:tcBorders>
            <w:shd w:val="clear" w:color="auto" w:fill="auto"/>
          </w:tcPr>
          <w:p w14:paraId="07562E0C" w14:textId="77777777" w:rsidR="00BA37FB" w:rsidRPr="00B82E38" w:rsidRDefault="008F363E" w:rsidP="00372A8C">
            <w:pPr>
              <w:widowControl/>
              <w:adjustRightInd w:val="0"/>
              <w:snapToGrid w:val="0"/>
              <w:spacing w:line="360" w:lineRule="auto"/>
              <w:rPr>
                <w:rFonts w:ascii="Book Antiqua" w:eastAsia="宋体" w:hAnsi="Book Antiqua"/>
                <w:color w:val="000000" w:themeColor="text1"/>
                <w:lang w:eastAsia="zh-CN"/>
              </w:rPr>
            </w:pPr>
            <w:r w:rsidRPr="00B82E38">
              <w:rPr>
                <w:rFonts w:ascii="Book Antiqua" w:eastAsia="宋体" w:hAnsi="Book Antiqua"/>
                <w:color w:val="000000" w:themeColor="text1"/>
                <w:lang w:eastAsia="zh-CN"/>
              </w:rPr>
              <w:t>Age (years)</w:t>
            </w:r>
            <w:r w:rsidRPr="00B82E38">
              <w:rPr>
                <w:rFonts w:ascii="Book Antiqua" w:eastAsia="宋体" w:hAnsi="Book Antiqua"/>
                <w:color w:val="000000" w:themeColor="text1"/>
                <w:vertAlign w:val="superscript"/>
                <w:lang w:eastAsia="zh-CN"/>
              </w:rPr>
              <w:t>1</w:t>
            </w:r>
          </w:p>
        </w:tc>
        <w:tc>
          <w:tcPr>
            <w:tcW w:w="2118" w:type="dxa"/>
            <w:tcBorders>
              <w:top w:val="single" w:sz="4" w:space="0" w:color="auto"/>
            </w:tcBorders>
            <w:shd w:val="clear" w:color="auto" w:fill="auto"/>
          </w:tcPr>
          <w:p w14:paraId="103144D3" w14:textId="77777777" w:rsidR="00BA37FB" w:rsidRPr="00B82E38" w:rsidRDefault="008F363E" w:rsidP="00372A8C">
            <w:pPr>
              <w:widowControl/>
              <w:adjustRightInd w:val="0"/>
              <w:snapToGrid w:val="0"/>
              <w:spacing w:line="360" w:lineRule="auto"/>
              <w:rPr>
                <w:rFonts w:ascii="Book Antiqua" w:eastAsia="宋体" w:hAnsi="Book Antiqua"/>
                <w:color w:val="000000" w:themeColor="text1"/>
                <w:lang w:eastAsia="zh-CN"/>
              </w:rPr>
            </w:pPr>
            <w:r w:rsidRPr="00B82E38">
              <w:rPr>
                <w:rFonts w:ascii="Book Antiqua" w:eastAsia="宋体" w:hAnsi="Book Antiqua"/>
                <w:color w:val="000000" w:themeColor="text1"/>
                <w:lang w:eastAsia="zh-CN"/>
              </w:rPr>
              <w:t>51.2 ± 11.4</w:t>
            </w:r>
          </w:p>
        </w:tc>
        <w:tc>
          <w:tcPr>
            <w:tcW w:w="1667" w:type="dxa"/>
            <w:tcBorders>
              <w:top w:val="single" w:sz="4" w:space="0" w:color="auto"/>
            </w:tcBorders>
            <w:shd w:val="clear" w:color="auto" w:fill="auto"/>
          </w:tcPr>
          <w:p w14:paraId="4D2A0A8C" w14:textId="77777777" w:rsidR="00BA37FB" w:rsidRPr="00B82E38" w:rsidRDefault="008F363E" w:rsidP="00372A8C">
            <w:pPr>
              <w:widowControl/>
              <w:adjustRightInd w:val="0"/>
              <w:snapToGrid w:val="0"/>
              <w:spacing w:line="360" w:lineRule="auto"/>
              <w:rPr>
                <w:rFonts w:ascii="Book Antiqua" w:eastAsia="宋体" w:hAnsi="Book Antiqua"/>
                <w:color w:val="000000" w:themeColor="text1"/>
                <w:lang w:eastAsia="zh-CN"/>
              </w:rPr>
            </w:pPr>
            <w:r w:rsidRPr="00B82E38">
              <w:rPr>
                <w:rFonts w:ascii="Book Antiqua" w:eastAsia="宋体" w:hAnsi="Book Antiqua"/>
                <w:color w:val="000000" w:themeColor="text1"/>
                <w:lang w:eastAsia="zh-CN"/>
              </w:rPr>
              <w:t>49.8 ± 13.2</w:t>
            </w:r>
          </w:p>
        </w:tc>
        <w:tc>
          <w:tcPr>
            <w:tcW w:w="1600" w:type="dxa"/>
            <w:tcBorders>
              <w:top w:val="single" w:sz="4" w:space="0" w:color="auto"/>
            </w:tcBorders>
            <w:shd w:val="clear" w:color="auto" w:fill="auto"/>
          </w:tcPr>
          <w:p w14:paraId="60E38A07" w14:textId="77777777" w:rsidR="00BA37FB" w:rsidRPr="00B82E38" w:rsidRDefault="008F363E" w:rsidP="00372A8C">
            <w:pPr>
              <w:widowControl/>
              <w:adjustRightInd w:val="0"/>
              <w:snapToGrid w:val="0"/>
              <w:spacing w:line="360" w:lineRule="auto"/>
              <w:rPr>
                <w:rFonts w:ascii="Book Antiqua" w:eastAsia="宋体" w:hAnsi="Book Antiqua"/>
                <w:color w:val="000000" w:themeColor="text1"/>
                <w:lang w:eastAsia="zh-CN"/>
              </w:rPr>
            </w:pPr>
            <w:r w:rsidRPr="00B82E38">
              <w:rPr>
                <w:rFonts w:ascii="Book Antiqua" w:eastAsia="宋体" w:hAnsi="Book Antiqua"/>
                <w:color w:val="000000" w:themeColor="text1"/>
                <w:lang w:eastAsia="zh-CN"/>
              </w:rPr>
              <w:t>58.3 ± 9.9</w:t>
            </w:r>
          </w:p>
        </w:tc>
        <w:tc>
          <w:tcPr>
            <w:tcW w:w="1277" w:type="dxa"/>
            <w:tcBorders>
              <w:top w:val="single" w:sz="4" w:space="0" w:color="auto"/>
            </w:tcBorders>
            <w:shd w:val="clear" w:color="auto" w:fill="auto"/>
          </w:tcPr>
          <w:p w14:paraId="14332156" w14:textId="77777777" w:rsidR="00BA37FB" w:rsidRPr="00B82E38" w:rsidRDefault="008F363E" w:rsidP="00372A8C">
            <w:pPr>
              <w:widowControl/>
              <w:adjustRightInd w:val="0"/>
              <w:snapToGrid w:val="0"/>
              <w:spacing w:line="360" w:lineRule="auto"/>
              <w:rPr>
                <w:rFonts w:ascii="Book Antiqua" w:eastAsia="宋体" w:hAnsi="Book Antiqua"/>
                <w:color w:val="000000" w:themeColor="text1"/>
                <w:lang w:eastAsia="zh-CN"/>
              </w:rPr>
            </w:pPr>
            <w:r w:rsidRPr="00B82E38">
              <w:rPr>
                <w:rFonts w:ascii="Book Antiqua" w:eastAsia="宋体" w:hAnsi="Book Antiqua"/>
                <w:color w:val="000000" w:themeColor="text1"/>
                <w:lang w:eastAsia="zh-CN"/>
              </w:rPr>
              <w:t>0.004</w:t>
            </w:r>
            <w:r w:rsidRPr="00B82E38">
              <w:rPr>
                <w:rFonts w:ascii="Book Antiqua" w:eastAsia="宋体" w:hAnsi="Book Antiqua"/>
                <w:color w:val="000000" w:themeColor="text1"/>
                <w:vertAlign w:val="superscript"/>
                <w:lang w:eastAsia="zh-CN"/>
              </w:rPr>
              <w:t>b</w:t>
            </w:r>
          </w:p>
        </w:tc>
      </w:tr>
      <w:tr w:rsidR="00B82E38" w:rsidRPr="00B82E38" w14:paraId="4B665B0A" w14:textId="77777777">
        <w:trPr>
          <w:trHeight w:val="20"/>
          <w:jc w:val="center"/>
        </w:trPr>
        <w:tc>
          <w:tcPr>
            <w:tcW w:w="2694" w:type="dxa"/>
            <w:shd w:val="clear" w:color="auto" w:fill="auto"/>
          </w:tcPr>
          <w:p w14:paraId="7BCC3968" w14:textId="6F4990B1" w:rsidR="00BA37FB" w:rsidRPr="00B82E38" w:rsidRDefault="008F363E" w:rsidP="00372A8C">
            <w:pPr>
              <w:widowControl/>
              <w:adjustRightInd w:val="0"/>
              <w:snapToGrid w:val="0"/>
              <w:spacing w:line="360" w:lineRule="auto"/>
              <w:rPr>
                <w:rFonts w:ascii="Book Antiqua" w:eastAsia="宋体" w:hAnsi="Book Antiqua"/>
                <w:color w:val="000000" w:themeColor="text1"/>
                <w:lang w:eastAsia="zh-CN"/>
              </w:rPr>
            </w:pPr>
            <w:r w:rsidRPr="00B82E38">
              <w:rPr>
                <w:rFonts w:ascii="Book Antiqua" w:eastAsia="宋体" w:hAnsi="Book Antiqua"/>
                <w:color w:val="000000" w:themeColor="text1"/>
                <w:lang w:eastAsia="zh-CN"/>
              </w:rPr>
              <w:t xml:space="preserve">Gender </w:t>
            </w:r>
            <w:r w:rsidR="00422C74">
              <w:rPr>
                <w:rFonts w:ascii="Book Antiqua" w:eastAsia="宋体" w:hAnsi="Book Antiqua"/>
                <w:color w:val="000000" w:themeColor="text1"/>
                <w:lang w:eastAsia="zh-CN"/>
              </w:rPr>
              <w:t>(</w:t>
            </w:r>
            <w:r w:rsidRPr="00B82E38">
              <w:rPr>
                <w:rFonts w:ascii="Book Antiqua" w:eastAsia="宋体" w:hAnsi="Book Antiqua"/>
                <w:color w:val="000000" w:themeColor="text1"/>
                <w:lang w:eastAsia="zh-CN"/>
              </w:rPr>
              <w:t>F/M</w:t>
            </w:r>
            <w:r w:rsidR="00422C74">
              <w:rPr>
                <w:rFonts w:ascii="Book Antiqua" w:eastAsia="宋体" w:hAnsi="Book Antiqua"/>
                <w:color w:val="000000" w:themeColor="text1"/>
                <w:lang w:eastAsia="zh-CN"/>
              </w:rPr>
              <w:t>)</w:t>
            </w:r>
            <w:r w:rsidRPr="00B82E38">
              <w:rPr>
                <w:rFonts w:ascii="Book Antiqua" w:eastAsia="宋体" w:hAnsi="Book Antiqua"/>
                <w:color w:val="000000" w:themeColor="text1"/>
                <w:lang w:eastAsia="zh-CN"/>
              </w:rPr>
              <w:t xml:space="preserve">, </w:t>
            </w:r>
            <w:r w:rsidRPr="00B82E38">
              <w:rPr>
                <w:rFonts w:ascii="Book Antiqua" w:eastAsia="宋体" w:hAnsi="Book Antiqua"/>
                <w:i/>
                <w:iCs/>
                <w:color w:val="000000" w:themeColor="text1"/>
                <w:lang w:eastAsia="zh-CN"/>
              </w:rPr>
              <w:t>n</w:t>
            </w:r>
            <w:r w:rsidRPr="00B82E38">
              <w:rPr>
                <w:rFonts w:ascii="Book Antiqua" w:eastAsia="宋体" w:hAnsi="Book Antiqua"/>
                <w:color w:val="000000" w:themeColor="text1"/>
                <w:vertAlign w:val="superscript"/>
                <w:lang w:eastAsia="zh-CN"/>
              </w:rPr>
              <w:t>2</w:t>
            </w:r>
          </w:p>
        </w:tc>
        <w:tc>
          <w:tcPr>
            <w:tcW w:w="2118" w:type="dxa"/>
            <w:shd w:val="clear" w:color="auto" w:fill="auto"/>
          </w:tcPr>
          <w:p w14:paraId="64C34909" w14:textId="77777777" w:rsidR="00BA37FB" w:rsidRPr="00B82E38" w:rsidRDefault="008F363E" w:rsidP="00372A8C">
            <w:pPr>
              <w:widowControl/>
              <w:adjustRightInd w:val="0"/>
              <w:snapToGrid w:val="0"/>
              <w:spacing w:line="360" w:lineRule="auto"/>
              <w:rPr>
                <w:rFonts w:ascii="Book Antiqua" w:eastAsia="宋体" w:hAnsi="Book Antiqua"/>
                <w:color w:val="000000" w:themeColor="text1"/>
                <w:lang w:eastAsia="zh-CN"/>
              </w:rPr>
            </w:pPr>
            <w:r w:rsidRPr="00B82E38">
              <w:rPr>
                <w:rFonts w:ascii="Book Antiqua" w:eastAsia="宋体" w:hAnsi="Book Antiqua"/>
                <w:color w:val="000000" w:themeColor="text1"/>
                <w:lang w:eastAsia="zh-CN"/>
              </w:rPr>
              <w:t>140/55</w:t>
            </w:r>
          </w:p>
        </w:tc>
        <w:tc>
          <w:tcPr>
            <w:tcW w:w="1667" w:type="dxa"/>
            <w:shd w:val="clear" w:color="auto" w:fill="auto"/>
          </w:tcPr>
          <w:p w14:paraId="32D5BAA8" w14:textId="77777777" w:rsidR="00BA37FB" w:rsidRPr="00B82E38" w:rsidRDefault="00BA37FB" w:rsidP="00372A8C">
            <w:pPr>
              <w:widowControl/>
              <w:adjustRightInd w:val="0"/>
              <w:snapToGrid w:val="0"/>
              <w:spacing w:line="360" w:lineRule="auto"/>
              <w:rPr>
                <w:rFonts w:ascii="Book Antiqua" w:eastAsia="宋体" w:hAnsi="Book Antiqua"/>
                <w:color w:val="000000" w:themeColor="text1"/>
                <w:lang w:eastAsia="zh-CN"/>
              </w:rPr>
            </w:pPr>
          </w:p>
        </w:tc>
        <w:tc>
          <w:tcPr>
            <w:tcW w:w="1600" w:type="dxa"/>
            <w:shd w:val="clear" w:color="auto" w:fill="auto"/>
          </w:tcPr>
          <w:p w14:paraId="4C669772" w14:textId="77777777" w:rsidR="00BA37FB" w:rsidRPr="00B82E38" w:rsidRDefault="00BA37FB" w:rsidP="00372A8C">
            <w:pPr>
              <w:widowControl/>
              <w:adjustRightInd w:val="0"/>
              <w:snapToGrid w:val="0"/>
              <w:spacing w:line="360" w:lineRule="auto"/>
              <w:rPr>
                <w:rFonts w:ascii="Book Antiqua" w:eastAsia="宋体" w:hAnsi="Book Antiqua"/>
                <w:color w:val="000000" w:themeColor="text1"/>
                <w:lang w:eastAsia="zh-CN"/>
              </w:rPr>
            </w:pPr>
          </w:p>
        </w:tc>
        <w:tc>
          <w:tcPr>
            <w:tcW w:w="1277" w:type="dxa"/>
            <w:shd w:val="clear" w:color="auto" w:fill="auto"/>
          </w:tcPr>
          <w:p w14:paraId="16CCD725" w14:textId="77777777" w:rsidR="00BA37FB" w:rsidRPr="00B82E38" w:rsidRDefault="008F363E" w:rsidP="00372A8C">
            <w:pPr>
              <w:widowControl/>
              <w:adjustRightInd w:val="0"/>
              <w:snapToGrid w:val="0"/>
              <w:spacing w:line="360" w:lineRule="auto"/>
              <w:rPr>
                <w:rFonts w:ascii="Book Antiqua" w:eastAsia="宋体" w:hAnsi="Book Antiqua"/>
                <w:color w:val="000000" w:themeColor="text1"/>
                <w:lang w:eastAsia="zh-CN"/>
              </w:rPr>
            </w:pPr>
            <w:r w:rsidRPr="00B82E38">
              <w:rPr>
                <w:rFonts w:ascii="Book Antiqua" w:eastAsia="宋体" w:hAnsi="Book Antiqua"/>
                <w:color w:val="000000" w:themeColor="text1"/>
                <w:lang w:eastAsia="zh-CN"/>
              </w:rPr>
              <w:t>0.79</w:t>
            </w:r>
          </w:p>
        </w:tc>
      </w:tr>
      <w:tr w:rsidR="00B82E38" w:rsidRPr="00B82E38" w14:paraId="632F0296" w14:textId="77777777">
        <w:trPr>
          <w:trHeight w:val="20"/>
          <w:jc w:val="center"/>
        </w:trPr>
        <w:tc>
          <w:tcPr>
            <w:tcW w:w="2694" w:type="dxa"/>
            <w:shd w:val="clear" w:color="auto" w:fill="auto"/>
          </w:tcPr>
          <w:p w14:paraId="30BF7C1B" w14:textId="77777777" w:rsidR="00BA37FB" w:rsidRPr="00B82E38" w:rsidRDefault="008F363E" w:rsidP="00372A8C">
            <w:pPr>
              <w:widowControl/>
              <w:adjustRightInd w:val="0"/>
              <w:snapToGrid w:val="0"/>
              <w:spacing w:line="360" w:lineRule="auto"/>
              <w:rPr>
                <w:rFonts w:ascii="Book Antiqua" w:eastAsia="宋体" w:hAnsi="Book Antiqua"/>
                <w:color w:val="000000" w:themeColor="text1"/>
                <w:lang w:eastAsia="zh-CN"/>
              </w:rPr>
            </w:pPr>
            <w:r w:rsidRPr="00B82E38">
              <w:rPr>
                <w:rFonts w:ascii="Book Antiqua" w:eastAsia="宋体" w:hAnsi="Book Antiqua"/>
                <w:color w:val="000000" w:themeColor="text1"/>
                <w:lang w:eastAsia="zh-CN"/>
              </w:rPr>
              <w:t xml:space="preserve">TIPS indication, </w:t>
            </w:r>
            <w:r w:rsidRPr="00B82E38">
              <w:rPr>
                <w:rFonts w:ascii="Book Antiqua" w:eastAsia="宋体" w:hAnsi="Book Antiqua"/>
                <w:i/>
                <w:iCs/>
                <w:color w:val="000000" w:themeColor="text1"/>
                <w:lang w:eastAsia="zh-CN"/>
              </w:rPr>
              <w:t>n</w:t>
            </w:r>
            <w:r w:rsidRPr="00B82E38">
              <w:rPr>
                <w:rFonts w:ascii="Book Antiqua" w:eastAsia="宋体" w:hAnsi="Book Antiqua"/>
                <w:color w:val="000000" w:themeColor="text1"/>
                <w:vertAlign w:val="superscript"/>
                <w:lang w:eastAsia="zh-CN"/>
              </w:rPr>
              <w:t>2</w:t>
            </w:r>
          </w:p>
        </w:tc>
        <w:tc>
          <w:tcPr>
            <w:tcW w:w="2118" w:type="dxa"/>
            <w:shd w:val="clear" w:color="auto" w:fill="auto"/>
          </w:tcPr>
          <w:p w14:paraId="3D08D9BF" w14:textId="77777777" w:rsidR="00BA37FB" w:rsidRPr="00B82E38" w:rsidRDefault="00BA37FB" w:rsidP="00372A8C">
            <w:pPr>
              <w:widowControl/>
              <w:adjustRightInd w:val="0"/>
              <w:snapToGrid w:val="0"/>
              <w:spacing w:line="360" w:lineRule="auto"/>
              <w:rPr>
                <w:rFonts w:ascii="Book Antiqua" w:eastAsia="宋体" w:hAnsi="Book Antiqua"/>
                <w:color w:val="000000" w:themeColor="text1"/>
                <w:lang w:eastAsia="zh-CN"/>
              </w:rPr>
            </w:pPr>
          </w:p>
        </w:tc>
        <w:tc>
          <w:tcPr>
            <w:tcW w:w="1667" w:type="dxa"/>
            <w:shd w:val="clear" w:color="auto" w:fill="auto"/>
          </w:tcPr>
          <w:p w14:paraId="1796483C" w14:textId="77777777" w:rsidR="00BA37FB" w:rsidRPr="00B82E38" w:rsidRDefault="00BA37FB" w:rsidP="00372A8C">
            <w:pPr>
              <w:widowControl/>
              <w:adjustRightInd w:val="0"/>
              <w:snapToGrid w:val="0"/>
              <w:spacing w:line="360" w:lineRule="auto"/>
              <w:rPr>
                <w:rFonts w:ascii="Book Antiqua" w:eastAsia="宋体" w:hAnsi="Book Antiqua"/>
                <w:color w:val="000000" w:themeColor="text1"/>
                <w:lang w:eastAsia="zh-CN"/>
              </w:rPr>
            </w:pPr>
          </w:p>
        </w:tc>
        <w:tc>
          <w:tcPr>
            <w:tcW w:w="1600" w:type="dxa"/>
            <w:shd w:val="clear" w:color="auto" w:fill="auto"/>
          </w:tcPr>
          <w:p w14:paraId="7B5DE316" w14:textId="77777777" w:rsidR="00BA37FB" w:rsidRPr="00B82E38" w:rsidRDefault="00BA37FB" w:rsidP="00372A8C">
            <w:pPr>
              <w:widowControl/>
              <w:adjustRightInd w:val="0"/>
              <w:snapToGrid w:val="0"/>
              <w:spacing w:line="360" w:lineRule="auto"/>
              <w:rPr>
                <w:rFonts w:ascii="Book Antiqua" w:eastAsia="宋体" w:hAnsi="Book Antiqua"/>
                <w:color w:val="000000" w:themeColor="text1"/>
                <w:lang w:eastAsia="zh-CN"/>
              </w:rPr>
            </w:pPr>
          </w:p>
        </w:tc>
        <w:tc>
          <w:tcPr>
            <w:tcW w:w="1277" w:type="dxa"/>
            <w:vMerge w:val="restart"/>
            <w:shd w:val="clear" w:color="auto" w:fill="auto"/>
          </w:tcPr>
          <w:p w14:paraId="5BDDB329" w14:textId="77777777" w:rsidR="00BA37FB" w:rsidRPr="00B82E38" w:rsidRDefault="008F363E" w:rsidP="00372A8C">
            <w:pPr>
              <w:adjustRightInd w:val="0"/>
              <w:snapToGrid w:val="0"/>
              <w:spacing w:line="360" w:lineRule="auto"/>
              <w:rPr>
                <w:rFonts w:ascii="Book Antiqua" w:eastAsia="宋体" w:hAnsi="Book Antiqua"/>
                <w:color w:val="000000" w:themeColor="text1"/>
                <w:lang w:eastAsia="zh-CN"/>
              </w:rPr>
            </w:pPr>
            <w:r w:rsidRPr="00B82E38">
              <w:rPr>
                <w:rFonts w:ascii="Book Antiqua" w:eastAsia="宋体" w:hAnsi="Book Antiqua"/>
                <w:color w:val="000000" w:themeColor="text1"/>
                <w:lang w:eastAsia="zh-CN"/>
              </w:rPr>
              <w:t>0.10</w:t>
            </w:r>
          </w:p>
        </w:tc>
      </w:tr>
      <w:tr w:rsidR="00B82E38" w:rsidRPr="00B82E38" w14:paraId="2957E81F" w14:textId="77777777">
        <w:trPr>
          <w:trHeight w:val="20"/>
          <w:jc w:val="center"/>
        </w:trPr>
        <w:tc>
          <w:tcPr>
            <w:tcW w:w="2694" w:type="dxa"/>
            <w:shd w:val="clear" w:color="auto" w:fill="auto"/>
          </w:tcPr>
          <w:p w14:paraId="1D831467" w14:textId="77777777" w:rsidR="00BA37FB" w:rsidRPr="00B82E38" w:rsidRDefault="008F363E" w:rsidP="00372A8C">
            <w:pPr>
              <w:widowControl/>
              <w:adjustRightInd w:val="0"/>
              <w:snapToGrid w:val="0"/>
              <w:spacing w:line="360" w:lineRule="auto"/>
              <w:rPr>
                <w:rFonts w:ascii="Book Antiqua" w:eastAsia="宋体" w:hAnsi="Book Antiqua"/>
                <w:color w:val="000000" w:themeColor="text1"/>
                <w:lang w:eastAsia="zh-CN"/>
              </w:rPr>
            </w:pPr>
            <w:r w:rsidRPr="00B82E38">
              <w:rPr>
                <w:rFonts w:ascii="Book Antiqua" w:eastAsia="宋体" w:hAnsi="Book Antiqua"/>
                <w:color w:val="000000" w:themeColor="text1"/>
                <w:lang w:eastAsia="zh-CN"/>
              </w:rPr>
              <w:t>Variceal bleeding</w:t>
            </w:r>
          </w:p>
        </w:tc>
        <w:tc>
          <w:tcPr>
            <w:tcW w:w="2118" w:type="dxa"/>
            <w:shd w:val="clear" w:color="auto" w:fill="auto"/>
          </w:tcPr>
          <w:p w14:paraId="48B27A13" w14:textId="77777777" w:rsidR="00BA37FB" w:rsidRPr="00B82E38" w:rsidRDefault="008F363E" w:rsidP="00372A8C">
            <w:pPr>
              <w:widowControl/>
              <w:adjustRightInd w:val="0"/>
              <w:snapToGrid w:val="0"/>
              <w:spacing w:line="360" w:lineRule="auto"/>
              <w:rPr>
                <w:rFonts w:ascii="Book Antiqua" w:eastAsia="宋体" w:hAnsi="Book Antiqua"/>
                <w:color w:val="000000" w:themeColor="text1"/>
                <w:lang w:eastAsia="zh-CN"/>
              </w:rPr>
            </w:pPr>
            <w:r w:rsidRPr="00B82E38">
              <w:rPr>
                <w:rFonts w:ascii="Book Antiqua" w:eastAsia="宋体" w:hAnsi="Book Antiqua"/>
                <w:color w:val="000000" w:themeColor="text1"/>
                <w:lang w:eastAsia="zh-CN"/>
              </w:rPr>
              <w:t>118 (60.7)</w:t>
            </w:r>
          </w:p>
        </w:tc>
        <w:tc>
          <w:tcPr>
            <w:tcW w:w="1667" w:type="dxa"/>
            <w:shd w:val="clear" w:color="auto" w:fill="auto"/>
          </w:tcPr>
          <w:p w14:paraId="02020FC3" w14:textId="77777777" w:rsidR="00BA37FB" w:rsidRPr="00B82E38" w:rsidRDefault="008F363E" w:rsidP="00372A8C">
            <w:pPr>
              <w:widowControl/>
              <w:adjustRightInd w:val="0"/>
              <w:snapToGrid w:val="0"/>
              <w:spacing w:line="360" w:lineRule="auto"/>
              <w:rPr>
                <w:rFonts w:ascii="Book Antiqua" w:eastAsia="宋体" w:hAnsi="Book Antiqua"/>
                <w:color w:val="000000" w:themeColor="text1"/>
                <w:lang w:eastAsia="zh-CN"/>
              </w:rPr>
            </w:pPr>
            <w:r w:rsidRPr="00B82E38">
              <w:rPr>
                <w:rFonts w:ascii="Book Antiqua" w:eastAsia="宋体" w:hAnsi="Book Antiqua"/>
                <w:color w:val="000000" w:themeColor="text1"/>
                <w:lang w:eastAsia="zh-CN"/>
              </w:rPr>
              <w:t>93</w:t>
            </w:r>
          </w:p>
        </w:tc>
        <w:tc>
          <w:tcPr>
            <w:tcW w:w="1600" w:type="dxa"/>
            <w:shd w:val="clear" w:color="auto" w:fill="auto"/>
          </w:tcPr>
          <w:p w14:paraId="24234BB0" w14:textId="77777777" w:rsidR="00BA37FB" w:rsidRPr="00B82E38" w:rsidRDefault="008F363E" w:rsidP="00372A8C">
            <w:pPr>
              <w:widowControl/>
              <w:adjustRightInd w:val="0"/>
              <w:snapToGrid w:val="0"/>
              <w:spacing w:line="360" w:lineRule="auto"/>
              <w:rPr>
                <w:rFonts w:ascii="Book Antiqua" w:eastAsia="宋体" w:hAnsi="Book Antiqua"/>
                <w:color w:val="000000" w:themeColor="text1"/>
                <w:lang w:eastAsia="zh-CN"/>
              </w:rPr>
            </w:pPr>
            <w:r w:rsidRPr="00B82E38">
              <w:rPr>
                <w:rFonts w:ascii="Book Antiqua" w:eastAsia="宋体" w:hAnsi="Book Antiqua"/>
                <w:color w:val="000000" w:themeColor="text1"/>
                <w:lang w:eastAsia="zh-CN"/>
              </w:rPr>
              <w:t>25</w:t>
            </w:r>
          </w:p>
        </w:tc>
        <w:tc>
          <w:tcPr>
            <w:tcW w:w="1277" w:type="dxa"/>
            <w:vMerge/>
            <w:shd w:val="clear" w:color="auto" w:fill="auto"/>
          </w:tcPr>
          <w:p w14:paraId="791B59FB" w14:textId="77777777" w:rsidR="00BA37FB" w:rsidRPr="00B82E38" w:rsidRDefault="00BA37FB" w:rsidP="00372A8C">
            <w:pPr>
              <w:adjustRightInd w:val="0"/>
              <w:snapToGrid w:val="0"/>
              <w:spacing w:line="360" w:lineRule="auto"/>
              <w:rPr>
                <w:rFonts w:ascii="Book Antiqua" w:eastAsia="宋体" w:hAnsi="Book Antiqua"/>
                <w:color w:val="000000" w:themeColor="text1"/>
                <w:lang w:eastAsia="zh-CN"/>
              </w:rPr>
            </w:pPr>
          </w:p>
        </w:tc>
      </w:tr>
      <w:tr w:rsidR="00B82E38" w:rsidRPr="00B82E38" w14:paraId="1CC13E75" w14:textId="77777777">
        <w:trPr>
          <w:trHeight w:val="20"/>
          <w:jc w:val="center"/>
        </w:trPr>
        <w:tc>
          <w:tcPr>
            <w:tcW w:w="2694" w:type="dxa"/>
            <w:shd w:val="clear" w:color="auto" w:fill="auto"/>
          </w:tcPr>
          <w:p w14:paraId="2C70C381" w14:textId="77777777" w:rsidR="00BA37FB" w:rsidRPr="00B82E38" w:rsidRDefault="008F363E" w:rsidP="00372A8C">
            <w:pPr>
              <w:widowControl/>
              <w:adjustRightInd w:val="0"/>
              <w:snapToGrid w:val="0"/>
              <w:spacing w:line="360" w:lineRule="auto"/>
              <w:rPr>
                <w:rFonts w:ascii="Book Antiqua" w:eastAsia="宋体" w:hAnsi="Book Antiqua"/>
                <w:color w:val="000000" w:themeColor="text1"/>
                <w:lang w:eastAsia="zh-CN"/>
              </w:rPr>
            </w:pPr>
            <w:r w:rsidRPr="00B82E38">
              <w:rPr>
                <w:rFonts w:ascii="Book Antiqua" w:eastAsia="宋体" w:hAnsi="Book Antiqua"/>
                <w:color w:val="000000" w:themeColor="text1"/>
                <w:lang w:eastAsia="zh-CN"/>
              </w:rPr>
              <w:t>Ascites</w:t>
            </w:r>
          </w:p>
        </w:tc>
        <w:tc>
          <w:tcPr>
            <w:tcW w:w="2118" w:type="dxa"/>
            <w:shd w:val="clear" w:color="auto" w:fill="auto"/>
          </w:tcPr>
          <w:p w14:paraId="7D090852" w14:textId="77777777" w:rsidR="00BA37FB" w:rsidRPr="00B82E38" w:rsidRDefault="008F363E" w:rsidP="00372A8C">
            <w:pPr>
              <w:widowControl/>
              <w:adjustRightInd w:val="0"/>
              <w:snapToGrid w:val="0"/>
              <w:spacing w:line="360" w:lineRule="auto"/>
              <w:rPr>
                <w:rFonts w:ascii="Book Antiqua" w:eastAsia="宋体" w:hAnsi="Book Antiqua"/>
                <w:color w:val="000000" w:themeColor="text1"/>
                <w:lang w:eastAsia="zh-CN"/>
              </w:rPr>
            </w:pPr>
            <w:r w:rsidRPr="00B82E38">
              <w:rPr>
                <w:rFonts w:ascii="Book Antiqua" w:eastAsia="宋体" w:hAnsi="Book Antiqua"/>
                <w:color w:val="000000" w:themeColor="text1"/>
                <w:lang w:eastAsia="zh-CN"/>
              </w:rPr>
              <w:t>36 (18.5)</w:t>
            </w:r>
          </w:p>
        </w:tc>
        <w:tc>
          <w:tcPr>
            <w:tcW w:w="1667" w:type="dxa"/>
            <w:shd w:val="clear" w:color="auto" w:fill="auto"/>
          </w:tcPr>
          <w:p w14:paraId="5E913789" w14:textId="77777777" w:rsidR="00BA37FB" w:rsidRPr="00B82E38" w:rsidRDefault="008F363E" w:rsidP="00372A8C">
            <w:pPr>
              <w:widowControl/>
              <w:adjustRightInd w:val="0"/>
              <w:snapToGrid w:val="0"/>
              <w:spacing w:line="360" w:lineRule="auto"/>
              <w:rPr>
                <w:rFonts w:ascii="Book Antiqua" w:eastAsia="宋体" w:hAnsi="Book Antiqua"/>
                <w:color w:val="000000" w:themeColor="text1"/>
                <w:lang w:eastAsia="zh-CN"/>
              </w:rPr>
            </w:pPr>
            <w:r w:rsidRPr="00B82E38">
              <w:rPr>
                <w:rFonts w:ascii="Book Antiqua" w:eastAsia="宋体" w:hAnsi="Book Antiqua"/>
                <w:color w:val="000000" w:themeColor="text1"/>
                <w:lang w:eastAsia="zh-CN"/>
              </w:rPr>
              <w:t>29</w:t>
            </w:r>
          </w:p>
        </w:tc>
        <w:tc>
          <w:tcPr>
            <w:tcW w:w="1600" w:type="dxa"/>
            <w:shd w:val="clear" w:color="auto" w:fill="auto"/>
          </w:tcPr>
          <w:p w14:paraId="040C6574" w14:textId="77777777" w:rsidR="00BA37FB" w:rsidRPr="00B82E38" w:rsidRDefault="008F363E" w:rsidP="00372A8C">
            <w:pPr>
              <w:adjustRightInd w:val="0"/>
              <w:snapToGrid w:val="0"/>
              <w:spacing w:line="360" w:lineRule="auto"/>
              <w:rPr>
                <w:rFonts w:ascii="Book Antiqua" w:eastAsia="宋体" w:hAnsi="Book Antiqua"/>
                <w:color w:val="000000" w:themeColor="text1"/>
                <w:lang w:eastAsia="zh-CN"/>
              </w:rPr>
            </w:pPr>
            <w:r w:rsidRPr="00B82E38">
              <w:rPr>
                <w:rFonts w:ascii="Book Antiqua" w:eastAsia="宋体" w:hAnsi="Book Antiqua"/>
                <w:color w:val="000000" w:themeColor="text1"/>
                <w:lang w:eastAsia="zh-CN"/>
              </w:rPr>
              <w:t>7</w:t>
            </w:r>
          </w:p>
        </w:tc>
        <w:tc>
          <w:tcPr>
            <w:tcW w:w="1277" w:type="dxa"/>
            <w:vMerge/>
            <w:shd w:val="clear" w:color="auto" w:fill="auto"/>
          </w:tcPr>
          <w:p w14:paraId="6A9CCF15" w14:textId="77777777" w:rsidR="00BA37FB" w:rsidRPr="00B82E38" w:rsidRDefault="00BA37FB" w:rsidP="00372A8C">
            <w:pPr>
              <w:adjustRightInd w:val="0"/>
              <w:snapToGrid w:val="0"/>
              <w:spacing w:line="360" w:lineRule="auto"/>
              <w:rPr>
                <w:rFonts w:ascii="Book Antiqua" w:eastAsia="宋体" w:hAnsi="Book Antiqua"/>
                <w:color w:val="000000" w:themeColor="text1"/>
                <w:lang w:eastAsia="zh-CN"/>
              </w:rPr>
            </w:pPr>
          </w:p>
        </w:tc>
      </w:tr>
      <w:tr w:rsidR="00B82E38" w:rsidRPr="00B82E38" w14:paraId="39028EAE" w14:textId="77777777">
        <w:trPr>
          <w:trHeight w:val="20"/>
          <w:jc w:val="center"/>
        </w:trPr>
        <w:tc>
          <w:tcPr>
            <w:tcW w:w="2694" w:type="dxa"/>
            <w:shd w:val="clear" w:color="auto" w:fill="auto"/>
          </w:tcPr>
          <w:p w14:paraId="3C85E293" w14:textId="77777777" w:rsidR="00BA37FB" w:rsidRPr="00B82E38" w:rsidRDefault="008F363E" w:rsidP="00372A8C">
            <w:pPr>
              <w:widowControl/>
              <w:adjustRightInd w:val="0"/>
              <w:snapToGrid w:val="0"/>
              <w:spacing w:line="360" w:lineRule="auto"/>
              <w:rPr>
                <w:rFonts w:ascii="Book Antiqua" w:eastAsia="宋体" w:hAnsi="Book Antiqua"/>
                <w:color w:val="000000" w:themeColor="text1"/>
                <w:lang w:eastAsia="zh-CN"/>
              </w:rPr>
            </w:pPr>
            <w:r w:rsidRPr="00B82E38">
              <w:rPr>
                <w:rFonts w:ascii="Book Antiqua" w:eastAsia="宋体" w:hAnsi="Book Antiqua"/>
                <w:color w:val="000000" w:themeColor="text1"/>
                <w:lang w:eastAsia="zh-CN"/>
              </w:rPr>
              <w:t>Bleeding combine with ascites</w:t>
            </w:r>
          </w:p>
        </w:tc>
        <w:tc>
          <w:tcPr>
            <w:tcW w:w="2118" w:type="dxa"/>
            <w:shd w:val="clear" w:color="auto" w:fill="auto"/>
          </w:tcPr>
          <w:p w14:paraId="7751F398" w14:textId="77777777" w:rsidR="00BA37FB" w:rsidRPr="00B82E38" w:rsidRDefault="008F363E" w:rsidP="00372A8C">
            <w:pPr>
              <w:widowControl/>
              <w:adjustRightInd w:val="0"/>
              <w:snapToGrid w:val="0"/>
              <w:spacing w:line="360" w:lineRule="auto"/>
              <w:rPr>
                <w:rFonts w:ascii="Book Antiqua" w:eastAsia="宋体" w:hAnsi="Book Antiqua"/>
                <w:color w:val="000000" w:themeColor="text1"/>
                <w:lang w:eastAsia="zh-CN"/>
              </w:rPr>
            </w:pPr>
            <w:r w:rsidRPr="00B82E38">
              <w:rPr>
                <w:rFonts w:ascii="Book Antiqua" w:eastAsia="宋体" w:hAnsi="Book Antiqua"/>
                <w:color w:val="000000" w:themeColor="text1"/>
                <w:lang w:eastAsia="zh-CN"/>
              </w:rPr>
              <w:t>27 (14.1)</w:t>
            </w:r>
          </w:p>
        </w:tc>
        <w:tc>
          <w:tcPr>
            <w:tcW w:w="1667" w:type="dxa"/>
            <w:shd w:val="clear" w:color="auto" w:fill="auto"/>
          </w:tcPr>
          <w:p w14:paraId="1DFB1864" w14:textId="77777777" w:rsidR="00BA37FB" w:rsidRPr="00B82E38" w:rsidRDefault="008F363E" w:rsidP="00372A8C">
            <w:pPr>
              <w:widowControl/>
              <w:adjustRightInd w:val="0"/>
              <w:snapToGrid w:val="0"/>
              <w:spacing w:line="360" w:lineRule="auto"/>
              <w:rPr>
                <w:rFonts w:ascii="Book Antiqua" w:eastAsia="宋体" w:hAnsi="Book Antiqua"/>
                <w:color w:val="000000" w:themeColor="text1"/>
                <w:lang w:eastAsia="zh-CN"/>
              </w:rPr>
            </w:pPr>
            <w:r w:rsidRPr="00B82E38">
              <w:rPr>
                <w:rFonts w:ascii="Book Antiqua" w:eastAsia="宋体" w:hAnsi="Book Antiqua"/>
                <w:color w:val="000000" w:themeColor="text1"/>
                <w:lang w:eastAsia="zh-CN"/>
              </w:rPr>
              <w:t>21</w:t>
            </w:r>
          </w:p>
        </w:tc>
        <w:tc>
          <w:tcPr>
            <w:tcW w:w="1600" w:type="dxa"/>
            <w:shd w:val="clear" w:color="auto" w:fill="auto"/>
          </w:tcPr>
          <w:p w14:paraId="44E365B5" w14:textId="77777777" w:rsidR="00BA37FB" w:rsidRPr="00B82E38" w:rsidRDefault="008F363E" w:rsidP="00372A8C">
            <w:pPr>
              <w:adjustRightInd w:val="0"/>
              <w:snapToGrid w:val="0"/>
              <w:spacing w:line="360" w:lineRule="auto"/>
              <w:rPr>
                <w:rFonts w:ascii="Book Antiqua" w:eastAsia="宋体" w:hAnsi="Book Antiqua"/>
                <w:color w:val="000000" w:themeColor="text1"/>
                <w:lang w:eastAsia="zh-CN"/>
              </w:rPr>
            </w:pPr>
            <w:r w:rsidRPr="00B82E38">
              <w:rPr>
                <w:rFonts w:ascii="Book Antiqua" w:eastAsia="宋体" w:hAnsi="Book Antiqua"/>
                <w:color w:val="000000" w:themeColor="text1"/>
                <w:lang w:eastAsia="zh-CN"/>
              </w:rPr>
              <w:t>6</w:t>
            </w:r>
          </w:p>
        </w:tc>
        <w:tc>
          <w:tcPr>
            <w:tcW w:w="1277" w:type="dxa"/>
            <w:vMerge/>
            <w:shd w:val="clear" w:color="auto" w:fill="auto"/>
          </w:tcPr>
          <w:p w14:paraId="62C19F21" w14:textId="77777777" w:rsidR="00BA37FB" w:rsidRPr="00B82E38" w:rsidRDefault="00BA37FB" w:rsidP="00372A8C">
            <w:pPr>
              <w:adjustRightInd w:val="0"/>
              <w:snapToGrid w:val="0"/>
              <w:spacing w:line="360" w:lineRule="auto"/>
              <w:rPr>
                <w:rFonts w:ascii="Book Antiqua" w:eastAsia="宋体" w:hAnsi="Book Antiqua"/>
                <w:color w:val="000000" w:themeColor="text1"/>
                <w:lang w:eastAsia="zh-CN"/>
              </w:rPr>
            </w:pPr>
          </w:p>
        </w:tc>
      </w:tr>
      <w:tr w:rsidR="00B82E38" w:rsidRPr="00B82E38" w14:paraId="7F19BAA3" w14:textId="77777777">
        <w:trPr>
          <w:trHeight w:val="20"/>
          <w:jc w:val="center"/>
        </w:trPr>
        <w:tc>
          <w:tcPr>
            <w:tcW w:w="2694" w:type="dxa"/>
            <w:shd w:val="clear" w:color="auto" w:fill="auto"/>
          </w:tcPr>
          <w:p w14:paraId="32286CF3" w14:textId="77777777" w:rsidR="00BA37FB" w:rsidRPr="00B82E38" w:rsidRDefault="008F363E" w:rsidP="00372A8C">
            <w:pPr>
              <w:adjustRightInd w:val="0"/>
              <w:snapToGrid w:val="0"/>
              <w:spacing w:line="360" w:lineRule="auto"/>
              <w:rPr>
                <w:rFonts w:ascii="Book Antiqua" w:eastAsia="宋体" w:hAnsi="Book Antiqua"/>
                <w:color w:val="000000" w:themeColor="text1"/>
                <w:lang w:eastAsia="zh-CN"/>
              </w:rPr>
            </w:pPr>
            <w:r w:rsidRPr="00B82E38">
              <w:rPr>
                <w:rFonts w:ascii="Book Antiqua" w:eastAsia="宋体" w:hAnsi="Book Antiqua"/>
                <w:color w:val="000000" w:themeColor="text1"/>
                <w:lang w:eastAsia="zh-CN"/>
              </w:rPr>
              <w:t>Other</w:t>
            </w:r>
          </w:p>
        </w:tc>
        <w:tc>
          <w:tcPr>
            <w:tcW w:w="2118" w:type="dxa"/>
            <w:shd w:val="clear" w:color="auto" w:fill="auto"/>
          </w:tcPr>
          <w:p w14:paraId="53E8618B" w14:textId="77777777" w:rsidR="00BA37FB" w:rsidRPr="00B82E38" w:rsidRDefault="008F363E" w:rsidP="00372A8C">
            <w:pPr>
              <w:adjustRightInd w:val="0"/>
              <w:snapToGrid w:val="0"/>
              <w:spacing w:line="360" w:lineRule="auto"/>
              <w:rPr>
                <w:rFonts w:ascii="Book Antiqua" w:eastAsia="宋体" w:hAnsi="Book Antiqua"/>
                <w:color w:val="000000" w:themeColor="text1"/>
                <w:lang w:eastAsia="zh-CN"/>
              </w:rPr>
            </w:pPr>
            <w:r w:rsidRPr="00B82E38">
              <w:rPr>
                <w:rFonts w:ascii="Book Antiqua" w:eastAsia="宋体" w:hAnsi="Book Antiqua"/>
                <w:color w:val="000000" w:themeColor="text1"/>
                <w:lang w:eastAsia="zh-CN"/>
              </w:rPr>
              <w:t>14 (6.7)</w:t>
            </w:r>
          </w:p>
        </w:tc>
        <w:tc>
          <w:tcPr>
            <w:tcW w:w="1667" w:type="dxa"/>
            <w:shd w:val="clear" w:color="auto" w:fill="auto"/>
          </w:tcPr>
          <w:p w14:paraId="14F30557" w14:textId="77777777" w:rsidR="00BA37FB" w:rsidRPr="00B82E38" w:rsidRDefault="008F363E" w:rsidP="00372A8C">
            <w:pPr>
              <w:adjustRightInd w:val="0"/>
              <w:snapToGrid w:val="0"/>
              <w:spacing w:line="360" w:lineRule="auto"/>
              <w:rPr>
                <w:rFonts w:ascii="Book Antiqua" w:eastAsia="宋体" w:hAnsi="Book Antiqua"/>
                <w:color w:val="000000" w:themeColor="text1"/>
                <w:lang w:eastAsia="zh-CN"/>
              </w:rPr>
            </w:pPr>
            <w:r w:rsidRPr="00B82E38">
              <w:rPr>
                <w:rFonts w:ascii="Book Antiqua" w:eastAsia="宋体" w:hAnsi="Book Antiqua"/>
                <w:color w:val="000000" w:themeColor="text1"/>
                <w:lang w:eastAsia="zh-CN"/>
              </w:rPr>
              <w:t>7</w:t>
            </w:r>
          </w:p>
        </w:tc>
        <w:tc>
          <w:tcPr>
            <w:tcW w:w="1600" w:type="dxa"/>
            <w:shd w:val="clear" w:color="auto" w:fill="auto"/>
          </w:tcPr>
          <w:p w14:paraId="4A20870A" w14:textId="77777777" w:rsidR="00BA37FB" w:rsidRPr="00B82E38" w:rsidRDefault="008F363E" w:rsidP="00372A8C">
            <w:pPr>
              <w:adjustRightInd w:val="0"/>
              <w:snapToGrid w:val="0"/>
              <w:spacing w:line="360" w:lineRule="auto"/>
              <w:rPr>
                <w:rFonts w:ascii="Book Antiqua" w:eastAsia="宋体" w:hAnsi="Book Antiqua"/>
                <w:color w:val="000000" w:themeColor="text1"/>
                <w:lang w:eastAsia="zh-CN"/>
              </w:rPr>
            </w:pPr>
            <w:r w:rsidRPr="00B82E38">
              <w:rPr>
                <w:rFonts w:ascii="Book Antiqua" w:eastAsia="宋体" w:hAnsi="Book Antiqua"/>
                <w:color w:val="000000" w:themeColor="text1"/>
                <w:lang w:eastAsia="zh-CN"/>
              </w:rPr>
              <w:t>7</w:t>
            </w:r>
          </w:p>
        </w:tc>
        <w:tc>
          <w:tcPr>
            <w:tcW w:w="1277" w:type="dxa"/>
            <w:vMerge/>
            <w:shd w:val="clear" w:color="auto" w:fill="auto"/>
          </w:tcPr>
          <w:p w14:paraId="5CE95975" w14:textId="77777777" w:rsidR="00BA37FB" w:rsidRPr="00B82E38" w:rsidRDefault="00BA37FB" w:rsidP="00372A8C">
            <w:pPr>
              <w:adjustRightInd w:val="0"/>
              <w:snapToGrid w:val="0"/>
              <w:spacing w:line="360" w:lineRule="auto"/>
              <w:rPr>
                <w:rFonts w:ascii="Book Antiqua" w:eastAsia="宋体" w:hAnsi="Book Antiqua"/>
                <w:color w:val="000000" w:themeColor="text1"/>
                <w:lang w:eastAsia="zh-CN"/>
              </w:rPr>
            </w:pPr>
          </w:p>
        </w:tc>
      </w:tr>
      <w:tr w:rsidR="00B82E38" w:rsidRPr="00B82E38" w14:paraId="0FD82560" w14:textId="77777777">
        <w:trPr>
          <w:trHeight w:val="20"/>
          <w:jc w:val="center"/>
        </w:trPr>
        <w:tc>
          <w:tcPr>
            <w:tcW w:w="2694" w:type="dxa"/>
            <w:shd w:val="clear" w:color="auto" w:fill="auto"/>
          </w:tcPr>
          <w:p w14:paraId="1919F6F4" w14:textId="77777777" w:rsidR="00BA37FB" w:rsidRPr="00B82E38" w:rsidRDefault="008F363E" w:rsidP="00372A8C">
            <w:pPr>
              <w:widowControl/>
              <w:adjustRightInd w:val="0"/>
              <w:snapToGrid w:val="0"/>
              <w:spacing w:line="360" w:lineRule="auto"/>
              <w:rPr>
                <w:rFonts w:ascii="Book Antiqua" w:eastAsia="宋体" w:hAnsi="Book Antiqua"/>
                <w:color w:val="000000" w:themeColor="text1"/>
                <w:lang w:eastAsia="zh-CN"/>
              </w:rPr>
            </w:pPr>
            <w:bookmarkStart w:id="0" w:name="OLE_LINK5"/>
            <w:r w:rsidRPr="00B82E38">
              <w:rPr>
                <w:rFonts w:ascii="Book Antiqua" w:eastAsia="宋体" w:hAnsi="Book Antiqua"/>
                <w:color w:val="000000" w:themeColor="text1"/>
                <w:lang w:eastAsia="zh-CN"/>
              </w:rPr>
              <w:t xml:space="preserve">Cirrhotic </w:t>
            </w:r>
            <w:proofErr w:type="spellStart"/>
            <w:r w:rsidRPr="00B82E38">
              <w:rPr>
                <w:rFonts w:ascii="Book Antiqua" w:eastAsia="宋体" w:hAnsi="Book Antiqua"/>
                <w:color w:val="000000" w:themeColor="text1"/>
                <w:lang w:eastAsia="zh-CN"/>
              </w:rPr>
              <w:t>aetiology</w:t>
            </w:r>
            <w:proofErr w:type="spellEnd"/>
            <w:r w:rsidRPr="00B82E38">
              <w:rPr>
                <w:rFonts w:ascii="Book Antiqua" w:eastAsia="宋体" w:hAnsi="Book Antiqua"/>
                <w:color w:val="000000" w:themeColor="text1"/>
                <w:lang w:eastAsia="zh-CN"/>
              </w:rPr>
              <w:t xml:space="preserve">, </w:t>
            </w:r>
            <w:r w:rsidRPr="00B82E38">
              <w:rPr>
                <w:rFonts w:ascii="Book Antiqua" w:eastAsia="宋体" w:hAnsi="Book Antiqua"/>
                <w:i/>
                <w:iCs/>
                <w:color w:val="000000" w:themeColor="text1"/>
                <w:lang w:eastAsia="zh-CN"/>
              </w:rPr>
              <w:t>n</w:t>
            </w:r>
            <w:r w:rsidRPr="00B82E38">
              <w:rPr>
                <w:rFonts w:ascii="Book Antiqua" w:eastAsia="宋体" w:hAnsi="Book Antiqua"/>
                <w:color w:val="000000" w:themeColor="text1"/>
                <w:vertAlign w:val="superscript"/>
                <w:lang w:eastAsia="zh-CN"/>
              </w:rPr>
              <w:t>2</w:t>
            </w:r>
            <w:bookmarkEnd w:id="0"/>
          </w:p>
        </w:tc>
        <w:tc>
          <w:tcPr>
            <w:tcW w:w="2118" w:type="dxa"/>
            <w:shd w:val="clear" w:color="auto" w:fill="auto"/>
          </w:tcPr>
          <w:p w14:paraId="1423AC4F" w14:textId="77777777" w:rsidR="00BA37FB" w:rsidRPr="00B82E38" w:rsidRDefault="00BA37FB" w:rsidP="00372A8C">
            <w:pPr>
              <w:widowControl/>
              <w:adjustRightInd w:val="0"/>
              <w:snapToGrid w:val="0"/>
              <w:spacing w:line="360" w:lineRule="auto"/>
              <w:rPr>
                <w:rFonts w:ascii="Book Antiqua" w:eastAsia="宋体" w:hAnsi="Book Antiqua"/>
                <w:color w:val="000000" w:themeColor="text1"/>
                <w:lang w:eastAsia="zh-CN"/>
              </w:rPr>
            </w:pPr>
          </w:p>
        </w:tc>
        <w:tc>
          <w:tcPr>
            <w:tcW w:w="1667" w:type="dxa"/>
            <w:shd w:val="clear" w:color="auto" w:fill="auto"/>
          </w:tcPr>
          <w:p w14:paraId="379618FC" w14:textId="77777777" w:rsidR="00BA37FB" w:rsidRPr="00B82E38" w:rsidRDefault="00BA37FB" w:rsidP="00372A8C">
            <w:pPr>
              <w:widowControl/>
              <w:adjustRightInd w:val="0"/>
              <w:snapToGrid w:val="0"/>
              <w:spacing w:line="360" w:lineRule="auto"/>
              <w:rPr>
                <w:rFonts w:ascii="Book Antiqua" w:eastAsia="宋体" w:hAnsi="Book Antiqua"/>
                <w:color w:val="000000" w:themeColor="text1"/>
                <w:lang w:eastAsia="zh-CN"/>
              </w:rPr>
            </w:pPr>
          </w:p>
        </w:tc>
        <w:tc>
          <w:tcPr>
            <w:tcW w:w="1600" w:type="dxa"/>
            <w:shd w:val="clear" w:color="auto" w:fill="auto"/>
          </w:tcPr>
          <w:p w14:paraId="14493D90" w14:textId="77777777" w:rsidR="00BA37FB" w:rsidRPr="00B82E38" w:rsidRDefault="00BA37FB" w:rsidP="00372A8C">
            <w:pPr>
              <w:widowControl/>
              <w:adjustRightInd w:val="0"/>
              <w:snapToGrid w:val="0"/>
              <w:spacing w:line="360" w:lineRule="auto"/>
              <w:rPr>
                <w:rFonts w:ascii="Book Antiqua" w:eastAsia="宋体" w:hAnsi="Book Antiqua"/>
                <w:color w:val="000000" w:themeColor="text1"/>
                <w:lang w:eastAsia="zh-CN"/>
              </w:rPr>
            </w:pPr>
          </w:p>
        </w:tc>
        <w:tc>
          <w:tcPr>
            <w:tcW w:w="1277" w:type="dxa"/>
            <w:vMerge w:val="restart"/>
            <w:shd w:val="clear" w:color="auto" w:fill="auto"/>
          </w:tcPr>
          <w:p w14:paraId="58CB71C3" w14:textId="77777777" w:rsidR="00BA37FB" w:rsidRPr="00B82E38" w:rsidRDefault="008F363E" w:rsidP="00372A8C">
            <w:pPr>
              <w:adjustRightInd w:val="0"/>
              <w:snapToGrid w:val="0"/>
              <w:spacing w:line="360" w:lineRule="auto"/>
              <w:rPr>
                <w:rFonts w:ascii="Book Antiqua" w:eastAsia="宋体" w:hAnsi="Book Antiqua"/>
                <w:color w:val="000000" w:themeColor="text1"/>
                <w:lang w:eastAsia="zh-CN"/>
              </w:rPr>
            </w:pPr>
            <w:r w:rsidRPr="00B82E38">
              <w:rPr>
                <w:rFonts w:ascii="Book Antiqua" w:eastAsia="宋体" w:hAnsi="Book Antiqua"/>
                <w:color w:val="000000" w:themeColor="text1"/>
                <w:lang w:eastAsia="zh-CN"/>
              </w:rPr>
              <w:t>0.98</w:t>
            </w:r>
          </w:p>
        </w:tc>
      </w:tr>
      <w:tr w:rsidR="00B82E38" w:rsidRPr="00B82E38" w14:paraId="7C86DC2D" w14:textId="77777777">
        <w:trPr>
          <w:trHeight w:val="20"/>
          <w:jc w:val="center"/>
        </w:trPr>
        <w:tc>
          <w:tcPr>
            <w:tcW w:w="2694" w:type="dxa"/>
            <w:shd w:val="clear" w:color="auto" w:fill="auto"/>
          </w:tcPr>
          <w:p w14:paraId="721E9E0D" w14:textId="77777777" w:rsidR="00BA37FB" w:rsidRPr="00B82E38" w:rsidRDefault="008F363E" w:rsidP="00372A8C">
            <w:pPr>
              <w:widowControl/>
              <w:adjustRightInd w:val="0"/>
              <w:snapToGrid w:val="0"/>
              <w:spacing w:line="360" w:lineRule="auto"/>
              <w:rPr>
                <w:rFonts w:ascii="Book Antiqua" w:eastAsia="宋体" w:hAnsi="Book Antiqua"/>
                <w:color w:val="000000" w:themeColor="text1"/>
                <w:lang w:eastAsia="zh-CN"/>
              </w:rPr>
            </w:pPr>
            <w:r w:rsidRPr="00B82E38">
              <w:rPr>
                <w:rFonts w:ascii="Book Antiqua" w:eastAsia="宋体" w:hAnsi="Book Antiqua"/>
                <w:color w:val="000000" w:themeColor="text1"/>
                <w:lang w:eastAsia="zh-CN"/>
              </w:rPr>
              <w:t>Viral</w:t>
            </w:r>
          </w:p>
        </w:tc>
        <w:tc>
          <w:tcPr>
            <w:tcW w:w="2118" w:type="dxa"/>
            <w:shd w:val="clear" w:color="auto" w:fill="auto"/>
          </w:tcPr>
          <w:p w14:paraId="1BA2522F" w14:textId="77777777" w:rsidR="00BA37FB" w:rsidRPr="00B82E38" w:rsidRDefault="008F363E" w:rsidP="00372A8C">
            <w:pPr>
              <w:widowControl/>
              <w:adjustRightInd w:val="0"/>
              <w:snapToGrid w:val="0"/>
              <w:spacing w:line="360" w:lineRule="auto"/>
              <w:rPr>
                <w:rFonts w:ascii="Book Antiqua" w:eastAsia="宋体" w:hAnsi="Book Antiqua"/>
                <w:color w:val="000000" w:themeColor="text1"/>
                <w:lang w:eastAsia="zh-CN"/>
              </w:rPr>
            </w:pPr>
            <w:r w:rsidRPr="00B82E38">
              <w:rPr>
                <w:rFonts w:ascii="Book Antiqua" w:eastAsia="宋体" w:hAnsi="Book Antiqua"/>
                <w:color w:val="000000" w:themeColor="text1"/>
                <w:lang w:eastAsia="zh-CN"/>
              </w:rPr>
              <w:t>146 (74.9)</w:t>
            </w:r>
          </w:p>
        </w:tc>
        <w:tc>
          <w:tcPr>
            <w:tcW w:w="1667" w:type="dxa"/>
            <w:shd w:val="clear" w:color="auto" w:fill="auto"/>
          </w:tcPr>
          <w:p w14:paraId="3D37997C" w14:textId="77777777" w:rsidR="00BA37FB" w:rsidRPr="00B82E38" w:rsidRDefault="008F363E" w:rsidP="00372A8C">
            <w:pPr>
              <w:adjustRightInd w:val="0"/>
              <w:snapToGrid w:val="0"/>
              <w:spacing w:line="360" w:lineRule="auto"/>
              <w:rPr>
                <w:rFonts w:ascii="Book Antiqua" w:eastAsia="宋体" w:hAnsi="Book Antiqua"/>
                <w:color w:val="000000" w:themeColor="text1"/>
                <w:lang w:eastAsia="zh-CN"/>
              </w:rPr>
            </w:pPr>
            <w:r w:rsidRPr="00B82E38">
              <w:rPr>
                <w:rFonts w:ascii="Book Antiqua" w:eastAsia="宋体" w:hAnsi="Book Antiqua"/>
                <w:color w:val="000000" w:themeColor="text1"/>
                <w:lang w:eastAsia="zh-CN"/>
              </w:rPr>
              <w:t>111</w:t>
            </w:r>
          </w:p>
        </w:tc>
        <w:tc>
          <w:tcPr>
            <w:tcW w:w="1600" w:type="dxa"/>
            <w:shd w:val="clear" w:color="auto" w:fill="auto"/>
          </w:tcPr>
          <w:p w14:paraId="1907FDAB" w14:textId="77777777" w:rsidR="00BA37FB" w:rsidRPr="00B82E38" w:rsidRDefault="008F363E" w:rsidP="00372A8C">
            <w:pPr>
              <w:adjustRightInd w:val="0"/>
              <w:snapToGrid w:val="0"/>
              <w:spacing w:line="360" w:lineRule="auto"/>
              <w:rPr>
                <w:rFonts w:ascii="Book Antiqua" w:eastAsia="宋体" w:hAnsi="Book Antiqua"/>
                <w:color w:val="000000" w:themeColor="text1"/>
                <w:lang w:eastAsia="zh-CN"/>
              </w:rPr>
            </w:pPr>
            <w:r w:rsidRPr="00B82E38">
              <w:rPr>
                <w:rFonts w:ascii="Book Antiqua" w:eastAsia="宋体" w:hAnsi="Book Antiqua"/>
                <w:color w:val="000000" w:themeColor="text1"/>
                <w:lang w:eastAsia="zh-CN"/>
              </w:rPr>
              <w:t>35</w:t>
            </w:r>
          </w:p>
        </w:tc>
        <w:tc>
          <w:tcPr>
            <w:tcW w:w="1277" w:type="dxa"/>
            <w:vMerge/>
            <w:shd w:val="clear" w:color="auto" w:fill="auto"/>
          </w:tcPr>
          <w:p w14:paraId="629B57DE" w14:textId="77777777" w:rsidR="00BA37FB" w:rsidRPr="00B82E38" w:rsidRDefault="00BA37FB" w:rsidP="00372A8C">
            <w:pPr>
              <w:adjustRightInd w:val="0"/>
              <w:snapToGrid w:val="0"/>
              <w:spacing w:line="360" w:lineRule="auto"/>
              <w:rPr>
                <w:rFonts w:ascii="Book Antiqua" w:eastAsia="宋体" w:hAnsi="Book Antiqua"/>
                <w:color w:val="000000" w:themeColor="text1"/>
                <w:lang w:eastAsia="zh-CN"/>
              </w:rPr>
            </w:pPr>
          </w:p>
        </w:tc>
      </w:tr>
      <w:tr w:rsidR="00B82E38" w:rsidRPr="00B82E38" w14:paraId="66CA1455" w14:textId="77777777">
        <w:trPr>
          <w:trHeight w:val="20"/>
          <w:jc w:val="center"/>
        </w:trPr>
        <w:tc>
          <w:tcPr>
            <w:tcW w:w="2694" w:type="dxa"/>
            <w:shd w:val="clear" w:color="auto" w:fill="auto"/>
          </w:tcPr>
          <w:p w14:paraId="5CB9A634" w14:textId="77777777" w:rsidR="00BA37FB" w:rsidRPr="00B82E38" w:rsidRDefault="008F363E" w:rsidP="00372A8C">
            <w:pPr>
              <w:widowControl/>
              <w:adjustRightInd w:val="0"/>
              <w:snapToGrid w:val="0"/>
              <w:spacing w:line="360" w:lineRule="auto"/>
              <w:rPr>
                <w:rFonts w:ascii="Book Antiqua" w:eastAsia="宋体" w:hAnsi="Book Antiqua"/>
                <w:color w:val="000000" w:themeColor="text1"/>
                <w:lang w:eastAsia="zh-CN"/>
              </w:rPr>
            </w:pPr>
            <w:r w:rsidRPr="00B82E38">
              <w:rPr>
                <w:rFonts w:ascii="Book Antiqua" w:eastAsia="宋体" w:hAnsi="Book Antiqua"/>
                <w:color w:val="000000" w:themeColor="text1"/>
                <w:lang w:eastAsia="zh-CN"/>
              </w:rPr>
              <w:t>Alcoholic</w:t>
            </w:r>
          </w:p>
        </w:tc>
        <w:tc>
          <w:tcPr>
            <w:tcW w:w="2118" w:type="dxa"/>
            <w:shd w:val="clear" w:color="auto" w:fill="auto"/>
          </w:tcPr>
          <w:p w14:paraId="5929FC78" w14:textId="77777777" w:rsidR="00BA37FB" w:rsidRPr="00B82E38" w:rsidRDefault="008F363E" w:rsidP="00372A8C">
            <w:pPr>
              <w:widowControl/>
              <w:adjustRightInd w:val="0"/>
              <w:snapToGrid w:val="0"/>
              <w:spacing w:line="360" w:lineRule="auto"/>
              <w:rPr>
                <w:rFonts w:ascii="Book Antiqua" w:eastAsia="宋体" w:hAnsi="Book Antiqua"/>
                <w:color w:val="000000" w:themeColor="text1"/>
                <w:lang w:eastAsia="zh-CN"/>
              </w:rPr>
            </w:pPr>
            <w:r w:rsidRPr="00B82E38">
              <w:rPr>
                <w:rFonts w:ascii="Book Antiqua" w:eastAsia="宋体" w:hAnsi="Book Antiqua"/>
                <w:color w:val="000000" w:themeColor="text1"/>
                <w:lang w:eastAsia="zh-CN"/>
              </w:rPr>
              <w:t>31 (15.9)</w:t>
            </w:r>
          </w:p>
        </w:tc>
        <w:tc>
          <w:tcPr>
            <w:tcW w:w="1667" w:type="dxa"/>
            <w:shd w:val="clear" w:color="auto" w:fill="auto"/>
          </w:tcPr>
          <w:p w14:paraId="3AC770CB" w14:textId="77777777" w:rsidR="00BA37FB" w:rsidRPr="00B82E38" w:rsidRDefault="008F363E" w:rsidP="00372A8C">
            <w:pPr>
              <w:adjustRightInd w:val="0"/>
              <w:snapToGrid w:val="0"/>
              <w:spacing w:line="360" w:lineRule="auto"/>
              <w:rPr>
                <w:rFonts w:ascii="Book Antiqua" w:eastAsia="宋体" w:hAnsi="Book Antiqua"/>
                <w:color w:val="000000" w:themeColor="text1"/>
                <w:lang w:eastAsia="zh-CN"/>
              </w:rPr>
            </w:pPr>
            <w:r w:rsidRPr="00B82E38">
              <w:rPr>
                <w:rFonts w:ascii="Book Antiqua" w:eastAsia="宋体" w:hAnsi="Book Antiqua"/>
                <w:color w:val="000000" w:themeColor="text1"/>
                <w:lang w:eastAsia="zh-CN"/>
              </w:rPr>
              <w:t>25</w:t>
            </w:r>
          </w:p>
        </w:tc>
        <w:tc>
          <w:tcPr>
            <w:tcW w:w="1600" w:type="dxa"/>
            <w:shd w:val="clear" w:color="auto" w:fill="auto"/>
          </w:tcPr>
          <w:p w14:paraId="103EF67D" w14:textId="77777777" w:rsidR="00BA37FB" w:rsidRPr="00B82E38" w:rsidRDefault="008F363E" w:rsidP="00372A8C">
            <w:pPr>
              <w:adjustRightInd w:val="0"/>
              <w:snapToGrid w:val="0"/>
              <w:spacing w:line="360" w:lineRule="auto"/>
              <w:rPr>
                <w:rFonts w:ascii="Book Antiqua" w:eastAsia="宋体" w:hAnsi="Book Antiqua"/>
                <w:color w:val="000000" w:themeColor="text1"/>
                <w:lang w:eastAsia="zh-CN"/>
              </w:rPr>
            </w:pPr>
            <w:r w:rsidRPr="00B82E38">
              <w:rPr>
                <w:rFonts w:ascii="Book Antiqua" w:eastAsia="宋体" w:hAnsi="Book Antiqua"/>
                <w:color w:val="000000" w:themeColor="text1"/>
                <w:lang w:eastAsia="zh-CN"/>
              </w:rPr>
              <w:t>6</w:t>
            </w:r>
          </w:p>
        </w:tc>
        <w:tc>
          <w:tcPr>
            <w:tcW w:w="1277" w:type="dxa"/>
            <w:vMerge/>
            <w:shd w:val="clear" w:color="auto" w:fill="auto"/>
          </w:tcPr>
          <w:p w14:paraId="5A82CB9C" w14:textId="77777777" w:rsidR="00BA37FB" w:rsidRPr="00B82E38" w:rsidRDefault="00BA37FB" w:rsidP="00372A8C">
            <w:pPr>
              <w:adjustRightInd w:val="0"/>
              <w:snapToGrid w:val="0"/>
              <w:spacing w:line="360" w:lineRule="auto"/>
              <w:rPr>
                <w:rFonts w:ascii="Book Antiqua" w:eastAsia="宋体" w:hAnsi="Book Antiqua"/>
                <w:color w:val="000000" w:themeColor="text1"/>
                <w:lang w:eastAsia="zh-CN"/>
              </w:rPr>
            </w:pPr>
          </w:p>
        </w:tc>
      </w:tr>
      <w:tr w:rsidR="00B82E38" w:rsidRPr="00B82E38" w14:paraId="77A6DD89" w14:textId="77777777">
        <w:trPr>
          <w:trHeight w:val="20"/>
          <w:jc w:val="center"/>
        </w:trPr>
        <w:tc>
          <w:tcPr>
            <w:tcW w:w="2694" w:type="dxa"/>
            <w:shd w:val="clear" w:color="auto" w:fill="auto"/>
          </w:tcPr>
          <w:p w14:paraId="717AF9F6" w14:textId="77777777" w:rsidR="00BA37FB" w:rsidRPr="00B82E38" w:rsidRDefault="008F363E" w:rsidP="00372A8C">
            <w:pPr>
              <w:widowControl/>
              <w:adjustRightInd w:val="0"/>
              <w:snapToGrid w:val="0"/>
              <w:spacing w:line="360" w:lineRule="auto"/>
              <w:rPr>
                <w:rFonts w:ascii="Book Antiqua" w:eastAsia="宋体" w:hAnsi="Book Antiqua"/>
                <w:color w:val="000000" w:themeColor="text1"/>
                <w:lang w:eastAsia="zh-CN"/>
              </w:rPr>
            </w:pPr>
            <w:r w:rsidRPr="00B82E38">
              <w:rPr>
                <w:rFonts w:ascii="Book Antiqua" w:eastAsia="宋体" w:hAnsi="Book Antiqua"/>
                <w:color w:val="000000" w:themeColor="text1"/>
                <w:lang w:eastAsia="zh-CN"/>
              </w:rPr>
              <w:t>Biliary</w:t>
            </w:r>
          </w:p>
        </w:tc>
        <w:tc>
          <w:tcPr>
            <w:tcW w:w="2118" w:type="dxa"/>
            <w:shd w:val="clear" w:color="auto" w:fill="auto"/>
          </w:tcPr>
          <w:p w14:paraId="15D44097" w14:textId="77777777" w:rsidR="00BA37FB" w:rsidRPr="00B82E38" w:rsidRDefault="008F363E" w:rsidP="00372A8C">
            <w:pPr>
              <w:widowControl/>
              <w:adjustRightInd w:val="0"/>
              <w:snapToGrid w:val="0"/>
              <w:spacing w:line="360" w:lineRule="auto"/>
              <w:rPr>
                <w:rFonts w:ascii="Book Antiqua" w:eastAsia="宋体" w:hAnsi="Book Antiqua"/>
                <w:color w:val="000000" w:themeColor="text1"/>
                <w:lang w:eastAsia="zh-CN"/>
              </w:rPr>
            </w:pPr>
            <w:r w:rsidRPr="00B82E38">
              <w:rPr>
                <w:rFonts w:ascii="Book Antiqua" w:eastAsia="宋体" w:hAnsi="Book Antiqua"/>
                <w:color w:val="000000" w:themeColor="text1"/>
                <w:lang w:eastAsia="zh-CN"/>
              </w:rPr>
              <w:t>9 (4.6)</w:t>
            </w:r>
          </w:p>
        </w:tc>
        <w:tc>
          <w:tcPr>
            <w:tcW w:w="1667" w:type="dxa"/>
            <w:shd w:val="clear" w:color="auto" w:fill="auto"/>
          </w:tcPr>
          <w:p w14:paraId="0ABE9BD4" w14:textId="77777777" w:rsidR="00BA37FB" w:rsidRPr="00B82E38" w:rsidRDefault="008F363E" w:rsidP="00372A8C">
            <w:pPr>
              <w:adjustRightInd w:val="0"/>
              <w:snapToGrid w:val="0"/>
              <w:spacing w:line="360" w:lineRule="auto"/>
              <w:rPr>
                <w:rFonts w:ascii="Book Antiqua" w:eastAsia="宋体" w:hAnsi="Book Antiqua"/>
                <w:color w:val="000000" w:themeColor="text1"/>
                <w:lang w:eastAsia="zh-CN"/>
              </w:rPr>
            </w:pPr>
            <w:r w:rsidRPr="00B82E38">
              <w:rPr>
                <w:rFonts w:ascii="Book Antiqua" w:eastAsia="宋体" w:hAnsi="Book Antiqua"/>
                <w:color w:val="000000" w:themeColor="text1"/>
                <w:lang w:eastAsia="zh-CN"/>
              </w:rPr>
              <w:t>7</w:t>
            </w:r>
          </w:p>
        </w:tc>
        <w:tc>
          <w:tcPr>
            <w:tcW w:w="1600" w:type="dxa"/>
            <w:shd w:val="clear" w:color="auto" w:fill="auto"/>
          </w:tcPr>
          <w:p w14:paraId="4D6CC59E" w14:textId="77777777" w:rsidR="00BA37FB" w:rsidRPr="00B82E38" w:rsidRDefault="008F363E" w:rsidP="00372A8C">
            <w:pPr>
              <w:adjustRightInd w:val="0"/>
              <w:snapToGrid w:val="0"/>
              <w:spacing w:line="360" w:lineRule="auto"/>
              <w:rPr>
                <w:rFonts w:ascii="Book Antiqua" w:eastAsia="宋体" w:hAnsi="Book Antiqua"/>
                <w:color w:val="000000" w:themeColor="text1"/>
                <w:lang w:eastAsia="zh-CN"/>
              </w:rPr>
            </w:pPr>
            <w:r w:rsidRPr="00B82E38">
              <w:rPr>
                <w:rFonts w:ascii="Book Antiqua" w:eastAsia="宋体" w:hAnsi="Book Antiqua"/>
                <w:color w:val="000000" w:themeColor="text1"/>
                <w:lang w:eastAsia="zh-CN"/>
              </w:rPr>
              <w:t>2</w:t>
            </w:r>
          </w:p>
        </w:tc>
        <w:tc>
          <w:tcPr>
            <w:tcW w:w="1277" w:type="dxa"/>
            <w:vMerge/>
            <w:shd w:val="clear" w:color="auto" w:fill="auto"/>
          </w:tcPr>
          <w:p w14:paraId="60E621AD" w14:textId="77777777" w:rsidR="00BA37FB" w:rsidRPr="00B82E38" w:rsidRDefault="00BA37FB" w:rsidP="00372A8C">
            <w:pPr>
              <w:adjustRightInd w:val="0"/>
              <w:snapToGrid w:val="0"/>
              <w:spacing w:line="360" w:lineRule="auto"/>
              <w:rPr>
                <w:rFonts w:ascii="Book Antiqua" w:eastAsia="宋体" w:hAnsi="Book Antiqua"/>
                <w:color w:val="000000" w:themeColor="text1"/>
                <w:lang w:eastAsia="zh-CN"/>
              </w:rPr>
            </w:pPr>
          </w:p>
        </w:tc>
      </w:tr>
      <w:tr w:rsidR="00B82E38" w:rsidRPr="00B82E38" w14:paraId="06B2A4BF" w14:textId="77777777">
        <w:trPr>
          <w:trHeight w:val="20"/>
          <w:jc w:val="center"/>
        </w:trPr>
        <w:tc>
          <w:tcPr>
            <w:tcW w:w="2694" w:type="dxa"/>
            <w:shd w:val="clear" w:color="auto" w:fill="auto"/>
          </w:tcPr>
          <w:p w14:paraId="578DBBFE" w14:textId="77777777" w:rsidR="00BA37FB" w:rsidRPr="00B82E38" w:rsidRDefault="008F363E" w:rsidP="00372A8C">
            <w:pPr>
              <w:widowControl/>
              <w:adjustRightInd w:val="0"/>
              <w:snapToGrid w:val="0"/>
              <w:spacing w:line="360" w:lineRule="auto"/>
              <w:rPr>
                <w:rFonts w:ascii="Book Antiqua" w:eastAsia="宋体" w:hAnsi="Book Antiqua"/>
                <w:color w:val="000000" w:themeColor="text1"/>
                <w:lang w:eastAsia="zh-CN"/>
              </w:rPr>
            </w:pPr>
            <w:r w:rsidRPr="00B82E38">
              <w:rPr>
                <w:rFonts w:ascii="Book Antiqua" w:eastAsia="宋体" w:hAnsi="Book Antiqua"/>
                <w:color w:val="000000" w:themeColor="text1"/>
                <w:lang w:eastAsia="zh-CN"/>
              </w:rPr>
              <w:t>Drug-induced</w:t>
            </w:r>
          </w:p>
        </w:tc>
        <w:tc>
          <w:tcPr>
            <w:tcW w:w="2118" w:type="dxa"/>
            <w:shd w:val="clear" w:color="auto" w:fill="auto"/>
          </w:tcPr>
          <w:p w14:paraId="7371D66A" w14:textId="77777777" w:rsidR="00BA37FB" w:rsidRPr="00B82E38" w:rsidRDefault="008F363E" w:rsidP="00372A8C">
            <w:pPr>
              <w:widowControl/>
              <w:adjustRightInd w:val="0"/>
              <w:snapToGrid w:val="0"/>
              <w:spacing w:line="360" w:lineRule="auto"/>
              <w:rPr>
                <w:rFonts w:ascii="Book Antiqua" w:eastAsia="宋体" w:hAnsi="Book Antiqua"/>
                <w:color w:val="000000" w:themeColor="text1"/>
                <w:lang w:eastAsia="zh-CN"/>
              </w:rPr>
            </w:pPr>
            <w:r w:rsidRPr="00B82E38">
              <w:rPr>
                <w:rFonts w:ascii="Book Antiqua" w:eastAsia="宋体" w:hAnsi="Book Antiqua"/>
                <w:color w:val="000000" w:themeColor="text1"/>
                <w:lang w:eastAsia="zh-CN"/>
              </w:rPr>
              <w:t>4 (2)</w:t>
            </w:r>
          </w:p>
        </w:tc>
        <w:tc>
          <w:tcPr>
            <w:tcW w:w="1667" w:type="dxa"/>
            <w:shd w:val="clear" w:color="auto" w:fill="auto"/>
          </w:tcPr>
          <w:p w14:paraId="713B83DC" w14:textId="77777777" w:rsidR="00BA37FB" w:rsidRPr="00B82E38" w:rsidRDefault="008F363E" w:rsidP="00372A8C">
            <w:pPr>
              <w:adjustRightInd w:val="0"/>
              <w:snapToGrid w:val="0"/>
              <w:spacing w:line="360" w:lineRule="auto"/>
              <w:rPr>
                <w:rFonts w:ascii="Book Antiqua" w:eastAsia="宋体" w:hAnsi="Book Antiqua"/>
                <w:color w:val="000000" w:themeColor="text1"/>
                <w:lang w:eastAsia="zh-CN"/>
              </w:rPr>
            </w:pPr>
            <w:r w:rsidRPr="00B82E38">
              <w:rPr>
                <w:rFonts w:ascii="Book Antiqua" w:eastAsia="宋体" w:hAnsi="Book Antiqua"/>
                <w:color w:val="000000" w:themeColor="text1"/>
                <w:lang w:eastAsia="zh-CN"/>
              </w:rPr>
              <w:t>3</w:t>
            </w:r>
          </w:p>
        </w:tc>
        <w:tc>
          <w:tcPr>
            <w:tcW w:w="1600" w:type="dxa"/>
            <w:shd w:val="clear" w:color="auto" w:fill="auto"/>
          </w:tcPr>
          <w:p w14:paraId="133E89BB" w14:textId="77777777" w:rsidR="00BA37FB" w:rsidRPr="00B82E38" w:rsidRDefault="008F363E" w:rsidP="00372A8C">
            <w:pPr>
              <w:adjustRightInd w:val="0"/>
              <w:snapToGrid w:val="0"/>
              <w:spacing w:line="360" w:lineRule="auto"/>
              <w:rPr>
                <w:rFonts w:ascii="Book Antiqua" w:eastAsia="宋体" w:hAnsi="Book Antiqua"/>
                <w:color w:val="000000" w:themeColor="text1"/>
                <w:lang w:eastAsia="zh-CN"/>
              </w:rPr>
            </w:pPr>
            <w:r w:rsidRPr="00B82E38">
              <w:rPr>
                <w:rFonts w:ascii="Book Antiqua" w:eastAsia="宋体" w:hAnsi="Book Antiqua"/>
                <w:color w:val="000000" w:themeColor="text1"/>
                <w:lang w:eastAsia="zh-CN"/>
              </w:rPr>
              <w:t>1</w:t>
            </w:r>
          </w:p>
        </w:tc>
        <w:tc>
          <w:tcPr>
            <w:tcW w:w="1277" w:type="dxa"/>
            <w:vMerge/>
            <w:shd w:val="clear" w:color="auto" w:fill="auto"/>
          </w:tcPr>
          <w:p w14:paraId="613699AE" w14:textId="77777777" w:rsidR="00BA37FB" w:rsidRPr="00B82E38" w:rsidRDefault="00BA37FB" w:rsidP="00372A8C">
            <w:pPr>
              <w:adjustRightInd w:val="0"/>
              <w:snapToGrid w:val="0"/>
              <w:spacing w:line="360" w:lineRule="auto"/>
              <w:rPr>
                <w:rFonts w:ascii="Book Antiqua" w:eastAsia="宋体" w:hAnsi="Book Antiqua"/>
                <w:color w:val="000000" w:themeColor="text1"/>
                <w:lang w:eastAsia="zh-CN"/>
              </w:rPr>
            </w:pPr>
          </w:p>
        </w:tc>
      </w:tr>
      <w:tr w:rsidR="00B82E38" w:rsidRPr="00B82E38" w14:paraId="6434D307" w14:textId="77777777">
        <w:trPr>
          <w:trHeight w:val="20"/>
          <w:jc w:val="center"/>
        </w:trPr>
        <w:tc>
          <w:tcPr>
            <w:tcW w:w="2694" w:type="dxa"/>
            <w:shd w:val="clear" w:color="auto" w:fill="auto"/>
          </w:tcPr>
          <w:p w14:paraId="0E66E285" w14:textId="77777777" w:rsidR="00BA37FB" w:rsidRPr="00B82E38" w:rsidRDefault="008F363E" w:rsidP="00372A8C">
            <w:pPr>
              <w:adjustRightInd w:val="0"/>
              <w:snapToGrid w:val="0"/>
              <w:spacing w:line="360" w:lineRule="auto"/>
              <w:rPr>
                <w:rFonts w:ascii="Book Antiqua" w:eastAsia="宋体" w:hAnsi="Book Antiqua"/>
                <w:color w:val="000000" w:themeColor="text1"/>
                <w:lang w:eastAsia="zh-CN"/>
              </w:rPr>
            </w:pPr>
            <w:r w:rsidRPr="00B82E38">
              <w:rPr>
                <w:rFonts w:ascii="Book Antiqua" w:eastAsia="宋体" w:hAnsi="Book Antiqua"/>
                <w:color w:val="000000" w:themeColor="text1"/>
                <w:lang w:eastAsia="zh-CN"/>
              </w:rPr>
              <w:t>Autoimmune</w:t>
            </w:r>
          </w:p>
        </w:tc>
        <w:tc>
          <w:tcPr>
            <w:tcW w:w="2118" w:type="dxa"/>
            <w:shd w:val="clear" w:color="auto" w:fill="auto"/>
          </w:tcPr>
          <w:p w14:paraId="1C0CC576" w14:textId="77777777" w:rsidR="00BA37FB" w:rsidRPr="00B82E38" w:rsidRDefault="008F363E" w:rsidP="00372A8C">
            <w:pPr>
              <w:adjustRightInd w:val="0"/>
              <w:snapToGrid w:val="0"/>
              <w:spacing w:line="360" w:lineRule="auto"/>
              <w:rPr>
                <w:rFonts w:ascii="Book Antiqua" w:eastAsia="宋体" w:hAnsi="Book Antiqua"/>
                <w:color w:val="000000" w:themeColor="text1"/>
                <w:lang w:eastAsia="zh-CN"/>
              </w:rPr>
            </w:pPr>
            <w:r w:rsidRPr="00B82E38">
              <w:rPr>
                <w:rFonts w:ascii="Book Antiqua" w:eastAsia="宋体" w:hAnsi="Book Antiqua"/>
                <w:color w:val="000000" w:themeColor="text1"/>
                <w:lang w:eastAsia="zh-CN"/>
              </w:rPr>
              <w:t>5 (2.6)</w:t>
            </w:r>
          </w:p>
        </w:tc>
        <w:tc>
          <w:tcPr>
            <w:tcW w:w="1667" w:type="dxa"/>
            <w:shd w:val="clear" w:color="auto" w:fill="auto"/>
          </w:tcPr>
          <w:p w14:paraId="30FFFBBC" w14:textId="77777777" w:rsidR="00BA37FB" w:rsidRPr="00B82E38" w:rsidRDefault="008F363E" w:rsidP="00372A8C">
            <w:pPr>
              <w:adjustRightInd w:val="0"/>
              <w:snapToGrid w:val="0"/>
              <w:spacing w:line="360" w:lineRule="auto"/>
              <w:rPr>
                <w:rFonts w:ascii="Book Antiqua" w:eastAsia="宋体" w:hAnsi="Book Antiqua"/>
                <w:color w:val="000000" w:themeColor="text1"/>
                <w:lang w:eastAsia="zh-CN"/>
              </w:rPr>
            </w:pPr>
            <w:r w:rsidRPr="00B82E38">
              <w:rPr>
                <w:rFonts w:ascii="Book Antiqua" w:eastAsia="宋体" w:hAnsi="Book Antiqua"/>
                <w:color w:val="000000" w:themeColor="text1"/>
                <w:lang w:eastAsia="zh-CN"/>
              </w:rPr>
              <w:t>4</w:t>
            </w:r>
          </w:p>
        </w:tc>
        <w:tc>
          <w:tcPr>
            <w:tcW w:w="1600" w:type="dxa"/>
            <w:shd w:val="clear" w:color="auto" w:fill="auto"/>
          </w:tcPr>
          <w:p w14:paraId="67693A27" w14:textId="77777777" w:rsidR="00BA37FB" w:rsidRPr="00B82E38" w:rsidRDefault="008F363E" w:rsidP="00372A8C">
            <w:pPr>
              <w:adjustRightInd w:val="0"/>
              <w:snapToGrid w:val="0"/>
              <w:spacing w:line="360" w:lineRule="auto"/>
              <w:rPr>
                <w:rFonts w:ascii="Book Antiqua" w:eastAsia="宋体" w:hAnsi="Book Antiqua"/>
                <w:color w:val="000000" w:themeColor="text1"/>
                <w:lang w:eastAsia="zh-CN"/>
              </w:rPr>
            </w:pPr>
            <w:r w:rsidRPr="00B82E38">
              <w:rPr>
                <w:rFonts w:ascii="Book Antiqua" w:eastAsia="宋体" w:hAnsi="Book Antiqua"/>
                <w:color w:val="000000" w:themeColor="text1"/>
                <w:lang w:eastAsia="zh-CN"/>
              </w:rPr>
              <w:t>1</w:t>
            </w:r>
          </w:p>
        </w:tc>
        <w:tc>
          <w:tcPr>
            <w:tcW w:w="1277" w:type="dxa"/>
            <w:vMerge/>
            <w:shd w:val="clear" w:color="auto" w:fill="auto"/>
          </w:tcPr>
          <w:p w14:paraId="4AE8E8B9" w14:textId="77777777" w:rsidR="00BA37FB" w:rsidRPr="00B82E38" w:rsidRDefault="00BA37FB" w:rsidP="00372A8C">
            <w:pPr>
              <w:adjustRightInd w:val="0"/>
              <w:snapToGrid w:val="0"/>
              <w:spacing w:line="360" w:lineRule="auto"/>
              <w:rPr>
                <w:rFonts w:ascii="Book Antiqua" w:eastAsia="宋体" w:hAnsi="Book Antiqua"/>
                <w:color w:val="000000" w:themeColor="text1"/>
                <w:lang w:eastAsia="zh-CN"/>
              </w:rPr>
            </w:pPr>
          </w:p>
        </w:tc>
      </w:tr>
      <w:tr w:rsidR="00B82E38" w:rsidRPr="00B82E38" w14:paraId="5285DBF7" w14:textId="77777777">
        <w:trPr>
          <w:trHeight w:val="20"/>
          <w:jc w:val="center"/>
        </w:trPr>
        <w:tc>
          <w:tcPr>
            <w:tcW w:w="2694" w:type="dxa"/>
            <w:shd w:val="clear" w:color="auto" w:fill="auto"/>
          </w:tcPr>
          <w:p w14:paraId="59909ADE" w14:textId="77777777" w:rsidR="00BA37FB" w:rsidRPr="00B82E38"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B82E38">
              <w:rPr>
                <w:rFonts w:ascii="Book Antiqua" w:eastAsia="宋体" w:hAnsi="Book Antiqua"/>
                <w:color w:val="000000" w:themeColor="text1"/>
              </w:rPr>
              <w:t>Preoperative HVPG, mmHg</w:t>
            </w:r>
            <w:r w:rsidRPr="00B82E38">
              <w:rPr>
                <w:rFonts w:ascii="Book Antiqua" w:eastAsia="宋体" w:hAnsi="Book Antiqua"/>
                <w:color w:val="000000" w:themeColor="text1"/>
                <w:vertAlign w:val="superscript"/>
              </w:rPr>
              <w:t>3</w:t>
            </w:r>
          </w:p>
        </w:tc>
        <w:tc>
          <w:tcPr>
            <w:tcW w:w="2118" w:type="dxa"/>
            <w:shd w:val="clear" w:color="auto" w:fill="auto"/>
          </w:tcPr>
          <w:p w14:paraId="1B9222FF" w14:textId="77777777" w:rsidR="00BA37FB" w:rsidRPr="00B82E38" w:rsidRDefault="008F363E" w:rsidP="00372A8C">
            <w:pPr>
              <w:widowControl/>
              <w:adjustRightInd w:val="0"/>
              <w:snapToGrid w:val="0"/>
              <w:spacing w:line="360" w:lineRule="auto"/>
              <w:rPr>
                <w:rFonts w:ascii="Book Antiqua" w:eastAsia="宋体" w:hAnsi="Book Antiqua"/>
                <w:color w:val="000000" w:themeColor="text1"/>
                <w:lang w:eastAsia="zh-CN"/>
              </w:rPr>
            </w:pPr>
            <w:r w:rsidRPr="00B82E38">
              <w:rPr>
                <w:rFonts w:ascii="Book Antiqua" w:eastAsia="宋体" w:hAnsi="Book Antiqua"/>
                <w:color w:val="000000" w:themeColor="text1"/>
                <w:lang w:eastAsia="zh-CN"/>
              </w:rPr>
              <w:t>17.1 (11, 23)</w:t>
            </w:r>
          </w:p>
        </w:tc>
        <w:tc>
          <w:tcPr>
            <w:tcW w:w="1667" w:type="dxa"/>
            <w:shd w:val="clear" w:color="auto" w:fill="auto"/>
          </w:tcPr>
          <w:p w14:paraId="50555D23" w14:textId="77777777" w:rsidR="00BA37FB" w:rsidRPr="00B82E38" w:rsidRDefault="008F363E" w:rsidP="00372A8C">
            <w:pPr>
              <w:widowControl/>
              <w:adjustRightInd w:val="0"/>
              <w:snapToGrid w:val="0"/>
              <w:spacing w:line="360" w:lineRule="auto"/>
              <w:rPr>
                <w:rFonts w:ascii="Book Antiqua" w:eastAsia="宋体" w:hAnsi="Book Antiqua"/>
                <w:color w:val="000000" w:themeColor="text1"/>
                <w:lang w:eastAsia="zh-CN"/>
              </w:rPr>
            </w:pPr>
            <w:r w:rsidRPr="00B82E38">
              <w:rPr>
                <w:rFonts w:ascii="Book Antiqua" w:eastAsia="宋体" w:hAnsi="Book Antiqua"/>
                <w:color w:val="000000" w:themeColor="text1"/>
                <w:lang w:eastAsia="zh-CN"/>
              </w:rPr>
              <w:t>18 (13, 21)</w:t>
            </w:r>
          </w:p>
        </w:tc>
        <w:tc>
          <w:tcPr>
            <w:tcW w:w="1600" w:type="dxa"/>
            <w:shd w:val="clear" w:color="auto" w:fill="auto"/>
          </w:tcPr>
          <w:p w14:paraId="75E2F302" w14:textId="77777777" w:rsidR="00BA37FB" w:rsidRPr="00B82E38" w:rsidRDefault="008F363E" w:rsidP="00372A8C">
            <w:pPr>
              <w:widowControl/>
              <w:adjustRightInd w:val="0"/>
              <w:snapToGrid w:val="0"/>
              <w:spacing w:line="360" w:lineRule="auto"/>
              <w:rPr>
                <w:rFonts w:ascii="Book Antiqua" w:eastAsia="宋体" w:hAnsi="Book Antiqua"/>
                <w:color w:val="000000" w:themeColor="text1"/>
                <w:lang w:eastAsia="zh-CN"/>
              </w:rPr>
            </w:pPr>
            <w:r w:rsidRPr="00B82E38">
              <w:rPr>
                <w:rFonts w:ascii="Book Antiqua" w:eastAsia="宋体" w:hAnsi="Book Antiqua"/>
                <w:color w:val="000000" w:themeColor="text1"/>
                <w:lang w:eastAsia="zh-CN"/>
              </w:rPr>
              <w:t>20 (12, 20)</w:t>
            </w:r>
          </w:p>
        </w:tc>
        <w:tc>
          <w:tcPr>
            <w:tcW w:w="1277" w:type="dxa"/>
            <w:shd w:val="clear" w:color="auto" w:fill="auto"/>
          </w:tcPr>
          <w:p w14:paraId="1E919821" w14:textId="77777777" w:rsidR="00BA37FB" w:rsidRPr="00B82E38" w:rsidRDefault="008F363E" w:rsidP="00372A8C">
            <w:pPr>
              <w:widowControl/>
              <w:adjustRightInd w:val="0"/>
              <w:snapToGrid w:val="0"/>
              <w:spacing w:line="360" w:lineRule="auto"/>
              <w:rPr>
                <w:rFonts w:ascii="Book Antiqua" w:eastAsia="宋体" w:hAnsi="Book Antiqua"/>
                <w:color w:val="000000" w:themeColor="text1"/>
                <w:lang w:eastAsia="zh-CN"/>
              </w:rPr>
            </w:pPr>
            <w:r w:rsidRPr="00B82E38">
              <w:rPr>
                <w:rFonts w:ascii="Book Antiqua" w:eastAsia="宋体" w:hAnsi="Book Antiqua"/>
                <w:color w:val="000000" w:themeColor="text1"/>
                <w:lang w:eastAsia="zh-CN"/>
              </w:rPr>
              <w:t>0.28</w:t>
            </w:r>
          </w:p>
        </w:tc>
      </w:tr>
      <w:tr w:rsidR="00B82E38" w:rsidRPr="00B82E38" w14:paraId="4756A5FB" w14:textId="77777777">
        <w:trPr>
          <w:trHeight w:val="20"/>
          <w:jc w:val="center"/>
        </w:trPr>
        <w:tc>
          <w:tcPr>
            <w:tcW w:w="2694" w:type="dxa"/>
            <w:shd w:val="clear" w:color="auto" w:fill="auto"/>
          </w:tcPr>
          <w:p w14:paraId="7454727C" w14:textId="77777777" w:rsidR="00BA37FB" w:rsidRPr="00B82E38"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B82E38">
              <w:rPr>
                <w:rFonts w:ascii="Book Antiqua" w:eastAsia="宋体" w:hAnsi="Book Antiqua"/>
                <w:color w:val="000000" w:themeColor="text1"/>
              </w:rPr>
              <w:t>Preoperative PPG, mmHg</w:t>
            </w:r>
            <w:r w:rsidRPr="00B82E38">
              <w:rPr>
                <w:rFonts w:ascii="Book Antiqua" w:eastAsia="宋体" w:hAnsi="Book Antiqua"/>
                <w:color w:val="000000" w:themeColor="text1"/>
                <w:vertAlign w:val="superscript"/>
              </w:rPr>
              <w:t>3</w:t>
            </w:r>
          </w:p>
        </w:tc>
        <w:tc>
          <w:tcPr>
            <w:tcW w:w="2118" w:type="dxa"/>
            <w:shd w:val="clear" w:color="auto" w:fill="auto"/>
          </w:tcPr>
          <w:p w14:paraId="66B9047E" w14:textId="77777777" w:rsidR="00BA37FB" w:rsidRPr="00B82E38" w:rsidRDefault="008F363E" w:rsidP="00372A8C">
            <w:pPr>
              <w:widowControl/>
              <w:adjustRightInd w:val="0"/>
              <w:snapToGrid w:val="0"/>
              <w:spacing w:line="360" w:lineRule="auto"/>
              <w:rPr>
                <w:rFonts w:ascii="Book Antiqua" w:eastAsia="宋体" w:hAnsi="Book Antiqua"/>
                <w:color w:val="000000" w:themeColor="text1"/>
                <w:lang w:eastAsia="zh-CN"/>
              </w:rPr>
            </w:pPr>
            <w:r w:rsidRPr="00B82E38">
              <w:rPr>
                <w:rFonts w:ascii="Book Antiqua" w:eastAsia="宋体" w:hAnsi="Book Antiqua"/>
                <w:color w:val="000000" w:themeColor="text1"/>
                <w:lang w:eastAsia="zh-CN"/>
              </w:rPr>
              <w:t>23 (18, 29)</w:t>
            </w:r>
          </w:p>
        </w:tc>
        <w:tc>
          <w:tcPr>
            <w:tcW w:w="1667" w:type="dxa"/>
            <w:shd w:val="clear" w:color="auto" w:fill="auto"/>
          </w:tcPr>
          <w:p w14:paraId="62EE42F1" w14:textId="77777777" w:rsidR="00BA37FB" w:rsidRPr="00B82E38" w:rsidRDefault="008F363E" w:rsidP="00372A8C">
            <w:pPr>
              <w:widowControl/>
              <w:adjustRightInd w:val="0"/>
              <w:snapToGrid w:val="0"/>
              <w:spacing w:line="360" w:lineRule="auto"/>
              <w:rPr>
                <w:rFonts w:ascii="Book Antiqua" w:eastAsia="宋体" w:hAnsi="Book Antiqua"/>
                <w:color w:val="000000" w:themeColor="text1"/>
                <w:lang w:eastAsia="zh-CN"/>
              </w:rPr>
            </w:pPr>
            <w:r w:rsidRPr="00B82E38">
              <w:rPr>
                <w:rFonts w:ascii="Book Antiqua" w:eastAsia="宋体" w:hAnsi="Book Antiqua"/>
                <w:color w:val="000000" w:themeColor="text1"/>
                <w:lang w:eastAsia="zh-CN"/>
              </w:rPr>
              <w:t>23 (16, 29)</w:t>
            </w:r>
          </w:p>
        </w:tc>
        <w:tc>
          <w:tcPr>
            <w:tcW w:w="1600" w:type="dxa"/>
            <w:shd w:val="clear" w:color="auto" w:fill="auto"/>
          </w:tcPr>
          <w:p w14:paraId="698B0A57" w14:textId="77777777" w:rsidR="00BA37FB" w:rsidRPr="00B82E38" w:rsidRDefault="008F363E" w:rsidP="00372A8C">
            <w:pPr>
              <w:widowControl/>
              <w:adjustRightInd w:val="0"/>
              <w:snapToGrid w:val="0"/>
              <w:spacing w:line="360" w:lineRule="auto"/>
              <w:rPr>
                <w:rFonts w:ascii="Book Antiqua" w:eastAsia="宋体" w:hAnsi="Book Antiqua"/>
                <w:color w:val="000000" w:themeColor="text1"/>
                <w:lang w:eastAsia="zh-CN"/>
              </w:rPr>
            </w:pPr>
            <w:r w:rsidRPr="00B82E38">
              <w:rPr>
                <w:rFonts w:ascii="Book Antiqua" w:eastAsia="宋体" w:hAnsi="Book Antiqua"/>
                <w:color w:val="000000" w:themeColor="text1"/>
                <w:lang w:eastAsia="zh-CN"/>
              </w:rPr>
              <w:t>23 (20, 28)</w:t>
            </w:r>
          </w:p>
        </w:tc>
        <w:tc>
          <w:tcPr>
            <w:tcW w:w="1277" w:type="dxa"/>
            <w:shd w:val="clear" w:color="auto" w:fill="auto"/>
          </w:tcPr>
          <w:p w14:paraId="16188FF0" w14:textId="77777777" w:rsidR="00BA37FB" w:rsidRPr="00B82E38" w:rsidRDefault="008F363E" w:rsidP="00372A8C">
            <w:pPr>
              <w:widowControl/>
              <w:adjustRightInd w:val="0"/>
              <w:snapToGrid w:val="0"/>
              <w:spacing w:line="360" w:lineRule="auto"/>
              <w:rPr>
                <w:rFonts w:ascii="Book Antiqua" w:eastAsia="宋体" w:hAnsi="Book Antiqua"/>
                <w:color w:val="000000" w:themeColor="text1"/>
                <w:lang w:eastAsia="zh-CN"/>
              </w:rPr>
            </w:pPr>
            <w:r w:rsidRPr="00B82E38">
              <w:rPr>
                <w:rFonts w:ascii="Book Antiqua" w:eastAsia="宋体" w:hAnsi="Book Antiqua"/>
                <w:color w:val="000000" w:themeColor="text1"/>
                <w:lang w:eastAsia="zh-CN"/>
              </w:rPr>
              <w:t>0.6</w:t>
            </w:r>
          </w:p>
        </w:tc>
      </w:tr>
      <w:tr w:rsidR="00B82E38" w:rsidRPr="00B82E38" w14:paraId="42B3DEFE" w14:textId="77777777">
        <w:trPr>
          <w:trHeight w:val="20"/>
          <w:jc w:val="center"/>
        </w:trPr>
        <w:tc>
          <w:tcPr>
            <w:tcW w:w="2694" w:type="dxa"/>
            <w:shd w:val="clear" w:color="auto" w:fill="auto"/>
          </w:tcPr>
          <w:p w14:paraId="622A6613" w14:textId="77777777" w:rsidR="00BA37FB" w:rsidRPr="00B82E38"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B82E38">
              <w:rPr>
                <w:rFonts w:ascii="Book Antiqua" w:eastAsia="宋体" w:hAnsi="Book Antiqua"/>
                <w:color w:val="000000" w:themeColor="text1"/>
              </w:rPr>
              <w:t>Stent size, mm (%)</w:t>
            </w:r>
            <w:r w:rsidRPr="00B82E38">
              <w:rPr>
                <w:rFonts w:ascii="Book Antiqua" w:eastAsia="宋体" w:hAnsi="Book Antiqua"/>
                <w:color w:val="000000" w:themeColor="text1"/>
                <w:vertAlign w:val="superscript"/>
              </w:rPr>
              <w:t>2</w:t>
            </w:r>
          </w:p>
        </w:tc>
        <w:tc>
          <w:tcPr>
            <w:tcW w:w="2118" w:type="dxa"/>
            <w:shd w:val="clear" w:color="auto" w:fill="auto"/>
          </w:tcPr>
          <w:p w14:paraId="0F9AC338" w14:textId="77777777" w:rsidR="00BA37FB" w:rsidRPr="00B82E38" w:rsidRDefault="00BA37FB" w:rsidP="00372A8C">
            <w:pPr>
              <w:widowControl/>
              <w:adjustRightInd w:val="0"/>
              <w:snapToGrid w:val="0"/>
              <w:spacing w:line="360" w:lineRule="auto"/>
              <w:rPr>
                <w:rFonts w:ascii="Book Antiqua" w:eastAsia="宋体" w:hAnsi="Book Antiqua"/>
                <w:color w:val="000000" w:themeColor="text1"/>
                <w:lang w:eastAsia="zh-CN"/>
              </w:rPr>
            </w:pPr>
          </w:p>
        </w:tc>
        <w:tc>
          <w:tcPr>
            <w:tcW w:w="1667" w:type="dxa"/>
            <w:shd w:val="clear" w:color="auto" w:fill="auto"/>
          </w:tcPr>
          <w:p w14:paraId="3F3FE66E" w14:textId="77777777" w:rsidR="00BA37FB" w:rsidRPr="00B82E38" w:rsidRDefault="00BA37FB" w:rsidP="00372A8C">
            <w:pPr>
              <w:widowControl/>
              <w:adjustRightInd w:val="0"/>
              <w:snapToGrid w:val="0"/>
              <w:spacing w:line="360" w:lineRule="auto"/>
              <w:rPr>
                <w:rFonts w:ascii="Book Antiqua" w:eastAsia="宋体" w:hAnsi="Book Antiqua"/>
                <w:color w:val="000000" w:themeColor="text1"/>
                <w:lang w:eastAsia="zh-CN"/>
              </w:rPr>
            </w:pPr>
          </w:p>
        </w:tc>
        <w:tc>
          <w:tcPr>
            <w:tcW w:w="1600" w:type="dxa"/>
            <w:shd w:val="clear" w:color="auto" w:fill="auto"/>
          </w:tcPr>
          <w:p w14:paraId="1177CE73" w14:textId="77777777" w:rsidR="00BA37FB" w:rsidRPr="00B82E38" w:rsidRDefault="00BA37FB" w:rsidP="00372A8C">
            <w:pPr>
              <w:widowControl/>
              <w:adjustRightInd w:val="0"/>
              <w:snapToGrid w:val="0"/>
              <w:spacing w:line="360" w:lineRule="auto"/>
              <w:rPr>
                <w:rFonts w:ascii="Book Antiqua" w:eastAsia="宋体" w:hAnsi="Book Antiqua"/>
                <w:color w:val="000000" w:themeColor="text1"/>
                <w:lang w:eastAsia="zh-CN"/>
              </w:rPr>
            </w:pPr>
          </w:p>
        </w:tc>
        <w:tc>
          <w:tcPr>
            <w:tcW w:w="1277" w:type="dxa"/>
            <w:vMerge w:val="restart"/>
            <w:shd w:val="clear" w:color="auto" w:fill="auto"/>
          </w:tcPr>
          <w:p w14:paraId="3C37C601" w14:textId="77777777" w:rsidR="00BA37FB" w:rsidRPr="00B82E38" w:rsidRDefault="008F363E" w:rsidP="00372A8C">
            <w:pPr>
              <w:widowControl/>
              <w:adjustRightInd w:val="0"/>
              <w:snapToGrid w:val="0"/>
              <w:spacing w:line="360" w:lineRule="auto"/>
              <w:rPr>
                <w:rFonts w:ascii="Book Antiqua" w:eastAsia="宋体" w:hAnsi="Book Antiqua"/>
                <w:color w:val="000000" w:themeColor="text1"/>
                <w:lang w:eastAsia="zh-CN"/>
              </w:rPr>
            </w:pPr>
            <w:r w:rsidRPr="00B82E38">
              <w:rPr>
                <w:rFonts w:ascii="Book Antiqua" w:eastAsia="宋体" w:hAnsi="Book Antiqua"/>
                <w:color w:val="000000" w:themeColor="text1"/>
                <w:lang w:eastAsia="zh-CN"/>
              </w:rPr>
              <w:t>0.057</w:t>
            </w:r>
          </w:p>
        </w:tc>
      </w:tr>
      <w:tr w:rsidR="00B82E38" w:rsidRPr="00B82E38" w14:paraId="787F2C0A" w14:textId="77777777">
        <w:trPr>
          <w:trHeight w:val="20"/>
          <w:jc w:val="center"/>
        </w:trPr>
        <w:tc>
          <w:tcPr>
            <w:tcW w:w="2694" w:type="dxa"/>
            <w:shd w:val="clear" w:color="auto" w:fill="auto"/>
          </w:tcPr>
          <w:p w14:paraId="097E8CD2" w14:textId="77777777" w:rsidR="00BA37FB" w:rsidRPr="00B82E38"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B82E38">
              <w:rPr>
                <w:rFonts w:ascii="Book Antiqua" w:eastAsia="宋体" w:hAnsi="Book Antiqua"/>
                <w:color w:val="000000" w:themeColor="text1"/>
              </w:rPr>
              <w:t>7</w:t>
            </w:r>
          </w:p>
        </w:tc>
        <w:tc>
          <w:tcPr>
            <w:tcW w:w="2118" w:type="dxa"/>
            <w:shd w:val="clear" w:color="auto" w:fill="auto"/>
          </w:tcPr>
          <w:p w14:paraId="56ECFFE5" w14:textId="77777777" w:rsidR="00BA37FB" w:rsidRPr="00B82E38" w:rsidRDefault="008F363E" w:rsidP="00372A8C">
            <w:pPr>
              <w:widowControl/>
              <w:adjustRightInd w:val="0"/>
              <w:snapToGrid w:val="0"/>
              <w:spacing w:line="360" w:lineRule="auto"/>
              <w:rPr>
                <w:rFonts w:ascii="Book Antiqua" w:eastAsia="宋体" w:hAnsi="Book Antiqua"/>
                <w:color w:val="000000" w:themeColor="text1"/>
                <w:lang w:eastAsia="zh-CN"/>
              </w:rPr>
            </w:pPr>
            <w:r w:rsidRPr="00B82E38">
              <w:rPr>
                <w:rFonts w:ascii="Book Antiqua" w:eastAsia="宋体" w:hAnsi="Book Antiqua"/>
                <w:color w:val="000000" w:themeColor="text1"/>
                <w:lang w:eastAsia="zh-CN"/>
              </w:rPr>
              <w:t>59 (30.4)</w:t>
            </w:r>
          </w:p>
        </w:tc>
        <w:tc>
          <w:tcPr>
            <w:tcW w:w="1667" w:type="dxa"/>
            <w:shd w:val="clear" w:color="auto" w:fill="auto"/>
          </w:tcPr>
          <w:p w14:paraId="5D21E974" w14:textId="77777777" w:rsidR="00BA37FB" w:rsidRPr="00B82E38" w:rsidRDefault="008F363E" w:rsidP="00372A8C">
            <w:pPr>
              <w:widowControl/>
              <w:adjustRightInd w:val="0"/>
              <w:snapToGrid w:val="0"/>
              <w:spacing w:line="360" w:lineRule="auto"/>
              <w:rPr>
                <w:rFonts w:ascii="Book Antiqua" w:eastAsia="宋体" w:hAnsi="Book Antiqua"/>
                <w:color w:val="000000" w:themeColor="text1"/>
                <w:lang w:eastAsia="zh-CN"/>
              </w:rPr>
            </w:pPr>
            <w:r w:rsidRPr="00B82E38">
              <w:rPr>
                <w:rFonts w:ascii="Book Antiqua" w:eastAsia="宋体" w:hAnsi="Book Antiqua"/>
                <w:color w:val="000000" w:themeColor="text1"/>
                <w:lang w:eastAsia="zh-CN"/>
              </w:rPr>
              <w:t>51</w:t>
            </w:r>
          </w:p>
        </w:tc>
        <w:tc>
          <w:tcPr>
            <w:tcW w:w="1600" w:type="dxa"/>
            <w:shd w:val="clear" w:color="auto" w:fill="auto"/>
          </w:tcPr>
          <w:p w14:paraId="7905EB3E" w14:textId="77777777" w:rsidR="00BA37FB" w:rsidRPr="00B82E38" w:rsidRDefault="008F363E" w:rsidP="00372A8C">
            <w:pPr>
              <w:adjustRightInd w:val="0"/>
              <w:snapToGrid w:val="0"/>
              <w:spacing w:line="360" w:lineRule="auto"/>
              <w:rPr>
                <w:rFonts w:ascii="Book Antiqua" w:eastAsia="宋体" w:hAnsi="Book Antiqua"/>
                <w:color w:val="000000" w:themeColor="text1"/>
                <w:lang w:eastAsia="zh-CN"/>
              </w:rPr>
            </w:pPr>
            <w:r w:rsidRPr="00B82E38">
              <w:rPr>
                <w:rFonts w:ascii="Book Antiqua" w:eastAsia="宋体" w:hAnsi="Book Antiqua"/>
                <w:color w:val="000000" w:themeColor="text1"/>
                <w:lang w:eastAsia="zh-CN"/>
              </w:rPr>
              <w:t>8</w:t>
            </w:r>
          </w:p>
        </w:tc>
        <w:tc>
          <w:tcPr>
            <w:tcW w:w="1277" w:type="dxa"/>
            <w:vMerge/>
            <w:shd w:val="clear" w:color="auto" w:fill="auto"/>
          </w:tcPr>
          <w:p w14:paraId="731E9D23" w14:textId="77777777" w:rsidR="00BA37FB" w:rsidRPr="00B82E38" w:rsidRDefault="00BA37FB" w:rsidP="00372A8C">
            <w:pPr>
              <w:adjustRightInd w:val="0"/>
              <w:snapToGrid w:val="0"/>
              <w:spacing w:line="360" w:lineRule="auto"/>
              <w:rPr>
                <w:rFonts w:ascii="Book Antiqua" w:eastAsia="宋体" w:hAnsi="Book Antiqua"/>
                <w:color w:val="000000" w:themeColor="text1"/>
                <w:lang w:eastAsia="zh-CN"/>
              </w:rPr>
            </w:pPr>
          </w:p>
        </w:tc>
      </w:tr>
      <w:tr w:rsidR="00B82E38" w:rsidRPr="00B82E38" w14:paraId="4D33B2CB" w14:textId="77777777">
        <w:trPr>
          <w:trHeight w:val="20"/>
          <w:jc w:val="center"/>
        </w:trPr>
        <w:tc>
          <w:tcPr>
            <w:tcW w:w="2694" w:type="dxa"/>
            <w:shd w:val="clear" w:color="auto" w:fill="auto"/>
          </w:tcPr>
          <w:p w14:paraId="41C9843A" w14:textId="77777777" w:rsidR="00BA37FB" w:rsidRPr="00B82E38"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B82E38">
              <w:rPr>
                <w:rFonts w:ascii="Book Antiqua" w:eastAsia="宋体" w:hAnsi="Book Antiqua"/>
                <w:color w:val="000000" w:themeColor="text1"/>
              </w:rPr>
              <w:t>8</w:t>
            </w:r>
          </w:p>
        </w:tc>
        <w:tc>
          <w:tcPr>
            <w:tcW w:w="2118" w:type="dxa"/>
            <w:shd w:val="clear" w:color="auto" w:fill="auto"/>
          </w:tcPr>
          <w:p w14:paraId="6AE28401" w14:textId="77777777" w:rsidR="00BA37FB" w:rsidRPr="00B82E38" w:rsidRDefault="008F363E" w:rsidP="00372A8C">
            <w:pPr>
              <w:widowControl/>
              <w:adjustRightInd w:val="0"/>
              <w:snapToGrid w:val="0"/>
              <w:spacing w:line="360" w:lineRule="auto"/>
              <w:rPr>
                <w:rFonts w:ascii="Book Antiqua" w:eastAsia="宋体" w:hAnsi="Book Antiqua"/>
                <w:color w:val="000000" w:themeColor="text1"/>
                <w:lang w:eastAsia="zh-CN"/>
              </w:rPr>
            </w:pPr>
            <w:r w:rsidRPr="00B82E38">
              <w:rPr>
                <w:rFonts w:ascii="Book Antiqua" w:eastAsia="宋体" w:hAnsi="Book Antiqua"/>
                <w:color w:val="000000" w:themeColor="text1"/>
                <w:lang w:eastAsia="zh-CN"/>
              </w:rPr>
              <w:t>117 (60)</w:t>
            </w:r>
          </w:p>
        </w:tc>
        <w:tc>
          <w:tcPr>
            <w:tcW w:w="1667" w:type="dxa"/>
            <w:shd w:val="clear" w:color="auto" w:fill="auto"/>
          </w:tcPr>
          <w:p w14:paraId="0EEEF987" w14:textId="77777777" w:rsidR="00BA37FB" w:rsidRPr="00B82E38" w:rsidRDefault="008F363E" w:rsidP="00372A8C">
            <w:pPr>
              <w:widowControl/>
              <w:adjustRightInd w:val="0"/>
              <w:snapToGrid w:val="0"/>
              <w:spacing w:line="360" w:lineRule="auto"/>
              <w:rPr>
                <w:rFonts w:ascii="Book Antiqua" w:eastAsia="宋体" w:hAnsi="Book Antiqua"/>
                <w:color w:val="000000" w:themeColor="text1"/>
                <w:lang w:eastAsia="zh-CN"/>
              </w:rPr>
            </w:pPr>
            <w:r w:rsidRPr="00B82E38">
              <w:rPr>
                <w:rFonts w:ascii="Book Antiqua" w:eastAsia="宋体" w:hAnsi="Book Antiqua"/>
                <w:color w:val="000000" w:themeColor="text1"/>
                <w:lang w:eastAsia="zh-CN"/>
              </w:rPr>
              <w:t>87</w:t>
            </w:r>
          </w:p>
        </w:tc>
        <w:tc>
          <w:tcPr>
            <w:tcW w:w="1600" w:type="dxa"/>
            <w:shd w:val="clear" w:color="auto" w:fill="auto"/>
          </w:tcPr>
          <w:p w14:paraId="00E75789" w14:textId="77777777" w:rsidR="00BA37FB" w:rsidRPr="00B82E38" w:rsidRDefault="008F363E" w:rsidP="00372A8C">
            <w:pPr>
              <w:adjustRightInd w:val="0"/>
              <w:snapToGrid w:val="0"/>
              <w:spacing w:line="360" w:lineRule="auto"/>
              <w:rPr>
                <w:rFonts w:ascii="Book Antiqua" w:eastAsia="宋体" w:hAnsi="Book Antiqua"/>
                <w:color w:val="000000" w:themeColor="text1"/>
                <w:lang w:eastAsia="zh-CN"/>
              </w:rPr>
            </w:pPr>
            <w:r w:rsidRPr="00B82E38">
              <w:rPr>
                <w:rFonts w:ascii="Book Antiqua" w:eastAsia="宋体" w:hAnsi="Book Antiqua"/>
                <w:color w:val="000000" w:themeColor="text1"/>
                <w:lang w:eastAsia="zh-CN"/>
              </w:rPr>
              <w:t>30</w:t>
            </w:r>
          </w:p>
        </w:tc>
        <w:tc>
          <w:tcPr>
            <w:tcW w:w="1277" w:type="dxa"/>
            <w:vMerge/>
            <w:shd w:val="clear" w:color="auto" w:fill="auto"/>
          </w:tcPr>
          <w:p w14:paraId="4615CBAE" w14:textId="77777777" w:rsidR="00BA37FB" w:rsidRPr="00B82E38" w:rsidRDefault="00BA37FB" w:rsidP="00372A8C">
            <w:pPr>
              <w:adjustRightInd w:val="0"/>
              <w:snapToGrid w:val="0"/>
              <w:spacing w:line="360" w:lineRule="auto"/>
              <w:rPr>
                <w:rFonts w:ascii="Book Antiqua" w:eastAsia="宋体" w:hAnsi="Book Antiqua"/>
                <w:color w:val="000000" w:themeColor="text1"/>
                <w:lang w:eastAsia="zh-CN"/>
              </w:rPr>
            </w:pPr>
          </w:p>
        </w:tc>
      </w:tr>
      <w:tr w:rsidR="00B82E38" w:rsidRPr="00B82E38" w14:paraId="691A5A24" w14:textId="77777777">
        <w:trPr>
          <w:trHeight w:val="20"/>
          <w:jc w:val="center"/>
        </w:trPr>
        <w:tc>
          <w:tcPr>
            <w:tcW w:w="2694" w:type="dxa"/>
            <w:shd w:val="clear" w:color="auto" w:fill="auto"/>
          </w:tcPr>
          <w:p w14:paraId="535F0038" w14:textId="77777777" w:rsidR="00BA37FB" w:rsidRPr="00B82E38"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B82E38">
              <w:rPr>
                <w:rFonts w:ascii="Book Antiqua" w:eastAsia="宋体" w:hAnsi="Book Antiqua"/>
                <w:color w:val="000000" w:themeColor="text1"/>
              </w:rPr>
              <w:t>10</w:t>
            </w:r>
          </w:p>
        </w:tc>
        <w:tc>
          <w:tcPr>
            <w:tcW w:w="2118" w:type="dxa"/>
            <w:shd w:val="clear" w:color="auto" w:fill="auto"/>
          </w:tcPr>
          <w:p w14:paraId="7E984273" w14:textId="77777777" w:rsidR="00BA37FB" w:rsidRPr="00B82E38" w:rsidRDefault="008F363E" w:rsidP="00372A8C">
            <w:pPr>
              <w:adjustRightInd w:val="0"/>
              <w:snapToGrid w:val="0"/>
              <w:spacing w:line="360" w:lineRule="auto"/>
              <w:rPr>
                <w:rFonts w:ascii="Book Antiqua" w:eastAsia="宋体" w:hAnsi="Book Antiqua"/>
                <w:color w:val="000000" w:themeColor="text1"/>
                <w:lang w:eastAsia="zh-CN"/>
              </w:rPr>
            </w:pPr>
            <w:r w:rsidRPr="00B82E38">
              <w:rPr>
                <w:rFonts w:ascii="Book Antiqua" w:eastAsia="宋体" w:hAnsi="Book Antiqua"/>
                <w:color w:val="000000" w:themeColor="text1"/>
                <w:lang w:eastAsia="zh-CN"/>
              </w:rPr>
              <w:t>19 (9.6)</w:t>
            </w:r>
          </w:p>
        </w:tc>
        <w:tc>
          <w:tcPr>
            <w:tcW w:w="1667" w:type="dxa"/>
            <w:shd w:val="clear" w:color="auto" w:fill="auto"/>
          </w:tcPr>
          <w:p w14:paraId="323A3B60" w14:textId="77777777" w:rsidR="00BA37FB" w:rsidRPr="00B82E38" w:rsidRDefault="008F363E" w:rsidP="00372A8C">
            <w:pPr>
              <w:adjustRightInd w:val="0"/>
              <w:snapToGrid w:val="0"/>
              <w:spacing w:line="360" w:lineRule="auto"/>
              <w:rPr>
                <w:rFonts w:ascii="Book Antiqua" w:eastAsia="宋体" w:hAnsi="Book Antiqua"/>
                <w:color w:val="000000" w:themeColor="text1"/>
                <w:lang w:eastAsia="zh-CN"/>
              </w:rPr>
            </w:pPr>
            <w:r w:rsidRPr="00B82E38">
              <w:rPr>
                <w:rFonts w:ascii="Book Antiqua" w:eastAsia="宋体" w:hAnsi="Book Antiqua"/>
                <w:color w:val="000000" w:themeColor="text1"/>
                <w:lang w:eastAsia="zh-CN"/>
              </w:rPr>
              <w:t>12</w:t>
            </w:r>
          </w:p>
        </w:tc>
        <w:tc>
          <w:tcPr>
            <w:tcW w:w="1600" w:type="dxa"/>
            <w:shd w:val="clear" w:color="auto" w:fill="auto"/>
          </w:tcPr>
          <w:p w14:paraId="7F04A69E" w14:textId="77777777" w:rsidR="00BA37FB" w:rsidRPr="00B82E38" w:rsidRDefault="008F363E" w:rsidP="00372A8C">
            <w:pPr>
              <w:adjustRightInd w:val="0"/>
              <w:snapToGrid w:val="0"/>
              <w:spacing w:line="360" w:lineRule="auto"/>
              <w:rPr>
                <w:rFonts w:ascii="Book Antiqua" w:eastAsia="宋体" w:hAnsi="Book Antiqua"/>
                <w:color w:val="000000" w:themeColor="text1"/>
                <w:lang w:eastAsia="zh-CN"/>
              </w:rPr>
            </w:pPr>
            <w:r w:rsidRPr="00B82E38">
              <w:rPr>
                <w:rFonts w:ascii="Book Antiqua" w:eastAsia="宋体" w:hAnsi="Book Antiqua"/>
                <w:color w:val="000000" w:themeColor="text1"/>
                <w:lang w:eastAsia="zh-CN"/>
              </w:rPr>
              <w:t>7</w:t>
            </w:r>
          </w:p>
        </w:tc>
        <w:tc>
          <w:tcPr>
            <w:tcW w:w="1277" w:type="dxa"/>
            <w:vMerge/>
            <w:shd w:val="clear" w:color="auto" w:fill="auto"/>
          </w:tcPr>
          <w:p w14:paraId="7078E5F2" w14:textId="77777777" w:rsidR="00BA37FB" w:rsidRPr="00B82E38" w:rsidRDefault="00BA37FB" w:rsidP="00372A8C">
            <w:pPr>
              <w:adjustRightInd w:val="0"/>
              <w:snapToGrid w:val="0"/>
              <w:spacing w:line="360" w:lineRule="auto"/>
              <w:rPr>
                <w:rFonts w:ascii="Book Antiqua" w:eastAsia="宋体" w:hAnsi="Book Antiqua"/>
                <w:color w:val="000000" w:themeColor="text1"/>
                <w:lang w:eastAsia="zh-CN"/>
              </w:rPr>
            </w:pPr>
          </w:p>
        </w:tc>
      </w:tr>
      <w:tr w:rsidR="00B82E38" w:rsidRPr="00B82E38" w14:paraId="6DA2AEF9" w14:textId="77777777">
        <w:trPr>
          <w:trHeight w:val="20"/>
          <w:jc w:val="center"/>
        </w:trPr>
        <w:tc>
          <w:tcPr>
            <w:tcW w:w="2694" w:type="dxa"/>
            <w:shd w:val="clear" w:color="auto" w:fill="auto"/>
          </w:tcPr>
          <w:p w14:paraId="33010034" w14:textId="77777777" w:rsidR="00BA37FB" w:rsidRPr="00B82E38"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B82E38">
              <w:rPr>
                <w:rFonts w:ascii="Book Antiqua" w:eastAsia="宋体" w:hAnsi="Book Antiqua"/>
                <w:color w:val="000000" w:themeColor="text1"/>
              </w:rPr>
              <w:t xml:space="preserve">Puncture site of portal vein, </w:t>
            </w:r>
            <w:r w:rsidRPr="00B82E38">
              <w:rPr>
                <w:rFonts w:ascii="Book Antiqua" w:eastAsia="宋体" w:hAnsi="Book Antiqua"/>
                <w:i/>
                <w:iCs/>
                <w:color w:val="000000" w:themeColor="text1"/>
              </w:rPr>
              <w:t>n</w:t>
            </w:r>
            <w:r w:rsidRPr="00B82E38">
              <w:rPr>
                <w:rFonts w:ascii="Book Antiqua" w:eastAsia="宋体" w:hAnsi="Book Antiqua"/>
                <w:color w:val="000000" w:themeColor="text1"/>
                <w:vertAlign w:val="superscript"/>
              </w:rPr>
              <w:t>2</w:t>
            </w:r>
          </w:p>
        </w:tc>
        <w:tc>
          <w:tcPr>
            <w:tcW w:w="2118" w:type="dxa"/>
            <w:shd w:val="clear" w:color="auto" w:fill="auto"/>
          </w:tcPr>
          <w:p w14:paraId="48719EA9" w14:textId="77777777" w:rsidR="00BA37FB" w:rsidRPr="00B82E38" w:rsidRDefault="00BA37FB" w:rsidP="00372A8C">
            <w:pPr>
              <w:widowControl/>
              <w:adjustRightInd w:val="0"/>
              <w:snapToGrid w:val="0"/>
              <w:spacing w:line="360" w:lineRule="auto"/>
              <w:rPr>
                <w:rFonts w:ascii="Book Antiqua" w:eastAsia="宋体" w:hAnsi="Book Antiqua"/>
                <w:color w:val="000000" w:themeColor="text1"/>
                <w:lang w:eastAsia="zh-CN"/>
              </w:rPr>
            </w:pPr>
          </w:p>
          <w:p w14:paraId="49E09615" w14:textId="77777777" w:rsidR="00BA37FB" w:rsidRPr="00B82E38" w:rsidRDefault="00BA37FB" w:rsidP="00372A8C">
            <w:pPr>
              <w:widowControl/>
              <w:adjustRightInd w:val="0"/>
              <w:snapToGrid w:val="0"/>
              <w:spacing w:line="360" w:lineRule="auto"/>
              <w:rPr>
                <w:rFonts w:ascii="Book Antiqua" w:eastAsia="宋体" w:hAnsi="Book Antiqua"/>
                <w:color w:val="000000" w:themeColor="text1"/>
                <w:lang w:eastAsia="zh-CN"/>
              </w:rPr>
            </w:pPr>
          </w:p>
        </w:tc>
        <w:tc>
          <w:tcPr>
            <w:tcW w:w="1667" w:type="dxa"/>
            <w:shd w:val="clear" w:color="auto" w:fill="auto"/>
          </w:tcPr>
          <w:p w14:paraId="47EA718E" w14:textId="77777777" w:rsidR="00BA37FB" w:rsidRPr="00B82E38" w:rsidRDefault="00BA37FB" w:rsidP="00372A8C">
            <w:pPr>
              <w:widowControl/>
              <w:adjustRightInd w:val="0"/>
              <w:snapToGrid w:val="0"/>
              <w:spacing w:line="360" w:lineRule="auto"/>
              <w:rPr>
                <w:rFonts w:ascii="Book Antiqua" w:eastAsia="宋体" w:hAnsi="Book Antiqua"/>
                <w:color w:val="000000" w:themeColor="text1"/>
                <w:lang w:eastAsia="zh-CN"/>
              </w:rPr>
            </w:pPr>
          </w:p>
          <w:p w14:paraId="08132AD5" w14:textId="77777777" w:rsidR="00BA37FB" w:rsidRPr="00B82E38" w:rsidRDefault="00BA37FB" w:rsidP="00372A8C">
            <w:pPr>
              <w:widowControl/>
              <w:adjustRightInd w:val="0"/>
              <w:snapToGrid w:val="0"/>
              <w:spacing w:line="360" w:lineRule="auto"/>
              <w:rPr>
                <w:rFonts w:ascii="Book Antiqua" w:eastAsia="宋体" w:hAnsi="Book Antiqua"/>
                <w:color w:val="000000" w:themeColor="text1"/>
                <w:lang w:eastAsia="zh-CN"/>
              </w:rPr>
            </w:pPr>
          </w:p>
        </w:tc>
        <w:tc>
          <w:tcPr>
            <w:tcW w:w="1600" w:type="dxa"/>
            <w:shd w:val="clear" w:color="auto" w:fill="auto"/>
          </w:tcPr>
          <w:p w14:paraId="625EE37A" w14:textId="77777777" w:rsidR="00BA37FB" w:rsidRPr="00B82E38" w:rsidRDefault="00BA37FB" w:rsidP="00372A8C">
            <w:pPr>
              <w:widowControl/>
              <w:adjustRightInd w:val="0"/>
              <w:snapToGrid w:val="0"/>
              <w:spacing w:line="360" w:lineRule="auto"/>
              <w:rPr>
                <w:rFonts w:ascii="Book Antiqua" w:eastAsia="宋体" w:hAnsi="Book Antiqua"/>
                <w:color w:val="000000" w:themeColor="text1"/>
                <w:lang w:eastAsia="zh-CN"/>
              </w:rPr>
            </w:pPr>
          </w:p>
          <w:p w14:paraId="6D499EB4" w14:textId="77777777" w:rsidR="00BA37FB" w:rsidRPr="00B82E38" w:rsidRDefault="00BA37FB" w:rsidP="00372A8C">
            <w:pPr>
              <w:widowControl/>
              <w:adjustRightInd w:val="0"/>
              <w:snapToGrid w:val="0"/>
              <w:spacing w:line="360" w:lineRule="auto"/>
              <w:rPr>
                <w:rFonts w:ascii="Book Antiqua" w:eastAsia="宋体" w:hAnsi="Book Antiqua"/>
                <w:color w:val="000000" w:themeColor="text1"/>
                <w:lang w:eastAsia="zh-CN"/>
              </w:rPr>
            </w:pPr>
          </w:p>
        </w:tc>
        <w:tc>
          <w:tcPr>
            <w:tcW w:w="1277" w:type="dxa"/>
            <w:vMerge w:val="restart"/>
            <w:shd w:val="clear" w:color="auto" w:fill="auto"/>
          </w:tcPr>
          <w:p w14:paraId="3C5A41FF" w14:textId="77777777" w:rsidR="00BA37FB" w:rsidRPr="00B82E38" w:rsidRDefault="008F363E" w:rsidP="00372A8C">
            <w:pPr>
              <w:widowControl/>
              <w:adjustRightInd w:val="0"/>
              <w:snapToGrid w:val="0"/>
              <w:spacing w:line="360" w:lineRule="auto"/>
              <w:rPr>
                <w:rFonts w:ascii="Book Antiqua" w:eastAsia="宋体" w:hAnsi="Book Antiqua"/>
                <w:color w:val="000000" w:themeColor="text1"/>
                <w:lang w:eastAsia="zh-CN"/>
              </w:rPr>
            </w:pPr>
            <w:r w:rsidRPr="00B82E38">
              <w:rPr>
                <w:rFonts w:ascii="Book Antiqua" w:eastAsia="宋体" w:hAnsi="Book Antiqua"/>
                <w:color w:val="000000" w:themeColor="text1"/>
                <w:lang w:eastAsia="zh-CN"/>
              </w:rPr>
              <w:t>0.013</w:t>
            </w:r>
            <w:r w:rsidRPr="00B82E38">
              <w:rPr>
                <w:rFonts w:ascii="Book Antiqua" w:eastAsia="宋体" w:hAnsi="Book Antiqua"/>
                <w:color w:val="000000" w:themeColor="text1"/>
                <w:vertAlign w:val="superscript"/>
                <w:lang w:eastAsia="zh-CN"/>
              </w:rPr>
              <w:t>a</w:t>
            </w:r>
          </w:p>
        </w:tc>
      </w:tr>
      <w:tr w:rsidR="00B82E38" w:rsidRPr="00B82E38" w14:paraId="476FB718" w14:textId="77777777">
        <w:trPr>
          <w:trHeight w:val="20"/>
          <w:jc w:val="center"/>
        </w:trPr>
        <w:tc>
          <w:tcPr>
            <w:tcW w:w="2694" w:type="dxa"/>
            <w:shd w:val="clear" w:color="auto" w:fill="auto"/>
          </w:tcPr>
          <w:p w14:paraId="151F7069" w14:textId="77777777" w:rsidR="00BA37FB" w:rsidRPr="00B82E38"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B82E38">
              <w:rPr>
                <w:rFonts w:ascii="Book Antiqua" w:eastAsia="宋体" w:hAnsi="Book Antiqua"/>
                <w:color w:val="000000" w:themeColor="text1"/>
              </w:rPr>
              <w:lastRenderedPageBreak/>
              <w:t>Left branch</w:t>
            </w:r>
          </w:p>
        </w:tc>
        <w:tc>
          <w:tcPr>
            <w:tcW w:w="2118" w:type="dxa"/>
            <w:shd w:val="clear" w:color="auto" w:fill="auto"/>
          </w:tcPr>
          <w:p w14:paraId="722819A0" w14:textId="77777777" w:rsidR="00BA37FB" w:rsidRPr="00B82E38" w:rsidRDefault="008F363E" w:rsidP="00372A8C">
            <w:pPr>
              <w:widowControl/>
              <w:adjustRightInd w:val="0"/>
              <w:snapToGrid w:val="0"/>
              <w:spacing w:line="360" w:lineRule="auto"/>
              <w:rPr>
                <w:rFonts w:ascii="Book Antiqua" w:eastAsia="宋体" w:hAnsi="Book Antiqua"/>
                <w:color w:val="000000" w:themeColor="text1"/>
                <w:lang w:eastAsia="zh-CN"/>
              </w:rPr>
            </w:pPr>
            <w:r w:rsidRPr="00B82E38">
              <w:rPr>
                <w:rFonts w:ascii="Book Antiqua" w:eastAsia="宋体" w:hAnsi="Book Antiqua"/>
                <w:color w:val="000000" w:themeColor="text1"/>
                <w:lang w:eastAsia="zh-CN"/>
              </w:rPr>
              <w:t>113 (57.7)</w:t>
            </w:r>
          </w:p>
        </w:tc>
        <w:tc>
          <w:tcPr>
            <w:tcW w:w="1667" w:type="dxa"/>
            <w:shd w:val="clear" w:color="auto" w:fill="auto"/>
          </w:tcPr>
          <w:p w14:paraId="076BF2C9" w14:textId="77777777" w:rsidR="00BA37FB" w:rsidRPr="00B82E38" w:rsidRDefault="008F363E" w:rsidP="00372A8C">
            <w:pPr>
              <w:widowControl/>
              <w:adjustRightInd w:val="0"/>
              <w:snapToGrid w:val="0"/>
              <w:spacing w:line="360" w:lineRule="auto"/>
              <w:rPr>
                <w:rFonts w:ascii="Book Antiqua" w:eastAsia="宋体" w:hAnsi="Book Antiqua"/>
                <w:color w:val="000000" w:themeColor="text1"/>
                <w:lang w:eastAsia="zh-CN"/>
              </w:rPr>
            </w:pPr>
            <w:r w:rsidRPr="00B82E38">
              <w:rPr>
                <w:rFonts w:ascii="Book Antiqua" w:eastAsia="宋体" w:hAnsi="Book Antiqua"/>
                <w:color w:val="000000" w:themeColor="text1"/>
                <w:lang w:eastAsia="zh-CN"/>
              </w:rPr>
              <w:t>96</w:t>
            </w:r>
          </w:p>
        </w:tc>
        <w:tc>
          <w:tcPr>
            <w:tcW w:w="1600" w:type="dxa"/>
            <w:shd w:val="clear" w:color="auto" w:fill="auto"/>
          </w:tcPr>
          <w:p w14:paraId="534DAC9C" w14:textId="77777777" w:rsidR="00BA37FB" w:rsidRPr="00B82E38" w:rsidRDefault="008F363E" w:rsidP="00372A8C">
            <w:pPr>
              <w:widowControl/>
              <w:adjustRightInd w:val="0"/>
              <w:snapToGrid w:val="0"/>
              <w:spacing w:line="360" w:lineRule="auto"/>
              <w:rPr>
                <w:rFonts w:ascii="Book Antiqua" w:eastAsia="宋体" w:hAnsi="Book Antiqua"/>
                <w:color w:val="000000" w:themeColor="text1"/>
                <w:lang w:eastAsia="zh-CN"/>
              </w:rPr>
            </w:pPr>
            <w:r w:rsidRPr="00B82E38">
              <w:rPr>
                <w:rFonts w:ascii="Book Antiqua" w:eastAsia="宋体" w:hAnsi="Book Antiqua"/>
                <w:color w:val="000000" w:themeColor="text1"/>
                <w:lang w:eastAsia="zh-CN"/>
              </w:rPr>
              <w:t>17</w:t>
            </w:r>
          </w:p>
          <w:p w14:paraId="65E3C139" w14:textId="77777777" w:rsidR="00BA37FB" w:rsidRPr="00B82E38" w:rsidRDefault="00BA37FB" w:rsidP="00372A8C">
            <w:pPr>
              <w:adjustRightInd w:val="0"/>
              <w:snapToGrid w:val="0"/>
              <w:spacing w:line="360" w:lineRule="auto"/>
              <w:rPr>
                <w:rFonts w:ascii="Book Antiqua" w:eastAsia="宋体" w:hAnsi="Book Antiqua"/>
                <w:color w:val="000000" w:themeColor="text1"/>
                <w:lang w:eastAsia="zh-CN"/>
              </w:rPr>
            </w:pPr>
          </w:p>
        </w:tc>
        <w:tc>
          <w:tcPr>
            <w:tcW w:w="1277" w:type="dxa"/>
            <w:vMerge/>
            <w:shd w:val="clear" w:color="auto" w:fill="auto"/>
          </w:tcPr>
          <w:p w14:paraId="6D789EC4" w14:textId="77777777" w:rsidR="00BA37FB" w:rsidRPr="00B82E38" w:rsidRDefault="00BA37FB" w:rsidP="00372A8C">
            <w:pPr>
              <w:adjustRightInd w:val="0"/>
              <w:snapToGrid w:val="0"/>
              <w:spacing w:line="360" w:lineRule="auto"/>
              <w:rPr>
                <w:rFonts w:ascii="Book Antiqua" w:eastAsia="宋体" w:hAnsi="Book Antiqua"/>
                <w:color w:val="000000" w:themeColor="text1"/>
                <w:lang w:eastAsia="zh-CN"/>
              </w:rPr>
            </w:pPr>
          </w:p>
        </w:tc>
      </w:tr>
      <w:tr w:rsidR="00B82E38" w:rsidRPr="00B82E38" w14:paraId="7EF4DBCA" w14:textId="77777777">
        <w:trPr>
          <w:trHeight w:val="20"/>
          <w:jc w:val="center"/>
        </w:trPr>
        <w:tc>
          <w:tcPr>
            <w:tcW w:w="2694" w:type="dxa"/>
            <w:shd w:val="clear" w:color="auto" w:fill="auto"/>
          </w:tcPr>
          <w:p w14:paraId="23CFF128" w14:textId="77777777" w:rsidR="00BA37FB" w:rsidRPr="00B82E38"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B82E38">
              <w:rPr>
                <w:rFonts w:ascii="Book Antiqua" w:eastAsia="宋体" w:hAnsi="Book Antiqua"/>
                <w:color w:val="000000" w:themeColor="text1"/>
              </w:rPr>
              <w:t xml:space="preserve">Bifurcation </w:t>
            </w:r>
          </w:p>
        </w:tc>
        <w:tc>
          <w:tcPr>
            <w:tcW w:w="2118" w:type="dxa"/>
            <w:shd w:val="clear" w:color="auto" w:fill="auto"/>
          </w:tcPr>
          <w:p w14:paraId="7B635269" w14:textId="77777777" w:rsidR="00BA37FB" w:rsidRPr="00B82E38" w:rsidRDefault="008F363E" w:rsidP="00372A8C">
            <w:pPr>
              <w:widowControl/>
              <w:adjustRightInd w:val="0"/>
              <w:snapToGrid w:val="0"/>
              <w:spacing w:line="360" w:lineRule="auto"/>
              <w:rPr>
                <w:rFonts w:ascii="Book Antiqua" w:eastAsia="宋体" w:hAnsi="Book Antiqua"/>
                <w:color w:val="000000" w:themeColor="text1"/>
                <w:lang w:eastAsia="zh-CN"/>
              </w:rPr>
            </w:pPr>
            <w:r w:rsidRPr="00B82E38">
              <w:rPr>
                <w:rFonts w:ascii="Book Antiqua" w:eastAsia="宋体" w:hAnsi="Book Antiqua"/>
                <w:color w:val="000000" w:themeColor="text1"/>
                <w:lang w:eastAsia="zh-CN"/>
              </w:rPr>
              <w:t>22 (11.1)</w:t>
            </w:r>
          </w:p>
        </w:tc>
        <w:tc>
          <w:tcPr>
            <w:tcW w:w="1667" w:type="dxa"/>
            <w:shd w:val="clear" w:color="auto" w:fill="auto"/>
          </w:tcPr>
          <w:p w14:paraId="2C5D7FE8" w14:textId="77777777" w:rsidR="00BA37FB" w:rsidRPr="00B82E38" w:rsidRDefault="008F363E" w:rsidP="00372A8C">
            <w:pPr>
              <w:widowControl/>
              <w:adjustRightInd w:val="0"/>
              <w:snapToGrid w:val="0"/>
              <w:spacing w:line="360" w:lineRule="auto"/>
              <w:rPr>
                <w:rFonts w:ascii="Book Antiqua" w:eastAsia="宋体" w:hAnsi="Book Antiqua"/>
                <w:color w:val="000000" w:themeColor="text1"/>
                <w:lang w:eastAsia="zh-CN"/>
              </w:rPr>
            </w:pPr>
            <w:r w:rsidRPr="00B82E38">
              <w:rPr>
                <w:rFonts w:ascii="Book Antiqua" w:eastAsia="宋体" w:hAnsi="Book Antiqua"/>
                <w:color w:val="000000" w:themeColor="text1"/>
                <w:lang w:eastAsia="zh-CN"/>
              </w:rPr>
              <w:t>15</w:t>
            </w:r>
          </w:p>
        </w:tc>
        <w:tc>
          <w:tcPr>
            <w:tcW w:w="1600" w:type="dxa"/>
            <w:shd w:val="clear" w:color="auto" w:fill="auto"/>
          </w:tcPr>
          <w:p w14:paraId="1A00A134" w14:textId="77777777" w:rsidR="00BA37FB" w:rsidRPr="00B82E38" w:rsidRDefault="008F363E" w:rsidP="00372A8C">
            <w:pPr>
              <w:adjustRightInd w:val="0"/>
              <w:snapToGrid w:val="0"/>
              <w:spacing w:line="360" w:lineRule="auto"/>
              <w:rPr>
                <w:rFonts w:ascii="Book Antiqua" w:eastAsia="宋体" w:hAnsi="Book Antiqua"/>
                <w:color w:val="000000" w:themeColor="text1"/>
                <w:lang w:eastAsia="zh-CN"/>
              </w:rPr>
            </w:pPr>
            <w:r w:rsidRPr="00B82E38">
              <w:rPr>
                <w:rFonts w:ascii="Book Antiqua" w:eastAsia="宋体" w:hAnsi="Book Antiqua"/>
                <w:color w:val="000000" w:themeColor="text1"/>
                <w:lang w:eastAsia="zh-CN"/>
              </w:rPr>
              <w:t>7</w:t>
            </w:r>
          </w:p>
        </w:tc>
        <w:tc>
          <w:tcPr>
            <w:tcW w:w="1277" w:type="dxa"/>
            <w:vMerge/>
            <w:shd w:val="clear" w:color="auto" w:fill="auto"/>
          </w:tcPr>
          <w:p w14:paraId="25350B07" w14:textId="77777777" w:rsidR="00BA37FB" w:rsidRPr="00B82E38" w:rsidRDefault="00BA37FB" w:rsidP="00372A8C">
            <w:pPr>
              <w:adjustRightInd w:val="0"/>
              <w:snapToGrid w:val="0"/>
              <w:spacing w:line="360" w:lineRule="auto"/>
              <w:rPr>
                <w:rFonts w:ascii="Book Antiqua" w:eastAsia="宋体" w:hAnsi="Book Antiqua"/>
                <w:color w:val="000000" w:themeColor="text1"/>
                <w:lang w:eastAsia="zh-CN"/>
              </w:rPr>
            </w:pPr>
          </w:p>
        </w:tc>
      </w:tr>
      <w:tr w:rsidR="00B82E38" w:rsidRPr="00B82E38" w14:paraId="52E8A9C8" w14:textId="77777777">
        <w:trPr>
          <w:trHeight w:val="20"/>
          <w:jc w:val="center"/>
        </w:trPr>
        <w:tc>
          <w:tcPr>
            <w:tcW w:w="2694" w:type="dxa"/>
            <w:shd w:val="clear" w:color="auto" w:fill="auto"/>
          </w:tcPr>
          <w:p w14:paraId="12A0C2D5" w14:textId="77777777" w:rsidR="00BA37FB" w:rsidRPr="00B82E38" w:rsidRDefault="008F363E" w:rsidP="00372A8C">
            <w:pPr>
              <w:adjustRightInd w:val="0"/>
              <w:snapToGrid w:val="0"/>
              <w:spacing w:line="360" w:lineRule="auto"/>
              <w:rPr>
                <w:rFonts w:ascii="Book Antiqua" w:eastAsia="宋体" w:hAnsi="Book Antiqua"/>
                <w:color w:val="000000" w:themeColor="text1"/>
                <w:lang w:eastAsia="zh-CN"/>
              </w:rPr>
            </w:pPr>
            <w:r w:rsidRPr="00B82E38">
              <w:rPr>
                <w:rFonts w:ascii="Book Antiqua" w:eastAsia="宋体" w:hAnsi="Book Antiqua"/>
                <w:color w:val="000000" w:themeColor="text1"/>
                <w:lang w:eastAsia="zh-CN"/>
              </w:rPr>
              <w:t>Right branch</w:t>
            </w:r>
          </w:p>
        </w:tc>
        <w:tc>
          <w:tcPr>
            <w:tcW w:w="2118" w:type="dxa"/>
            <w:shd w:val="clear" w:color="auto" w:fill="auto"/>
          </w:tcPr>
          <w:p w14:paraId="3C5F0EF7" w14:textId="77777777" w:rsidR="00BA37FB" w:rsidRPr="00B82E38" w:rsidRDefault="008F363E" w:rsidP="00372A8C">
            <w:pPr>
              <w:adjustRightInd w:val="0"/>
              <w:snapToGrid w:val="0"/>
              <w:spacing w:line="360" w:lineRule="auto"/>
              <w:rPr>
                <w:rFonts w:ascii="Book Antiqua" w:eastAsia="宋体" w:hAnsi="Book Antiqua"/>
                <w:color w:val="000000" w:themeColor="text1"/>
                <w:lang w:eastAsia="zh-CN"/>
              </w:rPr>
            </w:pPr>
            <w:r w:rsidRPr="00B82E38">
              <w:rPr>
                <w:rFonts w:ascii="Book Antiqua" w:eastAsia="宋体" w:hAnsi="Book Antiqua"/>
                <w:color w:val="000000" w:themeColor="text1"/>
                <w:lang w:eastAsia="zh-CN"/>
              </w:rPr>
              <w:t>60 (31.2)</w:t>
            </w:r>
          </w:p>
        </w:tc>
        <w:tc>
          <w:tcPr>
            <w:tcW w:w="1667" w:type="dxa"/>
            <w:shd w:val="clear" w:color="auto" w:fill="auto"/>
          </w:tcPr>
          <w:p w14:paraId="25CDEC4E" w14:textId="77777777" w:rsidR="00BA37FB" w:rsidRPr="00B82E38" w:rsidRDefault="008F363E" w:rsidP="00372A8C">
            <w:pPr>
              <w:adjustRightInd w:val="0"/>
              <w:snapToGrid w:val="0"/>
              <w:spacing w:line="360" w:lineRule="auto"/>
              <w:rPr>
                <w:rFonts w:ascii="Book Antiqua" w:eastAsia="宋体" w:hAnsi="Book Antiqua"/>
                <w:color w:val="000000" w:themeColor="text1"/>
                <w:lang w:eastAsia="zh-CN"/>
              </w:rPr>
            </w:pPr>
            <w:r w:rsidRPr="00B82E38">
              <w:rPr>
                <w:rFonts w:ascii="Book Antiqua" w:eastAsia="宋体" w:hAnsi="Book Antiqua"/>
                <w:color w:val="000000" w:themeColor="text1"/>
                <w:lang w:eastAsia="zh-CN"/>
              </w:rPr>
              <w:t>40</w:t>
            </w:r>
          </w:p>
        </w:tc>
        <w:tc>
          <w:tcPr>
            <w:tcW w:w="1600" w:type="dxa"/>
            <w:shd w:val="clear" w:color="auto" w:fill="auto"/>
          </w:tcPr>
          <w:p w14:paraId="67EF2641" w14:textId="77777777" w:rsidR="00BA37FB" w:rsidRPr="00B82E38" w:rsidRDefault="008F363E" w:rsidP="00372A8C">
            <w:pPr>
              <w:adjustRightInd w:val="0"/>
              <w:snapToGrid w:val="0"/>
              <w:spacing w:line="360" w:lineRule="auto"/>
              <w:rPr>
                <w:rFonts w:ascii="Book Antiqua" w:eastAsia="宋体" w:hAnsi="Book Antiqua"/>
                <w:color w:val="000000" w:themeColor="text1"/>
                <w:lang w:eastAsia="zh-CN"/>
              </w:rPr>
            </w:pPr>
            <w:r w:rsidRPr="00B82E38">
              <w:rPr>
                <w:rFonts w:ascii="Book Antiqua" w:eastAsia="宋体" w:hAnsi="Book Antiqua"/>
                <w:color w:val="000000" w:themeColor="text1"/>
                <w:lang w:eastAsia="zh-CN"/>
              </w:rPr>
              <w:t>20</w:t>
            </w:r>
          </w:p>
        </w:tc>
        <w:tc>
          <w:tcPr>
            <w:tcW w:w="1277" w:type="dxa"/>
            <w:vMerge/>
            <w:shd w:val="clear" w:color="auto" w:fill="auto"/>
          </w:tcPr>
          <w:p w14:paraId="5C9B751C" w14:textId="77777777" w:rsidR="00BA37FB" w:rsidRPr="00B82E38" w:rsidRDefault="00BA37FB" w:rsidP="00372A8C">
            <w:pPr>
              <w:adjustRightInd w:val="0"/>
              <w:snapToGrid w:val="0"/>
              <w:spacing w:line="360" w:lineRule="auto"/>
              <w:rPr>
                <w:rFonts w:ascii="Book Antiqua" w:eastAsia="宋体" w:hAnsi="Book Antiqua"/>
                <w:color w:val="000000" w:themeColor="text1"/>
                <w:lang w:eastAsia="zh-CN"/>
              </w:rPr>
            </w:pPr>
          </w:p>
        </w:tc>
      </w:tr>
      <w:tr w:rsidR="00B82E38" w:rsidRPr="00B82E38" w14:paraId="7CCD58B8" w14:textId="77777777">
        <w:trPr>
          <w:trHeight w:val="20"/>
          <w:jc w:val="center"/>
        </w:trPr>
        <w:tc>
          <w:tcPr>
            <w:tcW w:w="2694" w:type="dxa"/>
            <w:shd w:val="clear" w:color="auto" w:fill="auto"/>
          </w:tcPr>
          <w:p w14:paraId="42C64C1A" w14:textId="77777777" w:rsidR="00BA37FB" w:rsidRPr="00B82E38" w:rsidRDefault="008F363E" w:rsidP="00372A8C">
            <w:pPr>
              <w:widowControl/>
              <w:adjustRightInd w:val="0"/>
              <w:snapToGrid w:val="0"/>
              <w:spacing w:line="360" w:lineRule="auto"/>
              <w:rPr>
                <w:rFonts w:ascii="Book Antiqua" w:eastAsia="宋体" w:hAnsi="Book Antiqua"/>
                <w:color w:val="000000" w:themeColor="text1"/>
                <w:lang w:eastAsia="zh-CN"/>
              </w:rPr>
            </w:pPr>
            <w:r w:rsidRPr="00B82E38">
              <w:rPr>
                <w:rFonts w:ascii="Book Antiqua" w:eastAsia="宋体" w:hAnsi="Book Antiqua"/>
                <w:color w:val="000000" w:themeColor="text1"/>
                <w:lang w:eastAsia="zh-CN"/>
              </w:rPr>
              <w:t>Child-Pugh score</w:t>
            </w:r>
            <w:r w:rsidRPr="00B82E38">
              <w:rPr>
                <w:rFonts w:ascii="Book Antiqua" w:eastAsia="宋体" w:hAnsi="Book Antiqua"/>
                <w:color w:val="000000" w:themeColor="text1"/>
                <w:vertAlign w:val="superscript"/>
                <w:lang w:eastAsia="zh-CN"/>
              </w:rPr>
              <w:t>1</w:t>
            </w:r>
          </w:p>
        </w:tc>
        <w:tc>
          <w:tcPr>
            <w:tcW w:w="2118" w:type="dxa"/>
            <w:shd w:val="clear" w:color="auto" w:fill="auto"/>
          </w:tcPr>
          <w:p w14:paraId="4C62513E" w14:textId="77777777" w:rsidR="00BA37FB" w:rsidRPr="00B82E38" w:rsidRDefault="008F363E" w:rsidP="00372A8C">
            <w:pPr>
              <w:widowControl/>
              <w:adjustRightInd w:val="0"/>
              <w:snapToGrid w:val="0"/>
              <w:spacing w:line="360" w:lineRule="auto"/>
              <w:rPr>
                <w:rFonts w:ascii="Book Antiqua" w:eastAsia="宋体" w:hAnsi="Book Antiqua"/>
                <w:color w:val="000000" w:themeColor="text1"/>
                <w:lang w:eastAsia="zh-CN"/>
              </w:rPr>
            </w:pPr>
            <w:r w:rsidRPr="00B82E38">
              <w:rPr>
                <w:rFonts w:ascii="Book Antiqua" w:eastAsia="宋体" w:hAnsi="Book Antiqua"/>
                <w:color w:val="000000" w:themeColor="text1"/>
                <w:lang w:eastAsia="zh-CN"/>
              </w:rPr>
              <w:t>7.1 ± 1.5</w:t>
            </w:r>
          </w:p>
        </w:tc>
        <w:tc>
          <w:tcPr>
            <w:tcW w:w="1667" w:type="dxa"/>
            <w:shd w:val="clear" w:color="auto" w:fill="auto"/>
          </w:tcPr>
          <w:p w14:paraId="72D3A285" w14:textId="77777777" w:rsidR="00BA37FB" w:rsidRPr="00B82E38" w:rsidRDefault="008F363E" w:rsidP="00372A8C">
            <w:pPr>
              <w:widowControl/>
              <w:adjustRightInd w:val="0"/>
              <w:snapToGrid w:val="0"/>
              <w:spacing w:line="360" w:lineRule="auto"/>
              <w:rPr>
                <w:rFonts w:ascii="Book Antiqua" w:eastAsia="宋体" w:hAnsi="Book Antiqua"/>
                <w:color w:val="000000" w:themeColor="text1"/>
                <w:lang w:eastAsia="zh-CN"/>
              </w:rPr>
            </w:pPr>
            <w:r w:rsidRPr="00B82E38">
              <w:rPr>
                <w:rFonts w:ascii="Book Antiqua" w:eastAsia="宋体" w:hAnsi="Book Antiqua"/>
                <w:color w:val="000000" w:themeColor="text1"/>
                <w:lang w:eastAsia="zh-CN"/>
              </w:rPr>
              <w:t>7.0 ± 1.6</w:t>
            </w:r>
          </w:p>
        </w:tc>
        <w:tc>
          <w:tcPr>
            <w:tcW w:w="1600" w:type="dxa"/>
            <w:shd w:val="clear" w:color="auto" w:fill="auto"/>
          </w:tcPr>
          <w:p w14:paraId="3C0EB0D8" w14:textId="77777777" w:rsidR="00BA37FB" w:rsidRPr="00B82E38" w:rsidRDefault="008F363E" w:rsidP="00372A8C">
            <w:pPr>
              <w:widowControl/>
              <w:adjustRightInd w:val="0"/>
              <w:snapToGrid w:val="0"/>
              <w:spacing w:line="360" w:lineRule="auto"/>
              <w:rPr>
                <w:rFonts w:ascii="Book Antiqua" w:eastAsia="宋体" w:hAnsi="Book Antiqua"/>
                <w:color w:val="000000" w:themeColor="text1"/>
                <w:lang w:eastAsia="zh-CN"/>
              </w:rPr>
            </w:pPr>
            <w:r w:rsidRPr="00B82E38">
              <w:rPr>
                <w:rFonts w:ascii="Book Antiqua" w:eastAsia="宋体" w:hAnsi="Book Antiqua"/>
                <w:color w:val="000000" w:themeColor="text1"/>
                <w:lang w:eastAsia="zh-CN"/>
              </w:rPr>
              <w:t>8.0 ± 2.1</w:t>
            </w:r>
          </w:p>
        </w:tc>
        <w:tc>
          <w:tcPr>
            <w:tcW w:w="1277" w:type="dxa"/>
            <w:vMerge/>
            <w:shd w:val="clear" w:color="auto" w:fill="auto"/>
          </w:tcPr>
          <w:p w14:paraId="1AA310EF" w14:textId="77777777" w:rsidR="00BA37FB" w:rsidRPr="00B82E38" w:rsidRDefault="00BA37FB" w:rsidP="00372A8C">
            <w:pPr>
              <w:widowControl/>
              <w:adjustRightInd w:val="0"/>
              <w:snapToGrid w:val="0"/>
              <w:spacing w:line="360" w:lineRule="auto"/>
              <w:rPr>
                <w:rFonts w:ascii="Book Antiqua" w:eastAsia="宋体" w:hAnsi="Book Antiqua"/>
                <w:color w:val="000000" w:themeColor="text1"/>
                <w:lang w:eastAsia="zh-CN"/>
              </w:rPr>
            </w:pPr>
          </w:p>
        </w:tc>
      </w:tr>
      <w:tr w:rsidR="00B82E38" w:rsidRPr="00B82E38" w14:paraId="40154486" w14:textId="77777777">
        <w:trPr>
          <w:trHeight w:val="20"/>
          <w:jc w:val="center"/>
        </w:trPr>
        <w:tc>
          <w:tcPr>
            <w:tcW w:w="2694" w:type="dxa"/>
            <w:shd w:val="clear" w:color="auto" w:fill="auto"/>
          </w:tcPr>
          <w:p w14:paraId="6CD17803" w14:textId="77777777" w:rsidR="00BA37FB" w:rsidRPr="00B82E38" w:rsidRDefault="008F363E" w:rsidP="00372A8C">
            <w:pPr>
              <w:widowControl/>
              <w:adjustRightInd w:val="0"/>
              <w:snapToGrid w:val="0"/>
              <w:spacing w:line="360" w:lineRule="auto"/>
              <w:rPr>
                <w:rFonts w:ascii="Book Antiqua" w:eastAsia="宋体" w:hAnsi="Book Antiqua"/>
                <w:color w:val="000000" w:themeColor="text1"/>
                <w:lang w:eastAsia="zh-CN"/>
              </w:rPr>
            </w:pPr>
            <w:r w:rsidRPr="00B82E38">
              <w:rPr>
                <w:rFonts w:ascii="Book Antiqua" w:eastAsia="宋体" w:hAnsi="Book Antiqua"/>
                <w:color w:val="000000" w:themeColor="text1"/>
                <w:lang w:eastAsia="zh-CN"/>
              </w:rPr>
              <w:t xml:space="preserve">Child-Pugh grade, </w:t>
            </w:r>
            <w:r w:rsidRPr="00B82E38">
              <w:rPr>
                <w:rFonts w:ascii="Book Antiqua" w:eastAsia="宋体" w:hAnsi="Book Antiqua"/>
                <w:i/>
                <w:iCs/>
                <w:color w:val="000000" w:themeColor="text1"/>
                <w:lang w:eastAsia="zh-CN"/>
              </w:rPr>
              <w:t>n</w:t>
            </w:r>
            <w:r w:rsidRPr="00B82E38">
              <w:rPr>
                <w:rFonts w:ascii="Book Antiqua" w:eastAsia="宋体" w:hAnsi="Book Antiqua"/>
                <w:color w:val="000000" w:themeColor="text1"/>
                <w:vertAlign w:val="superscript"/>
                <w:lang w:eastAsia="zh-CN"/>
              </w:rPr>
              <w:t>2</w:t>
            </w:r>
          </w:p>
        </w:tc>
        <w:tc>
          <w:tcPr>
            <w:tcW w:w="2118" w:type="dxa"/>
            <w:shd w:val="clear" w:color="auto" w:fill="auto"/>
          </w:tcPr>
          <w:p w14:paraId="3AF5FDF5" w14:textId="77777777" w:rsidR="00BA37FB" w:rsidRPr="00B82E38" w:rsidRDefault="00BA37FB" w:rsidP="00372A8C">
            <w:pPr>
              <w:widowControl/>
              <w:adjustRightInd w:val="0"/>
              <w:snapToGrid w:val="0"/>
              <w:spacing w:line="360" w:lineRule="auto"/>
              <w:rPr>
                <w:rFonts w:ascii="Book Antiqua" w:eastAsia="宋体" w:hAnsi="Book Antiqua"/>
                <w:color w:val="000000" w:themeColor="text1"/>
                <w:lang w:eastAsia="zh-CN"/>
              </w:rPr>
            </w:pPr>
          </w:p>
        </w:tc>
        <w:tc>
          <w:tcPr>
            <w:tcW w:w="1667" w:type="dxa"/>
            <w:shd w:val="clear" w:color="auto" w:fill="auto"/>
          </w:tcPr>
          <w:p w14:paraId="0A1C6504" w14:textId="77777777" w:rsidR="00BA37FB" w:rsidRPr="00B82E38" w:rsidRDefault="00BA37FB" w:rsidP="00372A8C">
            <w:pPr>
              <w:widowControl/>
              <w:adjustRightInd w:val="0"/>
              <w:snapToGrid w:val="0"/>
              <w:spacing w:line="360" w:lineRule="auto"/>
              <w:rPr>
                <w:rFonts w:ascii="Book Antiqua" w:eastAsia="宋体" w:hAnsi="Book Antiqua"/>
                <w:color w:val="000000" w:themeColor="text1"/>
                <w:lang w:eastAsia="zh-CN"/>
              </w:rPr>
            </w:pPr>
          </w:p>
        </w:tc>
        <w:tc>
          <w:tcPr>
            <w:tcW w:w="1600" w:type="dxa"/>
            <w:shd w:val="clear" w:color="auto" w:fill="auto"/>
          </w:tcPr>
          <w:p w14:paraId="7E5C0917" w14:textId="77777777" w:rsidR="00BA37FB" w:rsidRPr="00B82E38" w:rsidRDefault="00BA37FB" w:rsidP="00372A8C">
            <w:pPr>
              <w:widowControl/>
              <w:adjustRightInd w:val="0"/>
              <w:snapToGrid w:val="0"/>
              <w:spacing w:line="360" w:lineRule="auto"/>
              <w:rPr>
                <w:rFonts w:ascii="Book Antiqua" w:eastAsia="宋体" w:hAnsi="Book Antiqua"/>
                <w:color w:val="000000" w:themeColor="text1"/>
                <w:lang w:eastAsia="zh-CN"/>
              </w:rPr>
            </w:pPr>
          </w:p>
        </w:tc>
        <w:tc>
          <w:tcPr>
            <w:tcW w:w="1277" w:type="dxa"/>
            <w:vMerge w:val="restart"/>
            <w:shd w:val="clear" w:color="auto" w:fill="auto"/>
          </w:tcPr>
          <w:p w14:paraId="2BD5B1DD" w14:textId="77777777" w:rsidR="00BA37FB" w:rsidRPr="00B82E38" w:rsidRDefault="008F363E" w:rsidP="00372A8C">
            <w:pPr>
              <w:widowControl/>
              <w:adjustRightInd w:val="0"/>
              <w:snapToGrid w:val="0"/>
              <w:spacing w:line="360" w:lineRule="auto"/>
              <w:rPr>
                <w:rFonts w:ascii="Book Antiqua" w:eastAsia="宋体" w:hAnsi="Book Antiqua"/>
                <w:color w:val="000000" w:themeColor="text1"/>
                <w:lang w:eastAsia="zh-CN"/>
              </w:rPr>
            </w:pPr>
            <w:r w:rsidRPr="00B82E38">
              <w:rPr>
                <w:rFonts w:ascii="Book Antiqua" w:eastAsia="宋体" w:hAnsi="Book Antiqua"/>
                <w:color w:val="000000" w:themeColor="text1"/>
                <w:lang w:eastAsia="zh-CN"/>
              </w:rPr>
              <w:t>0.029</w:t>
            </w:r>
            <w:r w:rsidRPr="00B82E38">
              <w:rPr>
                <w:rFonts w:ascii="Book Antiqua" w:eastAsia="宋体" w:hAnsi="Book Antiqua"/>
                <w:color w:val="000000" w:themeColor="text1"/>
                <w:vertAlign w:val="superscript"/>
                <w:lang w:eastAsia="zh-CN"/>
              </w:rPr>
              <w:t>a</w:t>
            </w:r>
          </w:p>
        </w:tc>
      </w:tr>
      <w:tr w:rsidR="00B82E38" w:rsidRPr="00B82E38" w14:paraId="470AC749" w14:textId="77777777">
        <w:trPr>
          <w:trHeight w:val="20"/>
          <w:jc w:val="center"/>
        </w:trPr>
        <w:tc>
          <w:tcPr>
            <w:tcW w:w="2694" w:type="dxa"/>
            <w:shd w:val="clear" w:color="auto" w:fill="auto"/>
          </w:tcPr>
          <w:p w14:paraId="0AF2AF56" w14:textId="77777777" w:rsidR="00BA37FB" w:rsidRPr="00B82E38" w:rsidRDefault="008F363E" w:rsidP="00372A8C">
            <w:pPr>
              <w:adjustRightInd w:val="0"/>
              <w:snapToGrid w:val="0"/>
              <w:spacing w:line="360" w:lineRule="auto"/>
              <w:rPr>
                <w:rFonts w:ascii="Book Antiqua" w:eastAsia="宋体" w:hAnsi="Book Antiqua"/>
                <w:color w:val="000000" w:themeColor="text1"/>
                <w:lang w:eastAsia="zh-CN"/>
              </w:rPr>
            </w:pPr>
            <w:r w:rsidRPr="00B82E38">
              <w:rPr>
                <w:rFonts w:ascii="Book Antiqua" w:eastAsia="宋体" w:hAnsi="Book Antiqua"/>
                <w:color w:val="000000" w:themeColor="text1"/>
                <w:lang w:eastAsia="zh-CN"/>
              </w:rPr>
              <w:t>A</w:t>
            </w:r>
          </w:p>
        </w:tc>
        <w:tc>
          <w:tcPr>
            <w:tcW w:w="2118" w:type="dxa"/>
            <w:shd w:val="clear" w:color="auto" w:fill="auto"/>
          </w:tcPr>
          <w:p w14:paraId="1B3D23E0" w14:textId="77777777" w:rsidR="00BA37FB" w:rsidRPr="00B82E38" w:rsidRDefault="008F363E" w:rsidP="00372A8C">
            <w:pPr>
              <w:widowControl/>
              <w:adjustRightInd w:val="0"/>
              <w:snapToGrid w:val="0"/>
              <w:spacing w:line="360" w:lineRule="auto"/>
              <w:rPr>
                <w:rFonts w:ascii="Book Antiqua" w:eastAsia="宋体" w:hAnsi="Book Antiqua"/>
                <w:color w:val="000000" w:themeColor="text1"/>
                <w:lang w:eastAsia="zh-CN"/>
              </w:rPr>
            </w:pPr>
            <w:r w:rsidRPr="00B82E38">
              <w:rPr>
                <w:rFonts w:ascii="Book Antiqua" w:eastAsia="宋体" w:hAnsi="Book Antiqua"/>
                <w:color w:val="000000" w:themeColor="text1"/>
                <w:lang w:eastAsia="zh-CN"/>
              </w:rPr>
              <w:t>108 (55.6)</w:t>
            </w:r>
          </w:p>
        </w:tc>
        <w:tc>
          <w:tcPr>
            <w:tcW w:w="1667" w:type="dxa"/>
            <w:shd w:val="clear" w:color="auto" w:fill="auto"/>
          </w:tcPr>
          <w:p w14:paraId="1396139B" w14:textId="77777777" w:rsidR="00BA37FB" w:rsidRPr="00B82E38" w:rsidRDefault="008F363E" w:rsidP="00372A8C">
            <w:pPr>
              <w:widowControl/>
              <w:adjustRightInd w:val="0"/>
              <w:snapToGrid w:val="0"/>
              <w:spacing w:line="360" w:lineRule="auto"/>
              <w:rPr>
                <w:rFonts w:ascii="Book Antiqua" w:eastAsia="宋体" w:hAnsi="Book Antiqua"/>
                <w:color w:val="000000" w:themeColor="text1"/>
                <w:lang w:eastAsia="zh-CN"/>
              </w:rPr>
            </w:pPr>
            <w:r w:rsidRPr="00B82E38">
              <w:rPr>
                <w:rFonts w:ascii="Book Antiqua" w:eastAsia="宋体" w:hAnsi="Book Antiqua"/>
                <w:color w:val="000000" w:themeColor="text1"/>
                <w:lang w:eastAsia="zh-CN"/>
              </w:rPr>
              <w:t>89</w:t>
            </w:r>
          </w:p>
        </w:tc>
        <w:tc>
          <w:tcPr>
            <w:tcW w:w="1600" w:type="dxa"/>
            <w:shd w:val="clear" w:color="auto" w:fill="auto"/>
          </w:tcPr>
          <w:p w14:paraId="7F7AE2DE" w14:textId="77777777" w:rsidR="00BA37FB" w:rsidRPr="00B82E38" w:rsidRDefault="008F363E" w:rsidP="00372A8C">
            <w:pPr>
              <w:widowControl/>
              <w:adjustRightInd w:val="0"/>
              <w:snapToGrid w:val="0"/>
              <w:spacing w:line="360" w:lineRule="auto"/>
              <w:rPr>
                <w:rFonts w:ascii="Book Antiqua" w:eastAsia="宋体" w:hAnsi="Book Antiqua"/>
                <w:color w:val="000000" w:themeColor="text1"/>
                <w:lang w:eastAsia="zh-CN"/>
              </w:rPr>
            </w:pPr>
            <w:r w:rsidRPr="00B82E38">
              <w:rPr>
                <w:rFonts w:ascii="Book Antiqua" w:eastAsia="宋体" w:hAnsi="Book Antiqua"/>
                <w:color w:val="000000" w:themeColor="text1"/>
                <w:lang w:eastAsia="zh-CN"/>
              </w:rPr>
              <w:t>19</w:t>
            </w:r>
          </w:p>
        </w:tc>
        <w:tc>
          <w:tcPr>
            <w:tcW w:w="1277" w:type="dxa"/>
            <w:vMerge/>
            <w:shd w:val="clear" w:color="auto" w:fill="auto"/>
          </w:tcPr>
          <w:p w14:paraId="285E5C61" w14:textId="77777777" w:rsidR="00BA37FB" w:rsidRPr="00B82E38" w:rsidRDefault="00BA37FB" w:rsidP="00372A8C">
            <w:pPr>
              <w:adjustRightInd w:val="0"/>
              <w:snapToGrid w:val="0"/>
              <w:spacing w:line="360" w:lineRule="auto"/>
              <w:rPr>
                <w:rFonts w:ascii="Book Antiqua" w:eastAsia="宋体" w:hAnsi="Book Antiqua"/>
                <w:color w:val="000000" w:themeColor="text1"/>
                <w:lang w:eastAsia="zh-CN"/>
              </w:rPr>
            </w:pPr>
          </w:p>
        </w:tc>
      </w:tr>
      <w:tr w:rsidR="00B82E38" w:rsidRPr="00B82E38" w14:paraId="691A5101" w14:textId="77777777">
        <w:trPr>
          <w:trHeight w:val="20"/>
          <w:jc w:val="center"/>
        </w:trPr>
        <w:tc>
          <w:tcPr>
            <w:tcW w:w="2694" w:type="dxa"/>
            <w:shd w:val="clear" w:color="auto" w:fill="auto"/>
          </w:tcPr>
          <w:p w14:paraId="038C1164" w14:textId="77777777" w:rsidR="00BA37FB" w:rsidRPr="00B82E38" w:rsidRDefault="008F363E" w:rsidP="00372A8C">
            <w:pPr>
              <w:adjustRightInd w:val="0"/>
              <w:snapToGrid w:val="0"/>
              <w:spacing w:line="360" w:lineRule="auto"/>
              <w:rPr>
                <w:rFonts w:ascii="Book Antiqua" w:eastAsia="宋体" w:hAnsi="Book Antiqua"/>
                <w:color w:val="000000" w:themeColor="text1"/>
                <w:lang w:eastAsia="zh-CN"/>
              </w:rPr>
            </w:pPr>
            <w:r w:rsidRPr="00B82E38">
              <w:rPr>
                <w:rFonts w:ascii="Book Antiqua" w:eastAsia="宋体" w:hAnsi="Book Antiqua"/>
                <w:color w:val="000000" w:themeColor="text1"/>
                <w:lang w:eastAsia="zh-CN"/>
              </w:rPr>
              <w:t>B</w:t>
            </w:r>
          </w:p>
        </w:tc>
        <w:tc>
          <w:tcPr>
            <w:tcW w:w="2118" w:type="dxa"/>
            <w:shd w:val="clear" w:color="auto" w:fill="auto"/>
          </w:tcPr>
          <w:p w14:paraId="2F83E2F3" w14:textId="77777777" w:rsidR="00BA37FB" w:rsidRPr="00B82E38" w:rsidRDefault="008F363E" w:rsidP="00372A8C">
            <w:pPr>
              <w:widowControl/>
              <w:adjustRightInd w:val="0"/>
              <w:snapToGrid w:val="0"/>
              <w:spacing w:line="360" w:lineRule="auto"/>
              <w:rPr>
                <w:rFonts w:ascii="Book Antiqua" w:eastAsia="宋体" w:hAnsi="Book Antiqua"/>
                <w:color w:val="000000" w:themeColor="text1"/>
                <w:lang w:eastAsia="zh-CN"/>
              </w:rPr>
            </w:pPr>
            <w:r w:rsidRPr="00B82E38">
              <w:rPr>
                <w:rFonts w:ascii="Book Antiqua" w:eastAsia="宋体" w:hAnsi="Book Antiqua"/>
                <w:color w:val="000000" w:themeColor="text1"/>
                <w:lang w:eastAsia="zh-CN"/>
              </w:rPr>
              <w:t>75 (38.5)</w:t>
            </w:r>
          </w:p>
        </w:tc>
        <w:tc>
          <w:tcPr>
            <w:tcW w:w="1667" w:type="dxa"/>
            <w:shd w:val="clear" w:color="auto" w:fill="auto"/>
          </w:tcPr>
          <w:p w14:paraId="71A651E6" w14:textId="77777777" w:rsidR="00BA37FB" w:rsidRPr="00B82E38" w:rsidRDefault="008F363E" w:rsidP="00372A8C">
            <w:pPr>
              <w:widowControl/>
              <w:adjustRightInd w:val="0"/>
              <w:snapToGrid w:val="0"/>
              <w:spacing w:line="360" w:lineRule="auto"/>
              <w:rPr>
                <w:rFonts w:ascii="Book Antiqua" w:eastAsia="宋体" w:hAnsi="Book Antiqua"/>
                <w:color w:val="000000" w:themeColor="text1"/>
                <w:lang w:eastAsia="zh-CN"/>
              </w:rPr>
            </w:pPr>
            <w:r w:rsidRPr="00B82E38">
              <w:rPr>
                <w:rFonts w:ascii="Book Antiqua" w:eastAsia="宋体" w:hAnsi="Book Antiqua"/>
                <w:color w:val="000000" w:themeColor="text1"/>
                <w:lang w:eastAsia="zh-CN"/>
              </w:rPr>
              <w:t>55</w:t>
            </w:r>
          </w:p>
        </w:tc>
        <w:tc>
          <w:tcPr>
            <w:tcW w:w="1600" w:type="dxa"/>
            <w:shd w:val="clear" w:color="auto" w:fill="auto"/>
          </w:tcPr>
          <w:p w14:paraId="14A0EBA7" w14:textId="77777777" w:rsidR="00BA37FB" w:rsidRPr="00B82E38" w:rsidRDefault="008F363E" w:rsidP="00372A8C">
            <w:pPr>
              <w:widowControl/>
              <w:adjustRightInd w:val="0"/>
              <w:snapToGrid w:val="0"/>
              <w:spacing w:line="360" w:lineRule="auto"/>
              <w:rPr>
                <w:rFonts w:ascii="Book Antiqua" w:eastAsia="宋体" w:hAnsi="Book Antiqua"/>
                <w:color w:val="000000" w:themeColor="text1"/>
                <w:lang w:eastAsia="zh-CN"/>
              </w:rPr>
            </w:pPr>
            <w:r w:rsidRPr="00B82E38">
              <w:rPr>
                <w:rFonts w:ascii="Book Antiqua" w:eastAsia="宋体" w:hAnsi="Book Antiqua"/>
                <w:color w:val="000000" w:themeColor="text1"/>
                <w:lang w:eastAsia="zh-CN"/>
              </w:rPr>
              <w:t>20</w:t>
            </w:r>
          </w:p>
        </w:tc>
        <w:tc>
          <w:tcPr>
            <w:tcW w:w="1277" w:type="dxa"/>
            <w:vMerge/>
            <w:shd w:val="clear" w:color="auto" w:fill="auto"/>
          </w:tcPr>
          <w:p w14:paraId="7C7D2C52" w14:textId="77777777" w:rsidR="00BA37FB" w:rsidRPr="00B82E38" w:rsidRDefault="00BA37FB" w:rsidP="00372A8C">
            <w:pPr>
              <w:adjustRightInd w:val="0"/>
              <w:snapToGrid w:val="0"/>
              <w:spacing w:line="360" w:lineRule="auto"/>
              <w:rPr>
                <w:rFonts w:ascii="Book Antiqua" w:eastAsia="宋体" w:hAnsi="Book Antiqua"/>
                <w:color w:val="000000" w:themeColor="text1"/>
                <w:lang w:eastAsia="zh-CN"/>
              </w:rPr>
            </w:pPr>
          </w:p>
        </w:tc>
      </w:tr>
      <w:tr w:rsidR="00B82E38" w:rsidRPr="00B82E38" w14:paraId="4AEF1A91" w14:textId="77777777">
        <w:trPr>
          <w:trHeight w:val="20"/>
          <w:jc w:val="center"/>
        </w:trPr>
        <w:tc>
          <w:tcPr>
            <w:tcW w:w="2694" w:type="dxa"/>
            <w:shd w:val="clear" w:color="auto" w:fill="auto"/>
          </w:tcPr>
          <w:p w14:paraId="31A28016" w14:textId="77777777" w:rsidR="00BA37FB" w:rsidRPr="00B82E38" w:rsidRDefault="008F363E" w:rsidP="00372A8C">
            <w:pPr>
              <w:adjustRightInd w:val="0"/>
              <w:snapToGrid w:val="0"/>
              <w:spacing w:line="360" w:lineRule="auto"/>
              <w:rPr>
                <w:rFonts w:ascii="Book Antiqua" w:eastAsia="宋体" w:hAnsi="Book Antiqua"/>
                <w:color w:val="000000" w:themeColor="text1"/>
                <w:lang w:eastAsia="zh-CN"/>
              </w:rPr>
            </w:pPr>
            <w:r w:rsidRPr="00B82E38">
              <w:rPr>
                <w:rFonts w:ascii="Book Antiqua" w:eastAsia="宋体" w:hAnsi="Book Antiqua"/>
                <w:color w:val="000000" w:themeColor="text1"/>
                <w:lang w:eastAsia="zh-CN"/>
              </w:rPr>
              <w:t>C</w:t>
            </w:r>
          </w:p>
        </w:tc>
        <w:tc>
          <w:tcPr>
            <w:tcW w:w="2118" w:type="dxa"/>
            <w:shd w:val="clear" w:color="auto" w:fill="auto"/>
          </w:tcPr>
          <w:p w14:paraId="421894F9" w14:textId="77777777" w:rsidR="00BA37FB" w:rsidRPr="00B82E38" w:rsidRDefault="008F363E" w:rsidP="00372A8C">
            <w:pPr>
              <w:adjustRightInd w:val="0"/>
              <w:snapToGrid w:val="0"/>
              <w:spacing w:line="360" w:lineRule="auto"/>
              <w:rPr>
                <w:rFonts w:ascii="Book Antiqua" w:eastAsia="宋体" w:hAnsi="Book Antiqua"/>
                <w:color w:val="000000" w:themeColor="text1"/>
                <w:lang w:eastAsia="zh-CN"/>
              </w:rPr>
            </w:pPr>
            <w:r w:rsidRPr="00B82E38">
              <w:rPr>
                <w:rFonts w:ascii="Book Antiqua" w:eastAsia="宋体" w:hAnsi="Book Antiqua"/>
                <w:color w:val="000000" w:themeColor="text1"/>
                <w:lang w:eastAsia="zh-CN"/>
              </w:rPr>
              <w:t>12 (5.9)</w:t>
            </w:r>
          </w:p>
        </w:tc>
        <w:tc>
          <w:tcPr>
            <w:tcW w:w="1667" w:type="dxa"/>
            <w:shd w:val="clear" w:color="auto" w:fill="auto"/>
          </w:tcPr>
          <w:p w14:paraId="4417EB26" w14:textId="77777777" w:rsidR="00BA37FB" w:rsidRPr="00B82E38" w:rsidRDefault="008F363E" w:rsidP="00372A8C">
            <w:pPr>
              <w:adjustRightInd w:val="0"/>
              <w:snapToGrid w:val="0"/>
              <w:spacing w:line="360" w:lineRule="auto"/>
              <w:rPr>
                <w:rFonts w:ascii="Book Antiqua" w:eastAsia="宋体" w:hAnsi="Book Antiqua"/>
                <w:color w:val="000000" w:themeColor="text1"/>
                <w:lang w:eastAsia="zh-CN"/>
              </w:rPr>
            </w:pPr>
            <w:r w:rsidRPr="00B82E38">
              <w:rPr>
                <w:rFonts w:ascii="Book Antiqua" w:eastAsia="宋体" w:hAnsi="Book Antiqua"/>
                <w:color w:val="000000" w:themeColor="text1"/>
                <w:lang w:eastAsia="zh-CN"/>
              </w:rPr>
              <w:t>6</w:t>
            </w:r>
          </w:p>
        </w:tc>
        <w:tc>
          <w:tcPr>
            <w:tcW w:w="1600" w:type="dxa"/>
            <w:shd w:val="clear" w:color="auto" w:fill="auto"/>
          </w:tcPr>
          <w:p w14:paraId="64A4F0B6" w14:textId="77777777" w:rsidR="00BA37FB" w:rsidRPr="00B82E38" w:rsidRDefault="008F363E" w:rsidP="00372A8C">
            <w:pPr>
              <w:adjustRightInd w:val="0"/>
              <w:snapToGrid w:val="0"/>
              <w:spacing w:line="360" w:lineRule="auto"/>
              <w:rPr>
                <w:rFonts w:ascii="Book Antiqua" w:eastAsia="宋体" w:hAnsi="Book Antiqua"/>
                <w:color w:val="000000" w:themeColor="text1"/>
                <w:lang w:eastAsia="zh-CN"/>
              </w:rPr>
            </w:pPr>
            <w:r w:rsidRPr="00B82E38">
              <w:rPr>
                <w:rFonts w:ascii="Book Antiqua" w:eastAsia="宋体" w:hAnsi="Book Antiqua"/>
                <w:color w:val="000000" w:themeColor="text1"/>
                <w:lang w:eastAsia="zh-CN"/>
              </w:rPr>
              <w:t>6</w:t>
            </w:r>
          </w:p>
        </w:tc>
        <w:tc>
          <w:tcPr>
            <w:tcW w:w="1277" w:type="dxa"/>
            <w:vMerge/>
            <w:shd w:val="clear" w:color="auto" w:fill="auto"/>
          </w:tcPr>
          <w:p w14:paraId="26B36324" w14:textId="77777777" w:rsidR="00BA37FB" w:rsidRPr="00B82E38" w:rsidRDefault="00BA37FB" w:rsidP="00372A8C">
            <w:pPr>
              <w:adjustRightInd w:val="0"/>
              <w:snapToGrid w:val="0"/>
              <w:spacing w:line="360" w:lineRule="auto"/>
              <w:rPr>
                <w:rFonts w:ascii="Book Antiqua" w:eastAsia="宋体" w:hAnsi="Book Antiqua"/>
                <w:color w:val="000000" w:themeColor="text1"/>
                <w:lang w:eastAsia="zh-CN"/>
              </w:rPr>
            </w:pPr>
          </w:p>
        </w:tc>
      </w:tr>
      <w:tr w:rsidR="00B82E38" w:rsidRPr="00B82E38" w14:paraId="23850390" w14:textId="77777777">
        <w:trPr>
          <w:trHeight w:val="20"/>
          <w:jc w:val="center"/>
        </w:trPr>
        <w:tc>
          <w:tcPr>
            <w:tcW w:w="2694" w:type="dxa"/>
            <w:shd w:val="clear" w:color="auto" w:fill="auto"/>
          </w:tcPr>
          <w:p w14:paraId="51DB193F" w14:textId="77777777" w:rsidR="00BA37FB" w:rsidRPr="00B82E38" w:rsidRDefault="008F363E" w:rsidP="00372A8C">
            <w:pPr>
              <w:widowControl/>
              <w:adjustRightInd w:val="0"/>
              <w:snapToGrid w:val="0"/>
              <w:spacing w:line="360" w:lineRule="auto"/>
              <w:rPr>
                <w:rFonts w:ascii="Book Antiqua" w:eastAsia="宋体" w:hAnsi="Book Antiqua"/>
                <w:color w:val="000000" w:themeColor="text1"/>
                <w:lang w:eastAsia="zh-CN"/>
              </w:rPr>
            </w:pPr>
            <w:r w:rsidRPr="00B82E38">
              <w:rPr>
                <w:rFonts w:ascii="Book Antiqua" w:eastAsia="宋体" w:hAnsi="Book Antiqua"/>
                <w:color w:val="000000" w:themeColor="text1"/>
                <w:lang w:eastAsia="zh-CN"/>
              </w:rPr>
              <w:t>MELD score</w:t>
            </w:r>
            <w:r w:rsidRPr="00B82E38">
              <w:rPr>
                <w:rFonts w:ascii="Book Antiqua" w:eastAsia="宋体" w:hAnsi="Book Antiqua"/>
                <w:color w:val="000000" w:themeColor="text1"/>
                <w:vertAlign w:val="superscript"/>
                <w:lang w:eastAsia="zh-CN"/>
              </w:rPr>
              <w:t>3</w:t>
            </w:r>
          </w:p>
        </w:tc>
        <w:tc>
          <w:tcPr>
            <w:tcW w:w="2118" w:type="dxa"/>
            <w:shd w:val="clear" w:color="auto" w:fill="auto"/>
          </w:tcPr>
          <w:p w14:paraId="5D64674B" w14:textId="77777777" w:rsidR="00BA37FB" w:rsidRPr="00B82E38" w:rsidRDefault="008F363E" w:rsidP="00372A8C">
            <w:pPr>
              <w:widowControl/>
              <w:adjustRightInd w:val="0"/>
              <w:snapToGrid w:val="0"/>
              <w:spacing w:line="360" w:lineRule="auto"/>
              <w:rPr>
                <w:rFonts w:ascii="Book Antiqua" w:eastAsia="宋体" w:hAnsi="Book Antiqua"/>
                <w:color w:val="000000" w:themeColor="text1"/>
                <w:lang w:eastAsia="zh-CN"/>
              </w:rPr>
            </w:pPr>
            <w:r w:rsidRPr="00B82E38">
              <w:rPr>
                <w:rFonts w:ascii="Book Antiqua" w:eastAsia="宋体" w:hAnsi="Book Antiqua"/>
                <w:color w:val="000000" w:themeColor="text1"/>
                <w:lang w:eastAsia="zh-CN"/>
              </w:rPr>
              <w:t>7.0 (4.1, 10.0)</w:t>
            </w:r>
          </w:p>
        </w:tc>
        <w:tc>
          <w:tcPr>
            <w:tcW w:w="1667" w:type="dxa"/>
            <w:shd w:val="clear" w:color="auto" w:fill="auto"/>
          </w:tcPr>
          <w:p w14:paraId="6FDB872D" w14:textId="77777777" w:rsidR="00BA37FB" w:rsidRPr="00B82E38" w:rsidRDefault="008F363E" w:rsidP="00372A8C">
            <w:pPr>
              <w:widowControl/>
              <w:adjustRightInd w:val="0"/>
              <w:snapToGrid w:val="0"/>
              <w:spacing w:line="360" w:lineRule="auto"/>
              <w:rPr>
                <w:rFonts w:ascii="Book Antiqua" w:eastAsia="宋体" w:hAnsi="Book Antiqua"/>
                <w:color w:val="000000" w:themeColor="text1"/>
                <w:lang w:eastAsia="zh-CN"/>
              </w:rPr>
            </w:pPr>
            <w:r w:rsidRPr="00B82E38">
              <w:rPr>
                <w:rFonts w:ascii="Book Antiqua" w:eastAsia="宋体" w:hAnsi="Book Antiqua"/>
                <w:color w:val="000000" w:themeColor="text1"/>
                <w:lang w:eastAsia="zh-CN"/>
              </w:rPr>
              <w:t>6.5 (3.8, 10.0)</w:t>
            </w:r>
          </w:p>
        </w:tc>
        <w:tc>
          <w:tcPr>
            <w:tcW w:w="1600" w:type="dxa"/>
            <w:shd w:val="clear" w:color="auto" w:fill="auto"/>
          </w:tcPr>
          <w:p w14:paraId="53DDCEDE" w14:textId="77777777" w:rsidR="00BA37FB" w:rsidRPr="00B82E38" w:rsidRDefault="008F363E" w:rsidP="00372A8C">
            <w:pPr>
              <w:widowControl/>
              <w:adjustRightInd w:val="0"/>
              <w:snapToGrid w:val="0"/>
              <w:spacing w:line="360" w:lineRule="auto"/>
              <w:rPr>
                <w:rFonts w:ascii="Book Antiqua" w:eastAsia="宋体" w:hAnsi="Book Antiqua"/>
                <w:color w:val="000000" w:themeColor="text1"/>
                <w:lang w:eastAsia="zh-CN"/>
              </w:rPr>
            </w:pPr>
            <w:r w:rsidRPr="00B82E38">
              <w:rPr>
                <w:rFonts w:ascii="Book Antiqua" w:eastAsia="宋体" w:hAnsi="Book Antiqua"/>
                <w:color w:val="000000" w:themeColor="text1"/>
                <w:lang w:eastAsia="zh-CN"/>
              </w:rPr>
              <w:t>7.9 (5.8, 13.0)</w:t>
            </w:r>
          </w:p>
        </w:tc>
        <w:tc>
          <w:tcPr>
            <w:tcW w:w="1277" w:type="dxa"/>
            <w:shd w:val="clear" w:color="auto" w:fill="auto"/>
          </w:tcPr>
          <w:p w14:paraId="7F560EDC" w14:textId="77777777" w:rsidR="00BA37FB" w:rsidRPr="00B82E38" w:rsidRDefault="008F363E" w:rsidP="00372A8C">
            <w:pPr>
              <w:widowControl/>
              <w:adjustRightInd w:val="0"/>
              <w:snapToGrid w:val="0"/>
              <w:spacing w:line="360" w:lineRule="auto"/>
              <w:rPr>
                <w:rFonts w:ascii="Book Antiqua" w:eastAsia="宋体" w:hAnsi="Book Antiqua"/>
                <w:color w:val="000000" w:themeColor="text1"/>
                <w:lang w:eastAsia="zh-CN"/>
              </w:rPr>
            </w:pPr>
            <w:r w:rsidRPr="00B82E38">
              <w:rPr>
                <w:rFonts w:ascii="Book Antiqua" w:eastAsia="宋体" w:hAnsi="Book Antiqua"/>
                <w:color w:val="000000" w:themeColor="text1"/>
                <w:lang w:eastAsia="zh-CN"/>
              </w:rPr>
              <w:t>0.07</w:t>
            </w:r>
          </w:p>
        </w:tc>
      </w:tr>
      <w:tr w:rsidR="00B82E38" w:rsidRPr="00B82E38" w14:paraId="5C4A1967" w14:textId="77777777">
        <w:trPr>
          <w:trHeight w:val="20"/>
          <w:jc w:val="center"/>
        </w:trPr>
        <w:tc>
          <w:tcPr>
            <w:tcW w:w="2694" w:type="dxa"/>
            <w:shd w:val="clear" w:color="auto" w:fill="auto"/>
          </w:tcPr>
          <w:p w14:paraId="40E665AF" w14:textId="77777777" w:rsidR="00BA37FB" w:rsidRPr="00B82E38" w:rsidRDefault="008F363E" w:rsidP="00372A8C">
            <w:pPr>
              <w:widowControl/>
              <w:adjustRightInd w:val="0"/>
              <w:snapToGrid w:val="0"/>
              <w:spacing w:line="360" w:lineRule="auto"/>
              <w:rPr>
                <w:rFonts w:ascii="Book Antiqua" w:eastAsia="宋体" w:hAnsi="Book Antiqua"/>
                <w:color w:val="000000" w:themeColor="text1"/>
                <w:lang w:eastAsia="zh-CN"/>
              </w:rPr>
            </w:pPr>
            <w:r w:rsidRPr="00B82E38">
              <w:rPr>
                <w:rFonts w:ascii="Book Antiqua" w:eastAsia="宋体" w:hAnsi="Book Antiqua"/>
                <w:color w:val="000000" w:themeColor="text1"/>
                <w:lang w:eastAsia="zh-CN"/>
              </w:rPr>
              <w:t>ICG-R15, %</w:t>
            </w:r>
            <w:r w:rsidRPr="00B82E38">
              <w:rPr>
                <w:rFonts w:ascii="Book Antiqua" w:eastAsia="宋体" w:hAnsi="Book Antiqua"/>
                <w:color w:val="000000" w:themeColor="text1"/>
                <w:vertAlign w:val="superscript"/>
                <w:lang w:eastAsia="zh-CN"/>
              </w:rPr>
              <w:t>3</w:t>
            </w:r>
          </w:p>
        </w:tc>
        <w:tc>
          <w:tcPr>
            <w:tcW w:w="2118" w:type="dxa"/>
            <w:shd w:val="clear" w:color="auto" w:fill="auto"/>
          </w:tcPr>
          <w:p w14:paraId="61D7B128" w14:textId="77777777" w:rsidR="00BA37FB" w:rsidRPr="00B82E38" w:rsidRDefault="008F363E" w:rsidP="00372A8C">
            <w:pPr>
              <w:widowControl/>
              <w:adjustRightInd w:val="0"/>
              <w:snapToGrid w:val="0"/>
              <w:spacing w:line="360" w:lineRule="auto"/>
              <w:rPr>
                <w:rFonts w:ascii="Book Antiqua" w:eastAsia="宋体" w:hAnsi="Book Antiqua"/>
                <w:color w:val="000000" w:themeColor="text1"/>
                <w:lang w:eastAsia="zh-CN"/>
              </w:rPr>
            </w:pPr>
            <w:r w:rsidRPr="00B82E38">
              <w:rPr>
                <w:rFonts w:ascii="Book Antiqua" w:eastAsia="宋体" w:hAnsi="Book Antiqua"/>
                <w:color w:val="000000" w:themeColor="text1"/>
                <w:lang w:eastAsia="zh-CN"/>
              </w:rPr>
              <w:t>38.4 (22, 50</w:t>
            </w:r>
            <w:r w:rsidRPr="00B82E38">
              <w:rPr>
                <w:rFonts w:ascii="Book Antiqua" w:eastAsia="宋体" w:hAnsi="Book Antiqua"/>
                <w:color w:val="000000" w:themeColor="text1"/>
                <w:lang w:eastAsia="zh-CN"/>
              </w:rPr>
              <w:t>）</w:t>
            </w:r>
          </w:p>
        </w:tc>
        <w:tc>
          <w:tcPr>
            <w:tcW w:w="1667" w:type="dxa"/>
            <w:shd w:val="clear" w:color="auto" w:fill="auto"/>
          </w:tcPr>
          <w:p w14:paraId="2AB4296B" w14:textId="77777777" w:rsidR="00BA37FB" w:rsidRPr="00B82E38" w:rsidRDefault="008F363E" w:rsidP="00372A8C">
            <w:pPr>
              <w:widowControl/>
              <w:adjustRightInd w:val="0"/>
              <w:snapToGrid w:val="0"/>
              <w:spacing w:line="360" w:lineRule="auto"/>
              <w:rPr>
                <w:rFonts w:ascii="Book Antiqua" w:eastAsia="宋体" w:hAnsi="Book Antiqua"/>
                <w:color w:val="000000" w:themeColor="text1"/>
                <w:lang w:eastAsia="zh-CN"/>
              </w:rPr>
            </w:pPr>
            <w:r w:rsidRPr="00B82E38">
              <w:rPr>
                <w:rFonts w:ascii="Book Antiqua" w:eastAsia="宋体" w:hAnsi="Book Antiqua"/>
                <w:color w:val="000000" w:themeColor="text1"/>
                <w:lang w:eastAsia="zh-CN"/>
              </w:rPr>
              <w:t>34.6 (21.8, 47.7)</w:t>
            </w:r>
          </w:p>
        </w:tc>
        <w:tc>
          <w:tcPr>
            <w:tcW w:w="1600" w:type="dxa"/>
            <w:shd w:val="clear" w:color="auto" w:fill="auto"/>
          </w:tcPr>
          <w:p w14:paraId="5CA5B833" w14:textId="77777777" w:rsidR="00BA37FB" w:rsidRPr="00B82E38" w:rsidRDefault="008F363E" w:rsidP="00372A8C">
            <w:pPr>
              <w:widowControl/>
              <w:adjustRightInd w:val="0"/>
              <w:snapToGrid w:val="0"/>
              <w:spacing w:line="360" w:lineRule="auto"/>
              <w:rPr>
                <w:rFonts w:ascii="Book Antiqua" w:eastAsia="宋体" w:hAnsi="Book Antiqua"/>
                <w:color w:val="000000" w:themeColor="text1"/>
                <w:lang w:eastAsia="zh-CN"/>
              </w:rPr>
            </w:pPr>
            <w:r w:rsidRPr="00B82E38">
              <w:rPr>
                <w:rFonts w:ascii="Book Antiqua" w:eastAsia="宋体" w:hAnsi="Book Antiqua"/>
                <w:color w:val="000000" w:themeColor="text1"/>
                <w:lang w:eastAsia="zh-CN"/>
              </w:rPr>
              <w:t>44.4 (35.4, 63.0)</w:t>
            </w:r>
          </w:p>
        </w:tc>
        <w:tc>
          <w:tcPr>
            <w:tcW w:w="1277" w:type="dxa"/>
            <w:shd w:val="clear" w:color="auto" w:fill="auto"/>
          </w:tcPr>
          <w:p w14:paraId="5C985D8F" w14:textId="77777777" w:rsidR="00BA37FB" w:rsidRPr="00B82E38" w:rsidRDefault="008F363E" w:rsidP="00372A8C">
            <w:pPr>
              <w:widowControl/>
              <w:adjustRightInd w:val="0"/>
              <w:snapToGrid w:val="0"/>
              <w:spacing w:line="360" w:lineRule="auto"/>
              <w:rPr>
                <w:rFonts w:ascii="Book Antiqua" w:eastAsia="宋体" w:hAnsi="Book Antiqua"/>
                <w:color w:val="000000" w:themeColor="text1"/>
                <w:lang w:eastAsia="zh-CN"/>
              </w:rPr>
            </w:pPr>
            <w:r w:rsidRPr="00B82E38">
              <w:rPr>
                <w:rFonts w:ascii="Book Antiqua" w:eastAsia="宋体" w:hAnsi="Book Antiqua"/>
                <w:color w:val="000000" w:themeColor="text1"/>
                <w:lang w:eastAsia="zh-CN"/>
              </w:rPr>
              <w:t>0.013</w:t>
            </w:r>
            <w:r w:rsidRPr="00B82E38">
              <w:rPr>
                <w:rFonts w:ascii="Book Antiqua" w:eastAsia="宋体" w:hAnsi="Book Antiqua"/>
                <w:color w:val="000000" w:themeColor="text1"/>
                <w:vertAlign w:val="superscript"/>
                <w:lang w:eastAsia="zh-CN"/>
              </w:rPr>
              <w:t>a</w:t>
            </w:r>
          </w:p>
        </w:tc>
      </w:tr>
      <w:tr w:rsidR="00B82E38" w:rsidRPr="00B82E38" w14:paraId="463D87A0" w14:textId="77777777">
        <w:trPr>
          <w:trHeight w:val="20"/>
          <w:jc w:val="center"/>
        </w:trPr>
        <w:tc>
          <w:tcPr>
            <w:tcW w:w="2694" w:type="dxa"/>
            <w:shd w:val="clear" w:color="auto" w:fill="auto"/>
          </w:tcPr>
          <w:p w14:paraId="21BD782F" w14:textId="77777777" w:rsidR="00BA37FB" w:rsidRPr="00B82E38" w:rsidRDefault="008F363E" w:rsidP="00372A8C">
            <w:pPr>
              <w:widowControl/>
              <w:adjustRightInd w:val="0"/>
              <w:snapToGrid w:val="0"/>
              <w:spacing w:line="360" w:lineRule="auto"/>
              <w:rPr>
                <w:rFonts w:ascii="Book Antiqua" w:eastAsia="宋体" w:hAnsi="Book Antiqua"/>
                <w:color w:val="000000" w:themeColor="text1"/>
                <w:lang w:eastAsia="zh-CN"/>
              </w:rPr>
            </w:pPr>
            <w:r w:rsidRPr="00B82E38">
              <w:rPr>
                <w:rFonts w:ascii="Book Antiqua" w:eastAsia="宋体" w:hAnsi="Book Antiqua"/>
                <w:color w:val="000000" w:themeColor="text1"/>
                <w:lang w:eastAsia="zh-CN"/>
              </w:rPr>
              <w:t>Total protein, g/L</w:t>
            </w:r>
            <w:r w:rsidRPr="00B82E38">
              <w:rPr>
                <w:rFonts w:ascii="Book Antiqua" w:eastAsia="宋体" w:hAnsi="Book Antiqua"/>
                <w:color w:val="000000" w:themeColor="text1"/>
                <w:vertAlign w:val="superscript"/>
                <w:lang w:eastAsia="zh-CN"/>
              </w:rPr>
              <w:t>1</w:t>
            </w:r>
          </w:p>
        </w:tc>
        <w:tc>
          <w:tcPr>
            <w:tcW w:w="2118" w:type="dxa"/>
            <w:shd w:val="clear" w:color="auto" w:fill="auto"/>
          </w:tcPr>
          <w:p w14:paraId="7CB86EE6" w14:textId="77777777" w:rsidR="00BA37FB" w:rsidRPr="00B82E38" w:rsidRDefault="008F363E" w:rsidP="00372A8C">
            <w:pPr>
              <w:widowControl/>
              <w:adjustRightInd w:val="0"/>
              <w:snapToGrid w:val="0"/>
              <w:spacing w:line="360" w:lineRule="auto"/>
              <w:rPr>
                <w:rFonts w:ascii="Book Antiqua" w:eastAsia="宋体" w:hAnsi="Book Antiqua"/>
                <w:color w:val="000000" w:themeColor="text1"/>
                <w:lang w:eastAsia="zh-CN"/>
              </w:rPr>
            </w:pPr>
            <w:r w:rsidRPr="00B82E38">
              <w:rPr>
                <w:rFonts w:ascii="Book Antiqua" w:eastAsia="宋体" w:hAnsi="Book Antiqua"/>
                <w:color w:val="000000" w:themeColor="text1"/>
                <w:lang w:eastAsia="zh-CN"/>
              </w:rPr>
              <w:t>64.0 ± 9.0</w:t>
            </w:r>
          </w:p>
        </w:tc>
        <w:tc>
          <w:tcPr>
            <w:tcW w:w="1667" w:type="dxa"/>
            <w:shd w:val="clear" w:color="auto" w:fill="auto"/>
          </w:tcPr>
          <w:p w14:paraId="4A8366DD" w14:textId="77777777" w:rsidR="00BA37FB" w:rsidRPr="00B82E38" w:rsidRDefault="008F363E" w:rsidP="00372A8C">
            <w:pPr>
              <w:widowControl/>
              <w:adjustRightInd w:val="0"/>
              <w:snapToGrid w:val="0"/>
              <w:spacing w:line="360" w:lineRule="auto"/>
              <w:rPr>
                <w:rFonts w:ascii="Book Antiqua" w:eastAsia="宋体" w:hAnsi="Book Antiqua"/>
                <w:color w:val="000000" w:themeColor="text1"/>
                <w:lang w:eastAsia="zh-CN"/>
              </w:rPr>
            </w:pPr>
            <w:r w:rsidRPr="00B82E38">
              <w:rPr>
                <w:rFonts w:ascii="Book Antiqua" w:eastAsia="宋体" w:hAnsi="Book Antiqua"/>
                <w:color w:val="000000" w:themeColor="text1"/>
                <w:lang w:eastAsia="zh-CN"/>
              </w:rPr>
              <w:t>64.6 ± 9.6</w:t>
            </w:r>
          </w:p>
        </w:tc>
        <w:tc>
          <w:tcPr>
            <w:tcW w:w="1600" w:type="dxa"/>
            <w:shd w:val="clear" w:color="auto" w:fill="auto"/>
          </w:tcPr>
          <w:p w14:paraId="2E0E091F" w14:textId="77777777" w:rsidR="00BA37FB" w:rsidRPr="00B82E38" w:rsidRDefault="008F363E" w:rsidP="00372A8C">
            <w:pPr>
              <w:widowControl/>
              <w:adjustRightInd w:val="0"/>
              <w:snapToGrid w:val="0"/>
              <w:spacing w:line="360" w:lineRule="auto"/>
              <w:rPr>
                <w:rFonts w:ascii="Book Antiqua" w:eastAsia="宋体" w:hAnsi="Book Antiqua"/>
                <w:color w:val="000000" w:themeColor="text1"/>
                <w:lang w:eastAsia="zh-CN"/>
              </w:rPr>
            </w:pPr>
            <w:r w:rsidRPr="00B82E38">
              <w:rPr>
                <w:rFonts w:ascii="Book Antiqua" w:eastAsia="宋体" w:hAnsi="Book Antiqua"/>
                <w:color w:val="000000" w:themeColor="text1"/>
                <w:lang w:eastAsia="zh-CN"/>
              </w:rPr>
              <w:t>61.8 ± 6.9</w:t>
            </w:r>
          </w:p>
        </w:tc>
        <w:tc>
          <w:tcPr>
            <w:tcW w:w="1277" w:type="dxa"/>
            <w:shd w:val="clear" w:color="auto" w:fill="auto"/>
          </w:tcPr>
          <w:p w14:paraId="6B80C61F" w14:textId="77777777" w:rsidR="00BA37FB" w:rsidRPr="00B82E38" w:rsidRDefault="008F363E" w:rsidP="00372A8C">
            <w:pPr>
              <w:widowControl/>
              <w:adjustRightInd w:val="0"/>
              <w:snapToGrid w:val="0"/>
              <w:spacing w:line="360" w:lineRule="auto"/>
              <w:rPr>
                <w:rFonts w:ascii="Book Antiqua" w:eastAsia="宋体" w:hAnsi="Book Antiqua"/>
                <w:color w:val="000000" w:themeColor="text1"/>
                <w:lang w:eastAsia="zh-CN"/>
              </w:rPr>
            </w:pPr>
            <w:r w:rsidRPr="00B82E38">
              <w:rPr>
                <w:rFonts w:ascii="Book Antiqua" w:eastAsia="宋体" w:hAnsi="Book Antiqua"/>
                <w:color w:val="000000" w:themeColor="text1"/>
                <w:lang w:eastAsia="zh-CN"/>
              </w:rPr>
              <w:t>0.19</w:t>
            </w:r>
          </w:p>
        </w:tc>
      </w:tr>
      <w:tr w:rsidR="00B82E38" w:rsidRPr="00B82E38" w14:paraId="5211C971" w14:textId="77777777">
        <w:trPr>
          <w:trHeight w:val="20"/>
          <w:jc w:val="center"/>
        </w:trPr>
        <w:tc>
          <w:tcPr>
            <w:tcW w:w="2694" w:type="dxa"/>
            <w:shd w:val="clear" w:color="auto" w:fill="auto"/>
          </w:tcPr>
          <w:p w14:paraId="4188E269" w14:textId="77777777" w:rsidR="00BA37FB" w:rsidRPr="00B82E38" w:rsidRDefault="008F363E" w:rsidP="00372A8C">
            <w:pPr>
              <w:widowControl/>
              <w:adjustRightInd w:val="0"/>
              <w:snapToGrid w:val="0"/>
              <w:spacing w:line="360" w:lineRule="auto"/>
              <w:rPr>
                <w:rFonts w:ascii="Book Antiqua" w:eastAsia="宋体" w:hAnsi="Book Antiqua"/>
                <w:color w:val="000000" w:themeColor="text1"/>
                <w:lang w:eastAsia="zh-CN"/>
              </w:rPr>
            </w:pPr>
            <w:r w:rsidRPr="00B82E38">
              <w:rPr>
                <w:rFonts w:ascii="Book Antiqua" w:eastAsia="宋体" w:hAnsi="Book Antiqua"/>
                <w:color w:val="000000" w:themeColor="text1"/>
                <w:lang w:eastAsia="zh-CN"/>
              </w:rPr>
              <w:t xml:space="preserve">Total bilirubin, </w:t>
            </w:r>
            <w:proofErr w:type="spellStart"/>
            <w:r w:rsidRPr="00B82E38">
              <w:rPr>
                <w:rFonts w:ascii="Book Antiqua" w:eastAsia="宋体" w:hAnsi="Book Antiqua"/>
                <w:color w:val="000000" w:themeColor="text1"/>
                <w:lang w:eastAsia="zh-CN"/>
              </w:rPr>
              <w:t>μmoL</w:t>
            </w:r>
            <w:proofErr w:type="spellEnd"/>
            <w:r w:rsidRPr="00B82E38">
              <w:rPr>
                <w:rFonts w:ascii="Book Antiqua" w:eastAsia="宋体" w:hAnsi="Book Antiqua"/>
                <w:color w:val="000000" w:themeColor="text1"/>
                <w:lang w:eastAsia="zh-CN"/>
              </w:rPr>
              <w:t>/L</w:t>
            </w:r>
            <w:r w:rsidRPr="00B82E38">
              <w:rPr>
                <w:rFonts w:ascii="Book Antiqua" w:eastAsia="宋体" w:hAnsi="Book Antiqua"/>
                <w:color w:val="000000" w:themeColor="text1"/>
                <w:vertAlign w:val="superscript"/>
                <w:lang w:eastAsia="zh-CN"/>
              </w:rPr>
              <w:t>3</w:t>
            </w:r>
          </w:p>
        </w:tc>
        <w:tc>
          <w:tcPr>
            <w:tcW w:w="2118" w:type="dxa"/>
            <w:shd w:val="clear" w:color="auto" w:fill="auto"/>
          </w:tcPr>
          <w:p w14:paraId="3B62B574" w14:textId="77777777" w:rsidR="00BA37FB" w:rsidRPr="00B82E38" w:rsidRDefault="008F363E" w:rsidP="00372A8C">
            <w:pPr>
              <w:widowControl/>
              <w:adjustRightInd w:val="0"/>
              <w:snapToGrid w:val="0"/>
              <w:spacing w:line="360" w:lineRule="auto"/>
              <w:rPr>
                <w:rFonts w:ascii="Book Antiqua" w:eastAsia="宋体" w:hAnsi="Book Antiqua"/>
                <w:color w:val="000000" w:themeColor="text1"/>
                <w:lang w:eastAsia="zh-CN"/>
              </w:rPr>
            </w:pPr>
            <w:r w:rsidRPr="00B82E38">
              <w:rPr>
                <w:rFonts w:ascii="Book Antiqua" w:eastAsia="宋体" w:hAnsi="Book Antiqua"/>
                <w:color w:val="000000" w:themeColor="text1"/>
                <w:lang w:eastAsia="zh-CN"/>
              </w:rPr>
              <w:t>24.5 (16.8, 35.4)</w:t>
            </w:r>
          </w:p>
        </w:tc>
        <w:tc>
          <w:tcPr>
            <w:tcW w:w="1667" w:type="dxa"/>
            <w:shd w:val="clear" w:color="auto" w:fill="auto"/>
          </w:tcPr>
          <w:p w14:paraId="54D7FEC7" w14:textId="77777777" w:rsidR="00BA37FB" w:rsidRPr="00B82E38" w:rsidRDefault="008F363E" w:rsidP="00372A8C">
            <w:pPr>
              <w:widowControl/>
              <w:adjustRightInd w:val="0"/>
              <w:snapToGrid w:val="0"/>
              <w:spacing w:line="360" w:lineRule="auto"/>
              <w:rPr>
                <w:rFonts w:ascii="Book Antiqua" w:eastAsia="宋体" w:hAnsi="Book Antiqua"/>
                <w:color w:val="000000" w:themeColor="text1"/>
                <w:lang w:eastAsia="zh-CN"/>
              </w:rPr>
            </w:pPr>
            <w:r w:rsidRPr="00B82E38">
              <w:rPr>
                <w:rFonts w:ascii="Book Antiqua" w:eastAsia="宋体" w:hAnsi="Book Antiqua"/>
                <w:color w:val="000000" w:themeColor="text1"/>
                <w:lang w:eastAsia="zh-CN"/>
              </w:rPr>
              <w:t>24.0 (16.9, 35.2)</w:t>
            </w:r>
          </w:p>
        </w:tc>
        <w:tc>
          <w:tcPr>
            <w:tcW w:w="1600" w:type="dxa"/>
            <w:shd w:val="clear" w:color="auto" w:fill="auto"/>
          </w:tcPr>
          <w:p w14:paraId="7D55F7C0" w14:textId="77777777" w:rsidR="00BA37FB" w:rsidRPr="00B82E38" w:rsidRDefault="008F363E" w:rsidP="00372A8C">
            <w:pPr>
              <w:widowControl/>
              <w:adjustRightInd w:val="0"/>
              <w:snapToGrid w:val="0"/>
              <w:spacing w:line="360" w:lineRule="auto"/>
              <w:rPr>
                <w:rFonts w:ascii="Book Antiqua" w:eastAsia="宋体" w:hAnsi="Book Antiqua"/>
                <w:color w:val="000000" w:themeColor="text1"/>
                <w:lang w:eastAsia="zh-CN"/>
              </w:rPr>
            </w:pPr>
            <w:r w:rsidRPr="00B82E38">
              <w:rPr>
                <w:rFonts w:ascii="Book Antiqua" w:eastAsia="宋体" w:hAnsi="Book Antiqua"/>
                <w:color w:val="000000" w:themeColor="text1"/>
                <w:lang w:eastAsia="zh-CN"/>
              </w:rPr>
              <w:t>29.8 (19.5, 44.5)</w:t>
            </w:r>
          </w:p>
        </w:tc>
        <w:tc>
          <w:tcPr>
            <w:tcW w:w="1277" w:type="dxa"/>
            <w:shd w:val="clear" w:color="auto" w:fill="auto"/>
          </w:tcPr>
          <w:p w14:paraId="660E6A52" w14:textId="77777777" w:rsidR="00BA37FB" w:rsidRPr="00B82E38" w:rsidRDefault="008F363E" w:rsidP="00372A8C">
            <w:pPr>
              <w:widowControl/>
              <w:adjustRightInd w:val="0"/>
              <w:snapToGrid w:val="0"/>
              <w:spacing w:line="360" w:lineRule="auto"/>
              <w:rPr>
                <w:rFonts w:ascii="Book Antiqua" w:eastAsia="宋体" w:hAnsi="Book Antiqua"/>
                <w:color w:val="000000" w:themeColor="text1"/>
                <w:lang w:eastAsia="zh-CN"/>
              </w:rPr>
            </w:pPr>
            <w:r w:rsidRPr="00B82E38">
              <w:rPr>
                <w:rFonts w:ascii="Book Antiqua" w:eastAsia="宋体" w:hAnsi="Book Antiqua"/>
                <w:color w:val="000000" w:themeColor="text1"/>
                <w:lang w:eastAsia="zh-CN"/>
              </w:rPr>
              <w:t>0.169</w:t>
            </w:r>
          </w:p>
        </w:tc>
      </w:tr>
      <w:tr w:rsidR="00B82E38" w:rsidRPr="00B82E38" w14:paraId="0C128274" w14:textId="77777777">
        <w:trPr>
          <w:trHeight w:val="20"/>
          <w:jc w:val="center"/>
        </w:trPr>
        <w:tc>
          <w:tcPr>
            <w:tcW w:w="2694" w:type="dxa"/>
            <w:shd w:val="clear" w:color="auto" w:fill="auto"/>
          </w:tcPr>
          <w:p w14:paraId="0F69E558" w14:textId="77777777" w:rsidR="00BA37FB" w:rsidRPr="00B82E38" w:rsidRDefault="008F363E" w:rsidP="00372A8C">
            <w:pPr>
              <w:widowControl/>
              <w:adjustRightInd w:val="0"/>
              <w:snapToGrid w:val="0"/>
              <w:spacing w:line="360" w:lineRule="auto"/>
              <w:rPr>
                <w:rFonts w:ascii="Book Antiqua" w:eastAsia="宋体" w:hAnsi="Book Antiqua"/>
                <w:color w:val="000000" w:themeColor="text1"/>
                <w:lang w:eastAsia="zh-CN"/>
              </w:rPr>
            </w:pPr>
            <w:r w:rsidRPr="00B82E38">
              <w:rPr>
                <w:rFonts w:ascii="Book Antiqua" w:eastAsia="宋体" w:hAnsi="Book Antiqua"/>
                <w:color w:val="000000" w:themeColor="text1"/>
                <w:lang w:eastAsia="zh-CN"/>
              </w:rPr>
              <w:t xml:space="preserve">Creatinine, </w:t>
            </w:r>
            <w:proofErr w:type="spellStart"/>
            <w:r w:rsidRPr="00B82E38">
              <w:rPr>
                <w:rFonts w:ascii="Book Antiqua" w:eastAsia="宋体" w:hAnsi="Book Antiqua"/>
                <w:color w:val="000000" w:themeColor="text1"/>
                <w:lang w:eastAsia="zh-CN"/>
              </w:rPr>
              <w:t>μmoL</w:t>
            </w:r>
            <w:proofErr w:type="spellEnd"/>
            <w:r w:rsidRPr="00B82E38">
              <w:rPr>
                <w:rFonts w:ascii="Book Antiqua" w:eastAsia="宋体" w:hAnsi="Book Antiqua"/>
                <w:color w:val="000000" w:themeColor="text1"/>
                <w:lang w:eastAsia="zh-CN"/>
              </w:rPr>
              <w:t>/L</w:t>
            </w:r>
            <w:r w:rsidRPr="00B82E38">
              <w:rPr>
                <w:rFonts w:ascii="Book Antiqua" w:eastAsia="宋体" w:hAnsi="Book Antiqua"/>
                <w:color w:val="000000" w:themeColor="text1"/>
                <w:vertAlign w:val="superscript"/>
                <w:lang w:eastAsia="zh-CN"/>
              </w:rPr>
              <w:t>3</w:t>
            </w:r>
          </w:p>
        </w:tc>
        <w:tc>
          <w:tcPr>
            <w:tcW w:w="2118" w:type="dxa"/>
            <w:shd w:val="clear" w:color="auto" w:fill="auto"/>
          </w:tcPr>
          <w:p w14:paraId="6C902D05" w14:textId="77777777" w:rsidR="00BA37FB" w:rsidRPr="00B82E38" w:rsidRDefault="008F363E" w:rsidP="00372A8C">
            <w:pPr>
              <w:widowControl/>
              <w:adjustRightInd w:val="0"/>
              <w:snapToGrid w:val="0"/>
              <w:spacing w:line="360" w:lineRule="auto"/>
              <w:rPr>
                <w:rFonts w:ascii="Book Antiqua" w:eastAsia="宋体" w:hAnsi="Book Antiqua"/>
                <w:color w:val="000000" w:themeColor="text1"/>
                <w:lang w:eastAsia="zh-CN"/>
              </w:rPr>
            </w:pPr>
            <w:r w:rsidRPr="00B82E38">
              <w:rPr>
                <w:rFonts w:ascii="Book Antiqua" w:eastAsia="宋体" w:hAnsi="Book Antiqua"/>
                <w:color w:val="000000" w:themeColor="text1"/>
                <w:lang w:eastAsia="zh-CN"/>
              </w:rPr>
              <w:t>63 (52, 77)</w:t>
            </w:r>
          </w:p>
        </w:tc>
        <w:tc>
          <w:tcPr>
            <w:tcW w:w="1667" w:type="dxa"/>
            <w:shd w:val="clear" w:color="auto" w:fill="auto"/>
          </w:tcPr>
          <w:p w14:paraId="721C00AA" w14:textId="77777777" w:rsidR="00BA37FB" w:rsidRPr="00B82E38" w:rsidRDefault="008F363E" w:rsidP="00372A8C">
            <w:pPr>
              <w:widowControl/>
              <w:adjustRightInd w:val="0"/>
              <w:snapToGrid w:val="0"/>
              <w:spacing w:line="360" w:lineRule="auto"/>
              <w:rPr>
                <w:rFonts w:ascii="Book Antiqua" w:eastAsia="宋体" w:hAnsi="Book Antiqua"/>
                <w:color w:val="000000" w:themeColor="text1"/>
                <w:lang w:eastAsia="zh-CN"/>
              </w:rPr>
            </w:pPr>
            <w:r w:rsidRPr="00B82E38">
              <w:rPr>
                <w:rFonts w:ascii="Book Antiqua" w:eastAsia="宋体" w:hAnsi="Book Antiqua"/>
                <w:color w:val="000000" w:themeColor="text1"/>
                <w:lang w:eastAsia="zh-CN"/>
              </w:rPr>
              <w:t xml:space="preserve">61 (52, 73) </w:t>
            </w:r>
          </w:p>
        </w:tc>
        <w:tc>
          <w:tcPr>
            <w:tcW w:w="1600" w:type="dxa"/>
            <w:shd w:val="clear" w:color="auto" w:fill="auto"/>
          </w:tcPr>
          <w:p w14:paraId="375270AB" w14:textId="77777777" w:rsidR="00BA37FB" w:rsidRPr="00B82E38" w:rsidRDefault="008F363E" w:rsidP="00372A8C">
            <w:pPr>
              <w:widowControl/>
              <w:adjustRightInd w:val="0"/>
              <w:snapToGrid w:val="0"/>
              <w:spacing w:line="360" w:lineRule="auto"/>
              <w:rPr>
                <w:rFonts w:ascii="Book Antiqua" w:eastAsia="宋体" w:hAnsi="Book Antiqua"/>
                <w:color w:val="000000" w:themeColor="text1"/>
                <w:lang w:eastAsia="zh-CN"/>
              </w:rPr>
            </w:pPr>
            <w:r w:rsidRPr="00B82E38">
              <w:rPr>
                <w:rFonts w:ascii="Book Antiqua" w:eastAsia="宋体" w:hAnsi="Book Antiqua"/>
                <w:color w:val="000000" w:themeColor="text1"/>
                <w:lang w:eastAsia="zh-CN"/>
              </w:rPr>
              <w:t>70 (59, 85)</w:t>
            </w:r>
          </w:p>
        </w:tc>
        <w:tc>
          <w:tcPr>
            <w:tcW w:w="1277" w:type="dxa"/>
            <w:shd w:val="clear" w:color="auto" w:fill="auto"/>
          </w:tcPr>
          <w:p w14:paraId="70B93426" w14:textId="77777777" w:rsidR="00BA37FB" w:rsidRPr="00B82E38" w:rsidRDefault="008F363E" w:rsidP="00372A8C">
            <w:pPr>
              <w:widowControl/>
              <w:adjustRightInd w:val="0"/>
              <w:snapToGrid w:val="0"/>
              <w:spacing w:line="360" w:lineRule="auto"/>
              <w:rPr>
                <w:rFonts w:ascii="Book Antiqua" w:eastAsia="宋体" w:hAnsi="Book Antiqua"/>
                <w:color w:val="000000" w:themeColor="text1"/>
                <w:lang w:eastAsia="zh-CN"/>
              </w:rPr>
            </w:pPr>
            <w:r w:rsidRPr="00B82E38">
              <w:rPr>
                <w:rFonts w:ascii="Book Antiqua" w:eastAsia="宋体" w:hAnsi="Book Antiqua"/>
                <w:color w:val="000000" w:themeColor="text1"/>
                <w:lang w:eastAsia="zh-CN"/>
              </w:rPr>
              <w:t>0.084</w:t>
            </w:r>
          </w:p>
        </w:tc>
      </w:tr>
      <w:tr w:rsidR="00B82E38" w:rsidRPr="00B82E38" w14:paraId="0F33EBF2" w14:textId="77777777">
        <w:trPr>
          <w:trHeight w:val="20"/>
          <w:jc w:val="center"/>
        </w:trPr>
        <w:tc>
          <w:tcPr>
            <w:tcW w:w="2694" w:type="dxa"/>
            <w:shd w:val="clear" w:color="auto" w:fill="auto"/>
          </w:tcPr>
          <w:p w14:paraId="3D235E4E" w14:textId="77777777" w:rsidR="00BA37FB" w:rsidRPr="00B82E38" w:rsidRDefault="008F363E" w:rsidP="00372A8C">
            <w:pPr>
              <w:pStyle w:val="a7"/>
              <w:widowControl/>
              <w:adjustRightInd w:val="0"/>
              <w:snapToGrid w:val="0"/>
              <w:spacing w:beforeAutospacing="0" w:afterAutospacing="0" w:line="360" w:lineRule="auto"/>
              <w:rPr>
                <w:rFonts w:ascii="Book Antiqua" w:eastAsia="宋体" w:hAnsi="Book Antiqua"/>
                <w:b/>
                <w:bCs/>
                <w:color w:val="000000" w:themeColor="text1"/>
              </w:rPr>
            </w:pPr>
            <w:r w:rsidRPr="00B82E38">
              <w:rPr>
                <w:rFonts w:ascii="Book Antiqua" w:eastAsia="宋体" w:hAnsi="Book Antiqua"/>
                <w:color w:val="000000" w:themeColor="text1"/>
              </w:rPr>
              <w:t>ALT, U/L</w:t>
            </w:r>
            <w:r w:rsidRPr="00B82E38">
              <w:rPr>
                <w:rFonts w:ascii="Book Antiqua" w:eastAsia="宋体" w:hAnsi="Book Antiqua"/>
                <w:color w:val="000000" w:themeColor="text1"/>
                <w:vertAlign w:val="superscript"/>
              </w:rPr>
              <w:t>3</w:t>
            </w:r>
          </w:p>
        </w:tc>
        <w:tc>
          <w:tcPr>
            <w:tcW w:w="2118" w:type="dxa"/>
            <w:shd w:val="clear" w:color="auto" w:fill="auto"/>
          </w:tcPr>
          <w:p w14:paraId="10E598BA" w14:textId="77777777" w:rsidR="00BA37FB" w:rsidRPr="00B82E38"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B82E38">
              <w:rPr>
                <w:rFonts w:ascii="Book Antiqua" w:eastAsia="宋体" w:hAnsi="Book Antiqua"/>
                <w:color w:val="000000" w:themeColor="text1"/>
              </w:rPr>
              <w:t>21 (15, 33)</w:t>
            </w:r>
          </w:p>
        </w:tc>
        <w:tc>
          <w:tcPr>
            <w:tcW w:w="1667" w:type="dxa"/>
            <w:shd w:val="clear" w:color="auto" w:fill="auto"/>
          </w:tcPr>
          <w:p w14:paraId="5320C87F" w14:textId="77777777" w:rsidR="00BA37FB" w:rsidRPr="00B82E38"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B82E38">
              <w:rPr>
                <w:rFonts w:ascii="Book Antiqua" w:eastAsia="宋体" w:hAnsi="Book Antiqua"/>
                <w:color w:val="000000" w:themeColor="text1"/>
              </w:rPr>
              <w:t>22 (16, 33)</w:t>
            </w:r>
          </w:p>
        </w:tc>
        <w:tc>
          <w:tcPr>
            <w:tcW w:w="1600" w:type="dxa"/>
            <w:shd w:val="clear" w:color="auto" w:fill="auto"/>
          </w:tcPr>
          <w:p w14:paraId="2BB8A16E" w14:textId="77777777" w:rsidR="00BA37FB" w:rsidRPr="00B82E38"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B82E38">
              <w:rPr>
                <w:rFonts w:ascii="Book Antiqua" w:eastAsia="宋体" w:hAnsi="Book Antiqua"/>
                <w:color w:val="000000" w:themeColor="text1"/>
              </w:rPr>
              <w:t>21 (16, 29)</w:t>
            </w:r>
          </w:p>
        </w:tc>
        <w:tc>
          <w:tcPr>
            <w:tcW w:w="1277" w:type="dxa"/>
            <w:shd w:val="clear" w:color="auto" w:fill="auto"/>
          </w:tcPr>
          <w:p w14:paraId="6515C503" w14:textId="77777777" w:rsidR="00BA37FB" w:rsidRPr="00B82E38"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B82E38">
              <w:rPr>
                <w:rFonts w:ascii="Book Antiqua" w:eastAsia="宋体" w:hAnsi="Book Antiqua"/>
                <w:color w:val="000000" w:themeColor="text1"/>
              </w:rPr>
              <w:t>0.889</w:t>
            </w:r>
          </w:p>
        </w:tc>
      </w:tr>
      <w:tr w:rsidR="00B82E38" w:rsidRPr="00B82E38" w14:paraId="2903715F" w14:textId="77777777">
        <w:trPr>
          <w:trHeight w:val="20"/>
          <w:jc w:val="center"/>
        </w:trPr>
        <w:tc>
          <w:tcPr>
            <w:tcW w:w="2694" w:type="dxa"/>
            <w:shd w:val="clear" w:color="auto" w:fill="auto"/>
          </w:tcPr>
          <w:p w14:paraId="55EF4CF3" w14:textId="77777777" w:rsidR="00BA37FB" w:rsidRPr="00B82E38"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B82E38">
              <w:rPr>
                <w:rFonts w:ascii="Book Antiqua" w:eastAsia="宋体" w:hAnsi="Book Antiqua"/>
                <w:color w:val="000000" w:themeColor="text1"/>
              </w:rPr>
              <w:t>AST, U/L</w:t>
            </w:r>
            <w:r w:rsidRPr="00B82E38">
              <w:rPr>
                <w:rFonts w:ascii="Book Antiqua" w:eastAsia="宋体" w:hAnsi="Book Antiqua"/>
                <w:color w:val="000000" w:themeColor="text1"/>
                <w:vertAlign w:val="superscript"/>
              </w:rPr>
              <w:t>3</w:t>
            </w:r>
          </w:p>
        </w:tc>
        <w:tc>
          <w:tcPr>
            <w:tcW w:w="2118" w:type="dxa"/>
            <w:shd w:val="clear" w:color="auto" w:fill="auto"/>
          </w:tcPr>
          <w:p w14:paraId="5867DC4B" w14:textId="77777777" w:rsidR="00BA37FB" w:rsidRPr="00B82E38"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B82E38">
              <w:rPr>
                <w:rFonts w:ascii="Book Antiqua" w:eastAsia="宋体" w:hAnsi="Book Antiqua"/>
                <w:color w:val="000000" w:themeColor="text1"/>
              </w:rPr>
              <w:t>28 (20, 42)</w:t>
            </w:r>
          </w:p>
        </w:tc>
        <w:tc>
          <w:tcPr>
            <w:tcW w:w="1667" w:type="dxa"/>
            <w:shd w:val="clear" w:color="auto" w:fill="auto"/>
          </w:tcPr>
          <w:p w14:paraId="237B172B" w14:textId="77777777" w:rsidR="00BA37FB" w:rsidRPr="00B82E38"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B82E38">
              <w:rPr>
                <w:rFonts w:ascii="Book Antiqua" w:eastAsia="宋体" w:hAnsi="Book Antiqua"/>
                <w:color w:val="000000" w:themeColor="text1"/>
              </w:rPr>
              <w:t>28 (20, 44)</w:t>
            </w:r>
          </w:p>
        </w:tc>
        <w:tc>
          <w:tcPr>
            <w:tcW w:w="1600" w:type="dxa"/>
            <w:shd w:val="clear" w:color="auto" w:fill="auto"/>
          </w:tcPr>
          <w:p w14:paraId="44349201" w14:textId="77777777" w:rsidR="00BA37FB" w:rsidRPr="00B82E38"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B82E38">
              <w:rPr>
                <w:rFonts w:ascii="Book Antiqua" w:eastAsia="宋体" w:hAnsi="Book Antiqua"/>
                <w:color w:val="000000" w:themeColor="text1"/>
              </w:rPr>
              <w:t>31 (23, 50)</w:t>
            </w:r>
          </w:p>
        </w:tc>
        <w:tc>
          <w:tcPr>
            <w:tcW w:w="1277" w:type="dxa"/>
            <w:shd w:val="clear" w:color="auto" w:fill="auto"/>
          </w:tcPr>
          <w:p w14:paraId="2FD211D9" w14:textId="77777777" w:rsidR="00BA37FB" w:rsidRPr="00B82E38"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B82E38">
              <w:rPr>
                <w:rFonts w:ascii="Book Antiqua" w:eastAsia="宋体" w:hAnsi="Book Antiqua"/>
                <w:color w:val="000000" w:themeColor="text1"/>
              </w:rPr>
              <w:t>0.442</w:t>
            </w:r>
          </w:p>
        </w:tc>
      </w:tr>
      <w:tr w:rsidR="00B82E38" w:rsidRPr="00B82E38" w14:paraId="6D8FF5D3" w14:textId="77777777">
        <w:trPr>
          <w:trHeight w:val="20"/>
          <w:jc w:val="center"/>
        </w:trPr>
        <w:tc>
          <w:tcPr>
            <w:tcW w:w="2694" w:type="dxa"/>
            <w:shd w:val="clear" w:color="auto" w:fill="auto"/>
          </w:tcPr>
          <w:p w14:paraId="0421248E" w14:textId="77777777" w:rsidR="00BA37FB" w:rsidRPr="00B82E38"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B82E38">
              <w:rPr>
                <w:rFonts w:ascii="Book Antiqua" w:eastAsia="宋体" w:hAnsi="Book Antiqua"/>
                <w:color w:val="000000" w:themeColor="text1"/>
              </w:rPr>
              <w:t>ALP, U/L</w:t>
            </w:r>
            <w:r w:rsidRPr="00B82E38">
              <w:rPr>
                <w:rFonts w:ascii="Book Antiqua" w:eastAsia="宋体" w:hAnsi="Book Antiqua"/>
                <w:color w:val="000000" w:themeColor="text1"/>
                <w:vertAlign w:val="superscript"/>
              </w:rPr>
              <w:t>3</w:t>
            </w:r>
          </w:p>
        </w:tc>
        <w:tc>
          <w:tcPr>
            <w:tcW w:w="2118" w:type="dxa"/>
            <w:shd w:val="clear" w:color="auto" w:fill="auto"/>
          </w:tcPr>
          <w:p w14:paraId="0684034D" w14:textId="77777777" w:rsidR="00BA37FB" w:rsidRPr="00B82E38"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B82E38">
              <w:rPr>
                <w:rFonts w:ascii="Book Antiqua" w:eastAsia="宋体" w:hAnsi="Book Antiqua"/>
                <w:color w:val="000000" w:themeColor="text1"/>
              </w:rPr>
              <w:t>91 (67, 122)</w:t>
            </w:r>
          </w:p>
        </w:tc>
        <w:tc>
          <w:tcPr>
            <w:tcW w:w="1667" w:type="dxa"/>
            <w:shd w:val="clear" w:color="auto" w:fill="auto"/>
          </w:tcPr>
          <w:p w14:paraId="117F5ECB" w14:textId="77777777" w:rsidR="00BA37FB" w:rsidRPr="00B82E38"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B82E38">
              <w:rPr>
                <w:rFonts w:ascii="Book Antiqua" w:eastAsia="宋体" w:hAnsi="Book Antiqua"/>
                <w:color w:val="000000" w:themeColor="text1"/>
              </w:rPr>
              <w:t>90 (67, 131)</w:t>
            </w:r>
          </w:p>
        </w:tc>
        <w:tc>
          <w:tcPr>
            <w:tcW w:w="1600" w:type="dxa"/>
            <w:shd w:val="clear" w:color="auto" w:fill="auto"/>
          </w:tcPr>
          <w:p w14:paraId="5E643F9A" w14:textId="77777777" w:rsidR="00BA37FB" w:rsidRPr="00B82E38"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B82E38">
              <w:rPr>
                <w:rFonts w:ascii="Book Antiqua" w:eastAsia="宋体" w:hAnsi="Book Antiqua"/>
                <w:color w:val="000000" w:themeColor="text1"/>
              </w:rPr>
              <w:t>92 (65, 121)</w:t>
            </w:r>
          </w:p>
        </w:tc>
        <w:tc>
          <w:tcPr>
            <w:tcW w:w="1277" w:type="dxa"/>
            <w:shd w:val="clear" w:color="auto" w:fill="auto"/>
          </w:tcPr>
          <w:p w14:paraId="46E8D714" w14:textId="77777777" w:rsidR="00BA37FB" w:rsidRPr="00B82E38"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B82E38">
              <w:rPr>
                <w:rFonts w:ascii="Book Antiqua" w:eastAsia="宋体" w:hAnsi="Book Antiqua"/>
                <w:color w:val="000000" w:themeColor="text1"/>
              </w:rPr>
              <w:t>0.39</w:t>
            </w:r>
          </w:p>
        </w:tc>
      </w:tr>
      <w:tr w:rsidR="00B82E38" w:rsidRPr="00B82E38" w14:paraId="40BCE9CE" w14:textId="77777777">
        <w:trPr>
          <w:trHeight w:val="20"/>
          <w:jc w:val="center"/>
        </w:trPr>
        <w:tc>
          <w:tcPr>
            <w:tcW w:w="2694" w:type="dxa"/>
            <w:shd w:val="clear" w:color="auto" w:fill="auto"/>
          </w:tcPr>
          <w:p w14:paraId="46D69E81" w14:textId="77777777" w:rsidR="00BA37FB" w:rsidRPr="00B82E38"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B82E38">
              <w:rPr>
                <w:rFonts w:ascii="Book Antiqua" w:eastAsia="宋体" w:hAnsi="Book Antiqua"/>
                <w:color w:val="000000" w:themeColor="text1"/>
              </w:rPr>
              <w:t>Albumin, g/L</w:t>
            </w:r>
            <w:r w:rsidRPr="00B82E38">
              <w:rPr>
                <w:rFonts w:ascii="Book Antiqua" w:eastAsia="宋体" w:hAnsi="Book Antiqua"/>
                <w:color w:val="000000" w:themeColor="text1"/>
                <w:vertAlign w:val="superscript"/>
              </w:rPr>
              <w:t>1</w:t>
            </w:r>
          </w:p>
        </w:tc>
        <w:tc>
          <w:tcPr>
            <w:tcW w:w="2118" w:type="dxa"/>
            <w:shd w:val="clear" w:color="auto" w:fill="auto"/>
          </w:tcPr>
          <w:p w14:paraId="328BA8A2" w14:textId="77777777" w:rsidR="00BA37FB" w:rsidRPr="00B82E38"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B82E38">
              <w:rPr>
                <w:rFonts w:ascii="Book Antiqua" w:eastAsia="宋体" w:hAnsi="Book Antiqua"/>
                <w:color w:val="000000" w:themeColor="text1"/>
              </w:rPr>
              <w:t>34.9 ± 5.4</w:t>
            </w:r>
          </w:p>
        </w:tc>
        <w:tc>
          <w:tcPr>
            <w:tcW w:w="1667" w:type="dxa"/>
            <w:shd w:val="clear" w:color="auto" w:fill="auto"/>
          </w:tcPr>
          <w:p w14:paraId="32D12CAA" w14:textId="77777777" w:rsidR="00BA37FB" w:rsidRPr="00B82E38"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B82E38">
              <w:rPr>
                <w:rFonts w:ascii="Book Antiqua" w:eastAsia="宋体" w:hAnsi="Book Antiqua"/>
                <w:color w:val="000000" w:themeColor="text1"/>
              </w:rPr>
              <w:t>33.4 ± 5.2</w:t>
            </w:r>
          </w:p>
        </w:tc>
        <w:tc>
          <w:tcPr>
            <w:tcW w:w="1600" w:type="dxa"/>
            <w:shd w:val="clear" w:color="auto" w:fill="auto"/>
          </w:tcPr>
          <w:p w14:paraId="1DAB391F" w14:textId="77777777" w:rsidR="00BA37FB" w:rsidRPr="00B82E38"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B82E38">
              <w:rPr>
                <w:rFonts w:ascii="Book Antiqua" w:eastAsia="宋体" w:hAnsi="Book Antiqua"/>
                <w:color w:val="000000" w:themeColor="text1"/>
              </w:rPr>
              <w:t>35.2 ± 6.9</w:t>
            </w:r>
          </w:p>
        </w:tc>
        <w:tc>
          <w:tcPr>
            <w:tcW w:w="1277" w:type="dxa"/>
            <w:shd w:val="clear" w:color="auto" w:fill="auto"/>
          </w:tcPr>
          <w:p w14:paraId="4CBB190D" w14:textId="77777777" w:rsidR="00BA37FB" w:rsidRPr="00B82E38"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B82E38">
              <w:rPr>
                <w:rFonts w:ascii="Book Antiqua" w:eastAsia="宋体" w:hAnsi="Book Antiqua"/>
                <w:color w:val="000000" w:themeColor="text1"/>
              </w:rPr>
              <w:t>0.12</w:t>
            </w:r>
          </w:p>
        </w:tc>
      </w:tr>
      <w:tr w:rsidR="00B82E38" w:rsidRPr="00B82E38" w14:paraId="4844A04C" w14:textId="77777777">
        <w:trPr>
          <w:trHeight w:val="20"/>
          <w:jc w:val="center"/>
        </w:trPr>
        <w:tc>
          <w:tcPr>
            <w:tcW w:w="2694" w:type="dxa"/>
            <w:shd w:val="clear" w:color="auto" w:fill="auto"/>
          </w:tcPr>
          <w:p w14:paraId="2A6254C3" w14:textId="77777777" w:rsidR="00BA37FB" w:rsidRPr="00B82E38"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B82E38">
              <w:rPr>
                <w:rFonts w:ascii="Book Antiqua" w:eastAsia="宋体" w:hAnsi="Book Antiqua"/>
                <w:color w:val="000000" w:themeColor="text1"/>
              </w:rPr>
              <w:t xml:space="preserve">Serum potassium, </w:t>
            </w:r>
            <w:proofErr w:type="spellStart"/>
            <w:r w:rsidRPr="00B82E38">
              <w:rPr>
                <w:rFonts w:ascii="Book Antiqua" w:eastAsia="宋体" w:hAnsi="Book Antiqua"/>
                <w:color w:val="000000" w:themeColor="text1"/>
              </w:rPr>
              <w:t>mmoL</w:t>
            </w:r>
            <w:proofErr w:type="spellEnd"/>
            <w:r w:rsidRPr="00B82E38">
              <w:rPr>
                <w:rFonts w:ascii="Book Antiqua" w:eastAsia="宋体" w:hAnsi="Book Antiqua"/>
                <w:color w:val="000000" w:themeColor="text1"/>
              </w:rPr>
              <w:t>/L</w:t>
            </w:r>
            <w:r w:rsidRPr="00B82E38">
              <w:rPr>
                <w:rFonts w:ascii="Book Antiqua" w:eastAsia="宋体" w:hAnsi="Book Antiqua"/>
                <w:color w:val="000000" w:themeColor="text1"/>
                <w:vertAlign w:val="superscript"/>
              </w:rPr>
              <w:t>1</w:t>
            </w:r>
          </w:p>
        </w:tc>
        <w:tc>
          <w:tcPr>
            <w:tcW w:w="2118" w:type="dxa"/>
            <w:shd w:val="clear" w:color="auto" w:fill="auto"/>
          </w:tcPr>
          <w:p w14:paraId="195A76E9" w14:textId="77777777" w:rsidR="00BA37FB" w:rsidRPr="00B82E38"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B82E38">
              <w:rPr>
                <w:rFonts w:ascii="Book Antiqua" w:eastAsia="宋体" w:hAnsi="Book Antiqua"/>
                <w:color w:val="000000" w:themeColor="text1"/>
              </w:rPr>
              <w:t>4.0 ± 0.5</w:t>
            </w:r>
          </w:p>
        </w:tc>
        <w:tc>
          <w:tcPr>
            <w:tcW w:w="1667" w:type="dxa"/>
            <w:shd w:val="clear" w:color="auto" w:fill="auto"/>
          </w:tcPr>
          <w:p w14:paraId="3E9099B8" w14:textId="77777777" w:rsidR="00BA37FB" w:rsidRPr="00B82E38"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B82E38">
              <w:rPr>
                <w:rFonts w:ascii="Book Antiqua" w:eastAsia="宋体" w:hAnsi="Book Antiqua"/>
                <w:color w:val="000000" w:themeColor="text1"/>
              </w:rPr>
              <w:t>3.9 ± 0.3</w:t>
            </w:r>
          </w:p>
        </w:tc>
        <w:tc>
          <w:tcPr>
            <w:tcW w:w="1600" w:type="dxa"/>
            <w:shd w:val="clear" w:color="auto" w:fill="auto"/>
          </w:tcPr>
          <w:p w14:paraId="4C65EFD9" w14:textId="77777777" w:rsidR="00BA37FB" w:rsidRPr="00B82E38"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B82E38">
              <w:rPr>
                <w:rFonts w:ascii="Book Antiqua" w:eastAsia="宋体" w:hAnsi="Book Antiqua"/>
                <w:color w:val="000000" w:themeColor="text1"/>
              </w:rPr>
              <w:t>4.0 ± 0.4</w:t>
            </w:r>
          </w:p>
        </w:tc>
        <w:tc>
          <w:tcPr>
            <w:tcW w:w="1277" w:type="dxa"/>
            <w:shd w:val="clear" w:color="auto" w:fill="auto"/>
          </w:tcPr>
          <w:p w14:paraId="7DAF4706" w14:textId="77777777" w:rsidR="00BA37FB" w:rsidRPr="00B82E38"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B82E38">
              <w:rPr>
                <w:rFonts w:ascii="Book Antiqua" w:eastAsia="宋体" w:hAnsi="Book Antiqua"/>
                <w:color w:val="000000" w:themeColor="text1"/>
              </w:rPr>
              <w:t>0.62</w:t>
            </w:r>
          </w:p>
        </w:tc>
      </w:tr>
      <w:tr w:rsidR="00B82E38" w:rsidRPr="00B82E38" w14:paraId="747D1A94" w14:textId="77777777">
        <w:trPr>
          <w:trHeight w:val="20"/>
          <w:jc w:val="center"/>
        </w:trPr>
        <w:tc>
          <w:tcPr>
            <w:tcW w:w="2694" w:type="dxa"/>
            <w:shd w:val="clear" w:color="auto" w:fill="auto"/>
          </w:tcPr>
          <w:p w14:paraId="0BC66BD7" w14:textId="77777777" w:rsidR="00BA37FB" w:rsidRPr="00B82E38"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B82E38">
              <w:rPr>
                <w:rFonts w:ascii="Book Antiqua" w:eastAsia="宋体" w:hAnsi="Book Antiqua"/>
                <w:color w:val="000000" w:themeColor="text1"/>
              </w:rPr>
              <w:t xml:space="preserve">Serum clozapine, </w:t>
            </w:r>
            <w:proofErr w:type="spellStart"/>
            <w:r w:rsidRPr="00B82E38">
              <w:rPr>
                <w:rFonts w:ascii="Book Antiqua" w:eastAsia="宋体" w:hAnsi="Book Antiqua"/>
                <w:color w:val="000000" w:themeColor="text1"/>
              </w:rPr>
              <w:t>mmoL</w:t>
            </w:r>
            <w:proofErr w:type="spellEnd"/>
            <w:r w:rsidRPr="00B82E38">
              <w:rPr>
                <w:rFonts w:ascii="Book Antiqua" w:eastAsia="宋体" w:hAnsi="Book Antiqua"/>
                <w:color w:val="000000" w:themeColor="text1"/>
              </w:rPr>
              <w:t>/L</w:t>
            </w:r>
            <w:r w:rsidRPr="00B82E38">
              <w:rPr>
                <w:rFonts w:ascii="Book Antiqua" w:eastAsia="宋体" w:hAnsi="Book Antiqua"/>
                <w:color w:val="000000" w:themeColor="text1"/>
                <w:vertAlign w:val="superscript"/>
              </w:rPr>
              <w:t>1</w:t>
            </w:r>
          </w:p>
        </w:tc>
        <w:tc>
          <w:tcPr>
            <w:tcW w:w="2118" w:type="dxa"/>
            <w:shd w:val="clear" w:color="auto" w:fill="auto"/>
          </w:tcPr>
          <w:p w14:paraId="5623BD9E" w14:textId="77777777" w:rsidR="00BA37FB" w:rsidRPr="00B82E38"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B82E38">
              <w:rPr>
                <w:rFonts w:ascii="Book Antiqua" w:eastAsia="宋体" w:hAnsi="Book Antiqua"/>
                <w:color w:val="000000" w:themeColor="text1"/>
              </w:rPr>
              <w:t>105.2 ± 5.8</w:t>
            </w:r>
          </w:p>
        </w:tc>
        <w:tc>
          <w:tcPr>
            <w:tcW w:w="1667" w:type="dxa"/>
            <w:shd w:val="clear" w:color="auto" w:fill="auto"/>
          </w:tcPr>
          <w:p w14:paraId="342E3E2D" w14:textId="77777777" w:rsidR="00BA37FB" w:rsidRPr="00B82E38"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B82E38">
              <w:rPr>
                <w:rFonts w:ascii="Book Antiqua" w:eastAsia="宋体" w:hAnsi="Book Antiqua"/>
                <w:color w:val="000000" w:themeColor="text1"/>
              </w:rPr>
              <w:t>105.3 ± 5.4</w:t>
            </w:r>
          </w:p>
        </w:tc>
        <w:tc>
          <w:tcPr>
            <w:tcW w:w="1600" w:type="dxa"/>
            <w:shd w:val="clear" w:color="auto" w:fill="auto"/>
          </w:tcPr>
          <w:p w14:paraId="6D140DC6" w14:textId="77777777" w:rsidR="00BA37FB" w:rsidRPr="00B82E38"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B82E38">
              <w:rPr>
                <w:rFonts w:ascii="Book Antiqua" w:eastAsia="宋体" w:hAnsi="Book Antiqua"/>
                <w:color w:val="000000" w:themeColor="text1"/>
              </w:rPr>
              <w:t>105.5 ± 6.6</w:t>
            </w:r>
          </w:p>
        </w:tc>
        <w:tc>
          <w:tcPr>
            <w:tcW w:w="1277" w:type="dxa"/>
            <w:shd w:val="clear" w:color="auto" w:fill="auto"/>
          </w:tcPr>
          <w:p w14:paraId="3561656F" w14:textId="77777777" w:rsidR="00BA37FB" w:rsidRPr="00B82E38"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B82E38">
              <w:rPr>
                <w:rFonts w:ascii="Book Antiqua" w:eastAsia="宋体" w:hAnsi="Book Antiqua"/>
                <w:color w:val="000000" w:themeColor="text1"/>
              </w:rPr>
              <w:t>0.81</w:t>
            </w:r>
          </w:p>
        </w:tc>
      </w:tr>
      <w:tr w:rsidR="00B82E38" w:rsidRPr="00B82E38" w14:paraId="040469FD" w14:textId="77777777">
        <w:trPr>
          <w:trHeight w:val="20"/>
          <w:jc w:val="center"/>
        </w:trPr>
        <w:tc>
          <w:tcPr>
            <w:tcW w:w="2694" w:type="dxa"/>
            <w:shd w:val="clear" w:color="auto" w:fill="auto"/>
          </w:tcPr>
          <w:p w14:paraId="7E719600" w14:textId="77777777" w:rsidR="00BA37FB" w:rsidRPr="00B82E38"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B82E38">
              <w:rPr>
                <w:rFonts w:ascii="Book Antiqua" w:eastAsia="宋体" w:hAnsi="Book Antiqua"/>
                <w:color w:val="000000" w:themeColor="text1"/>
              </w:rPr>
              <w:t xml:space="preserve">Serum sodium, </w:t>
            </w:r>
            <w:proofErr w:type="spellStart"/>
            <w:r w:rsidRPr="00B82E38">
              <w:rPr>
                <w:rFonts w:ascii="Book Antiqua" w:eastAsia="宋体" w:hAnsi="Book Antiqua"/>
                <w:color w:val="000000" w:themeColor="text1"/>
              </w:rPr>
              <w:t>mmoL</w:t>
            </w:r>
            <w:proofErr w:type="spellEnd"/>
            <w:r w:rsidRPr="00B82E38">
              <w:rPr>
                <w:rFonts w:ascii="Book Antiqua" w:eastAsia="宋体" w:hAnsi="Book Antiqua"/>
                <w:color w:val="000000" w:themeColor="text1"/>
              </w:rPr>
              <w:t>/L</w:t>
            </w:r>
            <w:r w:rsidRPr="00B82E38">
              <w:rPr>
                <w:rFonts w:ascii="Book Antiqua" w:eastAsia="宋体" w:hAnsi="Book Antiqua"/>
                <w:color w:val="000000" w:themeColor="text1"/>
                <w:vertAlign w:val="superscript"/>
              </w:rPr>
              <w:t>1</w:t>
            </w:r>
          </w:p>
        </w:tc>
        <w:tc>
          <w:tcPr>
            <w:tcW w:w="2118" w:type="dxa"/>
            <w:shd w:val="clear" w:color="auto" w:fill="auto"/>
          </w:tcPr>
          <w:p w14:paraId="6694701D" w14:textId="77777777" w:rsidR="00BA37FB" w:rsidRPr="00B82E38"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B82E38">
              <w:rPr>
                <w:rFonts w:ascii="Book Antiqua" w:eastAsia="宋体" w:hAnsi="Book Antiqua"/>
                <w:color w:val="000000" w:themeColor="text1"/>
              </w:rPr>
              <w:t>138.7 ± 5.1</w:t>
            </w:r>
          </w:p>
        </w:tc>
        <w:tc>
          <w:tcPr>
            <w:tcW w:w="1667" w:type="dxa"/>
            <w:shd w:val="clear" w:color="auto" w:fill="auto"/>
          </w:tcPr>
          <w:p w14:paraId="679DFAF3" w14:textId="77777777" w:rsidR="00BA37FB" w:rsidRPr="00B82E38"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B82E38">
              <w:rPr>
                <w:rFonts w:ascii="Book Antiqua" w:eastAsia="宋体" w:hAnsi="Book Antiqua"/>
                <w:color w:val="000000" w:themeColor="text1"/>
              </w:rPr>
              <w:t>136.2 ± 4.9</w:t>
            </w:r>
          </w:p>
        </w:tc>
        <w:tc>
          <w:tcPr>
            <w:tcW w:w="1600" w:type="dxa"/>
            <w:shd w:val="clear" w:color="auto" w:fill="auto"/>
          </w:tcPr>
          <w:p w14:paraId="32B12421" w14:textId="77777777" w:rsidR="00BA37FB" w:rsidRPr="00B82E38"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B82E38">
              <w:rPr>
                <w:rFonts w:ascii="Book Antiqua" w:eastAsia="宋体" w:hAnsi="Book Antiqua"/>
                <w:color w:val="000000" w:themeColor="text1"/>
              </w:rPr>
              <w:t>140.7 ± 6.1</w:t>
            </w:r>
          </w:p>
        </w:tc>
        <w:tc>
          <w:tcPr>
            <w:tcW w:w="1277" w:type="dxa"/>
            <w:shd w:val="clear" w:color="auto" w:fill="auto"/>
          </w:tcPr>
          <w:p w14:paraId="50C3D663" w14:textId="77777777" w:rsidR="00BA37FB" w:rsidRPr="00B82E38"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B82E38">
              <w:rPr>
                <w:rFonts w:ascii="Book Antiqua" w:eastAsia="宋体" w:hAnsi="Book Antiqua"/>
                <w:color w:val="000000" w:themeColor="text1"/>
              </w:rPr>
              <w:t>0.39</w:t>
            </w:r>
          </w:p>
        </w:tc>
      </w:tr>
      <w:tr w:rsidR="00B82E38" w:rsidRPr="00B82E38" w14:paraId="585CD97C" w14:textId="77777777">
        <w:trPr>
          <w:trHeight w:val="20"/>
          <w:jc w:val="center"/>
        </w:trPr>
        <w:tc>
          <w:tcPr>
            <w:tcW w:w="2694" w:type="dxa"/>
            <w:shd w:val="clear" w:color="auto" w:fill="auto"/>
          </w:tcPr>
          <w:p w14:paraId="3862B01B" w14:textId="77777777" w:rsidR="00BA37FB" w:rsidRPr="00B82E38"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B82E38">
              <w:rPr>
                <w:rFonts w:ascii="Book Antiqua" w:eastAsia="宋体" w:hAnsi="Book Antiqua"/>
                <w:color w:val="000000" w:themeColor="text1"/>
              </w:rPr>
              <w:t>WBC, × 10</w:t>
            </w:r>
            <w:r w:rsidRPr="00B82E38">
              <w:rPr>
                <w:rFonts w:ascii="Book Antiqua" w:eastAsia="宋体" w:hAnsi="Book Antiqua"/>
                <w:color w:val="000000" w:themeColor="text1"/>
                <w:vertAlign w:val="superscript"/>
              </w:rPr>
              <w:t>9</w:t>
            </w:r>
            <w:r w:rsidRPr="00B82E38">
              <w:rPr>
                <w:rFonts w:ascii="Book Antiqua" w:eastAsia="宋体" w:hAnsi="Book Antiqua"/>
                <w:color w:val="000000" w:themeColor="text1"/>
              </w:rPr>
              <w:t>/L</w:t>
            </w:r>
            <w:r w:rsidRPr="00B82E38">
              <w:rPr>
                <w:rFonts w:ascii="Book Antiqua" w:eastAsia="宋体" w:hAnsi="Book Antiqua"/>
                <w:color w:val="000000" w:themeColor="text1"/>
                <w:vertAlign w:val="superscript"/>
              </w:rPr>
              <w:t>3</w:t>
            </w:r>
          </w:p>
        </w:tc>
        <w:tc>
          <w:tcPr>
            <w:tcW w:w="2118" w:type="dxa"/>
            <w:shd w:val="clear" w:color="auto" w:fill="auto"/>
          </w:tcPr>
          <w:p w14:paraId="3D0AC131" w14:textId="77777777" w:rsidR="00BA37FB" w:rsidRPr="00B82E38"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B82E38">
              <w:rPr>
                <w:rFonts w:ascii="Book Antiqua" w:eastAsia="宋体" w:hAnsi="Book Antiqua"/>
                <w:color w:val="000000" w:themeColor="text1"/>
              </w:rPr>
              <w:t>3.27 (2.1, 4.6)</w:t>
            </w:r>
          </w:p>
        </w:tc>
        <w:tc>
          <w:tcPr>
            <w:tcW w:w="1667" w:type="dxa"/>
            <w:shd w:val="clear" w:color="auto" w:fill="auto"/>
          </w:tcPr>
          <w:p w14:paraId="60A25648" w14:textId="77777777" w:rsidR="00BA37FB" w:rsidRPr="00B82E38"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B82E38">
              <w:rPr>
                <w:rFonts w:ascii="Book Antiqua" w:eastAsia="宋体" w:hAnsi="Book Antiqua"/>
                <w:color w:val="000000" w:themeColor="text1"/>
              </w:rPr>
              <w:t>3.1 (2.1, 4.4)</w:t>
            </w:r>
          </w:p>
        </w:tc>
        <w:tc>
          <w:tcPr>
            <w:tcW w:w="1600" w:type="dxa"/>
            <w:shd w:val="clear" w:color="auto" w:fill="auto"/>
          </w:tcPr>
          <w:p w14:paraId="4ED4EE0F" w14:textId="77777777" w:rsidR="00BA37FB" w:rsidRPr="00B82E38"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B82E38">
              <w:rPr>
                <w:rFonts w:ascii="Book Antiqua" w:eastAsia="宋体" w:hAnsi="Book Antiqua"/>
                <w:color w:val="000000" w:themeColor="text1"/>
              </w:rPr>
              <w:t>3.3 (2.5, 5.7)</w:t>
            </w:r>
          </w:p>
        </w:tc>
        <w:tc>
          <w:tcPr>
            <w:tcW w:w="1277" w:type="dxa"/>
            <w:shd w:val="clear" w:color="auto" w:fill="auto"/>
          </w:tcPr>
          <w:p w14:paraId="59BD907C" w14:textId="77777777" w:rsidR="00BA37FB" w:rsidRPr="00B82E38"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B82E38">
              <w:rPr>
                <w:rFonts w:ascii="Book Antiqua" w:eastAsia="宋体" w:hAnsi="Book Antiqua"/>
                <w:color w:val="000000" w:themeColor="text1"/>
              </w:rPr>
              <w:t>0.26</w:t>
            </w:r>
          </w:p>
        </w:tc>
      </w:tr>
      <w:tr w:rsidR="00B82E38" w:rsidRPr="00B82E38" w14:paraId="53F5FD23" w14:textId="77777777">
        <w:trPr>
          <w:trHeight w:val="20"/>
          <w:jc w:val="center"/>
        </w:trPr>
        <w:tc>
          <w:tcPr>
            <w:tcW w:w="2694" w:type="dxa"/>
            <w:shd w:val="clear" w:color="auto" w:fill="auto"/>
          </w:tcPr>
          <w:p w14:paraId="7D104E39" w14:textId="77777777" w:rsidR="00BA37FB" w:rsidRPr="00B82E38"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B82E38">
              <w:rPr>
                <w:rFonts w:ascii="Book Antiqua" w:eastAsia="宋体" w:hAnsi="Book Antiqua"/>
                <w:color w:val="000000" w:themeColor="text1"/>
              </w:rPr>
              <w:lastRenderedPageBreak/>
              <w:t>Platelet count, × 10</w:t>
            </w:r>
            <w:r w:rsidRPr="00B82E38">
              <w:rPr>
                <w:rFonts w:ascii="Book Antiqua" w:eastAsia="宋体" w:hAnsi="Book Antiqua"/>
                <w:color w:val="000000" w:themeColor="text1"/>
                <w:vertAlign w:val="superscript"/>
              </w:rPr>
              <w:t>9</w:t>
            </w:r>
            <w:r w:rsidRPr="00B82E38">
              <w:rPr>
                <w:rFonts w:ascii="Book Antiqua" w:eastAsia="宋体" w:hAnsi="Book Antiqua"/>
                <w:color w:val="000000" w:themeColor="text1"/>
              </w:rPr>
              <w:t>/L</w:t>
            </w:r>
            <w:r w:rsidRPr="00B82E38">
              <w:rPr>
                <w:rFonts w:ascii="Book Antiqua" w:eastAsia="宋体" w:hAnsi="Book Antiqua"/>
                <w:color w:val="000000" w:themeColor="text1"/>
                <w:vertAlign w:val="superscript"/>
              </w:rPr>
              <w:t>3</w:t>
            </w:r>
          </w:p>
        </w:tc>
        <w:tc>
          <w:tcPr>
            <w:tcW w:w="2118" w:type="dxa"/>
            <w:shd w:val="clear" w:color="auto" w:fill="auto"/>
          </w:tcPr>
          <w:p w14:paraId="7595DB49" w14:textId="77777777" w:rsidR="00BA37FB" w:rsidRPr="00B82E38"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B82E38">
              <w:rPr>
                <w:rFonts w:ascii="Book Antiqua" w:eastAsia="宋体" w:hAnsi="Book Antiqua"/>
                <w:color w:val="000000" w:themeColor="text1"/>
              </w:rPr>
              <w:t>80 (58.3, 120)</w:t>
            </w:r>
          </w:p>
        </w:tc>
        <w:tc>
          <w:tcPr>
            <w:tcW w:w="1667" w:type="dxa"/>
            <w:shd w:val="clear" w:color="auto" w:fill="auto"/>
          </w:tcPr>
          <w:p w14:paraId="110A8605" w14:textId="77777777" w:rsidR="00BA37FB" w:rsidRPr="00B82E38"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B82E38">
              <w:rPr>
                <w:rFonts w:ascii="Book Antiqua" w:eastAsia="宋体" w:hAnsi="Book Antiqua"/>
                <w:color w:val="000000" w:themeColor="text1"/>
              </w:rPr>
              <w:t>85 (61.2, 127.7)</w:t>
            </w:r>
          </w:p>
        </w:tc>
        <w:tc>
          <w:tcPr>
            <w:tcW w:w="1600" w:type="dxa"/>
            <w:shd w:val="clear" w:color="auto" w:fill="auto"/>
          </w:tcPr>
          <w:p w14:paraId="5BC42317" w14:textId="77777777" w:rsidR="00BA37FB" w:rsidRPr="00B82E38"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B82E38">
              <w:rPr>
                <w:rFonts w:ascii="Book Antiqua" w:eastAsia="宋体" w:hAnsi="Book Antiqua"/>
                <w:color w:val="000000" w:themeColor="text1"/>
              </w:rPr>
              <w:t>83 (63, 107)</w:t>
            </w:r>
          </w:p>
        </w:tc>
        <w:tc>
          <w:tcPr>
            <w:tcW w:w="1277" w:type="dxa"/>
            <w:shd w:val="clear" w:color="auto" w:fill="auto"/>
          </w:tcPr>
          <w:p w14:paraId="0E8308D1" w14:textId="77777777" w:rsidR="00BA37FB" w:rsidRPr="00B82E38"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B82E38">
              <w:rPr>
                <w:rFonts w:ascii="Book Antiqua" w:eastAsia="宋体" w:hAnsi="Book Antiqua"/>
                <w:color w:val="000000" w:themeColor="text1"/>
              </w:rPr>
              <w:t>0.49</w:t>
            </w:r>
          </w:p>
        </w:tc>
      </w:tr>
      <w:tr w:rsidR="00B82E38" w:rsidRPr="00B82E38" w14:paraId="6DD05B85" w14:textId="77777777">
        <w:trPr>
          <w:trHeight w:val="20"/>
          <w:jc w:val="center"/>
        </w:trPr>
        <w:tc>
          <w:tcPr>
            <w:tcW w:w="2694" w:type="dxa"/>
            <w:shd w:val="clear" w:color="auto" w:fill="auto"/>
          </w:tcPr>
          <w:p w14:paraId="1EFCFEEF" w14:textId="77777777" w:rsidR="00BA37FB" w:rsidRPr="00B82E38"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B82E38">
              <w:rPr>
                <w:rFonts w:ascii="Book Antiqua" w:eastAsia="宋体" w:hAnsi="Book Antiqua"/>
                <w:color w:val="000000" w:themeColor="text1"/>
              </w:rPr>
              <w:t>Hb, g/L</w:t>
            </w:r>
            <w:r w:rsidRPr="00B82E38">
              <w:rPr>
                <w:rFonts w:ascii="Book Antiqua" w:eastAsia="宋体" w:hAnsi="Book Antiqua"/>
                <w:color w:val="000000" w:themeColor="text1"/>
                <w:vertAlign w:val="superscript"/>
              </w:rPr>
              <w:t>1</w:t>
            </w:r>
          </w:p>
        </w:tc>
        <w:tc>
          <w:tcPr>
            <w:tcW w:w="2118" w:type="dxa"/>
            <w:shd w:val="clear" w:color="auto" w:fill="auto"/>
          </w:tcPr>
          <w:p w14:paraId="6ACCDAC8" w14:textId="77777777" w:rsidR="00BA37FB" w:rsidRPr="00B82E38"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B82E38">
              <w:rPr>
                <w:rFonts w:ascii="Book Antiqua" w:eastAsia="宋体" w:hAnsi="Book Antiqua"/>
                <w:color w:val="000000" w:themeColor="text1"/>
              </w:rPr>
              <w:t>97.4 ± 27.1</w:t>
            </w:r>
          </w:p>
        </w:tc>
        <w:tc>
          <w:tcPr>
            <w:tcW w:w="1667" w:type="dxa"/>
            <w:shd w:val="clear" w:color="auto" w:fill="auto"/>
          </w:tcPr>
          <w:p w14:paraId="4FF22131" w14:textId="77777777" w:rsidR="00BA37FB" w:rsidRPr="00B82E38"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B82E38">
              <w:rPr>
                <w:rFonts w:ascii="Book Antiqua" w:eastAsia="宋体" w:hAnsi="Book Antiqua"/>
                <w:color w:val="000000" w:themeColor="text1"/>
              </w:rPr>
              <w:t>95.3 ± 25.5</w:t>
            </w:r>
          </w:p>
        </w:tc>
        <w:tc>
          <w:tcPr>
            <w:tcW w:w="1600" w:type="dxa"/>
            <w:shd w:val="clear" w:color="auto" w:fill="auto"/>
          </w:tcPr>
          <w:p w14:paraId="16F03C6E" w14:textId="77777777" w:rsidR="00BA37FB" w:rsidRPr="00B82E38"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B82E38">
              <w:rPr>
                <w:rFonts w:ascii="Book Antiqua" w:eastAsia="宋体" w:hAnsi="Book Antiqua"/>
                <w:color w:val="000000" w:themeColor="text1"/>
              </w:rPr>
              <w:t>98.1 ± 27.9</w:t>
            </w:r>
          </w:p>
        </w:tc>
        <w:tc>
          <w:tcPr>
            <w:tcW w:w="1277" w:type="dxa"/>
            <w:shd w:val="clear" w:color="auto" w:fill="auto"/>
          </w:tcPr>
          <w:p w14:paraId="194B0375" w14:textId="77777777" w:rsidR="00BA37FB" w:rsidRPr="00B82E38"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B82E38">
              <w:rPr>
                <w:rFonts w:ascii="Book Antiqua" w:eastAsia="宋体" w:hAnsi="Book Antiqua"/>
                <w:color w:val="000000" w:themeColor="text1"/>
              </w:rPr>
              <w:t>0.9</w:t>
            </w:r>
          </w:p>
        </w:tc>
      </w:tr>
      <w:tr w:rsidR="00B82E38" w:rsidRPr="00B82E38" w14:paraId="1B87F4A5" w14:textId="77777777">
        <w:trPr>
          <w:trHeight w:val="20"/>
          <w:jc w:val="center"/>
        </w:trPr>
        <w:tc>
          <w:tcPr>
            <w:tcW w:w="2694" w:type="dxa"/>
            <w:shd w:val="clear" w:color="auto" w:fill="auto"/>
          </w:tcPr>
          <w:p w14:paraId="6D53EA1C" w14:textId="77777777" w:rsidR="00BA37FB" w:rsidRPr="00B82E38"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B82E38">
              <w:rPr>
                <w:rFonts w:ascii="Book Antiqua" w:eastAsia="宋体" w:hAnsi="Book Antiqua"/>
                <w:color w:val="000000" w:themeColor="text1"/>
              </w:rPr>
              <w:t xml:space="preserve">BUN, </w:t>
            </w:r>
            <w:proofErr w:type="spellStart"/>
            <w:r w:rsidRPr="00B82E38">
              <w:rPr>
                <w:rFonts w:ascii="Book Antiqua" w:eastAsia="宋体" w:hAnsi="Book Antiqua"/>
                <w:color w:val="000000" w:themeColor="text1"/>
              </w:rPr>
              <w:t>mmoL</w:t>
            </w:r>
            <w:proofErr w:type="spellEnd"/>
            <w:r w:rsidRPr="00B82E38">
              <w:rPr>
                <w:rFonts w:ascii="Book Antiqua" w:eastAsia="宋体" w:hAnsi="Book Antiqua"/>
                <w:color w:val="000000" w:themeColor="text1"/>
              </w:rPr>
              <w:t>/L</w:t>
            </w:r>
            <w:r w:rsidRPr="00B82E38">
              <w:rPr>
                <w:rFonts w:ascii="Book Antiqua" w:eastAsia="宋体" w:hAnsi="Book Antiqua"/>
                <w:color w:val="000000" w:themeColor="text1"/>
                <w:vertAlign w:val="superscript"/>
              </w:rPr>
              <w:t>3</w:t>
            </w:r>
          </w:p>
        </w:tc>
        <w:tc>
          <w:tcPr>
            <w:tcW w:w="2118" w:type="dxa"/>
            <w:shd w:val="clear" w:color="auto" w:fill="auto"/>
          </w:tcPr>
          <w:p w14:paraId="47492A7C" w14:textId="77777777" w:rsidR="00BA37FB" w:rsidRPr="00B82E38"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B82E38">
              <w:rPr>
                <w:rFonts w:ascii="Book Antiqua" w:eastAsia="宋体" w:hAnsi="Book Antiqua"/>
                <w:color w:val="000000" w:themeColor="text1"/>
              </w:rPr>
              <w:t>5.7 (4.3, 7.7)</w:t>
            </w:r>
          </w:p>
        </w:tc>
        <w:tc>
          <w:tcPr>
            <w:tcW w:w="1667" w:type="dxa"/>
            <w:shd w:val="clear" w:color="auto" w:fill="auto"/>
          </w:tcPr>
          <w:p w14:paraId="5CEFA9B1" w14:textId="77777777" w:rsidR="00BA37FB" w:rsidRPr="00B82E38"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B82E38">
              <w:rPr>
                <w:rFonts w:ascii="Book Antiqua" w:eastAsia="宋体" w:hAnsi="Book Antiqua"/>
                <w:color w:val="000000" w:themeColor="text1"/>
              </w:rPr>
              <w:t>5.4 (4.2, 7.0)</w:t>
            </w:r>
          </w:p>
        </w:tc>
        <w:tc>
          <w:tcPr>
            <w:tcW w:w="1600" w:type="dxa"/>
            <w:shd w:val="clear" w:color="auto" w:fill="auto"/>
          </w:tcPr>
          <w:p w14:paraId="714DD28D" w14:textId="77777777" w:rsidR="00BA37FB" w:rsidRPr="00B82E38"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B82E38">
              <w:rPr>
                <w:rFonts w:ascii="Book Antiqua" w:eastAsia="宋体" w:hAnsi="Book Antiqua"/>
                <w:color w:val="000000" w:themeColor="text1"/>
              </w:rPr>
              <w:t>7.6 (5.4, 8.8)</w:t>
            </w:r>
          </w:p>
        </w:tc>
        <w:tc>
          <w:tcPr>
            <w:tcW w:w="1277" w:type="dxa"/>
            <w:shd w:val="clear" w:color="auto" w:fill="auto"/>
          </w:tcPr>
          <w:p w14:paraId="5193509A" w14:textId="77777777" w:rsidR="00BA37FB" w:rsidRPr="00B82E38"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B82E38">
              <w:rPr>
                <w:rFonts w:ascii="Book Antiqua" w:eastAsia="宋体" w:hAnsi="Book Antiqua"/>
                <w:color w:val="000000" w:themeColor="text1"/>
              </w:rPr>
              <w:t>0.07</w:t>
            </w:r>
          </w:p>
        </w:tc>
      </w:tr>
      <w:tr w:rsidR="00B82E38" w:rsidRPr="00B82E38" w14:paraId="37D78E08" w14:textId="77777777">
        <w:trPr>
          <w:trHeight w:val="20"/>
          <w:jc w:val="center"/>
        </w:trPr>
        <w:tc>
          <w:tcPr>
            <w:tcW w:w="2694" w:type="dxa"/>
            <w:shd w:val="clear" w:color="auto" w:fill="auto"/>
          </w:tcPr>
          <w:p w14:paraId="49C12978" w14:textId="77777777" w:rsidR="00BA37FB" w:rsidRPr="00B82E38" w:rsidRDefault="008F363E" w:rsidP="00372A8C">
            <w:pPr>
              <w:widowControl/>
              <w:adjustRightInd w:val="0"/>
              <w:snapToGrid w:val="0"/>
              <w:spacing w:line="360" w:lineRule="auto"/>
              <w:rPr>
                <w:rFonts w:ascii="Book Antiqua" w:eastAsia="宋体" w:hAnsi="Book Antiqua"/>
                <w:b/>
                <w:bCs/>
                <w:color w:val="000000" w:themeColor="text1"/>
                <w:lang w:eastAsia="zh-CN"/>
              </w:rPr>
            </w:pPr>
            <w:r w:rsidRPr="00B82E38">
              <w:rPr>
                <w:rFonts w:ascii="Book Antiqua" w:eastAsia="宋体" w:hAnsi="Book Antiqua"/>
                <w:color w:val="000000" w:themeColor="text1"/>
                <w:lang w:eastAsia="zh-CN"/>
              </w:rPr>
              <w:t>NH</w:t>
            </w:r>
            <w:r w:rsidRPr="00B82E38">
              <w:rPr>
                <w:rFonts w:ascii="Book Antiqua" w:eastAsia="宋体" w:hAnsi="Book Antiqua"/>
                <w:color w:val="000000" w:themeColor="text1"/>
                <w:vertAlign w:val="subscript"/>
                <w:lang w:eastAsia="zh-CN"/>
              </w:rPr>
              <w:t>3</w:t>
            </w:r>
            <w:r w:rsidRPr="00B82E38">
              <w:rPr>
                <w:rFonts w:ascii="Book Antiqua" w:eastAsia="宋体" w:hAnsi="Book Antiqua"/>
                <w:color w:val="000000" w:themeColor="text1"/>
                <w:lang w:eastAsia="zh-CN"/>
              </w:rPr>
              <w:t xml:space="preserve">, </w:t>
            </w:r>
            <w:proofErr w:type="spellStart"/>
            <w:r w:rsidRPr="00B82E38">
              <w:rPr>
                <w:rFonts w:ascii="Book Antiqua" w:eastAsia="宋体" w:hAnsi="Book Antiqua"/>
                <w:color w:val="000000" w:themeColor="text1"/>
                <w:lang w:eastAsia="zh-CN"/>
              </w:rPr>
              <w:t>μg</w:t>
            </w:r>
            <w:proofErr w:type="spellEnd"/>
            <w:r w:rsidRPr="00B82E38">
              <w:rPr>
                <w:rFonts w:ascii="Book Antiqua" w:eastAsia="宋体" w:hAnsi="Book Antiqua"/>
                <w:color w:val="000000" w:themeColor="text1"/>
                <w:lang w:eastAsia="zh-CN"/>
              </w:rPr>
              <w:t>/Dl</w:t>
            </w:r>
            <w:r w:rsidRPr="00B82E38">
              <w:rPr>
                <w:rFonts w:ascii="Book Antiqua" w:eastAsia="宋体" w:hAnsi="Book Antiqua"/>
                <w:color w:val="000000" w:themeColor="text1"/>
                <w:vertAlign w:val="superscript"/>
                <w:lang w:eastAsia="zh-CN"/>
              </w:rPr>
              <w:t>1</w:t>
            </w:r>
          </w:p>
        </w:tc>
        <w:tc>
          <w:tcPr>
            <w:tcW w:w="2118" w:type="dxa"/>
            <w:shd w:val="clear" w:color="auto" w:fill="auto"/>
          </w:tcPr>
          <w:p w14:paraId="1260BE08" w14:textId="77777777" w:rsidR="00BA37FB" w:rsidRPr="00B82E38" w:rsidRDefault="008F363E" w:rsidP="00372A8C">
            <w:pPr>
              <w:widowControl/>
              <w:adjustRightInd w:val="0"/>
              <w:snapToGrid w:val="0"/>
              <w:spacing w:line="360" w:lineRule="auto"/>
              <w:rPr>
                <w:rFonts w:ascii="Book Antiqua" w:eastAsia="宋体" w:hAnsi="Book Antiqua"/>
                <w:color w:val="000000" w:themeColor="text1"/>
                <w:lang w:eastAsia="zh-CN"/>
              </w:rPr>
            </w:pPr>
            <w:r w:rsidRPr="00B82E38">
              <w:rPr>
                <w:rFonts w:ascii="Book Antiqua" w:eastAsia="宋体" w:hAnsi="Book Antiqua"/>
                <w:color w:val="000000" w:themeColor="text1"/>
                <w:lang w:eastAsia="zh-CN"/>
              </w:rPr>
              <w:t>49.5 ± 19.5</w:t>
            </w:r>
          </w:p>
        </w:tc>
        <w:tc>
          <w:tcPr>
            <w:tcW w:w="1667" w:type="dxa"/>
            <w:shd w:val="clear" w:color="auto" w:fill="auto"/>
          </w:tcPr>
          <w:p w14:paraId="2466FFCA" w14:textId="77777777" w:rsidR="00BA37FB" w:rsidRPr="00B82E38" w:rsidRDefault="008F363E" w:rsidP="00372A8C">
            <w:pPr>
              <w:widowControl/>
              <w:adjustRightInd w:val="0"/>
              <w:snapToGrid w:val="0"/>
              <w:spacing w:line="360" w:lineRule="auto"/>
              <w:rPr>
                <w:rFonts w:ascii="Book Antiqua" w:eastAsia="宋体" w:hAnsi="Book Antiqua"/>
                <w:color w:val="000000" w:themeColor="text1"/>
                <w:lang w:eastAsia="zh-CN"/>
              </w:rPr>
            </w:pPr>
            <w:r w:rsidRPr="00B82E38">
              <w:rPr>
                <w:rFonts w:ascii="Book Antiqua" w:eastAsia="宋体" w:hAnsi="Book Antiqua"/>
                <w:color w:val="000000" w:themeColor="text1"/>
                <w:lang w:eastAsia="zh-CN"/>
              </w:rPr>
              <w:t>46.6 ± 15.4</w:t>
            </w:r>
          </w:p>
        </w:tc>
        <w:tc>
          <w:tcPr>
            <w:tcW w:w="1600" w:type="dxa"/>
            <w:shd w:val="clear" w:color="auto" w:fill="auto"/>
          </w:tcPr>
          <w:p w14:paraId="1E6FBBC8" w14:textId="77777777" w:rsidR="00BA37FB" w:rsidRPr="00B82E38" w:rsidRDefault="008F363E" w:rsidP="00372A8C">
            <w:pPr>
              <w:widowControl/>
              <w:adjustRightInd w:val="0"/>
              <w:snapToGrid w:val="0"/>
              <w:spacing w:line="360" w:lineRule="auto"/>
              <w:rPr>
                <w:rFonts w:ascii="Book Antiqua" w:eastAsia="宋体" w:hAnsi="Book Antiqua"/>
                <w:color w:val="000000" w:themeColor="text1"/>
                <w:lang w:eastAsia="zh-CN"/>
              </w:rPr>
            </w:pPr>
            <w:r w:rsidRPr="00B82E38">
              <w:rPr>
                <w:rFonts w:ascii="Book Antiqua" w:eastAsia="宋体" w:hAnsi="Book Antiqua"/>
                <w:color w:val="000000" w:themeColor="text1"/>
                <w:lang w:eastAsia="zh-CN"/>
              </w:rPr>
              <w:t>54.9 ± 23.8</w:t>
            </w:r>
          </w:p>
        </w:tc>
        <w:tc>
          <w:tcPr>
            <w:tcW w:w="1277" w:type="dxa"/>
            <w:shd w:val="clear" w:color="auto" w:fill="auto"/>
          </w:tcPr>
          <w:p w14:paraId="3F83A180" w14:textId="77777777" w:rsidR="00BA37FB" w:rsidRPr="00B82E38" w:rsidRDefault="008F363E" w:rsidP="00372A8C">
            <w:pPr>
              <w:widowControl/>
              <w:adjustRightInd w:val="0"/>
              <w:snapToGrid w:val="0"/>
              <w:spacing w:line="360" w:lineRule="auto"/>
              <w:rPr>
                <w:rFonts w:ascii="Book Antiqua" w:eastAsia="宋体" w:hAnsi="Book Antiqua"/>
                <w:color w:val="000000" w:themeColor="text1"/>
                <w:lang w:eastAsia="zh-CN"/>
              </w:rPr>
            </w:pPr>
            <w:r w:rsidRPr="00B82E38">
              <w:rPr>
                <w:rFonts w:ascii="Book Antiqua" w:eastAsia="宋体" w:hAnsi="Book Antiqua"/>
                <w:color w:val="000000" w:themeColor="text1"/>
                <w:lang w:eastAsia="zh-CN"/>
              </w:rPr>
              <w:t>0.037</w:t>
            </w:r>
            <w:r w:rsidRPr="00B82E38">
              <w:rPr>
                <w:rFonts w:ascii="Book Antiqua" w:eastAsia="宋体" w:hAnsi="Book Antiqua"/>
                <w:color w:val="000000" w:themeColor="text1"/>
                <w:vertAlign w:val="superscript"/>
                <w:lang w:eastAsia="zh-CN"/>
              </w:rPr>
              <w:t>a</w:t>
            </w:r>
          </w:p>
        </w:tc>
      </w:tr>
      <w:tr w:rsidR="00B82E38" w:rsidRPr="00B82E38" w14:paraId="1BCFCFD0" w14:textId="77777777">
        <w:trPr>
          <w:trHeight w:val="20"/>
          <w:jc w:val="center"/>
        </w:trPr>
        <w:tc>
          <w:tcPr>
            <w:tcW w:w="2694" w:type="dxa"/>
            <w:shd w:val="clear" w:color="auto" w:fill="auto"/>
          </w:tcPr>
          <w:p w14:paraId="63709D46" w14:textId="77777777" w:rsidR="00BA37FB" w:rsidRPr="00B82E38"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B82E38">
              <w:rPr>
                <w:rFonts w:ascii="Book Antiqua" w:eastAsia="宋体" w:hAnsi="Book Antiqua"/>
                <w:color w:val="000000" w:themeColor="text1"/>
              </w:rPr>
              <w:t>APTT, s</w:t>
            </w:r>
            <w:r w:rsidRPr="00B82E38">
              <w:rPr>
                <w:rFonts w:ascii="Book Antiqua" w:eastAsia="宋体" w:hAnsi="Book Antiqua"/>
                <w:color w:val="000000" w:themeColor="text1"/>
                <w:vertAlign w:val="superscript"/>
              </w:rPr>
              <w:t>3</w:t>
            </w:r>
          </w:p>
        </w:tc>
        <w:tc>
          <w:tcPr>
            <w:tcW w:w="2118" w:type="dxa"/>
            <w:shd w:val="clear" w:color="auto" w:fill="auto"/>
          </w:tcPr>
          <w:p w14:paraId="724E747F" w14:textId="77777777" w:rsidR="00BA37FB" w:rsidRPr="00B82E38"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B82E38">
              <w:rPr>
                <w:rFonts w:ascii="Book Antiqua" w:eastAsia="宋体" w:hAnsi="Book Antiqua"/>
                <w:color w:val="000000" w:themeColor="text1"/>
              </w:rPr>
              <w:t>33.4 ± 4.4</w:t>
            </w:r>
          </w:p>
        </w:tc>
        <w:tc>
          <w:tcPr>
            <w:tcW w:w="1667" w:type="dxa"/>
            <w:shd w:val="clear" w:color="auto" w:fill="auto"/>
          </w:tcPr>
          <w:p w14:paraId="46D825D2" w14:textId="77777777" w:rsidR="00BA37FB" w:rsidRPr="00B82E38"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B82E38">
              <w:rPr>
                <w:rFonts w:ascii="Book Antiqua" w:eastAsia="宋体" w:hAnsi="Book Antiqua"/>
                <w:color w:val="000000" w:themeColor="text1"/>
              </w:rPr>
              <w:t>33.8 ± 4.5</w:t>
            </w:r>
          </w:p>
        </w:tc>
        <w:tc>
          <w:tcPr>
            <w:tcW w:w="1600" w:type="dxa"/>
            <w:shd w:val="clear" w:color="auto" w:fill="auto"/>
          </w:tcPr>
          <w:p w14:paraId="6D2FC287" w14:textId="77777777" w:rsidR="00BA37FB" w:rsidRPr="00B82E38"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B82E38">
              <w:rPr>
                <w:rFonts w:ascii="Book Antiqua" w:eastAsia="宋体" w:hAnsi="Book Antiqua"/>
                <w:color w:val="000000" w:themeColor="text1"/>
              </w:rPr>
              <w:t>33.5 ± 4.2</w:t>
            </w:r>
          </w:p>
        </w:tc>
        <w:tc>
          <w:tcPr>
            <w:tcW w:w="1277" w:type="dxa"/>
            <w:shd w:val="clear" w:color="auto" w:fill="auto"/>
          </w:tcPr>
          <w:p w14:paraId="5C469BB1" w14:textId="77777777" w:rsidR="00BA37FB" w:rsidRPr="00B82E38"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B82E38">
              <w:rPr>
                <w:rFonts w:ascii="Book Antiqua" w:eastAsia="宋体" w:hAnsi="Book Antiqua"/>
                <w:color w:val="000000" w:themeColor="text1"/>
              </w:rPr>
              <w:t>0.76</w:t>
            </w:r>
          </w:p>
        </w:tc>
      </w:tr>
      <w:tr w:rsidR="00B82E38" w:rsidRPr="00B82E38" w14:paraId="6E73A61A" w14:textId="77777777">
        <w:trPr>
          <w:trHeight w:val="20"/>
          <w:jc w:val="center"/>
        </w:trPr>
        <w:tc>
          <w:tcPr>
            <w:tcW w:w="2694" w:type="dxa"/>
            <w:shd w:val="clear" w:color="auto" w:fill="auto"/>
          </w:tcPr>
          <w:p w14:paraId="0E64115E" w14:textId="77777777" w:rsidR="00BA37FB" w:rsidRPr="00B82E38"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highlight w:val="yellow"/>
              </w:rPr>
            </w:pPr>
            <w:r w:rsidRPr="00B82E38">
              <w:rPr>
                <w:rFonts w:ascii="Book Antiqua" w:eastAsia="宋体" w:hAnsi="Book Antiqua"/>
                <w:color w:val="000000" w:themeColor="text1"/>
              </w:rPr>
              <w:t>INR</w:t>
            </w:r>
            <w:r w:rsidRPr="00B82E38">
              <w:rPr>
                <w:rFonts w:ascii="Book Antiqua" w:eastAsia="宋体" w:hAnsi="Book Antiqua"/>
                <w:color w:val="000000" w:themeColor="text1"/>
                <w:vertAlign w:val="superscript"/>
              </w:rPr>
              <w:t>1</w:t>
            </w:r>
          </w:p>
        </w:tc>
        <w:tc>
          <w:tcPr>
            <w:tcW w:w="2118" w:type="dxa"/>
            <w:shd w:val="clear" w:color="auto" w:fill="auto"/>
          </w:tcPr>
          <w:p w14:paraId="2FFAFC78" w14:textId="77777777" w:rsidR="00BA37FB" w:rsidRPr="00B82E38"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B82E38">
              <w:rPr>
                <w:rFonts w:ascii="Book Antiqua" w:eastAsia="宋体" w:hAnsi="Book Antiqua"/>
                <w:color w:val="000000" w:themeColor="text1"/>
              </w:rPr>
              <w:t>1.4 ± 0.3</w:t>
            </w:r>
          </w:p>
        </w:tc>
        <w:tc>
          <w:tcPr>
            <w:tcW w:w="1667" w:type="dxa"/>
            <w:shd w:val="clear" w:color="auto" w:fill="auto"/>
          </w:tcPr>
          <w:p w14:paraId="4AB45FB6" w14:textId="77777777" w:rsidR="00BA37FB" w:rsidRPr="00B82E38"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B82E38">
              <w:rPr>
                <w:rFonts w:ascii="Book Antiqua" w:eastAsia="宋体" w:hAnsi="Book Antiqua"/>
                <w:color w:val="000000" w:themeColor="text1"/>
              </w:rPr>
              <w:t>1.37 ± 0.3</w:t>
            </w:r>
          </w:p>
        </w:tc>
        <w:tc>
          <w:tcPr>
            <w:tcW w:w="1600" w:type="dxa"/>
            <w:shd w:val="clear" w:color="auto" w:fill="auto"/>
          </w:tcPr>
          <w:p w14:paraId="04C893F9" w14:textId="77777777" w:rsidR="00BA37FB" w:rsidRPr="00B82E38"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B82E38">
              <w:rPr>
                <w:rFonts w:ascii="Book Antiqua" w:eastAsia="宋体" w:hAnsi="Book Antiqua"/>
                <w:color w:val="000000" w:themeColor="text1"/>
              </w:rPr>
              <w:t>1.32 ± 0.19</w:t>
            </w:r>
          </w:p>
        </w:tc>
        <w:tc>
          <w:tcPr>
            <w:tcW w:w="1277" w:type="dxa"/>
            <w:shd w:val="clear" w:color="auto" w:fill="auto"/>
          </w:tcPr>
          <w:p w14:paraId="1DE17C8B" w14:textId="77777777" w:rsidR="00BA37FB" w:rsidRPr="00B82E38"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B82E38">
              <w:rPr>
                <w:rFonts w:ascii="Book Antiqua" w:eastAsia="宋体" w:hAnsi="Book Antiqua"/>
                <w:color w:val="000000" w:themeColor="text1"/>
              </w:rPr>
              <w:t>0.50</w:t>
            </w:r>
          </w:p>
        </w:tc>
      </w:tr>
      <w:tr w:rsidR="00B82E38" w:rsidRPr="00B82E38" w14:paraId="035170F2" w14:textId="77777777">
        <w:trPr>
          <w:trHeight w:val="20"/>
          <w:jc w:val="center"/>
        </w:trPr>
        <w:tc>
          <w:tcPr>
            <w:tcW w:w="2694" w:type="dxa"/>
            <w:shd w:val="clear" w:color="auto" w:fill="auto"/>
          </w:tcPr>
          <w:p w14:paraId="65B829D4" w14:textId="77777777" w:rsidR="00BA37FB" w:rsidRPr="00B82E38"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highlight w:val="yellow"/>
              </w:rPr>
            </w:pPr>
            <w:r w:rsidRPr="00B82E38">
              <w:rPr>
                <w:rFonts w:ascii="Book Antiqua" w:eastAsia="宋体" w:hAnsi="Book Antiqua"/>
                <w:color w:val="000000" w:themeColor="text1"/>
              </w:rPr>
              <w:t>FIB, g/L</w:t>
            </w:r>
            <w:r w:rsidRPr="00B82E38">
              <w:rPr>
                <w:rFonts w:ascii="Book Antiqua" w:eastAsia="宋体" w:hAnsi="Book Antiqua"/>
                <w:color w:val="000000" w:themeColor="text1"/>
                <w:vertAlign w:val="superscript"/>
              </w:rPr>
              <w:t>1</w:t>
            </w:r>
          </w:p>
        </w:tc>
        <w:tc>
          <w:tcPr>
            <w:tcW w:w="2118" w:type="dxa"/>
            <w:shd w:val="clear" w:color="auto" w:fill="auto"/>
          </w:tcPr>
          <w:p w14:paraId="6529A9EB" w14:textId="77777777" w:rsidR="00BA37FB" w:rsidRPr="00B82E38"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B82E38">
              <w:rPr>
                <w:rFonts w:ascii="Book Antiqua" w:eastAsia="宋体" w:hAnsi="Book Antiqua"/>
                <w:color w:val="000000" w:themeColor="text1"/>
              </w:rPr>
              <w:t>2.17 ± 0.8</w:t>
            </w:r>
          </w:p>
        </w:tc>
        <w:tc>
          <w:tcPr>
            <w:tcW w:w="1667" w:type="dxa"/>
            <w:shd w:val="clear" w:color="auto" w:fill="auto"/>
          </w:tcPr>
          <w:p w14:paraId="0A687889" w14:textId="77777777" w:rsidR="00BA37FB" w:rsidRPr="00B82E38"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B82E38">
              <w:rPr>
                <w:rFonts w:ascii="Book Antiqua" w:eastAsia="宋体" w:hAnsi="Book Antiqua"/>
                <w:color w:val="000000" w:themeColor="text1"/>
              </w:rPr>
              <w:t>2.2 ± 0.8</w:t>
            </w:r>
          </w:p>
        </w:tc>
        <w:tc>
          <w:tcPr>
            <w:tcW w:w="1600" w:type="dxa"/>
            <w:shd w:val="clear" w:color="auto" w:fill="auto"/>
          </w:tcPr>
          <w:p w14:paraId="64E4E347" w14:textId="77777777" w:rsidR="00BA37FB" w:rsidRPr="00B82E38"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B82E38">
              <w:rPr>
                <w:rFonts w:ascii="Book Antiqua" w:eastAsia="宋体" w:hAnsi="Book Antiqua"/>
                <w:color w:val="000000" w:themeColor="text1"/>
              </w:rPr>
              <w:t>2.3 ± 0.7</w:t>
            </w:r>
          </w:p>
        </w:tc>
        <w:tc>
          <w:tcPr>
            <w:tcW w:w="1277" w:type="dxa"/>
            <w:shd w:val="clear" w:color="auto" w:fill="auto"/>
          </w:tcPr>
          <w:p w14:paraId="3BF00DE2" w14:textId="77777777" w:rsidR="00BA37FB" w:rsidRPr="00B82E38"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B82E38">
              <w:rPr>
                <w:rFonts w:ascii="Book Antiqua" w:eastAsia="宋体" w:hAnsi="Book Antiqua"/>
                <w:color w:val="000000" w:themeColor="text1"/>
              </w:rPr>
              <w:t>0.39</w:t>
            </w:r>
          </w:p>
        </w:tc>
      </w:tr>
      <w:tr w:rsidR="00B82E38" w:rsidRPr="00B82E38" w14:paraId="58440E07" w14:textId="77777777">
        <w:trPr>
          <w:trHeight w:val="20"/>
          <w:jc w:val="center"/>
        </w:trPr>
        <w:tc>
          <w:tcPr>
            <w:tcW w:w="2694" w:type="dxa"/>
            <w:shd w:val="clear" w:color="auto" w:fill="auto"/>
          </w:tcPr>
          <w:p w14:paraId="66669F38" w14:textId="77777777" w:rsidR="00BA37FB" w:rsidRPr="00B82E38"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B82E38">
              <w:rPr>
                <w:rFonts w:ascii="Book Antiqua" w:eastAsia="宋体" w:hAnsi="Book Antiqua"/>
                <w:color w:val="000000" w:themeColor="text1"/>
              </w:rPr>
              <w:t>PT, s</w:t>
            </w:r>
            <w:r w:rsidRPr="00B82E38">
              <w:rPr>
                <w:rFonts w:ascii="Book Antiqua" w:eastAsia="宋体" w:hAnsi="Book Antiqua"/>
                <w:color w:val="000000" w:themeColor="text1"/>
                <w:vertAlign w:val="superscript"/>
              </w:rPr>
              <w:t>1</w:t>
            </w:r>
          </w:p>
        </w:tc>
        <w:tc>
          <w:tcPr>
            <w:tcW w:w="2118" w:type="dxa"/>
            <w:shd w:val="clear" w:color="auto" w:fill="auto"/>
          </w:tcPr>
          <w:p w14:paraId="09F7271A" w14:textId="77777777" w:rsidR="00BA37FB" w:rsidRPr="00B82E38"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B82E38">
              <w:rPr>
                <w:rFonts w:ascii="Book Antiqua" w:eastAsia="宋体" w:hAnsi="Book Antiqua"/>
                <w:color w:val="000000" w:themeColor="text1"/>
              </w:rPr>
              <w:t>14.8 ± 2.5</w:t>
            </w:r>
          </w:p>
        </w:tc>
        <w:tc>
          <w:tcPr>
            <w:tcW w:w="1667" w:type="dxa"/>
            <w:shd w:val="clear" w:color="auto" w:fill="auto"/>
          </w:tcPr>
          <w:p w14:paraId="69A3CF4F" w14:textId="77777777" w:rsidR="00BA37FB" w:rsidRPr="00B82E38"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B82E38">
              <w:rPr>
                <w:rFonts w:ascii="Book Antiqua" w:eastAsia="宋体" w:hAnsi="Book Antiqua"/>
                <w:color w:val="000000" w:themeColor="text1"/>
              </w:rPr>
              <w:t>14.7 ± 2.6</w:t>
            </w:r>
          </w:p>
        </w:tc>
        <w:tc>
          <w:tcPr>
            <w:tcW w:w="1600" w:type="dxa"/>
            <w:shd w:val="clear" w:color="auto" w:fill="auto"/>
          </w:tcPr>
          <w:p w14:paraId="4C54F2C0" w14:textId="77777777" w:rsidR="00BA37FB" w:rsidRPr="00B82E38"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B82E38">
              <w:rPr>
                <w:rFonts w:ascii="Book Antiqua" w:eastAsia="宋体" w:hAnsi="Book Antiqua"/>
                <w:color w:val="000000" w:themeColor="text1"/>
              </w:rPr>
              <w:t>14.4 ± 2.0</w:t>
            </w:r>
          </w:p>
        </w:tc>
        <w:tc>
          <w:tcPr>
            <w:tcW w:w="1277" w:type="dxa"/>
            <w:shd w:val="clear" w:color="auto" w:fill="auto"/>
          </w:tcPr>
          <w:p w14:paraId="71F17C8C" w14:textId="77777777" w:rsidR="00BA37FB" w:rsidRPr="00B82E38"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B82E38">
              <w:rPr>
                <w:rFonts w:ascii="Book Antiqua" w:eastAsia="宋体" w:hAnsi="Book Antiqua"/>
                <w:color w:val="000000" w:themeColor="text1"/>
              </w:rPr>
              <w:t>0.69</w:t>
            </w:r>
          </w:p>
        </w:tc>
      </w:tr>
    </w:tbl>
    <w:p w14:paraId="45DB1675" w14:textId="7B33BAF9" w:rsidR="00BA37FB" w:rsidRPr="00B82E38" w:rsidRDefault="008F363E" w:rsidP="00372A8C">
      <w:pPr>
        <w:spacing w:line="360" w:lineRule="auto"/>
        <w:jc w:val="both"/>
        <w:rPr>
          <w:rFonts w:ascii="Book Antiqua" w:hAnsi="Book Antiqua"/>
          <w:color w:val="000000" w:themeColor="text1"/>
        </w:rPr>
      </w:pPr>
      <w:r w:rsidRPr="00B82E38">
        <w:rPr>
          <w:rFonts w:ascii="Book Antiqua" w:hAnsi="Book Antiqua"/>
          <w:color w:val="000000" w:themeColor="text1"/>
          <w:vertAlign w:val="superscript"/>
          <w:lang w:eastAsia="zh-CN"/>
        </w:rPr>
        <w:t>1</w:t>
      </w:r>
      <w:r w:rsidRPr="00B82E38">
        <w:rPr>
          <w:rFonts w:ascii="Book Antiqua" w:hAnsi="Book Antiqua"/>
          <w:color w:val="000000" w:themeColor="text1"/>
        </w:rPr>
        <w:t xml:space="preserve">Values are </w:t>
      </w:r>
      <w:r w:rsidR="00422C74">
        <w:rPr>
          <w:rFonts w:ascii="Book Antiqua" w:hAnsi="Book Antiqua"/>
          <w:color w:val="000000" w:themeColor="text1"/>
        </w:rPr>
        <w:t xml:space="preserve">the </w:t>
      </w:r>
      <w:r w:rsidRPr="00B82E38">
        <w:rPr>
          <w:rFonts w:ascii="Book Antiqua" w:hAnsi="Book Antiqua"/>
          <w:color w:val="000000" w:themeColor="text1"/>
        </w:rPr>
        <w:t xml:space="preserve">mean ± SD; </w:t>
      </w:r>
      <w:r w:rsidRPr="00B82E38">
        <w:rPr>
          <w:rFonts w:ascii="Book Antiqua" w:hAnsi="Book Antiqua"/>
          <w:color w:val="000000" w:themeColor="text1"/>
          <w:vertAlign w:val="superscript"/>
          <w:lang w:eastAsia="zh-CN"/>
        </w:rPr>
        <w:t>2</w:t>
      </w:r>
      <w:r w:rsidRPr="00B82E38">
        <w:rPr>
          <w:rFonts w:ascii="Book Antiqua" w:hAnsi="Book Antiqua"/>
          <w:color w:val="000000" w:themeColor="text1"/>
        </w:rPr>
        <w:t xml:space="preserve">Values are </w:t>
      </w:r>
      <w:r w:rsidRPr="00B82E38">
        <w:rPr>
          <w:rFonts w:ascii="Book Antiqua" w:hAnsi="Book Antiqua"/>
          <w:i/>
          <w:iCs/>
          <w:color w:val="000000" w:themeColor="text1"/>
        </w:rPr>
        <w:t>n</w:t>
      </w:r>
      <w:r w:rsidRPr="00B82E38">
        <w:rPr>
          <w:rFonts w:ascii="Book Antiqua" w:hAnsi="Book Antiqua"/>
          <w:color w:val="000000" w:themeColor="text1"/>
          <w:lang w:eastAsia="zh-CN"/>
        </w:rPr>
        <w:t xml:space="preserve">; </w:t>
      </w:r>
      <w:r w:rsidRPr="00B82E38">
        <w:rPr>
          <w:rFonts w:ascii="Book Antiqua" w:hAnsi="Book Antiqua"/>
          <w:color w:val="000000" w:themeColor="text1"/>
          <w:vertAlign w:val="superscript"/>
          <w:lang w:eastAsia="zh-CN"/>
        </w:rPr>
        <w:t>3</w:t>
      </w:r>
      <w:r w:rsidRPr="00B82E38">
        <w:rPr>
          <w:rFonts w:ascii="Book Antiqua" w:hAnsi="Book Antiqua"/>
          <w:color w:val="000000" w:themeColor="text1"/>
        </w:rPr>
        <w:t>Values are median</w:t>
      </w:r>
      <w:r w:rsidR="00422C74">
        <w:rPr>
          <w:rFonts w:ascii="Book Antiqua" w:hAnsi="Book Antiqua"/>
          <w:color w:val="000000" w:themeColor="text1"/>
        </w:rPr>
        <w:t>s</w:t>
      </w:r>
      <w:r w:rsidRPr="00B82E38">
        <w:rPr>
          <w:rFonts w:ascii="Book Antiqua" w:hAnsi="Book Antiqua"/>
          <w:color w:val="000000" w:themeColor="text1"/>
        </w:rPr>
        <w:t xml:space="preserve"> (P25, P75)</w:t>
      </w:r>
      <w:r w:rsidRPr="00B82E38">
        <w:rPr>
          <w:rFonts w:ascii="Book Antiqua" w:hAnsi="Book Antiqua"/>
          <w:color w:val="000000" w:themeColor="text1"/>
          <w:lang w:eastAsia="zh-CN"/>
        </w:rPr>
        <w:t xml:space="preserve">. </w:t>
      </w:r>
      <w:proofErr w:type="spellStart"/>
      <w:r w:rsidRPr="00B82E38">
        <w:rPr>
          <w:rFonts w:ascii="Book Antiqua" w:hAnsi="Book Antiqua"/>
          <w:color w:val="000000" w:themeColor="text1"/>
          <w:vertAlign w:val="superscript"/>
          <w:lang w:eastAsia="zh-CN"/>
        </w:rPr>
        <w:t>a</w:t>
      </w:r>
      <w:r w:rsidRPr="00B82E38">
        <w:rPr>
          <w:rFonts w:ascii="Book Antiqua" w:hAnsi="Book Antiqua"/>
          <w:i/>
          <w:iCs/>
          <w:color w:val="000000" w:themeColor="text1"/>
          <w:lang w:eastAsia="zh-CN"/>
        </w:rPr>
        <w:t>P</w:t>
      </w:r>
      <w:proofErr w:type="spellEnd"/>
      <w:r w:rsidRPr="00B82E38">
        <w:rPr>
          <w:rFonts w:ascii="Book Antiqua" w:hAnsi="Book Antiqua"/>
          <w:color w:val="000000" w:themeColor="text1"/>
          <w:lang w:eastAsia="zh-CN"/>
        </w:rPr>
        <w:t xml:space="preserve"> &lt; 0.05; </w:t>
      </w:r>
      <w:proofErr w:type="spellStart"/>
      <w:r w:rsidRPr="00B82E38">
        <w:rPr>
          <w:rFonts w:ascii="Book Antiqua" w:hAnsi="Book Antiqua"/>
          <w:color w:val="000000" w:themeColor="text1"/>
          <w:vertAlign w:val="superscript"/>
          <w:lang w:eastAsia="zh-CN"/>
        </w:rPr>
        <w:t>b</w:t>
      </w:r>
      <w:r w:rsidRPr="00B82E38">
        <w:rPr>
          <w:rFonts w:ascii="Book Antiqua" w:hAnsi="Book Antiqua"/>
          <w:i/>
          <w:iCs/>
          <w:color w:val="000000" w:themeColor="text1"/>
          <w:lang w:eastAsia="zh-CN"/>
        </w:rPr>
        <w:t>P</w:t>
      </w:r>
      <w:proofErr w:type="spellEnd"/>
      <w:r w:rsidRPr="00B82E38">
        <w:rPr>
          <w:rFonts w:ascii="Book Antiqua" w:hAnsi="Book Antiqua"/>
          <w:color w:val="000000" w:themeColor="text1"/>
          <w:lang w:eastAsia="zh-CN"/>
        </w:rPr>
        <w:t xml:space="preserve"> &lt; 0.01. TIPS:</w:t>
      </w:r>
      <w:r w:rsidRPr="00B82E38">
        <w:rPr>
          <w:rFonts w:ascii="Book Antiqua" w:hAnsi="Book Antiqua"/>
          <w:color w:val="000000" w:themeColor="text1"/>
          <w:vertAlign w:val="superscript"/>
          <w:lang w:eastAsia="zh-CN"/>
        </w:rPr>
        <w:t xml:space="preserve"> </w:t>
      </w:r>
      <w:proofErr w:type="spellStart"/>
      <w:r w:rsidRPr="00B82E38">
        <w:rPr>
          <w:rFonts w:ascii="Book Antiqua" w:eastAsia="Book Antiqua" w:hAnsi="Book Antiqua" w:cs="Book Antiqua"/>
          <w:color w:val="000000" w:themeColor="text1"/>
        </w:rPr>
        <w:t>Transjugular</w:t>
      </w:r>
      <w:proofErr w:type="spellEnd"/>
      <w:r w:rsidRPr="00B82E38">
        <w:rPr>
          <w:rFonts w:ascii="Book Antiqua" w:eastAsia="Book Antiqua" w:hAnsi="Book Antiqua" w:cs="Book Antiqua"/>
          <w:color w:val="000000" w:themeColor="text1"/>
        </w:rPr>
        <w:t xml:space="preserve"> intrahepatic portosystemic shunt</w:t>
      </w:r>
      <w:r w:rsidRPr="00B82E38">
        <w:rPr>
          <w:rFonts w:ascii="Book Antiqua" w:hAnsi="Book Antiqua"/>
          <w:color w:val="000000" w:themeColor="text1"/>
        </w:rPr>
        <w:t xml:space="preserve">; </w:t>
      </w:r>
      <w:r w:rsidRPr="00B82E38">
        <w:rPr>
          <w:rFonts w:ascii="Book Antiqua" w:hAnsi="Book Antiqua"/>
          <w:color w:val="000000" w:themeColor="text1"/>
          <w:lang w:eastAsia="zh-CN"/>
        </w:rPr>
        <w:t xml:space="preserve">HE: Hepatic encephalopathy; </w:t>
      </w:r>
      <w:r w:rsidRPr="00B82E38">
        <w:rPr>
          <w:rFonts w:ascii="Book Antiqua" w:hAnsi="Book Antiqua"/>
          <w:color w:val="000000" w:themeColor="text1"/>
        </w:rPr>
        <w:t xml:space="preserve">HVPG: Hepatic venous pressure gradient; PPG: Portal pressure gradient; MELD: Model for end-stage liver disease; ICG: Indocyanine green; ALT: Alanine aminotransferase; AST: Aspartate transaminase; ALP: Alkaline phosphatase; Hb: Hemoglobin; BUN: </w:t>
      </w:r>
      <w:bookmarkStart w:id="1" w:name="OLE_LINK11"/>
      <w:r w:rsidRPr="00B82E38">
        <w:rPr>
          <w:rFonts w:ascii="Book Antiqua" w:hAnsi="Book Antiqua"/>
          <w:color w:val="000000" w:themeColor="text1"/>
        </w:rPr>
        <w:t>Blood urea nitrogen</w:t>
      </w:r>
      <w:bookmarkEnd w:id="1"/>
      <w:r w:rsidRPr="00B82E38">
        <w:rPr>
          <w:rFonts w:ascii="Book Antiqua" w:hAnsi="Book Antiqua"/>
          <w:color w:val="000000" w:themeColor="text1"/>
        </w:rPr>
        <w:t>; APTT: Active partial thromboplastin; INR: International normalized ratio; FIB: Fibrinogen; PT: Prothrombin time; WBC: White blood cell</w:t>
      </w:r>
      <w:r w:rsidR="00422C74">
        <w:rPr>
          <w:rFonts w:ascii="Book Antiqua" w:hAnsi="Book Antiqua"/>
          <w:color w:val="000000" w:themeColor="text1"/>
        </w:rPr>
        <w:t>s</w:t>
      </w:r>
      <w:r w:rsidRPr="00B82E38">
        <w:rPr>
          <w:rFonts w:ascii="Book Antiqua" w:hAnsi="Book Antiqua"/>
          <w:color w:val="000000" w:themeColor="text1"/>
        </w:rPr>
        <w:t>.</w:t>
      </w:r>
    </w:p>
    <w:p w14:paraId="00F96046" w14:textId="77777777" w:rsidR="00BA37FB" w:rsidRPr="00B82E38" w:rsidRDefault="008F363E" w:rsidP="00372A8C">
      <w:pPr>
        <w:spacing w:line="360" w:lineRule="auto"/>
        <w:jc w:val="both"/>
        <w:rPr>
          <w:rFonts w:ascii="Book Antiqua" w:hAnsi="Book Antiqua"/>
          <w:b/>
          <w:bCs/>
          <w:color w:val="000000" w:themeColor="text1"/>
        </w:rPr>
      </w:pPr>
      <w:r w:rsidRPr="00B82E38">
        <w:rPr>
          <w:rFonts w:ascii="Book Antiqua" w:hAnsi="Book Antiqua"/>
          <w:color w:val="000000" w:themeColor="text1"/>
        </w:rPr>
        <w:br w:type="page"/>
      </w:r>
      <w:r w:rsidRPr="00B82E38">
        <w:rPr>
          <w:rFonts w:ascii="Book Antiqua" w:hAnsi="Book Antiqua"/>
          <w:b/>
          <w:bCs/>
          <w:color w:val="000000" w:themeColor="text1"/>
        </w:rPr>
        <w:lastRenderedPageBreak/>
        <w:t>Table 2 U</w:t>
      </w:r>
      <w:r w:rsidRPr="00B82E38">
        <w:rPr>
          <w:rFonts w:ascii="Book Antiqua" w:hAnsi="Book Antiqua"/>
          <w:b/>
          <w:bCs/>
          <w:color w:val="000000" w:themeColor="text1"/>
        </w:rPr>
        <w:t>nivariable and m</w:t>
      </w:r>
      <w:bookmarkStart w:id="2" w:name="OLE_LINK4"/>
      <w:r w:rsidRPr="00B82E38">
        <w:rPr>
          <w:rFonts w:ascii="Book Antiqua" w:hAnsi="Book Antiqua"/>
          <w:b/>
          <w:bCs/>
          <w:color w:val="000000" w:themeColor="text1"/>
        </w:rPr>
        <w:t>ultivariable</w:t>
      </w:r>
      <w:bookmarkEnd w:id="2"/>
      <w:r w:rsidRPr="00B82E38">
        <w:rPr>
          <w:rFonts w:ascii="Book Antiqua" w:hAnsi="Book Antiqua"/>
          <w:b/>
          <w:bCs/>
          <w:color w:val="000000" w:themeColor="text1"/>
        </w:rPr>
        <w:t xml:space="preserve"> logistic regression anal</w:t>
      </w:r>
      <w:r w:rsidRPr="00B82E38">
        <w:rPr>
          <w:rFonts w:ascii="Book Antiqua" w:hAnsi="Book Antiqua"/>
          <w:b/>
          <w:bCs/>
          <w:color w:val="000000" w:themeColor="text1"/>
          <w:lang w:eastAsia="zh-CN"/>
        </w:rPr>
        <w:t>yses</w:t>
      </w:r>
      <w:r w:rsidRPr="00B82E38">
        <w:rPr>
          <w:rFonts w:ascii="Book Antiqua" w:hAnsi="Book Antiqua"/>
          <w:b/>
          <w:bCs/>
          <w:color w:val="000000" w:themeColor="text1"/>
        </w:rPr>
        <w:t xml:space="preserve"> </w:t>
      </w:r>
      <w:r w:rsidRPr="00B82E38">
        <w:rPr>
          <w:rFonts w:ascii="Book Antiqua" w:hAnsi="Book Antiqua"/>
          <w:b/>
          <w:bCs/>
          <w:color w:val="000000" w:themeColor="text1"/>
          <w:lang w:eastAsia="zh-CN"/>
        </w:rPr>
        <w:t>of</w:t>
      </w:r>
      <w:r w:rsidRPr="00B82E38">
        <w:rPr>
          <w:rFonts w:ascii="Book Antiqua" w:hAnsi="Book Antiqua"/>
          <w:b/>
          <w:bCs/>
          <w:color w:val="000000" w:themeColor="text1"/>
        </w:rPr>
        <w:t xml:space="preserve"> post-</w:t>
      </w:r>
      <w:proofErr w:type="spellStart"/>
      <w:r w:rsidRPr="00B82E38">
        <w:rPr>
          <w:rFonts w:ascii="Book Antiqua" w:eastAsia="Book Antiqua" w:hAnsi="Book Antiqua" w:cs="Book Antiqua"/>
          <w:b/>
          <w:bCs/>
          <w:color w:val="000000" w:themeColor="text1"/>
        </w:rPr>
        <w:t>transjugular</w:t>
      </w:r>
      <w:proofErr w:type="spellEnd"/>
      <w:r w:rsidRPr="00B82E38">
        <w:rPr>
          <w:rFonts w:ascii="Book Antiqua" w:eastAsia="Book Antiqua" w:hAnsi="Book Antiqua" w:cs="Book Antiqua"/>
          <w:b/>
          <w:bCs/>
          <w:color w:val="000000" w:themeColor="text1"/>
        </w:rPr>
        <w:t xml:space="preserve"> intrahepatic portosystemic shunt</w:t>
      </w:r>
      <w:r w:rsidRPr="00B82E38">
        <w:rPr>
          <w:rFonts w:ascii="Book Antiqua" w:hAnsi="Book Antiqua"/>
          <w:b/>
          <w:bCs/>
          <w:color w:val="000000" w:themeColor="text1"/>
        </w:rPr>
        <w:t xml:space="preserve"> </w:t>
      </w:r>
      <w:r w:rsidRPr="00B82E38">
        <w:rPr>
          <w:rFonts w:ascii="Book Antiqua" w:eastAsia="Book Antiqua" w:hAnsi="Book Antiqua" w:cs="Book Antiqua"/>
          <w:b/>
          <w:bCs/>
          <w:color w:val="000000" w:themeColor="text1"/>
        </w:rPr>
        <w:t>hepatic encephalopathy</w:t>
      </w:r>
    </w:p>
    <w:tbl>
      <w:tblPr>
        <w:tblStyle w:val="a9"/>
        <w:tblW w:w="9157"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87"/>
        <w:gridCol w:w="1583"/>
        <w:gridCol w:w="993"/>
        <w:gridCol w:w="1094"/>
        <w:gridCol w:w="1315"/>
        <w:gridCol w:w="766"/>
        <w:gridCol w:w="1219"/>
      </w:tblGrid>
      <w:tr w:rsidR="00B82E38" w:rsidRPr="00B82E38" w14:paraId="33C93342" w14:textId="77777777">
        <w:trPr>
          <w:trHeight w:val="421"/>
          <w:jc w:val="center"/>
        </w:trPr>
        <w:tc>
          <w:tcPr>
            <w:tcW w:w="2187" w:type="dxa"/>
            <w:vMerge w:val="restart"/>
            <w:tcBorders>
              <w:top w:val="single" w:sz="4" w:space="0" w:color="auto"/>
              <w:bottom w:val="nil"/>
            </w:tcBorders>
            <w:shd w:val="clear" w:color="auto" w:fill="auto"/>
          </w:tcPr>
          <w:p w14:paraId="79EF01C4" w14:textId="0A98DE78" w:rsidR="00BA37FB" w:rsidRPr="00B82E38" w:rsidRDefault="008F363E" w:rsidP="00372A8C">
            <w:pPr>
              <w:widowControl/>
              <w:adjustRightInd w:val="0"/>
              <w:snapToGrid w:val="0"/>
              <w:spacing w:line="360" w:lineRule="auto"/>
              <w:rPr>
                <w:rFonts w:ascii="Book Antiqua" w:eastAsia="宋体" w:hAnsi="Book Antiqua"/>
                <w:b/>
                <w:bCs/>
                <w:color w:val="000000" w:themeColor="text1"/>
                <w:lang w:eastAsia="zh-CN"/>
              </w:rPr>
            </w:pPr>
            <w:r w:rsidRPr="00B82E38">
              <w:rPr>
                <w:rFonts w:ascii="Book Antiqua" w:eastAsia="宋体" w:hAnsi="Book Antiqua"/>
                <w:b/>
                <w:bCs/>
                <w:color w:val="000000" w:themeColor="text1"/>
                <w:lang w:eastAsia="zh-CN"/>
              </w:rPr>
              <w:t>Parameter</w:t>
            </w:r>
          </w:p>
        </w:tc>
        <w:tc>
          <w:tcPr>
            <w:tcW w:w="3670" w:type="dxa"/>
            <w:gridSpan w:val="3"/>
            <w:tcBorders>
              <w:top w:val="single" w:sz="4" w:space="0" w:color="auto"/>
              <w:bottom w:val="single" w:sz="4" w:space="0" w:color="auto"/>
            </w:tcBorders>
            <w:shd w:val="clear" w:color="auto" w:fill="auto"/>
          </w:tcPr>
          <w:p w14:paraId="6123C014" w14:textId="77777777" w:rsidR="00BA37FB" w:rsidRPr="00B82E38" w:rsidRDefault="008F363E" w:rsidP="00372A8C">
            <w:pPr>
              <w:widowControl/>
              <w:adjustRightInd w:val="0"/>
              <w:snapToGrid w:val="0"/>
              <w:spacing w:line="360" w:lineRule="auto"/>
              <w:rPr>
                <w:rFonts w:ascii="Book Antiqua" w:eastAsia="宋体" w:hAnsi="Book Antiqua"/>
                <w:b/>
                <w:bCs/>
                <w:color w:val="000000" w:themeColor="text1"/>
                <w:lang w:eastAsia="zh-CN"/>
              </w:rPr>
            </w:pPr>
            <w:r w:rsidRPr="00B82E38">
              <w:rPr>
                <w:rFonts w:ascii="Book Antiqua" w:eastAsia="宋体" w:hAnsi="Book Antiqua"/>
                <w:b/>
                <w:bCs/>
                <w:color w:val="000000" w:themeColor="text1"/>
                <w:lang w:eastAsia="zh-CN"/>
              </w:rPr>
              <w:t>Univariable logistic regression</w:t>
            </w:r>
          </w:p>
        </w:tc>
        <w:tc>
          <w:tcPr>
            <w:tcW w:w="3300" w:type="dxa"/>
            <w:gridSpan w:val="3"/>
            <w:tcBorders>
              <w:top w:val="single" w:sz="4" w:space="0" w:color="auto"/>
              <w:bottom w:val="single" w:sz="4" w:space="0" w:color="auto"/>
            </w:tcBorders>
            <w:shd w:val="clear" w:color="auto" w:fill="auto"/>
          </w:tcPr>
          <w:p w14:paraId="338C98A8" w14:textId="77777777" w:rsidR="00BA37FB" w:rsidRPr="00B82E38" w:rsidRDefault="008F363E" w:rsidP="00372A8C">
            <w:pPr>
              <w:widowControl/>
              <w:adjustRightInd w:val="0"/>
              <w:snapToGrid w:val="0"/>
              <w:spacing w:line="360" w:lineRule="auto"/>
              <w:rPr>
                <w:rFonts w:ascii="Book Antiqua" w:eastAsia="宋体" w:hAnsi="Book Antiqua"/>
                <w:b/>
                <w:bCs/>
                <w:color w:val="000000" w:themeColor="text1"/>
                <w:lang w:eastAsia="zh-CN"/>
              </w:rPr>
            </w:pPr>
            <w:r w:rsidRPr="00B82E38">
              <w:rPr>
                <w:rFonts w:ascii="Book Antiqua" w:eastAsia="宋体" w:hAnsi="Book Antiqua"/>
                <w:b/>
                <w:bCs/>
                <w:color w:val="000000" w:themeColor="text1"/>
                <w:lang w:eastAsia="zh-CN"/>
              </w:rPr>
              <w:t>Multivariable logistic regression</w:t>
            </w:r>
          </w:p>
        </w:tc>
      </w:tr>
      <w:tr w:rsidR="00B82E38" w:rsidRPr="00B82E38" w14:paraId="68EF5401" w14:textId="77777777">
        <w:trPr>
          <w:trHeight w:val="409"/>
          <w:jc w:val="center"/>
        </w:trPr>
        <w:tc>
          <w:tcPr>
            <w:tcW w:w="2187" w:type="dxa"/>
            <w:vMerge/>
            <w:tcBorders>
              <w:top w:val="nil"/>
              <w:bottom w:val="single" w:sz="4" w:space="0" w:color="auto"/>
            </w:tcBorders>
            <w:shd w:val="clear" w:color="auto" w:fill="auto"/>
          </w:tcPr>
          <w:p w14:paraId="48C036BB" w14:textId="77777777" w:rsidR="00BA37FB" w:rsidRPr="00B82E38" w:rsidRDefault="00BA37FB" w:rsidP="00372A8C">
            <w:pPr>
              <w:widowControl/>
              <w:adjustRightInd w:val="0"/>
              <w:snapToGrid w:val="0"/>
              <w:spacing w:line="360" w:lineRule="auto"/>
              <w:rPr>
                <w:rFonts w:ascii="Book Antiqua" w:eastAsia="宋体" w:hAnsi="Book Antiqua"/>
                <w:b/>
                <w:bCs/>
                <w:color w:val="000000" w:themeColor="text1"/>
                <w:lang w:eastAsia="zh-CN"/>
              </w:rPr>
            </w:pPr>
          </w:p>
        </w:tc>
        <w:tc>
          <w:tcPr>
            <w:tcW w:w="1583" w:type="dxa"/>
            <w:tcBorders>
              <w:top w:val="single" w:sz="4" w:space="0" w:color="auto"/>
              <w:bottom w:val="single" w:sz="4" w:space="0" w:color="auto"/>
            </w:tcBorders>
            <w:shd w:val="clear" w:color="auto" w:fill="auto"/>
          </w:tcPr>
          <w:p w14:paraId="11006FEA" w14:textId="259B4663" w:rsidR="00BA37FB" w:rsidRPr="00B82E38" w:rsidRDefault="008F363E" w:rsidP="00372A8C">
            <w:pPr>
              <w:widowControl/>
              <w:adjustRightInd w:val="0"/>
              <w:snapToGrid w:val="0"/>
              <w:spacing w:line="360" w:lineRule="auto"/>
              <w:rPr>
                <w:rFonts w:ascii="Book Antiqua" w:eastAsia="宋体" w:hAnsi="Book Antiqua"/>
                <w:b/>
                <w:bCs/>
                <w:color w:val="000000" w:themeColor="text1"/>
                <w:lang w:eastAsia="zh-CN"/>
              </w:rPr>
            </w:pPr>
            <w:r w:rsidRPr="00B82E38">
              <w:rPr>
                <w:rFonts w:ascii="Book Antiqua" w:eastAsia="宋体" w:hAnsi="Book Antiqua"/>
                <w:b/>
                <w:bCs/>
                <w:color w:val="000000" w:themeColor="text1"/>
                <w:lang w:eastAsia="zh-CN"/>
              </w:rPr>
              <w:t>Regression coefficient</w:t>
            </w:r>
          </w:p>
        </w:tc>
        <w:tc>
          <w:tcPr>
            <w:tcW w:w="993" w:type="dxa"/>
            <w:tcBorders>
              <w:top w:val="single" w:sz="4" w:space="0" w:color="auto"/>
              <w:bottom w:val="single" w:sz="4" w:space="0" w:color="auto"/>
            </w:tcBorders>
            <w:shd w:val="clear" w:color="auto" w:fill="auto"/>
          </w:tcPr>
          <w:p w14:paraId="58D21E87" w14:textId="77777777" w:rsidR="00BA37FB" w:rsidRPr="00B82E38" w:rsidRDefault="008F363E" w:rsidP="00372A8C">
            <w:pPr>
              <w:widowControl/>
              <w:adjustRightInd w:val="0"/>
              <w:snapToGrid w:val="0"/>
              <w:spacing w:line="360" w:lineRule="auto"/>
              <w:rPr>
                <w:rFonts w:ascii="Book Antiqua" w:eastAsia="宋体" w:hAnsi="Book Antiqua"/>
                <w:b/>
                <w:bCs/>
                <w:color w:val="000000" w:themeColor="text1"/>
                <w:lang w:eastAsia="zh-CN"/>
              </w:rPr>
            </w:pPr>
            <w:r w:rsidRPr="00B82E38">
              <w:rPr>
                <w:rFonts w:ascii="Book Antiqua" w:eastAsia="宋体" w:hAnsi="Book Antiqua"/>
                <w:b/>
                <w:bCs/>
                <w:color w:val="000000" w:themeColor="text1"/>
                <w:lang w:eastAsia="zh-CN"/>
              </w:rPr>
              <w:t xml:space="preserve">OR </w:t>
            </w:r>
          </w:p>
        </w:tc>
        <w:tc>
          <w:tcPr>
            <w:tcW w:w="1094" w:type="dxa"/>
            <w:tcBorders>
              <w:top w:val="single" w:sz="4" w:space="0" w:color="auto"/>
              <w:bottom w:val="single" w:sz="4" w:space="0" w:color="auto"/>
            </w:tcBorders>
            <w:shd w:val="clear" w:color="auto" w:fill="auto"/>
          </w:tcPr>
          <w:p w14:paraId="0FE9F591" w14:textId="77777777" w:rsidR="00BA37FB" w:rsidRPr="00B82E38" w:rsidRDefault="008F363E" w:rsidP="00372A8C">
            <w:pPr>
              <w:widowControl/>
              <w:adjustRightInd w:val="0"/>
              <w:snapToGrid w:val="0"/>
              <w:spacing w:line="360" w:lineRule="auto"/>
              <w:rPr>
                <w:rFonts w:ascii="Book Antiqua" w:eastAsia="宋体" w:hAnsi="Book Antiqua"/>
                <w:b/>
                <w:bCs/>
                <w:color w:val="000000" w:themeColor="text1"/>
                <w:lang w:eastAsia="zh-CN"/>
              </w:rPr>
            </w:pPr>
            <w:r w:rsidRPr="00B82E38">
              <w:rPr>
                <w:rFonts w:ascii="Book Antiqua" w:eastAsia="宋体" w:hAnsi="Book Antiqua"/>
                <w:b/>
                <w:bCs/>
                <w:i/>
                <w:iCs/>
                <w:color w:val="000000" w:themeColor="text1"/>
                <w:lang w:eastAsia="zh-CN"/>
              </w:rPr>
              <w:t xml:space="preserve">P </w:t>
            </w:r>
            <w:r w:rsidRPr="00B82E38">
              <w:rPr>
                <w:rFonts w:ascii="Book Antiqua" w:eastAsia="宋体" w:hAnsi="Book Antiqua"/>
                <w:b/>
                <w:bCs/>
                <w:color w:val="000000" w:themeColor="text1"/>
                <w:lang w:eastAsia="zh-CN"/>
              </w:rPr>
              <w:t>value</w:t>
            </w:r>
          </w:p>
        </w:tc>
        <w:tc>
          <w:tcPr>
            <w:tcW w:w="1315" w:type="dxa"/>
            <w:tcBorders>
              <w:top w:val="single" w:sz="4" w:space="0" w:color="auto"/>
              <w:bottom w:val="single" w:sz="4" w:space="0" w:color="auto"/>
            </w:tcBorders>
            <w:shd w:val="clear" w:color="auto" w:fill="auto"/>
          </w:tcPr>
          <w:p w14:paraId="1D7E6AF5" w14:textId="50E7FE8F" w:rsidR="00BA37FB" w:rsidRPr="00B82E38" w:rsidRDefault="008F363E" w:rsidP="00372A8C">
            <w:pPr>
              <w:widowControl/>
              <w:adjustRightInd w:val="0"/>
              <w:snapToGrid w:val="0"/>
              <w:spacing w:line="360" w:lineRule="auto"/>
              <w:rPr>
                <w:rFonts w:ascii="Book Antiqua" w:eastAsia="宋体" w:hAnsi="Book Antiqua"/>
                <w:b/>
                <w:bCs/>
                <w:color w:val="000000" w:themeColor="text1"/>
                <w:lang w:eastAsia="zh-CN"/>
              </w:rPr>
            </w:pPr>
            <w:r w:rsidRPr="00B82E38">
              <w:rPr>
                <w:rFonts w:ascii="Book Antiqua" w:eastAsia="宋体" w:hAnsi="Book Antiqua"/>
                <w:b/>
                <w:bCs/>
                <w:color w:val="000000" w:themeColor="text1"/>
                <w:lang w:eastAsia="zh-CN"/>
              </w:rPr>
              <w:t>Regression coefficient</w:t>
            </w:r>
          </w:p>
        </w:tc>
        <w:tc>
          <w:tcPr>
            <w:tcW w:w="766" w:type="dxa"/>
            <w:tcBorders>
              <w:top w:val="single" w:sz="4" w:space="0" w:color="auto"/>
              <w:bottom w:val="single" w:sz="4" w:space="0" w:color="auto"/>
            </w:tcBorders>
            <w:shd w:val="clear" w:color="auto" w:fill="auto"/>
          </w:tcPr>
          <w:p w14:paraId="15DA0416" w14:textId="77777777" w:rsidR="00BA37FB" w:rsidRPr="00B82E38" w:rsidRDefault="008F363E" w:rsidP="00372A8C">
            <w:pPr>
              <w:widowControl/>
              <w:adjustRightInd w:val="0"/>
              <w:snapToGrid w:val="0"/>
              <w:spacing w:line="360" w:lineRule="auto"/>
              <w:rPr>
                <w:rFonts w:ascii="Book Antiqua" w:eastAsia="宋体" w:hAnsi="Book Antiqua"/>
                <w:b/>
                <w:bCs/>
                <w:color w:val="000000" w:themeColor="text1"/>
                <w:lang w:eastAsia="zh-CN"/>
              </w:rPr>
            </w:pPr>
            <w:r w:rsidRPr="00B82E38">
              <w:rPr>
                <w:rFonts w:ascii="Book Antiqua" w:eastAsia="宋体" w:hAnsi="Book Antiqua"/>
                <w:b/>
                <w:bCs/>
                <w:color w:val="000000" w:themeColor="text1"/>
                <w:lang w:eastAsia="zh-CN"/>
              </w:rPr>
              <w:t xml:space="preserve">OR </w:t>
            </w:r>
          </w:p>
        </w:tc>
        <w:tc>
          <w:tcPr>
            <w:tcW w:w="1219" w:type="dxa"/>
            <w:tcBorders>
              <w:top w:val="single" w:sz="4" w:space="0" w:color="auto"/>
              <w:bottom w:val="single" w:sz="4" w:space="0" w:color="auto"/>
            </w:tcBorders>
            <w:shd w:val="clear" w:color="auto" w:fill="auto"/>
          </w:tcPr>
          <w:p w14:paraId="67DB739E" w14:textId="77777777" w:rsidR="00BA37FB" w:rsidRPr="00B82E38" w:rsidRDefault="008F363E" w:rsidP="00372A8C">
            <w:pPr>
              <w:widowControl/>
              <w:adjustRightInd w:val="0"/>
              <w:snapToGrid w:val="0"/>
              <w:spacing w:line="360" w:lineRule="auto"/>
              <w:rPr>
                <w:rFonts w:ascii="Book Antiqua" w:eastAsia="宋体" w:hAnsi="Book Antiqua"/>
                <w:b/>
                <w:bCs/>
                <w:color w:val="000000" w:themeColor="text1"/>
                <w:lang w:eastAsia="zh-CN"/>
              </w:rPr>
            </w:pPr>
            <w:r w:rsidRPr="00B82E38">
              <w:rPr>
                <w:rFonts w:ascii="Book Antiqua" w:eastAsia="宋体" w:hAnsi="Book Antiqua"/>
                <w:b/>
                <w:bCs/>
                <w:i/>
                <w:iCs/>
                <w:color w:val="000000" w:themeColor="text1"/>
                <w:lang w:eastAsia="zh-CN"/>
              </w:rPr>
              <w:t xml:space="preserve">P </w:t>
            </w:r>
            <w:r w:rsidRPr="00B82E38">
              <w:rPr>
                <w:rFonts w:ascii="Book Antiqua" w:eastAsia="宋体" w:hAnsi="Book Antiqua"/>
                <w:b/>
                <w:bCs/>
                <w:color w:val="000000" w:themeColor="text1"/>
                <w:lang w:eastAsia="zh-CN"/>
              </w:rPr>
              <w:t>value</w:t>
            </w:r>
          </w:p>
        </w:tc>
      </w:tr>
      <w:tr w:rsidR="00B82E38" w:rsidRPr="00B82E38" w14:paraId="40B48F38" w14:textId="77777777">
        <w:trPr>
          <w:trHeight w:val="464"/>
          <w:jc w:val="center"/>
        </w:trPr>
        <w:tc>
          <w:tcPr>
            <w:tcW w:w="2187" w:type="dxa"/>
            <w:tcBorders>
              <w:top w:val="single" w:sz="4" w:space="0" w:color="auto"/>
            </w:tcBorders>
            <w:shd w:val="clear" w:color="auto" w:fill="auto"/>
          </w:tcPr>
          <w:p w14:paraId="4076A1E0" w14:textId="77777777" w:rsidR="00BA37FB" w:rsidRPr="00B82E38" w:rsidRDefault="008F363E" w:rsidP="00372A8C">
            <w:pPr>
              <w:widowControl/>
              <w:adjustRightInd w:val="0"/>
              <w:snapToGrid w:val="0"/>
              <w:spacing w:line="360" w:lineRule="auto"/>
              <w:rPr>
                <w:rFonts w:ascii="Book Antiqua" w:eastAsia="宋体" w:hAnsi="Book Antiqua"/>
                <w:color w:val="000000" w:themeColor="text1"/>
                <w:lang w:eastAsia="zh-CN"/>
              </w:rPr>
            </w:pPr>
            <w:r w:rsidRPr="00B82E38">
              <w:rPr>
                <w:rFonts w:ascii="Book Antiqua" w:eastAsia="宋体" w:hAnsi="Book Antiqua"/>
                <w:color w:val="000000" w:themeColor="text1"/>
                <w:lang w:eastAsia="zh-CN"/>
              </w:rPr>
              <w:t>Age</w:t>
            </w:r>
          </w:p>
        </w:tc>
        <w:tc>
          <w:tcPr>
            <w:tcW w:w="1583" w:type="dxa"/>
            <w:tcBorders>
              <w:top w:val="single" w:sz="4" w:space="0" w:color="auto"/>
            </w:tcBorders>
            <w:shd w:val="clear" w:color="auto" w:fill="auto"/>
          </w:tcPr>
          <w:p w14:paraId="222CDD5A" w14:textId="77777777" w:rsidR="00BA37FB" w:rsidRPr="00B82E38" w:rsidRDefault="008F363E" w:rsidP="00372A8C">
            <w:pPr>
              <w:widowControl/>
              <w:adjustRightInd w:val="0"/>
              <w:snapToGrid w:val="0"/>
              <w:spacing w:line="360" w:lineRule="auto"/>
              <w:rPr>
                <w:rFonts w:ascii="Book Antiqua" w:eastAsia="宋体" w:hAnsi="Book Antiqua"/>
                <w:color w:val="000000" w:themeColor="text1"/>
                <w:lang w:eastAsia="zh-CN"/>
              </w:rPr>
            </w:pPr>
            <w:r w:rsidRPr="00B82E38">
              <w:rPr>
                <w:rFonts w:ascii="Book Antiqua" w:eastAsia="宋体" w:hAnsi="Book Antiqua"/>
                <w:color w:val="000000" w:themeColor="text1"/>
                <w:lang w:eastAsia="zh-CN"/>
              </w:rPr>
              <w:t>0.53</w:t>
            </w:r>
          </w:p>
        </w:tc>
        <w:tc>
          <w:tcPr>
            <w:tcW w:w="993" w:type="dxa"/>
            <w:tcBorders>
              <w:top w:val="single" w:sz="4" w:space="0" w:color="auto"/>
            </w:tcBorders>
            <w:shd w:val="clear" w:color="auto" w:fill="auto"/>
          </w:tcPr>
          <w:p w14:paraId="2E348A68" w14:textId="77777777" w:rsidR="00BA37FB" w:rsidRPr="00B82E38" w:rsidRDefault="008F363E" w:rsidP="00372A8C">
            <w:pPr>
              <w:widowControl/>
              <w:adjustRightInd w:val="0"/>
              <w:snapToGrid w:val="0"/>
              <w:spacing w:line="360" w:lineRule="auto"/>
              <w:rPr>
                <w:rFonts w:ascii="Book Antiqua" w:eastAsia="宋体" w:hAnsi="Book Antiqua"/>
                <w:color w:val="000000" w:themeColor="text1"/>
                <w:lang w:eastAsia="zh-CN"/>
              </w:rPr>
            </w:pPr>
            <w:r w:rsidRPr="00B82E38">
              <w:rPr>
                <w:rFonts w:ascii="Book Antiqua" w:eastAsia="宋体" w:hAnsi="Book Antiqua"/>
                <w:color w:val="000000" w:themeColor="text1"/>
                <w:lang w:eastAsia="zh-CN"/>
              </w:rPr>
              <w:t>1.055</w:t>
            </w:r>
          </w:p>
        </w:tc>
        <w:tc>
          <w:tcPr>
            <w:tcW w:w="1094" w:type="dxa"/>
            <w:tcBorders>
              <w:top w:val="single" w:sz="4" w:space="0" w:color="auto"/>
            </w:tcBorders>
            <w:shd w:val="clear" w:color="auto" w:fill="auto"/>
          </w:tcPr>
          <w:p w14:paraId="30AE80EA" w14:textId="77777777" w:rsidR="00BA37FB" w:rsidRPr="00B82E38" w:rsidRDefault="008F363E" w:rsidP="00372A8C">
            <w:pPr>
              <w:widowControl/>
              <w:adjustRightInd w:val="0"/>
              <w:snapToGrid w:val="0"/>
              <w:spacing w:line="360" w:lineRule="auto"/>
              <w:rPr>
                <w:rFonts w:ascii="Book Antiqua" w:eastAsia="宋体" w:hAnsi="Book Antiqua"/>
                <w:color w:val="000000" w:themeColor="text1"/>
                <w:lang w:eastAsia="zh-CN"/>
              </w:rPr>
            </w:pPr>
            <w:r w:rsidRPr="00B82E38">
              <w:rPr>
                <w:rFonts w:ascii="Book Antiqua" w:eastAsia="宋体" w:hAnsi="Book Antiqua"/>
                <w:color w:val="000000" w:themeColor="text1"/>
                <w:lang w:eastAsia="zh-CN"/>
              </w:rPr>
              <w:t>0.006</w:t>
            </w:r>
            <w:r w:rsidRPr="00B82E38">
              <w:rPr>
                <w:rFonts w:ascii="Book Antiqua" w:eastAsia="宋体" w:hAnsi="Book Antiqua"/>
                <w:color w:val="000000" w:themeColor="text1"/>
                <w:vertAlign w:val="superscript"/>
                <w:lang w:eastAsia="zh-CN"/>
              </w:rPr>
              <w:t>b</w:t>
            </w:r>
          </w:p>
        </w:tc>
        <w:tc>
          <w:tcPr>
            <w:tcW w:w="1315" w:type="dxa"/>
            <w:tcBorders>
              <w:top w:val="single" w:sz="4" w:space="0" w:color="auto"/>
            </w:tcBorders>
            <w:shd w:val="clear" w:color="auto" w:fill="auto"/>
          </w:tcPr>
          <w:p w14:paraId="31944F46" w14:textId="77777777" w:rsidR="00BA37FB" w:rsidRPr="00B82E38" w:rsidRDefault="008F363E" w:rsidP="00372A8C">
            <w:pPr>
              <w:widowControl/>
              <w:adjustRightInd w:val="0"/>
              <w:snapToGrid w:val="0"/>
              <w:spacing w:line="360" w:lineRule="auto"/>
              <w:rPr>
                <w:rFonts w:ascii="Book Antiqua" w:eastAsia="宋体" w:hAnsi="Book Antiqua"/>
                <w:color w:val="000000" w:themeColor="text1"/>
                <w:lang w:eastAsia="zh-CN"/>
              </w:rPr>
            </w:pPr>
            <w:r w:rsidRPr="00B82E38">
              <w:rPr>
                <w:rFonts w:ascii="Book Antiqua" w:eastAsia="宋体" w:hAnsi="Book Antiqua"/>
                <w:color w:val="000000" w:themeColor="text1"/>
                <w:lang w:eastAsia="zh-CN"/>
              </w:rPr>
              <w:t>0.057</w:t>
            </w:r>
          </w:p>
        </w:tc>
        <w:tc>
          <w:tcPr>
            <w:tcW w:w="766" w:type="dxa"/>
            <w:tcBorders>
              <w:top w:val="single" w:sz="4" w:space="0" w:color="auto"/>
            </w:tcBorders>
            <w:shd w:val="clear" w:color="auto" w:fill="auto"/>
          </w:tcPr>
          <w:p w14:paraId="21B20819" w14:textId="77777777" w:rsidR="00BA37FB" w:rsidRPr="00B82E38" w:rsidRDefault="008F363E" w:rsidP="00372A8C">
            <w:pPr>
              <w:widowControl/>
              <w:adjustRightInd w:val="0"/>
              <w:snapToGrid w:val="0"/>
              <w:spacing w:line="360" w:lineRule="auto"/>
              <w:rPr>
                <w:rFonts w:ascii="Book Antiqua" w:eastAsia="宋体" w:hAnsi="Book Antiqua"/>
                <w:color w:val="000000" w:themeColor="text1"/>
                <w:lang w:eastAsia="zh-CN"/>
              </w:rPr>
            </w:pPr>
            <w:r w:rsidRPr="00B82E38">
              <w:rPr>
                <w:rFonts w:ascii="Book Antiqua" w:eastAsia="宋体" w:hAnsi="Book Antiqua"/>
                <w:color w:val="000000" w:themeColor="text1"/>
                <w:lang w:eastAsia="zh-CN"/>
              </w:rPr>
              <w:t>1.059</w:t>
            </w:r>
          </w:p>
        </w:tc>
        <w:tc>
          <w:tcPr>
            <w:tcW w:w="1219" w:type="dxa"/>
            <w:tcBorders>
              <w:top w:val="single" w:sz="4" w:space="0" w:color="auto"/>
            </w:tcBorders>
            <w:shd w:val="clear" w:color="auto" w:fill="auto"/>
          </w:tcPr>
          <w:p w14:paraId="45ED6E7D" w14:textId="77777777" w:rsidR="00BA37FB" w:rsidRPr="00B82E38" w:rsidRDefault="008F363E" w:rsidP="00372A8C">
            <w:pPr>
              <w:widowControl/>
              <w:adjustRightInd w:val="0"/>
              <w:snapToGrid w:val="0"/>
              <w:spacing w:line="360" w:lineRule="auto"/>
              <w:rPr>
                <w:rFonts w:ascii="Book Antiqua" w:eastAsia="宋体" w:hAnsi="Book Antiqua"/>
                <w:color w:val="000000" w:themeColor="text1"/>
                <w:lang w:eastAsia="zh-CN"/>
              </w:rPr>
            </w:pPr>
            <w:r w:rsidRPr="00B82E38">
              <w:rPr>
                <w:rFonts w:ascii="Book Antiqua" w:eastAsia="宋体" w:hAnsi="Book Antiqua"/>
                <w:color w:val="000000" w:themeColor="text1"/>
                <w:lang w:eastAsia="zh-CN"/>
              </w:rPr>
              <w:t>0.021</w:t>
            </w:r>
            <w:r w:rsidRPr="00B82E38">
              <w:rPr>
                <w:rFonts w:ascii="Book Antiqua" w:eastAsia="宋体" w:hAnsi="Book Antiqua"/>
                <w:color w:val="000000" w:themeColor="text1"/>
                <w:vertAlign w:val="superscript"/>
                <w:lang w:eastAsia="zh-CN"/>
              </w:rPr>
              <w:t>a</w:t>
            </w:r>
          </w:p>
        </w:tc>
      </w:tr>
      <w:tr w:rsidR="00B82E38" w:rsidRPr="00B82E38" w14:paraId="17D654DB" w14:textId="77777777">
        <w:trPr>
          <w:trHeight w:val="581"/>
          <w:jc w:val="center"/>
        </w:trPr>
        <w:tc>
          <w:tcPr>
            <w:tcW w:w="2187" w:type="dxa"/>
            <w:shd w:val="clear" w:color="auto" w:fill="auto"/>
          </w:tcPr>
          <w:p w14:paraId="69E74111" w14:textId="558698BE" w:rsidR="00BA37FB" w:rsidRPr="00B82E38" w:rsidRDefault="008F363E" w:rsidP="00372A8C">
            <w:pPr>
              <w:widowControl/>
              <w:adjustRightInd w:val="0"/>
              <w:snapToGrid w:val="0"/>
              <w:spacing w:line="360" w:lineRule="auto"/>
              <w:rPr>
                <w:rFonts w:ascii="Book Antiqua" w:eastAsia="宋体" w:hAnsi="Book Antiqua"/>
                <w:color w:val="000000" w:themeColor="text1"/>
                <w:lang w:eastAsia="zh-CN"/>
              </w:rPr>
            </w:pPr>
            <w:r w:rsidRPr="00B82E38">
              <w:rPr>
                <w:rFonts w:ascii="Book Antiqua" w:eastAsia="宋体" w:hAnsi="Book Antiqua"/>
                <w:color w:val="000000" w:themeColor="text1"/>
                <w:lang w:eastAsia="zh-CN"/>
              </w:rPr>
              <w:t xml:space="preserve">Gender </w:t>
            </w:r>
            <w:r w:rsidR="00422C74">
              <w:rPr>
                <w:rFonts w:ascii="Book Antiqua" w:eastAsia="宋体" w:hAnsi="Book Antiqua"/>
                <w:color w:val="000000" w:themeColor="text1"/>
                <w:lang w:eastAsia="zh-CN"/>
              </w:rPr>
              <w:t>(</w:t>
            </w:r>
            <w:r w:rsidRPr="00B82E38">
              <w:rPr>
                <w:rFonts w:ascii="Book Antiqua" w:eastAsia="宋体" w:hAnsi="Book Antiqua"/>
                <w:color w:val="000000" w:themeColor="text1"/>
                <w:lang w:eastAsia="zh-CN"/>
              </w:rPr>
              <w:t>F/M</w:t>
            </w:r>
            <w:r w:rsidR="00422C74">
              <w:rPr>
                <w:rFonts w:ascii="Book Antiqua" w:eastAsia="宋体" w:hAnsi="Book Antiqua"/>
                <w:color w:val="000000" w:themeColor="text1"/>
                <w:lang w:eastAsia="zh-CN"/>
              </w:rPr>
              <w:t>)</w:t>
            </w:r>
          </w:p>
        </w:tc>
        <w:tc>
          <w:tcPr>
            <w:tcW w:w="1583" w:type="dxa"/>
            <w:shd w:val="clear" w:color="auto" w:fill="auto"/>
          </w:tcPr>
          <w:p w14:paraId="67B80E54" w14:textId="77777777" w:rsidR="00BA37FB" w:rsidRPr="00B82E38" w:rsidRDefault="008F363E" w:rsidP="00372A8C">
            <w:pPr>
              <w:widowControl/>
              <w:adjustRightInd w:val="0"/>
              <w:snapToGrid w:val="0"/>
              <w:spacing w:line="360" w:lineRule="auto"/>
              <w:rPr>
                <w:rFonts w:ascii="Book Antiqua" w:eastAsia="宋体" w:hAnsi="Book Antiqua"/>
                <w:color w:val="000000" w:themeColor="text1"/>
                <w:lang w:eastAsia="zh-CN"/>
              </w:rPr>
            </w:pPr>
            <w:r w:rsidRPr="00B82E38">
              <w:rPr>
                <w:rFonts w:ascii="Book Antiqua" w:eastAsia="宋体" w:hAnsi="Book Antiqua"/>
                <w:color w:val="000000" w:themeColor="text1"/>
                <w:lang w:eastAsia="zh-CN"/>
              </w:rPr>
              <w:t>0.134</w:t>
            </w:r>
          </w:p>
        </w:tc>
        <w:tc>
          <w:tcPr>
            <w:tcW w:w="993" w:type="dxa"/>
            <w:shd w:val="clear" w:color="auto" w:fill="auto"/>
          </w:tcPr>
          <w:p w14:paraId="1B0A8E99" w14:textId="77777777" w:rsidR="00BA37FB" w:rsidRPr="00B82E38" w:rsidRDefault="008F363E" w:rsidP="00372A8C">
            <w:pPr>
              <w:widowControl/>
              <w:adjustRightInd w:val="0"/>
              <w:snapToGrid w:val="0"/>
              <w:spacing w:line="360" w:lineRule="auto"/>
              <w:rPr>
                <w:rFonts w:ascii="Book Antiqua" w:eastAsia="宋体" w:hAnsi="Book Antiqua"/>
                <w:color w:val="000000" w:themeColor="text1"/>
                <w:lang w:eastAsia="zh-CN"/>
              </w:rPr>
            </w:pPr>
            <w:r w:rsidRPr="00B82E38">
              <w:rPr>
                <w:rFonts w:ascii="Book Antiqua" w:eastAsia="宋体" w:hAnsi="Book Antiqua"/>
                <w:color w:val="000000" w:themeColor="text1"/>
                <w:lang w:eastAsia="zh-CN"/>
              </w:rPr>
              <w:t>1.143</w:t>
            </w:r>
          </w:p>
        </w:tc>
        <w:tc>
          <w:tcPr>
            <w:tcW w:w="1094" w:type="dxa"/>
            <w:shd w:val="clear" w:color="auto" w:fill="auto"/>
          </w:tcPr>
          <w:p w14:paraId="7F0D5480" w14:textId="77777777" w:rsidR="00BA37FB" w:rsidRPr="00B82E38" w:rsidRDefault="008F363E" w:rsidP="00372A8C">
            <w:pPr>
              <w:widowControl/>
              <w:adjustRightInd w:val="0"/>
              <w:snapToGrid w:val="0"/>
              <w:spacing w:line="360" w:lineRule="auto"/>
              <w:rPr>
                <w:rFonts w:ascii="Book Antiqua" w:eastAsia="宋体" w:hAnsi="Book Antiqua"/>
                <w:color w:val="000000" w:themeColor="text1"/>
                <w:lang w:eastAsia="zh-CN"/>
              </w:rPr>
            </w:pPr>
            <w:r w:rsidRPr="00B82E38">
              <w:rPr>
                <w:rFonts w:ascii="Book Antiqua" w:eastAsia="宋体" w:hAnsi="Book Antiqua"/>
                <w:color w:val="000000" w:themeColor="text1"/>
                <w:lang w:eastAsia="zh-CN"/>
              </w:rPr>
              <w:t>0.789</w:t>
            </w:r>
          </w:p>
        </w:tc>
        <w:tc>
          <w:tcPr>
            <w:tcW w:w="1315" w:type="dxa"/>
            <w:shd w:val="clear" w:color="auto" w:fill="auto"/>
          </w:tcPr>
          <w:p w14:paraId="3D6FB94C" w14:textId="77777777" w:rsidR="00BA37FB" w:rsidRPr="00B82E38" w:rsidRDefault="00BA37FB" w:rsidP="00372A8C">
            <w:pPr>
              <w:widowControl/>
              <w:adjustRightInd w:val="0"/>
              <w:snapToGrid w:val="0"/>
              <w:spacing w:line="360" w:lineRule="auto"/>
              <w:rPr>
                <w:rFonts w:ascii="Book Antiqua" w:eastAsia="宋体" w:hAnsi="Book Antiqua"/>
                <w:color w:val="000000" w:themeColor="text1"/>
                <w:lang w:eastAsia="zh-CN"/>
              </w:rPr>
            </w:pPr>
          </w:p>
        </w:tc>
        <w:tc>
          <w:tcPr>
            <w:tcW w:w="766" w:type="dxa"/>
            <w:shd w:val="clear" w:color="auto" w:fill="auto"/>
          </w:tcPr>
          <w:p w14:paraId="022469C3" w14:textId="77777777" w:rsidR="00BA37FB" w:rsidRPr="00B82E38" w:rsidRDefault="00BA37FB" w:rsidP="00372A8C">
            <w:pPr>
              <w:widowControl/>
              <w:adjustRightInd w:val="0"/>
              <w:snapToGrid w:val="0"/>
              <w:spacing w:line="360" w:lineRule="auto"/>
              <w:rPr>
                <w:rFonts w:ascii="Book Antiqua" w:eastAsia="宋体" w:hAnsi="Book Antiqua"/>
                <w:color w:val="000000" w:themeColor="text1"/>
                <w:lang w:eastAsia="zh-CN"/>
              </w:rPr>
            </w:pPr>
          </w:p>
        </w:tc>
        <w:tc>
          <w:tcPr>
            <w:tcW w:w="1219" w:type="dxa"/>
            <w:shd w:val="clear" w:color="auto" w:fill="auto"/>
          </w:tcPr>
          <w:p w14:paraId="49FA0673" w14:textId="77777777" w:rsidR="00BA37FB" w:rsidRPr="00B82E38" w:rsidRDefault="00BA37FB" w:rsidP="00372A8C">
            <w:pPr>
              <w:widowControl/>
              <w:adjustRightInd w:val="0"/>
              <w:snapToGrid w:val="0"/>
              <w:spacing w:line="360" w:lineRule="auto"/>
              <w:rPr>
                <w:rFonts w:ascii="Book Antiqua" w:eastAsia="宋体" w:hAnsi="Book Antiqua"/>
                <w:color w:val="000000" w:themeColor="text1"/>
                <w:lang w:eastAsia="zh-CN"/>
              </w:rPr>
            </w:pPr>
          </w:p>
        </w:tc>
      </w:tr>
      <w:tr w:rsidR="00B82E38" w:rsidRPr="00B82E38" w14:paraId="40096FAF" w14:textId="77777777">
        <w:trPr>
          <w:trHeight w:val="2842"/>
          <w:jc w:val="center"/>
        </w:trPr>
        <w:tc>
          <w:tcPr>
            <w:tcW w:w="2187" w:type="dxa"/>
            <w:shd w:val="clear" w:color="auto" w:fill="auto"/>
          </w:tcPr>
          <w:p w14:paraId="14820F55" w14:textId="279E91FC" w:rsidR="00BA37FB" w:rsidRPr="00B82E38" w:rsidRDefault="008F363E" w:rsidP="00372A8C">
            <w:pPr>
              <w:widowControl/>
              <w:adjustRightInd w:val="0"/>
              <w:snapToGrid w:val="0"/>
              <w:spacing w:line="360" w:lineRule="auto"/>
              <w:rPr>
                <w:rFonts w:ascii="Book Antiqua" w:eastAsia="宋体" w:hAnsi="Book Antiqua"/>
                <w:color w:val="000000" w:themeColor="text1"/>
                <w:lang w:eastAsia="zh-CN"/>
              </w:rPr>
            </w:pPr>
            <w:r w:rsidRPr="00B82E38">
              <w:rPr>
                <w:rFonts w:ascii="Book Antiqua" w:eastAsia="宋体" w:hAnsi="Book Antiqua"/>
                <w:color w:val="000000" w:themeColor="text1"/>
                <w:lang w:eastAsia="zh-CN"/>
              </w:rPr>
              <w:t>TIPS indication (variceal bleeding/ascites/bleeding combine</w:t>
            </w:r>
            <w:r w:rsidR="00422C74">
              <w:rPr>
                <w:rFonts w:ascii="Book Antiqua" w:eastAsia="宋体" w:hAnsi="Book Antiqua"/>
                <w:color w:val="000000" w:themeColor="text1"/>
                <w:lang w:eastAsia="zh-CN"/>
              </w:rPr>
              <w:t>d</w:t>
            </w:r>
            <w:r w:rsidRPr="00B82E38">
              <w:rPr>
                <w:rFonts w:ascii="Book Antiqua" w:eastAsia="宋体" w:hAnsi="Book Antiqua"/>
                <w:color w:val="000000" w:themeColor="text1"/>
                <w:lang w:eastAsia="zh-CN"/>
              </w:rPr>
              <w:t xml:space="preserve"> with ascites/other)</w:t>
            </w:r>
          </w:p>
        </w:tc>
        <w:tc>
          <w:tcPr>
            <w:tcW w:w="1583" w:type="dxa"/>
            <w:shd w:val="clear" w:color="auto" w:fill="auto"/>
          </w:tcPr>
          <w:p w14:paraId="5C92E514" w14:textId="77777777" w:rsidR="00BA37FB" w:rsidRPr="00B82E38" w:rsidRDefault="008F363E" w:rsidP="00372A8C">
            <w:pPr>
              <w:widowControl/>
              <w:adjustRightInd w:val="0"/>
              <w:snapToGrid w:val="0"/>
              <w:spacing w:line="360" w:lineRule="auto"/>
              <w:rPr>
                <w:rFonts w:ascii="Book Antiqua" w:eastAsia="宋体" w:hAnsi="Book Antiqua"/>
                <w:color w:val="000000" w:themeColor="text1"/>
                <w:lang w:eastAsia="zh-CN"/>
              </w:rPr>
            </w:pPr>
            <w:r w:rsidRPr="00B82E38">
              <w:rPr>
                <w:rFonts w:ascii="Book Antiqua" w:eastAsia="宋体" w:hAnsi="Book Antiqua"/>
                <w:color w:val="000000" w:themeColor="text1"/>
                <w:lang w:eastAsia="zh-CN"/>
              </w:rPr>
              <w:t>0.147</w:t>
            </w:r>
          </w:p>
        </w:tc>
        <w:tc>
          <w:tcPr>
            <w:tcW w:w="993" w:type="dxa"/>
            <w:shd w:val="clear" w:color="auto" w:fill="auto"/>
          </w:tcPr>
          <w:p w14:paraId="0A6B08C2" w14:textId="77777777" w:rsidR="00BA37FB" w:rsidRPr="00B82E38" w:rsidRDefault="008F363E" w:rsidP="00372A8C">
            <w:pPr>
              <w:widowControl/>
              <w:adjustRightInd w:val="0"/>
              <w:snapToGrid w:val="0"/>
              <w:spacing w:line="360" w:lineRule="auto"/>
              <w:rPr>
                <w:rFonts w:ascii="Book Antiqua" w:eastAsia="宋体" w:hAnsi="Book Antiqua"/>
                <w:color w:val="000000" w:themeColor="text1"/>
                <w:lang w:eastAsia="zh-CN"/>
              </w:rPr>
            </w:pPr>
            <w:r w:rsidRPr="00B82E38">
              <w:rPr>
                <w:rFonts w:ascii="Book Antiqua" w:eastAsia="宋体" w:hAnsi="Book Antiqua"/>
                <w:color w:val="000000" w:themeColor="text1"/>
                <w:lang w:eastAsia="zh-CN"/>
              </w:rPr>
              <w:t>1.159</w:t>
            </w:r>
          </w:p>
        </w:tc>
        <w:tc>
          <w:tcPr>
            <w:tcW w:w="1094" w:type="dxa"/>
            <w:shd w:val="clear" w:color="auto" w:fill="auto"/>
          </w:tcPr>
          <w:p w14:paraId="473BC1CF" w14:textId="77777777" w:rsidR="00BA37FB" w:rsidRPr="00B82E38" w:rsidRDefault="008F363E" w:rsidP="00372A8C">
            <w:pPr>
              <w:widowControl/>
              <w:adjustRightInd w:val="0"/>
              <w:snapToGrid w:val="0"/>
              <w:spacing w:line="360" w:lineRule="auto"/>
              <w:rPr>
                <w:rFonts w:ascii="Book Antiqua" w:eastAsia="宋体" w:hAnsi="Book Antiqua"/>
                <w:color w:val="000000" w:themeColor="text1"/>
                <w:lang w:eastAsia="zh-CN"/>
              </w:rPr>
            </w:pPr>
            <w:r w:rsidRPr="00B82E38">
              <w:rPr>
                <w:rFonts w:ascii="Book Antiqua" w:eastAsia="宋体" w:hAnsi="Book Antiqua"/>
                <w:color w:val="000000" w:themeColor="text1"/>
                <w:lang w:eastAsia="zh-CN"/>
              </w:rPr>
              <w:t>0.522</w:t>
            </w:r>
          </w:p>
        </w:tc>
        <w:tc>
          <w:tcPr>
            <w:tcW w:w="1315" w:type="dxa"/>
            <w:shd w:val="clear" w:color="auto" w:fill="auto"/>
          </w:tcPr>
          <w:p w14:paraId="5A86F90A" w14:textId="77777777" w:rsidR="00BA37FB" w:rsidRPr="00B82E38" w:rsidRDefault="00BA37FB" w:rsidP="00372A8C">
            <w:pPr>
              <w:widowControl/>
              <w:adjustRightInd w:val="0"/>
              <w:snapToGrid w:val="0"/>
              <w:spacing w:line="360" w:lineRule="auto"/>
              <w:ind w:firstLineChars="100" w:firstLine="240"/>
              <w:rPr>
                <w:rFonts w:ascii="Book Antiqua" w:eastAsia="宋体" w:hAnsi="Book Antiqua"/>
                <w:color w:val="000000" w:themeColor="text1"/>
                <w:lang w:eastAsia="zh-CN"/>
              </w:rPr>
            </w:pPr>
          </w:p>
        </w:tc>
        <w:tc>
          <w:tcPr>
            <w:tcW w:w="766" w:type="dxa"/>
            <w:shd w:val="clear" w:color="auto" w:fill="auto"/>
          </w:tcPr>
          <w:p w14:paraId="070CE27B" w14:textId="77777777" w:rsidR="00BA37FB" w:rsidRPr="00B82E38" w:rsidRDefault="00BA37FB" w:rsidP="00372A8C">
            <w:pPr>
              <w:widowControl/>
              <w:adjustRightInd w:val="0"/>
              <w:snapToGrid w:val="0"/>
              <w:spacing w:line="360" w:lineRule="auto"/>
              <w:ind w:firstLineChars="100" w:firstLine="240"/>
              <w:rPr>
                <w:rFonts w:ascii="Book Antiqua" w:eastAsia="宋体" w:hAnsi="Book Antiqua"/>
                <w:color w:val="000000" w:themeColor="text1"/>
                <w:lang w:eastAsia="zh-CN"/>
              </w:rPr>
            </w:pPr>
          </w:p>
        </w:tc>
        <w:tc>
          <w:tcPr>
            <w:tcW w:w="1219" w:type="dxa"/>
            <w:shd w:val="clear" w:color="auto" w:fill="auto"/>
          </w:tcPr>
          <w:p w14:paraId="1459471A" w14:textId="77777777" w:rsidR="00BA37FB" w:rsidRPr="00B82E38" w:rsidRDefault="00BA37FB" w:rsidP="00372A8C">
            <w:pPr>
              <w:widowControl/>
              <w:adjustRightInd w:val="0"/>
              <w:snapToGrid w:val="0"/>
              <w:spacing w:line="360" w:lineRule="auto"/>
              <w:ind w:firstLineChars="100" w:firstLine="240"/>
              <w:rPr>
                <w:rFonts w:ascii="Book Antiqua" w:eastAsia="宋体" w:hAnsi="Book Antiqua"/>
                <w:color w:val="000000" w:themeColor="text1"/>
                <w:lang w:eastAsia="zh-CN"/>
              </w:rPr>
            </w:pPr>
          </w:p>
        </w:tc>
      </w:tr>
      <w:tr w:rsidR="00B82E38" w:rsidRPr="00B82E38" w14:paraId="6246AA1B" w14:textId="77777777">
        <w:trPr>
          <w:trHeight w:val="90"/>
          <w:jc w:val="center"/>
        </w:trPr>
        <w:tc>
          <w:tcPr>
            <w:tcW w:w="2187" w:type="dxa"/>
            <w:shd w:val="clear" w:color="auto" w:fill="auto"/>
          </w:tcPr>
          <w:p w14:paraId="450E721A" w14:textId="77777777" w:rsidR="00BA37FB" w:rsidRPr="00B82E38" w:rsidRDefault="008F363E" w:rsidP="00372A8C">
            <w:pPr>
              <w:widowControl/>
              <w:adjustRightInd w:val="0"/>
              <w:snapToGrid w:val="0"/>
              <w:spacing w:line="360" w:lineRule="auto"/>
              <w:rPr>
                <w:rFonts w:ascii="Book Antiqua" w:eastAsia="宋体" w:hAnsi="Book Antiqua"/>
                <w:color w:val="000000" w:themeColor="text1"/>
                <w:lang w:eastAsia="zh-CN"/>
              </w:rPr>
            </w:pPr>
            <w:r w:rsidRPr="00B82E38">
              <w:rPr>
                <w:rFonts w:ascii="Book Antiqua" w:eastAsia="宋体" w:hAnsi="Book Antiqua"/>
                <w:color w:val="000000" w:themeColor="text1"/>
                <w:lang w:eastAsia="zh-CN"/>
              </w:rPr>
              <w:t xml:space="preserve">Cirrhotic </w:t>
            </w:r>
            <w:proofErr w:type="spellStart"/>
            <w:r w:rsidRPr="00B82E38">
              <w:rPr>
                <w:rFonts w:ascii="Book Antiqua" w:eastAsia="宋体" w:hAnsi="Book Antiqua"/>
                <w:color w:val="000000" w:themeColor="text1"/>
                <w:lang w:eastAsia="zh-CN"/>
              </w:rPr>
              <w:t>aetiology</w:t>
            </w:r>
            <w:proofErr w:type="spellEnd"/>
            <w:r w:rsidRPr="00B82E38">
              <w:rPr>
                <w:rFonts w:ascii="Book Antiqua" w:eastAsia="宋体" w:hAnsi="Book Antiqua"/>
                <w:color w:val="000000" w:themeColor="text1"/>
                <w:lang w:eastAsia="zh-CN"/>
              </w:rPr>
              <w:t xml:space="preserve"> (viral/alcoholic/biliary/drug-induced/autoimmune)</w:t>
            </w:r>
          </w:p>
        </w:tc>
        <w:tc>
          <w:tcPr>
            <w:tcW w:w="1583" w:type="dxa"/>
            <w:shd w:val="clear" w:color="auto" w:fill="auto"/>
          </w:tcPr>
          <w:p w14:paraId="563C2E01" w14:textId="77777777" w:rsidR="00BA37FB" w:rsidRPr="00B82E38" w:rsidRDefault="008F363E" w:rsidP="00372A8C">
            <w:pPr>
              <w:widowControl/>
              <w:adjustRightInd w:val="0"/>
              <w:snapToGrid w:val="0"/>
              <w:spacing w:line="360" w:lineRule="auto"/>
              <w:ind w:firstLineChars="100" w:firstLine="240"/>
              <w:rPr>
                <w:rFonts w:ascii="Book Antiqua" w:eastAsia="宋体" w:hAnsi="Book Antiqua"/>
                <w:color w:val="000000" w:themeColor="text1"/>
                <w:lang w:eastAsia="zh-CN"/>
              </w:rPr>
            </w:pPr>
            <w:r w:rsidRPr="00B82E38">
              <w:rPr>
                <w:rFonts w:ascii="Book Antiqua" w:eastAsia="宋体" w:hAnsi="Book Antiqua"/>
                <w:color w:val="000000" w:themeColor="text1"/>
                <w:lang w:eastAsia="zh-CN"/>
              </w:rPr>
              <w:t>0.053</w:t>
            </w:r>
          </w:p>
        </w:tc>
        <w:tc>
          <w:tcPr>
            <w:tcW w:w="993" w:type="dxa"/>
            <w:shd w:val="clear" w:color="auto" w:fill="auto"/>
          </w:tcPr>
          <w:p w14:paraId="5DBDBF0B" w14:textId="77777777" w:rsidR="00BA37FB" w:rsidRPr="00B82E38" w:rsidRDefault="008F363E" w:rsidP="00372A8C">
            <w:pPr>
              <w:widowControl/>
              <w:adjustRightInd w:val="0"/>
              <w:snapToGrid w:val="0"/>
              <w:spacing w:line="360" w:lineRule="auto"/>
              <w:rPr>
                <w:rFonts w:ascii="Book Antiqua" w:eastAsia="宋体" w:hAnsi="Book Antiqua"/>
                <w:color w:val="000000" w:themeColor="text1"/>
                <w:lang w:eastAsia="zh-CN"/>
              </w:rPr>
            </w:pPr>
            <w:r w:rsidRPr="00B82E38">
              <w:rPr>
                <w:rFonts w:ascii="Book Antiqua" w:eastAsia="宋体" w:hAnsi="Book Antiqua"/>
                <w:color w:val="000000" w:themeColor="text1"/>
                <w:lang w:eastAsia="zh-CN"/>
              </w:rPr>
              <w:t>0.761</w:t>
            </w:r>
          </w:p>
        </w:tc>
        <w:tc>
          <w:tcPr>
            <w:tcW w:w="1094" w:type="dxa"/>
            <w:shd w:val="clear" w:color="auto" w:fill="auto"/>
          </w:tcPr>
          <w:p w14:paraId="5356EB4D" w14:textId="77777777" w:rsidR="00BA37FB" w:rsidRPr="00B82E38" w:rsidRDefault="008F363E" w:rsidP="00372A8C">
            <w:pPr>
              <w:widowControl/>
              <w:adjustRightInd w:val="0"/>
              <w:snapToGrid w:val="0"/>
              <w:spacing w:line="360" w:lineRule="auto"/>
              <w:rPr>
                <w:rFonts w:ascii="Book Antiqua" w:eastAsia="宋体" w:hAnsi="Book Antiqua"/>
                <w:color w:val="000000" w:themeColor="text1"/>
                <w:lang w:eastAsia="zh-CN"/>
              </w:rPr>
            </w:pPr>
            <w:r w:rsidRPr="00B82E38">
              <w:rPr>
                <w:rFonts w:ascii="Book Antiqua" w:eastAsia="宋体" w:hAnsi="Book Antiqua"/>
                <w:color w:val="000000" w:themeColor="text1"/>
                <w:lang w:eastAsia="zh-CN"/>
              </w:rPr>
              <w:t>0.437</w:t>
            </w:r>
          </w:p>
        </w:tc>
        <w:tc>
          <w:tcPr>
            <w:tcW w:w="1315" w:type="dxa"/>
            <w:shd w:val="clear" w:color="auto" w:fill="auto"/>
          </w:tcPr>
          <w:p w14:paraId="488DCECD" w14:textId="77777777" w:rsidR="00BA37FB" w:rsidRPr="00B82E38" w:rsidRDefault="00BA37FB" w:rsidP="00372A8C">
            <w:pPr>
              <w:widowControl/>
              <w:adjustRightInd w:val="0"/>
              <w:snapToGrid w:val="0"/>
              <w:spacing w:line="360" w:lineRule="auto"/>
              <w:ind w:firstLineChars="100" w:firstLine="240"/>
              <w:rPr>
                <w:rFonts w:ascii="Book Antiqua" w:eastAsia="宋体" w:hAnsi="Book Antiqua"/>
                <w:color w:val="000000" w:themeColor="text1"/>
                <w:lang w:eastAsia="zh-CN"/>
              </w:rPr>
            </w:pPr>
          </w:p>
        </w:tc>
        <w:tc>
          <w:tcPr>
            <w:tcW w:w="766" w:type="dxa"/>
            <w:shd w:val="clear" w:color="auto" w:fill="auto"/>
          </w:tcPr>
          <w:p w14:paraId="0343628C" w14:textId="77777777" w:rsidR="00BA37FB" w:rsidRPr="00B82E38" w:rsidRDefault="00BA37FB" w:rsidP="00372A8C">
            <w:pPr>
              <w:widowControl/>
              <w:adjustRightInd w:val="0"/>
              <w:snapToGrid w:val="0"/>
              <w:spacing w:line="360" w:lineRule="auto"/>
              <w:ind w:firstLineChars="100" w:firstLine="240"/>
              <w:rPr>
                <w:rFonts w:ascii="Book Antiqua" w:eastAsia="宋体" w:hAnsi="Book Antiqua"/>
                <w:color w:val="000000" w:themeColor="text1"/>
                <w:lang w:eastAsia="zh-CN"/>
              </w:rPr>
            </w:pPr>
          </w:p>
        </w:tc>
        <w:tc>
          <w:tcPr>
            <w:tcW w:w="1219" w:type="dxa"/>
            <w:shd w:val="clear" w:color="auto" w:fill="auto"/>
          </w:tcPr>
          <w:p w14:paraId="4B2840B1" w14:textId="77777777" w:rsidR="00BA37FB" w:rsidRPr="00B82E38" w:rsidRDefault="00BA37FB" w:rsidP="00372A8C">
            <w:pPr>
              <w:widowControl/>
              <w:adjustRightInd w:val="0"/>
              <w:snapToGrid w:val="0"/>
              <w:spacing w:line="360" w:lineRule="auto"/>
              <w:ind w:firstLineChars="100" w:firstLine="240"/>
              <w:rPr>
                <w:rFonts w:ascii="Book Antiqua" w:eastAsia="宋体" w:hAnsi="Book Antiqua"/>
                <w:color w:val="000000" w:themeColor="text1"/>
                <w:lang w:eastAsia="zh-CN"/>
              </w:rPr>
            </w:pPr>
          </w:p>
        </w:tc>
      </w:tr>
      <w:tr w:rsidR="00B82E38" w:rsidRPr="00B82E38" w14:paraId="08279D93" w14:textId="77777777">
        <w:trPr>
          <w:trHeight w:val="980"/>
          <w:jc w:val="center"/>
        </w:trPr>
        <w:tc>
          <w:tcPr>
            <w:tcW w:w="2187" w:type="dxa"/>
            <w:shd w:val="clear" w:color="auto" w:fill="auto"/>
          </w:tcPr>
          <w:p w14:paraId="4BF8BC8D" w14:textId="77777777" w:rsidR="00BA37FB" w:rsidRPr="00B82E38"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B82E38">
              <w:rPr>
                <w:rFonts w:ascii="Book Antiqua" w:eastAsia="宋体" w:hAnsi="Book Antiqua"/>
                <w:color w:val="000000" w:themeColor="text1"/>
              </w:rPr>
              <w:t>Preoperative HVPG</w:t>
            </w:r>
          </w:p>
        </w:tc>
        <w:tc>
          <w:tcPr>
            <w:tcW w:w="1583" w:type="dxa"/>
            <w:shd w:val="clear" w:color="auto" w:fill="auto"/>
          </w:tcPr>
          <w:p w14:paraId="206658E6" w14:textId="77777777" w:rsidR="00BA37FB" w:rsidRPr="00B82E38"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B82E38">
              <w:rPr>
                <w:rFonts w:ascii="Book Antiqua" w:eastAsia="宋体" w:hAnsi="Book Antiqua"/>
                <w:color w:val="000000" w:themeColor="text1"/>
              </w:rPr>
              <w:t>0.019</w:t>
            </w:r>
          </w:p>
        </w:tc>
        <w:tc>
          <w:tcPr>
            <w:tcW w:w="993" w:type="dxa"/>
            <w:shd w:val="clear" w:color="auto" w:fill="auto"/>
          </w:tcPr>
          <w:p w14:paraId="116D23B5" w14:textId="77777777" w:rsidR="00BA37FB" w:rsidRPr="00B82E38"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B82E38">
              <w:rPr>
                <w:rFonts w:ascii="Book Antiqua" w:eastAsia="宋体" w:hAnsi="Book Antiqua"/>
                <w:color w:val="000000" w:themeColor="text1"/>
              </w:rPr>
              <w:t>1.019</w:t>
            </w:r>
          </w:p>
        </w:tc>
        <w:tc>
          <w:tcPr>
            <w:tcW w:w="1094" w:type="dxa"/>
            <w:shd w:val="clear" w:color="auto" w:fill="auto"/>
          </w:tcPr>
          <w:p w14:paraId="22FF9A6B" w14:textId="77777777" w:rsidR="00BA37FB" w:rsidRPr="00B82E38"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B82E38">
              <w:rPr>
                <w:rFonts w:ascii="Book Antiqua" w:eastAsia="宋体" w:hAnsi="Book Antiqua"/>
                <w:color w:val="000000" w:themeColor="text1"/>
              </w:rPr>
              <w:t>0.502</w:t>
            </w:r>
          </w:p>
        </w:tc>
        <w:tc>
          <w:tcPr>
            <w:tcW w:w="1315" w:type="dxa"/>
            <w:shd w:val="clear" w:color="auto" w:fill="auto"/>
          </w:tcPr>
          <w:p w14:paraId="42D3AF2C" w14:textId="77777777" w:rsidR="00BA37FB" w:rsidRPr="00B82E38" w:rsidRDefault="00BA37FB" w:rsidP="00372A8C">
            <w:pPr>
              <w:pStyle w:val="a7"/>
              <w:widowControl/>
              <w:adjustRightInd w:val="0"/>
              <w:snapToGrid w:val="0"/>
              <w:spacing w:beforeAutospacing="0" w:afterAutospacing="0" w:line="360" w:lineRule="auto"/>
              <w:rPr>
                <w:rFonts w:ascii="Book Antiqua" w:eastAsia="宋体" w:hAnsi="Book Antiqua"/>
                <w:color w:val="000000" w:themeColor="text1"/>
              </w:rPr>
            </w:pPr>
          </w:p>
        </w:tc>
        <w:tc>
          <w:tcPr>
            <w:tcW w:w="766" w:type="dxa"/>
            <w:shd w:val="clear" w:color="auto" w:fill="auto"/>
          </w:tcPr>
          <w:p w14:paraId="4DF3FC95" w14:textId="77777777" w:rsidR="00BA37FB" w:rsidRPr="00B82E38" w:rsidRDefault="00BA37FB" w:rsidP="00372A8C">
            <w:pPr>
              <w:pStyle w:val="a7"/>
              <w:widowControl/>
              <w:adjustRightInd w:val="0"/>
              <w:snapToGrid w:val="0"/>
              <w:spacing w:beforeAutospacing="0" w:afterAutospacing="0" w:line="360" w:lineRule="auto"/>
              <w:rPr>
                <w:rFonts w:ascii="Book Antiqua" w:eastAsia="宋体" w:hAnsi="Book Antiqua"/>
                <w:color w:val="000000" w:themeColor="text1"/>
              </w:rPr>
            </w:pPr>
          </w:p>
        </w:tc>
        <w:tc>
          <w:tcPr>
            <w:tcW w:w="1219" w:type="dxa"/>
            <w:shd w:val="clear" w:color="auto" w:fill="auto"/>
          </w:tcPr>
          <w:p w14:paraId="242DB28D" w14:textId="77777777" w:rsidR="00BA37FB" w:rsidRPr="00B82E38" w:rsidRDefault="00BA37FB" w:rsidP="00372A8C">
            <w:pPr>
              <w:pStyle w:val="a7"/>
              <w:widowControl/>
              <w:adjustRightInd w:val="0"/>
              <w:snapToGrid w:val="0"/>
              <w:spacing w:beforeAutospacing="0" w:afterAutospacing="0" w:line="360" w:lineRule="auto"/>
              <w:rPr>
                <w:rFonts w:ascii="Book Antiqua" w:eastAsia="宋体" w:hAnsi="Book Antiqua"/>
                <w:color w:val="000000" w:themeColor="text1"/>
              </w:rPr>
            </w:pPr>
          </w:p>
        </w:tc>
      </w:tr>
      <w:tr w:rsidR="00B82E38" w:rsidRPr="00B82E38" w14:paraId="18F1525B" w14:textId="77777777">
        <w:trPr>
          <w:trHeight w:val="568"/>
          <w:jc w:val="center"/>
        </w:trPr>
        <w:tc>
          <w:tcPr>
            <w:tcW w:w="2187" w:type="dxa"/>
            <w:shd w:val="clear" w:color="auto" w:fill="auto"/>
          </w:tcPr>
          <w:p w14:paraId="72D4B56A" w14:textId="77777777" w:rsidR="00BA37FB" w:rsidRPr="00B82E38"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B82E38">
              <w:rPr>
                <w:rFonts w:ascii="Book Antiqua" w:eastAsia="宋体" w:hAnsi="Book Antiqua"/>
                <w:color w:val="000000" w:themeColor="text1"/>
              </w:rPr>
              <w:t>Preoperative PPG</w:t>
            </w:r>
          </w:p>
        </w:tc>
        <w:tc>
          <w:tcPr>
            <w:tcW w:w="1583" w:type="dxa"/>
            <w:shd w:val="clear" w:color="auto" w:fill="auto"/>
          </w:tcPr>
          <w:p w14:paraId="6540995E" w14:textId="77777777" w:rsidR="00BA37FB" w:rsidRPr="00B82E38"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B82E38">
              <w:rPr>
                <w:rFonts w:ascii="Book Antiqua" w:eastAsia="宋体" w:hAnsi="Book Antiqua"/>
                <w:color w:val="000000" w:themeColor="text1"/>
              </w:rPr>
              <w:t>0.022</w:t>
            </w:r>
          </w:p>
        </w:tc>
        <w:tc>
          <w:tcPr>
            <w:tcW w:w="993" w:type="dxa"/>
            <w:shd w:val="clear" w:color="auto" w:fill="auto"/>
          </w:tcPr>
          <w:p w14:paraId="7A48A0B5" w14:textId="77777777" w:rsidR="00BA37FB" w:rsidRPr="00B82E38"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B82E38">
              <w:rPr>
                <w:rFonts w:ascii="Book Antiqua" w:eastAsia="宋体" w:hAnsi="Book Antiqua"/>
                <w:color w:val="000000" w:themeColor="text1"/>
              </w:rPr>
              <w:t>1.023</w:t>
            </w:r>
          </w:p>
        </w:tc>
        <w:tc>
          <w:tcPr>
            <w:tcW w:w="1094" w:type="dxa"/>
            <w:shd w:val="clear" w:color="auto" w:fill="auto"/>
          </w:tcPr>
          <w:p w14:paraId="4F4A3FBB" w14:textId="77777777" w:rsidR="00BA37FB" w:rsidRPr="00B82E38"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B82E38">
              <w:rPr>
                <w:rFonts w:ascii="Book Antiqua" w:eastAsia="宋体" w:hAnsi="Book Antiqua"/>
                <w:color w:val="000000" w:themeColor="text1"/>
              </w:rPr>
              <w:t>0.289</w:t>
            </w:r>
          </w:p>
        </w:tc>
        <w:tc>
          <w:tcPr>
            <w:tcW w:w="1315" w:type="dxa"/>
            <w:shd w:val="clear" w:color="auto" w:fill="auto"/>
          </w:tcPr>
          <w:p w14:paraId="6E7BCC10" w14:textId="77777777" w:rsidR="00BA37FB" w:rsidRPr="00B82E38" w:rsidRDefault="00BA37FB" w:rsidP="00372A8C">
            <w:pPr>
              <w:pStyle w:val="a7"/>
              <w:widowControl/>
              <w:adjustRightInd w:val="0"/>
              <w:snapToGrid w:val="0"/>
              <w:spacing w:beforeAutospacing="0" w:afterAutospacing="0" w:line="360" w:lineRule="auto"/>
              <w:rPr>
                <w:rFonts w:ascii="Book Antiqua" w:eastAsia="宋体" w:hAnsi="Book Antiqua"/>
                <w:color w:val="000000" w:themeColor="text1"/>
              </w:rPr>
            </w:pPr>
          </w:p>
        </w:tc>
        <w:tc>
          <w:tcPr>
            <w:tcW w:w="766" w:type="dxa"/>
            <w:shd w:val="clear" w:color="auto" w:fill="auto"/>
          </w:tcPr>
          <w:p w14:paraId="1E506791" w14:textId="77777777" w:rsidR="00BA37FB" w:rsidRPr="00B82E38" w:rsidRDefault="00BA37FB" w:rsidP="00372A8C">
            <w:pPr>
              <w:pStyle w:val="a7"/>
              <w:widowControl/>
              <w:adjustRightInd w:val="0"/>
              <w:snapToGrid w:val="0"/>
              <w:spacing w:beforeAutospacing="0" w:afterAutospacing="0" w:line="360" w:lineRule="auto"/>
              <w:rPr>
                <w:rFonts w:ascii="Book Antiqua" w:eastAsia="宋体" w:hAnsi="Book Antiqua"/>
                <w:color w:val="000000" w:themeColor="text1"/>
              </w:rPr>
            </w:pPr>
          </w:p>
        </w:tc>
        <w:tc>
          <w:tcPr>
            <w:tcW w:w="1219" w:type="dxa"/>
            <w:shd w:val="clear" w:color="auto" w:fill="auto"/>
          </w:tcPr>
          <w:p w14:paraId="0DA1F2EE" w14:textId="77777777" w:rsidR="00BA37FB" w:rsidRPr="00B82E38" w:rsidRDefault="00BA37FB" w:rsidP="00372A8C">
            <w:pPr>
              <w:pStyle w:val="a7"/>
              <w:widowControl/>
              <w:adjustRightInd w:val="0"/>
              <w:snapToGrid w:val="0"/>
              <w:spacing w:beforeAutospacing="0" w:afterAutospacing="0" w:line="360" w:lineRule="auto"/>
              <w:rPr>
                <w:rFonts w:ascii="Book Antiqua" w:eastAsia="宋体" w:hAnsi="Book Antiqua"/>
                <w:color w:val="000000" w:themeColor="text1"/>
              </w:rPr>
            </w:pPr>
          </w:p>
        </w:tc>
      </w:tr>
      <w:tr w:rsidR="00B82E38" w:rsidRPr="00B82E38" w14:paraId="7F5C4842" w14:textId="77777777">
        <w:trPr>
          <w:trHeight w:val="424"/>
          <w:jc w:val="center"/>
        </w:trPr>
        <w:tc>
          <w:tcPr>
            <w:tcW w:w="2187" w:type="dxa"/>
            <w:shd w:val="clear" w:color="auto" w:fill="auto"/>
          </w:tcPr>
          <w:p w14:paraId="7CF121E1" w14:textId="77777777" w:rsidR="00BA37FB" w:rsidRPr="00B82E38"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B82E38">
              <w:rPr>
                <w:rFonts w:ascii="Book Antiqua" w:eastAsia="宋体" w:hAnsi="Book Antiqua"/>
                <w:color w:val="000000" w:themeColor="text1"/>
              </w:rPr>
              <w:t>Stent size (7/8/10)</w:t>
            </w:r>
          </w:p>
        </w:tc>
        <w:tc>
          <w:tcPr>
            <w:tcW w:w="1583" w:type="dxa"/>
            <w:shd w:val="clear" w:color="auto" w:fill="auto"/>
          </w:tcPr>
          <w:p w14:paraId="49ADB71D" w14:textId="77777777" w:rsidR="00BA37FB" w:rsidRPr="00B82E38"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B82E38">
              <w:rPr>
                <w:rFonts w:ascii="Book Antiqua" w:eastAsia="宋体" w:hAnsi="Book Antiqua"/>
                <w:color w:val="000000" w:themeColor="text1"/>
              </w:rPr>
              <w:t>-0.975</w:t>
            </w:r>
          </w:p>
        </w:tc>
        <w:tc>
          <w:tcPr>
            <w:tcW w:w="993" w:type="dxa"/>
            <w:shd w:val="clear" w:color="auto" w:fill="auto"/>
          </w:tcPr>
          <w:p w14:paraId="2856AF79" w14:textId="77777777" w:rsidR="00BA37FB" w:rsidRPr="00B82E38"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B82E38">
              <w:rPr>
                <w:rFonts w:ascii="Book Antiqua" w:eastAsia="宋体" w:hAnsi="Book Antiqua"/>
                <w:color w:val="000000" w:themeColor="text1"/>
              </w:rPr>
              <w:t>0.377</w:t>
            </w:r>
          </w:p>
        </w:tc>
        <w:tc>
          <w:tcPr>
            <w:tcW w:w="1094" w:type="dxa"/>
            <w:shd w:val="clear" w:color="auto" w:fill="auto"/>
          </w:tcPr>
          <w:p w14:paraId="209689EE" w14:textId="77777777" w:rsidR="00BA37FB" w:rsidRPr="00B82E38"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B82E38">
              <w:rPr>
                <w:rFonts w:ascii="Book Antiqua" w:eastAsia="宋体" w:hAnsi="Book Antiqua"/>
                <w:color w:val="000000" w:themeColor="text1"/>
              </w:rPr>
              <w:t>0.019</w:t>
            </w:r>
            <w:r w:rsidRPr="00B82E38">
              <w:rPr>
                <w:rFonts w:ascii="Book Antiqua" w:eastAsia="宋体" w:hAnsi="Book Antiqua"/>
                <w:color w:val="000000" w:themeColor="text1"/>
                <w:vertAlign w:val="superscript"/>
              </w:rPr>
              <w:t>a</w:t>
            </w:r>
          </w:p>
        </w:tc>
        <w:tc>
          <w:tcPr>
            <w:tcW w:w="1315" w:type="dxa"/>
            <w:shd w:val="clear" w:color="auto" w:fill="auto"/>
          </w:tcPr>
          <w:p w14:paraId="4A362230" w14:textId="77777777" w:rsidR="00BA37FB" w:rsidRPr="00B82E38" w:rsidRDefault="00BA37FB" w:rsidP="00372A8C">
            <w:pPr>
              <w:pStyle w:val="a7"/>
              <w:widowControl/>
              <w:adjustRightInd w:val="0"/>
              <w:snapToGrid w:val="0"/>
              <w:spacing w:beforeAutospacing="0" w:afterAutospacing="0" w:line="360" w:lineRule="auto"/>
              <w:ind w:firstLineChars="100" w:firstLine="240"/>
              <w:rPr>
                <w:rFonts w:ascii="Book Antiqua" w:eastAsia="宋体" w:hAnsi="Book Antiqua"/>
                <w:color w:val="000000" w:themeColor="text1"/>
              </w:rPr>
            </w:pPr>
          </w:p>
        </w:tc>
        <w:tc>
          <w:tcPr>
            <w:tcW w:w="766" w:type="dxa"/>
            <w:shd w:val="clear" w:color="auto" w:fill="auto"/>
          </w:tcPr>
          <w:p w14:paraId="19CA6428" w14:textId="77777777" w:rsidR="00BA37FB" w:rsidRPr="00B82E38" w:rsidRDefault="00BA37FB" w:rsidP="00372A8C">
            <w:pPr>
              <w:pStyle w:val="a7"/>
              <w:widowControl/>
              <w:adjustRightInd w:val="0"/>
              <w:snapToGrid w:val="0"/>
              <w:spacing w:beforeAutospacing="0" w:afterAutospacing="0" w:line="360" w:lineRule="auto"/>
              <w:ind w:firstLineChars="100" w:firstLine="240"/>
              <w:rPr>
                <w:rFonts w:ascii="Book Antiqua" w:eastAsia="宋体" w:hAnsi="Book Antiqua"/>
                <w:color w:val="000000" w:themeColor="text1"/>
              </w:rPr>
            </w:pPr>
          </w:p>
        </w:tc>
        <w:tc>
          <w:tcPr>
            <w:tcW w:w="1219" w:type="dxa"/>
            <w:shd w:val="clear" w:color="auto" w:fill="auto"/>
          </w:tcPr>
          <w:p w14:paraId="04710869" w14:textId="77777777" w:rsidR="00BA37FB" w:rsidRPr="00B82E38" w:rsidRDefault="00BA37FB" w:rsidP="00372A8C">
            <w:pPr>
              <w:pStyle w:val="a7"/>
              <w:widowControl/>
              <w:adjustRightInd w:val="0"/>
              <w:snapToGrid w:val="0"/>
              <w:spacing w:beforeAutospacing="0" w:afterAutospacing="0" w:line="360" w:lineRule="auto"/>
              <w:ind w:firstLineChars="100" w:firstLine="240"/>
              <w:rPr>
                <w:rFonts w:ascii="Book Antiqua" w:eastAsia="宋体" w:hAnsi="Book Antiqua"/>
                <w:color w:val="000000" w:themeColor="text1"/>
              </w:rPr>
            </w:pPr>
          </w:p>
        </w:tc>
      </w:tr>
      <w:tr w:rsidR="00B82E38" w:rsidRPr="00B82E38" w14:paraId="2450133A" w14:textId="77777777">
        <w:trPr>
          <w:trHeight w:val="1985"/>
          <w:jc w:val="center"/>
        </w:trPr>
        <w:tc>
          <w:tcPr>
            <w:tcW w:w="2187" w:type="dxa"/>
            <w:shd w:val="clear" w:color="auto" w:fill="auto"/>
          </w:tcPr>
          <w:p w14:paraId="124CFAF3" w14:textId="77777777" w:rsidR="00BA37FB" w:rsidRPr="00B82E38"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B82E38">
              <w:rPr>
                <w:rFonts w:ascii="Book Antiqua" w:eastAsia="宋体" w:hAnsi="Book Antiqua"/>
                <w:color w:val="000000" w:themeColor="text1"/>
              </w:rPr>
              <w:lastRenderedPageBreak/>
              <w:t>Puncture site of portal vein (left branch/bifurcation/right branch)</w:t>
            </w:r>
          </w:p>
        </w:tc>
        <w:tc>
          <w:tcPr>
            <w:tcW w:w="1583" w:type="dxa"/>
            <w:shd w:val="clear" w:color="auto" w:fill="auto"/>
          </w:tcPr>
          <w:p w14:paraId="2E43F034" w14:textId="77777777" w:rsidR="00BA37FB" w:rsidRPr="00B82E38" w:rsidRDefault="008F363E" w:rsidP="00372A8C">
            <w:pPr>
              <w:adjustRightInd w:val="0"/>
              <w:snapToGrid w:val="0"/>
              <w:spacing w:line="360" w:lineRule="auto"/>
              <w:rPr>
                <w:rFonts w:ascii="Book Antiqua" w:eastAsia="宋体" w:hAnsi="Book Antiqua"/>
                <w:color w:val="000000" w:themeColor="text1"/>
                <w:lang w:eastAsia="zh-CN"/>
              </w:rPr>
            </w:pPr>
            <w:r w:rsidRPr="00B82E38">
              <w:rPr>
                <w:rFonts w:ascii="Book Antiqua" w:eastAsia="宋体" w:hAnsi="Book Antiqua"/>
                <w:color w:val="000000" w:themeColor="text1"/>
                <w:lang w:eastAsia="zh-CN"/>
              </w:rPr>
              <w:t>0.763</w:t>
            </w:r>
          </w:p>
        </w:tc>
        <w:tc>
          <w:tcPr>
            <w:tcW w:w="993" w:type="dxa"/>
            <w:shd w:val="clear" w:color="auto" w:fill="auto"/>
          </w:tcPr>
          <w:p w14:paraId="7F62D001" w14:textId="77777777" w:rsidR="00BA37FB" w:rsidRPr="00B82E38" w:rsidRDefault="008F363E" w:rsidP="00372A8C">
            <w:pPr>
              <w:adjustRightInd w:val="0"/>
              <w:snapToGrid w:val="0"/>
              <w:spacing w:line="360" w:lineRule="auto"/>
              <w:rPr>
                <w:rFonts w:ascii="Book Antiqua" w:eastAsia="宋体" w:hAnsi="Book Antiqua"/>
                <w:color w:val="000000" w:themeColor="text1"/>
                <w:lang w:eastAsia="zh-CN"/>
              </w:rPr>
            </w:pPr>
            <w:r w:rsidRPr="00B82E38">
              <w:rPr>
                <w:rFonts w:ascii="Book Antiqua" w:eastAsia="宋体" w:hAnsi="Book Antiqua"/>
                <w:color w:val="000000" w:themeColor="text1"/>
                <w:lang w:eastAsia="zh-CN"/>
              </w:rPr>
              <w:t>2.145</w:t>
            </w:r>
          </w:p>
        </w:tc>
        <w:tc>
          <w:tcPr>
            <w:tcW w:w="1094" w:type="dxa"/>
            <w:shd w:val="clear" w:color="auto" w:fill="auto"/>
          </w:tcPr>
          <w:p w14:paraId="0CD2C3C2" w14:textId="77777777" w:rsidR="00BA37FB" w:rsidRPr="00B82E38" w:rsidRDefault="008F363E" w:rsidP="00372A8C">
            <w:pPr>
              <w:adjustRightInd w:val="0"/>
              <w:snapToGrid w:val="0"/>
              <w:spacing w:line="360" w:lineRule="auto"/>
              <w:rPr>
                <w:rFonts w:ascii="Book Antiqua" w:eastAsia="宋体" w:hAnsi="Book Antiqua"/>
                <w:color w:val="000000" w:themeColor="text1"/>
                <w:lang w:eastAsia="zh-CN"/>
              </w:rPr>
            </w:pPr>
            <w:r w:rsidRPr="00B82E38">
              <w:rPr>
                <w:rFonts w:ascii="Book Antiqua" w:eastAsia="宋体" w:hAnsi="Book Antiqua"/>
                <w:color w:val="000000" w:themeColor="text1"/>
                <w:lang w:eastAsia="zh-CN"/>
              </w:rPr>
              <w:t>0.006</w:t>
            </w:r>
            <w:r w:rsidRPr="00B82E38">
              <w:rPr>
                <w:rFonts w:ascii="Book Antiqua" w:eastAsia="宋体" w:hAnsi="Book Antiqua"/>
                <w:color w:val="000000" w:themeColor="text1"/>
                <w:vertAlign w:val="superscript"/>
                <w:lang w:eastAsia="zh-CN"/>
              </w:rPr>
              <w:t>b</w:t>
            </w:r>
          </w:p>
        </w:tc>
        <w:tc>
          <w:tcPr>
            <w:tcW w:w="1315" w:type="dxa"/>
            <w:shd w:val="clear" w:color="auto" w:fill="auto"/>
          </w:tcPr>
          <w:p w14:paraId="0CAC93AA" w14:textId="77777777" w:rsidR="00BA37FB" w:rsidRPr="00B82E38" w:rsidRDefault="008F363E" w:rsidP="00372A8C">
            <w:pPr>
              <w:widowControl/>
              <w:adjustRightInd w:val="0"/>
              <w:snapToGrid w:val="0"/>
              <w:spacing w:line="360" w:lineRule="auto"/>
              <w:rPr>
                <w:rFonts w:ascii="Book Antiqua" w:eastAsia="宋体" w:hAnsi="Book Antiqua"/>
                <w:color w:val="000000" w:themeColor="text1"/>
                <w:lang w:eastAsia="zh-CN"/>
              </w:rPr>
            </w:pPr>
            <w:r w:rsidRPr="00B82E38">
              <w:rPr>
                <w:rFonts w:ascii="Book Antiqua" w:eastAsia="宋体" w:hAnsi="Book Antiqua"/>
                <w:color w:val="000000" w:themeColor="text1"/>
                <w:lang w:eastAsia="zh-CN"/>
              </w:rPr>
              <w:t>0.566</w:t>
            </w:r>
          </w:p>
        </w:tc>
        <w:tc>
          <w:tcPr>
            <w:tcW w:w="766" w:type="dxa"/>
            <w:shd w:val="clear" w:color="auto" w:fill="auto"/>
          </w:tcPr>
          <w:p w14:paraId="53A99E59" w14:textId="77777777" w:rsidR="00BA37FB" w:rsidRPr="00B82E38" w:rsidRDefault="008F363E" w:rsidP="00372A8C">
            <w:pPr>
              <w:widowControl/>
              <w:adjustRightInd w:val="0"/>
              <w:snapToGrid w:val="0"/>
              <w:spacing w:line="360" w:lineRule="auto"/>
              <w:rPr>
                <w:rFonts w:ascii="Book Antiqua" w:eastAsia="宋体" w:hAnsi="Book Antiqua"/>
                <w:color w:val="000000" w:themeColor="text1"/>
                <w:lang w:eastAsia="zh-CN"/>
              </w:rPr>
            </w:pPr>
            <w:r w:rsidRPr="00B82E38">
              <w:rPr>
                <w:rFonts w:ascii="Book Antiqua" w:eastAsia="宋体" w:hAnsi="Book Antiqua"/>
                <w:color w:val="000000" w:themeColor="text1"/>
                <w:lang w:eastAsia="zh-CN"/>
              </w:rPr>
              <w:t>1.762</w:t>
            </w:r>
          </w:p>
        </w:tc>
        <w:tc>
          <w:tcPr>
            <w:tcW w:w="1219" w:type="dxa"/>
            <w:shd w:val="clear" w:color="auto" w:fill="auto"/>
          </w:tcPr>
          <w:p w14:paraId="2D2CA203" w14:textId="77777777" w:rsidR="00BA37FB" w:rsidRPr="00B82E38" w:rsidRDefault="008F363E" w:rsidP="00372A8C">
            <w:pPr>
              <w:widowControl/>
              <w:adjustRightInd w:val="0"/>
              <w:snapToGrid w:val="0"/>
              <w:spacing w:line="360" w:lineRule="auto"/>
              <w:rPr>
                <w:rFonts w:ascii="Book Antiqua" w:eastAsia="宋体" w:hAnsi="Book Antiqua"/>
                <w:color w:val="000000" w:themeColor="text1"/>
                <w:lang w:eastAsia="zh-CN"/>
              </w:rPr>
            </w:pPr>
            <w:r w:rsidRPr="00B82E38">
              <w:rPr>
                <w:rFonts w:ascii="Book Antiqua" w:eastAsia="宋体" w:hAnsi="Book Antiqua"/>
                <w:color w:val="000000" w:themeColor="text1"/>
                <w:lang w:eastAsia="zh-CN"/>
              </w:rPr>
              <w:t>0.018</w:t>
            </w:r>
            <w:r w:rsidRPr="00B82E38">
              <w:rPr>
                <w:rFonts w:ascii="Book Antiqua" w:eastAsia="宋体" w:hAnsi="Book Antiqua"/>
                <w:color w:val="000000" w:themeColor="text1"/>
                <w:vertAlign w:val="superscript"/>
                <w:lang w:eastAsia="zh-CN"/>
              </w:rPr>
              <w:t>a</w:t>
            </w:r>
          </w:p>
        </w:tc>
      </w:tr>
      <w:tr w:rsidR="00B82E38" w:rsidRPr="00B82E38" w14:paraId="3F3AD2A5" w14:textId="77777777">
        <w:trPr>
          <w:trHeight w:val="566"/>
          <w:jc w:val="center"/>
        </w:trPr>
        <w:tc>
          <w:tcPr>
            <w:tcW w:w="2187" w:type="dxa"/>
            <w:shd w:val="clear" w:color="auto" w:fill="auto"/>
          </w:tcPr>
          <w:p w14:paraId="2EFE4C26" w14:textId="77777777" w:rsidR="00BA37FB" w:rsidRPr="00B82E38" w:rsidRDefault="008F363E" w:rsidP="00372A8C">
            <w:pPr>
              <w:widowControl/>
              <w:adjustRightInd w:val="0"/>
              <w:snapToGrid w:val="0"/>
              <w:spacing w:line="360" w:lineRule="auto"/>
              <w:rPr>
                <w:rFonts w:ascii="Book Antiqua" w:eastAsia="宋体" w:hAnsi="Book Antiqua"/>
                <w:color w:val="000000" w:themeColor="text1"/>
                <w:lang w:eastAsia="zh-CN"/>
              </w:rPr>
            </w:pPr>
            <w:r w:rsidRPr="00B82E38">
              <w:rPr>
                <w:rFonts w:ascii="Book Antiqua" w:eastAsia="宋体" w:hAnsi="Book Antiqua"/>
                <w:color w:val="000000" w:themeColor="text1"/>
                <w:lang w:eastAsia="zh-CN"/>
              </w:rPr>
              <w:t>Child-Pugh score</w:t>
            </w:r>
          </w:p>
        </w:tc>
        <w:tc>
          <w:tcPr>
            <w:tcW w:w="1583" w:type="dxa"/>
            <w:shd w:val="clear" w:color="auto" w:fill="auto"/>
          </w:tcPr>
          <w:p w14:paraId="6CBC0A7F" w14:textId="77777777" w:rsidR="00BA37FB" w:rsidRPr="00B82E38" w:rsidRDefault="008F363E" w:rsidP="00372A8C">
            <w:pPr>
              <w:adjustRightInd w:val="0"/>
              <w:snapToGrid w:val="0"/>
              <w:spacing w:line="360" w:lineRule="auto"/>
              <w:rPr>
                <w:rFonts w:ascii="Book Antiqua" w:eastAsia="宋体" w:hAnsi="Book Antiqua"/>
                <w:color w:val="000000" w:themeColor="text1"/>
                <w:lang w:eastAsia="zh-CN"/>
              </w:rPr>
            </w:pPr>
            <w:r w:rsidRPr="00B82E38">
              <w:rPr>
                <w:rFonts w:ascii="Book Antiqua" w:eastAsia="宋体" w:hAnsi="Book Antiqua"/>
                <w:color w:val="000000" w:themeColor="text1"/>
                <w:lang w:eastAsia="zh-CN"/>
              </w:rPr>
              <w:t>0.027</w:t>
            </w:r>
          </w:p>
        </w:tc>
        <w:tc>
          <w:tcPr>
            <w:tcW w:w="993" w:type="dxa"/>
            <w:shd w:val="clear" w:color="auto" w:fill="auto"/>
          </w:tcPr>
          <w:p w14:paraId="04EB88ED" w14:textId="77777777" w:rsidR="00BA37FB" w:rsidRPr="00B82E38" w:rsidRDefault="008F363E" w:rsidP="00372A8C">
            <w:pPr>
              <w:adjustRightInd w:val="0"/>
              <w:snapToGrid w:val="0"/>
              <w:spacing w:line="360" w:lineRule="auto"/>
              <w:rPr>
                <w:rFonts w:ascii="Book Antiqua" w:eastAsia="宋体" w:hAnsi="Book Antiqua"/>
                <w:color w:val="000000" w:themeColor="text1"/>
                <w:lang w:eastAsia="zh-CN"/>
              </w:rPr>
            </w:pPr>
            <w:r w:rsidRPr="00B82E38">
              <w:rPr>
                <w:rFonts w:ascii="Book Antiqua" w:eastAsia="宋体" w:hAnsi="Book Antiqua"/>
                <w:color w:val="000000" w:themeColor="text1"/>
                <w:lang w:eastAsia="zh-CN"/>
              </w:rPr>
              <w:t>1.027</w:t>
            </w:r>
          </w:p>
        </w:tc>
        <w:tc>
          <w:tcPr>
            <w:tcW w:w="1094" w:type="dxa"/>
            <w:shd w:val="clear" w:color="auto" w:fill="auto"/>
          </w:tcPr>
          <w:p w14:paraId="5AF09708" w14:textId="77777777" w:rsidR="00BA37FB" w:rsidRPr="00B82E38" w:rsidRDefault="008F363E" w:rsidP="00372A8C">
            <w:pPr>
              <w:adjustRightInd w:val="0"/>
              <w:snapToGrid w:val="0"/>
              <w:spacing w:line="360" w:lineRule="auto"/>
              <w:rPr>
                <w:rFonts w:ascii="Book Antiqua" w:eastAsia="宋体" w:hAnsi="Book Antiqua"/>
                <w:color w:val="000000" w:themeColor="text1"/>
                <w:lang w:eastAsia="zh-CN"/>
              </w:rPr>
            </w:pPr>
            <w:r w:rsidRPr="00B82E38">
              <w:rPr>
                <w:rFonts w:ascii="Book Antiqua" w:eastAsia="宋体" w:hAnsi="Book Antiqua"/>
                <w:color w:val="000000" w:themeColor="text1"/>
                <w:lang w:eastAsia="zh-CN"/>
              </w:rPr>
              <w:t>0.022</w:t>
            </w:r>
            <w:r w:rsidRPr="00B82E38">
              <w:rPr>
                <w:rFonts w:ascii="Book Antiqua" w:eastAsia="宋体" w:hAnsi="Book Antiqua"/>
                <w:color w:val="000000" w:themeColor="text1"/>
                <w:vertAlign w:val="superscript"/>
                <w:lang w:eastAsia="zh-CN"/>
              </w:rPr>
              <w:t>a</w:t>
            </w:r>
          </w:p>
        </w:tc>
        <w:tc>
          <w:tcPr>
            <w:tcW w:w="1315" w:type="dxa"/>
            <w:shd w:val="clear" w:color="auto" w:fill="auto"/>
          </w:tcPr>
          <w:p w14:paraId="5ADEEAD1" w14:textId="77777777" w:rsidR="00BA37FB" w:rsidRPr="00B82E38" w:rsidRDefault="008F363E" w:rsidP="00372A8C">
            <w:pPr>
              <w:widowControl/>
              <w:adjustRightInd w:val="0"/>
              <w:snapToGrid w:val="0"/>
              <w:spacing w:line="360" w:lineRule="auto"/>
              <w:rPr>
                <w:rFonts w:ascii="Book Antiqua" w:eastAsia="宋体" w:hAnsi="Book Antiqua"/>
                <w:color w:val="000000" w:themeColor="text1"/>
                <w:lang w:eastAsia="zh-CN"/>
              </w:rPr>
            </w:pPr>
            <w:r w:rsidRPr="00B82E38">
              <w:rPr>
                <w:rFonts w:ascii="Book Antiqua" w:eastAsia="宋体" w:hAnsi="Book Antiqua"/>
                <w:color w:val="000000" w:themeColor="text1"/>
                <w:lang w:eastAsia="zh-CN"/>
              </w:rPr>
              <w:t>0.053</w:t>
            </w:r>
          </w:p>
        </w:tc>
        <w:tc>
          <w:tcPr>
            <w:tcW w:w="766" w:type="dxa"/>
            <w:shd w:val="clear" w:color="auto" w:fill="auto"/>
          </w:tcPr>
          <w:p w14:paraId="34E336C2" w14:textId="77777777" w:rsidR="00BA37FB" w:rsidRPr="00B82E38" w:rsidRDefault="008F363E" w:rsidP="00372A8C">
            <w:pPr>
              <w:widowControl/>
              <w:adjustRightInd w:val="0"/>
              <w:snapToGrid w:val="0"/>
              <w:spacing w:line="360" w:lineRule="auto"/>
              <w:rPr>
                <w:rFonts w:ascii="Book Antiqua" w:eastAsia="宋体" w:hAnsi="Book Antiqua"/>
                <w:color w:val="000000" w:themeColor="text1"/>
                <w:lang w:eastAsia="zh-CN"/>
              </w:rPr>
            </w:pPr>
            <w:r w:rsidRPr="00B82E38">
              <w:rPr>
                <w:rFonts w:ascii="Book Antiqua" w:eastAsia="宋体" w:hAnsi="Book Antiqua"/>
                <w:color w:val="000000" w:themeColor="text1"/>
                <w:lang w:eastAsia="zh-CN"/>
              </w:rPr>
              <w:t>1.055</w:t>
            </w:r>
          </w:p>
        </w:tc>
        <w:tc>
          <w:tcPr>
            <w:tcW w:w="1219" w:type="dxa"/>
            <w:shd w:val="clear" w:color="auto" w:fill="auto"/>
          </w:tcPr>
          <w:p w14:paraId="0BB87A5C" w14:textId="77777777" w:rsidR="00BA37FB" w:rsidRPr="00B82E38" w:rsidRDefault="008F363E" w:rsidP="00372A8C">
            <w:pPr>
              <w:widowControl/>
              <w:adjustRightInd w:val="0"/>
              <w:snapToGrid w:val="0"/>
              <w:spacing w:line="360" w:lineRule="auto"/>
              <w:rPr>
                <w:rFonts w:ascii="Book Antiqua" w:eastAsia="宋体" w:hAnsi="Book Antiqua"/>
                <w:color w:val="000000" w:themeColor="text1"/>
                <w:lang w:eastAsia="zh-CN"/>
              </w:rPr>
            </w:pPr>
            <w:r w:rsidRPr="00B82E38">
              <w:rPr>
                <w:rFonts w:ascii="Book Antiqua" w:eastAsia="宋体" w:hAnsi="Book Antiqua"/>
                <w:color w:val="000000" w:themeColor="text1"/>
                <w:lang w:eastAsia="zh-CN"/>
              </w:rPr>
              <w:t>0.046</w:t>
            </w:r>
            <w:r w:rsidRPr="00B82E38">
              <w:rPr>
                <w:rFonts w:ascii="Book Antiqua" w:eastAsia="宋体" w:hAnsi="Book Antiqua"/>
                <w:color w:val="000000" w:themeColor="text1"/>
                <w:vertAlign w:val="superscript"/>
                <w:lang w:eastAsia="zh-CN"/>
              </w:rPr>
              <w:t>a</w:t>
            </w:r>
          </w:p>
        </w:tc>
      </w:tr>
      <w:tr w:rsidR="00B82E38" w:rsidRPr="00B82E38" w14:paraId="5E00253E" w14:textId="77777777">
        <w:trPr>
          <w:trHeight w:val="368"/>
          <w:jc w:val="center"/>
        </w:trPr>
        <w:tc>
          <w:tcPr>
            <w:tcW w:w="2187" w:type="dxa"/>
            <w:shd w:val="clear" w:color="auto" w:fill="auto"/>
          </w:tcPr>
          <w:p w14:paraId="4EAFD8C2" w14:textId="77777777" w:rsidR="00BA37FB" w:rsidRPr="00B82E38" w:rsidRDefault="008F363E" w:rsidP="00372A8C">
            <w:pPr>
              <w:widowControl/>
              <w:adjustRightInd w:val="0"/>
              <w:snapToGrid w:val="0"/>
              <w:spacing w:line="360" w:lineRule="auto"/>
              <w:rPr>
                <w:rFonts w:ascii="Book Antiqua" w:eastAsia="宋体" w:hAnsi="Book Antiqua"/>
                <w:color w:val="000000" w:themeColor="text1"/>
                <w:lang w:eastAsia="zh-CN"/>
              </w:rPr>
            </w:pPr>
            <w:r w:rsidRPr="00B82E38">
              <w:rPr>
                <w:rFonts w:ascii="Book Antiqua" w:eastAsia="宋体" w:hAnsi="Book Antiqua"/>
                <w:color w:val="000000" w:themeColor="text1"/>
                <w:lang w:eastAsia="zh-CN"/>
              </w:rPr>
              <w:t>Child-Pugh grade (A/B/C)</w:t>
            </w:r>
          </w:p>
        </w:tc>
        <w:tc>
          <w:tcPr>
            <w:tcW w:w="1583" w:type="dxa"/>
            <w:shd w:val="clear" w:color="auto" w:fill="auto"/>
          </w:tcPr>
          <w:p w14:paraId="4B1B7BFE" w14:textId="77777777" w:rsidR="00BA37FB" w:rsidRPr="00B82E38" w:rsidRDefault="008F363E" w:rsidP="00372A8C">
            <w:pPr>
              <w:widowControl/>
              <w:adjustRightInd w:val="0"/>
              <w:snapToGrid w:val="0"/>
              <w:spacing w:line="360" w:lineRule="auto"/>
              <w:rPr>
                <w:rFonts w:ascii="Book Antiqua" w:eastAsia="宋体" w:hAnsi="Book Antiqua"/>
                <w:color w:val="000000" w:themeColor="text1"/>
                <w:lang w:eastAsia="zh-CN"/>
              </w:rPr>
            </w:pPr>
            <w:r w:rsidRPr="00B82E38">
              <w:rPr>
                <w:rFonts w:ascii="Book Antiqua" w:eastAsia="宋体" w:hAnsi="Book Antiqua"/>
                <w:color w:val="000000" w:themeColor="text1"/>
                <w:lang w:eastAsia="zh-CN"/>
              </w:rPr>
              <w:t>0.196</w:t>
            </w:r>
          </w:p>
        </w:tc>
        <w:tc>
          <w:tcPr>
            <w:tcW w:w="993" w:type="dxa"/>
            <w:shd w:val="clear" w:color="auto" w:fill="auto"/>
          </w:tcPr>
          <w:p w14:paraId="7870A03A" w14:textId="77777777" w:rsidR="00BA37FB" w:rsidRPr="00B82E38" w:rsidRDefault="008F363E" w:rsidP="00372A8C">
            <w:pPr>
              <w:widowControl/>
              <w:adjustRightInd w:val="0"/>
              <w:snapToGrid w:val="0"/>
              <w:spacing w:line="360" w:lineRule="auto"/>
              <w:rPr>
                <w:rFonts w:ascii="Book Antiqua" w:eastAsia="宋体" w:hAnsi="Book Antiqua"/>
                <w:color w:val="000000" w:themeColor="text1"/>
                <w:lang w:eastAsia="zh-CN"/>
              </w:rPr>
            </w:pPr>
            <w:r w:rsidRPr="00B82E38">
              <w:rPr>
                <w:rFonts w:ascii="Book Antiqua" w:eastAsia="宋体" w:hAnsi="Book Antiqua"/>
                <w:color w:val="000000" w:themeColor="text1"/>
                <w:lang w:eastAsia="zh-CN"/>
              </w:rPr>
              <w:t>0.594</w:t>
            </w:r>
          </w:p>
        </w:tc>
        <w:tc>
          <w:tcPr>
            <w:tcW w:w="1094" w:type="dxa"/>
            <w:shd w:val="clear" w:color="auto" w:fill="auto"/>
          </w:tcPr>
          <w:p w14:paraId="13BFD2ED" w14:textId="77777777" w:rsidR="00BA37FB" w:rsidRPr="00B82E38" w:rsidRDefault="008F363E" w:rsidP="00372A8C">
            <w:pPr>
              <w:widowControl/>
              <w:adjustRightInd w:val="0"/>
              <w:snapToGrid w:val="0"/>
              <w:spacing w:line="360" w:lineRule="auto"/>
              <w:rPr>
                <w:rFonts w:ascii="Book Antiqua" w:eastAsia="宋体" w:hAnsi="Book Antiqua"/>
                <w:color w:val="000000" w:themeColor="text1"/>
                <w:lang w:eastAsia="zh-CN"/>
              </w:rPr>
            </w:pPr>
            <w:r w:rsidRPr="00B82E38">
              <w:rPr>
                <w:rFonts w:ascii="Book Antiqua" w:eastAsia="宋体" w:hAnsi="Book Antiqua"/>
                <w:color w:val="000000" w:themeColor="text1"/>
                <w:lang w:eastAsia="zh-CN"/>
              </w:rPr>
              <w:t>1.216</w:t>
            </w:r>
          </w:p>
        </w:tc>
        <w:tc>
          <w:tcPr>
            <w:tcW w:w="1315" w:type="dxa"/>
            <w:shd w:val="clear" w:color="auto" w:fill="auto"/>
          </w:tcPr>
          <w:p w14:paraId="410B7955" w14:textId="77777777" w:rsidR="00BA37FB" w:rsidRPr="00B82E38" w:rsidRDefault="00BA37FB" w:rsidP="00372A8C">
            <w:pPr>
              <w:widowControl/>
              <w:adjustRightInd w:val="0"/>
              <w:snapToGrid w:val="0"/>
              <w:spacing w:line="360" w:lineRule="auto"/>
              <w:ind w:firstLineChars="100" w:firstLine="240"/>
              <w:rPr>
                <w:rFonts w:ascii="Book Antiqua" w:eastAsia="宋体" w:hAnsi="Book Antiqua"/>
                <w:color w:val="000000" w:themeColor="text1"/>
                <w:lang w:eastAsia="zh-CN"/>
              </w:rPr>
            </w:pPr>
          </w:p>
        </w:tc>
        <w:tc>
          <w:tcPr>
            <w:tcW w:w="766" w:type="dxa"/>
            <w:shd w:val="clear" w:color="auto" w:fill="auto"/>
          </w:tcPr>
          <w:p w14:paraId="703A844C" w14:textId="77777777" w:rsidR="00BA37FB" w:rsidRPr="00B82E38" w:rsidRDefault="00BA37FB" w:rsidP="00372A8C">
            <w:pPr>
              <w:widowControl/>
              <w:adjustRightInd w:val="0"/>
              <w:snapToGrid w:val="0"/>
              <w:spacing w:line="360" w:lineRule="auto"/>
              <w:ind w:firstLineChars="100" w:firstLine="240"/>
              <w:rPr>
                <w:rFonts w:ascii="Book Antiqua" w:eastAsia="宋体" w:hAnsi="Book Antiqua"/>
                <w:color w:val="000000" w:themeColor="text1"/>
                <w:lang w:eastAsia="zh-CN"/>
              </w:rPr>
            </w:pPr>
          </w:p>
        </w:tc>
        <w:tc>
          <w:tcPr>
            <w:tcW w:w="1219" w:type="dxa"/>
            <w:shd w:val="clear" w:color="auto" w:fill="auto"/>
          </w:tcPr>
          <w:p w14:paraId="0FF25052" w14:textId="77777777" w:rsidR="00BA37FB" w:rsidRPr="00B82E38" w:rsidRDefault="00BA37FB" w:rsidP="00372A8C">
            <w:pPr>
              <w:widowControl/>
              <w:adjustRightInd w:val="0"/>
              <w:snapToGrid w:val="0"/>
              <w:spacing w:line="360" w:lineRule="auto"/>
              <w:ind w:firstLineChars="100" w:firstLine="240"/>
              <w:rPr>
                <w:rFonts w:ascii="Book Antiqua" w:eastAsia="宋体" w:hAnsi="Book Antiqua"/>
                <w:color w:val="000000" w:themeColor="text1"/>
                <w:lang w:eastAsia="zh-CN"/>
              </w:rPr>
            </w:pPr>
          </w:p>
        </w:tc>
      </w:tr>
      <w:tr w:rsidR="00B82E38" w:rsidRPr="00B82E38" w14:paraId="67540BB2" w14:textId="77777777">
        <w:trPr>
          <w:trHeight w:val="90"/>
          <w:jc w:val="center"/>
        </w:trPr>
        <w:tc>
          <w:tcPr>
            <w:tcW w:w="2187" w:type="dxa"/>
            <w:shd w:val="clear" w:color="auto" w:fill="auto"/>
          </w:tcPr>
          <w:p w14:paraId="46A191FE" w14:textId="77777777" w:rsidR="00BA37FB" w:rsidRPr="00B82E38" w:rsidRDefault="008F363E" w:rsidP="00372A8C">
            <w:pPr>
              <w:widowControl/>
              <w:adjustRightInd w:val="0"/>
              <w:snapToGrid w:val="0"/>
              <w:spacing w:line="360" w:lineRule="auto"/>
              <w:rPr>
                <w:rFonts w:ascii="Book Antiqua" w:eastAsia="宋体" w:hAnsi="Book Antiqua"/>
                <w:color w:val="000000" w:themeColor="text1"/>
                <w:lang w:eastAsia="zh-CN"/>
              </w:rPr>
            </w:pPr>
            <w:r w:rsidRPr="00B82E38">
              <w:rPr>
                <w:rFonts w:ascii="Book Antiqua" w:eastAsia="宋体" w:hAnsi="Book Antiqua"/>
                <w:color w:val="000000" w:themeColor="text1"/>
                <w:lang w:eastAsia="zh-CN"/>
              </w:rPr>
              <w:t>MELD score</w:t>
            </w:r>
          </w:p>
        </w:tc>
        <w:tc>
          <w:tcPr>
            <w:tcW w:w="1583" w:type="dxa"/>
            <w:shd w:val="clear" w:color="auto" w:fill="auto"/>
          </w:tcPr>
          <w:p w14:paraId="3F6A8847" w14:textId="77777777" w:rsidR="00BA37FB" w:rsidRPr="00B82E38" w:rsidRDefault="008F363E" w:rsidP="00372A8C">
            <w:pPr>
              <w:adjustRightInd w:val="0"/>
              <w:snapToGrid w:val="0"/>
              <w:spacing w:line="360" w:lineRule="auto"/>
              <w:rPr>
                <w:rFonts w:ascii="Book Antiqua" w:eastAsia="宋体" w:hAnsi="Book Antiqua"/>
                <w:color w:val="000000" w:themeColor="text1"/>
                <w:lang w:eastAsia="zh-CN"/>
              </w:rPr>
            </w:pPr>
            <w:r w:rsidRPr="00B82E38">
              <w:rPr>
                <w:rFonts w:ascii="Book Antiqua" w:eastAsia="宋体" w:hAnsi="Book Antiqua"/>
                <w:color w:val="000000" w:themeColor="text1"/>
                <w:lang w:eastAsia="zh-CN"/>
              </w:rPr>
              <w:t>0.256</w:t>
            </w:r>
          </w:p>
        </w:tc>
        <w:tc>
          <w:tcPr>
            <w:tcW w:w="993" w:type="dxa"/>
            <w:shd w:val="clear" w:color="auto" w:fill="auto"/>
          </w:tcPr>
          <w:p w14:paraId="74FADED0" w14:textId="77777777" w:rsidR="00BA37FB" w:rsidRPr="00B82E38" w:rsidRDefault="008F363E" w:rsidP="00372A8C">
            <w:pPr>
              <w:adjustRightInd w:val="0"/>
              <w:snapToGrid w:val="0"/>
              <w:spacing w:line="360" w:lineRule="auto"/>
              <w:rPr>
                <w:rFonts w:ascii="Book Antiqua" w:eastAsia="宋体" w:hAnsi="Book Antiqua"/>
                <w:color w:val="000000" w:themeColor="text1"/>
                <w:lang w:eastAsia="zh-CN"/>
              </w:rPr>
            </w:pPr>
            <w:r w:rsidRPr="00B82E38">
              <w:rPr>
                <w:rFonts w:ascii="Book Antiqua" w:eastAsia="宋体" w:hAnsi="Book Antiqua"/>
                <w:color w:val="000000" w:themeColor="text1"/>
                <w:lang w:eastAsia="zh-CN"/>
              </w:rPr>
              <w:t>1.291</w:t>
            </w:r>
          </w:p>
        </w:tc>
        <w:tc>
          <w:tcPr>
            <w:tcW w:w="1094" w:type="dxa"/>
            <w:shd w:val="clear" w:color="auto" w:fill="auto"/>
          </w:tcPr>
          <w:p w14:paraId="5742B54A" w14:textId="77777777" w:rsidR="00BA37FB" w:rsidRPr="00B82E38" w:rsidRDefault="008F363E" w:rsidP="00372A8C">
            <w:pPr>
              <w:adjustRightInd w:val="0"/>
              <w:snapToGrid w:val="0"/>
              <w:spacing w:line="360" w:lineRule="auto"/>
              <w:rPr>
                <w:rFonts w:ascii="Book Antiqua" w:eastAsia="宋体" w:hAnsi="Book Antiqua"/>
                <w:color w:val="000000" w:themeColor="text1"/>
                <w:lang w:eastAsia="zh-CN"/>
              </w:rPr>
            </w:pPr>
            <w:r w:rsidRPr="00B82E38">
              <w:rPr>
                <w:rFonts w:ascii="Book Antiqua" w:eastAsia="宋体" w:hAnsi="Book Antiqua"/>
                <w:color w:val="000000" w:themeColor="text1"/>
                <w:lang w:eastAsia="zh-CN"/>
              </w:rPr>
              <w:t>0.020</w:t>
            </w:r>
            <w:r w:rsidRPr="00B82E38">
              <w:rPr>
                <w:rFonts w:ascii="Book Antiqua" w:eastAsia="宋体" w:hAnsi="Book Antiqua"/>
                <w:color w:val="000000" w:themeColor="text1"/>
                <w:vertAlign w:val="superscript"/>
                <w:lang w:eastAsia="zh-CN"/>
              </w:rPr>
              <w:t>a</w:t>
            </w:r>
          </w:p>
        </w:tc>
        <w:tc>
          <w:tcPr>
            <w:tcW w:w="1315" w:type="dxa"/>
            <w:shd w:val="clear" w:color="auto" w:fill="auto"/>
          </w:tcPr>
          <w:p w14:paraId="3531CF18" w14:textId="77777777" w:rsidR="00BA37FB" w:rsidRPr="00B82E38"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kern w:val="2"/>
              </w:rPr>
            </w:pPr>
            <w:r w:rsidRPr="00B82E38">
              <w:rPr>
                <w:rFonts w:ascii="Book Antiqua" w:eastAsia="宋体" w:hAnsi="Book Antiqua"/>
                <w:color w:val="000000" w:themeColor="text1"/>
              </w:rPr>
              <w:t>0.516</w:t>
            </w:r>
          </w:p>
        </w:tc>
        <w:tc>
          <w:tcPr>
            <w:tcW w:w="766" w:type="dxa"/>
            <w:shd w:val="clear" w:color="auto" w:fill="auto"/>
          </w:tcPr>
          <w:p w14:paraId="52E2A52F" w14:textId="77777777" w:rsidR="00BA37FB" w:rsidRPr="00B82E38"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kern w:val="2"/>
              </w:rPr>
            </w:pPr>
            <w:r w:rsidRPr="00B82E38">
              <w:rPr>
                <w:rFonts w:ascii="Book Antiqua" w:eastAsia="宋体" w:hAnsi="Book Antiqua"/>
                <w:color w:val="000000" w:themeColor="text1"/>
              </w:rPr>
              <w:t>1.068</w:t>
            </w:r>
          </w:p>
        </w:tc>
        <w:tc>
          <w:tcPr>
            <w:tcW w:w="1219" w:type="dxa"/>
            <w:shd w:val="clear" w:color="auto" w:fill="auto"/>
          </w:tcPr>
          <w:p w14:paraId="5BE7D144" w14:textId="77777777" w:rsidR="00BA37FB" w:rsidRPr="00B82E38"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kern w:val="2"/>
              </w:rPr>
            </w:pPr>
            <w:r w:rsidRPr="00B82E38">
              <w:rPr>
                <w:rFonts w:ascii="Book Antiqua" w:eastAsia="宋体" w:hAnsi="Book Antiqua"/>
                <w:color w:val="000000" w:themeColor="text1"/>
              </w:rPr>
              <w:t>0.043</w:t>
            </w:r>
            <w:r w:rsidRPr="00B82E38">
              <w:rPr>
                <w:rFonts w:ascii="Book Antiqua" w:eastAsia="宋体" w:hAnsi="Book Antiqua"/>
                <w:color w:val="000000" w:themeColor="text1"/>
                <w:vertAlign w:val="superscript"/>
              </w:rPr>
              <w:t>a</w:t>
            </w:r>
          </w:p>
        </w:tc>
      </w:tr>
      <w:tr w:rsidR="00B82E38" w:rsidRPr="00B82E38" w14:paraId="2EED9C5A" w14:textId="77777777">
        <w:trPr>
          <w:trHeight w:val="200"/>
          <w:jc w:val="center"/>
        </w:trPr>
        <w:tc>
          <w:tcPr>
            <w:tcW w:w="2187" w:type="dxa"/>
            <w:shd w:val="clear" w:color="auto" w:fill="auto"/>
          </w:tcPr>
          <w:p w14:paraId="1E519E62" w14:textId="77777777" w:rsidR="00BA37FB" w:rsidRPr="00B82E38" w:rsidRDefault="008F363E" w:rsidP="00372A8C">
            <w:pPr>
              <w:widowControl/>
              <w:adjustRightInd w:val="0"/>
              <w:snapToGrid w:val="0"/>
              <w:spacing w:line="360" w:lineRule="auto"/>
              <w:rPr>
                <w:rFonts w:ascii="Book Antiqua" w:eastAsia="宋体" w:hAnsi="Book Antiqua"/>
                <w:color w:val="000000" w:themeColor="text1"/>
                <w:lang w:eastAsia="zh-CN"/>
              </w:rPr>
            </w:pPr>
            <w:r w:rsidRPr="00B82E38">
              <w:rPr>
                <w:rFonts w:ascii="Book Antiqua" w:eastAsia="宋体" w:hAnsi="Book Antiqua"/>
                <w:color w:val="000000" w:themeColor="text1"/>
                <w:lang w:eastAsia="zh-CN"/>
              </w:rPr>
              <w:t>ICG-R15</w:t>
            </w:r>
          </w:p>
        </w:tc>
        <w:tc>
          <w:tcPr>
            <w:tcW w:w="1583" w:type="dxa"/>
            <w:shd w:val="clear" w:color="auto" w:fill="auto"/>
          </w:tcPr>
          <w:p w14:paraId="3C35CC99" w14:textId="77777777" w:rsidR="00BA37FB" w:rsidRPr="00B82E38" w:rsidRDefault="008F363E" w:rsidP="00372A8C">
            <w:pPr>
              <w:widowControl/>
              <w:adjustRightInd w:val="0"/>
              <w:snapToGrid w:val="0"/>
              <w:spacing w:line="360" w:lineRule="auto"/>
              <w:rPr>
                <w:rFonts w:ascii="Book Antiqua" w:eastAsia="宋体" w:hAnsi="Book Antiqua"/>
                <w:color w:val="000000" w:themeColor="text1"/>
                <w:lang w:eastAsia="zh-CN"/>
              </w:rPr>
            </w:pPr>
            <w:r w:rsidRPr="00B82E38">
              <w:rPr>
                <w:rFonts w:ascii="Book Antiqua" w:eastAsia="宋体" w:hAnsi="Book Antiqua"/>
                <w:color w:val="000000" w:themeColor="text1"/>
                <w:lang w:eastAsia="zh-CN"/>
              </w:rPr>
              <w:t>0.026</w:t>
            </w:r>
          </w:p>
        </w:tc>
        <w:tc>
          <w:tcPr>
            <w:tcW w:w="993" w:type="dxa"/>
            <w:shd w:val="clear" w:color="auto" w:fill="auto"/>
          </w:tcPr>
          <w:p w14:paraId="76F6EFDB" w14:textId="77777777" w:rsidR="00BA37FB" w:rsidRPr="00B82E38" w:rsidRDefault="008F363E" w:rsidP="00372A8C">
            <w:pPr>
              <w:widowControl/>
              <w:adjustRightInd w:val="0"/>
              <w:snapToGrid w:val="0"/>
              <w:spacing w:line="360" w:lineRule="auto"/>
              <w:rPr>
                <w:rFonts w:ascii="Book Antiqua" w:eastAsia="宋体" w:hAnsi="Book Antiqua"/>
                <w:color w:val="000000" w:themeColor="text1"/>
                <w:lang w:eastAsia="zh-CN"/>
              </w:rPr>
            </w:pPr>
            <w:r w:rsidRPr="00B82E38">
              <w:rPr>
                <w:rFonts w:ascii="Book Antiqua" w:eastAsia="宋体" w:hAnsi="Book Antiqua"/>
                <w:color w:val="000000" w:themeColor="text1"/>
                <w:lang w:eastAsia="zh-CN"/>
              </w:rPr>
              <w:t>1.027</w:t>
            </w:r>
          </w:p>
        </w:tc>
        <w:tc>
          <w:tcPr>
            <w:tcW w:w="1094" w:type="dxa"/>
            <w:shd w:val="clear" w:color="auto" w:fill="auto"/>
          </w:tcPr>
          <w:p w14:paraId="7A5CA26F" w14:textId="77777777" w:rsidR="00BA37FB" w:rsidRPr="00B82E38" w:rsidRDefault="008F363E" w:rsidP="00372A8C">
            <w:pPr>
              <w:widowControl/>
              <w:adjustRightInd w:val="0"/>
              <w:snapToGrid w:val="0"/>
              <w:spacing w:line="360" w:lineRule="auto"/>
              <w:rPr>
                <w:rFonts w:ascii="Book Antiqua" w:eastAsia="宋体" w:hAnsi="Book Antiqua"/>
                <w:color w:val="000000" w:themeColor="text1"/>
                <w:lang w:eastAsia="zh-CN"/>
              </w:rPr>
            </w:pPr>
            <w:r w:rsidRPr="00B82E38">
              <w:rPr>
                <w:rFonts w:ascii="Book Antiqua" w:eastAsia="宋体" w:hAnsi="Book Antiqua"/>
                <w:color w:val="000000" w:themeColor="text1"/>
                <w:lang w:eastAsia="zh-CN"/>
              </w:rPr>
              <w:t>0.027</w:t>
            </w:r>
            <w:r w:rsidRPr="00B82E38">
              <w:rPr>
                <w:rFonts w:ascii="Book Antiqua" w:eastAsia="宋体" w:hAnsi="Book Antiqua"/>
                <w:color w:val="000000" w:themeColor="text1"/>
                <w:vertAlign w:val="superscript"/>
                <w:lang w:eastAsia="zh-CN"/>
              </w:rPr>
              <w:t>a</w:t>
            </w:r>
          </w:p>
        </w:tc>
        <w:tc>
          <w:tcPr>
            <w:tcW w:w="1315" w:type="dxa"/>
            <w:shd w:val="clear" w:color="auto" w:fill="auto"/>
          </w:tcPr>
          <w:p w14:paraId="4ED08285" w14:textId="77777777" w:rsidR="00BA37FB" w:rsidRPr="00B82E38" w:rsidRDefault="008F363E" w:rsidP="00372A8C">
            <w:pPr>
              <w:widowControl/>
              <w:adjustRightInd w:val="0"/>
              <w:snapToGrid w:val="0"/>
              <w:spacing w:line="360" w:lineRule="auto"/>
              <w:rPr>
                <w:rFonts w:ascii="Book Antiqua" w:eastAsia="宋体" w:hAnsi="Book Antiqua"/>
                <w:color w:val="000000" w:themeColor="text1"/>
                <w:lang w:eastAsia="zh-CN"/>
              </w:rPr>
            </w:pPr>
            <w:r w:rsidRPr="00B82E38">
              <w:rPr>
                <w:rFonts w:ascii="Book Antiqua" w:eastAsia="宋体" w:hAnsi="Book Antiqua"/>
                <w:color w:val="000000" w:themeColor="text1"/>
                <w:lang w:eastAsia="zh-CN"/>
              </w:rPr>
              <w:t>0.028</w:t>
            </w:r>
          </w:p>
        </w:tc>
        <w:tc>
          <w:tcPr>
            <w:tcW w:w="766" w:type="dxa"/>
            <w:shd w:val="clear" w:color="auto" w:fill="auto"/>
          </w:tcPr>
          <w:p w14:paraId="302C0E72" w14:textId="77777777" w:rsidR="00BA37FB" w:rsidRPr="00B82E38" w:rsidRDefault="008F363E" w:rsidP="00372A8C">
            <w:pPr>
              <w:widowControl/>
              <w:adjustRightInd w:val="0"/>
              <w:snapToGrid w:val="0"/>
              <w:spacing w:line="360" w:lineRule="auto"/>
              <w:rPr>
                <w:rFonts w:ascii="Book Antiqua" w:eastAsia="宋体" w:hAnsi="Book Antiqua"/>
                <w:color w:val="000000" w:themeColor="text1"/>
                <w:lang w:eastAsia="zh-CN"/>
              </w:rPr>
            </w:pPr>
            <w:r w:rsidRPr="00B82E38">
              <w:rPr>
                <w:rFonts w:ascii="Book Antiqua" w:eastAsia="宋体" w:hAnsi="Book Antiqua"/>
                <w:color w:val="000000" w:themeColor="text1"/>
                <w:lang w:eastAsia="zh-CN"/>
              </w:rPr>
              <w:t>1.029</w:t>
            </w:r>
          </w:p>
        </w:tc>
        <w:tc>
          <w:tcPr>
            <w:tcW w:w="1219" w:type="dxa"/>
            <w:shd w:val="clear" w:color="auto" w:fill="auto"/>
          </w:tcPr>
          <w:p w14:paraId="2532F4FF" w14:textId="77777777" w:rsidR="00BA37FB" w:rsidRPr="00B82E38" w:rsidRDefault="008F363E" w:rsidP="00372A8C">
            <w:pPr>
              <w:widowControl/>
              <w:adjustRightInd w:val="0"/>
              <w:snapToGrid w:val="0"/>
              <w:spacing w:line="360" w:lineRule="auto"/>
              <w:rPr>
                <w:rFonts w:ascii="Book Antiqua" w:eastAsia="宋体" w:hAnsi="Book Antiqua"/>
                <w:color w:val="000000" w:themeColor="text1"/>
                <w:lang w:eastAsia="zh-CN"/>
              </w:rPr>
            </w:pPr>
            <w:r w:rsidRPr="00B82E38">
              <w:rPr>
                <w:rFonts w:ascii="Book Antiqua" w:eastAsia="宋体" w:hAnsi="Book Antiqua"/>
                <w:color w:val="000000" w:themeColor="text1"/>
                <w:lang w:eastAsia="zh-CN"/>
              </w:rPr>
              <w:t>0.031</w:t>
            </w:r>
            <w:r w:rsidRPr="00B82E38">
              <w:rPr>
                <w:rFonts w:ascii="Book Antiqua" w:eastAsia="宋体" w:hAnsi="Book Antiqua"/>
                <w:color w:val="000000" w:themeColor="text1"/>
                <w:vertAlign w:val="superscript"/>
                <w:lang w:eastAsia="zh-CN"/>
              </w:rPr>
              <w:t>a</w:t>
            </w:r>
          </w:p>
        </w:tc>
      </w:tr>
      <w:tr w:rsidR="00B82E38" w:rsidRPr="00B82E38" w14:paraId="7EF02FF5" w14:textId="77777777">
        <w:trPr>
          <w:trHeight w:val="225"/>
          <w:jc w:val="center"/>
        </w:trPr>
        <w:tc>
          <w:tcPr>
            <w:tcW w:w="2187" w:type="dxa"/>
            <w:shd w:val="clear" w:color="auto" w:fill="auto"/>
          </w:tcPr>
          <w:p w14:paraId="6C93E7A2" w14:textId="77777777" w:rsidR="00BA37FB" w:rsidRPr="00B82E38" w:rsidRDefault="008F363E" w:rsidP="00372A8C">
            <w:pPr>
              <w:widowControl/>
              <w:adjustRightInd w:val="0"/>
              <w:snapToGrid w:val="0"/>
              <w:spacing w:line="360" w:lineRule="auto"/>
              <w:rPr>
                <w:rFonts w:ascii="Book Antiqua" w:eastAsia="宋体" w:hAnsi="Book Antiqua"/>
                <w:color w:val="000000" w:themeColor="text1"/>
                <w:lang w:eastAsia="zh-CN"/>
              </w:rPr>
            </w:pPr>
            <w:r w:rsidRPr="00B82E38">
              <w:rPr>
                <w:rFonts w:ascii="Book Antiqua" w:eastAsia="宋体" w:hAnsi="Book Antiqua"/>
                <w:color w:val="000000" w:themeColor="text1"/>
                <w:lang w:eastAsia="zh-CN"/>
              </w:rPr>
              <w:t>Total protein</w:t>
            </w:r>
          </w:p>
        </w:tc>
        <w:tc>
          <w:tcPr>
            <w:tcW w:w="1583" w:type="dxa"/>
            <w:shd w:val="clear" w:color="auto" w:fill="auto"/>
          </w:tcPr>
          <w:p w14:paraId="012A21E0" w14:textId="77777777" w:rsidR="00BA37FB" w:rsidRPr="00B82E38" w:rsidRDefault="008F363E" w:rsidP="00372A8C">
            <w:pPr>
              <w:widowControl/>
              <w:adjustRightInd w:val="0"/>
              <w:snapToGrid w:val="0"/>
              <w:spacing w:line="360" w:lineRule="auto"/>
              <w:rPr>
                <w:rFonts w:ascii="Book Antiqua" w:eastAsia="宋体" w:hAnsi="Book Antiqua"/>
                <w:color w:val="000000" w:themeColor="text1"/>
                <w:lang w:eastAsia="zh-CN"/>
              </w:rPr>
            </w:pPr>
            <w:r w:rsidRPr="00B82E38">
              <w:rPr>
                <w:rFonts w:ascii="Book Antiqua" w:eastAsia="宋体" w:hAnsi="Book Antiqua"/>
                <w:color w:val="000000" w:themeColor="text1"/>
                <w:lang w:eastAsia="zh-CN"/>
              </w:rPr>
              <w:t>-0.029</w:t>
            </w:r>
          </w:p>
        </w:tc>
        <w:tc>
          <w:tcPr>
            <w:tcW w:w="993" w:type="dxa"/>
            <w:shd w:val="clear" w:color="auto" w:fill="auto"/>
          </w:tcPr>
          <w:p w14:paraId="486230C4" w14:textId="77777777" w:rsidR="00BA37FB" w:rsidRPr="00B82E38" w:rsidRDefault="008F363E" w:rsidP="00372A8C">
            <w:pPr>
              <w:widowControl/>
              <w:adjustRightInd w:val="0"/>
              <w:snapToGrid w:val="0"/>
              <w:spacing w:line="360" w:lineRule="auto"/>
              <w:rPr>
                <w:rFonts w:ascii="Book Antiqua" w:eastAsia="宋体" w:hAnsi="Book Antiqua"/>
                <w:color w:val="000000" w:themeColor="text1"/>
                <w:lang w:eastAsia="zh-CN"/>
              </w:rPr>
            </w:pPr>
            <w:r w:rsidRPr="00B82E38">
              <w:rPr>
                <w:rFonts w:ascii="Book Antiqua" w:eastAsia="宋体" w:hAnsi="Book Antiqua"/>
                <w:color w:val="000000" w:themeColor="text1"/>
                <w:lang w:eastAsia="zh-CN"/>
              </w:rPr>
              <w:t>0.972</w:t>
            </w:r>
          </w:p>
        </w:tc>
        <w:tc>
          <w:tcPr>
            <w:tcW w:w="1094" w:type="dxa"/>
            <w:shd w:val="clear" w:color="auto" w:fill="auto"/>
          </w:tcPr>
          <w:p w14:paraId="79F5B75A" w14:textId="77777777" w:rsidR="00BA37FB" w:rsidRPr="00B82E38" w:rsidRDefault="008F363E" w:rsidP="00372A8C">
            <w:pPr>
              <w:widowControl/>
              <w:adjustRightInd w:val="0"/>
              <w:snapToGrid w:val="0"/>
              <w:spacing w:line="360" w:lineRule="auto"/>
              <w:rPr>
                <w:rFonts w:ascii="Book Antiqua" w:eastAsia="宋体" w:hAnsi="Book Antiqua"/>
                <w:color w:val="000000" w:themeColor="text1"/>
                <w:lang w:eastAsia="zh-CN"/>
              </w:rPr>
            </w:pPr>
            <w:r w:rsidRPr="00B82E38">
              <w:rPr>
                <w:rFonts w:ascii="Book Antiqua" w:eastAsia="宋体" w:hAnsi="Book Antiqua"/>
                <w:color w:val="000000" w:themeColor="text1"/>
                <w:lang w:eastAsia="zh-CN"/>
              </w:rPr>
              <w:t>0.203</w:t>
            </w:r>
          </w:p>
        </w:tc>
        <w:tc>
          <w:tcPr>
            <w:tcW w:w="1315" w:type="dxa"/>
            <w:shd w:val="clear" w:color="auto" w:fill="auto"/>
          </w:tcPr>
          <w:p w14:paraId="6287EF6E" w14:textId="77777777" w:rsidR="00BA37FB" w:rsidRPr="00B82E38" w:rsidRDefault="00BA37FB" w:rsidP="00372A8C">
            <w:pPr>
              <w:widowControl/>
              <w:adjustRightInd w:val="0"/>
              <w:snapToGrid w:val="0"/>
              <w:spacing w:line="360" w:lineRule="auto"/>
              <w:rPr>
                <w:rFonts w:ascii="Book Antiqua" w:eastAsia="宋体" w:hAnsi="Book Antiqua"/>
                <w:color w:val="000000" w:themeColor="text1"/>
                <w:lang w:eastAsia="zh-CN"/>
              </w:rPr>
            </w:pPr>
          </w:p>
        </w:tc>
        <w:tc>
          <w:tcPr>
            <w:tcW w:w="766" w:type="dxa"/>
            <w:shd w:val="clear" w:color="auto" w:fill="auto"/>
          </w:tcPr>
          <w:p w14:paraId="13F932FE" w14:textId="77777777" w:rsidR="00BA37FB" w:rsidRPr="00B82E38" w:rsidRDefault="00BA37FB" w:rsidP="00372A8C">
            <w:pPr>
              <w:widowControl/>
              <w:adjustRightInd w:val="0"/>
              <w:snapToGrid w:val="0"/>
              <w:spacing w:line="360" w:lineRule="auto"/>
              <w:rPr>
                <w:rFonts w:ascii="Book Antiqua" w:eastAsia="宋体" w:hAnsi="Book Antiqua"/>
                <w:color w:val="000000" w:themeColor="text1"/>
                <w:lang w:eastAsia="zh-CN"/>
              </w:rPr>
            </w:pPr>
          </w:p>
        </w:tc>
        <w:tc>
          <w:tcPr>
            <w:tcW w:w="1219" w:type="dxa"/>
            <w:shd w:val="clear" w:color="auto" w:fill="auto"/>
          </w:tcPr>
          <w:p w14:paraId="5A26008E" w14:textId="77777777" w:rsidR="00BA37FB" w:rsidRPr="00B82E38" w:rsidRDefault="00BA37FB" w:rsidP="00372A8C">
            <w:pPr>
              <w:widowControl/>
              <w:adjustRightInd w:val="0"/>
              <w:snapToGrid w:val="0"/>
              <w:spacing w:line="360" w:lineRule="auto"/>
              <w:rPr>
                <w:rFonts w:ascii="Book Antiqua" w:eastAsia="宋体" w:hAnsi="Book Antiqua"/>
                <w:color w:val="000000" w:themeColor="text1"/>
                <w:lang w:eastAsia="zh-CN"/>
              </w:rPr>
            </w:pPr>
          </w:p>
        </w:tc>
      </w:tr>
      <w:tr w:rsidR="00B82E38" w:rsidRPr="00B82E38" w14:paraId="38430DCA" w14:textId="77777777">
        <w:trPr>
          <w:trHeight w:val="425"/>
          <w:jc w:val="center"/>
        </w:trPr>
        <w:tc>
          <w:tcPr>
            <w:tcW w:w="2187" w:type="dxa"/>
            <w:shd w:val="clear" w:color="auto" w:fill="auto"/>
          </w:tcPr>
          <w:p w14:paraId="5F6CCB2E" w14:textId="77777777" w:rsidR="00BA37FB" w:rsidRPr="00B82E38" w:rsidRDefault="008F363E" w:rsidP="00372A8C">
            <w:pPr>
              <w:widowControl/>
              <w:adjustRightInd w:val="0"/>
              <w:snapToGrid w:val="0"/>
              <w:spacing w:line="360" w:lineRule="auto"/>
              <w:rPr>
                <w:rFonts w:ascii="Book Antiqua" w:eastAsia="宋体" w:hAnsi="Book Antiqua"/>
                <w:color w:val="000000" w:themeColor="text1"/>
                <w:lang w:eastAsia="zh-CN"/>
              </w:rPr>
            </w:pPr>
            <w:r w:rsidRPr="00B82E38">
              <w:rPr>
                <w:rFonts w:ascii="Book Antiqua" w:eastAsia="宋体" w:hAnsi="Book Antiqua"/>
                <w:color w:val="000000" w:themeColor="text1"/>
                <w:lang w:eastAsia="zh-CN"/>
              </w:rPr>
              <w:t>Total bilirubin</w:t>
            </w:r>
          </w:p>
        </w:tc>
        <w:tc>
          <w:tcPr>
            <w:tcW w:w="1583" w:type="dxa"/>
            <w:shd w:val="clear" w:color="auto" w:fill="auto"/>
          </w:tcPr>
          <w:p w14:paraId="6BBB833E" w14:textId="77777777" w:rsidR="00BA37FB" w:rsidRPr="00B82E38" w:rsidRDefault="008F363E" w:rsidP="00372A8C">
            <w:pPr>
              <w:widowControl/>
              <w:adjustRightInd w:val="0"/>
              <w:snapToGrid w:val="0"/>
              <w:spacing w:line="360" w:lineRule="auto"/>
              <w:rPr>
                <w:rFonts w:ascii="Book Antiqua" w:eastAsia="宋体" w:hAnsi="Book Antiqua"/>
                <w:color w:val="000000" w:themeColor="text1"/>
                <w:lang w:eastAsia="zh-CN"/>
              </w:rPr>
            </w:pPr>
            <w:r w:rsidRPr="00B82E38">
              <w:rPr>
                <w:rFonts w:ascii="Book Antiqua" w:eastAsia="宋体" w:hAnsi="Book Antiqua"/>
                <w:color w:val="000000" w:themeColor="text1"/>
                <w:lang w:eastAsia="zh-CN"/>
              </w:rPr>
              <w:t>0.000</w:t>
            </w:r>
          </w:p>
        </w:tc>
        <w:tc>
          <w:tcPr>
            <w:tcW w:w="993" w:type="dxa"/>
            <w:shd w:val="clear" w:color="auto" w:fill="auto"/>
          </w:tcPr>
          <w:p w14:paraId="13A6D212" w14:textId="77777777" w:rsidR="00BA37FB" w:rsidRPr="00B82E38" w:rsidRDefault="008F363E" w:rsidP="00372A8C">
            <w:pPr>
              <w:widowControl/>
              <w:adjustRightInd w:val="0"/>
              <w:snapToGrid w:val="0"/>
              <w:spacing w:line="360" w:lineRule="auto"/>
              <w:rPr>
                <w:rFonts w:ascii="Book Antiqua" w:eastAsia="宋体" w:hAnsi="Book Antiqua"/>
                <w:color w:val="000000" w:themeColor="text1"/>
                <w:lang w:eastAsia="zh-CN"/>
              </w:rPr>
            </w:pPr>
            <w:r w:rsidRPr="00B82E38">
              <w:rPr>
                <w:rFonts w:ascii="Book Antiqua" w:eastAsia="宋体" w:hAnsi="Book Antiqua"/>
                <w:color w:val="000000" w:themeColor="text1"/>
                <w:lang w:eastAsia="zh-CN"/>
              </w:rPr>
              <w:t>1.000</w:t>
            </w:r>
          </w:p>
        </w:tc>
        <w:tc>
          <w:tcPr>
            <w:tcW w:w="1094" w:type="dxa"/>
            <w:shd w:val="clear" w:color="auto" w:fill="auto"/>
          </w:tcPr>
          <w:p w14:paraId="01D5A96D" w14:textId="77777777" w:rsidR="00BA37FB" w:rsidRPr="00B82E38" w:rsidRDefault="008F363E" w:rsidP="00372A8C">
            <w:pPr>
              <w:widowControl/>
              <w:adjustRightInd w:val="0"/>
              <w:snapToGrid w:val="0"/>
              <w:spacing w:line="360" w:lineRule="auto"/>
              <w:rPr>
                <w:rFonts w:ascii="Book Antiqua" w:eastAsia="宋体" w:hAnsi="Book Antiqua"/>
                <w:color w:val="000000" w:themeColor="text1"/>
                <w:lang w:eastAsia="zh-CN"/>
              </w:rPr>
            </w:pPr>
            <w:r w:rsidRPr="00B82E38">
              <w:rPr>
                <w:rFonts w:ascii="Book Antiqua" w:eastAsia="宋体" w:hAnsi="Book Antiqua"/>
                <w:color w:val="000000" w:themeColor="text1"/>
                <w:lang w:eastAsia="zh-CN"/>
              </w:rPr>
              <w:t>0.962</w:t>
            </w:r>
          </w:p>
        </w:tc>
        <w:tc>
          <w:tcPr>
            <w:tcW w:w="1315" w:type="dxa"/>
            <w:shd w:val="clear" w:color="auto" w:fill="auto"/>
          </w:tcPr>
          <w:p w14:paraId="7CD16681" w14:textId="77777777" w:rsidR="00BA37FB" w:rsidRPr="00B82E38" w:rsidRDefault="00BA37FB" w:rsidP="00372A8C">
            <w:pPr>
              <w:widowControl/>
              <w:adjustRightInd w:val="0"/>
              <w:snapToGrid w:val="0"/>
              <w:spacing w:line="360" w:lineRule="auto"/>
              <w:rPr>
                <w:rFonts w:ascii="Book Antiqua" w:eastAsia="宋体" w:hAnsi="Book Antiqua"/>
                <w:color w:val="000000" w:themeColor="text1"/>
                <w:lang w:eastAsia="zh-CN"/>
              </w:rPr>
            </w:pPr>
          </w:p>
        </w:tc>
        <w:tc>
          <w:tcPr>
            <w:tcW w:w="766" w:type="dxa"/>
            <w:shd w:val="clear" w:color="auto" w:fill="auto"/>
          </w:tcPr>
          <w:p w14:paraId="08564DA4" w14:textId="77777777" w:rsidR="00BA37FB" w:rsidRPr="00B82E38" w:rsidRDefault="00BA37FB" w:rsidP="00372A8C">
            <w:pPr>
              <w:widowControl/>
              <w:adjustRightInd w:val="0"/>
              <w:snapToGrid w:val="0"/>
              <w:spacing w:line="360" w:lineRule="auto"/>
              <w:rPr>
                <w:rFonts w:ascii="Book Antiqua" w:eastAsia="宋体" w:hAnsi="Book Antiqua"/>
                <w:color w:val="000000" w:themeColor="text1"/>
                <w:lang w:eastAsia="zh-CN"/>
              </w:rPr>
            </w:pPr>
          </w:p>
        </w:tc>
        <w:tc>
          <w:tcPr>
            <w:tcW w:w="1219" w:type="dxa"/>
            <w:shd w:val="clear" w:color="auto" w:fill="auto"/>
          </w:tcPr>
          <w:p w14:paraId="71ED50D6" w14:textId="77777777" w:rsidR="00BA37FB" w:rsidRPr="00B82E38" w:rsidRDefault="00BA37FB" w:rsidP="00372A8C">
            <w:pPr>
              <w:widowControl/>
              <w:adjustRightInd w:val="0"/>
              <w:snapToGrid w:val="0"/>
              <w:spacing w:line="360" w:lineRule="auto"/>
              <w:rPr>
                <w:rFonts w:ascii="Book Antiqua" w:eastAsia="宋体" w:hAnsi="Book Antiqua"/>
                <w:color w:val="000000" w:themeColor="text1"/>
                <w:lang w:eastAsia="zh-CN"/>
              </w:rPr>
            </w:pPr>
          </w:p>
        </w:tc>
      </w:tr>
      <w:tr w:rsidR="00B82E38" w:rsidRPr="00B82E38" w14:paraId="1D57B5BD" w14:textId="77777777">
        <w:trPr>
          <w:trHeight w:val="287"/>
          <w:jc w:val="center"/>
        </w:trPr>
        <w:tc>
          <w:tcPr>
            <w:tcW w:w="2187" w:type="dxa"/>
            <w:shd w:val="clear" w:color="auto" w:fill="auto"/>
          </w:tcPr>
          <w:p w14:paraId="7F74D585" w14:textId="77777777" w:rsidR="00BA37FB" w:rsidRPr="00B82E38" w:rsidRDefault="008F363E" w:rsidP="00372A8C">
            <w:pPr>
              <w:widowControl/>
              <w:adjustRightInd w:val="0"/>
              <w:snapToGrid w:val="0"/>
              <w:spacing w:line="360" w:lineRule="auto"/>
              <w:rPr>
                <w:rFonts w:ascii="Book Antiqua" w:eastAsia="宋体" w:hAnsi="Book Antiqua"/>
                <w:color w:val="000000" w:themeColor="text1"/>
                <w:lang w:eastAsia="zh-CN"/>
              </w:rPr>
            </w:pPr>
            <w:r w:rsidRPr="00B82E38">
              <w:rPr>
                <w:rFonts w:ascii="Book Antiqua" w:eastAsia="宋体" w:hAnsi="Book Antiqua"/>
                <w:color w:val="000000" w:themeColor="text1"/>
                <w:lang w:eastAsia="zh-CN"/>
              </w:rPr>
              <w:t>Creatinine</w:t>
            </w:r>
          </w:p>
        </w:tc>
        <w:tc>
          <w:tcPr>
            <w:tcW w:w="1583" w:type="dxa"/>
            <w:shd w:val="clear" w:color="auto" w:fill="auto"/>
          </w:tcPr>
          <w:p w14:paraId="40305909" w14:textId="77777777" w:rsidR="00BA37FB" w:rsidRPr="00B82E38" w:rsidRDefault="008F363E" w:rsidP="00372A8C">
            <w:pPr>
              <w:widowControl/>
              <w:adjustRightInd w:val="0"/>
              <w:snapToGrid w:val="0"/>
              <w:spacing w:line="360" w:lineRule="auto"/>
              <w:rPr>
                <w:rFonts w:ascii="Book Antiqua" w:eastAsia="宋体" w:hAnsi="Book Antiqua"/>
                <w:color w:val="000000" w:themeColor="text1"/>
                <w:lang w:eastAsia="zh-CN"/>
              </w:rPr>
            </w:pPr>
            <w:r w:rsidRPr="00B82E38">
              <w:rPr>
                <w:rFonts w:ascii="Book Antiqua" w:eastAsia="宋体" w:hAnsi="Book Antiqua"/>
                <w:color w:val="000000" w:themeColor="text1"/>
                <w:lang w:eastAsia="zh-CN"/>
              </w:rPr>
              <w:t>0.006</w:t>
            </w:r>
          </w:p>
        </w:tc>
        <w:tc>
          <w:tcPr>
            <w:tcW w:w="993" w:type="dxa"/>
            <w:shd w:val="clear" w:color="auto" w:fill="auto"/>
          </w:tcPr>
          <w:p w14:paraId="19D482B7" w14:textId="77777777" w:rsidR="00BA37FB" w:rsidRPr="00B82E38" w:rsidRDefault="008F363E" w:rsidP="00372A8C">
            <w:pPr>
              <w:widowControl/>
              <w:adjustRightInd w:val="0"/>
              <w:snapToGrid w:val="0"/>
              <w:spacing w:line="360" w:lineRule="auto"/>
              <w:rPr>
                <w:rFonts w:ascii="Book Antiqua" w:eastAsia="宋体" w:hAnsi="Book Antiqua"/>
                <w:color w:val="000000" w:themeColor="text1"/>
                <w:lang w:eastAsia="zh-CN"/>
              </w:rPr>
            </w:pPr>
            <w:r w:rsidRPr="00B82E38">
              <w:rPr>
                <w:rFonts w:ascii="Book Antiqua" w:eastAsia="宋体" w:hAnsi="Book Antiqua"/>
                <w:color w:val="000000" w:themeColor="text1"/>
                <w:lang w:eastAsia="zh-CN"/>
              </w:rPr>
              <w:t>1.006</w:t>
            </w:r>
          </w:p>
        </w:tc>
        <w:tc>
          <w:tcPr>
            <w:tcW w:w="1094" w:type="dxa"/>
            <w:shd w:val="clear" w:color="auto" w:fill="auto"/>
          </w:tcPr>
          <w:p w14:paraId="08A77529" w14:textId="77777777" w:rsidR="00BA37FB" w:rsidRPr="00B82E38" w:rsidRDefault="008F363E" w:rsidP="00372A8C">
            <w:pPr>
              <w:widowControl/>
              <w:adjustRightInd w:val="0"/>
              <w:snapToGrid w:val="0"/>
              <w:spacing w:line="360" w:lineRule="auto"/>
              <w:rPr>
                <w:rFonts w:ascii="Book Antiqua" w:eastAsia="宋体" w:hAnsi="Book Antiqua"/>
                <w:color w:val="000000" w:themeColor="text1"/>
                <w:lang w:eastAsia="zh-CN"/>
              </w:rPr>
            </w:pPr>
            <w:r w:rsidRPr="00B82E38">
              <w:rPr>
                <w:rFonts w:ascii="Book Antiqua" w:eastAsia="宋体" w:hAnsi="Book Antiqua"/>
                <w:color w:val="000000" w:themeColor="text1"/>
                <w:lang w:eastAsia="zh-CN"/>
              </w:rPr>
              <w:t>0.151</w:t>
            </w:r>
          </w:p>
        </w:tc>
        <w:tc>
          <w:tcPr>
            <w:tcW w:w="1315" w:type="dxa"/>
            <w:shd w:val="clear" w:color="auto" w:fill="auto"/>
          </w:tcPr>
          <w:p w14:paraId="1B464EBC" w14:textId="77777777" w:rsidR="00BA37FB" w:rsidRPr="00B82E38" w:rsidRDefault="00BA37FB" w:rsidP="00372A8C">
            <w:pPr>
              <w:widowControl/>
              <w:adjustRightInd w:val="0"/>
              <w:snapToGrid w:val="0"/>
              <w:spacing w:line="360" w:lineRule="auto"/>
              <w:rPr>
                <w:rFonts w:ascii="Book Antiqua" w:eastAsia="宋体" w:hAnsi="Book Antiqua"/>
                <w:color w:val="000000" w:themeColor="text1"/>
                <w:lang w:eastAsia="zh-CN"/>
              </w:rPr>
            </w:pPr>
          </w:p>
        </w:tc>
        <w:tc>
          <w:tcPr>
            <w:tcW w:w="766" w:type="dxa"/>
            <w:shd w:val="clear" w:color="auto" w:fill="auto"/>
          </w:tcPr>
          <w:p w14:paraId="7347358C" w14:textId="77777777" w:rsidR="00BA37FB" w:rsidRPr="00B82E38" w:rsidRDefault="00BA37FB" w:rsidP="00372A8C">
            <w:pPr>
              <w:widowControl/>
              <w:adjustRightInd w:val="0"/>
              <w:snapToGrid w:val="0"/>
              <w:spacing w:line="360" w:lineRule="auto"/>
              <w:rPr>
                <w:rFonts w:ascii="Book Antiqua" w:eastAsia="宋体" w:hAnsi="Book Antiqua"/>
                <w:color w:val="000000" w:themeColor="text1"/>
                <w:lang w:eastAsia="zh-CN"/>
              </w:rPr>
            </w:pPr>
          </w:p>
        </w:tc>
        <w:tc>
          <w:tcPr>
            <w:tcW w:w="1219" w:type="dxa"/>
            <w:shd w:val="clear" w:color="auto" w:fill="auto"/>
          </w:tcPr>
          <w:p w14:paraId="0DDE1EFE" w14:textId="77777777" w:rsidR="00BA37FB" w:rsidRPr="00B82E38" w:rsidRDefault="00BA37FB" w:rsidP="00372A8C">
            <w:pPr>
              <w:widowControl/>
              <w:adjustRightInd w:val="0"/>
              <w:snapToGrid w:val="0"/>
              <w:spacing w:line="360" w:lineRule="auto"/>
              <w:rPr>
                <w:rFonts w:ascii="Book Antiqua" w:eastAsia="宋体" w:hAnsi="Book Antiqua"/>
                <w:color w:val="000000" w:themeColor="text1"/>
                <w:lang w:eastAsia="zh-CN"/>
              </w:rPr>
            </w:pPr>
          </w:p>
        </w:tc>
      </w:tr>
      <w:tr w:rsidR="00B82E38" w:rsidRPr="00B82E38" w14:paraId="573625D3" w14:textId="77777777">
        <w:trPr>
          <w:trHeight w:val="214"/>
          <w:jc w:val="center"/>
        </w:trPr>
        <w:tc>
          <w:tcPr>
            <w:tcW w:w="2187" w:type="dxa"/>
            <w:shd w:val="clear" w:color="auto" w:fill="auto"/>
          </w:tcPr>
          <w:p w14:paraId="48E3E7BB" w14:textId="77777777" w:rsidR="00BA37FB" w:rsidRPr="00B82E38" w:rsidRDefault="008F363E" w:rsidP="00372A8C">
            <w:pPr>
              <w:pStyle w:val="a7"/>
              <w:widowControl/>
              <w:adjustRightInd w:val="0"/>
              <w:snapToGrid w:val="0"/>
              <w:spacing w:beforeAutospacing="0" w:afterAutospacing="0" w:line="360" w:lineRule="auto"/>
              <w:rPr>
                <w:rFonts w:ascii="Book Antiqua" w:eastAsia="宋体" w:hAnsi="Book Antiqua"/>
                <w:b/>
                <w:bCs/>
                <w:color w:val="000000" w:themeColor="text1"/>
              </w:rPr>
            </w:pPr>
            <w:r w:rsidRPr="00B82E38">
              <w:rPr>
                <w:rFonts w:ascii="Book Antiqua" w:eastAsia="宋体" w:hAnsi="Book Antiqua"/>
                <w:color w:val="000000" w:themeColor="text1"/>
              </w:rPr>
              <w:t>ALT</w:t>
            </w:r>
          </w:p>
        </w:tc>
        <w:tc>
          <w:tcPr>
            <w:tcW w:w="1583" w:type="dxa"/>
            <w:shd w:val="clear" w:color="auto" w:fill="auto"/>
          </w:tcPr>
          <w:p w14:paraId="6A3DC321" w14:textId="77777777" w:rsidR="00BA37FB" w:rsidRPr="00B82E38"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B82E38">
              <w:rPr>
                <w:rFonts w:ascii="Book Antiqua" w:eastAsia="宋体" w:hAnsi="Book Antiqua"/>
                <w:color w:val="000000" w:themeColor="text1"/>
              </w:rPr>
              <w:t>0.000</w:t>
            </w:r>
          </w:p>
        </w:tc>
        <w:tc>
          <w:tcPr>
            <w:tcW w:w="993" w:type="dxa"/>
            <w:shd w:val="clear" w:color="auto" w:fill="auto"/>
          </w:tcPr>
          <w:p w14:paraId="5E73ACCB" w14:textId="77777777" w:rsidR="00BA37FB" w:rsidRPr="00B82E38"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B82E38">
              <w:rPr>
                <w:rFonts w:ascii="Book Antiqua" w:eastAsia="宋体" w:hAnsi="Book Antiqua"/>
                <w:color w:val="000000" w:themeColor="text1"/>
              </w:rPr>
              <w:t>1.000</w:t>
            </w:r>
          </w:p>
        </w:tc>
        <w:tc>
          <w:tcPr>
            <w:tcW w:w="1094" w:type="dxa"/>
            <w:shd w:val="clear" w:color="auto" w:fill="auto"/>
          </w:tcPr>
          <w:p w14:paraId="16B8BF7D" w14:textId="77777777" w:rsidR="00BA37FB" w:rsidRPr="00B82E38"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B82E38">
              <w:rPr>
                <w:rFonts w:ascii="Book Antiqua" w:eastAsia="宋体" w:hAnsi="Book Antiqua"/>
                <w:color w:val="000000" w:themeColor="text1"/>
              </w:rPr>
              <w:t>0.892</w:t>
            </w:r>
          </w:p>
        </w:tc>
        <w:tc>
          <w:tcPr>
            <w:tcW w:w="1315" w:type="dxa"/>
            <w:shd w:val="clear" w:color="auto" w:fill="auto"/>
          </w:tcPr>
          <w:p w14:paraId="4896ECC9" w14:textId="77777777" w:rsidR="00BA37FB" w:rsidRPr="00B82E38" w:rsidRDefault="00BA37FB" w:rsidP="00372A8C">
            <w:pPr>
              <w:pStyle w:val="a7"/>
              <w:widowControl/>
              <w:adjustRightInd w:val="0"/>
              <w:snapToGrid w:val="0"/>
              <w:spacing w:beforeAutospacing="0" w:afterAutospacing="0" w:line="360" w:lineRule="auto"/>
              <w:rPr>
                <w:rFonts w:ascii="Book Antiqua" w:eastAsia="宋体" w:hAnsi="Book Antiqua"/>
                <w:color w:val="000000" w:themeColor="text1"/>
              </w:rPr>
            </w:pPr>
          </w:p>
        </w:tc>
        <w:tc>
          <w:tcPr>
            <w:tcW w:w="766" w:type="dxa"/>
            <w:shd w:val="clear" w:color="auto" w:fill="auto"/>
          </w:tcPr>
          <w:p w14:paraId="6106B4B5" w14:textId="77777777" w:rsidR="00BA37FB" w:rsidRPr="00B82E38" w:rsidRDefault="00BA37FB" w:rsidP="00372A8C">
            <w:pPr>
              <w:pStyle w:val="a7"/>
              <w:widowControl/>
              <w:adjustRightInd w:val="0"/>
              <w:snapToGrid w:val="0"/>
              <w:spacing w:beforeAutospacing="0" w:afterAutospacing="0" w:line="360" w:lineRule="auto"/>
              <w:rPr>
                <w:rFonts w:ascii="Book Antiqua" w:eastAsia="宋体" w:hAnsi="Book Antiqua"/>
                <w:color w:val="000000" w:themeColor="text1"/>
              </w:rPr>
            </w:pPr>
          </w:p>
        </w:tc>
        <w:tc>
          <w:tcPr>
            <w:tcW w:w="1219" w:type="dxa"/>
            <w:shd w:val="clear" w:color="auto" w:fill="auto"/>
          </w:tcPr>
          <w:p w14:paraId="594F6DDA" w14:textId="77777777" w:rsidR="00BA37FB" w:rsidRPr="00B82E38" w:rsidRDefault="00BA37FB" w:rsidP="00372A8C">
            <w:pPr>
              <w:pStyle w:val="a7"/>
              <w:widowControl/>
              <w:adjustRightInd w:val="0"/>
              <w:snapToGrid w:val="0"/>
              <w:spacing w:beforeAutospacing="0" w:afterAutospacing="0" w:line="360" w:lineRule="auto"/>
              <w:rPr>
                <w:rFonts w:ascii="Book Antiqua" w:eastAsia="宋体" w:hAnsi="Book Antiqua"/>
                <w:color w:val="000000" w:themeColor="text1"/>
              </w:rPr>
            </w:pPr>
          </w:p>
        </w:tc>
      </w:tr>
      <w:tr w:rsidR="00B82E38" w:rsidRPr="00B82E38" w14:paraId="5E4C7B01" w14:textId="77777777">
        <w:trPr>
          <w:trHeight w:val="199"/>
          <w:jc w:val="center"/>
        </w:trPr>
        <w:tc>
          <w:tcPr>
            <w:tcW w:w="2187" w:type="dxa"/>
            <w:shd w:val="clear" w:color="auto" w:fill="auto"/>
          </w:tcPr>
          <w:p w14:paraId="5356037E" w14:textId="77777777" w:rsidR="00BA37FB" w:rsidRPr="00B82E38"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B82E38">
              <w:rPr>
                <w:rFonts w:ascii="Book Antiqua" w:eastAsia="宋体" w:hAnsi="Book Antiqua"/>
                <w:color w:val="000000" w:themeColor="text1"/>
              </w:rPr>
              <w:t>AST</w:t>
            </w:r>
          </w:p>
        </w:tc>
        <w:tc>
          <w:tcPr>
            <w:tcW w:w="1583" w:type="dxa"/>
            <w:shd w:val="clear" w:color="auto" w:fill="auto"/>
          </w:tcPr>
          <w:p w14:paraId="25D0CB92" w14:textId="77777777" w:rsidR="00BA37FB" w:rsidRPr="00B82E38"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B82E38">
              <w:rPr>
                <w:rFonts w:ascii="Book Antiqua" w:eastAsia="宋体" w:hAnsi="Book Antiqua"/>
                <w:color w:val="000000" w:themeColor="text1"/>
              </w:rPr>
              <w:t>0.003</w:t>
            </w:r>
          </w:p>
        </w:tc>
        <w:tc>
          <w:tcPr>
            <w:tcW w:w="993" w:type="dxa"/>
            <w:shd w:val="clear" w:color="auto" w:fill="auto"/>
          </w:tcPr>
          <w:p w14:paraId="561E6EDD" w14:textId="77777777" w:rsidR="00BA37FB" w:rsidRPr="00B82E38"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B82E38">
              <w:rPr>
                <w:rFonts w:ascii="Book Antiqua" w:eastAsia="宋体" w:hAnsi="Book Antiqua"/>
                <w:color w:val="000000" w:themeColor="text1"/>
              </w:rPr>
              <w:t>1.003</w:t>
            </w:r>
          </w:p>
        </w:tc>
        <w:tc>
          <w:tcPr>
            <w:tcW w:w="1094" w:type="dxa"/>
            <w:shd w:val="clear" w:color="auto" w:fill="auto"/>
          </w:tcPr>
          <w:p w14:paraId="688FF16B" w14:textId="77777777" w:rsidR="00BA37FB" w:rsidRPr="00B82E38"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B82E38">
              <w:rPr>
                <w:rFonts w:ascii="Book Antiqua" w:eastAsia="宋体" w:hAnsi="Book Antiqua"/>
                <w:color w:val="000000" w:themeColor="text1"/>
              </w:rPr>
              <w:t>0.232</w:t>
            </w:r>
          </w:p>
        </w:tc>
        <w:tc>
          <w:tcPr>
            <w:tcW w:w="1315" w:type="dxa"/>
            <w:shd w:val="clear" w:color="auto" w:fill="auto"/>
          </w:tcPr>
          <w:p w14:paraId="752D8D9B" w14:textId="77777777" w:rsidR="00BA37FB" w:rsidRPr="00B82E38" w:rsidRDefault="00BA37FB" w:rsidP="00372A8C">
            <w:pPr>
              <w:pStyle w:val="a7"/>
              <w:widowControl/>
              <w:adjustRightInd w:val="0"/>
              <w:snapToGrid w:val="0"/>
              <w:spacing w:beforeAutospacing="0" w:afterAutospacing="0" w:line="360" w:lineRule="auto"/>
              <w:rPr>
                <w:rFonts w:ascii="Book Antiqua" w:eastAsia="宋体" w:hAnsi="Book Antiqua"/>
                <w:color w:val="000000" w:themeColor="text1"/>
              </w:rPr>
            </w:pPr>
          </w:p>
        </w:tc>
        <w:tc>
          <w:tcPr>
            <w:tcW w:w="766" w:type="dxa"/>
            <w:shd w:val="clear" w:color="auto" w:fill="auto"/>
          </w:tcPr>
          <w:p w14:paraId="6F9E572F" w14:textId="77777777" w:rsidR="00BA37FB" w:rsidRPr="00B82E38" w:rsidRDefault="00BA37FB" w:rsidP="00372A8C">
            <w:pPr>
              <w:pStyle w:val="a7"/>
              <w:widowControl/>
              <w:adjustRightInd w:val="0"/>
              <w:snapToGrid w:val="0"/>
              <w:spacing w:beforeAutospacing="0" w:afterAutospacing="0" w:line="360" w:lineRule="auto"/>
              <w:rPr>
                <w:rFonts w:ascii="Book Antiqua" w:eastAsia="宋体" w:hAnsi="Book Antiqua"/>
                <w:color w:val="000000" w:themeColor="text1"/>
              </w:rPr>
            </w:pPr>
          </w:p>
        </w:tc>
        <w:tc>
          <w:tcPr>
            <w:tcW w:w="1219" w:type="dxa"/>
            <w:shd w:val="clear" w:color="auto" w:fill="auto"/>
          </w:tcPr>
          <w:p w14:paraId="2883AB39" w14:textId="77777777" w:rsidR="00BA37FB" w:rsidRPr="00B82E38" w:rsidRDefault="00BA37FB" w:rsidP="00372A8C">
            <w:pPr>
              <w:pStyle w:val="a7"/>
              <w:widowControl/>
              <w:adjustRightInd w:val="0"/>
              <w:snapToGrid w:val="0"/>
              <w:spacing w:beforeAutospacing="0" w:afterAutospacing="0" w:line="360" w:lineRule="auto"/>
              <w:rPr>
                <w:rFonts w:ascii="Book Antiqua" w:eastAsia="宋体" w:hAnsi="Book Antiqua"/>
                <w:color w:val="000000" w:themeColor="text1"/>
              </w:rPr>
            </w:pPr>
          </w:p>
        </w:tc>
      </w:tr>
      <w:tr w:rsidR="00B82E38" w:rsidRPr="00B82E38" w14:paraId="24C19AB9" w14:textId="77777777">
        <w:trPr>
          <w:trHeight w:val="199"/>
          <w:jc w:val="center"/>
        </w:trPr>
        <w:tc>
          <w:tcPr>
            <w:tcW w:w="2187" w:type="dxa"/>
            <w:shd w:val="clear" w:color="auto" w:fill="auto"/>
          </w:tcPr>
          <w:p w14:paraId="3717B246" w14:textId="77777777" w:rsidR="00BA37FB" w:rsidRPr="00B82E38"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B82E38">
              <w:rPr>
                <w:rFonts w:ascii="Book Antiqua" w:eastAsia="宋体" w:hAnsi="Book Antiqua"/>
                <w:color w:val="000000" w:themeColor="text1"/>
              </w:rPr>
              <w:t>ALP</w:t>
            </w:r>
          </w:p>
        </w:tc>
        <w:tc>
          <w:tcPr>
            <w:tcW w:w="1583" w:type="dxa"/>
            <w:shd w:val="clear" w:color="auto" w:fill="auto"/>
          </w:tcPr>
          <w:p w14:paraId="231F0A43" w14:textId="77777777" w:rsidR="00BA37FB" w:rsidRPr="00B82E38"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B82E38">
              <w:rPr>
                <w:rFonts w:ascii="Book Antiqua" w:eastAsia="宋体" w:hAnsi="Book Antiqua"/>
                <w:color w:val="000000" w:themeColor="text1"/>
              </w:rPr>
              <w:t>0.002</w:t>
            </w:r>
          </w:p>
        </w:tc>
        <w:tc>
          <w:tcPr>
            <w:tcW w:w="993" w:type="dxa"/>
            <w:shd w:val="clear" w:color="auto" w:fill="auto"/>
          </w:tcPr>
          <w:p w14:paraId="78D97637" w14:textId="77777777" w:rsidR="00BA37FB" w:rsidRPr="00B82E38"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B82E38">
              <w:rPr>
                <w:rFonts w:ascii="Book Antiqua" w:eastAsia="宋体" w:hAnsi="Book Antiqua"/>
                <w:color w:val="000000" w:themeColor="text1"/>
              </w:rPr>
              <w:t>1.002</w:t>
            </w:r>
          </w:p>
        </w:tc>
        <w:tc>
          <w:tcPr>
            <w:tcW w:w="1094" w:type="dxa"/>
            <w:shd w:val="clear" w:color="auto" w:fill="auto"/>
          </w:tcPr>
          <w:p w14:paraId="49991FEE" w14:textId="77777777" w:rsidR="00BA37FB" w:rsidRPr="00B82E38"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B82E38">
              <w:rPr>
                <w:rFonts w:ascii="Book Antiqua" w:eastAsia="宋体" w:hAnsi="Book Antiqua"/>
                <w:color w:val="000000" w:themeColor="text1"/>
              </w:rPr>
              <w:t>0.248</w:t>
            </w:r>
          </w:p>
        </w:tc>
        <w:tc>
          <w:tcPr>
            <w:tcW w:w="1315" w:type="dxa"/>
            <w:shd w:val="clear" w:color="auto" w:fill="auto"/>
          </w:tcPr>
          <w:p w14:paraId="126AC25C" w14:textId="77777777" w:rsidR="00BA37FB" w:rsidRPr="00B82E38" w:rsidRDefault="00BA37FB" w:rsidP="00372A8C">
            <w:pPr>
              <w:pStyle w:val="a7"/>
              <w:widowControl/>
              <w:adjustRightInd w:val="0"/>
              <w:snapToGrid w:val="0"/>
              <w:spacing w:beforeAutospacing="0" w:afterAutospacing="0" w:line="360" w:lineRule="auto"/>
              <w:rPr>
                <w:rFonts w:ascii="Book Antiqua" w:eastAsia="宋体" w:hAnsi="Book Antiqua"/>
                <w:color w:val="000000" w:themeColor="text1"/>
              </w:rPr>
            </w:pPr>
          </w:p>
        </w:tc>
        <w:tc>
          <w:tcPr>
            <w:tcW w:w="766" w:type="dxa"/>
            <w:shd w:val="clear" w:color="auto" w:fill="auto"/>
          </w:tcPr>
          <w:p w14:paraId="24AEEF2F" w14:textId="77777777" w:rsidR="00BA37FB" w:rsidRPr="00B82E38" w:rsidRDefault="00BA37FB" w:rsidP="00372A8C">
            <w:pPr>
              <w:pStyle w:val="a7"/>
              <w:widowControl/>
              <w:adjustRightInd w:val="0"/>
              <w:snapToGrid w:val="0"/>
              <w:spacing w:beforeAutospacing="0" w:afterAutospacing="0" w:line="360" w:lineRule="auto"/>
              <w:rPr>
                <w:rFonts w:ascii="Book Antiqua" w:eastAsia="宋体" w:hAnsi="Book Antiqua"/>
                <w:color w:val="000000" w:themeColor="text1"/>
              </w:rPr>
            </w:pPr>
          </w:p>
        </w:tc>
        <w:tc>
          <w:tcPr>
            <w:tcW w:w="1219" w:type="dxa"/>
            <w:shd w:val="clear" w:color="auto" w:fill="auto"/>
          </w:tcPr>
          <w:p w14:paraId="661A948C" w14:textId="77777777" w:rsidR="00BA37FB" w:rsidRPr="00B82E38" w:rsidRDefault="00BA37FB" w:rsidP="00372A8C">
            <w:pPr>
              <w:pStyle w:val="a7"/>
              <w:widowControl/>
              <w:adjustRightInd w:val="0"/>
              <w:snapToGrid w:val="0"/>
              <w:spacing w:beforeAutospacing="0" w:afterAutospacing="0" w:line="360" w:lineRule="auto"/>
              <w:rPr>
                <w:rFonts w:ascii="Book Antiqua" w:eastAsia="宋体" w:hAnsi="Book Antiqua"/>
                <w:color w:val="000000" w:themeColor="text1"/>
              </w:rPr>
            </w:pPr>
          </w:p>
        </w:tc>
      </w:tr>
      <w:tr w:rsidR="00B82E38" w:rsidRPr="00B82E38" w14:paraId="27F35B4E" w14:textId="77777777">
        <w:trPr>
          <w:trHeight w:val="225"/>
          <w:jc w:val="center"/>
        </w:trPr>
        <w:tc>
          <w:tcPr>
            <w:tcW w:w="2187" w:type="dxa"/>
            <w:shd w:val="clear" w:color="auto" w:fill="auto"/>
          </w:tcPr>
          <w:p w14:paraId="32597935" w14:textId="77777777" w:rsidR="00BA37FB" w:rsidRPr="00B82E38"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B82E38">
              <w:rPr>
                <w:rFonts w:ascii="Book Antiqua" w:eastAsia="宋体" w:hAnsi="Book Antiqua"/>
                <w:color w:val="000000" w:themeColor="text1"/>
              </w:rPr>
              <w:t>Albumin</w:t>
            </w:r>
          </w:p>
        </w:tc>
        <w:tc>
          <w:tcPr>
            <w:tcW w:w="1583" w:type="dxa"/>
            <w:shd w:val="clear" w:color="auto" w:fill="auto"/>
          </w:tcPr>
          <w:p w14:paraId="2D8BC377" w14:textId="77777777" w:rsidR="00BA37FB" w:rsidRPr="00B82E38"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B82E38">
              <w:rPr>
                <w:rFonts w:ascii="Book Antiqua" w:eastAsia="宋体" w:hAnsi="Book Antiqua"/>
                <w:color w:val="000000" w:themeColor="text1"/>
              </w:rPr>
              <w:t>-0.058</w:t>
            </w:r>
          </w:p>
        </w:tc>
        <w:tc>
          <w:tcPr>
            <w:tcW w:w="993" w:type="dxa"/>
            <w:shd w:val="clear" w:color="auto" w:fill="auto"/>
          </w:tcPr>
          <w:p w14:paraId="65D68492" w14:textId="77777777" w:rsidR="00BA37FB" w:rsidRPr="00B82E38"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B82E38">
              <w:rPr>
                <w:rFonts w:ascii="Book Antiqua" w:eastAsia="宋体" w:hAnsi="Book Antiqua"/>
                <w:color w:val="000000" w:themeColor="text1"/>
              </w:rPr>
              <w:t>0.94</w:t>
            </w:r>
          </w:p>
        </w:tc>
        <w:tc>
          <w:tcPr>
            <w:tcW w:w="1094" w:type="dxa"/>
            <w:shd w:val="clear" w:color="auto" w:fill="auto"/>
          </w:tcPr>
          <w:p w14:paraId="71A8B4CB" w14:textId="77777777" w:rsidR="00BA37FB" w:rsidRPr="00B82E38"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B82E38">
              <w:rPr>
                <w:rFonts w:ascii="Book Antiqua" w:eastAsia="宋体" w:hAnsi="Book Antiqua"/>
                <w:color w:val="000000" w:themeColor="text1"/>
              </w:rPr>
              <w:t>0.1364</w:t>
            </w:r>
          </w:p>
        </w:tc>
        <w:tc>
          <w:tcPr>
            <w:tcW w:w="1315" w:type="dxa"/>
            <w:shd w:val="clear" w:color="auto" w:fill="auto"/>
          </w:tcPr>
          <w:p w14:paraId="702CD531" w14:textId="77777777" w:rsidR="00BA37FB" w:rsidRPr="00B82E38" w:rsidRDefault="00BA37FB" w:rsidP="00372A8C">
            <w:pPr>
              <w:pStyle w:val="a7"/>
              <w:widowControl/>
              <w:adjustRightInd w:val="0"/>
              <w:snapToGrid w:val="0"/>
              <w:spacing w:beforeAutospacing="0" w:afterAutospacing="0" w:line="360" w:lineRule="auto"/>
              <w:rPr>
                <w:rFonts w:ascii="Book Antiqua" w:eastAsia="宋体" w:hAnsi="Book Antiqua"/>
                <w:color w:val="000000" w:themeColor="text1"/>
              </w:rPr>
            </w:pPr>
          </w:p>
        </w:tc>
        <w:tc>
          <w:tcPr>
            <w:tcW w:w="766" w:type="dxa"/>
            <w:shd w:val="clear" w:color="auto" w:fill="auto"/>
          </w:tcPr>
          <w:p w14:paraId="02FBA5FA" w14:textId="77777777" w:rsidR="00BA37FB" w:rsidRPr="00B82E38" w:rsidRDefault="00BA37FB" w:rsidP="00372A8C">
            <w:pPr>
              <w:pStyle w:val="a7"/>
              <w:widowControl/>
              <w:adjustRightInd w:val="0"/>
              <w:snapToGrid w:val="0"/>
              <w:spacing w:beforeAutospacing="0" w:afterAutospacing="0" w:line="360" w:lineRule="auto"/>
              <w:rPr>
                <w:rFonts w:ascii="Book Antiqua" w:eastAsia="宋体" w:hAnsi="Book Antiqua"/>
                <w:color w:val="000000" w:themeColor="text1"/>
              </w:rPr>
            </w:pPr>
          </w:p>
        </w:tc>
        <w:tc>
          <w:tcPr>
            <w:tcW w:w="1219" w:type="dxa"/>
            <w:shd w:val="clear" w:color="auto" w:fill="auto"/>
          </w:tcPr>
          <w:p w14:paraId="0B1B0DF6" w14:textId="77777777" w:rsidR="00BA37FB" w:rsidRPr="00B82E38" w:rsidRDefault="00BA37FB" w:rsidP="00372A8C">
            <w:pPr>
              <w:pStyle w:val="a7"/>
              <w:widowControl/>
              <w:adjustRightInd w:val="0"/>
              <w:snapToGrid w:val="0"/>
              <w:spacing w:beforeAutospacing="0" w:afterAutospacing="0" w:line="360" w:lineRule="auto"/>
              <w:rPr>
                <w:rFonts w:ascii="Book Antiqua" w:eastAsia="宋体" w:hAnsi="Book Antiqua"/>
                <w:color w:val="000000" w:themeColor="text1"/>
              </w:rPr>
            </w:pPr>
          </w:p>
        </w:tc>
      </w:tr>
      <w:tr w:rsidR="00B82E38" w:rsidRPr="00B82E38" w14:paraId="7F1DAAC0" w14:textId="77777777">
        <w:trPr>
          <w:trHeight w:val="399"/>
          <w:jc w:val="center"/>
        </w:trPr>
        <w:tc>
          <w:tcPr>
            <w:tcW w:w="2187" w:type="dxa"/>
            <w:shd w:val="clear" w:color="auto" w:fill="auto"/>
          </w:tcPr>
          <w:p w14:paraId="3E028E00" w14:textId="77777777" w:rsidR="00BA37FB" w:rsidRPr="00B82E38"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B82E38">
              <w:rPr>
                <w:rFonts w:ascii="Book Antiqua" w:eastAsia="宋体" w:hAnsi="Book Antiqua"/>
                <w:color w:val="000000" w:themeColor="text1"/>
              </w:rPr>
              <w:t>Serum potassium</w:t>
            </w:r>
          </w:p>
        </w:tc>
        <w:tc>
          <w:tcPr>
            <w:tcW w:w="1583" w:type="dxa"/>
            <w:shd w:val="clear" w:color="auto" w:fill="auto"/>
          </w:tcPr>
          <w:p w14:paraId="030E7C52" w14:textId="77777777" w:rsidR="00BA37FB" w:rsidRPr="00B82E38"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B82E38">
              <w:rPr>
                <w:rFonts w:ascii="Book Antiqua" w:eastAsia="宋体" w:hAnsi="Book Antiqua"/>
                <w:color w:val="000000" w:themeColor="text1"/>
              </w:rPr>
              <w:t>0.233</w:t>
            </w:r>
          </w:p>
        </w:tc>
        <w:tc>
          <w:tcPr>
            <w:tcW w:w="993" w:type="dxa"/>
            <w:shd w:val="clear" w:color="auto" w:fill="auto"/>
          </w:tcPr>
          <w:p w14:paraId="5DC3F735" w14:textId="77777777" w:rsidR="00BA37FB" w:rsidRPr="00B82E38"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B82E38">
              <w:rPr>
                <w:rFonts w:ascii="Book Antiqua" w:eastAsia="宋体" w:hAnsi="Book Antiqua"/>
                <w:color w:val="000000" w:themeColor="text1"/>
              </w:rPr>
              <w:t>1.262</w:t>
            </w:r>
          </w:p>
        </w:tc>
        <w:tc>
          <w:tcPr>
            <w:tcW w:w="1094" w:type="dxa"/>
            <w:shd w:val="clear" w:color="auto" w:fill="auto"/>
          </w:tcPr>
          <w:p w14:paraId="41EF868C" w14:textId="77777777" w:rsidR="00BA37FB" w:rsidRPr="00B82E38"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B82E38">
              <w:rPr>
                <w:rFonts w:ascii="Book Antiqua" w:eastAsia="宋体" w:hAnsi="Book Antiqua"/>
                <w:color w:val="000000" w:themeColor="text1"/>
              </w:rPr>
              <w:t>0.689</w:t>
            </w:r>
          </w:p>
        </w:tc>
        <w:tc>
          <w:tcPr>
            <w:tcW w:w="1315" w:type="dxa"/>
            <w:shd w:val="clear" w:color="auto" w:fill="auto"/>
          </w:tcPr>
          <w:p w14:paraId="1D096E9F" w14:textId="77777777" w:rsidR="00BA37FB" w:rsidRPr="00B82E38" w:rsidRDefault="00BA37FB" w:rsidP="00372A8C">
            <w:pPr>
              <w:pStyle w:val="a7"/>
              <w:widowControl/>
              <w:adjustRightInd w:val="0"/>
              <w:snapToGrid w:val="0"/>
              <w:spacing w:beforeAutospacing="0" w:afterAutospacing="0" w:line="360" w:lineRule="auto"/>
              <w:rPr>
                <w:rFonts w:ascii="Book Antiqua" w:eastAsia="宋体" w:hAnsi="Book Antiqua"/>
                <w:color w:val="000000" w:themeColor="text1"/>
              </w:rPr>
            </w:pPr>
          </w:p>
        </w:tc>
        <w:tc>
          <w:tcPr>
            <w:tcW w:w="766" w:type="dxa"/>
            <w:shd w:val="clear" w:color="auto" w:fill="auto"/>
          </w:tcPr>
          <w:p w14:paraId="0DE5815D" w14:textId="77777777" w:rsidR="00BA37FB" w:rsidRPr="00B82E38" w:rsidRDefault="00BA37FB" w:rsidP="00372A8C">
            <w:pPr>
              <w:pStyle w:val="a7"/>
              <w:widowControl/>
              <w:adjustRightInd w:val="0"/>
              <w:snapToGrid w:val="0"/>
              <w:spacing w:beforeAutospacing="0" w:afterAutospacing="0" w:line="360" w:lineRule="auto"/>
              <w:rPr>
                <w:rFonts w:ascii="Book Antiqua" w:eastAsia="宋体" w:hAnsi="Book Antiqua"/>
                <w:color w:val="000000" w:themeColor="text1"/>
              </w:rPr>
            </w:pPr>
          </w:p>
        </w:tc>
        <w:tc>
          <w:tcPr>
            <w:tcW w:w="1219" w:type="dxa"/>
            <w:shd w:val="clear" w:color="auto" w:fill="auto"/>
          </w:tcPr>
          <w:p w14:paraId="38A077B8" w14:textId="77777777" w:rsidR="00BA37FB" w:rsidRPr="00B82E38" w:rsidRDefault="00BA37FB" w:rsidP="00372A8C">
            <w:pPr>
              <w:pStyle w:val="a7"/>
              <w:widowControl/>
              <w:adjustRightInd w:val="0"/>
              <w:snapToGrid w:val="0"/>
              <w:spacing w:beforeAutospacing="0" w:afterAutospacing="0" w:line="360" w:lineRule="auto"/>
              <w:rPr>
                <w:rFonts w:ascii="Book Antiqua" w:eastAsia="宋体" w:hAnsi="Book Antiqua"/>
                <w:color w:val="000000" w:themeColor="text1"/>
              </w:rPr>
            </w:pPr>
          </w:p>
        </w:tc>
      </w:tr>
      <w:tr w:rsidR="00B82E38" w:rsidRPr="00B82E38" w14:paraId="4745BFA0" w14:textId="77777777">
        <w:trPr>
          <w:trHeight w:val="399"/>
          <w:jc w:val="center"/>
        </w:trPr>
        <w:tc>
          <w:tcPr>
            <w:tcW w:w="2187" w:type="dxa"/>
            <w:shd w:val="clear" w:color="auto" w:fill="auto"/>
          </w:tcPr>
          <w:p w14:paraId="302C90F2" w14:textId="77777777" w:rsidR="00BA37FB" w:rsidRPr="00B82E38"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B82E38">
              <w:rPr>
                <w:rFonts w:ascii="Book Antiqua" w:eastAsia="宋体" w:hAnsi="Book Antiqua"/>
                <w:color w:val="000000" w:themeColor="text1"/>
              </w:rPr>
              <w:t>Serum clozapine</w:t>
            </w:r>
          </w:p>
        </w:tc>
        <w:tc>
          <w:tcPr>
            <w:tcW w:w="1583" w:type="dxa"/>
            <w:shd w:val="clear" w:color="auto" w:fill="auto"/>
          </w:tcPr>
          <w:p w14:paraId="38C15DDE" w14:textId="77777777" w:rsidR="00BA37FB" w:rsidRPr="00B82E38"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B82E38">
              <w:rPr>
                <w:rFonts w:ascii="Book Antiqua" w:eastAsia="宋体" w:hAnsi="Book Antiqua"/>
                <w:color w:val="000000" w:themeColor="text1"/>
              </w:rPr>
              <w:t>0.007</w:t>
            </w:r>
          </w:p>
        </w:tc>
        <w:tc>
          <w:tcPr>
            <w:tcW w:w="993" w:type="dxa"/>
            <w:shd w:val="clear" w:color="auto" w:fill="auto"/>
          </w:tcPr>
          <w:p w14:paraId="6D3AF233" w14:textId="77777777" w:rsidR="00BA37FB" w:rsidRPr="00B82E38"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B82E38">
              <w:rPr>
                <w:rFonts w:ascii="Book Antiqua" w:eastAsia="宋体" w:hAnsi="Book Antiqua"/>
                <w:color w:val="000000" w:themeColor="text1"/>
              </w:rPr>
              <w:t>1.007</w:t>
            </w:r>
          </w:p>
        </w:tc>
        <w:tc>
          <w:tcPr>
            <w:tcW w:w="1094" w:type="dxa"/>
            <w:shd w:val="clear" w:color="auto" w:fill="auto"/>
          </w:tcPr>
          <w:p w14:paraId="096A8598" w14:textId="77777777" w:rsidR="00BA37FB" w:rsidRPr="00B82E38"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B82E38">
              <w:rPr>
                <w:rFonts w:ascii="Book Antiqua" w:eastAsia="宋体" w:hAnsi="Book Antiqua"/>
                <w:color w:val="000000" w:themeColor="text1"/>
              </w:rPr>
              <w:t>0.864</w:t>
            </w:r>
          </w:p>
        </w:tc>
        <w:tc>
          <w:tcPr>
            <w:tcW w:w="1315" w:type="dxa"/>
            <w:shd w:val="clear" w:color="auto" w:fill="auto"/>
          </w:tcPr>
          <w:p w14:paraId="5693BD75" w14:textId="77777777" w:rsidR="00BA37FB" w:rsidRPr="00B82E38" w:rsidRDefault="00BA37FB" w:rsidP="00372A8C">
            <w:pPr>
              <w:pStyle w:val="a7"/>
              <w:widowControl/>
              <w:adjustRightInd w:val="0"/>
              <w:snapToGrid w:val="0"/>
              <w:spacing w:beforeAutospacing="0" w:afterAutospacing="0" w:line="360" w:lineRule="auto"/>
              <w:rPr>
                <w:rFonts w:ascii="Book Antiqua" w:eastAsia="宋体" w:hAnsi="Book Antiqua"/>
                <w:color w:val="000000" w:themeColor="text1"/>
              </w:rPr>
            </w:pPr>
          </w:p>
        </w:tc>
        <w:tc>
          <w:tcPr>
            <w:tcW w:w="766" w:type="dxa"/>
            <w:shd w:val="clear" w:color="auto" w:fill="auto"/>
          </w:tcPr>
          <w:p w14:paraId="7CD815E8" w14:textId="77777777" w:rsidR="00BA37FB" w:rsidRPr="00B82E38" w:rsidRDefault="00BA37FB" w:rsidP="00372A8C">
            <w:pPr>
              <w:pStyle w:val="a7"/>
              <w:widowControl/>
              <w:adjustRightInd w:val="0"/>
              <w:snapToGrid w:val="0"/>
              <w:spacing w:beforeAutospacing="0" w:afterAutospacing="0" w:line="360" w:lineRule="auto"/>
              <w:rPr>
                <w:rFonts w:ascii="Book Antiqua" w:eastAsia="宋体" w:hAnsi="Book Antiqua"/>
                <w:color w:val="000000" w:themeColor="text1"/>
              </w:rPr>
            </w:pPr>
          </w:p>
        </w:tc>
        <w:tc>
          <w:tcPr>
            <w:tcW w:w="1219" w:type="dxa"/>
            <w:shd w:val="clear" w:color="auto" w:fill="auto"/>
          </w:tcPr>
          <w:p w14:paraId="08CD4E69" w14:textId="77777777" w:rsidR="00BA37FB" w:rsidRPr="00B82E38" w:rsidRDefault="00BA37FB" w:rsidP="00372A8C">
            <w:pPr>
              <w:pStyle w:val="a7"/>
              <w:widowControl/>
              <w:adjustRightInd w:val="0"/>
              <w:snapToGrid w:val="0"/>
              <w:spacing w:beforeAutospacing="0" w:afterAutospacing="0" w:line="360" w:lineRule="auto"/>
              <w:rPr>
                <w:rFonts w:ascii="Book Antiqua" w:eastAsia="宋体" w:hAnsi="Book Antiqua"/>
                <w:color w:val="000000" w:themeColor="text1"/>
              </w:rPr>
            </w:pPr>
          </w:p>
        </w:tc>
      </w:tr>
      <w:tr w:rsidR="00B82E38" w:rsidRPr="00B82E38" w14:paraId="77E96597" w14:textId="77777777">
        <w:trPr>
          <w:trHeight w:val="399"/>
          <w:jc w:val="center"/>
        </w:trPr>
        <w:tc>
          <w:tcPr>
            <w:tcW w:w="2187" w:type="dxa"/>
            <w:shd w:val="clear" w:color="auto" w:fill="auto"/>
          </w:tcPr>
          <w:p w14:paraId="59D540C7" w14:textId="77777777" w:rsidR="00BA37FB" w:rsidRPr="00B82E38"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B82E38">
              <w:rPr>
                <w:rFonts w:ascii="Book Antiqua" w:eastAsia="宋体" w:hAnsi="Book Antiqua"/>
                <w:color w:val="000000" w:themeColor="text1"/>
              </w:rPr>
              <w:t>Serum sodium</w:t>
            </w:r>
          </w:p>
        </w:tc>
        <w:tc>
          <w:tcPr>
            <w:tcW w:w="1583" w:type="dxa"/>
            <w:shd w:val="clear" w:color="auto" w:fill="auto"/>
          </w:tcPr>
          <w:p w14:paraId="65230275" w14:textId="77777777" w:rsidR="00BA37FB" w:rsidRPr="00B82E38"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B82E38">
              <w:rPr>
                <w:rFonts w:ascii="Book Antiqua" w:eastAsia="宋体" w:hAnsi="Book Antiqua"/>
                <w:color w:val="000000" w:themeColor="text1"/>
              </w:rPr>
              <w:t>-0.035</w:t>
            </w:r>
          </w:p>
        </w:tc>
        <w:tc>
          <w:tcPr>
            <w:tcW w:w="993" w:type="dxa"/>
            <w:shd w:val="clear" w:color="auto" w:fill="auto"/>
          </w:tcPr>
          <w:p w14:paraId="0B223F7D" w14:textId="77777777" w:rsidR="00BA37FB" w:rsidRPr="00B82E38"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B82E38">
              <w:rPr>
                <w:rFonts w:ascii="Book Antiqua" w:eastAsia="宋体" w:hAnsi="Book Antiqua"/>
                <w:color w:val="000000" w:themeColor="text1"/>
              </w:rPr>
              <w:t>0.965</w:t>
            </w:r>
          </w:p>
        </w:tc>
        <w:tc>
          <w:tcPr>
            <w:tcW w:w="1094" w:type="dxa"/>
            <w:shd w:val="clear" w:color="auto" w:fill="auto"/>
          </w:tcPr>
          <w:p w14:paraId="3BEA50FD" w14:textId="77777777" w:rsidR="00BA37FB" w:rsidRPr="00B82E38"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B82E38">
              <w:rPr>
                <w:rFonts w:ascii="Book Antiqua" w:eastAsia="宋体" w:hAnsi="Book Antiqua"/>
                <w:color w:val="000000" w:themeColor="text1"/>
              </w:rPr>
              <w:t>0.395</w:t>
            </w:r>
          </w:p>
        </w:tc>
        <w:tc>
          <w:tcPr>
            <w:tcW w:w="1315" w:type="dxa"/>
            <w:shd w:val="clear" w:color="auto" w:fill="auto"/>
          </w:tcPr>
          <w:p w14:paraId="2731C4B1" w14:textId="77777777" w:rsidR="00BA37FB" w:rsidRPr="00B82E38" w:rsidRDefault="00BA37FB" w:rsidP="00372A8C">
            <w:pPr>
              <w:pStyle w:val="a7"/>
              <w:widowControl/>
              <w:adjustRightInd w:val="0"/>
              <w:snapToGrid w:val="0"/>
              <w:spacing w:beforeAutospacing="0" w:afterAutospacing="0" w:line="360" w:lineRule="auto"/>
              <w:rPr>
                <w:rFonts w:ascii="Book Antiqua" w:eastAsia="宋体" w:hAnsi="Book Antiqua"/>
                <w:color w:val="000000" w:themeColor="text1"/>
              </w:rPr>
            </w:pPr>
          </w:p>
        </w:tc>
        <w:tc>
          <w:tcPr>
            <w:tcW w:w="766" w:type="dxa"/>
            <w:shd w:val="clear" w:color="auto" w:fill="auto"/>
          </w:tcPr>
          <w:p w14:paraId="3B53786B" w14:textId="77777777" w:rsidR="00BA37FB" w:rsidRPr="00B82E38" w:rsidRDefault="00BA37FB" w:rsidP="00372A8C">
            <w:pPr>
              <w:pStyle w:val="a7"/>
              <w:widowControl/>
              <w:adjustRightInd w:val="0"/>
              <w:snapToGrid w:val="0"/>
              <w:spacing w:beforeAutospacing="0" w:afterAutospacing="0" w:line="360" w:lineRule="auto"/>
              <w:rPr>
                <w:rFonts w:ascii="Book Antiqua" w:eastAsia="宋体" w:hAnsi="Book Antiqua"/>
                <w:color w:val="000000" w:themeColor="text1"/>
              </w:rPr>
            </w:pPr>
          </w:p>
        </w:tc>
        <w:tc>
          <w:tcPr>
            <w:tcW w:w="1219" w:type="dxa"/>
            <w:shd w:val="clear" w:color="auto" w:fill="auto"/>
          </w:tcPr>
          <w:p w14:paraId="0C3F6A9B" w14:textId="77777777" w:rsidR="00BA37FB" w:rsidRPr="00B82E38" w:rsidRDefault="00BA37FB" w:rsidP="00372A8C">
            <w:pPr>
              <w:pStyle w:val="a7"/>
              <w:widowControl/>
              <w:adjustRightInd w:val="0"/>
              <w:snapToGrid w:val="0"/>
              <w:spacing w:beforeAutospacing="0" w:afterAutospacing="0" w:line="360" w:lineRule="auto"/>
              <w:rPr>
                <w:rFonts w:ascii="Book Antiqua" w:eastAsia="宋体" w:hAnsi="Book Antiqua"/>
                <w:color w:val="000000" w:themeColor="text1"/>
              </w:rPr>
            </w:pPr>
          </w:p>
        </w:tc>
      </w:tr>
      <w:tr w:rsidR="00B82E38" w:rsidRPr="00B82E38" w14:paraId="06DC15CB" w14:textId="77777777">
        <w:trPr>
          <w:trHeight w:val="249"/>
          <w:jc w:val="center"/>
        </w:trPr>
        <w:tc>
          <w:tcPr>
            <w:tcW w:w="2187" w:type="dxa"/>
            <w:shd w:val="clear" w:color="auto" w:fill="auto"/>
          </w:tcPr>
          <w:p w14:paraId="4FEB5547" w14:textId="77777777" w:rsidR="00BA37FB" w:rsidRPr="00B82E38"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B82E38">
              <w:rPr>
                <w:rFonts w:ascii="Book Antiqua" w:eastAsia="宋体" w:hAnsi="Book Antiqua"/>
                <w:color w:val="000000" w:themeColor="text1"/>
              </w:rPr>
              <w:t>WBC</w:t>
            </w:r>
          </w:p>
        </w:tc>
        <w:tc>
          <w:tcPr>
            <w:tcW w:w="1583" w:type="dxa"/>
            <w:shd w:val="clear" w:color="auto" w:fill="auto"/>
          </w:tcPr>
          <w:p w14:paraId="123375B7" w14:textId="77777777" w:rsidR="00BA37FB" w:rsidRPr="00B82E38"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B82E38">
              <w:rPr>
                <w:rFonts w:ascii="Book Antiqua" w:eastAsia="宋体" w:hAnsi="Book Antiqua"/>
                <w:color w:val="000000" w:themeColor="text1"/>
              </w:rPr>
              <w:t>0.047</w:t>
            </w:r>
          </w:p>
        </w:tc>
        <w:tc>
          <w:tcPr>
            <w:tcW w:w="993" w:type="dxa"/>
            <w:shd w:val="clear" w:color="auto" w:fill="auto"/>
          </w:tcPr>
          <w:p w14:paraId="5B3796B1" w14:textId="77777777" w:rsidR="00BA37FB" w:rsidRPr="00B82E38"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B82E38">
              <w:rPr>
                <w:rFonts w:ascii="Book Antiqua" w:eastAsia="宋体" w:hAnsi="Book Antiqua"/>
                <w:color w:val="000000" w:themeColor="text1"/>
              </w:rPr>
              <w:t>1.049</w:t>
            </w:r>
          </w:p>
        </w:tc>
        <w:tc>
          <w:tcPr>
            <w:tcW w:w="1094" w:type="dxa"/>
            <w:shd w:val="clear" w:color="auto" w:fill="auto"/>
          </w:tcPr>
          <w:p w14:paraId="7E9CDA64" w14:textId="77777777" w:rsidR="00BA37FB" w:rsidRPr="00B82E38"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B82E38">
              <w:rPr>
                <w:rFonts w:ascii="Book Antiqua" w:eastAsia="宋体" w:hAnsi="Book Antiqua"/>
                <w:color w:val="000000" w:themeColor="text1"/>
              </w:rPr>
              <w:t>0.544</w:t>
            </w:r>
          </w:p>
        </w:tc>
        <w:tc>
          <w:tcPr>
            <w:tcW w:w="1315" w:type="dxa"/>
            <w:shd w:val="clear" w:color="auto" w:fill="auto"/>
          </w:tcPr>
          <w:p w14:paraId="62732337" w14:textId="77777777" w:rsidR="00BA37FB" w:rsidRPr="00B82E38" w:rsidRDefault="00BA37FB" w:rsidP="00372A8C">
            <w:pPr>
              <w:pStyle w:val="a7"/>
              <w:widowControl/>
              <w:adjustRightInd w:val="0"/>
              <w:snapToGrid w:val="0"/>
              <w:spacing w:beforeAutospacing="0" w:afterAutospacing="0" w:line="360" w:lineRule="auto"/>
              <w:rPr>
                <w:rFonts w:ascii="Book Antiqua" w:eastAsia="宋体" w:hAnsi="Book Antiqua"/>
                <w:color w:val="000000" w:themeColor="text1"/>
              </w:rPr>
            </w:pPr>
          </w:p>
        </w:tc>
        <w:tc>
          <w:tcPr>
            <w:tcW w:w="766" w:type="dxa"/>
            <w:shd w:val="clear" w:color="auto" w:fill="auto"/>
          </w:tcPr>
          <w:p w14:paraId="761ADC9A" w14:textId="77777777" w:rsidR="00BA37FB" w:rsidRPr="00B82E38" w:rsidRDefault="00BA37FB" w:rsidP="00372A8C">
            <w:pPr>
              <w:pStyle w:val="a7"/>
              <w:widowControl/>
              <w:adjustRightInd w:val="0"/>
              <w:snapToGrid w:val="0"/>
              <w:spacing w:beforeAutospacing="0" w:afterAutospacing="0" w:line="360" w:lineRule="auto"/>
              <w:rPr>
                <w:rFonts w:ascii="Book Antiqua" w:eastAsia="宋体" w:hAnsi="Book Antiqua"/>
                <w:color w:val="000000" w:themeColor="text1"/>
              </w:rPr>
            </w:pPr>
          </w:p>
        </w:tc>
        <w:tc>
          <w:tcPr>
            <w:tcW w:w="1219" w:type="dxa"/>
            <w:shd w:val="clear" w:color="auto" w:fill="auto"/>
          </w:tcPr>
          <w:p w14:paraId="7F8E0829" w14:textId="77777777" w:rsidR="00BA37FB" w:rsidRPr="00B82E38" w:rsidRDefault="00BA37FB" w:rsidP="00372A8C">
            <w:pPr>
              <w:pStyle w:val="a7"/>
              <w:widowControl/>
              <w:adjustRightInd w:val="0"/>
              <w:snapToGrid w:val="0"/>
              <w:spacing w:beforeAutospacing="0" w:afterAutospacing="0" w:line="360" w:lineRule="auto"/>
              <w:rPr>
                <w:rFonts w:ascii="Book Antiqua" w:eastAsia="宋体" w:hAnsi="Book Antiqua"/>
                <w:color w:val="000000" w:themeColor="text1"/>
              </w:rPr>
            </w:pPr>
          </w:p>
        </w:tc>
      </w:tr>
      <w:tr w:rsidR="00B82E38" w:rsidRPr="00B82E38" w14:paraId="5354E69E" w14:textId="77777777">
        <w:trPr>
          <w:trHeight w:val="425"/>
          <w:jc w:val="center"/>
        </w:trPr>
        <w:tc>
          <w:tcPr>
            <w:tcW w:w="2187" w:type="dxa"/>
            <w:shd w:val="clear" w:color="auto" w:fill="auto"/>
          </w:tcPr>
          <w:p w14:paraId="443CBAD4" w14:textId="77777777" w:rsidR="00BA37FB" w:rsidRPr="00B82E38"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B82E38">
              <w:rPr>
                <w:rFonts w:ascii="Book Antiqua" w:eastAsia="宋体" w:hAnsi="Book Antiqua"/>
                <w:color w:val="000000" w:themeColor="text1"/>
              </w:rPr>
              <w:t xml:space="preserve">Platelet count </w:t>
            </w:r>
          </w:p>
        </w:tc>
        <w:tc>
          <w:tcPr>
            <w:tcW w:w="1583" w:type="dxa"/>
            <w:shd w:val="clear" w:color="auto" w:fill="auto"/>
          </w:tcPr>
          <w:p w14:paraId="68D825B0" w14:textId="77777777" w:rsidR="00BA37FB" w:rsidRPr="00B82E38"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B82E38">
              <w:rPr>
                <w:rFonts w:ascii="Book Antiqua" w:eastAsia="宋体" w:hAnsi="Book Antiqua"/>
                <w:color w:val="000000" w:themeColor="text1"/>
              </w:rPr>
              <w:t>-0.003</w:t>
            </w:r>
          </w:p>
        </w:tc>
        <w:tc>
          <w:tcPr>
            <w:tcW w:w="993" w:type="dxa"/>
            <w:shd w:val="clear" w:color="auto" w:fill="auto"/>
          </w:tcPr>
          <w:p w14:paraId="472AC680" w14:textId="77777777" w:rsidR="00BA37FB" w:rsidRPr="00B82E38"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B82E38">
              <w:rPr>
                <w:rFonts w:ascii="Book Antiqua" w:eastAsia="宋体" w:hAnsi="Book Antiqua"/>
                <w:color w:val="000000" w:themeColor="text1"/>
              </w:rPr>
              <w:t>0.997</w:t>
            </w:r>
          </w:p>
        </w:tc>
        <w:tc>
          <w:tcPr>
            <w:tcW w:w="1094" w:type="dxa"/>
            <w:shd w:val="clear" w:color="auto" w:fill="auto"/>
          </w:tcPr>
          <w:p w14:paraId="4F0DF61D" w14:textId="77777777" w:rsidR="00BA37FB" w:rsidRPr="00B82E38"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B82E38">
              <w:rPr>
                <w:rFonts w:ascii="Book Antiqua" w:eastAsia="宋体" w:hAnsi="Book Antiqua"/>
                <w:color w:val="000000" w:themeColor="text1"/>
              </w:rPr>
              <w:t>0.359</w:t>
            </w:r>
          </w:p>
        </w:tc>
        <w:tc>
          <w:tcPr>
            <w:tcW w:w="1315" w:type="dxa"/>
            <w:shd w:val="clear" w:color="auto" w:fill="auto"/>
          </w:tcPr>
          <w:p w14:paraId="65A799AA" w14:textId="77777777" w:rsidR="00BA37FB" w:rsidRPr="00B82E38" w:rsidRDefault="00BA37FB" w:rsidP="00372A8C">
            <w:pPr>
              <w:pStyle w:val="a7"/>
              <w:widowControl/>
              <w:adjustRightInd w:val="0"/>
              <w:snapToGrid w:val="0"/>
              <w:spacing w:beforeAutospacing="0" w:afterAutospacing="0" w:line="360" w:lineRule="auto"/>
              <w:rPr>
                <w:rFonts w:ascii="Book Antiqua" w:eastAsia="宋体" w:hAnsi="Book Antiqua"/>
                <w:color w:val="000000" w:themeColor="text1"/>
              </w:rPr>
            </w:pPr>
          </w:p>
        </w:tc>
        <w:tc>
          <w:tcPr>
            <w:tcW w:w="766" w:type="dxa"/>
            <w:shd w:val="clear" w:color="auto" w:fill="auto"/>
          </w:tcPr>
          <w:p w14:paraId="69BEF482" w14:textId="77777777" w:rsidR="00BA37FB" w:rsidRPr="00B82E38" w:rsidRDefault="00BA37FB" w:rsidP="00372A8C">
            <w:pPr>
              <w:pStyle w:val="a7"/>
              <w:widowControl/>
              <w:adjustRightInd w:val="0"/>
              <w:snapToGrid w:val="0"/>
              <w:spacing w:beforeAutospacing="0" w:afterAutospacing="0" w:line="360" w:lineRule="auto"/>
              <w:rPr>
                <w:rFonts w:ascii="Book Antiqua" w:eastAsia="宋体" w:hAnsi="Book Antiqua"/>
                <w:color w:val="000000" w:themeColor="text1"/>
              </w:rPr>
            </w:pPr>
          </w:p>
        </w:tc>
        <w:tc>
          <w:tcPr>
            <w:tcW w:w="1219" w:type="dxa"/>
            <w:shd w:val="clear" w:color="auto" w:fill="auto"/>
          </w:tcPr>
          <w:p w14:paraId="5DB712B1" w14:textId="77777777" w:rsidR="00BA37FB" w:rsidRPr="00B82E38" w:rsidRDefault="00BA37FB" w:rsidP="00372A8C">
            <w:pPr>
              <w:pStyle w:val="a7"/>
              <w:widowControl/>
              <w:adjustRightInd w:val="0"/>
              <w:snapToGrid w:val="0"/>
              <w:spacing w:beforeAutospacing="0" w:afterAutospacing="0" w:line="360" w:lineRule="auto"/>
              <w:rPr>
                <w:rFonts w:ascii="Book Antiqua" w:eastAsia="宋体" w:hAnsi="Book Antiqua"/>
                <w:color w:val="000000" w:themeColor="text1"/>
              </w:rPr>
            </w:pPr>
          </w:p>
        </w:tc>
      </w:tr>
      <w:tr w:rsidR="00B82E38" w:rsidRPr="00B82E38" w14:paraId="5642BA61" w14:textId="77777777">
        <w:trPr>
          <w:trHeight w:val="225"/>
          <w:jc w:val="center"/>
        </w:trPr>
        <w:tc>
          <w:tcPr>
            <w:tcW w:w="2187" w:type="dxa"/>
            <w:shd w:val="clear" w:color="auto" w:fill="auto"/>
          </w:tcPr>
          <w:p w14:paraId="7B201ED3" w14:textId="77777777" w:rsidR="00BA37FB" w:rsidRPr="00B82E38"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B82E38">
              <w:rPr>
                <w:rFonts w:ascii="Book Antiqua" w:eastAsia="宋体" w:hAnsi="Book Antiqua"/>
                <w:color w:val="000000" w:themeColor="text1"/>
              </w:rPr>
              <w:t>Hb</w:t>
            </w:r>
          </w:p>
        </w:tc>
        <w:tc>
          <w:tcPr>
            <w:tcW w:w="1583" w:type="dxa"/>
            <w:shd w:val="clear" w:color="auto" w:fill="auto"/>
          </w:tcPr>
          <w:p w14:paraId="1A4B8648" w14:textId="77777777" w:rsidR="00BA37FB" w:rsidRPr="00B82E38"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B82E38">
              <w:rPr>
                <w:rFonts w:ascii="Book Antiqua" w:eastAsia="宋体" w:hAnsi="Book Antiqua"/>
                <w:color w:val="000000" w:themeColor="text1"/>
              </w:rPr>
              <w:t>-0.001</w:t>
            </w:r>
          </w:p>
        </w:tc>
        <w:tc>
          <w:tcPr>
            <w:tcW w:w="993" w:type="dxa"/>
            <w:shd w:val="clear" w:color="auto" w:fill="auto"/>
          </w:tcPr>
          <w:p w14:paraId="5E6B34EC" w14:textId="77777777" w:rsidR="00BA37FB" w:rsidRPr="00B82E38"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B82E38">
              <w:rPr>
                <w:rFonts w:ascii="Book Antiqua" w:eastAsia="宋体" w:hAnsi="Book Antiqua"/>
                <w:color w:val="000000" w:themeColor="text1"/>
              </w:rPr>
              <w:t>0.999</w:t>
            </w:r>
          </w:p>
        </w:tc>
        <w:tc>
          <w:tcPr>
            <w:tcW w:w="1094" w:type="dxa"/>
            <w:shd w:val="clear" w:color="auto" w:fill="auto"/>
          </w:tcPr>
          <w:p w14:paraId="51DA277C" w14:textId="77777777" w:rsidR="00BA37FB" w:rsidRPr="00B82E38"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B82E38">
              <w:rPr>
                <w:rFonts w:ascii="Book Antiqua" w:eastAsia="宋体" w:hAnsi="Book Antiqua"/>
                <w:color w:val="000000" w:themeColor="text1"/>
              </w:rPr>
              <w:t>0.908</w:t>
            </w:r>
          </w:p>
        </w:tc>
        <w:tc>
          <w:tcPr>
            <w:tcW w:w="1315" w:type="dxa"/>
            <w:shd w:val="clear" w:color="auto" w:fill="auto"/>
          </w:tcPr>
          <w:p w14:paraId="3929B383" w14:textId="77777777" w:rsidR="00BA37FB" w:rsidRPr="00B82E38" w:rsidRDefault="00BA37FB" w:rsidP="00372A8C">
            <w:pPr>
              <w:pStyle w:val="a7"/>
              <w:widowControl/>
              <w:adjustRightInd w:val="0"/>
              <w:snapToGrid w:val="0"/>
              <w:spacing w:beforeAutospacing="0" w:afterAutospacing="0" w:line="360" w:lineRule="auto"/>
              <w:rPr>
                <w:rFonts w:ascii="Book Antiqua" w:eastAsia="宋体" w:hAnsi="Book Antiqua"/>
                <w:color w:val="000000" w:themeColor="text1"/>
              </w:rPr>
            </w:pPr>
          </w:p>
        </w:tc>
        <w:tc>
          <w:tcPr>
            <w:tcW w:w="766" w:type="dxa"/>
            <w:shd w:val="clear" w:color="auto" w:fill="auto"/>
          </w:tcPr>
          <w:p w14:paraId="0FD87EE9" w14:textId="77777777" w:rsidR="00BA37FB" w:rsidRPr="00B82E38" w:rsidRDefault="00BA37FB" w:rsidP="00372A8C">
            <w:pPr>
              <w:pStyle w:val="a7"/>
              <w:widowControl/>
              <w:adjustRightInd w:val="0"/>
              <w:snapToGrid w:val="0"/>
              <w:spacing w:beforeAutospacing="0" w:afterAutospacing="0" w:line="360" w:lineRule="auto"/>
              <w:rPr>
                <w:rFonts w:ascii="Book Antiqua" w:eastAsia="宋体" w:hAnsi="Book Antiqua"/>
                <w:color w:val="000000" w:themeColor="text1"/>
              </w:rPr>
            </w:pPr>
          </w:p>
        </w:tc>
        <w:tc>
          <w:tcPr>
            <w:tcW w:w="1219" w:type="dxa"/>
            <w:shd w:val="clear" w:color="auto" w:fill="auto"/>
          </w:tcPr>
          <w:p w14:paraId="7F896DB5" w14:textId="77777777" w:rsidR="00BA37FB" w:rsidRPr="00B82E38" w:rsidRDefault="00BA37FB" w:rsidP="00372A8C">
            <w:pPr>
              <w:pStyle w:val="a7"/>
              <w:widowControl/>
              <w:adjustRightInd w:val="0"/>
              <w:snapToGrid w:val="0"/>
              <w:spacing w:beforeAutospacing="0" w:afterAutospacing="0" w:line="360" w:lineRule="auto"/>
              <w:rPr>
                <w:rFonts w:ascii="Book Antiqua" w:eastAsia="宋体" w:hAnsi="Book Antiqua"/>
                <w:color w:val="000000" w:themeColor="text1"/>
              </w:rPr>
            </w:pPr>
          </w:p>
        </w:tc>
      </w:tr>
      <w:tr w:rsidR="00B82E38" w:rsidRPr="00B82E38" w14:paraId="4587A067" w14:textId="77777777">
        <w:trPr>
          <w:trHeight w:val="199"/>
          <w:jc w:val="center"/>
        </w:trPr>
        <w:tc>
          <w:tcPr>
            <w:tcW w:w="2187" w:type="dxa"/>
            <w:shd w:val="clear" w:color="auto" w:fill="auto"/>
          </w:tcPr>
          <w:p w14:paraId="58F4FE5E" w14:textId="77777777" w:rsidR="00BA37FB" w:rsidRPr="00B82E38"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B82E38">
              <w:rPr>
                <w:rFonts w:ascii="Book Antiqua" w:eastAsia="宋体" w:hAnsi="Book Antiqua"/>
                <w:color w:val="000000" w:themeColor="text1"/>
              </w:rPr>
              <w:t>BUN</w:t>
            </w:r>
          </w:p>
        </w:tc>
        <w:tc>
          <w:tcPr>
            <w:tcW w:w="1583" w:type="dxa"/>
            <w:shd w:val="clear" w:color="auto" w:fill="auto"/>
          </w:tcPr>
          <w:p w14:paraId="49CF41E7" w14:textId="77777777" w:rsidR="00BA37FB" w:rsidRPr="00B82E38"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B82E38">
              <w:rPr>
                <w:rFonts w:ascii="Book Antiqua" w:eastAsia="宋体" w:hAnsi="Book Antiqua"/>
                <w:color w:val="000000" w:themeColor="text1"/>
              </w:rPr>
              <w:t>0.084</w:t>
            </w:r>
          </w:p>
        </w:tc>
        <w:tc>
          <w:tcPr>
            <w:tcW w:w="993" w:type="dxa"/>
            <w:shd w:val="clear" w:color="auto" w:fill="auto"/>
          </w:tcPr>
          <w:p w14:paraId="2F200805" w14:textId="77777777" w:rsidR="00BA37FB" w:rsidRPr="00B82E38"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B82E38">
              <w:rPr>
                <w:rFonts w:ascii="Book Antiqua" w:eastAsia="宋体" w:hAnsi="Book Antiqua"/>
                <w:color w:val="000000" w:themeColor="text1"/>
              </w:rPr>
              <w:t>1.087</w:t>
            </w:r>
          </w:p>
        </w:tc>
        <w:tc>
          <w:tcPr>
            <w:tcW w:w="1094" w:type="dxa"/>
            <w:shd w:val="clear" w:color="auto" w:fill="auto"/>
          </w:tcPr>
          <w:p w14:paraId="7AE07E21" w14:textId="77777777" w:rsidR="00BA37FB" w:rsidRPr="00B82E38"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B82E38">
              <w:rPr>
                <w:rFonts w:ascii="Book Antiqua" w:eastAsia="宋体" w:hAnsi="Book Antiqua"/>
                <w:color w:val="000000" w:themeColor="text1"/>
              </w:rPr>
              <w:t>0.025</w:t>
            </w:r>
            <w:r w:rsidRPr="00B82E38">
              <w:rPr>
                <w:rFonts w:ascii="Book Antiqua" w:eastAsia="宋体" w:hAnsi="Book Antiqua"/>
                <w:color w:val="000000" w:themeColor="text1"/>
                <w:vertAlign w:val="superscript"/>
              </w:rPr>
              <w:t>a</w:t>
            </w:r>
          </w:p>
        </w:tc>
        <w:tc>
          <w:tcPr>
            <w:tcW w:w="1315" w:type="dxa"/>
            <w:shd w:val="clear" w:color="auto" w:fill="auto"/>
          </w:tcPr>
          <w:p w14:paraId="1153C1C9" w14:textId="77777777" w:rsidR="00BA37FB" w:rsidRPr="00B82E38"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B82E38">
              <w:rPr>
                <w:rFonts w:ascii="Book Antiqua" w:eastAsia="宋体" w:hAnsi="Book Antiqua"/>
                <w:color w:val="000000" w:themeColor="text1"/>
              </w:rPr>
              <w:t>0.085</w:t>
            </w:r>
          </w:p>
        </w:tc>
        <w:tc>
          <w:tcPr>
            <w:tcW w:w="766" w:type="dxa"/>
            <w:shd w:val="clear" w:color="auto" w:fill="auto"/>
          </w:tcPr>
          <w:p w14:paraId="553DF0FE" w14:textId="77777777" w:rsidR="00BA37FB" w:rsidRPr="00B82E38"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B82E38">
              <w:rPr>
                <w:rFonts w:ascii="Book Antiqua" w:eastAsia="宋体" w:hAnsi="Book Antiqua"/>
                <w:color w:val="000000" w:themeColor="text1"/>
              </w:rPr>
              <w:t>1.008</w:t>
            </w:r>
          </w:p>
        </w:tc>
        <w:tc>
          <w:tcPr>
            <w:tcW w:w="1219" w:type="dxa"/>
            <w:shd w:val="clear" w:color="auto" w:fill="auto"/>
          </w:tcPr>
          <w:p w14:paraId="44532A39" w14:textId="77777777" w:rsidR="00BA37FB" w:rsidRPr="00B82E38"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B82E38">
              <w:rPr>
                <w:rFonts w:ascii="Book Antiqua" w:eastAsia="宋体" w:hAnsi="Book Antiqua"/>
                <w:color w:val="000000" w:themeColor="text1"/>
              </w:rPr>
              <w:t>0.028</w:t>
            </w:r>
            <w:r w:rsidRPr="00B82E38">
              <w:rPr>
                <w:rFonts w:ascii="Book Antiqua" w:eastAsia="宋体" w:hAnsi="Book Antiqua"/>
                <w:color w:val="000000" w:themeColor="text1"/>
                <w:vertAlign w:val="superscript"/>
              </w:rPr>
              <w:t>a</w:t>
            </w:r>
          </w:p>
        </w:tc>
      </w:tr>
      <w:tr w:rsidR="00B82E38" w:rsidRPr="00B82E38" w14:paraId="78C9EA5C" w14:textId="77777777">
        <w:trPr>
          <w:trHeight w:val="225"/>
          <w:jc w:val="center"/>
        </w:trPr>
        <w:tc>
          <w:tcPr>
            <w:tcW w:w="2187" w:type="dxa"/>
            <w:shd w:val="clear" w:color="auto" w:fill="auto"/>
          </w:tcPr>
          <w:p w14:paraId="7F216522" w14:textId="77777777" w:rsidR="00BA37FB" w:rsidRPr="00B82E38" w:rsidRDefault="008F363E" w:rsidP="00372A8C">
            <w:pPr>
              <w:widowControl/>
              <w:adjustRightInd w:val="0"/>
              <w:snapToGrid w:val="0"/>
              <w:spacing w:line="360" w:lineRule="auto"/>
              <w:rPr>
                <w:rFonts w:ascii="Book Antiqua" w:eastAsia="宋体" w:hAnsi="Book Antiqua"/>
                <w:b/>
                <w:bCs/>
                <w:color w:val="000000" w:themeColor="text1"/>
                <w:lang w:eastAsia="zh-CN"/>
              </w:rPr>
            </w:pPr>
            <w:r w:rsidRPr="00B82E38">
              <w:rPr>
                <w:rFonts w:ascii="Book Antiqua" w:eastAsia="宋体" w:hAnsi="Book Antiqua"/>
                <w:color w:val="000000" w:themeColor="text1"/>
                <w:lang w:eastAsia="zh-CN"/>
              </w:rPr>
              <w:t>NH</w:t>
            </w:r>
            <w:r w:rsidRPr="00B82E38">
              <w:rPr>
                <w:rFonts w:ascii="Book Antiqua" w:eastAsia="宋体" w:hAnsi="Book Antiqua"/>
                <w:color w:val="000000" w:themeColor="text1"/>
                <w:vertAlign w:val="subscript"/>
                <w:lang w:eastAsia="zh-CN"/>
              </w:rPr>
              <w:t>3</w:t>
            </w:r>
          </w:p>
        </w:tc>
        <w:tc>
          <w:tcPr>
            <w:tcW w:w="1583" w:type="dxa"/>
            <w:shd w:val="clear" w:color="auto" w:fill="auto"/>
          </w:tcPr>
          <w:p w14:paraId="3F31C1C3" w14:textId="77777777" w:rsidR="00BA37FB" w:rsidRPr="00B82E38" w:rsidRDefault="008F363E" w:rsidP="00372A8C">
            <w:pPr>
              <w:widowControl/>
              <w:adjustRightInd w:val="0"/>
              <w:snapToGrid w:val="0"/>
              <w:spacing w:line="360" w:lineRule="auto"/>
              <w:rPr>
                <w:rFonts w:ascii="Book Antiqua" w:eastAsia="宋体" w:hAnsi="Book Antiqua"/>
                <w:color w:val="000000" w:themeColor="text1"/>
                <w:lang w:eastAsia="zh-CN"/>
              </w:rPr>
            </w:pPr>
            <w:r w:rsidRPr="00B82E38">
              <w:rPr>
                <w:rFonts w:ascii="Book Antiqua" w:eastAsia="宋体" w:hAnsi="Book Antiqua"/>
                <w:color w:val="000000" w:themeColor="text1"/>
                <w:lang w:eastAsia="zh-CN"/>
              </w:rPr>
              <w:t>0.025</w:t>
            </w:r>
          </w:p>
        </w:tc>
        <w:tc>
          <w:tcPr>
            <w:tcW w:w="993" w:type="dxa"/>
            <w:shd w:val="clear" w:color="auto" w:fill="auto"/>
          </w:tcPr>
          <w:p w14:paraId="72E32BC8" w14:textId="77777777" w:rsidR="00BA37FB" w:rsidRPr="00B82E38" w:rsidRDefault="008F363E" w:rsidP="00372A8C">
            <w:pPr>
              <w:widowControl/>
              <w:adjustRightInd w:val="0"/>
              <w:snapToGrid w:val="0"/>
              <w:spacing w:line="360" w:lineRule="auto"/>
              <w:rPr>
                <w:rFonts w:ascii="Book Antiqua" w:eastAsia="宋体" w:hAnsi="Book Antiqua"/>
                <w:color w:val="000000" w:themeColor="text1"/>
                <w:lang w:eastAsia="zh-CN"/>
              </w:rPr>
            </w:pPr>
            <w:r w:rsidRPr="00B82E38">
              <w:rPr>
                <w:rFonts w:ascii="Book Antiqua" w:eastAsia="宋体" w:hAnsi="Book Antiqua"/>
                <w:color w:val="000000" w:themeColor="text1"/>
                <w:lang w:eastAsia="zh-CN"/>
              </w:rPr>
              <w:t>1.025</w:t>
            </w:r>
          </w:p>
        </w:tc>
        <w:tc>
          <w:tcPr>
            <w:tcW w:w="1094" w:type="dxa"/>
            <w:shd w:val="clear" w:color="auto" w:fill="auto"/>
          </w:tcPr>
          <w:p w14:paraId="10137E9C" w14:textId="77777777" w:rsidR="00BA37FB" w:rsidRPr="00B82E38" w:rsidRDefault="008F363E" w:rsidP="00372A8C">
            <w:pPr>
              <w:widowControl/>
              <w:adjustRightInd w:val="0"/>
              <w:snapToGrid w:val="0"/>
              <w:spacing w:line="360" w:lineRule="auto"/>
              <w:rPr>
                <w:rFonts w:ascii="Book Antiqua" w:eastAsia="宋体" w:hAnsi="Book Antiqua"/>
                <w:color w:val="000000" w:themeColor="text1"/>
                <w:lang w:eastAsia="zh-CN"/>
              </w:rPr>
            </w:pPr>
            <w:r w:rsidRPr="00B82E38">
              <w:rPr>
                <w:rFonts w:ascii="Book Antiqua" w:eastAsia="宋体" w:hAnsi="Book Antiqua"/>
                <w:color w:val="000000" w:themeColor="text1"/>
                <w:lang w:eastAsia="zh-CN"/>
              </w:rPr>
              <w:t>0.044</w:t>
            </w:r>
            <w:r w:rsidRPr="00B82E38">
              <w:rPr>
                <w:rFonts w:ascii="Book Antiqua" w:eastAsia="宋体" w:hAnsi="Book Antiqua"/>
                <w:color w:val="000000" w:themeColor="text1"/>
                <w:vertAlign w:val="superscript"/>
                <w:lang w:eastAsia="zh-CN"/>
              </w:rPr>
              <w:t>a</w:t>
            </w:r>
          </w:p>
        </w:tc>
        <w:tc>
          <w:tcPr>
            <w:tcW w:w="1315" w:type="dxa"/>
            <w:shd w:val="clear" w:color="auto" w:fill="auto"/>
          </w:tcPr>
          <w:p w14:paraId="56ECF053" w14:textId="77777777" w:rsidR="00BA37FB" w:rsidRPr="00B82E38" w:rsidRDefault="008F363E" w:rsidP="00372A8C">
            <w:pPr>
              <w:widowControl/>
              <w:adjustRightInd w:val="0"/>
              <w:snapToGrid w:val="0"/>
              <w:spacing w:line="360" w:lineRule="auto"/>
              <w:rPr>
                <w:rFonts w:ascii="Book Antiqua" w:eastAsia="宋体" w:hAnsi="Book Antiqua"/>
                <w:color w:val="000000" w:themeColor="text1"/>
                <w:lang w:eastAsia="zh-CN"/>
              </w:rPr>
            </w:pPr>
            <w:r w:rsidRPr="00B82E38">
              <w:rPr>
                <w:rFonts w:ascii="Book Antiqua" w:eastAsia="宋体" w:hAnsi="Book Antiqua"/>
                <w:color w:val="000000" w:themeColor="text1"/>
                <w:lang w:eastAsia="zh-CN"/>
              </w:rPr>
              <w:t>0.032</w:t>
            </w:r>
          </w:p>
        </w:tc>
        <w:tc>
          <w:tcPr>
            <w:tcW w:w="766" w:type="dxa"/>
            <w:shd w:val="clear" w:color="auto" w:fill="auto"/>
          </w:tcPr>
          <w:p w14:paraId="5ACC8F32" w14:textId="77777777" w:rsidR="00BA37FB" w:rsidRPr="00B82E38" w:rsidRDefault="008F363E" w:rsidP="00372A8C">
            <w:pPr>
              <w:widowControl/>
              <w:adjustRightInd w:val="0"/>
              <w:snapToGrid w:val="0"/>
              <w:spacing w:line="360" w:lineRule="auto"/>
              <w:rPr>
                <w:rFonts w:ascii="Book Antiqua" w:eastAsia="宋体" w:hAnsi="Book Antiqua"/>
                <w:color w:val="000000" w:themeColor="text1"/>
                <w:lang w:eastAsia="zh-CN"/>
              </w:rPr>
            </w:pPr>
            <w:r w:rsidRPr="00B82E38">
              <w:rPr>
                <w:rFonts w:ascii="Book Antiqua" w:eastAsia="宋体" w:hAnsi="Book Antiqua"/>
                <w:color w:val="000000" w:themeColor="text1"/>
                <w:lang w:eastAsia="zh-CN"/>
              </w:rPr>
              <w:t>1.033</w:t>
            </w:r>
          </w:p>
        </w:tc>
        <w:tc>
          <w:tcPr>
            <w:tcW w:w="1219" w:type="dxa"/>
            <w:shd w:val="clear" w:color="auto" w:fill="auto"/>
          </w:tcPr>
          <w:p w14:paraId="749E5258" w14:textId="77777777" w:rsidR="00BA37FB" w:rsidRPr="00B82E38" w:rsidRDefault="008F363E" w:rsidP="00372A8C">
            <w:pPr>
              <w:widowControl/>
              <w:adjustRightInd w:val="0"/>
              <w:snapToGrid w:val="0"/>
              <w:spacing w:line="360" w:lineRule="auto"/>
              <w:rPr>
                <w:rFonts w:ascii="Book Antiqua" w:eastAsia="宋体" w:hAnsi="Book Antiqua"/>
                <w:color w:val="000000" w:themeColor="text1"/>
                <w:lang w:eastAsia="zh-CN"/>
              </w:rPr>
            </w:pPr>
            <w:r w:rsidRPr="00B82E38">
              <w:rPr>
                <w:rFonts w:ascii="Book Antiqua" w:eastAsia="宋体" w:hAnsi="Book Antiqua"/>
                <w:color w:val="000000" w:themeColor="text1"/>
                <w:lang w:eastAsia="zh-CN"/>
              </w:rPr>
              <w:t>0.025</w:t>
            </w:r>
            <w:r w:rsidRPr="00B82E38">
              <w:rPr>
                <w:rFonts w:ascii="Book Antiqua" w:eastAsia="宋体" w:hAnsi="Book Antiqua"/>
                <w:color w:val="000000" w:themeColor="text1"/>
                <w:vertAlign w:val="superscript"/>
                <w:lang w:eastAsia="zh-CN"/>
              </w:rPr>
              <w:t>a</w:t>
            </w:r>
          </w:p>
        </w:tc>
      </w:tr>
      <w:tr w:rsidR="00B82E38" w:rsidRPr="00B82E38" w14:paraId="3AA51F94" w14:textId="77777777">
        <w:trPr>
          <w:trHeight w:val="199"/>
          <w:jc w:val="center"/>
        </w:trPr>
        <w:tc>
          <w:tcPr>
            <w:tcW w:w="2187" w:type="dxa"/>
            <w:shd w:val="clear" w:color="auto" w:fill="auto"/>
          </w:tcPr>
          <w:p w14:paraId="7530B6F1" w14:textId="77777777" w:rsidR="00BA37FB" w:rsidRPr="00B82E38"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B82E38">
              <w:rPr>
                <w:rFonts w:ascii="Book Antiqua" w:eastAsia="宋体" w:hAnsi="Book Antiqua"/>
                <w:color w:val="000000" w:themeColor="text1"/>
              </w:rPr>
              <w:t>APTT</w:t>
            </w:r>
          </w:p>
        </w:tc>
        <w:tc>
          <w:tcPr>
            <w:tcW w:w="1583" w:type="dxa"/>
            <w:shd w:val="clear" w:color="auto" w:fill="auto"/>
          </w:tcPr>
          <w:p w14:paraId="68E72E90" w14:textId="77777777" w:rsidR="00BA37FB" w:rsidRPr="00B82E38"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B82E38">
              <w:rPr>
                <w:rFonts w:ascii="Book Antiqua" w:eastAsia="宋体" w:hAnsi="Book Antiqua"/>
                <w:color w:val="000000" w:themeColor="text1"/>
              </w:rPr>
              <w:t>-0.015</w:t>
            </w:r>
          </w:p>
        </w:tc>
        <w:tc>
          <w:tcPr>
            <w:tcW w:w="993" w:type="dxa"/>
            <w:shd w:val="clear" w:color="auto" w:fill="auto"/>
          </w:tcPr>
          <w:p w14:paraId="07F243A0" w14:textId="77777777" w:rsidR="00BA37FB" w:rsidRPr="00B82E38"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B82E38">
              <w:rPr>
                <w:rFonts w:ascii="Book Antiqua" w:eastAsia="宋体" w:hAnsi="Book Antiqua"/>
                <w:color w:val="000000" w:themeColor="text1"/>
              </w:rPr>
              <w:t>0.985</w:t>
            </w:r>
          </w:p>
        </w:tc>
        <w:tc>
          <w:tcPr>
            <w:tcW w:w="1094" w:type="dxa"/>
            <w:shd w:val="clear" w:color="auto" w:fill="auto"/>
          </w:tcPr>
          <w:p w14:paraId="74190785" w14:textId="77777777" w:rsidR="00BA37FB" w:rsidRPr="00B82E38"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B82E38">
              <w:rPr>
                <w:rFonts w:ascii="Book Antiqua" w:eastAsia="宋体" w:hAnsi="Book Antiqua"/>
                <w:color w:val="000000" w:themeColor="text1"/>
              </w:rPr>
              <w:t>0.768</w:t>
            </w:r>
          </w:p>
        </w:tc>
        <w:tc>
          <w:tcPr>
            <w:tcW w:w="1315" w:type="dxa"/>
            <w:shd w:val="clear" w:color="auto" w:fill="auto"/>
          </w:tcPr>
          <w:p w14:paraId="7F427492" w14:textId="77777777" w:rsidR="00BA37FB" w:rsidRPr="00B82E38" w:rsidRDefault="00BA37FB" w:rsidP="00372A8C">
            <w:pPr>
              <w:pStyle w:val="a7"/>
              <w:widowControl/>
              <w:adjustRightInd w:val="0"/>
              <w:snapToGrid w:val="0"/>
              <w:spacing w:beforeAutospacing="0" w:afterAutospacing="0" w:line="360" w:lineRule="auto"/>
              <w:rPr>
                <w:rFonts w:ascii="Book Antiqua" w:eastAsia="宋体" w:hAnsi="Book Antiqua"/>
                <w:color w:val="000000" w:themeColor="text1"/>
              </w:rPr>
            </w:pPr>
          </w:p>
        </w:tc>
        <w:tc>
          <w:tcPr>
            <w:tcW w:w="766" w:type="dxa"/>
            <w:shd w:val="clear" w:color="auto" w:fill="auto"/>
          </w:tcPr>
          <w:p w14:paraId="337EFD9A" w14:textId="77777777" w:rsidR="00BA37FB" w:rsidRPr="00B82E38" w:rsidRDefault="00BA37FB" w:rsidP="00372A8C">
            <w:pPr>
              <w:pStyle w:val="a7"/>
              <w:widowControl/>
              <w:adjustRightInd w:val="0"/>
              <w:snapToGrid w:val="0"/>
              <w:spacing w:beforeAutospacing="0" w:afterAutospacing="0" w:line="360" w:lineRule="auto"/>
              <w:rPr>
                <w:rFonts w:ascii="Book Antiqua" w:eastAsia="宋体" w:hAnsi="Book Antiqua"/>
                <w:color w:val="000000" w:themeColor="text1"/>
              </w:rPr>
            </w:pPr>
          </w:p>
        </w:tc>
        <w:tc>
          <w:tcPr>
            <w:tcW w:w="1219" w:type="dxa"/>
            <w:shd w:val="clear" w:color="auto" w:fill="auto"/>
          </w:tcPr>
          <w:p w14:paraId="29D3BA77" w14:textId="77777777" w:rsidR="00BA37FB" w:rsidRPr="00B82E38" w:rsidRDefault="00BA37FB" w:rsidP="00372A8C">
            <w:pPr>
              <w:pStyle w:val="a7"/>
              <w:widowControl/>
              <w:adjustRightInd w:val="0"/>
              <w:snapToGrid w:val="0"/>
              <w:spacing w:beforeAutospacing="0" w:afterAutospacing="0" w:line="360" w:lineRule="auto"/>
              <w:rPr>
                <w:rFonts w:ascii="Book Antiqua" w:eastAsia="宋体" w:hAnsi="Book Antiqua"/>
                <w:color w:val="000000" w:themeColor="text1"/>
              </w:rPr>
            </w:pPr>
          </w:p>
        </w:tc>
      </w:tr>
      <w:tr w:rsidR="00B82E38" w:rsidRPr="00B82E38" w14:paraId="12B92702" w14:textId="77777777">
        <w:trPr>
          <w:trHeight w:val="225"/>
          <w:jc w:val="center"/>
        </w:trPr>
        <w:tc>
          <w:tcPr>
            <w:tcW w:w="2187" w:type="dxa"/>
            <w:shd w:val="clear" w:color="auto" w:fill="auto"/>
          </w:tcPr>
          <w:p w14:paraId="6BB93B04" w14:textId="77777777" w:rsidR="00BA37FB" w:rsidRPr="00B82E38"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highlight w:val="yellow"/>
              </w:rPr>
            </w:pPr>
            <w:r w:rsidRPr="00B82E38">
              <w:rPr>
                <w:rFonts w:ascii="Book Antiqua" w:eastAsia="宋体" w:hAnsi="Book Antiqua"/>
                <w:color w:val="000000" w:themeColor="text1"/>
              </w:rPr>
              <w:t>INR</w:t>
            </w:r>
          </w:p>
        </w:tc>
        <w:tc>
          <w:tcPr>
            <w:tcW w:w="1583" w:type="dxa"/>
            <w:shd w:val="clear" w:color="auto" w:fill="auto"/>
          </w:tcPr>
          <w:p w14:paraId="3C1A08E1" w14:textId="77777777" w:rsidR="00BA37FB" w:rsidRPr="00B82E38"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B82E38">
              <w:rPr>
                <w:rFonts w:ascii="Book Antiqua" w:eastAsia="宋体" w:hAnsi="Book Antiqua"/>
                <w:color w:val="000000" w:themeColor="text1"/>
              </w:rPr>
              <w:t>-0.644</w:t>
            </w:r>
          </w:p>
        </w:tc>
        <w:tc>
          <w:tcPr>
            <w:tcW w:w="993" w:type="dxa"/>
            <w:shd w:val="clear" w:color="auto" w:fill="auto"/>
          </w:tcPr>
          <w:p w14:paraId="4DD38677" w14:textId="77777777" w:rsidR="00BA37FB" w:rsidRPr="00B82E38"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B82E38">
              <w:rPr>
                <w:rFonts w:ascii="Book Antiqua" w:eastAsia="宋体" w:hAnsi="Book Antiqua"/>
                <w:color w:val="000000" w:themeColor="text1"/>
              </w:rPr>
              <w:t>0.525</w:t>
            </w:r>
          </w:p>
        </w:tc>
        <w:tc>
          <w:tcPr>
            <w:tcW w:w="1094" w:type="dxa"/>
            <w:shd w:val="clear" w:color="auto" w:fill="auto"/>
          </w:tcPr>
          <w:p w14:paraId="46DA5E31" w14:textId="77777777" w:rsidR="00BA37FB" w:rsidRPr="00B82E38"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B82E38">
              <w:rPr>
                <w:rFonts w:ascii="Book Antiqua" w:eastAsia="宋体" w:hAnsi="Book Antiqua"/>
                <w:color w:val="000000" w:themeColor="text1"/>
              </w:rPr>
              <w:t>0.504</w:t>
            </w:r>
          </w:p>
        </w:tc>
        <w:tc>
          <w:tcPr>
            <w:tcW w:w="1315" w:type="dxa"/>
            <w:shd w:val="clear" w:color="auto" w:fill="auto"/>
          </w:tcPr>
          <w:p w14:paraId="425C6B45" w14:textId="77777777" w:rsidR="00BA37FB" w:rsidRPr="00B82E38" w:rsidRDefault="00BA37FB" w:rsidP="00372A8C">
            <w:pPr>
              <w:pStyle w:val="a7"/>
              <w:widowControl/>
              <w:adjustRightInd w:val="0"/>
              <w:snapToGrid w:val="0"/>
              <w:spacing w:beforeAutospacing="0" w:afterAutospacing="0" w:line="360" w:lineRule="auto"/>
              <w:rPr>
                <w:rFonts w:ascii="Book Antiqua" w:eastAsia="宋体" w:hAnsi="Book Antiqua"/>
                <w:color w:val="000000" w:themeColor="text1"/>
              </w:rPr>
            </w:pPr>
          </w:p>
        </w:tc>
        <w:tc>
          <w:tcPr>
            <w:tcW w:w="766" w:type="dxa"/>
            <w:shd w:val="clear" w:color="auto" w:fill="auto"/>
          </w:tcPr>
          <w:p w14:paraId="6E8C1E5D" w14:textId="77777777" w:rsidR="00BA37FB" w:rsidRPr="00B82E38" w:rsidRDefault="00BA37FB" w:rsidP="00372A8C">
            <w:pPr>
              <w:pStyle w:val="a7"/>
              <w:widowControl/>
              <w:adjustRightInd w:val="0"/>
              <w:snapToGrid w:val="0"/>
              <w:spacing w:beforeAutospacing="0" w:afterAutospacing="0" w:line="360" w:lineRule="auto"/>
              <w:rPr>
                <w:rFonts w:ascii="Book Antiqua" w:eastAsia="宋体" w:hAnsi="Book Antiqua"/>
                <w:color w:val="000000" w:themeColor="text1"/>
              </w:rPr>
            </w:pPr>
          </w:p>
        </w:tc>
        <w:tc>
          <w:tcPr>
            <w:tcW w:w="1219" w:type="dxa"/>
            <w:shd w:val="clear" w:color="auto" w:fill="auto"/>
          </w:tcPr>
          <w:p w14:paraId="1075CFFF" w14:textId="77777777" w:rsidR="00BA37FB" w:rsidRPr="00B82E38" w:rsidRDefault="00BA37FB" w:rsidP="00372A8C">
            <w:pPr>
              <w:pStyle w:val="a7"/>
              <w:widowControl/>
              <w:adjustRightInd w:val="0"/>
              <w:snapToGrid w:val="0"/>
              <w:spacing w:beforeAutospacing="0" w:afterAutospacing="0" w:line="360" w:lineRule="auto"/>
              <w:rPr>
                <w:rFonts w:ascii="Book Antiqua" w:eastAsia="宋体" w:hAnsi="Book Antiqua"/>
                <w:color w:val="000000" w:themeColor="text1"/>
              </w:rPr>
            </w:pPr>
          </w:p>
        </w:tc>
      </w:tr>
      <w:tr w:rsidR="00B82E38" w:rsidRPr="00B82E38" w14:paraId="170208FB" w14:textId="77777777">
        <w:trPr>
          <w:trHeight w:val="225"/>
          <w:jc w:val="center"/>
        </w:trPr>
        <w:tc>
          <w:tcPr>
            <w:tcW w:w="2187" w:type="dxa"/>
            <w:shd w:val="clear" w:color="auto" w:fill="auto"/>
          </w:tcPr>
          <w:p w14:paraId="641A2222" w14:textId="77777777" w:rsidR="00BA37FB" w:rsidRPr="00B82E38"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highlight w:val="yellow"/>
              </w:rPr>
            </w:pPr>
            <w:r w:rsidRPr="00B82E38">
              <w:rPr>
                <w:rFonts w:ascii="Book Antiqua" w:eastAsia="宋体" w:hAnsi="Book Antiqua"/>
                <w:color w:val="000000" w:themeColor="text1"/>
              </w:rPr>
              <w:t>FIB</w:t>
            </w:r>
          </w:p>
        </w:tc>
        <w:tc>
          <w:tcPr>
            <w:tcW w:w="1583" w:type="dxa"/>
            <w:shd w:val="clear" w:color="auto" w:fill="auto"/>
          </w:tcPr>
          <w:p w14:paraId="599C6B36" w14:textId="77777777" w:rsidR="00BA37FB" w:rsidRPr="00B82E38"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B82E38">
              <w:rPr>
                <w:rFonts w:ascii="Book Antiqua" w:eastAsia="宋体" w:hAnsi="Book Antiqua"/>
                <w:color w:val="000000" w:themeColor="text1"/>
              </w:rPr>
              <w:t>0.248</w:t>
            </w:r>
          </w:p>
        </w:tc>
        <w:tc>
          <w:tcPr>
            <w:tcW w:w="993" w:type="dxa"/>
            <w:shd w:val="clear" w:color="auto" w:fill="auto"/>
          </w:tcPr>
          <w:p w14:paraId="60C9CFEE" w14:textId="77777777" w:rsidR="00BA37FB" w:rsidRPr="00B82E38"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B82E38">
              <w:rPr>
                <w:rFonts w:ascii="Book Antiqua" w:eastAsia="宋体" w:hAnsi="Book Antiqua"/>
                <w:color w:val="000000" w:themeColor="text1"/>
              </w:rPr>
              <w:t>1.281</w:t>
            </w:r>
          </w:p>
        </w:tc>
        <w:tc>
          <w:tcPr>
            <w:tcW w:w="1094" w:type="dxa"/>
            <w:shd w:val="clear" w:color="auto" w:fill="auto"/>
          </w:tcPr>
          <w:p w14:paraId="393ACB15" w14:textId="77777777" w:rsidR="00BA37FB" w:rsidRPr="00B82E38"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B82E38">
              <w:rPr>
                <w:rFonts w:ascii="Book Antiqua" w:eastAsia="宋体" w:hAnsi="Book Antiqua"/>
                <w:color w:val="000000" w:themeColor="text1"/>
              </w:rPr>
              <w:t>0.389</w:t>
            </w:r>
          </w:p>
        </w:tc>
        <w:tc>
          <w:tcPr>
            <w:tcW w:w="1315" w:type="dxa"/>
            <w:shd w:val="clear" w:color="auto" w:fill="auto"/>
          </w:tcPr>
          <w:p w14:paraId="1F8DB481" w14:textId="77777777" w:rsidR="00BA37FB" w:rsidRPr="00B82E38" w:rsidRDefault="00BA37FB" w:rsidP="00372A8C">
            <w:pPr>
              <w:pStyle w:val="a7"/>
              <w:widowControl/>
              <w:adjustRightInd w:val="0"/>
              <w:snapToGrid w:val="0"/>
              <w:spacing w:beforeAutospacing="0" w:afterAutospacing="0" w:line="360" w:lineRule="auto"/>
              <w:rPr>
                <w:rFonts w:ascii="Book Antiqua" w:eastAsia="宋体" w:hAnsi="Book Antiqua"/>
                <w:color w:val="000000" w:themeColor="text1"/>
              </w:rPr>
            </w:pPr>
          </w:p>
        </w:tc>
        <w:tc>
          <w:tcPr>
            <w:tcW w:w="766" w:type="dxa"/>
            <w:shd w:val="clear" w:color="auto" w:fill="auto"/>
          </w:tcPr>
          <w:p w14:paraId="1A528478" w14:textId="77777777" w:rsidR="00BA37FB" w:rsidRPr="00B82E38" w:rsidRDefault="00BA37FB" w:rsidP="00372A8C">
            <w:pPr>
              <w:pStyle w:val="a7"/>
              <w:widowControl/>
              <w:adjustRightInd w:val="0"/>
              <w:snapToGrid w:val="0"/>
              <w:spacing w:beforeAutospacing="0" w:afterAutospacing="0" w:line="360" w:lineRule="auto"/>
              <w:rPr>
                <w:rFonts w:ascii="Book Antiqua" w:eastAsia="宋体" w:hAnsi="Book Antiqua"/>
                <w:color w:val="000000" w:themeColor="text1"/>
              </w:rPr>
            </w:pPr>
          </w:p>
        </w:tc>
        <w:tc>
          <w:tcPr>
            <w:tcW w:w="1219" w:type="dxa"/>
            <w:shd w:val="clear" w:color="auto" w:fill="auto"/>
          </w:tcPr>
          <w:p w14:paraId="6AB0ADA2" w14:textId="77777777" w:rsidR="00BA37FB" w:rsidRPr="00B82E38" w:rsidRDefault="00BA37FB" w:rsidP="00372A8C">
            <w:pPr>
              <w:pStyle w:val="a7"/>
              <w:widowControl/>
              <w:adjustRightInd w:val="0"/>
              <w:snapToGrid w:val="0"/>
              <w:spacing w:beforeAutospacing="0" w:afterAutospacing="0" w:line="360" w:lineRule="auto"/>
              <w:rPr>
                <w:rFonts w:ascii="Book Antiqua" w:eastAsia="宋体" w:hAnsi="Book Antiqua"/>
                <w:color w:val="000000" w:themeColor="text1"/>
              </w:rPr>
            </w:pPr>
          </w:p>
        </w:tc>
      </w:tr>
      <w:tr w:rsidR="00B82E38" w:rsidRPr="00B82E38" w14:paraId="3889235F" w14:textId="77777777">
        <w:trPr>
          <w:trHeight w:val="225"/>
          <w:jc w:val="center"/>
        </w:trPr>
        <w:tc>
          <w:tcPr>
            <w:tcW w:w="2187" w:type="dxa"/>
            <w:shd w:val="clear" w:color="auto" w:fill="auto"/>
          </w:tcPr>
          <w:p w14:paraId="441F3297" w14:textId="77777777" w:rsidR="00BA37FB" w:rsidRPr="00B82E38"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B82E38">
              <w:rPr>
                <w:rFonts w:ascii="Book Antiqua" w:eastAsia="宋体" w:hAnsi="Book Antiqua"/>
                <w:color w:val="000000" w:themeColor="text1"/>
              </w:rPr>
              <w:t>PT</w:t>
            </w:r>
          </w:p>
        </w:tc>
        <w:tc>
          <w:tcPr>
            <w:tcW w:w="1583" w:type="dxa"/>
            <w:shd w:val="clear" w:color="auto" w:fill="auto"/>
          </w:tcPr>
          <w:p w14:paraId="7BE4A78A" w14:textId="77777777" w:rsidR="00BA37FB" w:rsidRPr="00B82E38"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B82E38">
              <w:rPr>
                <w:rFonts w:ascii="Book Antiqua" w:eastAsia="宋体" w:hAnsi="Book Antiqua"/>
                <w:color w:val="000000" w:themeColor="text1"/>
              </w:rPr>
              <w:t>-0.059</w:t>
            </w:r>
          </w:p>
        </w:tc>
        <w:tc>
          <w:tcPr>
            <w:tcW w:w="993" w:type="dxa"/>
            <w:shd w:val="clear" w:color="auto" w:fill="auto"/>
          </w:tcPr>
          <w:p w14:paraId="0DFC4D6D" w14:textId="77777777" w:rsidR="00BA37FB" w:rsidRPr="00B82E38"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B82E38">
              <w:rPr>
                <w:rFonts w:ascii="Book Antiqua" w:eastAsia="宋体" w:hAnsi="Book Antiqua"/>
                <w:color w:val="000000" w:themeColor="text1"/>
              </w:rPr>
              <w:t>0.943</w:t>
            </w:r>
          </w:p>
        </w:tc>
        <w:tc>
          <w:tcPr>
            <w:tcW w:w="1094" w:type="dxa"/>
            <w:shd w:val="clear" w:color="auto" w:fill="auto"/>
          </w:tcPr>
          <w:p w14:paraId="2332FE7B" w14:textId="77777777" w:rsidR="00BA37FB" w:rsidRPr="00B82E38"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B82E38">
              <w:rPr>
                <w:rFonts w:ascii="Book Antiqua" w:eastAsia="宋体" w:hAnsi="Book Antiqua"/>
                <w:color w:val="000000" w:themeColor="text1"/>
              </w:rPr>
              <w:t>0.559</w:t>
            </w:r>
          </w:p>
        </w:tc>
        <w:tc>
          <w:tcPr>
            <w:tcW w:w="1315" w:type="dxa"/>
            <w:shd w:val="clear" w:color="auto" w:fill="auto"/>
          </w:tcPr>
          <w:p w14:paraId="76596AC7" w14:textId="77777777" w:rsidR="00BA37FB" w:rsidRPr="00B82E38" w:rsidRDefault="00BA37FB" w:rsidP="00372A8C">
            <w:pPr>
              <w:pStyle w:val="a7"/>
              <w:widowControl/>
              <w:adjustRightInd w:val="0"/>
              <w:snapToGrid w:val="0"/>
              <w:spacing w:beforeAutospacing="0" w:afterAutospacing="0" w:line="360" w:lineRule="auto"/>
              <w:rPr>
                <w:rFonts w:ascii="Book Antiqua" w:eastAsia="宋体" w:hAnsi="Book Antiqua"/>
                <w:color w:val="000000" w:themeColor="text1"/>
              </w:rPr>
            </w:pPr>
          </w:p>
        </w:tc>
        <w:tc>
          <w:tcPr>
            <w:tcW w:w="766" w:type="dxa"/>
            <w:shd w:val="clear" w:color="auto" w:fill="auto"/>
          </w:tcPr>
          <w:p w14:paraId="5F625A0A" w14:textId="77777777" w:rsidR="00BA37FB" w:rsidRPr="00B82E38" w:rsidRDefault="00BA37FB" w:rsidP="00372A8C">
            <w:pPr>
              <w:pStyle w:val="a7"/>
              <w:widowControl/>
              <w:adjustRightInd w:val="0"/>
              <w:snapToGrid w:val="0"/>
              <w:spacing w:beforeAutospacing="0" w:afterAutospacing="0" w:line="360" w:lineRule="auto"/>
              <w:rPr>
                <w:rFonts w:ascii="Book Antiqua" w:eastAsia="宋体" w:hAnsi="Book Antiqua"/>
                <w:color w:val="000000" w:themeColor="text1"/>
              </w:rPr>
            </w:pPr>
          </w:p>
        </w:tc>
        <w:tc>
          <w:tcPr>
            <w:tcW w:w="1219" w:type="dxa"/>
            <w:shd w:val="clear" w:color="auto" w:fill="auto"/>
          </w:tcPr>
          <w:p w14:paraId="5B251450" w14:textId="77777777" w:rsidR="00BA37FB" w:rsidRPr="00B82E38" w:rsidRDefault="00BA37FB" w:rsidP="00372A8C">
            <w:pPr>
              <w:pStyle w:val="a7"/>
              <w:widowControl/>
              <w:adjustRightInd w:val="0"/>
              <w:snapToGrid w:val="0"/>
              <w:spacing w:beforeAutospacing="0" w:afterAutospacing="0" w:line="360" w:lineRule="auto"/>
              <w:rPr>
                <w:rFonts w:ascii="Book Antiqua" w:eastAsia="宋体" w:hAnsi="Book Antiqua"/>
                <w:color w:val="000000" w:themeColor="text1"/>
              </w:rPr>
            </w:pPr>
          </w:p>
        </w:tc>
      </w:tr>
    </w:tbl>
    <w:p w14:paraId="001EB2FB" w14:textId="77777777" w:rsidR="00BA37FB" w:rsidRPr="00B82E38" w:rsidRDefault="008F363E" w:rsidP="00372A8C">
      <w:pPr>
        <w:spacing w:line="360" w:lineRule="auto"/>
        <w:jc w:val="both"/>
        <w:rPr>
          <w:rFonts w:ascii="Book Antiqua" w:hAnsi="Book Antiqua"/>
          <w:color w:val="000000" w:themeColor="text1"/>
          <w:vertAlign w:val="superscript"/>
        </w:rPr>
      </w:pPr>
      <w:proofErr w:type="spellStart"/>
      <w:r w:rsidRPr="00B82E38">
        <w:rPr>
          <w:rFonts w:ascii="Book Antiqua" w:hAnsi="Book Antiqua"/>
          <w:color w:val="000000" w:themeColor="text1"/>
          <w:vertAlign w:val="superscript"/>
          <w:lang w:eastAsia="zh-CN"/>
        </w:rPr>
        <w:lastRenderedPageBreak/>
        <w:t>a</w:t>
      </w:r>
      <w:r w:rsidRPr="00B82E38">
        <w:rPr>
          <w:rFonts w:ascii="Book Antiqua" w:hAnsi="Book Antiqua"/>
          <w:i/>
          <w:iCs/>
          <w:color w:val="000000" w:themeColor="text1"/>
          <w:lang w:eastAsia="zh-CN"/>
        </w:rPr>
        <w:t>P</w:t>
      </w:r>
      <w:proofErr w:type="spellEnd"/>
      <w:r w:rsidRPr="00B82E38">
        <w:rPr>
          <w:rFonts w:ascii="Book Antiqua" w:hAnsi="Book Antiqua"/>
          <w:i/>
          <w:iCs/>
          <w:color w:val="000000" w:themeColor="text1"/>
          <w:lang w:eastAsia="zh-CN"/>
        </w:rPr>
        <w:t xml:space="preserve"> </w:t>
      </w:r>
      <w:r w:rsidRPr="00B82E38">
        <w:rPr>
          <w:rFonts w:ascii="Book Antiqua" w:hAnsi="Book Antiqua"/>
          <w:color w:val="000000" w:themeColor="text1"/>
          <w:lang w:eastAsia="zh-CN"/>
        </w:rPr>
        <w:t xml:space="preserve">&lt; 0.05; </w:t>
      </w:r>
      <w:proofErr w:type="spellStart"/>
      <w:r w:rsidRPr="00B82E38">
        <w:rPr>
          <w:rFonts w:ascii="Book Antiqua" w:hAnsi="Book Antiqua"/>
          <w:color w:val="000000" w:themeColor="text1"/>
          <w:vertAlign w:val="superscript"/>
          <w:lang w:eastAsia="zh-CN"/>
        </w:rPr>
        <w:t>b</w:t>
      </w:r>
      <w:r w:rsidRPr="00B82E38">
        <w:rPr>
          <w:rFonts w:ascii="Book Antiqua" w:hAnsi="Book Antiqua"/>
          <w:i/>
          <w:iCs/>
          <w:color w:val="000000" w:themeColor="text1"/>
          <w:lang w:eastAsia="zh-CN"/>
        </w:rPr>
        <w:t>P</w:t>
      </w:r>
      <w:proofErr w:type="spellEnd"/>
      <w:r w:rsidRPr="00B82E38">
        <w:rPr>
          <w:rFonts w:ascii="Book Antiqua" w:hAnsi="Book Antiqua"/>
          <w:i/>
          <w:iCs/>
          <w:color w:val="000000" w:themeColor="text1"/>
          <w:lang w:eastAsia="zh-CN"/>
        </w:rPr>
        <w:t xml:space="preserve"> </w:t>
      </w:r>
      <w:r w:rsidRPr="00B82E38">
        <w:rPr>
          <w:rFonts w:ascii="Book Antiqua" w:hAnsi="Book Antiqua"/>
          <w:color w:val="000000" w:themeColor="text1"/>
          <w:lang w:eastAsia="zh-CN"/>
        </w:rPr>
        <w:t>&lt; 0.01.</w:t>
      </w:r>
      <w:r w:rsidRPr="00B82E38">
        <w:rPr>
          <w:rFonts w:ascii="Book Antiqua" w:hAnsi="Book Antiqua"/>
          <w:color w:val="000000" w:themeColor="text1"/>
          <w:vertAlign w:val="superscript"/>
          <w:lang w:eastAsia="zh-CN"/>
        </w:rPr>
        <w:t xml:space="preserve"> </w:t>
      </w:r>
      <w:r w:rsidRPr="00B82E38">
        <w:rPr>
          <w:rFonts w:ascii="Book Antiqua" w:hAnsi="Book Antiqua"/>
          <w:color w:val="000000" w:themeColor="text1"/>
          <w:lang w:eastAsia="zh-CN"/>
        </w:rPr>
        <w:t>TIPS:</w:t>
      </w:r>
      <w:r w:rsidRPr="00B82E38">
        <w:rPr>
          <w:rFonts w:ascii="Book Antiqua" w:hAnsi="Book Antiqua"/>
          <w:color w:val="000000" w:themeColor="text1"/>
          <w:vertAlign w:val="superscript"/>
          <w:lang w:eastAsia="zh-CN"/>
        </w:rPr>
        <w:t xml:space="preserve"> </w:t>
      </w:r>
      <w:proofErr w:type="spellStart"/>
      <w:r w:rsidRPr="00B82E38">
        <w:rPr>
          <w:rFonts w:ascii="Book Antiqua" w:eastAsia="Book Antiqua" w:hAnsi="Book Antiqua" w:cs="Book Antiqua"/>
          <w:color w:val="000000" w:themeColor="text1"/>
        </w:rPr>
        <w:t>Transjugular</w:t>
      </w:r>
      <w:proofErr w:type="spellEnd"/>
      <w:r w:rsidRPr="00B82E38">
        <w:rPr>
          <w:rFonts w:ascii="Book Antiqua" w:eastAsia="Book Antiqua" w:hAnsi="Book Antiqua" w:cs="Book Antiqua"/>
          <w:color w:val="000000" w:themeColor="text1"/>
        </w:rPr>
        <w:t xml:space="preserve"> intrahepatic portosystemic shunt</w:t>
      </w:r>
      <w:r w:rsidRPr="00B82E38">
        <w:rPr>
          <w:rFonts w:ascii="Book Antiqua" w:hAnsi="Book Antiqua"/>
          <w:color w:val="000000" w:themeColor="text1"/>
        </w:rPr>
        <w:t>; HVPG: Hepatic venous pressure gradient; PPG: Portal pressure gradient; MELD: Model for end-stage liver disease; ICG: Indocyanine green; ALT: Alanine aminotransferase; AST: Aspartate transaminase; ALP: Alkaline phosphatase; Hb</w:t>
      </w:r>
      <w:r w:rsidRPr="00B82E38">
        <w:rPr>
          <w:rFonts w:ascii="Book Antiqua" w:hAnsi="Book Antiqua"/>
          <w:color w:val="000000" w:themeColor="text1"/>
          <w:lang w:eastAsia="zh-CN"/>
        </w:rPr>
        <w:t>:</w:t>
      </w:r>
      <w:r w:rsidRPr="00B82E38">
        <w:rPr>
          <w:rFonts w:ascii="Book Antiqua" w:hAnsi="Book Antiqua"/>
          <w:color w:val="000000" w:themeColor="text1"/>
        </w:rPr>
        <w:t xml:space="preserve"> Hemoglobin; BUN: Blood urea nitrogen; APTT: Active partial thromboplastin; INR: International normalized ratio; FIB: Fibrinogen; PT: Prothrombin time; WBC: White blood cell.</w:t>
      </w:r>
    </w:p>
    <w:p w14:paraId="34C4F4E4" w14:textId="023B5D2F" w:rsidR="00BA37FB" w:rsidRPr="00B82E38" w:rsidRDefault="008F363E" w:rsidP="00372A8C">
      <w:pPr>
        <w:spacing w:line="360" w:lineRule="auto"/>
        <w:jc w:val="both"/>
        <w:rPr>
          <w:rFonts w:ascii="Book Antiqua" w:hAnsi="Book Antiqua"/>
          <w:b/>
          <w:bCs/>
          <w:color w:val="000000" w:themeColor="text1"/>
        </w:rPr>
      </w:pPr>
      <w:r w:rsidRPr="00B82E38">
        <w:rPr>
          <w:rFonts w:ascii="Book Antiqua" w:hAnsi="Book Antiqua"/>
          <w:color w:val="000000" w:themeColor="text1"/>
        </w:rPr>
        <w:br w:type="page"/>
      </w:r>
      <w:r w:rsidRPr="00B82E38">
        <w:rPr>
          <w:rFonts w:ascii="Book Antiqua" w:hAnsi="Book Antiqua"/>
          <w:b/>
          <w:bCs/>
          <w:color w:val="000000" w:themeColor="text1"/>
        </w:rPr>
        <w:lastRenderedPageBreak/>
        <w:t xml:space="preserve">Table </w:t>
      </w:r>
      <w:r w:rsidRPr="00B82E38">
        <w:rPr>
          <w:rFonts w:ascii="Book Antiqua" w:hAnsi="Book Antiqua"/>
          <w:b/>
          <w:bCs/>
          <w:color w:val="000000" w:themeColor="text1"/>
          <w:lang w:eastAsia="zh-CN"/>
        </w:rPr>
        <w:t>3</w:t>
      </w:r>
      <w:r w:rsidRPr="00B82E38">
        <w:rPr>
          <w:rFonts w:ascii="Book Antiqua" w:hAnsi="Book Antiqua"/>
          <w:b/>
          <w:bCs/>
          <w:color w:val="000000" w:themeColor="text1"/>
        </w:rPr>
        <w:t xml:space="preserve"> </w:t>
      </w:r>
      <w:r w:rsidRPr="00B82E38">
        <w:rPr>
          <w:rFonts w:ascii="Book Antiqua" w:eastAsia="Book Antiqua" w:hAnsi="Book Antiqua" w:cs="Book Antiqua"/>
          <w:b/>
          <w:bCs/>
          <w:color w:val="000000" w:themeColor="text1"/>
        </w:rPr>
        <w:t>Areas under the receiver o</w:t>
      </w:r>
      <w:r w:rsidRPr="00B82E38">
        <w:rPr>
          <w:rFonts w:ascii="Book Antiqua" w:eastAsia="Book Antiqua" w:hAnsi="Book Antiqua" w:cs="Book Antiqua"/>
          <w:b/>
          <w:bCs/>
          <w:color w:val="000000" w:themeColor="text1"/>
        </w:rPr>
        <w:t>perating characteristic curves</w:t>
      </w:r>
      <w:r w:rsidRPr="00B82E38">
        <w:rPr>
          <w:rFonts w:ascii="Book Antiqua" w:hAnsi="Book Antiqua"/>
          <w:b/>
          <w:bCs/>
          <w:color w:val="000000" w:themeColor="text1"/>
          <w:lang w:eastAsia="zh-CN"/>
        </w:rPr>
        <w:t xml:space="preserve"> of </w:t>
      </w:r>
      <w:proofErr w:type="spellStart"/>
      <w:r w:rsidRPr="00B82E38">
        <w:rPr>
          <w:rFonts w:ascii="Book Antiqua" w:hAnsi="Book Antiqua"/>
          <w:b/>
          <w:bCs/>
          <w:color w:val="000000" w:themeColor="text1"/>
        </w:rPr>
        <w:t>indocyanine</w:t>
      </w:r>
      <w:proofErr w:type="spellEnd"/>
      <w:r w:rsidRPr="00B82E38">
        <w:rPr>
          <w:rFonts w:ascii="Book Antiqua" w:hAnsi="Book Antiqua"/>
          <w:b/>
          <w:bCs/>
          <w:color w:val="000000" w:themeColor="text1"/>
        </w:rPr>
        <w:t xml:space="preserve"> green </w:t>
      </w:r>
      <w:proofErr w:type="spellStart"/>
      <w:r w:rsidRPr="00B82E38">
        <w:rPr>
          <w:rFonts w:ascii="Book Antiqua" w:hAnsi="Book Antiqua"/>
          <w:b/>
          <w:bCs/>
          <w:color w:val="000000" w:themeColor="text1"/>
        </w:rPr>
        <w:t>rentention</w:t>
      </w:r>
      <w:proofErr w:type="spellEnd"/>
      <w:r w:rsidRPr="00B82E38">
        <w:rPr>
          <w:rFonts w:ascii="Book Antiqua" w:hAnsi="Book Antiqua"/>
          <w:b/>
          <w:bCs/>
          <w:color w:val="000000" w:themeColor="text1"/>
        </w:rPr>
        <w:t xml:space="preserve"> rate of 15 min, Child-Pugh score, </w:t>
      </w:r>
      <w:r w:rsidR="00422C74">
        <w:rPr>
          <w:rFonts w:ascii="Book Antiqua" w:hAnsi="Book Antiqua"/>
          <w:b/>
          <w:bCs/>
          <w:color w:val="000000" w:themeColor="text1"/>
        </w:rPr>
        <w:t xml:space="preserve">and </w:t>
      </w:r>
      <w:r w:rsidRPr="00B82E38">
        <w:rPr>
          <w:rFonts w:ascii="Book Antiqua" w:hAnsi="Book Antiqua"/>
          <w:b/>
          <w:bCs/>
          <w:color w:val="000000" w:themeColor="text1"/>
        </w:rPr>
        <w:t>model for end-stage liver disease score</w:t>
      </w:r>
    </w:p>
    <w:tbl>
      <w:tblPr>
        <w:tblStyle w:val="a9"/>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7"/>
        <w:gridCol w:w="2469"/>
        <w:gridCol w:w="2143"/>
        <w:gridCol w:w="1981"/>
      </w:tblGrid>
      <w:tr w:rsidR="00B82E38" w:rsidRPr="00B82E38" w14:paraId="5D969EE4" w14:textId="77777777" w:rsidTr="00D958FE">
        <w:trPr>
          <w:trHeight w:val="257"/>
        </w:trPr>
        <w:tc>
          <w:tcPr>
            <w:tcW w:w="2798" w:type="dxa"/>
            <w:tcBorders>
              <w:top w:val="single" w:sz="4" w:space="0" w:color="auto"/>
              <w:bottom w:val="single" w:sz="4" w:space="0" w:color="auto"/>
            </w:tcBorders>
            <w:shd w:val="clear" w:color="auto" w:fill="auto"/>
          </w:tcPr>
          <w:p w14:paraId="02F3A108" w14:textId="6F1D8F6F" w:rsidR="00BA37FB" w:rsidRPr="00B82E38" w:rsidRDefault="008F363E" w:rsidP="00372A8C">
            <w:pPr>
              <w:widowControl/>
              <w:adjustRightInd w:val="0"/>
              <w:snapToGrid w:val="0"/>
              <w:spacing w:line="360" w:lineRule="auto"/>
              <w:rPr>
                <w:rFonts w:ascii="Book Antiqua" w:eastAsia="宋体" w:hAnsi="Book Antiqua"/>
                <w:b/>
                <w:bCs/>
                <w:color w:val="000000" w:themeColor="text1"/>
                <w:lang w:eastAsia="zh-CN"/>
              </w:rPr>
            </w:pPr>
            <w:r w:rsidRPr="00B82E38">
              <w:rPr>
                <w:rFonts w:ascii="Book Antiqua" w:eastAsia="宋体" w:hAnsi="Book Antiqua"/>
                <w:b/>
                <w:bCs/>
                <w:color w:val="000000" w:themeColor="text1"/>
                <w:lang w:eastAsia="zh-CN"/>
              </w:rPr>
              <w:t>Parameter</w:t>
            </w:r>
          </w:p>
        </w:tc>
        <w:tc>
          <w:tcPr>
            <w:tcW w:w="2504" w:type="dxa"/>
            <w:tcBorders>
              <w:top w:val="single" w:sz="4" w:space="0" w:color="auto"/>
              <w:bottom w:val="single" w:sz="4" w:space="0" w:color="auto"/>
            </w:tcBorders>
            <w:shd w:val="clear" w:color="auto" w:fill="auto"/>
          </w:tcPr>
          <w:p w14:paraId="5775555F" w14:textId="77777777" w:rsidR="00BA37FB" w:rsidRPr="00B82E38" w:rsidRDefault="008F363E" w:rsidP="00372A8C">
            <w:pPr>
              <w:widowControl/>
              <w:adjustRightInd w:val="0"/>
              <w:snapToGrid w:val="0"/>
              <w:spacing w:line="360" w:lineRule="auto"/>
              <w:rPr>
                <w:rFonts w:ascii="Book Antiqua" w:eastAsia="宋体" w:hAnsi="Book Antiqua"/>
                <w:b/>
                <w:bCs/>
                <w:color w:val="000000" w:themeColor="text1"/>
                <w:lang w:eastAsia="zh-CN"/>
              </w:rPr>
            </w:pPr>
            <w:r w:rsidRPr="00B82E38">
              <w:rPr>
                <w:rFonts w:ascii="Book Antiqua" w:eastAsia="宋体" w:hAnsi="Book Antiqua"/>
                <w:b/>
                <w:bCs/>
                <w:color w:val="000000" w:themeColor="text1"/>
                <w:lang w:eastAsia="zh-CN"/>
              </w:rPr>
              <w:t>CPS</w:t>
            </w:r>
          </w:p>
        </w:tc>
        <w:tc>
          <w:tcPr>
            <w:tcW w:w="2169" w:type="dxa"/>
            <w:tcBorders>
              <w:top w:val="single" w:sz="4" w:space="0" w:color="auto"/>
              <w:bottom w:val="single" w:sz="4" w:space="0" w:color="auto"/>
            </w:tcBorders>
            <w:shd w:val="clear" w:color="auto" w:fill="auto"/>
          </w:tcPr>
          <w:p w14:paraId="4B58F076" w14:textId="77777777" w:rsidR="00BA37FB" w:rsidRPr="00B82E38" w:rsidRDefault="008F363E" w:rsidP="00372A8C">
            <w:pPr>
              <w:widowControl/>
              <w:adjustRightInd w:val="0"/>
              <w:snapToGrid w:val="0"/>
              <w:spacing w:line="360" w:lineRule="auto"/>
              <w:rPr>
                <w:rFonts w:ascii="Book Antiqua" w:eastAsia="宋体" w:hAnsi="Book Antiqua"/>
                <w:b/>
                <w:bCs/>
                <w:color w:val="000000" w:themeColor="text1"/>
                <w:lang w:eastAsia="zh-CN"/>
              </w:rPr>
            </w:pPr>
            <w:r w:rsidRPr="00B82E38">
              <w:rPr>
                <w:rFonts w:ascii="Book Antiqua" w:eastAsia="宋体" w:hAnsi="Book Antiqua"/>
                <w:b/>
                <w:bCs/>
                <w:color w:val="000000" w:themeColor="text1"/>
                <w:lang w:eastAsia="zh-CN"/>
              </w:rPr>
              <w:t>MELD</w:t>
            </w:r>
          </w:p>
        </w:tc>
        <w:tc>
          <w:tcPr>
            <w:tcW w:w="2003" w:type="dxa"/>
            <w:tcBorders>
              <w:top w:val="single" w:sz="4" w:space="0" w:color="auto"/>
              <w:bottom w:val="single" w:sz="4" w:space="0" w:color="auto"/>
            </w:tcBorders>
            <w:shd w:val="clear" w:color="auto" w:fill="auto"/>
          </w:tcPr>
          <w:p w14:paraId="2E0DAC45" w14:textId="77777777" w:rsidR="00BA37FB" w:rsidRPr="00B82E38" w:rsidRDefault="008F363E" w:rsidP="00372A8C">
            <w:pPr>
              <w:widowControl/>
              <w:adjustRightInd w:val="0"/>
              <w:snapToGrid w:val="0"/>
              <w:spacing w:line="360" w:lineRule="auto"/>
              <w:rPr>
                <w:rFonts w:ascii="Book Antiqua" w:eastAsia="宋体" w:hAnsi="Book Antiqua"/>
                <w:b/>
                <w:bCs/>
                <w:color w:val="000000" w:themeColor="text1"/>
                <w:lang w:eastAsia="zh-CN"/>
              </w:rPr>
            </w:pPr>
            <w:r w:rsidRPr="00B82E38">
              <w:rPr>
                <w:rFonts w:ascii="Book Antiqua" w:eastAsia="宋体" w:hAnsi="Book Antiqua"/>
                <w:b/>
                <w:bCs/>
                <w:color w:val="000000" w:themeColor="text1"/>
                <w:lang w:eastAsia="zh-CN"/>
              </w:rPr>
              <w:t>ICG-R15</w:t>
            </w:r>
          </w:p>
        </w:tc>
      </w:tr>
      <w:tr w:rsidR="00B82E38" w:rsidRPr="00B82E38" w14:paraId="105E5C11" w14:textId="77777777" w:rsidTr="00D958FE">
        <w:trPr>
          <w:trHeight w:val="452"/>
        </w:trPr>
        <w:tc>
          <w:tcPr>
            <w:tcW w:w="2798" w:type="dxa"/>
            <w:tcBorders>
              <w:top w:val="single" w:sz="4" w:space="0" w:color="auto"/>
            </w:tcBorders>
            <w:shd w:val="clear" w:color="auto" w:fill="auto"/>
          </w:tcPr>
          <w:p w14:paraId="765A8A22" w14:textId="77777777" w:rsidR="00BA37FB" w:rsidRPr="00B82E38" w:rsidRDefault="008F363E" w:rsidP="00372A8C">
            <w:pPr>
              <w:widowControl/>
              <w:adjustRightInd w:val="0"/>
              <w:snapToGrid w:val="0"/>
              <w:spacing w:line="360" w:lineRule="auto"/>
              <w:rPr>
                <w:rFonts w:ascii="Book Antiqua" w:eastAsia="宋体" w:hAnsi="Book Antiqua"/>
                <w:color w:val="000000" w:themeColor="text1"/>
                <w:lang w:eastAsia="zh-CN"/>
              </w:rPr>
            </w:pPr>
            <w:r w:rsidRPr="00B82E38">
              <w:rPr>
                <w:rFonts w:ascii="Book Antiqua" w:eastAsia="宋体" w:hAnsi="Book Antiqua"/>
                <w:color w:val="000000" w:themeColor="text1"/>
                <w:lang w:eastAsia="zh-CN"/>
              </w:rPr>
              <w:t>AUC</w:t>
            </w:r>
          </w:p>
        </w:tc>
        <w:tc>
          <w:tcPr>
            <w:tcW w:w="2504" w:type="dxa"/>
            <w:tcBorders>
              <w:top w:val="single" w:sz="4" w:space="0" w:color="auto"/>
            </w:tcBorders>
            <w:shd w:val="clear" w:color="auto" w:fill="auto"/>
          </w:tcPr>
          <w:p w14:paraId="0A723D7B" w14:textId="77777777" w:rsidR="00BA37FB" w:rsidRPr="00B82E38" w:rsidRDefault="008F363E" w:rsidP="00372A8C">
            <w:pPr>
              <w:widowControl/>
              <w:adjustRightInd w:val="0"/>
              <w:snapToGrid w:val="0"/>
              <w:spacing w:line="360" w:lineRule="auto"/>
              <w:rPr>
                <w:rFonts w:ascii="Book Antiqua" w:eastAsia="宋体" w:hAnsi="Book Antiqua"/>
                <w:color w:val="000000" w:themeColor="text1"/>
                <w:lang w:eastAsia="zh-CN"/>
              </w:rPr>
            </w:pPr>
            <w:r w:rsidRPr="00B82E38">
              <w:rPr>
                <w:rFonts w:ascii="Book Antiqua" w:eastAsia="宋体" w:hAnsi="Book Antiqua"/>
                <w:color w:val="000000" w:themeColor="text1"/>
                <w:lang w:eastAsia="zh-CN"/>
              </w:rPr>
              <w:t>0.596</w:t>
            </w:r>
          </w:p>
        </w:tc>
        <w:tc>
          <w:tcPr>
            <w:tcW w:w="2169" w:type="dxa"/>
            <w:tcBorders>
              <w:top w:val="single" w:sz="4" w:space="0" w:color="auto"/>
            </w:tcBorders>
            <w:shd w:val="clear" w:color="auto" w:fill="auto"/>
          </w:tcPr>
          <w:p w14:paraId="5BAD465D" w14:textId="77777777" w:rsidR="00BA37FB" w:rsidRPr="00B82E38" w:rsidRDefault="008F363E" w:rsidP="00372A8C">
            <w:pPr>
              <w:widowControl/>
              <w:adjustRightInd w:val="0"/>
              <w:snapToGrid w:val="0"/>
              <w:spacing w:line="360" w:lineRule="auto"/>
              <w:rPr>
                <w:rFonts w:ascii="Book Antiqua" w:eastAsia="宋体" w:hAnsi="Book Antiqua"/>
                <w:color w:val="000000" w:themeColor="text1"/>
                <w:lang w:eastAsia="zh-CN"/>
              </w:rPr>
            </w:pPr>
            <w:r w:rsidRPr="00B82E38">
              <w:rPr>
                <w:rFonts w:ascii="Book Antiqua" w:eastAsia="宋体" w:hAnsi="Book Antiqua"/>
                <w:color w:val="000000" w:themeColor="text1"/>
                <w:lang w:eastAsia="zh-CN"/>
              </w:rPr>
              <w:t>0.641</w:t>
            </w:r>
          </w:p>
        </w:tc>
        <w:tc>
          <w:tcPr>
            <w:tcW w:w="2003" w:type="dxa"/>
            <w:tcBorders>
              <w:top w:val="single" w:sz="4" w:space="0" w:color="auto"/>
            </w:tcBorders>
            <w:shd w:val="clear" w:color="auto" w:fill="auto"/>
          </w:tcPr>
          <w:p w14:paraId="21713DD8" w14:textId="77777777" w:rsidR="00BA37FB" w:rsidRPr="00B82E38" w:rsidRDefault="008F363E" w:rsidP="00372A8C">
            <w:pPr>
              <w:widowControl/>
              <w:adjustRightInd w:val="0"/>
              <w:snapToGrid w:val="0"/>
              <w:spacing w:line="360" w:lineRule="auto"/>
              <w:rPr>
                <w:rFonts w:ascii="Book Antiqua" w:eastAsia="宋体" w:hAnsi="Book Antiqua"/>
                <w:color w:val="000000" w:themeColor="text1"/>
                <w:lang w:eastAsia="zh-CN"/>
              </w:rPr>
            </w:pPr>
            <w:r w:rsidRPr="00B82E38">
              <w:rPr>
                <w:rFonts w:ascii="Book Antiqua" w:eastAsia="宋体" w:hAnsi="Book Antiqua"/>
                <w:color w:val="000000" w:themeColor="text1"/>
                <w:lang w:eastAsia="zh-CN"/>
              </w:rPr>
              <w:t>0.664</w:t>
            </w:r>
          </w:p>
        </w:tc>
      </w:tr>
      <w:tr w:rsidR="00B82E38" w:rsidRPr="00B82E38" w14:paraId="3AEDC3B1" w14:textId="77777777" w:rsidTr="00D958FE">
        <w:trPr>
          <w:trHeight w:val="439"/>
        </w:trPr>
        <w:tc>
          <w:tcPr>
            <w:tcW w:w="2798" w:type="dxa"/>
            <w:shd w:val="clear" w:color="auto" w:fill="auto"/>
          </w:tcPr>
          <w:p w14:paraId="0EFEAE6D" w14:textId="77777777" w:rsidR="00BA37FB" w:rsidRPr="00B82E38" w:rsidRDefault="008F363E" w:rsidP="00372A8C">
            <w:pPr>
              <w:widowControl/>
              <w:adjustRightInd w:val="0"/>
              <w:snapToGrid w:val="0"/>
              <w:spacing w:line="360" w:lineRule="auto"/>
              <w:rPr>
                <w:rFonts w:ascii="Book Antiqua" w:eastAsia="宋体" w:hAnsi="Book Antiqua"/>
                <w:color w:val="000000" w:themeColor="text1"/>
                <w:lang w:eastAsia="zh-CN"/>
              </w:rPr>
            </w:pPr>
            <w:r w:rsidRPr="00B82E38">
              <w:rPr>
                <w:rFonts w:ascii="Book Antiqua" w:eastAsia="宋体" w:hAnsi="Book Antiqua"/>
                <w:color w:val="000000" w:themeColor="text1"/>
                <w:lang w:eastAsia="zh-CN"/>
              </w:rPr>
              <w:t>95%CI</w:t>
            </w:r>
          </w:p>
        </w:tc>
        <w:tc>
          <w:tcPr>
            <w:tcW w:w="2504" w:type="dxa"/>
            <w:shd w:val="clear" w:color="auto" w:fill="auto"/>
          </w:tcPr>
          <w:p w14:paraId="5B76528E" w14:textId="77777777" w:rsidR="00BA37FB" w:rsidRPr="00B82E38" w:rsidRDefault="008F363E" w:rsidP="00372A8C">
            <w:pPr>
              <w:widowControl/>
              <w:adjustRightInd w:val="0"/>
              <w:snapToGrid w:val="0"/>
              <w:spacing w:line="360" w:lineRule="auto"/>
              <w:rPr>
                <w:rFonts w:ascii="Book Antiqua" w:eastAsia="宋体" w:hAnsi="Book Antiqua"/>
                <w:color w:val="000000" w:themeColor="text1"/>
                <w:lang w:eastAsia="zh-CN"/>
              </w:rPr>
            </w:pPr>
            <w:r w:rsidRPr="00B82E38">
              <w:rPr>
                <w:rFonts w:ascii="Book Antiqua" w:eastAsia="宋体" w:hAnsi="Book Antiqua"/>
                <w:color w:val="000000" w:themeColor="text1"/>
                <w:lang w:eastAsia="zh-CN"/>
              </w:rPr>
              <w:t>0.508-0.679</w:t>
            </w:r>
          </w:p>
        </w:tc>
        <w:tc>
          <w:tcPr>
            <w:tcW w:w="2169" w:type="dxa"/>
            <w:shd w:val="clear" w:color="auto" w:fill="auto"/>
          </w:tcPr>
          <w:p w14:paraId="6549EBF3" w14:textId="77777777" w:rsidR="00BA37FB" w:rsidRPr="00B82E38" w:rsidRDefault="008F363E" w:rsidP="00372A8C">
            <w:pPr>
              <w:widowControl/>
              <w:adjustRightInd w:val="0"/>
              <w:snapToGrid w:val="0"/>
              <w:spacing w:line="360" w:lineRule="auto"/>
              <w:rPr>
                <w:rFonts w:ascii="Book Antiqua" w:eastAsia="宋体" w:hAnsi="Book Antiqua"/>
                <w:color w:val="000000" w:themeColor="text1"/>
                <w:lang w:eastAsia="zh-CN"/>
              </w:rPr>
            </w:pPr>
            <w:r w:rsidRPr="00B82E38">
              <w:rPr>
                <w:rFonts w:ascii="Book Antiqua" w:eastAsia="宋体" w:hAnsi="Book Antiqua"/>
                <w:color w:val="000000" w:themeColor="text1"/>
                <w:lang w:eastAsia="zh-CN"/>
              </w:rPr>
              <w:t>0.554-0.721</w:t>
            </w:r>
          </w:p>
        </w:tc>
        <w:tc>
          <w:tcPr>
            <w:tcW w:w="2003" w:type="dxa"/>
            <w:shd w:val="clear" w:color="auto" w:fill="auto"/>
          </w:tcPr>
          <w:p w14:paraId="5FEDA55D" w14:textId="77777777" w:rsidR="00BA37FB" w:rsidRPr="00B82E38" w:rsidRDefault="008F363E" w:rsidP="00372A8C">
            <w:pPr>
              <w:widowControl/>
              <w:adjustRightInd w:val="0"/>
              <w:snapToGrid w:val="0"/>
              <w:spacing w:line="360" w:lineRule="auto"/>
              <w:rPr>
                <w:rFonts w:ascii="Book Antiqua" w:eastAsia="宋体" w:hAnsi="Book Antiqua"/>
                <w:color w:val="000000" w:themeColor="text1"/>
                <w:lang w:eastAsia="zh-CN"/>
              </w:rPr>
            </w:pPr>
            <w:r w:rsidRPr="00B82E38">
              <w:rPr>
                <w:rFonts w:ascii="Book Antiqua" w:eastAsia="宋体" w:hAnsi="Book Antiqua"/>
                <w:color w:val="000000" w:themeColor="text1"/>
                <w:lang w:eastAsia="zh-CN"/>
              </w:rPr>
              <w:t>0.557-0.743</w:t>
            </w:r>
          </w:p>
        </w:tc>
      </w:tr>
      <w:tr w:rsidR="00B82E38" w:rsidRPr="00B82E38" w14:paraId="3194DACF" w14:textId="77777777" w:rsidTr="00D958FE">
        <w:trPr>
          <w:trHeight w:val="452"/>
        </w:trPr>
        <w:tc>
          <w:tcPr>
            <w:tcW w:w="2798" w:type="dxa"/>
            <w:shd w:val="clear" w:color="auto" w:fill="auto"/>
          </w:tcPr>
          <w:p w14:paraId="4E792E26" w14:textId="77777777" w:rsidR="00BA37FB" w:rsidRPr="00B82E38" w:rsidRDefault="008F363E" w:rsidP="00372A8C">
            <w:pPr>
              <w:widowControl/>
              <w:adjustRightInd w:val="0"/>
              <w:snapToGrid w:val="0"/>
              <w:spacing w:line="360" w:lineRule="auto"/>
              <w:rPr>
                <w:rFonts w:ascii="Book Antiqua" w:eastAsia="宋体" w:hAnsi="Book Antiqua"/>
                <w:color w:val="000000" w:themeColor="text1"/>
                <w:lang w:eastAsia="zh-CN"/>
              </w:rPr>
            </w:pPr>
            <w:r w:rsidRPr="00B82E38">
              <w:rPr>
                <w:rFonts w:ascii="Book Antiqua" w:eastAsia="宋体" w:hAnsi="Book Antiqua"/>
                <w:color w:val="000000" w:themeColor="text1"/>
                <w:lang w:eastAsia="zh-CN"/>
              </w:rPr>
              <w:t>Z statistic</w:t>
            </w:r>
          </w:p>
        </w:tc>
        <w:tc>
          <w:tcPr>
            <w:tcW w:w="2504" w:type="dxa"/>
            <w:shd w:val="clear" w:color="auto" w:fill="auto"/>
          </w:tcPr>
          <w:p w14:paraId="19EC4146" w14:textId="77777777" w:rsidR="00BA37FB" w:rsidRPr="00B82E38" w:rsidRDefault="008F363E" w:rsidP="00372A8C">
            <w:pPr>
              <w:widowControl/>
              <w:adjustRightInd w:val="0"/>
              <w:snapToGrid w:val="0"/>
              <w:spacing w:line="360" w:lineRule="auto"/>
              <w:rPr>
                <w:rFonts w:ascii="Book Antiqua" w:eastAsia="宋体" w:hAnsi="Book Antiqua"/>
                <w:color w:val="000000" w:themeColor="text1"/>
                <w:lang w:eastAsia="zh-CN"/>
              </w:rPr>
            </w:pPr>
            <w:r w:rsidRPr="00B82E38">
              <w:rPr>
                <w:rFonts w:ascii="Book Antiqua" w:eastAsia="宋体" w:hAnsi="Book Antiqua"/>
                <w:color w:val="000000" w:themeColor="text1"/>
                <w:lang w:eastAsia="zh-CN"/>
              </w:rPr>
              <w:t>1.709</w:t>
            </w:r>
          </w:p>
        </w:tc>
        <w:tc>
          <w:tcPr>
            <w:tcW w:w="2169" w:type="dxa"/>
            <w:shd w:val="clear" w:color="auto" w:fill="auto"/>
          </w:tcPr>
          <w:p w14:paraId="1790C943" w14:textId="77777777" w:rsidR="00BA37FB" w:rsidRPr="00B82E38" w:rsidRDefault="008F363E" w:rsidP="00372A8C">
            <w:pPr>
              <w:widowControl/>
              <w:adjustRightInd w:val="0"/>
              <w:snapToGrid w:val="0"/>
              <w:spacing w:line="360" w:lineRule="auto"/>
              <w:rPr>
                <w:rFonts w:ascii="Book Antiqua" w:eastAsia="宋体" w:hAnsi="Book Antiqua"/>
                <w:color w:val="000000" w:themeColor="text1"/>
                <w:lang w:eastAsia="zh-CN"/>
              </w:rPr>
            </w:pPr>
            <w:r w:rsidRPr="00B82E38">
              <w:rPr>
                <w:rFonts w:ascii="Book Antiqua" w:eastAsia="宋体" w:hAnsi="Book Antiqua"/>
                <w:color w:val="000000" w:themeColor="text1"/>
                <w:lang w:eastAsia="zh-CN"/>
              </w:rPr>
              <w:t>2.293</w:t>
            </w:r>
          </w:p>
        </w:tc>
        <w:tc>
          <w:tcPr>
            <w:tcW w:w="2003" w:type="dxa"/>
            <w:shd w:val="clear" w:color="auto" w:fill="auto"/>
          </w:tcPr>
          <w:p w14:paraId="2885D6F9" w14:textId="77777777" w:rsidR="00BA37FB" w:rsidRPr="00B82E38" w:rsidRDefault="008F363E" w:rsidP="00372A8C">
            <w:pPr>
              <w:widowControl/>
              <w:adjustRightInd w:val="0"/>
              <w:snapToGrid w:val="0"/>
              <w:spacing w:line="360" w:lineRule="auto"/>
              <w:rPr>
                <w:rFonts w:ascii="Book Antiqua" w:eastAsia="宋体" w:hAnsi="Book Antiqua"/>
                <w:color w:val="000000" w:themeColor="text1"/>
                <w:lang w:eastAsia="zh-CN"/>
              </w:rPr>
            </w:pPr>
            <w:r w:rsidRPr="00B82E38">
              <w:rPr>
                <w:rFonts w:ascii="Book Antiqua" w:eastAsia="宋体" w:hAnsi="Book Antiqua"/>
                <w:color w:val="000000" w:themeColor="text1"/>
                <w:lang w:eastAsia="zh-CN"/>
              </w:rPr>
              <w:t>2.832</w:t>
            </w:r>
          </w:p>
        </w:tc>
      </w:tr>
      <w:tr w:rsidR="00B82E38" w:rsidRPr="00B82E38" w14:paraId="668FC834" w14:textId="77777777" w:rsidTr="00D958FE">
        <w:trPr>
          <w:trHeight w:val="452"/>
        </w:trPr>
        <w:tc>
          <w:tcPr>
            <w:tcW w:w="2798" w:type="dxa"/>
            <w:shd w:val="clear" w:color="auto" w:fill="auto"/>
          </w:tcPr>
          <w:p w14:paraId="369B1490" w14:textId="77777777" w:rsidR="00BA37FB" w:rsidRPr="00B82E38" w:rsidRDefault="008F363E" w:rsidP="00372A8C">
            <w:pPr>
              <w:widowControl/>
              <w:adjustRightInd w:val="0"/>
              <w:snapToGrid w:val="0"/>
              <w:spacing w:line="360" w:lineRule="auto"/>
              <w:rPr>
                <w:rFonts w:ascii="Book Antiqua" w:eastAsia="宋体" w:hAnsi="Book Antiqua"/>
                <w:color w:val="000000" w:themeColor="text1"/>
                <w:lang w:eastAsia="zh-CN"/>
              </w:rPr>
            </w:pPr>
            <w:r w:rsidRPr="00B82E38">
              <w:rPr>
                <w:rFonts w:ascii="Book Antiqua" w:eastAsia="宋体" w:hAnsi="Book Antiqua"/>
                <w:i/>
                <w:iCs/>
                <w:color w:val="000000" w:themeColor="text1"/>
                <w:lang w:eastAsia="zh-CN"/>
              </w:rPr>
              <w:t>P</w:t>
            </w:r>
            <w:r w:rsidRPr="00B82E38">
              <w:rPr>
                <w:rFonts w:ascii="Book Antiqua" w:eastAsia="宋体" w:hAnsi="Book Antiqua"/>
                <w:color w:val="000000" w:themeColor="text1"/>
                <w:lang w:eastAsia="zh-CN"/>
              </w:rPr>
              <w:t xml:space="preserve"> value</w:t>
            </w:r>
          </w:p>
        </w:tc>
        <w:tc>
          <w:tcPr>
            <w:tcW w:w="2504" w:type="dxa"/>
            <w:shd w:val="clear" w:color="auto" w:fill="auto"/>
          </w:tcPr>
          <w:p w14:paraId="76709839" w14:textId="77777777" w:rsidR="00BA37FB" w:rsidRPr="00B82E38" w:rsidRDefault="008F363E" w:rsidP="00372A8C">
            <w:pPr>
              <w:widowControl/>
              <w:adjustRightInd w:val="0"/>
              <w:snapToGrid w:val="0"/>
              <w:spacing w:line="360" w:lineRule="auto"/>
              <w:rPr>
                <w:rFonts w:ascii="Book Antiqua" w:eastAsia="宋体" w:hAnsi="Book Antiqua"/>
                <w:color w:val="000000" w:themeColor="text1"/>
                <w:lang w:eastAsia="zh-CN"/>
              </w:rPr>
            </w:pPr>
            <w:r w:rsidRPr="00B82E38">
              <w:rPr>
                <w:rFonts w:ascii="Book Antiqua" w:eastAsia="宋体" w:hAnsi="Book Antiqua"/>
                <w:color w:val="000000" w:themeColor="text1"/>
                <w:lang w:eastAsia="zh-CN"/>
              </w:rPr>
              <w:t>0.087</w:t>
            </w:r>
          </w:p>
        </w:tc>
        <w:tc>
          <w:tcPr>
            <w:tcW w:w="2169" w:type="dxa"/>
            <w:shd w:val="clear" w:color="auto" w:fill="auto"/>
          </w:tcPr>
          <w:p w14:paraId="588CC096" w14:textId="77777777" w:rsidR="00BA37FB" w:rsidRPr="00B82E38" w:rsidRDefault="008F363E" w:rsidP="00372A8C">
            <w:pPr>
              <w:widowControl/>
              <w:adjustRightInd w:val="0"/>
              <w:snapToGrid w:val="0"/>
              <w:spacing w:line="360" w:lineRule="auto"/>
              <w:rPr>
                <w:rFonts w:ascii="Book Antiqua" w:eastAsia="宋体" w:hAnsi="Book Antiqua"/>
                <w:color w:val="000000" w:themeColor="text1"/>
                <w:lang w:eastAsia="zh-CN"/>
              </w:rPr>
            </w:pPr>
            <w:r w:rsidRPr="00B82E38">
              <w:rPr>
                <w:rFonts w:ascii="Book Antiqua" w:eastAsia="宋体" w:hAnsi="Book Antiqua"/>
                <w:color w:val="000000" w:themeColor="text1"/>
                <w:lang w:eastAsia="zh-CN"/>
              </w:rPr>
              <w:t>0.021</w:t>
            </w:r>
            <w:r w:rsidRPr="00B82E38">
              <w:rPr>
                <w:rFonts w:ascii="Book Antiqua" w:eastAsia="宋体" w:hAnsi="Book Antiqua"/>
                <w:color w:val="000000" w:themeColor="text1"/>
                <w:vertAlign w:val="superscript"/>
                <w:lang w:eastAsia="zh-CN"/>
              </w:rPr>
              <w:t>a</w:t>
            </w:r>
          </w:p>
        </w:tc>
        <w:tc>
          <w:tcPr>
            <w:tcW w:w="2003" w:type="dxa"/>
            <w:shd w:val="clear" w:color="auto" w:fill="auto"/>
          </w:tcPr>
          <w:p w14:paraId="2AC51A54" w14:textId="77777777" w:rsidR="00BA37FB" w:rsidRPr="00B82E38" w:rsidRDefault="008F363E" w:rsidP="00372A8C">
            <w:pPr>
              <w:widowControl/>
              <w:adjustRightInd w:val="0"/>
              <w:snapToGrid w:val="0"/>
              <w:spacing w:line="360" w:lineRule="auto"/>
              <w:rPr>
                <w:rFonts w:ascii="Book Antiqua" w:eastAsia="宋体" w:hAnsi="Book Antiqua"/>
                <w:color w:val="000000" w:themeColor="text1"/>
                <w:lang w:eastAsia="zh-CN"/>
              </w:rPr>
            </w:pPr>
            <w:r w:rsidRPr="00B82E38">
              <w:rPr>
                <w:rFonts w:ascii="Book Antiqua" w:eastAsia="宋体" w:hAnsi="Book Antiqua"/>
                <w:color w:val="000000" w:themeColor="text1"/>
                <w:lang w:eastAsia="zh-CN"/>
              </w:rPr>
              <w:t>0.0046</w:t>
            </w:r>
            <w:r w:rsidRPr="00B82E38">
              <w:rPr>
                <w:rFonts w:ascii="Book Antiqua" w:eastAsia="宋体" w:hAnsi="Book Antiqua"/>
                <w:color w:val="000000" w:themeColor="text1"/>
                <w:vertAlign w:val="superscript"/>
                <w:lang w:eastAsia="zh-CN"/>
              </w:rPr>
              <w:t>b</w:t>
            </w:r>
          </w:p>
        </w:tc>
      </w:tr>
      <w:tr w:rsidR="00B82E38" w:rsidRPr="00B82E38" w14:paraId="3C3C20E7" w14:textId="77777777" w:rsidTr="00D958FE">
        <w:trPr>
          <w:trHeight w:val="439"/>
        </w:trPr>
        <w:tc>
          <w:tcPr>
            <w:tcW w:w="2798" w:type="dxa"/>
            <w:shd w:val="clear" w:color="auto" w:fill="auto"/>
          </w:tcPr>
          <w:p w14:paraId="35005BDE" w14:textId="77777777" w:rsidR="00BA37FB" w:rsidRPr="00B82E38" w:rsidRDefault="008F363E" w:rsidP="00372A8C">
            <w:pPr>
              <w:widowControl/>
              <w:adjustRightInd w:val="0"/>
              <w:snapToGrid w:val="0"/>
              <w:spacing w:line="360" w:lineRule="auto"/>
              <w:rPr>
                <w:rFonts w:ascii="Book Antiqua" w:eastAsia="宋体" w:hAnsi="Book Antiqua"/>
                <w:color w:val="000000" w:themeColor="text1"/>
                <w:lang w:eastAsia="zh-CN"/>
              </w:rPr>
            </w:pPr>
            <w:r w:rsidRPr="00B82E38">
              <w:rPr>
                <w:rFonts w:ascii="Book Antiqua" w:eastAsia="宋体" w:hAnsi="Book Antiqua"/>
                <w:color w:val="000000" w:themeColor="text1"/>
                <w:lang w:eastAsia="zh-CN"/>
              </w:rPr>
              <w:t>Youden index J</w:t>
            </w:r>
          </w:p>
        </w:tc>
        <w:tc>
          <w:tcPr>
            <w:tcW w:w="2504" w:type="dxa"/>
            <w:shd w:val="clear" w:color="auto" w:fill="auto"/>
          </w:tcPr>
          <w:p w14:paraId="69D1197B" w14:textId="77777777" w:rsidR="00BA37FB" w:rsidRPr="00B82E38" w:rsidRDefault="008F363E" w:rsidP="00372A8C">
            <w:pPr>
              <w:widowControl/>
              <w:adjustRightInd w:val="0"/>
              <w:snapToGrid w:val="0"/>
              <w:spacing w:line="360" w:lineRule="auto"/>
              <w:rPr>
                <w:rFonts w:ascii="Book Antiqua" w:eastAsia="宋体" w:hAnsi="Book Antiqua"/>
                <w:color w:val="000000" w:themeColor="text1"/>
                <w:lang w:eastAsia="zh-CN"/>
              </w:rPr>
            </w:pPr>
            <w:r w:rsidRPr="00B82E38">
              <w:rPr>
                <w:rFonts w:ascii="Book Antiqua" w:eastAsia="宋体" w:hAnsi="Book Antiqua"/>
                <w:color w:val="000000" w:themeColor="text1"/>
                <w:lang w:eastAsia="zh-CN"/>
              </w:rPr>
              <w:t>0.211</w:t>
            </w:r>
          </w:p>
        </w:tc>
        <w:tc>
          <w:tcPr>
            <w:tcW w:w="2169" w:type="dxa"/>
            <w:shd w:val="clear" w:color="auto" w:fill="auto"/>
          </w:tcPr>
          <w:p w14:paraId="15CB689D" w14:textId="77777777" w:rsidR="00BA37FB" w:rsidRPr="00B82E38" w:rsidRDefault="008F363E" w:rsidP="00372A8C">
            <w:pPr>
              <w:widowControl/>
              <w:adjustRightInd w:val="0"/>
              <w:snapToGrid w:val="0"/>
              <w:spacing w:line="360" w:lineRule="auto"/>
              <w:rPr>
                <w:rFonts w:ascii="Book Antiqua" w:eastAsia="宋体" w:hAnsi="Book Antiqua"/>
                <w:color w:val="000000" w:themeColor="text1"/>
                <w:lang w:eastAsia="zh-CN"/>
              </w:rPr>
            </w:pPr>
            <w:r w:rsidRPr="00B82E38">
              <w:rPr>
                <w:rFonts w:ascii="Book Antiqua" w:eastAsia="宋体" w:hAnsi="Book Antiqua"/>
                <w:color w:val="000000" w:themeColor="text1"/>
                <w:lang w:eastAsia="zh-CN"/>
              </w:rPr>
              <w:t xml:space="preserve">0.269 </w:t>
            </w:r>
          </w:p>
        </w:tc>
        <w:tc>
          <w:tcPr>
            <w:tcW w:w="2003" w:type="dxa"/>
            <w:shd w:val="clear" w:color="auto" w:fill="auto"/>
          </w:tcPr>
          <w:p w14:paraId="37791C36" w14:textId="77777777" w:rsidR="00BA37FB" w:rsidRPr="00B82E38" w:rsidRDefault="008F363E" w:rsidP="00372A8C">
            <w:pPr>
              <w:widowControl/>
              <w:adjustRightInd w:val="0"/>
              <w:snapToGrid w:val="0"/>
              <w:spacing w:line="360" w:lineRule="auto"/>
              <w:rPr>
                <w:rFonts w:ascii="Book Antiqua" w:eastAsia="宋体" w:hAnsi="Book Antiqua"/>
                <w:color w:val="000000" w:themeColor="text1"/>
                <w:lang w:eastAsia="zh-CN"/>
              </w:rPr>
            </w:pPr>
            <w:r w:rsidRPr="00B82E38">
              <w:rPr>
                <w:rFonts w:ascii="Book Antiqua" w:eastAsia="宋体" w:hAnsi="Book Antiqua"/>
                <w:color w:val="000000" w:themeColor="text1"/>
                <w:lang w:eastAsia="zh-CN"/>
              </w:rPr>
              <w:t>0.307</w:t>
            </w:r>
          </w:p>
        </w:tc>
      </w:tr>
      <w:tr w:rsidR="00B82E38" w:rsidRPr="00B82E38" w14:paraId="038B2C05" w14:textId="77777777" w:rsidTr="00D958FE">
        <w:trPr>
          <w:trHeight w:val="452"/>
        </w:trPr>
        <w:tc>
          <w:tcPr>
            <w:tcW w:w="2798" w:type="dxa"/>
            <w:shd w:val="clear" w:color="auto" w:fill="auto"/>
          </w:tcPr>
          <w:p w14:paraId="69C71D39" w14:textId="77777777" w:rsidR="00BA37FB" w:rsidRPr="00B82E38" w:rsidRDefault="008F363E" w:rsidP="00372A8C">
            <w:pPr>
              <w:widowControl/>
              <w:adjustRightInd w:val="0"/>
              <w:snapToGrid w:val="0"/>
              <w:spacing w:line="360" w:lineRule="auto"/>
              <w:rPr>
                <w:rFonts w:ascii="Book Antiqua" w:eastAsia="宋体" w:hAnsi="Book Antiqua"/>
                <w:color w:val="000000" w:themeColor="text1"/>
                <w:lang w:eastAsia="zh-CN"/>
              </w:rPr>
            </w:pPr>
            <w:r w:rsidRPr="00B82E38">
              <w:rPr>
                <w:rFonts w:ascii="Book Antiqua" w:eastAsia="宋体" w:hAnsi="Book Antiqua"/>
                <w:color w:val="000000" w:themeColor="text1"/>
                <w:lang w:eastAsia="zh-CN"/>
              </w:rPr>
              <w:t>Cut-off value</w:t>
            </w:r>
          </w:p>
        </w:tc>
        <w:tc>
          <w:tcPr>
            <w:tcW w:w="2504" w:type="dxa"/>
            <w:shd w:val="clear" w:color="auto" w:fill="auto"/>
          </w:tcPr>
          <w:p w14:paraId="16B915B6" w14:textId="77777777" w:rsidR="00BA37FB" w:rsidRPr="00B82E38" w:rsidRDefault="008F363E" w:rsidP="00372A8C">
            <w:pPr>
              <w:widowControl/>
              <w:adjustRightInd w:val="0"/>
              <w:snapToGrid w:val="0"/>
              <w:spacing w:line="360" w:lineRule="auto"/>
              <w:rPr>
                <w:rFonts w:ascii="Book Antiqua" w:eastAsia="宋体" w:hAnsi="Book Antiqua"/>
                <w:color w:val="000000" w:themeColor="text1"/>
                <w:lang w:eastAsia="zh-CN"/>
              </w:rPr>
            </w:pPr>
            <w:r w:rsidRPr="00B82E38">
              <w:rPr>
                <w:rFonts w:ascii="Book Antiqua" w:eastAsia="宋体" w:hAnsi="Book Antiqua"/>
                <w:color w:val="000000" w:themeColor="text1"/>
                <w:lang w:eastAsia="zh-CN"/>
              </w:rPr>
              <w:t>6</w:t>
            </w:r>
          </w:p>
        </w:tc>
        <w:tc>
          <w:tcPr>
            <w:tcW w:w="2169" w:type="dxa"/>
            <w:shd w:val="clear" w:color="auto" w:fill="auto"/>
          </w:tcPr>
          <w:p w14:paraId="5582A036" w14:textId="77777777" w:rsidR="00BA37FB" w:rsidRPr="00B82E38" w:rsidRDefault="008F363E" w:rsidP="00372A8C">
            <w:pPr>
              <w:widowControl/>
              <w:adjustRightInd w:val="0"/>
              <w:snapToGrid w:val="0"/>
              <w:spacing w:line="360" w:lineRule="auto"/>
              <w:rPr>
                <w:rFonts w:ascii="Book Antiqua" w:eastAsia="宋体" w:hAnsi="Book Antiqua"/>
                <w:color w:val="000000" w:themeColor="text1"/>
                <w:lang w:eastAsia="zh-CN"/>
              </w:rPr>
            </w:pPr>
            <w:r w:rsidRPr="00B82E38">
              <w:rPr>
                <w:rFonts w:ascii="Book Antiqua" w:eastAsia="宋体" w:hAnsi="Book Antiqua"/>
                <w:color w:val="000000" w:themeColor="text1"/>
                <w:lang w:eastAsia="zh-CN"/>
              </w:rPr>
              <w:t>7.5</w:t>
            </w:r>
          </w:p>
        </w:tc>
        <w:tc>
          <w:tcPr>
            <w:tcW w:w="2003" w:type="dxa"/>
            <w:shd w:val="clear" w:color="auto" w:fill="auto"/>
          </w:tcPr>
          <w:p w14:paraId="0F492132" w14:textId="77777777" w:rsidR="00BA37FB" w:rsidRPr="00B82E38" w:rsidRDefault="008F363E" w:rsidP="00372A8C">
            <w:pPr>
              <w:widowControl/>
              <w:adjustRightInd w:val="0"/>
              <w:snapToGrid w:val="0"/>
              <w:spacing w:line="360" w:lineRule="auto"/>
              <w:rPr>
                <w:rFonts w:ascii="Book Antiqua" w:eastAsia="宋体" w:hAnsi="Book Antiqua"/>
                <w:color w:val="000000" w:themeColor="text1"/>
                <w:lang w:eastAsia="zh-CN"/>
              </w:rPr>
            </w:pPr>
            <w:r w:rsidRPr="00B82E38">
              <w:rPr>
                <w:rFonts w:ascii="Book Antiqua" w:eastAsia="宋体" w:hAnsi="Book Antiqua"/>
                <w:color w:val="000000" w:themeColor="text1"/>
                <w:lang w:eastAsia="zh-CN"/>
              </w:rPr>
              <w:t>30</w:t>
            </w:r>
          </w:p>
        </w:tc>
      </w:tr>
      <w:tr w:rsidR="00B82E38" w:rsidRPr="00B82E38" w14:paraId="4CF36D1B" w14:textId="77777777" w:rsidTr="00D958FE">
        <w:trPr>
          <w:trHeight w:val="452"/>
        </w:trPr>
        <w:tc>
          <w:tcPr>
            <w:tcW w:w="2798" w:type="dxa"/>
            <w:shd w:val="clear" w:color="auto" w:fill="auto"/>
          </w:tcPr>
          <w:p w14:paraId="0D247FC8" w14:textId="77777777" w:rsidR="00BA37FB" w:rsidRPr="00B82E38" w:rsidRDefault="008F363E" w:rsidP="00372A8C">
            <w:pPr>
              <w:widowControl/>
              <w:adjustRightInd w:val="0"/>
              <w:snapToGrid w:val="0"/>
              <w:spacing w:line="360" w:lineRule="auto"/>
              <w:rPr>
                <w:rFonts w:ascii="Book Antiqua" w:eastAsia="宋体" w:hAnsi="Book Antiqua"/>
                <w:color w:val="000000" w:themeColor="text1"/>
                <w:lang w:eastAsia="zh-CN"/>
              </w:rPr>
            </w:pPr>
            <w:r w:rsidRPr="00B82E38">
              <w:rPr>
                <w:rFonts w:ascii="Book Antiqua" w:eastAsia="宋体" w:hAnsi="Book Antiqua"/>
                <w:color w:val="000000" w:themeColor="text1"/>
                <w:lang w:eastAsia="zh-CN"/>
              </w:rPr>
              <w:t>Sensitivity</w:t>
            </w:r>
          </w:p>
        </w:tc>
        <w:tc>
          <w:tcPr>
            <w:tcW w:w="2504" w:type="dxa"/>
            <w:shd w:val="clear" w:color="auto" w:fill="auto"/>
          </w:tcPr>
          <w:p w14:paraId="4C46C577" w14:textId="77777777" w:rsidR="00BA37FB" w:rsidRPr="00B82E38" w:rsidRDefault="008F363E" w:rsidP="00372A8C">
            <w:pPr>
              <w:widowControl/>
              <w:adjustRightInd w:val="0"/>
              <w:snapToGrid w:val="0"/>
              <w:spacing w:line="360" w:lineRule="auto"/>
              <w:rPr>
                <w:rFonts w:ascii="Book Antiqua" w:eastAsia="宋体" w:hAnsi="Book Antiqua"/>
                <w:color w:val="000000" w:themeColor="text1"/>
                <w:lang w:eastAsia="zh-CN"/>
              </w:rPr>
            </w:pPr>
            <w:r w:rsidRPr="00B82E38">
              <w:rPr>
                <w:rFonts w:ascii="Book Antiqua" w:eastAsia="宋体" w:hAnsi="Book Antiqua"/>
                <w:color w:val="000000" w:themeColor="text1"/>
                <w:lang w:eastAsia="zh-CN"/>
              </w:rPr>
              <w:t>78.2</w:t>
            </w:r>
          </w:p>
        </w:tc>
        <w:tc>
          <w:tcPr>
            <w:tcW w:w="2169" w:type="dxa"/>
            <w:shd w:val="clear" w:color="auto" w:fill="auto"/>
          </w:tcPr>
          <w:p w14:paraId="52124DB5" w14:textId="77777777" w:rsidR="00BA37FB" w:rsidRPr="00B82E38" w:rsidRDefault="008F363E" w:rsidP="00372A8C">
            <w:pPr>
              <w:widowControl/>
              <w:adjustRightInd w:val="0"/>
              <w:snapToGrid w:val="0"/>
              <w:spacing w:line="360" w:lineRule="auto"/>
              <w:rPr>
                <w:rFonts w:ascii="Book Antiqua" w:eastAsia="宋体" w:hAnsi="Book Antiqua"/>
                <w:color w:val="000000" w:themeColor="text1"/>
                <w:lang w:eastAsia="zh-CN"/>
              </w:rPr>
            </w:pPr>
            <w:r w:rsidRPr="00B82E38">
              <w:rPr>
                <w:rFonts w:ascii="Book Antiqua" w:eastAsia="宋体" w:hAnsi="Book Antiqua"/>
                <w:color w:val="000000" w:themeColor="text1"/>
                <w:lang w:eastAsia="zh-CN"/>
              </w:rPr>
              <w:t>60.87</w:t>
            </w:r>
          </w:p>
        </w:tc>
        <w:tc>
          <w:tcPr>
            <w:tcW w:w="2003" w:type="dxa"/>
            <w:shd w:val="clear" w:color="auto" w:fill="auto"/>
          </w:tcPr>
          <w:p w14:paraId="233BECAD" w14:textId="77777777" w:rsidR="00BA37FB" w:rsidRPr="00B82E38" w:rsidRDefault="008F363E" w:rsidP="00372A8C">
            <w:pPr>
              <w:widowControl/>
              <w:adjustRightInd w:val="0"/>
              <w:snapToGrid w:val="0"/>
              <w:spacing w:line="360" w:lineRule="auto"/>
              <w:rPr>
                <w:rFonts w:ascii="Book Antiqua" w:eastAsia="宋体" w:hAnsi="Book Antiqua"/>
                <w:color w:val="000000" w:themeColor="text1"/>
                <w:lang w:eastAsia="zh-CN"/>
              </w:rPr>
            </w:pPr>
            <w:r w:rsidRPr="00B82E38">
              <w:rPr>
                <w:rFonts w:ascii="Book Antiqua" w:eastAsia="宋体" w:hAnsi="Book Antiqua"/>
                <w:color w:val="000000" w:themeColor="text1"/>
                <w:lang w:eastAsia="zh-CN"/>
              </w:rPr>
              <w:t>86.96</w:t>
            </w:r>
          </w:p>
        </w:tc>
      </w:tr>
      <w:tr w:rsidR="00B82E38" w:rsidRPr="00B82E38" w14:paraId="7F59ECE2" w14:textId="77777777" w:rsidTr="00D958FE">
        <w:trPr>
          <w:trHeight w:val="452"/>
        </w:trPr>
        <w:tc>
          <w:tcPr>
            <w:tcW w:w="2798" w:type="dxa"/>
            <w:shd w:val="clear" w:color="auto" w:fill="auto"/>
          </w:tcPr>
          <w:p w14:paraId="31AD90DB" w14:textId="77777777" w:rsidR="00BA37FB" w:rsidRPr="00B82E38" w:rsidRDefault="008F363E" w:rsidP="00372A8C">
            <w:pPr>
              <w:widowControl/>
              <w:adjustRightInd w:val="0"/>
              <w:snapToGrid w:val="0"/>
              <w:spacing w:line="360" w:lineRule="auto"/>
              <w:rPr>
                <w:rFonts w:ascii="Book Antiqua" w:eastAsia="宋体" w:hAnsi="Book Antiqua"/>
                <w:color w:val="000000" w:themeColor="text1"/>
                <w:lang w:eastAsia="zh-CN"/>
              </w:rPr>
            </w:pPr>
            <w:r w:rsidRPr="00B82E38">
              <w:rPr>
                <w:rFonts w:ascii="Book Antiqua" w:eastAsia="宋体" w:hAnsi="Book Antiqua"/>
                <w:color w:val="000000" w:themeColor="text1"/>
                <w:lang w:eastAsia="zh-CN"/>
              </w:rPr>
              <w:t>Specificity</w:t>
            </w:r>
          </w:p>
        </w:tc>
        <w:tc>
          <w:tcPr>
            <w:tcW w:w="2504" w:type="dxa"/>
            <w:shd w:val="clear" w:color="auto" w:fill="auto"/>
          </w:tcPr>
          <w:p w14:paraId="6A9AF88C" w14:textId="77777777" w:rsidR="00BA37FB" w:rsidRPr="00B82E38" w:rsidRDefault="008F363E" w:rsidP="00372A8C">
            <w:pPr>
              <w:widowControl/>
              <w:adjustRightInd w:val="0"/>
              <w:snapToGrid w:val="0"/>
              <w:spacing w:line="360" w:lineRule="auto"/>
              <w:rPr>
                <w:rFonts w:ascii="Book Antiqua" w:eastAsia="宋体" w:hAnsi="Book Antiqua"/>
                <w:color w:val="000000" w:themeColor="text1"/>
                <w:lang w:eastAsia="zh-CN"/>
              </w:rPr>
            </w:pPr>
            <w:r w:rsidRPr="00B82E38">
              <w:rPr>
                <w:rFonts w:ascii="Book Antiqua" w:eastAsia="宋体" w:hAnsi="Book Antiqua"/>
                <w:color w:val="000000" w:themeColor="text1"/>
                <w:lang w:eastAsia="zh-CN"/>
              </w:rPr>
              <w:t>42.6</w:t>
            </w:r>
          </w:p>
        </w:tc>
        <w:tc>
          <w:tcPr>
            <w:tcW w:w="2169" w:type="dxa"/>
            <w:shd w:val="clear" w:color="auto" w:fill="auto"/>
          </w:tcPr>
          <w:p w14:paraId="563E0EA4" w14:textId="77777777" w:rsidR="00BA37FB" w:rsidRPr="00B82E38" w:rsidRDefault="008F363E" w:rsidP="00372A8C">
            <w:pPr>
              <w:widowControl/>
              <w:adjustRightInd w:val="0"/>
              <w:snapToGrid w:val="0"/>
              <w:spacing w:line="360" w:lineRule="auto"/>
              <w:rPr>
                <w:rFonts w:ascii="Book Antiqua" w:eastAsia="宋体" w:hAnsi="Book Antiqua"/>
                <w:color w:val="000000" w:themeColor="text1"/>
                <w:lang w:eastAsia="zh-CN"/>
              </w:rPr>
            </w:pPr>
            <w:r w:rsidRPr="00B82E38">
              <w:rPr>
                <w:rFonts w:ascii="Book Antiqua" w:eastAsia="宋体" w:hAnsi="Book Antiqua"/>
                <w:color w:val="000000" w:themeColor="text1"/>
                <w:lang w:eastAsia="zh-CN"/>
              </w:rPr>
              <w:t>66.07</w:t>
            </w:r>
          </w:p>
        </w:tc>
        <w:tc>
          <w:tcPr>
            <w:tcW w:w="2003" w:type="dxa"/>
            <w:shd w:val="clear" w:color="auto" w:fill="auto"/>
          </w:tcPr>
          <w:p w14:paraId="25C4861E" w14:textId="77777777" w:rsidR="00BA37FB" w:rsidRPr="00B82E38" w:rsidRDefault="008F363E" w:rsidP="00372A8C">
            <w:pPr>
              <w:widowControl/>
              <w:adjustRightInd w:val="0"/>
              <w:snapToGrid w:val="0"/>
              <w:spacing w:line="360" w:lineRule="auto"/>
              <w:rPr>
                <w:rFonts w:ascii="Book Antiqua" w:eastAsia="宋体" w:hAnsi="Book Antiqua"/>
                <w:color w:val="000000" w:themeColor="text1"/>
                <w:lang w:eastAsia="zh-CN"/>
              </w:rPr>
            </w:pPr>
            <w:r w:rsidRPr="00B82E38">
              <w:rPr>
                <w:rFonts w:ascii="Book Antiqua" w:eastAsia="宋体" w:hAnsi="Book Antiqua"/>
                <w:color w:val="000000" w:themeColor="text1"/>
                <w:lang w:eastAsia="zh-CN"/>
              </w:rPr>
              <w:t>43.75</w:t>
            </w:r>
          </w:p>
        </w:tc>
      </w:tr>
    </w:tbl>
    <w:p w14:paraId="37E19EF3" w14:textId="77777777" w:rsidR="00BA37FB" w:rsidRPr="00B82E38" w:rsidRDefault="008F363E" w:rsidP="00372A8C">
      <w:pPr>
        <w:spacing w:line="360" w:lineRule="auto"/>
        <w:jc w:val="both"/>
        <w:rPr>
          <w:rFonts w:ascii="Book Antiqua" w:hAnsi="Book Antiqua"/>
          <w:color w:val="000000" w:themeColor="text1"/>
          <w:vertAlign w:val="superscript"/>
        </w:rPr>
      </w:pPr>
      <w:proofErr w:type="spellStart"/>
      <w:r w:rsidRPr="00B82E38">
        <w:rPr>
          <w:rFonts w:ascii="Book Antiqua" w:hAnsi="Book Antiqua"/>
          <w:color w:val="000000" w:themeColor="text1"/>
          <w:vertAlign w:val="superscript"/>
          <w:lang w:eastAsia="zh-CN"/>
        </w:rPr>
        <w:t>b</w:t>
      </w:r>
      <w:r w:rsidRPr="00B82E38">
        <w:rPr>
          <w:rFonts w:ascii="Book Antiqua" w:hAnsi="Book Antiqua"/>
          <w:i/>
          <w:iCs/>
          <w:color w:val="000000" w:themeColor="text1"/>
          <w:lang w:eastAsia="zh-CN"/>
        </w:rPr>
        <w:t>P</w:t>
      </w:r>
      <w:proofErr w:type="spellEnd"/>
      <w:r w:rsidRPr="00B82E38">
        <w:rPr>
          <w:rFonts w:ascii="Book Antiqua" w:hAnsi="Book Antiqua"/>
          <w:color w:val="000000" w:themeColor="text1"/>
          <w:lang w:eastAsia="zh-CN"/>
        </w:rPr>
        <w:t xml:space="preserve"> &lt; 0.01. </w:t>
      </w:r>
      <w:r w:rsidRPr="00B82E38">
        <w:rPr>
          <w:rFonts w:ascii="Book Antiqua" w:hAnsi="Book Antiqua"/>
          <w:color w:val="000000" w:themeColor="text1"/>
        </w:rPr>
        <w:t>ICG: Indocyanine green; CPS: Child-Pugh score; MELD: Model for end-stage liver disease</w:t>
      </w:r>
      <w:r w:rsidRPr="00B82E38">
        <w:rPr>
          <w:rFonts w:ascii="Book Antiqua" w:hAnsi="Book Antiqua"/>
          <w:color w:val="000000" w:themeColor="text1"/>
          <w:lang w:eastAsia="zh-CN"/>
        </w:rPr>
        <w:t xml:space="preserve">; AUS: </w:t>
      </w:r>
      <w:r w:rsidRPr="00B82E38">
        <w:rPr>
          <w:rFonts w:ascii="Book Antiqua" w:eastAsia="Book Antiqua" w:hAnsi="Book Antiqua" w:cs="Book Antiqua"/>
          <w:color w:val="000000" w:themeColor="text1"/>
        </w:rPr>
        <w:t>Areas under the receiver operating characteristic curves.</w:t>
      </w:r>
    </w:p>
    <w:p w14:paraId="659BAC10" w14:textId="3693B502" w:rsidR="00BA37FB" w:rsidRPr="00B82E38" w:rsidRDefault="008F363E" w:rsidP="00372A8C">
      <w:pPr>
        <w:adjustRightInd w:val="0"/>
        <w:snapToGrid w:val="0"/>
        <w:spacing w:line="360" w:lineRule="auto"/>
        <w:jc w:val="both"/>
        <w:rPr>
          <w:rFonts w:ascii="Book Antiqua" w:eastAsia="宋体" w:hAnsi="Book Antiqua"/>
          <w:b/>
          <w:bCs/>
          <w:color w:val="000000" w:themeColor="text1"/>
        </w:rPr>
      </w:pPr>
      <w:r w:rsidRPr="00B82E38">
        <w:rPr>
          <w:rFonts w:ascii="Book Antiqua" w:hAnsi="Book Antiqua"/>
          <w:color w:val="000000" w:themeColor="text1"/>
        </w:rPr>
        <w:br w:type="page"/>
      </w:r>
      <w:r w:rsidRPr="00B82E38">
        <w:rPr>
          <w:rFonts w:ascii="Book Antiqua" w:eastAsia="宋体" w:hAnsi="Book Antiqua"/>
          <w:b/>
          <w:bCs/>
          <w:color w:val="000000" w:themeColor="text1"/>
          <w:lang w:eastAsia="zh-CN"/>
        </w:rPr>
        <w:lastRenderedPageBreak/>
        <w:t>Table 4</w:t>
      </w:r>
      <w:r w:rsidRPr="00B82E38">
        <w:rPr>
          <w:rFonts w:ascii="Book Antiqua" w:eastAsia="宋体" w:hAnsi="Book Antiqua"/>
          <w:color w:val="000000" w:themeColor="text1"/>
          <w:lang w:eastAsia="zh-CN"/>
        </w:rPr>
        <w:t xml:space="preserve"> </w:t>
      </w:r>
      <w:r w:rsidRPr="00B82E38">
        <w:rPr>
          <w:rFonts w:ascii="Book Antiqua" w:eastAsia="宋体" w:hAnsi="Book Antiqua"/>
          <w:b/>
          <w:bCs/>
          <w:color w:val="000000" w:themeColor="text1"/>
          <w:lang w:eastAsia="zh-CN"/>
        </w:rPr>
        <w:t>Characteristics of pat</w:t>
      </w:r>
      <w:r w:rsidRPr="00B82E38">
        <w:rPr>
          <w:rFonts w:ascii="Book Antiqua" w:eastAsia="宋体" w:hAnsi="Book Antiqua"/>
          <w:b/>
          <w:bCs/>
          <w:color w:val="000000" w:themeColor="text1"/>
          <w:lang w:eastAsia="zh-CN"/>
        </w:rPr>
        <w:t>ients</w:t>
      </w:r>
      <w:r w:rsidR="00422C74">
        <w:rPr>
          <w:rFonts w:ascii="Book Antiqua" w:eastAsia="宋体" w:hAnsi="Book Antiqua"/>
          <w:b/>
          <w:bCs/>
          <w:color w:val="000000" w:themeColor="text1"/>
          <w:lang w:eastAsia="zh-CN"/>
        </w:rPr>
        <w:t xml:space="preserve"> with an</w:t>
      </w:r>
      <w:r w:rsidRPr="00B82E38">
        <w:rPr>
          <w:rFonts w:ascii="Book Antiqua" w:eastAsia="宋体" w:hAnsi="Book Antiqua"/>
          <w:b/>
          <w:bCs/>
          <w:color w:val="000000" w:themeColor="text1"/>
          <w:lang w:eastAsia="zh-CN"/>
        </w:rPr>
        <w:t xml:space="preserve"> </w:t>
      </w:r>
      <w:proofErr w:type="spellStart"/>
      <w:r w:rsidRPr="00B82E38">
        <w:rPr>
          <w:rFonts w:ascii="Book Antiqua" w:hAnsi="Book Antiqua"/>
          <w:b/>
          <w:bCs/>
          <w:color w:val="000000" w:themeColor="text1"/>
        </w:rPr>
        <w:t>indocyanine</w:t>
      </w:r>
      <w:proofErr w:type="spellEnd"/>
      <w:r w:rsidRPr="00B82E38">
        <w:rPr>
          <w:rFonts w:ascii="Book Antiqua" w:hAnsi="Book Antiqua"/>
          <w:b/>
          <w:bCs/>
          <w:color w:val="000000" w:themeColor="text1"/>
        </w:rPr>
        <w:t xml:space="preserve"> green </w:t>
      </w:r>
      <w:proofErr w:type="spellStart"/>
      <w:r w:rsidRPr="00B82E38">
        <w:rPr>
          <w:rFonts w:ascii="Book Antiqua" w:hAnsi="Book Antiqua"/>
          <w:b/>
          <w:bCs/>
          <w:color w:val="000000" w:themeColor="text1"/>
        </w:rPr>
        <w:t>rentention</w:t>
      </w:r>
      <w:proofErr w:type="spellEnd"/>
      <w:r w:rsidRPr="00B82E38">
        <w:rPr>
          <w:rFonts w:ascii="Book Antiqua" w:hAnsi="Book Antiqua"/>
          <w:b/>
          <w:bCs/>
          <w:color w:val="000000" w:themeColor="text1"/>
        </w:rPr>
        <w:t xml:space="preserve"> rate at 15 min</w:t>
      </w:r>
      <w:r w:rsidRPr="00B82E38">
        <w:rPr>
          <w:rFonts w:ascii="Book Antiqua" w:eastAsia="宋体" w:hAnsi="Book Antiqua"/>
          <w:b/>
          <w:bCs/>
          <w:color w:val="000000" w:themeColor="text1"/>
          <w:lang w:eastAsia="zh-CN"/>
        </w:rPr>
        <w:t xml:space="preserve"> ≤ 30% and &gt; 30% </w:t>
      </w:r>
    </w:p>
    <w:tbl>
      <w:tblPr>
        <w:tblStyle w:val="a9"/>
        <w:tblW w:w="9554"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25"/>
        <w:gridCol w:w="2756"/>
        <w:gridCol w:w="2939"/>
        <w:gridCol w:w="1134"/>
      </w:tblGrid>
      <w:tr w:rsidR="00B82E38" w:rsidRPr="00B82E38" w14:paraId="582D4658" w14:textId="77777777" w:rsidTr="00D958FE">
        <w:trPr>
          <w:trHeight w:val="257"/>
          <w:jc w:val="center"/>
        </w:trPr>
        <w:tc>
          <w:tcPr>
            <w:tcW w:w="2725" w:type="dxa"/>
            <w:tcBorders>
              <w:top w:val="single" w:sz="4" w:space="0" w:color="auto"/>
              <w:bottom w:val="single" w:sz="4" w:space="0" w:color="auto"/>
            </w:tcBorders>
            <w:shd w:val="clear" w:color="auto" w:fill="auto"/>
          </w:tcPr>
          <w:p w14:paraId="2024CF36" w14:textId="5B93D8BA" w:rsidR="00BA37FB" w:rsidRPr="00B82E38" w:rsidRDefault="008F363E" w:rsidP="00372A8C">
            <w:pPr>
              <w:widowControl/>
              <w:adjustRightInd w:val="0"/>
              <w:snapToGrid w:val="0"/>
              <w:spacing w:line="360" w:lineRule="auto"/>
              <w:rPr>
                <w:rFonts w:ascii="Book Antiqua" w:eastAsia="宋体" w:hAnsi="Book Antiqua"/>
                <w:b/>
                <w:bCs/>
                <w:color w:val="000000" w:themeColor="text1"/>
                <w:lang w:eastAsia="zh-CN"/>
              </w:rPr>
            </w:pPr>
            <w:r w:rsidRPr="00B82E38">
              <w:rPr>
                <w:rFonts w:ascii="Book Antiqua" w:eastAsia="宋体" w:hAnsi="Book Antiqua"/>
                <w:b/>
                <w:bCs/>
                <w:color w:val="000000" w:themeColor="text1"/>
                <w:lang w:eastAsia="zh-CN"/>
              </w:rPr>
              <w:t>Characteristic</w:t>
            </w:r>
          </w:p>
        </w:tc>
        <w:tc>
          <w:tcPr>
            <w:tcW w:w="2756" w:type="dxa"/>
            <w:tcBorders>
              <w:top w:val="single" w:sz="4" w:space="0" w:color="auto"/>
              <w:bottom w:val="single" w:sz="4" w:space="0" w:color="auto"/>
            </w:tcBorders>
            <w:shd w:val="clear" w:color="auto" w:fill="auto"/>
          </w:tcPr>
          <w:p w14:paraId="3F2E0596" w14:textId="77777777" w:rsidR="00BA37FB" w:rsidRPr="00B82E38" w:rsidRDefault="008F363E" w:rsidP="00372A8C">
            <w:pPr>
              <w:widowControl/>
              <w:adjustRightInd w:val="0"/>
              <w:snapToGrid w:val="0"/>
              <w:spacing w:line="360" w:lineRule="auto"/>
              <w:rPr>
                <w:rFonts w:ascii="Book Antiqua" w:eastAsia="宋体" w:hAnsi="Book Antiqua"/>
                <w:b/>
                <w:bCs/>
                <w:color w:val="000000" w:themeColor="text1"/>
                <w:lang w:eastAsia="zh-CN"/>
              </w:rPr>
            </w:pPr>
            <w:r w:rsidRPr="00B82E38">
              <w:rPr>
                <w:rFonts w:ascii="Book Antiqua" w:eastAsia="宋体" w:hAnsi="Book Antiqua"/>
                <w:b/>
                <w:bCs/>
                <w:color w:val="000000" w:themeColor="text1"/>
                <w:lang w:eastAsia="zh-CN"/>
              </w:rPr>
              <w:t>ICG-R15 ≤ 30% (</w:t>
            </w:r>
            <w:r w:rsidRPr="00B82E38">
              <w:rPr>
                <w:rFonts w:ascii="Book Antiqua" w:eastAsia="宋体" w:hAnsi="Book Antiqua"/>
                <w:b/>
                <w:bCs/>
                <w:i/>
                <w:iCs/>
                <w:color w:val="000000" w:themeColor="text1"/>
                <w:lang w:eastAsia="zh-CN"/>
              </w:rPr>
              <w:t>n</w:t>
            </w:r>
            <w:r w:rsidRPr="00B82E38">
              <w:rPr>
                <w:rFonts w:ascii="Book Antiqua" w:eastAsia="宋体" w:hAnsi="Book Antiqua"/>
                <w:b/>
                <w:bCs/>
                <w:color w:val="000000" w:themeColor="text1"/>
                <w:lang w:eastAsia="zh-CN"/>
              </w:rPr>
              <w:t xml:space="preserve"> = 69)</w:t>
            </w:r>
          </w:p>
        </w:tc>
        <w:tc>
          <w:tcPr>
            <w:tcW w:w="2939" w:type="dxa"/>
            <w:tcBorders>
              <w:top w:val="single" w:sz="4" w:space="0" w:color="auto"/>
              <w:bottom w:val="single" w:sz="4" w:space="0" w:color="auto"/>
            </w:tcBorders>
            <w:shd w:val="clear" w:color="auto" w:fill="auto"/>
          </w:tcPr>
          <w:p w14:paraId="63992375" w14:textId="77777777" w:rsidR="00BA37FB" w:rsidRPr="00B82E38" w:rsidRDefault="008F363E" w:rsidP="00372A8C">
            <w:pPr>
              <w:widowControl/>
              <w:adjustRightInd w:val="0"/>
              <w:snapToGrid w:val="0"/>
              <w:spacing w:line="360" w:lineRule="auto"/>
              <w:rPr>
                <w:rFonts w:ascii="Book Antiqua" w:eastAsia="宋体" w:hAnsi="Book Antiqua"/>
                <w:b/>
                <w:bCs/>
                <w:color w:val="000000" w:themeColor="text1"/>
                <w:lang w:eastAsia="zh-CN"/>
              </w:rPr>
            </w:pPr>
            <w:r w:rsidRPr="00B82E38">
              <w:rPr>
                <w:rFonts w:ascii="Book Antiqua" w:eastAsia="宋体" w:hAnsi="Book Antiqua"/>
                <w:b/>
                <w:bCs/>
                <w:color w:val="000000" w:themeColor="text1"/>
                <w:lang w:eastAsia="zh-CN"/>
              </w:rPr>
              <w:t>ICG-R15 &gt; 30% (</w:t>
            </w:r>
            <w:r w:rsidRPr="00B82E38">
              <w:rPr>
                <w:rFonts w:ascii="Book Antiqua" w:eastAsia="宋体" w:hAnsi="Book Antiqua"/>
                <w:b/>
                <w:bCs/>
                <w:i/>
                <w:iCs/>
                <w:color w:val="000000" w:themeColor="text1"/>
                <w:lang w:eastAsia="zh-CN"/>
              </w:rPr>
              <w:t>n</w:t>
            </w:r>
            <w:r w:rsidRPr="00B82E38">
              <w:rPr>
                <w:rFonts w:ascii="Book Antiqua" w:eastAsia="宋体" w:hAnsi="Book Antiqua"/>
                <w:b/>
                <w:bCs/>
                <w:color w:val="000000" w:themeColor="text1"/>
                <w:lang w:eastAsia="zh-CN"/>
              </w:rPr>
              <w:t xml:space="preserve"> = 126)</w:t>
            </w:r>
          </w:p>
        </w:tc>
        <w:tc>
          <w:tcPr>
            <w:tcW w:w="1134" w:type="dxa"/>
            <w:tcBorders>
              <w:top w:val="single" w:sz="4" w:space="0" w:color="auto"/>
              <w:bottom w:val="single" w:sz="4" w:space="0" w:color="auto"/>
            </w:tcBorders>
            <w:shd w:val="clear" w:color="auto" w:fill="auto"/>
          </w:tcPr>
          <w:p w14:paraId="04F222CA" w14:textId="77777777" w:rsidR="00BA37FB" w:rsidRPr="00B82E38" w:rsidRDefault="008F363E" w:rsidP="00372A8C">
            <w:pPr>
              <w:widowControl/>
              <w:adjustRightInd w:val="0"/>
              <w:snapToGrid w:val="0"/>
              <w:spacing w:line="360" w:lineRule="auto"/>
              <w:rPr>
                <w:rFonts w:ascii="Book Antiqua" w:eastAsia="宋体" w:hAnsi="Book Antiqua"/>
                <w:b/>
                <w:bCs/>
                <w:color w:val="000000" w:themeColor="text1"/>
                <w:lang w:eastAsia="zh-CN"/>
              </w:rPr>
            </w:pPr>
            <w:r w:rsidRPr="00B82E38">
              <w:rPr>
                <w:rFonts w:ascii="Book Antiqua" w:eastAsia="宋体" w:hAnsi="Book Antiqua"/>
                <w:b/>
                <w:bCs/>
                <w:i/>
                <w:iCs/>
                <w:color w:val="000000" w:themeColor="text1"/>
                <w:lang w:eastAsia="zh-CN"/>
              </w:rPr>
              <w:t>P</w:t>
            </w:r>
            <w:r w:rsidRPr="00B82E38">
              <w:rPr>
                <w:rFonts w:ascii="Book Antiqua" w:eastAsia="宋体" w:hAnsi="Book Antiqua"/>
                <w:b/>
                <w:bCs/>
                <w:color w:val="000000" w:themeColor="text1"/>
                <w:lang w:eastAsia="zh-CN"/>
              </w:rPr>
              <w:t xml:space="preserve"> value</w:t>
            </w:r>
          </w:p>
        </w:tc>
      </w:tr>
      <w:tr w:rsidR="00B82E38" w:rsidRPr="00B82E38" w14:paraId="3AFD954D" w14:textId="77777777" w:rsidTr="00D958FE">
        <w:trPr>
          <w:trHeight w:val="353"/>
          <w:jc w:val="center"/>
        </w:trPr>
        <w:tc>
          <w:tcPr>
            <w:tcW w:w="2725" w:type="dxa"/>
            <w:tcBorders>
              <w:top w:val="single" w:sz="4" w:space="0" w:color="auto"/>
            </w:tcBorders>
            <w:shd w:val="clear" w:color="auto" w:fill="auto"/>
          </w:tcPr>
          <w:p w14:paraId="5BF08931" w14:textId="77777777" w:rsidR="00BA37FB" w:rsidRPr="00B82E38" w:rsidRDefault="008F363E" w:rsidP="00372A8C">
            <w:pPr>
              <w:widowControl/>
              <w:adjustRightInd w:val="0"/>
              <w:snapToGrid w:val="0"/>
              <w:spacing w:line="360" w:lineRule="auto"/>
              <w:rPr>
                <w:rFonts w:ascii="Book Antiqua" w:eastAsia="宋体" w:hAnsi="Book Antiqua"/>
                <w:color w:val="000000" w:themeColor="text1"/>
                <w:lang w:eastAsia="zh-CN"/>
              </w:rPr>
            </w:pPr>
            <w:r w:rsidRPr="00B82E38">
              <w:rPr>
                <w:rFonts w:ascii="Book Antiqua" w:eastAsia="宋体" w:hAnsi="Book Antiqua"/>
                <w:color w:val="000000" w:themeColor="text1"/>
                <w:lang w:eastAsia="zh-CN"/>
              </w:rPr>
              <w:t>HE/non HE</w:t>
            </w:r>
            <w:r w:rsidRPr="00B82E38">
              <w:rPr>
                <w:rFonts w:ascii="Book Antiqua" w:eastAsia="宋体" w:hAnsi="Book Antiqua"/>
                <w:color w:val="000000" w:themeColor="text1"/>
                <w:vertAlign w:val="superscript"/>
                <w:lang w:eastAsia="zh-CN"/>
              </w:rPr>
              <w:t>1</w:t>
            </w:r>
          </w:p>
        </w:tc>
        <w:tc>
          <w:tcPr>
            <w:tcW w:w="2756" w:type="dxa"/>
            <w:tcBorders>
              <w:top w:val="single" w:sz="4" w:space="0" w:color="auto"/>
            </w:tcBorders>
            <w:shd w:val="clear" w:color="auto" w:fill="auto"/>
          </w:tcPr>
          <w:p w14:paraId="35CBF3DE" w14:textId="77777777" w:rsidR="00BA37FB" w:rsidRPr="00B82E38" w:rsidRDefault="008F363E" w:rsidP="00372A8C">
            <w:pPr>
              <w:widowControl/>
              <w:adjustRightInd w:val="0"/>
              <w:snapToGrid w:val="0"/>
              <w:spacing w:line="360" w:lineRule="auto"/>
              <w:rPr>
                <w:rFonts w:ascii="Book Antiqua" w:eastAsia="宋体" w:hAnsi="Book Antiqua"/>
                <w:color w:val="000000" w:themeColor="text1"/>
                <w:lang w:eastAsia="zh-CN"/>
              </w:rPr>
            </w:pPr>
            <w:r w:rsidRPr="00B82E38">
              <w:rPr>
                <w:rFonts w:ascii="Book Antiqua" w:eastAsia="宋体" w:hAnsi="Book Antiqua"/>
                <w:color w:val="000000" w:themeColor="text1"/>
                <w:lang w:eastAsia="zh-CN"/>
              </w:rPr>
              <w:t>9 (13%)/60</w:t>
            </w:r>
          </w:p>
        </w:tc>
        <w:tc>
          <w:tcPr>
            <w:tcW w:w="2939" w:type="dxa"/>
            <w:tcBorders>
              <w:top w:val="single" w:sz="4" w:space="0" w:color="auto"/>
            </w:tcBorders>
            <w:shd w:val="clear" w:color="auto" w:fill="auto"/>
          </w:tcPr>
          <w:p w14:paraId="6C576808" w14:textId="77777777" w:rsidR="00BA37FB" w:rsidRPr="00B82E38" w:rsidRDefault="008F363E" w:rsidP="00372A8C">
            <w:pPr>
              <w:widowControl/>
              <w:adjustRightInd w:val="0"/>
              <w:snapToGrid w:val="0"/>
              <w:spacing w:line="360" w:lineRule="auto"/>
              <w:rPr>
                <w:rFonts w:ascii="Book Antiqua" w:eastAsia="宋体" w:hAnsi="Book Antiqua"/>
                <w:color w:val="000000" w:themeColor="text1"/>
                <w:lang w:eastAsia="zh-CN"/>
              </w:rPr>
            </w:pPr>
            <w:r w:rsidRPr="00B82E38">
              <w:rPr>
                <w:rFonts w:ascii="Book Antiqua" w:eastAsia="宋体" w:hAnsi="Book Antiqua"/>
                <w:color w:val="000000" w:themeColor="text1"/>
                <w:lang w:eastAsia="zh-CN"/>
              </w:rPr>
              <w:t>36 (28.5%)/90</w:t>
            </w:r>
          </w:p>
        </w:tc>
        <w:tc>
          <w:tcPr>
            <w:tcW w:w="1134" w:type="dxa"/>
            <w:tcBorders>
              <w:top w:val="single" w:sz="4" w:space="0" w:color="auto"/>
            </w:tcBorders>
            <w:shd w:val="clear" w:color="auto" w:fill="auto"/>
          </w:tcPr>
          <w:p w14:paraId="703EF9AF" w14:textId="77777777" w:rsidR="00BA37FB" w:rsidRPr="00B82E38" w:rsidRDefault="008F363E" w:rsidP="00372A8C">
            <w:pPr>
              <w:widowControl/>
              <w:adjustRightInd w:val="0"/>
              <w:snapToGrid w:val="0"/>
              <w:spacing w:line="360" w:lineRule="auto"/>
              <w:rPr>
                <w:rFonts w:ascii="Book Antiqua" w:eastAsia="宋体" w:hAnsi="Book Antiqua"/>
                <w:color w:val="000000" w:themeColor="text1"/>
                <w:lang w:eastAsia="zh-CN"/>
              </w:rPr>
            </w:pPr>
            <w:r w:rsidRPr="00B82E38">
              <w:rPr>
                <w:rFonts w:ascii="Book Antiqua" w:eastAsia="宋体" w:hAnsi="Book Antiqua"/>
                <w:color w:val="000000" w:themeColor="text1"/>
                <w:lang w:eastAsia="zh-CN"/>
              </w:rPr>
              <w:t>0.014</w:t>
            </w:r>
            <w:r w:rsidRPr="00B82E38">
              <w:rPr>
                <w:rFonts w:ascii="Book Antiqua" w:eastAsia="宋体" w:hAnsi="Book Antiqua"/>
                <w:color w:val="000000" w:themeColor="text1"/>
                <w:vertAlign w:val="superscript"/>
                <w:lang w:eastAsia="zh-CN"/>
              </w:rPr>
              <w:t>a</w:t>
            </w:r>
          </w:p>
        </w:tc>
      </w:tr>
      <w:tr w:rsidR="00B82E38" w:rsidRPr="00B82E38" w14:paraId="77A2E269" w14:textId="77777777" w:rsidTr="00D958FE">
        <w:trPr>
          <w:trHeight w:val="268"/>
          <w:jc w:val="center"/>
        </w:trPr>
        <w:tc>
          <w:tcPr>
            <w:tcW w:w="2725" w:type="dxa"/>
            <w:shd w:val="clear" w:color="auto" w:fill="auto"/>
          </w:tcPr>
          <w:p w14:paraId="2D558603" w14:textId="00BA7726" w:rsidR="00BA37FB" w:rsidRPr="00B82E38" w:rsidRDefault="00572562" w:rsidP="00372A8C">
            <w:pPr>
              <w:widowControl/>
              <w:adjustRightInd w:val="0"/>
              <w:snapToGrid w:val="0"/>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Age (</w:t>
            </w:r>
            <w:proofErr w:type="spellStart"/>
            <w:r>
              <w:rPr>
                <w:rFonts w:ascii="Book Antiqua" w:eastAsia="宋体" w:hAnsi="Book Antiqua"/>
                <w:color w:val="000000" w:themeColor="text1"/>
                <w:lang w:eastAsia="zh-CN"/>
              </w:rPr>
              <w:t>yr</w:t>
            </w:r>
            <w:proofErr w:type="spellEnd"/>
            <w:r w:rsidR="008F363E" w:rsidRPr="00B82E38">
              <w:rPr>
                <w:rFonts w:ascii="Book Antiqua" w:eastAsia="宋体" w:hAnsi="Book Antiqua"/>
                <w:color w:val="000000" w:themeColor="text1"/>
                <w:lang w:eastAsia="zh-CN"/>
              </w:rPr>
              <w:t>)</w:t>
            </w:r>
            <w:r w:rsidR="008F363E" w:rsidRPr="00B82E38">
              <w:rPr>
                <w:rFonts w:ascii="Book Antiqua" w:eastAsia="宋体" w:hAnsi="Book Antiqua"/>
                <w:color w:val="000000" w:themeColor="text1"/>
                <w:vertAlign w:val="superscript"/>
                <w:lang w:eastAsia="zh-CN"/>
              </w:rPr>
              <w:t>2</w:t>
            </w:r>
          </w:p>
        </w:tc>
        <w:tc>
          <w:tcPr>
            <w:tcW w:w="2756" w:type="dxa"/>
            <w:shd w:val="clear" w:color="auto" w:fill="auto"/>
            <w:vAlign w:val="center"/>
          </w:tcPr>
          <w:p w14:paraId="4502EF2A" w14:textId="77777777" w:rsidR="00BA37FB" w:rsidRPr="00B82E38" w:rsidRDefault="008F363E" w:rsidP="00372A8C">
            <w:pPr>
              <w:widowControl/>
              <w:adjustRightInd w:val="0"/>
              <w:snapToGrid w:val="0"/>
              <w:spacing w:line="360" w:lineRule="auto"/>
              <w:rPr>
                <w:rFonts w:ascii="Book Antiqua" w:eastAsia="宋体" w:hAnsi="Book Antiqua"/>
                <w:color w:val="000000" w:themeColor="text1"/>
                <w:lang w:eastAsia="zh-CN"/>
              </w:rPr>
            </w:pPr>
            <w:r w:rsidRPr="00B82E38">
              <w:rPr>
                <w:rFonts w:ascii="Book Antiqua" w:eastAsia="宋体" w:hAnsi="Book Antiqua"/>
                <w:color w:val="000000" w:themeColor="text1"/>
                <w:lang w:eastAsia="zh-CN"/>
              </w:rPr>
              <w:t>48.3 ± 11.6</w:t>
            </w:r>
          </w:p>
        </w:tc>
        <w:tc>
          <w:tcPr>
            <w:tcW w:w="2939" w:type="dxa"/>
            <w:shd w:val="clear" w:color="auto" w:fill="auto"/>
            <w:vAlign w:val="center"/>
          </w:tcPr>
          <w:p w14:paraId="1C9E0270" w14:textId="77777777" w:rsidR="00BA37FB" w:rsidRPr="00B82E38" w:rsidRDefault="008F363E" w:rsidP="00372A8C">
            <w:pPr>
              <w:widowControl/>
              <w:adjustRightInd w:val="0"/>
              <w:snapToGrid w:val="0"/>
              <w:spacing w:line="360" w:lineRule="auto"/>
              <w:rPr>
                <w:rFonts w:ascii="Book Antiqua" w:eastAsia="宋体" w:hAnsi="Book Antiqua"/>
                <w:color w:val="000000" w:themeColor="text1"/>
                <w:lang w:eastAsia="zh-CN"/>
              </w:rPr>
            </w:pPr>
            <w:r w:rsidRPr="00B82E38">
              <w:rPr>
                <w:rFonts w:ascii="Book Antiqua" w:eastAsia="宋体" w:hAnsi="Book Antiqua"/>
                <w:color w:val="000000" w:themeColor="text1"/>
                <w:lang w:eastAsia="zh-CN"/>
              </w:rPr>
              <w:t>52.9 ± 14.1</w:t>
            </w:r>
          </w:p>
        </w:tc>
        <w:tc>
          <w:tcPr>
            <w:tcW w:w="1134" w:type="dxa"/>
            <w:shd w:val="clear" w:color="auto" w:fill="auto"/>
            <w:vAlign w:val="center"/>
          </w:tcPr>
          <w:p w14:paraId="74D056E7" w14:textId="77777777" w:rsidR="00BA37FB" w:rsidRPr="00B82E38" w:rsidRDefault="008F363E" w:rsidP="00372A8C">
            <w:pPr>
              <w:widowControl/>
              <w:adjustRightInd w:val="0"/>
              <w:snapToGrid w:val="0"/>
              <w:spacing w:line="360" w:lineRule="auto"/>
              <w:rPr>
                <w:rFonts w:ascii="Book Antiqua" w:eastAsia="宋体" w:hAnsi="Book Antiqua"/>
                <w:color w:val="000000" w:themeColor="text1"/>
                <w:lang w:eastAsia="zh-CN"/>
              </w:rPr>
            </w:pPr>
            <w:r w:rsidRPr="00B82E38">
              <w:rPr>
                <w:rFonts w:ascii="Book Antiqua" w:eastAsia="宋体" w:hAnsi="Book Antiqua"/>
                <w:color w:val="000000" w:themeColor="text1"/>
                <w:lang w:eastAsia="zh-CN"/>
              </w:rPr>
              <w:t>0.033</w:t>
            </w:r>
            <w:r w:rsidRPr="00B82E38">
              <w:rPr>
                <w:rFonts w:ascii="Book Antiqua" w:eastAsia="宋体" w:hAnsi="Book Antiqua"/>
                <w:color w:val="000000" w:themeColor="text1"/>
                <w:vertAlign w:val="superscript"/>
                <w:lang w:eastAsia="zh-CN"/>
              </w:rPr>
              <w:t>a</w:t>
            </w:r>
          </w:p>
        </w:tc>
      </w:tr>
      <w:tr w:rsidR="00B82E38" w:rsidRPr="00B82E38" w14:paraId="00559D6C" w14:textId="77777777" w:rsidTr="00D958FE">
        <w:trPr>
          <w:trHeight w:val="232"/>
          <w:jc w:val="center"/>
        </w:trPr>
        <w:tc>
          <w:tcPr>
            <w:tcW w:w="2725" w:type="dxa"/>
            <w:shd w:val="clear" w:color="auto" w:fill="auto"/>
          </w:tcPr>
          <w:p w14:paraId="3ED4D825" w14:textId="77777777" w:rsidR="00BA37FB" w:rsidRPr="00B82E38" w:rsidRDefault="008F363E" w:rsidP="00372A8C">
            <w:pPr>
              <w:widowControl/>
              <w:adjustRightInd w:val="0"/>
              <w:snapToGrid w:val="0"/>
              <w:spacing w:line="360" w:lineRule="auto"/>
              <w:rPr>
                <w:rFonts w:ascii="Book Antiqua" w:eastAsia="宋体" w:hAnsi="Book Antiqua"/>
                <w:color w:val="000000" w:themeColor="text1"/>
                <w:lang w:eastAsia="zh-CN"/>
              </w:rPr>
            </w:pPr>
            <w:r w:rsidRPr="00B82E38">
              <w:rPr>
                <w:rFonts w:ascii="Book Antiqua" w:eastAsia="宋体" w:hAnsi="Book Antiqua"/>
                <w:color w:val="000000" w:themeColor="text1"/>
                <w:lang w:eastAsia="zh-CN"/>
              </w:rPr>
              <w:t>Child-Pugh score</w:t>
            </w:r>
            <w:r w:rsidRPr="00B82E38">
              <w:rPr>
                <w:rFonts w:ascii="Book Antiqua" w:eastAsia="宋体" w:hAnsi="Book Antiqua"/>
                <w:color w:val="000000" w:themeColor="text1"/>
                <w:vertAlign w:val="superscript"/>
                <w:lang w:eastAsia="zh-CN"/>
              </w:rPr>
              <w:t>2</w:t>
            </w:r>
          </w:p>
        </w:tc>
        <w:tc>
          <w:tcPr>
            <w:tcW w:w="2756" w:type="dxa"/>
            <w:shd w:val="clear" w:color="auto" w:fill="auto"/>
            <w:vAlign w:val="center"/>
          </w:tcPr>
          <w:p w14:paraId="0674E2FB" w14:textId="77777777" w:rsidR="00BA37FB" w:rsidRPr="00B82E38" w:rsidRDefault="008F363E" w:rsidP="00372A8C">
            <w:pPr>
              <w:widowControl/>
              <w:adjustRightInd w:val="0"/>
              <w:snapToGrid w:val="0"/>
              <w:spacing w:line="360" w:lineRule="auto"/>
              <w:rPr>
                <w:rFonts w:ascii="Book Antiqua" w:eastAsia="宋体" w:hAnsi="Book Antiqua"/>
                <w:color w:val="000000" w:themeColor="text1"/>
                <w:lang w:eastAsia="zh-CN"/>
              </w:rPr>
            </w:pPr>
            <w:r w:rsidRPr="00B82E38">
              <w:rPr>
                <w:rFonts w:ascii="Book Antiqua" w:eastAsia="宋体" w:hAnsi="Book Antiqua"/>
                <w:color w:val="000000" w:themeColor="text1"/>
                <w:lang w:eastAsia="zh-CN"/>
              </w:rPr>
              <w:t>6.3 ± 1.2</w:t>
            </w:r>
          </w:p>
        </w:tc>
        <w:tc>
          <w:tcPr>
            <w:tcW w:w="2939" w:type="dxa"/>
            <w:shd w:val="clear" w:color="auto" w:fill="auto"/>
            <w:vAlign w:val="center"/>
          </w:tcPr>
          <w:p w14:paraId="4D345B00" w14:textId="77777777" w:rsidR="00BA37FB" w:rsidRPr="00B82E38" w:rsidRDefault="008F363E" w:rsidP="00372A8C">
            <w:pPr>
              <w:widowControl/>
              <w:adjustRightInd w:val="0"/>
              <w:snapToGrid w:val="0"/>
              <w:spacing w:line="360" w:lineRule="auto"/>
              <w:rPr>
                <w:rFonts w:ascii="Book Antiqua" w:eastAsia="宋体" w:hAnsi="Book Antiqua"/>
                <w:color w:val="000000" w:themeColor="text1"/>
                <w:lang w:eastAsia="zh-CN"/>
              </w:rPr>
            </w:pPr>
            <w:r w:rsidRPr="00B82E38">
              <w:rPr>
                <w:rFonts w:ascii="Book Antiqua" w:eastAsia="宋体" w:hAnsi="Book Antiqua"/>
                <w:color w:val="000000" w:themeColor="text1"/>
                <w:lang w:eastAsia="zh-CN"/>
              </w:rPr>
              <w:t>7.6 ± 1.6</w:t>
            </w:r>
          </w:p>
        </w:tc>
        <w:tc>
          <w:tcPr>
            <w:tcW w:w="1134" w:type="dxa"/>
            <w:shd w:val="clear" w:color="auto" w:fill="auto"/>
            <w:vAlign w:val="center"/>
          </w:tcPr>
          <w:p w14:paraId="6C93E218" w14:textId="77777777" w:rsidR="00BA37FB" w:rsidRPr="00B82E38" w:rsidRDefault="008F363E" w:rsidP="00372A8C">
            <w:pPr>
              <w:widowControl/>
              <w:adjustRightInd w:val="0"/>
              <w:snapToGrid w:val="0"/>
              <w:spacing w:line="360" w:lineRule="auto"/>
              <w:rPr>
                <w:rFonts w:ascii="Book Antiqua" w:eastAsia="宋体" w:hAnsi="Book Antiqua"/>
                <w:color w:val="000000" w:themeColor="text1"/>
                <w:lang w:eastAsia="zh-CN"/>
              </w:rPr>
            </w:pPr>
            <w:r w:rsidRPr="00B82E38">
              <w:rPr>
                <w:rFonts w:ascii="Book Antiqua" w:eastAsia="宋体" w:hAnsi="Book Antiqua"/>
                <w:color w:val="000000" w:themeColor="text1"/>
                <w:lang w:eastAsia="zh-CN"/>
              </w:rPr>
              <w:t>&lt; 0.001</w:t>
            </w:r>
            <w:r w:rsidRPr="00B82E38">
              <w:rPr>
                <w:rFonts w:ascii="Book Antiqua" w:eastAsia="宋体" w:hAnsi="Book Antiqua"/>
                <w:color w:val="000000" w:themeColor="text1"/>
                <w:vertAlign w:val="superscript"/>
                <w:lang w:eastAsia="zh-CN"/>
              </w:rPr>
              <w:t>c</w:t>
            </w:r>
          </w:p>
        </w:tc>
      </w:tr>
      <w:tr w:rsidR="00B82E38" w:rsidRPr="00B82E38" w14:paraId="2EAA5259" w14:textId="77777777" w:rsidTr="00D958FE">
        <w:trPr>
          <w:trHeight w:val="232"/>
          <w:jc w:val="center"/>
        </w:trPr>
        <w:tc>
          <w:tcPr>
            <w:tcW w:w="2725" w:type="dxa"/>
            <w:shd w:val="clear" w:color="auto" w:fill="auto"/>
          </w:tcPr>
          <w:p w14:paraId="6F84DE85" w14:textId="77777777" w:rsidR="00BA37FB" w:rsidRPr="00B82E38" w:rsidRDefault="008F363E" w:rsidP="00372A8C">
            <w:pPr>
              <w:widowControl/>
              <w:adjustRightInd w:val="0"/>
              <w:snapToGrid w:val="0"/>
              <w:spacing w:line="360" w:lineRule="auto"/>
              <w:rPr>
                <w:rFonts w:ascii="Book Antiqua" w:eastAsia="宋体" w:hAnsi="Book Antiqua"/>
                <w:color w:val="000000" w:themeColor="text1"/>
                <w:lang w:eastAsia="zh-CN"/>
              </w:rPr>
            </w:pPr>
            <w:r w:rsidRPr="00B82E38">
              <w:rPr>
                <w:rFonts w:ascii="Book Antiqua" w:eastAsia="宋体" w:hAnsi="Book Antiqua"/>
                <w:color w:val="000000" w:themeColor="text1"/>
                <w:lang w:eastAsia="zh-CN"/>
              </w:rPr>
              <w:t>Preoperative PPG, mmHg</w:t>
            </w:r>
            <w:r w:rsidRPr="00B82E38">
              <w:rPr>
                <w:rFonts w:ascii="Book Antiqua" w:eastAsia="宋体" w:hAnsi="Book Antiqua"/>
                <w:color w:val="000000" w:themeColor="text1"/>
                <w:vertAlign w:val="superscript"/>
                <w:lang w:eastAsia="zh-CN"/>
              </w:rPr>
              <w:t>3</w:t>
            </w:r>
          </w:p>
        </w:tc>
        <w:tc>
          <w:tcPr>
            <w:tcW w:w="2756" w:type="dxa"/>
            <w:shd w:val="clear" w:color="auto" w:fill="auto"/>
            <w:vAlign w:val="center"/>
          </w:tcPr>
          <w:p w14:paraId="57598D8D" w14:textId="77777777" w:rsidR="00BA37FB" w:rsidRPr="00B82E38" w:rsidRDefault="008F363E" w:rsidP="00372A8C">
            <w:pPr>
              <w:widowControl/>
              <w:adjustRightInd w:val="0"/>
              <w:snapToGrid w:val="0"/>
              <w:spacing w:line="360" w:lineRule="auto"/>
              <w:rPr>
                <w:rFonts w:ascii="Book Antiqua" w:eastAsia="宋体" w:hAnsi="Book Antiqua"/>
                <w:color w:val="000000" w:themeColor="text1"/>
                <w:lang w:eastAsia="zh-CN"/>
              </w:rPr>
            </w:pPr>
            <w:r w:rsidRPr="00B82E38">
              <w:rPr>
                <w:rFonts w:ascii="Book Antiqua" w:eastAsia="宋体" w:hAnsi="Book Antiqua"/>
                <w:color w:val="000000" w:themeColor="text1"/>
                <w:lang w:eastAsia="zh-CN"/>
              </w:rPr>
              <w:t>15.6 (11, 18)</w:t>
            </w:r>
          </w:p>
        </w:tc>
        <w:tc>
          <w:tcPr>
            <w:tcW w:w="2939" w:type="dxa"/>
            <w:shd w:val="clear" w:color="auto" w:fill="auto"/>
            <w:vAlign w:val="center"/>
          </w:tcPr>
          <w:p w14:paraId="21983E67" w14:textId="77777777" w:rsidR="00BA37FB" w:rsidRPr="00B82E38" w:rsidRDefault="008F363E" w:rsidP="00372A8C">
            <w:pPr>
              <w:widowControl/>
              <w:adjustRightInd w:val="0"/>
              <w:snapToGrid w:val="0"/>
              <w:spacing w:line="360" w:lineRule="auto"/>
              <w:rPr>
                <w:rFonts w:ascii="Book Antiqua" w:eastAsia="宋体" w:hAnsi="Book Antiqua"/>
                <w:color w:val="000000" w:themeColor="text1"/>
                <w:lang w:eastAsia="zh-CN"/>
              </w:rPr>
            </w:pPr>
            <w:r w:rsidRPr="00B82E38">
              <w:rPr>
                <w:rFonts w:ascii="Book Antiqua" w:eastAsia="宋体" w:hAnsi="Book Antiqua"/>
                <w:color w:val="000000" w:themeColor="text1"/>
                <w:lang w:eastAsia="zh-CN"/>
              </w:rPr>
              <w:t>18 (16, 24)</w:t>
            </w:r>
          </w:p>
        </w:tc>
        <w:tc>
          <w:tcPr>
            <w:tcW w:w="1134" w:type="dxa"/>
            <w:shd w:val="clear" w:color="auto" w:fill="auto"/>
            <w:vAlign w:val="center"/>
          </w:tcPr>
          <w:p w14:paraId="689EC9A3" w14:textId="77777777" w:rsidR="00BA37FB" w:rsidRPr="00B82E38" w:rsidRDefault="008F363E" w:rsidP="00372A8C">
            <w:pPr>
              <w:widowControl/>
              <w:adjustRightInd w:val="0"/>
              <w:snapToGrid w:val="0"/>
              <w:spacing w:line="360" w:lineRule="auto"/>
              <w:rPr>
                <w:rFonts w:ascii="Book Antiqua" w:eastAsia="宋体" w:hAnsi="Book Antiqua"/>
                <w:color w:val="000000" w:themeColor="text1"/>
                <w:lang w:eastAsia="zh-CN"/>
              </w:rPr>
            </w:pPr>
            <w:r w:rsidRPr="00B82E38">
              <w:rPr>
                <w:rFonts w:ascii="Book Antiqua" w:eastAsia="宋体" w:hAnsi="Book Antiqua"/>
                <w:color w:val="000000" w:themeColor="text1"/>
                <w:lang w:eastAsia="zh-CN"/>
              </w:rPr>
              <w:t>0.005</w:t>
            </w:r>
            <w:r w:rsidRPr="00B82E38">
              <w:rPr>
                <w:rFonts w:ascii="Book Antiqua" w:eastAsia="宋体" w:hAnsi="Book Antiqua"/>
                <w:color w:val="000000" w:themeColor="text1"/>
                <w:vertAlign w:val="superscript"/>
                <w:lang w:eastAsia="zh-CN"/>
              </w:rPr>
              <w:t>b</w:t>
            </w:r>
          </w:p>
        </w:tc>
      </w:tr>
      <w:tr w:rsidR="00B82E38" w:rsidRPr="00B82E38" w14:paraId="21F09A1C" w14:textId="77777777" w:rsidTr="00D958FE">
        <w:trPr>
          <w:trHeight w:val="232"/>
          <w:jc w:val="center"/>
        </w:trPr>
        <w:tc>
          <w:tcPr>
            <w:tcW w:w="2725" w:type="dxa"/>
            <w:shd w:val="clear" w:color="auto" w:fill="auto"/>
          </w:tcPr>
          <w:p w14:paraId="5725FBE5" w14:textId="77777777" w:rsidR="00BA37FB" w:rsidRPr="00B82E38" w:rsidRDefault="008F363E" w:rsidP="00372A8C">
            <w:pPr>
              <w:widowControl/>
              <w:adjustRightInd w:val="0"/>
              <w:snapToGrid w:val="0"/>
              <w:spacing w:line="360" w:lineRule="auto"/>
              <w:rPr>
                <w:rFonts w:ascii="Book Antiqua" w:eastAsia="宋体" w:hAnsi="Book Antiqua"/>
                <w:b/>
                <w:bCs/>
                <w:color w:val="000000" w:themeColor="text1"/>
                <w:lang w:eastAsia="zh-CN"/>
              </w:rPr>
            </w:pPr>
            <w:r w:rsidRPr="00B82E38">
              <w:rPr>
                <w:rFonts w:ascii="Book Antiqua" w:eastAsia="宋体" w:hAnsi="Book Antiqua"/>
                <w:color w:val="000000" w:themeColor="text1"/>
                <w:lang w:eastAsia="zh-CN"/>
              </w:rPr>
              <w:t>NH</w:t>
            </w:r>
            <w:r w:rsidRPr="00B82E38">
              <w:rPr>
                <w:rFonts w:ascii="Book Antiqua" w:eastAsia="宋体" w:hAnsi="Book Antiqua"/>
                <w:color w:val="000000" w:themeColor="text1"/>
                <w:vertAlign w:val="subscript"/>
                <w:lang w:eastAsia="zh-CN"/>
              </w:rPr>
              <w:t>3</w:t>
            </w:r>
            <w:r w:rsidRPr="00B82E38">
              <w:rPr>
                <w:rFonts w:ascii="Book Antiqua" w:eastAsia="宋体" w:hAnsi="Book Antiqua"/>
                <w:color w:val="000000" w:themeColor="text1"/>
                <w:lang w:eastAsia="zh-CN"/>
              </w:rPr>
              <w:t xml:space="preserve">, </w:t>
            </w:r>
            <w:proofErr w:type="spellStart"/>
            <w:r w:rsidRPr="00B82E38">
              <w:rPr>
                <w:rFonts w:ascii="Book Antiqua" w:eastAsia="宋体" w:hAnsi="Book Antiqua"/>
                <w:color w:val="000000" w:themeColor="text1"/>
                <w:lang w:eastAsia="zh-CN"/>
              </w:rPr>
              <w:t>μg</w:t>
            </w:r>
            <w:proofErr w:type="spellEnd"/>
            <w:r w:rsidRPr="00B82E38">
              <w:rPr>
                <w:rFonts w:ascii="Book Antiqua" w:eastAsia="宋体" w:hAnsi="Book Antiqua"/>
                <w:color w:val="000000" w:themeColor="text1"/>
                <w:lang w:eastAsia="zh-CN"/>
              </w:rPr>
              <w:t>/dL</w:t>
            </w:r>
            <w:r w:rsidRPr="00B82E38">
              <w:rPr>
                <w:rFonts w:ascii="Book Antiqua" w:eastAsia="宋体" w:hAnsi="Book Antiqua"/>
                <w:color w:val="000000" w:themeColor="text1"/>
                <w:vertAlign w:val="superscript"/>
                <w:lang w:eastAsia="zh-CN"/>
              </w:rPr>
              <w:t>2</w:t>
            </w:r>
          </w:p>
        </w:tc>
        <w:tc>
          <w:tcPr>
            <w:tcW w:w="2756" w:type="dxa"/>
            <w:shd w:val="clear" w:color="auto" w:fill="auto"/>
            <w:vAlign w:val="center"/>
          </w:tcPr>
          <w:p w14:paraId="673D58AE" w14:textId="77777777" w:rsidR="00BA37FB" w:rsidRPr="00B82E38" w:rsidRDefault="008F363E" w:rsidP="00372A8C">
            <w:pPr>
              <w:widowControl/>
              <w:adjustRightInd w:val="0"/>
              <w:snapToGrid w:val="0"/>
              <w:spacing w:line="360" w:lineRule="auto"/>
              <w:rPr>
                <w:rFonts w:ascii="Book Antiqua" w:eastAsia="宋体" w:hAnsi="Book Antiqua"/>
                <w:color w:val="000000" w:themeColor="text1"/>
                <w:lang w:eastAsia="zh-CN"/>
              </w:rPr>
            </w:pPr>
            <w:r w:rsidRPr="00B82E38">
              <w:rPr>
                <w:rFonts w:ascii="Book Antiqua" w:eastAsia="宋体" w:hAnsi="Book Antiqua"/>
                <w:color w:val="000000" w:themeColor="text1"/>
                <w:lang w:eastAsia="zh-CN"/>
              </w:rPr>
              <w:t>45.0 ± 15.0</w:t>
            </w:r>
          </w:p>
        </w:tc>
        <w:tc>
          <w:tcPr>
            <w:tcW w:w="2939" w:type="dxa"/>
            <w:shd w:val="clear" w:color="auto" w:fill="auto"/>
            <w:vAlign w:val="center"/>
          </w:tcPr>
          <w:p w14:paraId="377FF8E8" w14:textId="77777777" w:rsidR="00BA37FB" w:rsidRPr="00B82E38" w:rsidRDefault="008F363E" w:rsidP="00372A8C">
            <w:pPr>
              <w:widowControl/>
              <w:adjustRightInd w:val="0"/>
              <w:snapToGrid w:val="0"/>
              <w:spacing w:line="360" w:lineRule="auto"/>
              <w:rPr>
                <w:rFonts w:ascii="Book Antiqua" w:eastAsia="宋体" w:hAnsi="Book Antiqua"/>
                <w:color w:val="000000" w:themeColor="text1"/>
                <w:lang w:eastAsia="zh-CN"/>
              </w:rPr>
            </w:pPr>
            <w:r w:rsidRPr="00B82E38">
              <w:rPr>
                <w:rFonts w:ascii="Book Antiqua" w:eastAsia="宋体" w:hAnsi="Book Antiqua"/>
                <w:color w:val="000000" w:themeColor="text1"/>
                <w:lang w:eastAsia="zh-CN"/>
              </w:rPr>
              <w:t>52.0 ± 21.2</w:t>
            </w:r>
          </w:p>
        </w:tc>
        <w:tc>
          <w:tcPr>
            <w:tcW w:w="1134" w:type="dxa"/>
            <w:shd w:val="clear" w:color="auto" w:fill="auto"/>
            <w:vAlign w:val="center"/>
          </w:tcPr>
          <w:p w14:paraId="437CB320" w14:textId="77777777" w:rsidR="00BA37FB" w:rsidRPr="00B82E38" w:rsidRDefault="008F363E" w:rsidP="00372A8C">
            <w:pPr>
              <w:widowControl/>
              <w:adjustRightInd w:val="0"/>
              <w:snapToGrid w:val="0"/>
              <w:spacing w:line="360" w:lineRule="auto"/>
              <w:rPr>
                <w:rFonts w:ascii="Book Antiqua" w:eastAsia="宋体" w:hAnsi="Book Antiqua"/>
                <w:color w:val="000000" w:themeColor="text1"/>
                <w:lang w:eastAsia="zh-CN"/>
              </w:rPr>
            </w:pPr>
            <w:r w:rsidRPr="00B82E38">
              <w:rPr>
                <w:rFonts w:ascii="Book Antiqua" w:eastAsia="宋体" w:hAnsi="Book Antiqua"/>
                <w:color w:val="000000" w:themeColor="text1"/>
                <w:lang w:eastAsia="zh-CN"/>
              </w:rPr>
              <w:t>0.021</w:t>
            </w:r>
            <w:r w:rsidRPr="00B82E38">
              <w:rPr>
                <w:rFonts w:ascii="Book Antiqua" w:eastAsia="宋体" w:hAnsi="Book Antiqua"/>
                <w:color w:val="000000" w:themeColor="text1"/>
                <w:vertAlign w:val="superscript"/>
                <w:lang w:eastAsia="zh-CN"/>
              </w:rPr>
              <w:t>a</w:t>
            </w:r>
          </w:p>
        </w:tc>
      </w:tr>
      <w:tr w:rsidR="00B82E38" w:rsidRPr="00B82E38" w14:paraId="5C668E01" w14:textId="77777777" w:rsidTr="00D958FE">
        <w:trPr>
          <w:trHeight w:val="232"/>
          <w:jc w:val="center"/>
        </w:trPr>
        <w:tc>
          <w:tcPr>
            <w:tcW w:w="2725" w:type="dxa"/>
            <w:shd w:val="clear" w:color="auto" w:fill="auto"/>
          </w:tcPr>
          <w:p w14:paraId="2654E297" w14:textId="77777777" w:rsidR="00BA37FB" w:rsidRPr="00B82E38" w:rsidRDefault="008F363E" w:rsidP="00372A8C">
            <w:pPr>
              <w:widowControl/>
              <w:adjustRightInd w:val="0"/>
              <w:snapToGrid w:val="0"/>
              <w:spacing w:line="360" w:lineRule="auto"/>
              <w:rPr>
                <w:rFonts w:ascii="Book Antiqua" w:eastAsia="宋体" w:hAnsi="Book Antiqua"/>
                <w:color w:val="000000" w:themeColor="text1"/>
                <w:lang w:eastAsia="zh-CN"/>
              </w:rPr>
            </w:pPr>
            <w:r w:rsidRPr="00B82E38">
              <w:rPr>
                <w:rFonts w:ascii="Book Antiqua" w:eastAsia="宋体" w:hAnsi="Book Antiqua"/>
                <w:color w:val="000000" w:themeColor="text1"/>
                <w:lang w:eastAsia="zh-CN"/>
              </w:rPr>
              <w:t>Albumin, g/L</w:t>
            </w:r>
            <w:r w:rsidRPr="00B82E38">
              <w:rPr>
                <w:rFonts w:ascii="Book Antiqua" w:eastAsia="宋体" w:hAnsi="Book Antiqua"/>
                <w:color w:val="000000" w:themeColor="text1"/>
                <w:vertAlign w:val="superscript"/>
                <w:lang w:eastAsia="zh-CN"/>
              </w:rPr>
              <w:t>2</w:t>
            </w:r>
          </w:p>
        </w:tc>
        <w:tc>
          <w:tcPr>
            <w:tcW w:w="2756" w:type="dxa"/>
            <w:shd w:val="clear" w:color="auto" w:fill="auto"/>
            <w:vAlign w:val="center"/>
          </w:tcPr>
          <w:p w14:paraId="21857A19" w14:textId="77777777" w:rsidR="00BA37FB" w:rsidRPr="00B82E38" w:rsidRDefault="008F363E" w:rsidP="00372A8C">
            <w:pPr>
              <w:widowControl/>
              <w:adjustRightInd w:val="0"/>
              <w:snapToGrid w:val="0"/>
              <w:spacing w:line="360" w:lineRule="auto"/>
              <w:rPr>
                <w:rFonts w:ascii="Book Antiqua" w:eastAsia="宋体" w:hAnsi="Book Antiqua"/>
                <w:color w:val="000000" w:themeColor="text1"/>
                <w:lang w:eastAsia="zh-CN"/>
              </w:rPr>
            </w:pPr>
            <w:r w:rsidRPr="00B82E38">
              <w:rPr>
                <w:rFonts w:ascii="Book Antiqua" w:eastAsia="宋体" w:hAnsi="Book Antiqua"/>
                <w:color w:val="000000" w:themeColor="text1"/>
                <w:lang w:eastAsia="zh-CN"/>
              </w:rPr>
              <w:t>38.0 ± 4.4</w:t>
            </w:r>
          </w:p>
        </w:tc>
        <w:tc>
          <w:tcPr>
            <w:tcW w:w="2939" w:type="dxa"/>
            <w:shd w:val="clear" w:color="auto" w:fill="auto"/>
            <w:vAlign w:val="center"/>
          </w:tcPr>
          <w:p w14:paraId="18A9D040" w14:textId="77777777" w:rsidR="00BA37FB" w:rsidRPr="00B82E38" w:rsidRDefault="008F363E" w:rsidP="00372A8C">
            <w:pPr>
              <w:widowControl/>
              <w:adjustRightInd w:val="0"/>
              <w:snapToGrid w:val="0"/>
              <w:spacing w:line="360" w:lineRule="auto"/>
              <w:rPr>
                <w:rFonts w:ascii="Book Antiqua" w:eastAsia="宋体" w:hAnsi="Book Antiqua"/>
                <w:color w:val="000000" w:themeColor="text1"/>
                <w:lang w:eastAsia="zh-CN"/>
              </w:rPr>
            </w:pPr>
            <w:r w:rsidRPr="00B82E38">
              <w:rPr>
                <w:rFonts w:ascii="Book Antiqua" w:eastAsia="宋体" w:hAnsi="Book Antiqua"/>
                <w:color w:val="000000" w:themeColor="text1"/>
                <w:lang w:eastAsia="zh-CN"/>
              </w:rPr>
              <w:t>33.3 ± 5.6</w:t>
            </w:r>
          </w:p>
        </w:tc>
        <w:tc>
          <w:tcPr>
            <w:tcW w:w="1134" w:type="dxa"/>
            <w:shd w:val="clear" w:color="auto" w:fill="auto"/>
            <w:vAlign w:val="center"/>
          </w:tcPr>
          <w:tbl>
            <w:tblPr>
              <w:tblStyle w:val="a9"/>
              <w:tblW w:w="726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61"/>
            </w:tblGrid>
            <w:tr w:rsidR="00B82E38" w:rsidRPr="00B82E38" w14:paraId="2DD6FB19" w14:textId="77777777" w:rsidTr="00D958FE">
              <w:trPr>
                <w:trHeight w:val="210"/>
                <w:jc w:val="center"/>
              </w:trPr>
              <w:tc>
                <w:tcPr>
                  <w:tcW w:w="7261" w:type="dxa"/>
                  <w:shd w:val="clear" w:color="auto" w:fill="auto"/>
                  <w:vAlign w:val="center"/>
                </w:tcPr>
                <w:p w14:paraId="45A6DF72" w14:textId="77777777" w:rsidR="00BA37FB" w:rsidRPr="00B82E38" w:rsidRDefault="008F363E" w:rsidP="00372A8C">
                  <w:pPr>
                    <w:widowControl/>
                    <w:adjustRightInd w:val="0"/>
                    <w:snapToGrid w:val="0"/>
                    <w:spacing w:line="360" w:lineRule="auto"/>
                    <w:rPr>
                      <w:rFonts w:ascii="Book Antiqua" w:eastAsia="宋体" w:hAnsi="Book Antiqua"/>
                      <w:color w:val="000000" w:themeColor="text1"/>
                      <w:lang w:eastAsia="zh-CN"/>
                    </w:rPr>
                  </w:pPr>
                  <w:r w:rsidRPr="00B82E38">
                    <w:rPr>
                      <w:rFonts w:ascii="Book Antiqua" w:eastAsia="宋体" w:hAnsi="Book Antiqua"/>
                      <w:color w:val="000000" w:themeColor="text1"/>
                      <w:lang w:eastAsia="zh-CN"/>
                    </w:rPr>
                    <w:t>＜</w:t>
                  </w:r>
                  <w:r w:rsidRPr="00B82E38">
                    <w:rPr>
                      <w:rFonts w:ascii="Book Antiqua" w:eastAsia="宋体" w:hAnsi="Book Antiqua"/>
                      <w:color w:val="000000" w:themeColor="text1"/>
                      <w:lang w:eastAsia="zh-CN"/>
                    </w:rPr>
                    <w:t>0.001</w:t>
                  </w:r>
                  <w:r w:rsidRPr="00B82E38">
                    <w:rPr>
                      <w:rFonts w:ascii="Book Antiqua" w:eastAsia="宋体" w:hAnsi="Book Antiqua"/>
                      <w:color w:val="000000" w:themeColor="text1"/>
                      <w:vertAlign w:val="superscript"/>
                      <w:lang w:eastAsia="zh-CN"/>
                    </w:rPr>
                    <w:t>c</w:t>
                  </w:r>
                </w:p>
              </w:tc>
            </w:tr>
          </w:tbl>
          <w:p w14:paraId="2B6BAA07" w14:textId="77777777" w:rsidR="00BA37FB" w:rsidRPr="00B82E38" w:rsidRDefault="00BA37FB" w:rsidP="00372A8C">
            <w:pPr>
              <w:widowControl/>
              <w:adjustRightInd w:val="0"/>
              <w:snapToGrid w:val="0"/>
              <w:spacing w:line="360" w:lineRule="auto"/>
              <w:rPr>
                <w:rFonts w:ascii="Book Antiqua" w:eastAsia="宋体" w:hAnsi="Book Antiqua"/>
                <w:color w:val="000000" w:themeColor="text1"/>
                <w:lang w:eastAsia="zh-CN"/>
              </w:rPr>
            </w:pPr>
          </w:p>
        </w:tc>
      </w:tr>
      <w:tr w:rsidR="00BA37FB" w:rsidRPr="00B82E38" w14:paraId="140DD0AB" w14:textId="77777777" w:rsidTr="00D958FE">
        <w:trPr>
          <w:trHeight w:val="205"/>
          <w:jc w:val="center"/>
        </w:trPr>
        <w:tc>
          <w:tcPr>
            <w:tcW w:w="2725" w:type="dxa"/>
            <w:shd w:val="clear" w:color="auto" w:fill="auto"/>
            <w:vAlign w:val="bottom"/>
          </w:tcPr>
          <w:p w14:paraId="6562B6CB" w14:textId="77777777" w:rsidR="00BA37FB" w:rsidRPr="00B82E38"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B82E38">
              <w:rPr>
                <w:rFonts w:ascii="Book Antiqua" w:eastAsia="宋体" w:hAnsi="Book Antiqua"/>
                <w:color w:val="000000" w:themeColor="text1"/>
              </w:rPr>
              <w:t>AST, U/L</w:t>
            </w:r>
            <w:r w:rsidRPr="00B82E38">
              <w:rPr>
                <w:rFonts w:ascii="Book Antiqua" w:eastAsia="宋体" w:hAnsi="Book Antiqua"/>
                <w:color w:val="000000" w:themeColor="text1"/>
                <w:vertAlign w:val="superscript"/>
              </w:rPr>
              <w:t>3</w:t>
            </w:r>
          </w:p>
        </w:tc>
        <w:tc>
          <w:tcPr>
            <w:tcW w:w="2756" w:type="dxa"/>
            <w:shd w:val="clear" w:color="auto" w:fill="auto"/>
            <w:vAlign w:val="center"/>
          </w:tcPr>
          <w:p w14:paraId="170B824F" w14:textId="77777777" w:rsidR="00BA37FB" w:rsidRPr="00B82E38"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B82E38">
              <w:rPr>
                <w:rFonts w:ascii="Book Antiqua" w:eastAsia="宋体" w:hAnsi="Book Antiqua"/>
                <w:color w:val="000000" w:themeColor="text1"/>
              </w:rPr>
              <w:t>25 (18, 36)</w:t>
            </w:r>
          </w:p>
        </w:tc>
        <w:tc>
          <w:tcPr>
            <w:tcW w:w="2939" w:type="dxa"/>
            <w:shd w:val="clear" w:color="auto" w:fill="auto"/>
            <w:vAlign w:val="center"/>
          </w:tcPr>
          <w:p w14:paraId="2F92CE24" w14:textId="77777777" w:rsidR="00BA37FB" w:rsidRPr="00B82E38"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B82E38">
              <w:rPr>
                <w:rFonts w:ascii="Book Antiqua" w:eastAsia="宋体" w:hAnsi="Book Antiqua"/>
                <w:color w:val="000000" w:themeColor="text1"/>
              </w:rPr>
              <w:t>28.5 (22, 45.7)</w:t>
            </w:r>
          </w:p>
        </w:tc>
        <w:tc>
          <w:tcPr>
            <w:tcW w:w="1134" w:type="dxa"/>
            <w:shd w:val="clear" w:color="auto" w:fill="auto"/>
            <w:vAlign w:val="center"/>
          </w:tcPr>
          <w:p w14:paraId="2DFB12D2" w14:textId="77777777" w:rsidR="00BA37FB" w:rsidRPr="00B82E38"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B82E38">
              <w:rPr>
                <w:rFonts w:ascii="Book Antiqua" w:eastAsia="宋体" w:hAnsi="Book Antiqua"/>
                <w:color w:val="000000" w:themeColor="text1"/>
              </w:rPr>
              <w:t>0.018</w:t>
            </w:r>
            <w:r w:rsidRPr="00B82E38">
              <w:rPr>
                <w:rFonts w:ascii="Book Antiqua" w:eastAsia="宋体" w:hAnsi="Book Antiqua"/>
                <w:color w:val="000000" w:themeColor="text1"/>
                <w:vertAlign w:val="superscript"/>
              </w:rPr>
              <w:t>a</w:t>
            </w:r>
          </w:p>
        </w:tc>
      </w:tr>
      <w:tr w:rsidR="00BA37FB" w:rsidRPr="00B82E38" w14:paraId="5628FEDE" w14:textId="77777777" w:rsidTr="00D958FE">
        <w:trPr>
          <w:trHeight w:val="232"/>
          <w:jc w:val="center"/>
        </w:trPr>
        <w:tc>
          <w:tcPr>
            <w:tcW w:w="2725" w:type="dxa"/>
            <w:shd w:val="clear" w:color="auto" w:fill="auto"/>
            <w:vAlign w:val="bottom"/>
          </w:tcPr>
          <w:p w14:paraId="710AE372" w14:textId="77777777" w:rsidR="00BA37FB" w:rsidRPr="00B82E38"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B82E38">
              <w:rPr>
                <w:rFonts w:ascii="Book Antiqua" w:eastAsia="宋体" w:hAnsi="Book Antiqua"/>
                <w:color w:val="000000" w:themeColor="text1"/>
              </w:rPr>
              <w:t xml:space="preserve">Serum clozapine, </w:t>
            </w:r>
            <w:proofErr w:type="spellStart"/>
            <w:r w:rsidRPr="00B82E38">
              <w:rPr>
                <w:rFonts w:ascii="Book Antiqua" w:eastAsia="宋体" w:hAnsi="Book Antiqua"/>
                <w:color w:val="000000" w:themeColor="text1"/>
              </w:rPr>
              <w:t>mmoL</w:t>
            </w:r>
            <w:proofErr w:type="spellEnd"/>
            <w:r w:rsidRPr="00B82E38">
              <w:rPr>
                <w:rFonts w:ascii="Book Antiqua" w:eastAsia="宋体" w:hAnsi="Book Antiqua"/>
                <w:color w:val="000000" w:themeColor="text1"/>
              </w:rPr>
              <w:t>/L</w:t>
            </w:r>
            <w:r w:rsidRPr="00B82E38">
              <w:rPr>
                <w:rFonts w:ascii="Book Antiqua" w:eastAsia="宋体" w:hAnsi="Book Antiqua"/>
                <w:color w:val="000000" w:themeColor="text1"/>
                <w:vertAlign w:val="superscript"/>
              </w:rPr>
              <w:t>2</w:t>
            </w:r>
          </w:p>
        </w:tc>
        <w:tc>
          <w:tcPr>
            <w:tcW w:w="2756" w:type="dxa"/>
            <w:shd w:val="clear" w:color="auto" w:fill="auto"/>
            <w:vAlign w:val="center"/>
          </w:tcPr>
          <w:p w14:paraId="49C47683" w14:textId="77777777" w:rsidR="00BA37FB" w:rsidRPr="00B82E38"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B82E38">
              <w:rPr>
                <w:rFonts w:ascii="Book Antiqua" w:eastAsia="宋体" w:hAnsi="Book Antiqua"/>
                <w:color w:val="000000" w:themeColor="text1"/>
              </w:rPr>
              <w:t>106.6 ± 4.8</w:t>
            </w:r>
          </w:p>
        </w:tc>
        <w:tc>
          <w:tcPr>
            <w:tcW w:w="2939" w:type="dxa"/>
            <w:shd w:val="clear" w:color="auto" w:fill="auto"/>
            <w:vAlign w:val="center"/>
          </w:tcPr>
          <w:p w14:paraId="11036139" w14:textId="77777777" w:rsidR="00BA37FB" w:rsidRPr="00B82E38"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B82E38">
              <w:rPr>
                <w:rFonts w:ascii="Book Antiqua" w:eastAsia="宋体" w:hAnsi="Book Antiqua"/>
                <w:color w:val="000000" w:themeColor="text1"/>
              </w:rPr>
              <w:t>104.5 ± 5.9</w:t>
            </w:r>
          </w:p>
        </w:tc>
        <w:tc>
          <w:tcPr>
            <w:tcW w:w="1134" w:type="dxa"/>
            <w:shd w:val="clear" w:color="auto" w:fill="auto"/>
            <w:vAlign w:val="center"/>
          </w:tcPr>
          <w:p w14:paraId="49B5952F" w14:textId="77777777" w:rsidR="00BA37FB" w:rsidRPr="00B82E38"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B82E38">
              <w:rPr>
                <w:rFonts w:ascii="Book Antiqua" w:eastAsia="宋体" w:hAnsi="Book Antiqua"/>
                <w:color w:val="000000" w:themeColor="text1"/>
              </w:rPr>
              <w:t>0.024</w:t>
            </w:r>
            <w:r w:rsidRPr="00B82E38">
              <w:rPr>
                <w:rFonts w:ascii="Book Antiqua" w:eastAsia="宋体" w:hAnsi="Book Antiqua"/>
                <w:color w:val="000000" w:themeColor="text1"/>
                <w:vertAlign w:val="superscript"/>
              </w:rPr>
              <w:t>a</w:t>
            </w:r>
          </w:p>
        </w:tc>
      </w:tr>
      <w:tr w:rsidR="00BA37FB" w:rsidRPr="00B82E38" w14:paraId="09741F54" w14:textId="77777777" w:rsidTr="00D958FE">
        <w:trPr>
          <w:trHeight w:val="232"/>
          <w:jc w:val="center"/>
        </w:trPr>
        <w:tc>
          <w:tcPr>
            <w:tcW w:w="2725" w:type="dxa"/>
            <w:shd w:val="clear" w:color="auto" w:fill="auto"/>
            <w:vAlign w:val="bottom"/>
          </w:tcPr>
          <w:p w14:paraId="7DC67FD5" w14:textId="77777777" w:rsidR="00BA37FB" w:rsidRPr="00B82E38"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B82E38">
              <w:rPr>
                <w:rFonts w:ascii="Book Antiqua" w:eastAsia="宋体" w:hAnsi="Book Antiqua"/>
                <w:color w:val="000000" w:themeColor="text1"/>
              </w:rPr>
              <w:t xml:space="preserve">Serum sodium, </w:t>
            </w:r>
            <w:proofErr w:type="spellStart"/>
            <w:r w:rsidRPr="00B82E38">
              <w:rPr>
                <w:rFonts w:ascii="Book Antiqua" w:eastAsia="宋体" w:hAnsi="Book Antiqua"/>
                <w:color w:val="000000" w:themeColor="text1"/>
              </w:rPr>
              <w:t>mmoL</w:t>
            </w:r>
            <w:proofErr w:type="spellEnd"/>
            <w:r w:rsidRPr="00B82E38">
              <w:rPr>
                <w:rFonts w:ascii="Book Antiqua" w:eastAsia="宋体" w:hAnsi="Book Antiqua"/>
                <w:color w:val="000000" w:themeColor="text1"/>
              </w:rPr>
              <w:t>/L</w:t>
            </w:r>
            <w:r w:rsidRPr="00B82E38">
              <w:rPr>
                <w:rFonts w:ascii="Book Antiqua" w:eastAsia="宋体" w:hAnsi="Book Antiqua"/>
                <w:color w:val="000000" w:themeColor="text1"/>
                <w:vertAlign w:val="superscript"/>
              </w:rPr>
              <w:t>2</w:t>
            </w:r>
          </w:p>
        </w:tc>
        <w:tc>
          <w:tcPr>
            <w:tcW w:w="2756" w:type="dxa"/>
            <w:shd w:val="clear" w:color="auto" w:fill="auto"/>
            <w:vAlign w:val="center"/>
          </w:tcPr>
          <w:p w14:paraId="432311E1" w14:textId="77777777" w:rsidR="00BA37FB" w:rsidRPr="00B82E38"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B82E38">
              <w:rPr>
                <w:rFonts w:ascii="Book Antiqua" w:eastAsia="宋体" w:hAnsi="Book Antiqua"/>
                <w:color w:val="000000" w:themeColor="text1"/>
              </w:rPr>
              <w:t>140.4 ± 3.7</w:t>
            </w:r>
          </w:p>
        </w:tc>
        <w:tc>
          <w:tcPr>
            <w:tcW w:w="2939" w:type="dxa"/>
            <w:shd w:val="clear" w:color="auto" w:fill="auto"/>
            <w:vAlign w:val="center"/>
          </w:tcPr>
          <w:p w14:paraId="3371B630" w14:textId="77777777" w:rsidR="00BA37FB" w:rsidRPr="00B82E38"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B82E38">
              <w:rPr>
                <w:rFonts w:ascii="Book Antiqua" w:eastAsia="宋体" w:hAnsi="Book Antiqua"/>
                <w:color w:val="000000" w:themeColor="text1"/>
              </w:rPr>
              <w:t>137.7 ± 5.5</w:t>
            </w:r>
          </w:p>
        </w:tc>
        <w:tc>
          <w:tcPr>
            <w:tcW w:w="1134" w:type="dxa"/>
            <w:shd w:val="clear" w:color="auto" w:fill="auto"/>
            <w:vAlign w:val="center"/>
          </w:tcPr>
          <w:p w14:paraId="2C6713EC" w14:textId="77777777" w:rsidR="00BA37FB" w:rsidRPr="00B82E38"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B82E38">
              <w:rPr>
                <w:rFonts w:ascii="Book Antiqua" w:eastAsia="宋体" w:hAnsi="Book Antiqua"/>
                <w:color w:val="000000" w:themeColor="text1"/>
              </w:rPr>
              <w:t>&lt; 0.001</w:t>
            </w:r>
            <w:r w:rsidRPr="00B82E38">
              <w:rPr>
                <w:rFonts w:ascii="Book Antiqua" w:eastAsia="宋体" w:hAnsi="Book Antiqua"/>
                <w:color w:val="000000" w:themeColor="text1"/>
                <w:vertAlign w:val="superscript"/>
              </w:rPr>
              <w:t>c</w:t>
            </w:r>
          </w:p>
        </w:tc>
      </w:tr>
      <w:tr w:rsidR="00BA37FB" w:rsidRPr="00B82E38" w14:paraId="533E93F9" w14:textId="77777777" w:rsidTr="00D958FE">
        <w:trPr>
          <w:trHeight w:val="205"/>
          <w:jc w:val="center"/>
        </w:trPr>
        <w:tc>
          <w:tcPr>
            <w:tcW w:w="2725" w:type="dxa"/>
            <w:shd w:val="clear" w:color="auto" w:fill="auto"/>
            <w:vAlign w:val="bottom"/>
          </w:tcPr>
          <w:p w14:paraId="46E27DC8" w14:textId="77777777" w:rsidR="00BA37FB" w:rsidRPr="00B82E38"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B82E38">
              <w:rPr>
                <w:rFonts w:ascii="Book Antiqua" w:eastAsia="宋体" w:hAnsi="Book Antiqua"/>
                <w:color w:val="000000" w:themeColor="text1"/>
              </w:rPr>
              <w:t>WBC, × 10</w:t>
            </w:r>
            <w:r w:rsidRPr="00B82E38">
              <w:rPr>
                <w:rFonts w:ascii="Book Antiqua" w:eastAsia="宋体" w:hAnsi="Book Antiqua"/>
                <w:color w:val="000000" w:themeColor="text1"/>
                <w:vertAlign w:val="superscript"/>
              </w:rPr>
              <w:t>9</w:t>
            </w:r>
            <w:r w:rsidRPr="00B82E38">
              <w:rPr>
                <w:rFonts w:ascii="Book Antiqua" w:eastAsia="宋体" w:hAnsi="Book Antiqua"/>
                <w:color w:val="000000" w:themeColor="text1"/>
              </w:rPr>
              <w:t>/L</w:t>
            </w:r>
            <w:r w:rsidRPr="00B82E38">
              <w:rPr>
                <w:rFonts w:ascii="Book Antiqua" w:eastAsia="宋体" w:hAnsi="Book Antiqua"/>
                <w:color w:val="000000" w:themeColor="text1"/>
                <w:vertAlign w:val="superscript"/>
              </w:rPr>
              <w:t>3</w:t>
            </w:r>
          </w:p>
        </w:tc>
        <w:tc>
          <w:tcPr>
            <w:tcW w:w="2756" w:type="dxa"/>
            <w:shd w:val="clear" w:color="auto" w:fill="auto"/>
            <w:vAlign w:val="center"/>
          </w:tcPr>
          <w:p w14:paraId="7A003832" w14:textId="77777777" w:rsidR="00BA37FB" w:rsidRPr="00B82E38"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B82E38">
              <w:rPr>
                <w:rFonts w:ascii="Book Antiqua" w:eastAsia="宋体" w:hAnsi="Book Antiqua"/>
                <w:color w:val="000000" w:themeColor="text1"/>
              </w:rPr>
              <w:t>2.77 (1.81, 3.86)</w:t>
            </w:r>
          </w:p>
        </w:tc>
        <w:tc>
          <w:tcPr>
            <w:tcW w:w="2939" w:type="dxa"/>
            <w:shd w:val="clear" w:color="auto" w:fill="auto"/>
            <w:vAlign w:val="center"/>
          </w:tcPr>
          <w:p w14:paraId="7578CE7F" w14:textId="77777777" w:rsidR="00BA37FB" w:rsidRPr="00B82E38"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B82E38">
              <w:rPr>
                <w:rFonts w:ascii="Book Antiqua" w:eastAsia="宋体" w:hAnsi="Book Antiqua"/>
                <w:color w:val="000000" w:themeColor="text1"/>
              </w:rPr>
              <w:t>3.6 (2.3, 4.9)</w:t>
            </w:r>
          </w:p>
        </w:tc>
        <w:tc>
          <w:tcPr>
            <w:tcW w:w="1134" w:type="dxa"/>
            <w:shd w:val="clear" w:color="auto" w:fill="auto"/>
            <w:vAlign w:val="center"/>
          </w:tcPr>
          <w:p w14:paraId="3696D38D" w14:textId="77777777" w:rsidR="00BA37FB" w:rsidRPr="00B82E38"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B82E38">
              <w:rPr>
                <w:rFonts w:ascii="Book Antiqua" w:eastAsia="宋体" w:hAnsi="Book Antiqua"/>
                <w:color w:val="000000" w:themeColor="text1"/>
              </w:rPr>
              <w:t>0.031</w:t>
            </w:r>
            <w:r w:rsidRPr="00B82E38">
              <w:rPr>
                <w:rFonts w:ascii="Book Antiqua" w:eastAsia="宋体" w:hAnsi="Book Antiqua"/>
                <w:color w:val="000000" w:themeColor="text1"/>
                <w:vertAlign w:val="superscript"/>
              </w:rPr>
              <w:t>a</w:t>
            </w:r>
          </w:p>
        </w:tc>
      </w:tr>
      <w:tr w:rsidR="00BA37FB" w:rsidRPr="00B82E38" w14:paraId="79229B67" w14:textId="77777777" w:rsidTr="00D958FE">
        <w:trPr>
          <w:trHeight w:val="232"/>
          <w:jc w:val="center"/>
        </w:trPr>
        <w:tc>
          <w:tcPr>
            <w:tcW w:w="2725" w:type="dxa"/>
            <w:shd w:val="clear" w:color="auto" w:fill="auto"/>
            <w:vAlign w:val="bottom"/>
          </w:tcPr>
          <w:p w14:paraId="22BFA9CD" w14:textId="77777777" w:rsidR="00BA37FB" w:rsidRPr="00B82E38"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B82E38">
              <w:rPr>
                <w:rFonts w:ascii="Book Antiqua" w:eastAsia="宋体" w:hAnsi="Book Antiqua"/>
                <w:color w:val="000000" w:themeColor="text1"/>
              </w:rPr>
              <w:t>APTT, s</w:t>
            </w:r>
            <w:r w:rsidRPr="00B82E38">
              <w:rPr>
                <w:rFonts w:ascii="Book Antiqua" w:eastAsia="宋体" w:hAnsi="Book Antiqua"/>
                <w:color w:val="000000" w:themeColor="text1"/>
                <w:vertAlign w:val="superscript"/>
              </w:rPr>
              <w:t>3</w:t>
            </w:r>
          </w:p>
        </w:tc>
        <w:tc>
          <w:tcPr>
            <w:tcW w:w="2756" w:type="dxa"/>
            <w:shd w:val="clear" w:color="auto" w:fill="auto"/>
            <w:vAlign w:val="center"/>
          </w:tcPr>
          <w:p w14:paraId="2DE1D7FE" w14:textId="77777777" w:rsidR="00BA37FB" w:rsidRPr="00B82E38"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B82E38">
              <w:rPr>
                <w:rFonts w:ascii="Book Antiqua" w:eastAsia="宋体" w:hAnsi="Book Antiqua"/>
                <w:color w:val="000000" w:themeColor="text1"/>
              </w:rPr>
              <w:t>32.8 ± 3.2</w:t>
            </w:r>
          </w:p>
        </w:tc>
        <w:tc>
          <w:tcPr>
            <w:tcW w:w="2939" w:type="dxa"/>
            <w:shd w:val="clear" w:color="auto" w:fill="auto"/>
            <w:vAlign w:val="center"/>
          </w:tcPr>
          <w:p w14:paraId="4C27FFCB" w14:textId="77777777" w:rsidR="00BA37FB" w:rsidRPr="00B82E38"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B82E38">
              <w:rPr>
                <w:rFonts w:ascii="Book Antiqua" w:eastAsia="宋体" w:hAnsi="Book Antiqua"/>
                <w:color w:val="000000" w:themeColor="text1"/>
              </w:rPr>
              <w:t>34.3 ± 5.0</w:t>
            </w:r>
          </w:p>
        </w:tc>
        <w:tc>
          <w:tcPr>
            <w:tcW w:w="1134" w:type="dxa"/>
            <w:shd w:val="clear" w:color="auto" w:fill="auto"/>
            <w:vAlign w:val="center"/>
          </w:tcPr>
          <w:p w14:paraId="358CE464" w14:textId="77777777" w:rsidR="00BA37FB" w:rsidRPr="00B82E38"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B82E38">
              <w:rPr>
                <w:rFonts w:ascii="Book Antiqua" w:eastAsia="宋体" w:hAnsi="Book Antiqua"/>
                <w:color w:val="000000" w:themeColor="text1"/>
              </w:rPr>
              <w:t>0.024</w:t>
            </w:r>
            <w:r w:rsidRPr="00B82E38">
              <w:rPr>
                <w:rFonts w:ascii="Book Antiqua" w:eastAsia="宋体" w:hAnsi="Book Antiqua"/>
                <w:color w:val="000000" w:themeColor="text1"/>
                <w:vertAlign w:val="superscript"/>
              </w:rPr>
              <w:t>a</w:t>
            </w:r>
          </w:p>
        </w:tc>
      </w:tr>
      <w:tr w:rsidR="00BA37FB" w:rsidRPr="00B82E38" w14:paraId="583FE672" w14:textId="77777777" w:rsidTr="00D958FE">
        <w:trPr>
          <w:trHeight w:val="242"/>
          <w:jc w:val="center"/>
        </w:trPr>
        <w:tc>
          <w:tcPr>
            <w:tcW w:w="2725" w:type="dxa"/>
            <w:shd w:val="clear" w:color="auto" w:fill="auto"/>
            <w:vAlign w:val="bottom"/>
          </w:tcPr>
          <w:p w14:paraId="3FB0BEC5" w14:textId="77777777" w:rsidR="00BA37FB" w:rsidRPr="00B82E38"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B82E38">
              <w:rPr>
                <w:rFonts w:ascii="Book Antiqua" w:eastAsia="宋体" w:hAnsi="Book Antiqua"/>
                <w:color w:val="000000" w:themeColor="text1"/>
              </w:rPr>
              <w:t>PT, s</w:t>
            </w:r>
            <w:r w:rsidRPr="00B82E38">
              <w:rPr>
                <w:rFonts w:ascii="Book Antiqua" w:eastAsia="宋体" w:hAnsi="Book Antiqua"/>
                <w:color w:val="000000" w:themeColor="text1"/>
                <w:vertAlign w:val="superscript"/>
              </w:rPr>
              <w:t>2</w:t>
            </w:r>
          </w:p>
        </w:tc>
        <w:tc>
          <w:tcPr>
            <w:tcW w:w="2756" w:type="dxa"/>
            <w:shd w:val="clear" w:color="auto" w:fill="auto"/>
            <w:vAlign w:val="center"/>
          </w:tcPr>
          <w:p w14:paraId="7A936B3F" w14:textId="77777777" w:rsidR="00BA37FB" w:rsidRPr="00B82E38"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B82E38">
              <w:rPr>
                <w:rFonts w:ascii="Book Antiqua" w:eastAsia="宋体" w:hAnsi="Book Antiqua"/>
                <w:color w:val="000000" w:themeColor="text1"/>
              </w:rPr>
              <w:t>14.0 ± 1.9</w:t>
            </w:r>
          </w:p>
        </w:tc>
        <w:tc>
          <w:tcPr>
            <w:tcW w:w="2939" w:type="dxa"/>
            <w:shd w:val="clear" w:color="auto" w:fill="auto"/>
            <w:vAlign w:val="center"/>
          </w:tcPr>
          <w:p w14:paraId="04864E5F" w14:textId="77777777" w:rsidR="00BA37FB" w:rsidRPr="00B82E38"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B82E38">
              <w:rPr>
                <w:rFonts w:ascii="Book Antiqua" w:eastAsia="宋体" w:hAnsi="Book Antiqua"/>
                <w:color w:val="000000" w:themeColor="text1"/>
              </w:rPr>
              <w:t>15.3 ± 2.6</w:t>
            </w:r>
          </w:p>
        </w:tc>
        <w:tc>
          <w:tcPr>
            <w:tcW w:w="1134" w:type="dxa"/>
            <w:shd w:val="clear" w:color="auto" w:fill="auto"/>
            <w:vAlign w:val="center"/>
          </w:tcPr>
          <w:p w14:paraId="2F793701" w14:textId="77777777" w:rsidR="00BA37FB" w:rsidRPr="00B82E38"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B82E38">
              <w:rPr>
                <w:rFonts w:ascii="Book Antiqua" w:eastAsia="宋体" w:hAnsi="Book Antiqua"/>
                <w:color w:val="000000" w:themeColor="text1"/>
              </w:rPr>
              <w:t>0.043</w:t>
            </w:r>
            <w:r w:rsidRPr="00B82E38">
              <w:rPr>
                <w:rFonts w:ascii="Book Antiqua" w:eastAsia="宋体" w:hAnsi="Book Antiqua"/>
                <w:color w:val="000000" w:themeColor="text1"/>
                <w:vertAlign w:val="superscript"/>
              </w:rPr>
              <w:t>a</w:t>
            </w:r>
          </w:p>
        </w:tc>
      </w:tr>
    </w:tbl>
    <w:p w14:paraId="26788F63" w14:textId="51EE50F4" w:rsidR="00BA37FB" w:rsidRPr="00B82E38" w:rsidRDefault="008F363E" w:rsidP="00372A8C">
      <w:pPr>
        <w:spacing w:line="360" w:lineRule="auto"/>
        <w:jc w:val="both"/>
        <w:rPr>
          <w:rFonts w:ascii="Book Antiqua" w:hAnsi="Book Antiqua"/>
          <w:color w:val="000000" w:themeColor="text1"/>
        </w:rPr>
      </w:pPr>
      <w:r w:rsidRPr="00B82E38">
        <w:rPr>
          <w:rFonts w:ascii="Book Antiqua" w:hAnsi="Book Antiqua"/>
          <w:color w:val="000000" w:themeColor="text1"/>
          <w:vertAlign w:val="superscript"/>
          <w:lang w:eastAsia="zh-CN"/>
        </w:rPr>
        <w:t>1</w:t>
      </w:r>
      <w:r w:rsidRPr="00B82E38">
        <w:rPr>
          <w:rFonts w:ascii="Book Antiqua" w:hAnsi="Book Antiqua"/>
          <w:color w:val="000000" w:themeColor="text1"/>
        </w:rPr>
        <w:t xml:space="preserve">Values are </w:t>
      </w:r>
      <w:r w:rsidRPr="00B82E38">
        <w:rPr>
          <w:rFonts w:ascii="Book Antiqua" w:hAnsi="Book Antiqua"/>
          <w:i/>
          <w:iCs/>
          <w:color w:val="000000" w:themeColor="text1"/>
        </w:rPr>
        <w:t>n</w:t>
      </w:r>
      <w:r w:rsidRPr="00B82E38">
        <w:rPr>
          <w:rFonts w:ascii="Book Antiqua" w:hAnsi="Book Antiqua"/>
          <w:color w:val="000000" w:themeColor="text1"/>
          <w:lang w:eastAsia="zh-CN"/>
        </w:rPr>
        <w:t xml:space="preserve">; </w:t>
      </w:r>
      <w:r w:rsidRPr="00B82E38">
        <w:rPr>
          <w:rFonts w:ascii="Book Antiqua" w:hAnsi="Book Antiqua"/>
          <w:color w:val="000000" w:themeColor="text1"/>
          <w:vertAlign w:val="superscript"/>
          <w:lang w:eastAsia="zh-CN"/>
        </w:rPr>
        <w:t>2</w:t>
      </w:r>
      <w:r w:rsidRPr="00B82E38">
        <w:rPr>
          <w:rFonts w:ascii="Book Antiqua" w:hAnsi="Book Antiqua"/>
          <w:color w:val="000000" w:themeColor="text1"/>
        </w:rPr>
        <w:t>Values</w:t>
      </w:r>
      <w:bookmarkStart w:id="3" w:name="_GoBack"/>
      <w:r w:rsidRPr="00B82E38">
        <w:rPr>
          <w:rFonts w:ascii="Book Antiqua" w:hAnsi="Book Antiqua"/>
          <w:color w:val="000000" w:themeColor="text1"/>
        </w:rPr>
        <w:t xml:space="preserve"> are </w:t>
      </w:r>
      <w:r w:rsidR="00422C74">
        <w:rPr>
          <w:rFonts w:ascii="Book Antiqua" w:hAnsi="Book Antiqua"/>
          <w:color w:val="000000" w:themeColor="text1"/>
        </w:rPr>
        <w:t xml:space="preserve">the </w:t>
      </w:r>
      <w:r w:rsidRPr="00B82E38">
        <w:rPr>
          <w:rFonts w:ascii="Book Antiqua" w:hAnsi="Book Antiqua"/>
          <w:color w:val="000000" w:themeColor="text1"/>
        </w:rPr>
        <w:t xml:space="preserve">mean ± SD; </w:t>
      </w:r>
      <w:r w:rsidRPr="00B82E38">
        <w:rPr>
          <w:rFonts w:ascii="Book Antiqua" w:hAnsi="Book Antiqua"/>
          <w:color w:val="000000" w:themeColor="text1"/>
          <w:vertAlign w:val="superscript"/>
          <w:lang w:eastAsia="zh-CN"/>
        </w:rPr>
        <w:t>3</w:t>
      </w:r>
      <w:r w:rsidRPr="00B82E38">
        <w:rPr>
          <w:rFonts w:ascii="Book Antiqua" w:hAnsi="Book Antiqua"/>
          <w:color w:val="000000" w:themeColor="text1"/>
        </w:rPr>
        <w:t>Values are median</w:t>
      </w:r>
      <w:r w:rsidR="00422C74">
        <w:rPr>
          <w:rFonts w:ascii="Book Antiqua" w:hAnsi="Book Antiqua"/>
          <w:color w:val="000000" w:themeColor="text1"/>
        </w:rPr>
        <w:t>s</w:t>
      </w:r>
      <w:r w:rsidRPr="00B82E38">
        <w:rPr>
          <w:rFonts w:ascii="Book Antiqua" w:hAnsi="Book Antiqua"/>
          <w:color w:val="000000" w:themeColor="text1"/>
        </w:rPr>
        <w:t xml:space="preserve"> (P25, P75)</w:t>
      </w:r>
      <w:r w:rsidRPr="00B82E38">
        <w:rPr>
          <w:rFonts w:ascii="Book Antiqua" w:hAnsi="Book Antiqua"/>
          <w:color w:val="000000" w:themeColor="text1"/>
          <w:lang w:eastAsia="zh-CN"/>
        </w:rPr>
        <w:t xml:space="preserve">. </w:t>
      </w:r>
      <w:proofErr w:type="spellStart"/>
      <w:r w:rsidRPr="00B82E38">
        <w:rPr>
          <w:rFonts w:ascii="Book Antiqua" w:hAnsi="Book Antiqua"/>
          <w:color w:val="000000" w:themeColor="text1"/>
          <w:vertAlign w:val="superscript"/>
          <w:lang w:eastAsia="zh-CN"/>
        </w:rPr>
        <w:t>a</w:t>
      </w:r>
      <w:r w:rsidRPr="00B82E38">
        <w:rPr>
          <w:rFonts w:ascii="Book Antiqua" w:hAnsi="Book Antiqua"/>
          <w:i/>
          <w:iCs/>
          <w:color w:val="000000" w:themeColor="text1"/>
          <w:lang w:eastAsia="zh-CN"/>
        </w:rPr>
        <w:t>P</w:t>
      </w:r>
      <w:proofErr w:type="spellEnd"/>
      <w:r w:rsidRPr="00B82E38">
        <w:rPr>
          <w:rFonts w:ascii="Book Antiqua" w:hAnsi="Book Antiqua"/>
          <w:i/>
          <w:iCs/>
          <w:color w:val="000000" w:themeColor="text1"/>
          <w:lang w:eastAsia="zh-CN"/>
        </w:rPr>
        <w:t xml:space="preserve"> </w:t>
      </w:r>
      <w:r w:rsidRPr="00B82E38">
        <w:rPr>
          <w:rFonts w:ascii="Book Antiqua" w:hAnsi="Book Antiqua"/>
          <w:color w:val="000000" w:themeColor="text1"/>
          <w:lang w:eastAsia="zh-CN"/>
        </w:rPr>
        <w:t xml:space="preserve">&lt; 0.05; </w:t>
      </w:r>
      <w:proofErr w:type="spellStart"/>
      <w:r w:rsidRPr="00B82E38">
        <w:rPr>
          <w:rFonts w:ascii="Book Antiqua" w:hAnsi="Book Antiqua"/>
          <w:color w:val="000000" w:themeColor="text1"/>
          <w:vertAlign w:val="superscript"/>
          <w:lang w:eastAsia="zh-CN"/>
        </w:rPr>
        <w:t>b</w:t>
      </w:r>
      <w:r w:rsidRPr="00B82E38">
        <w:rPr>
          <w:rFonts w:ascii="Book Antiqua" w:hAnsi="Book Antiqua"/>
          <w:i/>
          <w:iCs/>
          <w:color w:val="000000" w:themeColor="text1"/>
          <w:lang w:eastAsia="zh-CN"/>
        </w:rPr>
        <w:t>P</w:t>
      </w:r>
      <w:proofErr w:type="spellEnd"/>
      <w:r w:rsidRPr="00B82E38">
        <w:rPr>
          <w:rFonts w:ascii="Book Antiqua" w:hAnsi="Book Antiqua"/>
          <w:color w:val="000000" w:themeColor="text1"/>
          <w:lang w:eastAsia="zh-CN"/>
        </w:rPr>
        <w:t xml:space="preserve"> &lt; 0.01; </w:t>
      </w:r>
      <w:proofErr w:type="spellStart"/>
      <w:r w:rsidRPr="00B82E38">
        <w:rPr>
          <w:rFonts w:ascii="Book Antiqua" w:hAnsi="Book Antiqua"/>
          <w:color w:val="000000" w:themeColor="text1"/>
          <w:vertAlign w:val="superscript"/>
          <w:lang w:eastAsia="zh-CN"/>
        </w:rPr>
        <w:t>c</w:t>
      </w:r>
      <w:r w:rsidRPr="00B82E38">
        <w:rPr>
          <w:rFonts w:ascii="Book Antiqua" w:hAnsi="Book Antiqua"/>
          <w:i/>
          <w:iCs/>
          <w:color w:val="000000" w:themeColor="text1"/>
          <w:lang w:eastAsia="zh-CN"/>
        </w:rPr>
        <w:t>P</w:t>
      </w:r>
      <w:proofErr w:type="spellEnd"/>
      <w:r w:rsidRPr="00B82E38">
        <w:rPr>
          <w:rFonts w:ascii="Book Antiqua" w:hAnsi="Book Antiqua"/>
          <w:color w:val="000000" w:themeColor="text1"/>
          <w:lang w:eastAsia="zh-CN"/>
        </w:rPr>
        <w:t xml:space="preserve"> &lt; 0.001. </w:t>
      </w:r>
      <w:r w:rsidRPr="00B82E38">
        <w:rPr>
          <w:rFonts w:ascii="Book Antiqua" w:hAnsi="Book Antiqua"/>
          <w:color w:val="000000" w:themeColor="text1"/>
        </w:rPr>
        <w:t xml:space="preserve">ICG: Indocyanine green; </w:t>
      </w:r>
      <w:r w:rsidRPr="00B82E38">
        <w:rPr>
          <w:rFonts w:ascii="Book Antiqua" w:hAnsi="Book Antiqua"/>
          <w:color w:val="000000" w:themeColor="text1"/>
          <w:lang w:eastAsia="zh-CN"/>
        </w:rPr>
        <w:t xml:space="preserve">HE: Hepatic encephalopathy; </w:t>
      </w:r>
      <w:r w:rsidRPr="00B82E38">
        <w:rPr>
          <w:rFonts w:ascii="Book Antiqua" w:hAnsi="Book Antiqua"/>
          <w:color w:val="000000" w:themeColor="text1"/>
        </w:rPr>
        <w:t>PPG: Portal pressure gradient; AST: Aspartate transaminase; APTT: Active partial thromboplastin; PT: Prothrombin time; WBC: White blood cell</w:t>
      </w:r>
      <w:r w:rsidR="00422C74">
        <w:rPr>
          <w:rFonts w:ascii="Book Antiqua" w:hAnsi="Book Antiqua"/>
          <w:color w:val="000000" w:themeColor="text1"/>
        </w:rPr>
        <w:t>s</w:t>
      </w:r>
      <w:r w:rsidRPr="00B82E38">
        <w:rPr>
          <w:rFonts w:ascii="Book Antiqua" w:hAnsi="Book Antiqua"/>
          <w:color w:val="000000" w:themeColor="text1"/>
        </w:rPr>
        <w:t>.</w:t>
      </w:r>
      <w:bookmarkEnd w:id="3"/>
    </w:p>
    <w:sectPr w:rsidR="00BA37FB" w:rsidRPr="00B82E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319793" w14:textId="77777777" w:rsidR="00B174E7" w:rsidRDefault="00B174E7">
      <w:r>
        <w:separator/>
      </w:r>
    </w:p>
  </w:endnote>
  <w:endnote w:type="continuationSeparator" w:id="0">
    <w:p w14:paraId="163360F5" w14:textId="77777777" w:rsidR="00B174E7" w:rsidRDefault="00B17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5BC9D2" w14:textId="77777777" w:rsidR="00461C27" w:rsidRDefault="00461C27">
    <w:pPr>
      <w:pStyle w:val="a5"/>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  \* Arabic  \* MERGEFORMAT</w:instrText>
    </w:r>
    <w:r>
      <w:rPr>
        <w:rFonts w:ascii="Book Antiqua" w:hAnsi="Book Antiqua"/>
        <w:sz w:val="24"/>
        <w:szCs w:val="24"/>
      </w:rPr>
      <w:fldChar w:fldCharType="separate"/>
    </w:r>
    <w:r w:rsidR="00455F70" w:rsidRPr="00455F70">
      <w:rPr>
        <w:rFonts w:ascii="Book Antiqua" w:hAnsi="Book Antiqua"/>
        <w:noProof/>
        <w:sz w:val="24"/>
        <w:szCs w:val="24"/>
        <w:lang w:val="zh-CN" w:eastAsia="zh-CN"/>
      </w:rPr>
      <w:t>30</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  \* Arabic  \* MERGEFORMAT</w:instrText>
    </w:r>
    <w:r>
      <w:rPr>
        <w:rFonts w:ascii="Book Antiqua" w:hAnsi="Book Antiqua"/>
        <w:sz w:val="24"/>
        <w:szCs w:val="24"/>
      </w:rPr>
      <w:fldChar w:fldCharType="separate"/>
    </w:r>
    <w:r w:rsidR="00455F70" w:rsidRPr="00455F70">
      <w:rPr>
        <w:rFonts w:ascii="Book Antiqua" w:hAnsi="Book Antiqua"/>
        <w:noProof/>
        <w:sz w:val="24"/>
        <w:szCs w:val="24"/>
        <w:lang w:val="zh-CN" w:eastAsia="zh-CN"/>
      </w:rPr>
      <w:t>30</w:t>
    </w:r>
    <w:r>
      <w:rPr>
        <w:rFonts w:ascii="Book Antiqua" w:hAnsi="Book Antiqua"/>
        <w:sz w:val="24"/>
        <w:szCs w:val="24"/>
      </w:rPr>
      <w:fldChar w:fldCharType="end"/>
    </w:r>
  </w:p>
  <w:p w14:paraId="585A351C" w14:textId="77777777" w:rsidR="00461C27" w:rsidRDefault="00461C27">
    <w:pPr>
      <w:pStyle w:val="a5"/>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03E298" w14:textId="77777777" w:rsidR="00B174E7" w:rsidRDefault="00B174E7">
      <w:r>
        <w:separator/>
      </w:r>
    </w:p>
  </w:footnote>
  <w:footnote w:type="continuationSeparator" w:id="0">
    <w:p w14:paraId="1612AB0F" w14:textId="77777777" w:rsidR="00B174E7" w:rsidRDefault="00B174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115AD"/>
    <w:rsid w:val="00040F26"/>
    <w:rsid w:val="00060D28"/>
    <w:rsid w:val="00066687"/>
    <w:rsid w:val="0007645D"/>
    <w:rsid w:val="00080A79"/>
    <w:rsid w:val="000902BD"/>
    <w:rsid w:val="000A3689"/>
    <w:rsid w:val="000B6B1A"/>
    <w:rsid w:val="000C1BD7"/>
    <w:rsid w:val="000D5FA3"/>
    <w:rsid w:val="000F5D80"/>
    <w:rsid w:val="000F64B4"/>
    <w:rsid w:val="00105855"/>
    <w:rsid w:val="00106EE2"/>
    <w:rsid w:val="00177F28"/>
    <w:rsid w:val="001D018C"/>
    <w:rsid w:val="00214E76"/>
    <w:rsid w:val="00215608"/>
    <w:rsid w:val="002721E5"/>
    <w:rsid w:val="00283029"/>
    <w:rsid w:val="002A7E56"/>
    <w:rsid w:val="002D15E5"/>
    <w:rsid w:val="002F05B4"/>
    <w:rsid w:val="00310407"/>
    <w:rsid w:val="00330A66"/>
    <w:rsid w:val="003324EC"/>
    <w:rsid w:val="0034738A"/>
    <w:rsid w:val="00352A70"/>
    <w:rsid w:val="00363B2D"/>
    <w:rsid w:val="00372A8C"/>
    <w:rsid w:val="00387BD7"/>
    <w:rsid w:val="003D535A"/>
    <w:rsid w:val="003E32C4"/>
    <w:rsid w:val="003F289C"/>
    <w:rsid w:val="00405A29"/>
    <w:rsid w:val="00422C74"/>
    <w:rsid w:val="0043195C"/>
    <w:rsid w:val="00433E33"/>
    <w:rsid w:val="00447388"/>
    <w:rsid w:val="00447DA0"/>
    <w:rsid w:val="00455F70"/>
    <w:rsid w:val="00461C27"/>
    <w:rsid w:val="00470F5D"/>
    <w:rsid w:val="00471D5A"/>
    <w:rsid w:val="004E140D"/>
    <w:rsid w:val="004F0D15"/>
    <w:rsid w:val="004F7B56"/>
    <w:rsid w:val="00504C39"/>
    <w:rsid w:val="00517DD7"/>
    <w:rsid w:val="00524039"/>
    <w:rsid w:val="00531DE1"/>
    <w:rsid w:val="005426A5"/>
    <w:rsid w:val="00563FC9"/>
    <w:rsid w:val="00566A67"/>
    <w:rsid w:val="00572562"/>
    <w:rsid w:val="005B2E2F"/>
    <w:rsid w:val="005C1080"/>
    <w:rsid w:val="005C6BB8"/>
    <w:rsid w:val="005C775F"/>
    <w:rsid w:val="005D4B08"/>
    <w:rsid w:val="006074DF"/>
    <w:rsid w:val="00624426"/>
    <w:rsid w:val="00694FAB"/>
    <w:rsid w:val="0069692A"/>
    <w:rsid w:val="006A6780"/>
    <w:rsid w:val="007051A2"/>
    <w:rsid w:val="00717EA9"/>
    <w:rsid w:val="0074060D"/>
    <w:rsid w:val="00762E54"/>
    <w:rsid w:val="007D78F6"/>
    <w:rsid w:val="007F770E"/>
    <w:rsid w:val="00811925"/>
    <w:rsid w:val="00826356"/>
    <w:rsid w:val="00884B39"/>
    <w:rsid w:val="0089780B"/>
    <w:rsid w:val="00897BC6"/>
    <w:rsid w:val="008A3FC9"/>
    <w:rsid w:val="008A6C29"/>
    <w:rsid w:val="008C273D"/>
    <w:rsid w:val="008F363E"/>
    <w:rsid w:val="008F6AB4"/>
    <w:rsid w:val="00951BEE"/>
    <w:rsid w:val="00972E99"/>
    <w:rsid w:val="009B46CC"/>
    <w:rsid w:val="009D4099"/>
    <w:rsid w:val="009E5CC3"/>
    <w:rsid w:val="00A26E9A"/>
    <w:rsid w:val="00A27870"/>
    <w:rsid w:val="00A4460C"/>
    <w:rsid w:val="00A635AE"/>
    <w:rsid w:val="00A77B3E"/>
    <w:rsid w:val="00AA10AD"/>
    <w:rsid w:val="00B0415A"/>
    <w:rsid w:val="00B16A16"/>
    <w:rsid w:val="00B17074"/>
    <w:rsid w:val="00B174E7"/>
    <w:rsid w:val="00B40802"/>
    <w:rsid w:val="00B66932"/>
    <w:rsid w:val="00B82E38"/>
    <w:rsid w:val="00B954C9"/>
    <w:rsid w:val="00BA37FB"/>
    <w:rsid w:val="00BA76F7"/>
    <w:rsid w:val="00BB3F32"/>
    <w:rsid w:val="00BD4E57"/>
    <w:rsid w:val="00C2376F"/>
    <w:rsid w:val="00C54269"/>
    <w:rsid w:val="00C62CDB"/>
    <w:rsid w:val="00C6330D"/>
    <w:rsid w:val="00C679DA"/>
    <w:rsid w:val="00C754A1"/>
    <w:rsid w:val="00C833DA"/>
    <w:rsid w:val="00C8761B"/>
    <w:rsid w:val="00C9150C"/>
    <w:rsid w:val="00CA2A55"/>
    <w:rsid w:val="00CC7660"/>
    <w:rsid w:val="00CD48CE"/>
    <w:rsid w:val="00CE0671"/>
    <w:rsid w:val="00D42531"/>
    <w:rsid w:val="00D43CE5"/>
    <w:rsid w:val="00D64AD0"/>
    <w:rsid w:val="00D82139"/>
    <w:rsid w:val="00D958FE"/>
    <w:rsid w:val="00DB2F0A"/>
    <w:rsid w:val="00DB3B19"/>
    <w:rsid w:val="00DC3494"/>
    <w:rsid w:val="00DD399D"/>
    <w:rsid w:val="00E00E55"/>
    <w:rsid w:val="00E0174B"/>
    <w:rsid w:val="00E031E6"/>
    <w:rsid w:val="00E411F5"/>
    <w:rsid w:val="00E47376"/>
    <w:rsid w:val="00E5705B"/>
    <w:rsid w:val="00EB16B1"/>
    <w:rsid w:val="00EB6F43"/>
    <w:rsid w:val="00EC29CC"/>
    <w:rsid w:val="00EF0027"/>
    <w:rsid w:val="00F023B3"/>
    <w:rsid w:val="00F064B0"/>
    <w:rsid w:val="00F44129"/>
    <w:rsid w:val="00F8072F"/>
    <w:rsid w:val="00F86D6E"/>
    <w:rsid w:val="00F86FB7"/>
    <w:rsid w:val="00F911F0"/>
    <w:rsid w:val="00FA2888"/>
    <w:rsid w:val="00FF1FCE"/>
    <w:rsid w:val="24015865"/>
    <w:rsid w:val="3CFD7C00"/>
    <w:rsid w:val="50AB7102"/>
    <w:rsid w:val="76C4021C"/>
    <w:rsid w:val="7A1332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85C643"/>
  <w15:docId w15:val="{38939504-4CEE-4D47-861A-322915BCE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qFormat/>
  </w:style>
  <w:style w:type="paragraph" w:styleId="a4">
    <w:name w:val="Balloon Text"/>
    <w:basedOn w:val="a"/>
    <w:link w:val="Char0"/>
    <w:rPr>
      <w:sz w:val="18"/>
      <w:szCs w:val="18"/>
    </w:rPr>
  </w:style>
  <w:style w:type="paragraph" w:styleId="a5">
    <w:name w:val="footer"/>
    <w:basedOn w:val="a"/>
    <w:link w:val="Char1"/>
    <w:uiPriority w:val="99"/>
    <w:unhideWhenUsed/>
    <w:qFormat/>
    <w:pPr>
      <w:tabs>
        <w:tab w:val="center" w:pos="4153"/>
        <w:tab w:val="right" w:pos="8306"/>
      </w:tabs>
      <w:snapToGrid w:val="0"/>
    </w:pPr>
    <w:rPr>
      <w:sz w:val="18"/>
      <w:szCs w:val="18"/>
    </w:rPr>
  </w:style>
  <w:style w:type="paragraph" w:styleId="a6">
    <w:name w:val="header"/>
    <w:basedOn w:val="a"/>
    <w:link w:val="Char2"/>
    <w:unhideWhenUsed/>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widowControl w:val="0"/>
      <w:spacing w:beforeAutospacing="1" w:afterAutospacing="1"/>
    </w:pPr>
    <w:rPr>
      <w:rFonts w:asciiTheme="minorHAnsi" w:hAnsiTheme="minorHAnsi"/>
      <w:lang w:eastAsia="zh-CN"/>
    </w:rPr>
  </w:style>
  <w:style w:type="paragraph" w:styleId="a8">
    <w:name w:val="annotation subject"/>
    <w:basedOn w:val="a3"/>
    <w:next w:val="a3"/>
    <w:link w:val="Char3"/>
    <w:semiHidden/>
    <w:unhideWhenUsed/>
    <w:rPr>
      <w:b/>
      <w:bCs/>
    </w:rPr>
  </w:style>
  <w:style w:type="table" w:styleId="a9">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semiHidden/>
    <w:unhideWhenUsed/>
    <w:qFormat/>
    <w:rPr>
      <w:sz w:val="21"/>
      <w:szCs w:val="21"/>
    </w:rPr>
  </w:style>
  <w:style w:type="character" w:customStyle="1" w:styleId="Char2">
    <w:name w:val="页眉 Char"/>
    <w:basedOn w:val="a0"/>
    <w:link w:val="a6"/>
    <w:rPr>
      <w:sz w:val="18"/>
      <w:szCs w:val="18"/>
    </w:rPr>
  </w:style>
  <w:style w:type="character" w:customStyle="1" w:styleId="Char1">
    <w:name w:val="页脚 Char"/>
    <w:basedOn w:val="a0"/>
    <w:link w:val="a5"/>
    <w:uiPriority w:val="99"/>
    <w:rPr>
      <w:sz w:val="18"/>
      <w:szCs w:val="18"/>
    </w:rPr>
  </w:style>
  <w:style w:type="character" w:customStyle="1" w:styleId="Char">
    <w:name w:val="批注文字 Char"/>
    <w:basedOn w:val="a0"/>
    <w:link w:val="a3"/>
    <w:semiHidden/>
    <w:rPr>
      <w:sz w:val="24"/>
      <w:szCs w:val="24"/>
    </w:rPr>
  </w:style>
  <w:style w:type="character" w:customStyle="1" w:styleId="Char3">
    <w:name w:val="批注主题 Char"/>
    <w:basedOn w:val="Char"/>
    <w:link w:val="a8"/>
    <w:semiHidden/>
    <w:qFormat/>
    <w:rPr>
      <w:b/>
      <w:bCs/>
      <w:sz w:val="24"/>
      <w:szCs w:val="24"/>
    </w:rPr>
  </w:style>
  <w:style w:type="character" w:customStyle="1" w:styleId="Char0">
    <w:name w:val="批注框文本 Char"/>
    <w:basedOn w:val="a0"/>
    <w:link w:val="a4"/>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30</Pages>
  <Words>6357</Words>
  <Characters>36235</Characters>
  <Application>Microsoft Office Word</Application>
  <DocSecurity>0</DocSecurity>
  <Lines>301</Lines>
  <Paragraphs>85</Paragraphs>
  <ScaleCrop>false</ScaleCrop>
  <Company/>
  <LinksUpToDate>false</LinksUpToDate>
  <CharactersWithSpaces>42507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86130</dc:creator>
  <cp:lastModifiedBy>Wang Tianqi</cp:lastModifiedBy>
  <cp:revision>3</cp:revision>
  <dcterms:created xsi:type="dcterms:W3CDTF">2021-01-27T01:40:00Z</dcterms:created>
  <dcterms:modified xsi:type="dcterms:W3CDTF">2021-01-27T01:45:00Z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