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DB51" w14:textId="77777777" w:rsidR="00B33107" w:rsidRDefault="00E56C00">
      <w:pPr>
        <w:spacing w:line="360" w:lineRule="auto"/>
        <w:jc w:val="both"/>
      </w:pPr>
      <w:r>
        <w:rPr>
          <w:rFonts w:ascii="Book Antiqua" w:hAnsi="Book Antiqua"/>
          <w:b/>
          <w:bCs/>
        </w:rPr>
        <w:t xml:space="preserve">Name of Journal: </w:t>
      </w:r>
      <w:r>
        <w:rPr>
          <w:rFonts w:ascii="Book Antiqua" w:hAnsi="Book Antiqua"/>
          <w:i/>
          <w:iCs/>
        </w:rPr>
        <w:t>World Journal of Clinical Cases</w:t>
      </w:r>
    </w:p>
    <w:p w14:paraId="5CD2957B" w14:textId="77777777" w:rsidR="00B33107" w:rsidRDefault="00E56C00">
      <w:pPr>
        <w:spacing w:line="360" w:lineRule="auto"/>
        <w:jc w:val="both"/>
      </w:pPr>
      <w:r>
        <w:rPr>
          <w:rFonts w:ascii="Book Antiqua" w:hAnsi="Book Antiqua"/>
          <w:b/>
          <w:bCs/>
        </w:rPr>
        <w:t xml:space="preserve">Manuscript NO: </w:t>
      </w:r>
      <w:r>
        <w:rPr>
          <w:rFonts w:ascii="Book Antiqua" w:hAnsi="Book Antiqua"/>
        </w:rPr>
        <w:t>60906</w:t>
      </w:r>
    </w:p>
    <w:p w14:paraId="15BD6E79" w14:textId="77777777" w:rsidR="00B33107" w:rsidRDefault="00E56C00">
      <w:pPr>
        <w:spacing w:line="360" w:lineRule="auto"/>
        <w:jc w:val="both"/>
      </w:pPr>
      <w:r>
        <w:rPr>
          <w:rFonts w:ascii="Book Antiqua" w:hAnsi="Book Antiqua"/>
          <w:b/>
          <w:bCs/>
        </w:rPr>
        <w:t xml:space="preserve">Manuscript Type: </w:t>
      </w:r>
      <w:r>
        <w:rPr>
          <w:rFonts w:ascii="Book Antiqua" w:hAnsi="Book Antiqua"/>
        </w:rPr>
        <w:t>CASE REPORT</w:t>
      </w:r>
    </w:p>
    <w:p w14:paraId="1F43C2D1" w14:textId="77777777" w:rsidR="00B33107" w:rsidRDefault="00B33107">
      <w:pPr>
        <w:spacing w:line="360" w:lineRule="auto"/>
        <w:jc w:val="both"/>
      </w:pPr>
    </w:p>
    <w:p w14:paraId="0595A1DF" w14:textId="77777777" w:rsidR="00B33107" w:rsidRDefault="00E56C00">
      <w:pPr>
        <w:spacing w:line="360" w:lineRule="auto"/>
        <w:jc w:val="both"/>
      </w:pPr>
      <w:r>
        <w:rPr>
          <w:rFonts w:ascii="Book Antiqua" w:hAnsi="Book Antiqua"/>
          <w:b/>
          <w:bCs/>
        </w:rPr>
        <w:t xml:space="preserve">Spontaneous small bowel perforation secondary to </w:t>
      </w:r>
      <w:r>
        <w:rPr>
          <w:rFonts w:ascii="Book Antiqua" w:hAnsi="Book Antiqua"/>
          <w:b/>
          <w:bCs/>
          <w:i/>
          <w:iCs/>
        </w:rPr>
        <w:t xml:space="preserve">Vibrio parahaemolyticus </w:t>
      </w:r>
      <w:r>
        <w:rPr>
          <w:rFonts w:ascii="Book Antiqua" w:hAnsi="Book Antiqua"/>
          <w:b/>
          <w:bCs/>
        </w:rPr>
        <w:t xml:space="preserve">infection: A case report </w:t>
      </w:r>
    </w:p>
    <w:p w14:paraId="586FA899" w14:textId="77777777" w:rsidR="00B33107" w:rsidRDefault="00B33107">
      <w:pPr>
        <w:spacing w:line="360" w:lineRule="auto"/>
        <w:jc w:val="both"/>
      </w:pPr>
    </w:p>
    <w:p w14:paraId="4EA3E573" w14:textId="77777777" w:rsidR="00B33107" w:rsidRDefault="00E56C00">
      <w:pPr>
        <w:spacing w:line="360" w:lineRule="auto"/>
        <w:jc w:val="both"/>
      </w:pPr>
      <w:proofErr w:type="spellStart"/>
      <w:r>
        <w:rPr>
          <w:rFonts w:ascii="Book Antiqua" w:hAnsi="Book Antiqua"/>
        </w:rPr>
        <w:t>Chien</w:t>
      </w:r>
      <w:proofErr w:type="spellEnd"/>
      <w:r>
        <w:rPr>
          <w:rFonts w:ascii="Book Antiqua" w:hAnsi="Book Antiqua"/>
        </w:rPr>
        <w:t xml:space="preserve"> SC</w:t>
      </w:r>
      <w:r>
        <w:rPr>
          <w:rFonts w:ascii="Book Antiqua" w:hAnsi="Book Antiqua"/>
          <w:i/>
          <w:iCs/>
        </w:rPr>
        <w:t xml:space="preserve"> et al. </w:t>
      </w:r>
      <w:r>
        <w:rPr>
          <w:rFonts w:ascii="Book Antiqua" w:hAnsi="Book Antiqua"/>
        </w:rPr>
        <w:t>Small bowel perforation</w:t>
      </w:r>
    </w:p>
    <w:p w14:paraId="00A64DE3" w14:textId="77777777" w:rsidR="00B33107" w:rsidRDefault="00B33107">
      <w:pPr>
        <w:spacing w:line="360" w:lineRule="auto"/>
        <w:jc w:val="both"/>
      </w:pPr>
    </w:p>
    <w:p w14:paraId="0706C088" w14:textId="187C3217" w:rsidR="00B33107" w:rsidRDefault="00E56C00">
      <w:pPr>
        <w:spacing w:line="360" w:lineRule="auto"/>
        <w:jc w:val="both"/>
      </w:pPr>
      <w:r>
        <w:rPr>
          <w:rFonts w:ascii="Book Antiqua" w:hAnsi="Book Antiqua"/>
        </w:rPr>
        <w:t xml:space="preserve">Shih-Chun </w:t>
      </w:r>
      <w:proofErr w:type="spellStart"/>
      <w:r>
        <w:rPr>
          <w:rFonts w:ascii="Book Antiqua" w:hAnsi="Book Antiqua"/>
        </w:rPr>
        <w:t>Chien</w:t>
      </w:r>
      <w:proofErr w:type="spellEnd"/>
      <w:r>
        <w:rPr>
          <w:rFonts w:ascii="Book Antiqua" w:hAnsi="Book Antiqua"/>
        </w:rPr>
        <w:t xml:space="preserve">, </w:t>
      </w:r>
      <w:proofErr w:type="spellStart"/>
      <w:r>
        <w:rPr>
          <w:rFonts w:ascii="Book Antiqua" w:hAnsi="Book Antiqua"/>
        </w:rPr>
        <w:t>Chih</w:t>
      </w:r>
      <w:proofErr w:type="spellEnd"/>
      <w:r>
        <w:rPr>
          <w:rFonts w:ascii="Book Antiqua" w:hAnsi="Book Antiqua"/>
        </w:rPr>
        <w:t xml:space="preserve">-Chung Chang, Shih-Chao </w:t>
      </w:r>
      <w:proofErr w:type="spellStart"/>
      <w:r>
        <w:rPr>
          <w:rFonts w:ascii="Book Antiqua" w:hAnsi="Book Antiqua"/>
        </w:rPr>
        <w:t>Chien</w:t>
      </w:r>
      <w:proofErr w:type="spellEnd"/>
    </w:p>
    <w:p w14:paraId="2914C453" w14:textId="77777777" w:rsidR="00B33107" w:rsidRDefault="00B33107">
      <w:pPr>
        <w:spacing w:line="360" w:lineRule="auto"/>
        <w:jc w:val="both"/>
      </w:pPr>
    </w:p>
    <w:p w14:paraId="1CBC7BDC" w14:textId="6F9A494F" w:rsidR="00B33107" w:rsidRDefault="00E56C00">
      <w:pPr>
        <w:spacing w:line="360" w:lineRule="auto"/>
        <w:jc w:val="both"/>
      </w:pPr>
      <w:r>
        <w:rPr>
          <w:rFonts w:ascii="Book Antiqua" w:hAnsi="Book Antiqua"/>
          <w:b/>
          <w:bCs/>
        </w:rPr>
        <w:t xml:space="preserve">Shih-Chun </w:t>
      </w:r>
      <w:proofErr w:type="spellStart"/>
      <w:r>
        <w:rPr>
          <w:rFonts w:ascii="Book Antiqua" w:hAnsi="Book Antiqua"/>
          <w:b/>
          <w:bCs/>
        </w:rPr>
        <w:t>Chien</w:t>
      </w:r>
      <w:proofErr w:type="spellEnd"/>
      <w:r>
        <w:rPr>
          <w:rFonts w:ascii="Book Antiqua" w:hAnsi="Book Antiqua"/>
          <w:b/>
          <w:bCs/>
        </w:rPr>
        <w:t xml:space="preserve">, Shih-Chao </w:t>
      </w:r>
      <w:proofErr w:type="spellStart"/>
      <w:r>
        <w:rPr>
          <w:rFonts w:ascii="Book Antiqua" w:hAnsi="Book Antiqua"/>
          <w:b/>
          <w:bCs/>
        </w:rPr>
        <w:t>Chien</w:t>
      </w:r>
      <w:proofErr w:type="spellEnd"/>
      <w:r>
        <w:rPr>
          <w:rFonts w:ascii="Book Antiqua" w:hAnsi="Book Antiqua"/>
          <w:b/>
          <w:bCs/>
        </w:rPr>
        <w:t xml:space="preserve">, </w:t>
      </w:r>
      <w:r>
        <w:rPr>
          <w:rFonts w:ascii="Book Antiqua" w:hAnsi="Book Antiqua"/>
        </w:rPr>
        <w:t>Department of Emergency Medicine, Mackay Memorial Hospital, Taipei 104, Taiwan</w:t>
      </w:r>
    </w:p>
    <w:p w14:paraId="05E85EA3" w14:textId="77777777" w:rsidR="00B33107" w:rsidRDefault="00B33107">
      <w:pPr>
        <w:spacing w:line="360" w:lineRule="auto"/>
        <w:jc w:val="both"/>
      </w:pPr>
    </w:p>
    <w:p w14:paraId="3E83356C" w14:textId="77777777" w:rsidR="00B33107" w:rsidRDefault="00E56C00">
      <w:pPr>
        <w:spacing w:line="360" w:lineRule="auto"/>
        <w:jc w:val="both"/>
      </w:pPr>
      <w:proofErr w:type="spellStart"/>
      <w:r>
        <w:rPr>
          <w:rFonts w:ascii="Book Antiqua" w:hAnsi="Book Antiqua"/>
          <w:b/>
          <w:bCs/>
        </w:rPr>
        <w:t>Chih</w:t>
      </w:r>
      <w:proofErr w:type="spellEnd"/>
      <w:r>
        <w:rPr>
          <w:rFonts w:ascii="Book Antiqua" w:hAnsi="Book Antiqua"/>
          <w:b/>
          <w:bCs/>
        </w:rPr>
        <w:t xml:space="preserve">-Chung Chang, </w:t>
      </w:r>
      <w:r>
        <w:rPr>
          <w:rFonts w:ascii="Book Antiqua" w:hAnsi="Book Antiqua"/>
        </w:rPr>
        <w:t>Department of Emergency Medicine, Taitung Mackay Memorial Hospital, Taitung 950, Taiwan</w:t>
      </w:r>
    </w:p>
    <w:p w14:paraId="4AA533C8" w14:textId="77777777" w:rsidR="00B33107" w:rsidRDefault="00B33107">
      <w:pPr>
        <w:spacing w:line="360" w:lineRule="auto"/>
        <w:jc w:val="both"/>
      </w:pPr>
    </w:p>
    <w:p w14:paraId="3EC06303" w14:textId="77777777" w:rsidR="00B33107" w:rsidRDefault="00E56C00">
      <w:pPr>
        <w:spacing w:line="360" w:lineRule="auto"/>
        <w:jc w:val="both"/>
      </w:pPr>
      <w:r>
        <w:rPr>
          <w:rFonts w:ascii="Book Antiqua" w:hAnsi="Book Antiqua"/>
          <w:b/>
          <w:bCs/>
        </w:rPr>
        <w:t xml:space="preserve">Author contributions: </w:t>
      </w:r>
      <w:proofErr w:type="spellStart"/>
      <w:r>
        <w:rPr>
          <w:rFonts w:ascii="Book Antiqua" w:hAnsi="Book Antiqua"/>
        </w:rPr>
        <w:t>Chien</w:t>
      </w:r>
      <w:proofErr w:type="spellEnd"/>
      <w:r>
        <w:rPr>
          <w:rFonts w:ascii="Book Antiqua" w:hAnsi="Book Antiqua"/>
        </w:rPr>
        <w:t xml:space="preserve"> SC was responsible for the concept and design of the study and critical revision of the manuscript for important intellectual content; </w:t>
      </w:r>
      <w:proofErr w:type="spellStart"/>
      <w:r>
        <w:rPr>
          <w:rFonts w:ascii="Book Antiqua" w:hAnsi="Book Antiqua"/>
        </w:rPr>
        <w:t>Chien</w:t>
      </w:r>
      <w:proofErr w:type="spellEnd"/>
      <w:r>
        <w:rPr>
          <w:rFonts w:ascii="Book Antiqua" w:hAnsi="Book Antiqua"/>
        </w:rPr>
        <w:t xml:space="preserve"> SC and Chang CC drafted the manuscript.</w:t>
      </w:r>
    </w:p>
    <w:p w14:paraId="75A33E62" w14:textId="77777777" w:rsidR="00B33107" w:rsidRDefault="00B33107">
      <w:pPr>
        <w:spacing w:line="360" w:lineRule="auto"/>
        <w:jc w:val="both"/>
      </w:pPr>
    </w:p>
    <w:p w14:paraId="129D1CB5" w14:textId="21EA7FB4" w:rsidR="00B33107" w:rsidRDefault="00E56C00">
      <w:pPr>
        <w:spacing w:line="360" w:lineRule="auto"/>
        <w:jc w:val="both"/>
      </w:pPr>
      <w:r>
        <w:rPr>
          <w:rFonts w:ascii="Book Antiqua" w:hAnsi="Book Antiqua"/>
          <w:b/>
          <w:bCs/>
        </w:rPr>
        <w:t xml:space="preserve">Corresponding author: Shih-Chao </w:t>
      </w:r>
      <w:proofErr w:type="spellStart"/>
      <w:r>
        <w:rPr>
          <w:rFonts w:ascii="Book Antiqua" w:hAnsi="Book Antiqua"/>
          <w:b/>
          <w:bCs/>
        </w:rPr>
        <w:t>Chien</w:t>
      </w:r>
      <w:proofErr w:type="spellEnd"/>
      <w:r>
        <w:rPr>
          <w:rFonts w:ascii="Book Antiqua" w:hAnsi="Book Antiqua"/>
          <w:b/>
          <w:bCs/>
        </w:rPr>
        <w:t xml:space="preserve">, MD, Staff Physician, </w:t>
      </w:r>
      <w:r>
        <w:rPr>
          <w:rFonts w:ascii="Book Antiqua" w:hAnsi="Book Antiqua"/>
        </w:rPr>
        <w:t>Department of Emergency Medicine, Mackay Memorial Hospital, No. 92 Sec. 2 Zhongshan N. Rd, Zhongshan District, Taipei 104, Taiwan. phantom859958@gmail.com</w:t>
      </w:r>
    </w:p>
    <w:p w14:paraId="3062FCD5" w14:textId="77777777" w:rsidR="00B33107" w:rsidRDefault="00B33107">
      <w:pPr>
        <w:spacing w:line="360" w:lineRule="auto"/>
        <w:jc w:val="both"/>
      </w:pPr>
    </w:p>
    <w:p w14:paraId="608A503E" w14:textId="77777777" w:rsidR="00B33107" w:rsidRDefault="00E56C00">
      <w:pPr>
        <w:spacing w:line="360" w:lineRule="auto"/>
        <w:jc w:val="both"/>
      </w:pPr>
      <w:r>
        <w:rPr>
          <w:rFonts w:ascii="Book Antiqua" w:hAnsi="Book Antiqua"/>
          <w:b/>
          <w:bCs/>
        </w:rPr>
        <w:t xml:space="preserve">Received: </w:t>
      </w:r>
      <w:r>
        <w:rPr>
          <w:rFonts w:ascii="Book Antiqua" w:hAnsi="Book Antiqua"/>
        </w:rPr>
        <w:t>November 17, 2020</w:t>
      </w:r>
    </w:p>
    <w:p w14:paraId="353544B3" w14:textId="77777777" w:rsidR="00B33107" w:rsidRDefault="00E56C00">
      <w:pPr>
        <w:spacing w:line="360" w:lineRule="auto"/>
        <w:jc w:val="both"/>
      </w:pPr>
      <w:r>
        <w:rPr>
          <w:rFonts w:ascii="Book Antiqua" w:hAnsi="Book Antiqua"/>
          <w:b/>
          <w:bCs/>
        </w:rPr>
        <w:t xml:space="preserve">Revised: </w:t>
      </w:r>
      <w:r>
        <w:rPr>
          <w:rFonts w:ascii="Book Antiqua" w:hAnsi="Book Antiqua"/>
        </w:rPr>
        <w:t>December 21, 2020</w:t>
      </w:r>
    </w:p>
    <w:p w14:paraId="57994943" w14:textId="22407C33" w:rsidR="00B33107" w:rsidRDefault="00E56C00">
      <w:pPr>
        <w:spacing w:line="360" w:lineRule="auto"/>
        <w:jc w:val="both"/>
      </w:pPr>
      <w:r>
        <w:rPr>
          <w:rFonts w:ascii="Book Antiqua" w:hAnsi="Book Antiqua"/>
          <w:b/>
          <w:bCs/>
        </w:rPr>
        <w:t xml:space="preserve">Accepted: </w:t>
      </w:r>
      <w:r w:rsidR="00523B07" w:rsidRPr="00523B07">
        <w:rPr>
          <w:rFonts w:ascii="Book Antiqua" w:hAnsi="Book Antiqua"/>
        </w:rPr>
        <w:t xml:space="preserve">January 7, 2021 </w:t>
      </w:r>
    </w:p>
    <w:p w14:paraId="2E9C7F0F" w14:textId="1526F29E" w:rsidR="00B33107" w:rsidRDefault="00E56C00">
      <w:pPr>
        <w:spacing w:line="360" w:lineRule="auto"/>
        <w:jc w:val="both"/>
      </w:pPr>
      <w:r>
        <w:rPr>
          <w:rFonts w:ascii="Book Antiqua" w:hAnsi="Book Antiqua"/>
          <w:b/>
          <w:bCs/>
        </w:rPr>
        <w:t xml:space="preserve">Published online: </w:t>
      </w:r>
      <w:r w:rsidR="00150811" w:rsidRPr="00BC6FB2">
        <w:rPr>
          <w:rFonts w:ascii="Book Antiqua" w:eastAsia="Book Antiqua" w:hAnsi="Book Antiqua" w:cs="Book Antiqua"/>
          <w:bCs/>
        </w:rPr>
        <w:t>February 16, 2021</w:t>
      </w:r>
    </w:p>
    <w:p w14:paraId="44C3359F" w14:textId="77777777" w:rsidR="00B33107" w:rsidRDefault="00B33107">
      <w:pPr>
        <w:spacing w:line="360" w:lineRule="auto"/>
        <w:jc w:val="both"/>
        <w:sectPr w:rsidR="00B33107">
          <w:footerReference w:type="default" r:id="rId7"/>
          <w:pgSz w:w="12240" w:h="15840"/>
          <w:pgMar w:top="1440" w:right="1440" w:bottom="1440" w:left="1440" w:header="720" w:footer="720" w:gutter="0"/>
          <w:cols w:space="720"/>
        </w:sectPr>
      </w:pPr>
    </w:p>
    <w:p w14:paraId="0FECE011" w14:textId="77777777" w:rsidR="00B33107" w:rsidRDefault="00E56C00">
      <w:pPr>
        <w:spacing w:line="360" w:lineRule="auto"/>
        <w:jc w:val="both"/>
      </w:pPr>
      <w:r>
        <w:rPr>
          <w:rFonts w:ascii="Book Antiqua" w:hAnsi="Book Antiqua"/>
          <w:b/>
          <w:bCs/>
        </w:rPr>
        <w:lastRenderedPageBreak/>
        <w:t>Abstract</w:t>
      </w:r>
    </w:p>
    <w:p w14:paraId="0D5CB4B6" w14:textId="77777777" w:rsidR="00B33107" w:rsidRDefault="00E56C00">
      <w:pPr>
        <w:spacing w:line="360" w:lineRule="auto"/>
        <w:jc w:val="both"/>
      </w:pPr>
      <w:r>
        <w:rPr>
          <w:rFonts w:ascii="Book Antiqua" w:hAnsi="Book Antiqua"/>
        </w:rPr>
        <w:t>BACKGROUND</w:t>
      </w:r>
    </w:p>
    <w:p w14:paraId="388D5700" w14:textId="13019921" w:rsidR="00B33107" w:rsidRDefault="00160C3E">
      <w:pPr>
        <w:spacing w:line="360" w:lineRule="auto"/>
        <w:jc w:val="both"/>
      </w:pPr>
      <w:r>
        <w:rPr>
          <w:rFonts w:ascii="Book Antiqua" w:hAnsi="Book Antiqua"/>
          <w:i/>
          <w:iCs/>
        </w:rPr>
        <w:t xml:space="preserve">Vibrio </w:t>
      </w:r>
      <w:proofErr w:type="spellStart"/>
      <w:r>
        <w:rPr>
          <w:rFonts w:ascii="Book Antiqua" w:hAnsi="Book Antiqua"/>
          <w:i/>
          <w:iCs/>
        </w:rPr>
        <w:t>pararhaemolyticus</w:t>
      </w:r>
      <w:proofErr w:type="spellEnd"/>
      <w:r>
        <w:rPr>
          <w:rFonts w:ascii="Book Antiqua" w:hAnsi="Book Antiqua"/>
          <w:i/>
          <w:iCs/>
        </w:rPr>
        <w:t xml:space="preserve"> </w:t>
      </w:r>
      <w:r w:rsidRPr="00160C3E">
        <w:rPr>
          <w:rFonts w:ascii="Book Antiqua" w:hAnsi="Book Antiqua"/>
        </w:rPr>
        <w:t>(</w:t>
      </w:r>
      <w:r>
        <w:rPr>
          <w:rFonts w:ascii="Book Antiqua" w:hAnsi="Book Antiqua"/>
          <w:i/>
          <w:iCs/>
        </w:rPr>
        <w:t>V. parahaemolyticus</w:t>
      </w:r>
      <w:r w:rsidRPr="00160C3E">
        <w:rPr>
          <w:rFonts w:ascii="Book Antiqua" w:hAnsi="Book Antiqua"/>
        </w:rPr>
        <w:t>)</w:t>
      </w:r>
      <w:r w:rsidR="00E56C00">
        <w:rPr>
          <w:rFonts w:ascii="Book Antiqua" w:hAnsi="Book Antiqua"/>
        </w:rPr>
        <w:t xml:space="preserve">, a pathogen that commonly causes gastroenteritis, could potentially lead to a pandemic in Asia. Its pathogenesis and molecular mechanisms vary, and the severity of illness can be diverse, ranging from mild gastroenteritis, requiring only supportive care, to sepsis. </w:t>
      </w:r>
    </w:p>
    <w:p w14:paraId="214F6D46" w14:textId="77777777" w:rsidR="00B33107" w:rsidRDefault="00B33107">
      <w:pPr>
        <w:spacing w:line="360" w:lineRule="auto"/>
        <w:jc w:val="both"/>
      </w:pPr>
    </w:p>
    <w:p w14:paraId="7F1FDAD6" w14:textId="77777777" w:rsidR="00B33107" w:rsidRDefault="00E56C00">
      <w:pPr>
        <w:spacing w:line="360" w:lineRule="auto"/>
        <w:jc w:val="both"/>
      </w:pPr>
      <w:r>
        <w:rPr>
          <w:rFonts w:ascii="Book Antiqua" w:hAnsi="Book Antiqua"/>
        </w:rPr>
        <w:t>CASE SUMMARY</w:t>
      </w:r>
    </w:p>
    <w:p w14:paraId="041B3DBB" w14:textId="0F9B1635" w:rsidR="00B33107" w:rsidRDefault="00E56C00">
      <w:pPr>
        <w:spacing w:line="360" w:lineRule="auto"/>
        <w:jc w:val="both"/>
      </w:pPr>
      <w:r>
        <w:rPr>
          <w:rFonts w:ascii="Book Antiqua" w:hAnsi="Book Antiqua"/>
        </w:rPr>
        <w:t xml:space="preserve">We outline a case of a 71-year-old female who experienced an acute onset of severe abdominal tenderness after two days of vomiting and diarrhea prior to her emergency department visit. A small bowel perforation was diagnosed using computed tomography. The ascites cultured revealed infection due to </w:t>
      </w:r>
      <w:r w:rsidR="00F10DE1">
        <w:rPr>
          <w:rFonts w:ascii="Book Antiqua" w:hAnsi="Book Antiqua"/>
          <w:i/>
          <w:iCs/>
        </w:rPr>
        <w:t>V</w:t>
      </w:r>
      <w:r w:rsidR="00160C3E">
        <w:rPr>
          <w:rFonts w:ascii="Book Antiqua" w:hAnsi="Book Antiqua"/>
          <w:i/>
          <w:iCs/>
        </w:rPr>
        <w:t>.</w:t>
      </w:r>
      <w:r w:rsidR="00F10DE1">
        <w:rPr>
          <w:rFonts w:ascii="Book Antiqua" w:hAnsi="Book Antiqua"/>
          <w:i/>
          <w:iCs/>
        </w:rPr>
        <w:t xml:space="preserve"> parahaemolyticus</w:t>
      </w:r>
    </w:p>
    <w:p w14:paraId="241BD752" w14:textId="77777777" w:rsidR="00B33107" w:rsidRDefault="00B33107">
      <w:pPr>
        <w:spacing w:line="360" w:lineRule="auto"/>
        <w:jc w:val="both"/>
      </w:pPr>
    </w:p>
    <w:p w14:paraId="5B203AF5" w14:textId="77777777" w:rsidR="00B33107" w:rsidRDefault="00E56C00">
      <w:pPr>
        <w:spacing w:line="360" w:lineRule="auto"/>
        <w:jc w:val="both"/>
      </w:pPr>
      <w:r>
        <w:rPr>
          <w:rFonts w:ascii="Book Antiqua" w:hAnsi="Book Antiqua"/>
        </w:rPr>
        <w:t>CONCLUSION</w:t>
      </w:r>
    </w:p>
    <w:p w14:paraId="7E829E7E" w14:textId="2B2DFB2D" w:rsidR="00B33107" w:rsidRDefault="00E56C00">
      <w:pPr>
        <w:spacing w:line="360" w:lineRule="auto"/>
        <w:jc w:val="both"/>
      </w:pPr>
      <w:r>
        <w:rPr>
          <w:rFonts w:ascii="Book Antiqua" w:hAnsi="Book Antiqua"/>
        </w:rPr>
        <w:t>Our case is the first reported case of</w:t>
      </w:r>
      <w:r>
        <w:rPr>
          <w:rFonts w:ascii="Book Antiqua" w:hAnsi="Book Antiqua"/>
          <w:i/>
          <w:iCs/>
        </w:rPr>
        <w:t xml:space="preserve"> </w:t>
      </w:r>
      <w:r w:rsidR="00F10DE1">
        <w:rPr>
          <w:rFonts w:ascii="Book Antiqua" w:hAnsi="Book Antiqua"/>
          <w:i/>
          <w:iCs/>
        </w:rPr>
        <w:t>V</w:t>
      </w:r>
      <w:r w:rsidR="00160C3E">
        <w:rPr>
          <w:rFonts w:ascii="Book Antiqua" w:hAnsi="Book Antiqua"/>
          <w:i/>
          <w:iCs/>
        </w:rPr>
        <w:t>.</w:t>
      </w:r>
      <w:r w:rsidR="00F10DE1">
        <w:rPr>
          <w:rFonts w:ascii="Book Antiqua" w:hAnsi="Book Antiqua"/>
          <w:i/>
          <w:iCs/>
        </w:rPr>
        <w:t xml:space="preserve"> parahaemolyticus</w:t>
      </w:r>
      <w:r>
        <w:rPr>
          <w:rFonts w:ascii="Book Antiqua" w:hAnsi="Book Antiqua"/>
        </w:rPr>
        <w:t>-induced gastroenteritis resulting in small bowel perforation.</w:t>
      </w:r>
    </w:p>
    <w:p w14:paraId="740751A3" w14:textId="77777777" w:rsidR="00B33107" w:rsidRDefault="00B33107">
      <w:pPr>
        <w:spacing w:line="360" w:lineRule="auto"/>
        <w:jc w:val="both"/>
      </w:pPr>
    </w:p>
    <w:p w14:paraId="57D3E2CF" w14:textId="77777777" w:rsidR="00B33107" w:rsidRDefault="00E56C00">
      <w:pPr>
        <w:spacing w:line="360" w:lineRule="auto"/>
        <w:jc w:val="both"/>
      </w:pPr>
      <w:r>
        <w:rPr>
          <w:rFonts w:ascii="Book Antiqua" w:hAnsi="Book Antiqua"/>
          <w:b/>
          <w:bCs/>
        </w:rPr>
        <w:t xml:space="preserve">Key Words: </w:t>
      </w:r>
      <w:r>
        <w:rPr>
          <w:rFonts w:ascii="Book Antiqua" w:hAnsi="Book Antiqua"/>
          <w:i/>
          <w:iCs/>
        </w:rPr>
        <w:t xml:space="preserve">Vibrio </w:t>
      </w:r>
      <w:proofErr w:type="spellStart"/>
      <w:r>
        <w:rPr>
          <w:rFonts w:ascii="Book Antiqua" w:hAnsi="Book Antiqua"/>
          <w:i/>
          <w:iCs/>
        </w:rPr>
        <w:t>parahaemolyticus</w:t>
      </w:r>
      <w:proofErr w:type="spellEnd"/>
      <w:r>
        <w:rPr>
          <w:rFonts w:ascii="Book Antiqua" w:hAnsi="Book Antiqua"/>
        </w:rPr>
        <w:t xml:space="preserve">; </w:t>
      </w:r>
      <w:proofErr w:type="spellStart"/>
      <w:r>
        <w:rPr>
          <w:rFonts w:ascii="Book Antiqua" w:hAnsi="Book Antiqua"/>
        </w:rPr>
        <w:t>Gastroenteriti</w:t>
      </w:r>
      <w:proofErr w:type="spellEnd"/>
      <w:r>
        <w:rPr>
          <w:rFonts w:ascii="Book Antiqua" w:hAnsi="Book Antiqua"/>
        </w:rPr>
        <w:t>; Small bowel perforation; Bacteria; Infections; Case report</w:t>
      </w:r>
    </w:p>
    <w:p w14:paraId="4B8424DD" w14:textId="77777777" w:rsidR="006629F8" w:rsidRDefault="006629F8" w:rsidP="006629F8">
      <w:pPr>
        <w:spacing w:line="360" w:lineRule="auto"/>
        <w:jc w:val="both"/>
      </w:pPr>
    </w:p>
    <w:p w14:paraId="27870904" w14:textId="77777777" w:rsidR="006629F8" w:rsidRPr="00026CB8" w:rsidRDefault="006629F8" w:rsidP="006629F8">
      <w:pPr>
        <w:spacing w:line="360" w:lineRule="auto"/>
        <w:jc w:val="both"/>
        <w:rPr>
          <w:rFonts w:ascii="Book Antiqua" w:eastAsia="Book Antiqua" w:hAnsi="Book Antiqua" w:cs="Book Antiqua"/>
        </w:rPr>
      </w:pPr>
      <w:proofErr w:type="gramStart"/>
      <w:r w:rsidRPr="00295F61">
        <w:rPr>
          <w:rFonts w:ascii="Book Antiqua" w:eastAsia="Book Antiqua" w:hAnsi="Book Antiqua" w:cs="Book Antiqua" w:hint="eastAsia"/>
          <w:b/>
        </w:rPr>
        <w:t>©</w:t>
      </w:r>
      <w:r w:rsidRPr="00295F61">
        <w:rPr>
          <w:rFonts w:ascii="Book Antiqua" w:eastAsia="Book Antiqua" w:hAnsi="Book Antiqua" w:cs="Book Antiqua"/>
          <w:b/>
        </w:rPr>
        <w:t>The</w:t>
      </w:r>
      <w:r>
        <w:rPr>
          <w:rFonts w:ascii="Book Antiqua" w:eastAsia="Book Antiqua" w:hAnsi="Book Antiqua" w:cs="Book Antiqua"/>
        </w:rPr>
        <w:t xml:space="preserve"> </w:t>
      </w:r>
      <w:r w:rsidRPr="00F9718F">
        <w:rPr>
          <w:rFonts w:ascii="Book Antiqua" w:eastAsia="Book Antiqua" w:hAnsi="Book Antiqua" w:cs="Book Antiqua"/>
          <w:b/>
        </w:rPr>
        <w:t>Author(s) 2021.</w:t>
      </w:r>
      <w:proofErr w:type="gramEnd"/>
      <w:r w:rsidRPr="00F9718F">
        <w:rPr>
          <w:rFonts w:ascii="Book Antiqua" w:eastAsia="Book Antiqua" w:hAnsi="Book Antiqua" w:cs="Book Antiqua"/>
          <w:b/>
        </w:rPr>
        <w:t xml:space="preserve"> </w:t>
      </w:r>
      <w:proofErr w:type="gramStart"/>
      <w:r w:rsidRPr="00026CB8">
        <w:rPr>
          <w:rFonts w:ascii="Book Antiqua" w:eastAsia="Book Antiqua" w:hAnsi="Book Antiqua" w:cs="Book Antiqua"/>
        </w:rPr>
        <w:t xml:space="preserve">Published by </w:t>
      </w:r>
      <w:proofErr w:type="spellStart"/>
      <w:r w:rsidRPr="00026CB8">
        <w:rPr>
          <w:rFonts w:ascii="Book Antiqua" w:eastAsia="Book Antiqua" w:hAnsi="Book Antiqua" w:cs="Book Antiqua"/>
        </w:rPr>
        <w:t>Baishideng</w:t>
      </w:r>
      <w:proofErr w:type="spellEnd"/>
      <w:r w:rsidRPr="00026CB8">
        <w:rPr>
          <w:rFonts w:ascii="Book Antiqua" w:eastAsia="Book Antiqua" w:hAnsi="Book Antiqua" w:cs="Book Antiqua"/>
        </w:rPr>
        <w:t xml:space="preserve"> Publishing Group Inc.</w:t>
      </w:r>
      <w:proofErr w:type="gramEnd"/>
      <w:r w:rsidRPr="00026CB8">
        <w:rPr>
          <w:rFonts w:ascii="Book Antiqua" w:eastAsia="Book Antiqua" w:hAnsi="Book Antiqua" w:cs="Book Antiqua"/>
        </w:rPr>
        <w:t xml:space="preserve"> All rights reserved. </w:t>
      </w:r>
    </w:p>
    <w:p w14:paraId="0271AEB5" w14:textId="77777777" w:rsidR="006629F8" w:rsidRPr="009C101B" w:rsidRDefault="006629F8" w:rsidP="006629F8">
      <w:pPr>
        <w:spacing w:line="360" w:lineRule="auto"/>
        <w:jc w:val="both"/>
      </w:pPr>
    </w:p>
    <w:p w14:paraId="714703D3" w14:textId="34F7E76D" w:rsidR="00AA50F1" w:rsidRDefault="006629F8" w:rsidP="006629F8">
      <w:pPr>
        <w:spacing w:line="360" w:lineRule="auto"/>
        <w:jc w:val="both"/>
        <w:rPr>
          <w:rFonts w:ascii="Book Antiqua" w:hAnsi="Book Antiqua" w:hint="eastAsia"/>
        </w:rPr>
      </w:pPr>
      <w:r w:rsidRPr="00AE1DD1">
        <w:rPr>
          <w:rFonts w:ascii="Book Antiqua" w:hAnsi="Book Antiqua" w:cs="Book Antiqua" w:hint="eastAsia"/>
          <w:b/>
        </w:rPr>
        <w:t>Citation:</w:t>
      </w:r>
      <w:r>
        <w:rPr>
          <w:rFonts w:ascii="Book Antiqua" w:hAnsi="Book Antiqua" w:cs="Book Antiqua" w:hint="eastAsia"/>
        </w:rPr>
        <w:t xml:space="preserve"> </w:t>
      </w:r>
      <w:proofErr w:type="spellStart"/>
      <w:r w:rsidR="00E56C00">
        <w:rPr>
          <w:rFonts w:ascii="Book Antiqua" w:hAnsi="Book Antiqua"/>
        </w:rPr>
        <w:t>Chien</w:t>
      </w:r>
      <w:proofErr w:type="spellEnd"/>
      <w:r w:rsidR="00E56C00">
        <w:rPr>
          <w:rFonts w:ascii="Book Antiqua" w:hAnsi="Book Antiqua"/>
        </w:rPr>
        <w:t xml:space="preserve"> SC, Chang CC, </w:t>
      </w:r>
      <w:proofErr w:type="spellStart"/>
      <w:r w:rsidR="00E56C00">
        <w:rPr>
          <w:rFonts w:ascii="Book Antiqua" w:hAnsi="Book Antiqua"/>
        </w:rPr>
        <w:t>Chien</w:t>
      </w:r>
      <w:proofErr w:type="spellEnd"/>
      <w:r w:rsidR="00E56C00">
        <w:rPr>
          <w:rFonts w:ascii="Book Antiqua" w:hAnsi="Book Antiqua"/>
        </w:rPr>
        <w:t xml:space="preserve"> SC. Spontaneous small bowel perforation secondary to </w:t>
      </w:r>
      <w:r w:rsidR="00E56C00" w:rsidRPr="00F10DE1">
        <w:rPr>
          <w:rFonts w:ascii="Book Antiqua" w:hAnsi="Book Antiqua"/>
          <w:i/>
          <w:iCs/>
        </w:rPr>
        <w:t>Vibrio parahaemolyticus</w:t>
      </w:r>
      <w:r w:rsidR="00E56C00">
        <w:rPr>
          <w:rFonts w:ascii="Book Antiqua" w:hAnsi="Book Antiqua"/>
        </w:rPr>
        <w:t xml:space="preserve"> infection: A case report. </w:t>
      </w:r>
      <w:r w:rsidR="00E56C00">
        <w:rPr>
          <w:rFonts w:ascii="Book Antiqua" w:hAnsi="Book Antiqua"/>
          <w:i/>
          <w:iCs/>
        </w:rPr>
        <w:t xml:space="preserve">World J </w:t>
      </w:r>
      <w:proofErr w:type="spellStart"/>
      <w:r w:rsidR="00E56C00">
        <w:rPr>
          <w:rFonts w:ascii="Book Antiqua" w:hAnsi="Book Antiqua"/>
          <w:i/>
          <w:iCs/>
        </w:rPr>
        <w:t>Clin</w:t>
      </w:r>
      <w:proofErr w:type="spellEnd"/>
      <w:r w:rsidR="00E56C00">
        <w:rPr>
          <w:rFonts w:ascii="Book Antiqua" w:hAnsi="Book Antiqua"/>
          <w:i/>
          <w:iCs/>
        </w:rPr>
        <w:t xml:space="preserve"> Cases</w:t>
      </w:r>
      <w:r w:rsidR="00E56C00">
        <w:rPr>
          <w:rFonts w:ascii="Book Antiqua" w:hAnsi="Book Antiqua"/>
        </w:rPr>
        <w:t xml:space="preserve"> 2021; </w:t>
      </w:r>
      <w:r w:rsidR="00150811" w:rsidRPr="00150811">
        <w:rPr>
          <w:rFonts w:ascii="Book Antiqua" w:hAnsi="Book Antiqua"/>
        </w:rPr>
        <w:t xml:space="preserve">9(5): </w:t>
      </w:r>
      <w:r w:rsidR="00AA50F1">
        <w:rPr>
          <w:rFonts w:ascii="Book Antiqua" w:hAnsi="Book Antiqua" w:hint="eastAsia"/>
        </w:rPr>
        <w:t>1210-1214</w:t>
      </w:r>
    </w:p>
    <w:p w14:paraId="35761CCE" w14:textId="06265A80" w:rsidR="00AA50F1" w:rsidRDefault="00150811" w:rsidP="006629F8">
      <w:pPr>
        <w:spacing w:line="360" w:lineRule="auto"/>
        <w:jc w:val="both"/>
        <w:rPr>
          <w:rFonts w:ascii="Book Antiqua" w:hAnsi="Book Antiqua" w:hint="eastAsia"/>
        </w:rPr>
      </w:pPr>
      <w:r w:rsidRPr="00150811">
        <w:rPr>
          <w:rFonts w:ascii="Book Antiqua" w:hAnsi="Book Antiqua"/>
        </w:rPr>
        <w:t>URL: https://www.wjgnet.com/2307-8960/full/v9/i5/</w:t>
      </w:r>
      <w:r w:rsidR="00AA50F1">
        <w:rPr>
          <w:rFonts w:ascii="Book Antiqua" w:hAnsi="Book Antiqua" w:hint="eastAsia"/>
        </w:rPr>
        <w:t>121</w:t>
      </w:r>
      <w:r w:rsidRPr="00150811">
        <w:rPr>
          <w:rFonts w:ascii="Book Antiqua" w:hAnsi="Book Antiqua"/>
        </w:rPr>
        <w:t xml:space="preserve">0.htm </w:t>
      </w:r>
    </w:p>
    <w:p w14:paraId="7F123D82" w14:textId="3D5AFBAB" w:rsidR="00B33107" w:rsidRPr="00150811" w:rsidRDefault="00150811" w:rsidP="006629F8">
      <w:pPr>
        <w:spacing w:line="360" w:lineRule="auto"/>
        <w:jc w:val="both"/>
        <w:rPr>
          <w:rFonts w:ascii="Book Antiqua" w:hAnsi="Book Antiqua"/>
        </w:rPr>
      </w:pPr>
      <w:r w:rsidRPr="00150811">
        <w:rPr>
          <w:rFonts w:ascii="Book Antiqua" w:hAnsi="Book Antiqua"/>
        </w:rPr>
        <w:t xml:space="preserve">DOI: </w:t>
      </w:r>
      <w:bookmarkStart w:id="0" w:name="_GoBack"/>
      <w:r w:rsidRPr="00150811">
        <w:rPr>
          <w:rFonts w:ascii="Book Antiqua" w:hAnsi="Book Antiqua"/>
        </w:rPr>
        <w:t>https://dx.doi.org/10.12998/wjcc.v9.i5.</w:t>
      </w:r>
      <w:r w:rsidR="00AA50F1">
        <w:rPr>
          <w:rFonts w:ascii="Book Antiqua" w:hAnsi="Book Antiqua" w:hint="eastAsia"/>
        </w:rPr>
        <w:t>121</w:t>
      </w:r>
      <w:r w:rsidRPr="00150811">
        <w:rPr>
          <w:rFonts w:ascii="Book Antiqua" w:hAnsi="Book Antiqua"/>
        </w:rPr>
        <w:t>0</w:t>
      </w:r>
      <w:bookmarkEnd w:id="0"/>
    </w:p>
    <w:p w14:paraId="79CE9870" w14:textId="77777777" w:rsidR="00B33107" w:rsidRDefault="00B33107">
      <w:pPr>
        <w:spacing w:line="360" w:lineRule="auto"/>
        <w:jc w:val="both"/>
      </w:pPr>
    </w:p>
    <w:p w14:paraId="05BAF667" w14:textId="77777777" w:rsidR="00B33107" w:rsidRDefault="00E56C00">
      <w:pPr>
        <w:spacing w:line="360" w:lineRule="auto"/>
        <w:jc w:val="both"/>
      </w:pPr>
      <w:r>
        <w:rPr>
          <w:rFonts w:ascii="Book Antiqua" w:hAnsi="Book Antiqua"/>
          <w:b/>
          <w:bCs/>
        </w:rPr>
        <w:lastRenderedPageBreak/>
        <w:t xml:space="preserve">Core Tip: </w:t>
      </w:r>
      <w:r>
        <w:rPr>
          <w:rFonts w:ascii="Book Antiqua" w:hAnsi="Book Antiqua"/>
          <w:i/>
          <w:iCs/>
        </w:rPr>
        <w:t>Vibrio parahaemolyticus</w:t>
      </w:r>
      <w:r>
        <w:rPr>
          <w:rFonts w:ascii="Book Antiqua" w:hAnsi="Book Antiqua"/>
        </w:rPr>
        <w:t xml:space="preserve"> is a pathogen commonly associated with gastroenteritis following the consumption of seafood. Aside from supportive treatment with hydration and oral antibiotics, clinicians must be aware of the possible complication of acute abdomen which may require surgical intervention.</w:t>
      </w:r>
    </w:p>
    <w:p w14:paraId="708B8EAE" w14:textId="77777777" w:rsidR="00B33107" w:rsidRDefault="00B33107">
      <w:pPr>
        <w:spacing w:line="360" w:lineRule="auto"/>
        <w:jc w:val="both"/>
      </w:pPr>
    </w:p>
    <w:p w14:paraId="34ED8B11" w14:textId="77777777" w:rsidR="00B33107" w:rsidRDefault="00E56C00">
      <w:pPr>
        <w:spacing w:line="360" w:lineRule="auto"/>
        <w:jc w:val="both"/>
      </w:pPr>
      <w:r>
        <w:rPr>
          <w:rFonts w:ascii="Arial Unicode MS" w:hAnsi="Arial Unicode MS"/>
          <w:caps/>
          <w:u w:val="single"/>
        </w:rPr>
        <w:br w:type="page"/>
      </w:r>
    </w:p>
    <w:p w14:paraId="17FCEDB6" w14:textId="77777777" w:rsidR="00B33107" w:rsidRDefault="00E56C00">
      <w:pPr>
        <w:spacing w:line="360" w:lineRule="auto"/>
        <w:jc w:val="both"/>
      </w:pPr>
      <w:r>
        <w:rPr>
          <w:rFonts w:ascii="Book Antiqua" w:hAnsi="Book Antiqua"/>
          <w:b/>
          <w:bCs/>
          <w:caps/>
          <w:u w:val="single"/>
        </w:rPr>
        <w:lastRenderedPageBreak/>
        <w:t>INTRODUCTION</w:t>
      </w:r>
    </w:p>
    <w:p w14:paraId="5D380D1F" w14:textId="4B781B1D" w:rsidR="00B33107" w:rsidRDefault="00E56C00">
      <w:pPr>
        <w:spacing w:line="360" w:lineRule="auto"/>
        <w:jc w:val="both"/>
      </w:pPr>
      <w:r>
        <w:rPr>
          <w:rFonts w:ascii="Book Antiqua" w:hAnsi="Book Antiqua"/>
          <w:i/>
          <w:iCs/>
        </w:rPr>
        <w:t xml:space="preserve">Vibrio </w:t>
      </w:r>
      <w:proofErr w:type="spellStart"/>
      <w:r>
        <w:rPr>
          <w:rFonts w:ascii="Book Antiqua" w:hAnsi="Book Antiqua"/>
          <w:i/>
          <w:iCs/>
        </w:rPr>
        <w:t>pararhaemolyticus</w:t>
      </w:r>
      <w:proofErr w:type="spellEnd"/>
      <w:r w:rsidR="00160C3E">
        <w:rPr>
          <w:rFonts w:ascii="Book Antiqua" w:hAnsi="Book Antiqua"/>
          <w:i/>
          <w:iCs/>
        </w:rPr>
        <w:t xml:space="preserve"> </w:t>
      </w:r>
      <w:r w:rsidR="00160C3E" w:rsidRPr="00160C3E">
        <w:rPr>
          <w:rFonts w:ascii="Book Antiqua" w:hAnsi="Book Antiqua"/>
        </w:rPr>
        <w:t>(</w:t>
      </w:r>
      <w:r w:rsidR="00160C3E">
        <w:rPr>
          <w:rFonts w:ascii="Book Antiqua" w:hAnsi="Book Antiqua"/>
          <w:i/>
          <w:iCs/>
        </w:rPr>
        <w:t>V. parahaemolyticus</w:t>
      </w:r>
      <w:r w:rsidR="00160C3E" w:rsidRPr="00160C3E">
        <w:rPr>
          <w:rFonts w:ascii="Book Antiqua" w:hAnsi="Book Antiqua"/>
        </w:rPr>
        <w:t>)</w:t>
      </w:r>
      <w:r>
        <w:rPr>
          <w:rFonts w:ascii="Book Antiqua" w:hAnsi="Book Antiqua"/>
        </w:rPr>
        <w:t xml:space="preserve"> is a gram negative bacterium that can cause various infections, such as acute gastroenteritis and skin infection through wound </w:t>
      </w:r>
      <w:proofErr w:type="gramStart"/>
      <w:r>
        <w:rPr>
          <w:rFonts w:ascii="Book Antiqua" w:hAnsi="Book Antiqua"/>
        </w:rPr>
        <w:t>contamination</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Infection typically results from the consumption of seafood, such as shellfish, or exposure to seawater. This pathogen is commonly responsible for pandemics in Asia with increasing frequency in Western countries in warmer </w:t>
      </w:r>
      <w:proofErr w:type="gramStart"/>
      <w:r>
        <w:rPr>
          <w:rFonts w:ascii="Book Antiqua" w:hAnsi="Book Antiqua"/>
        </w:rPr>
        <w:t>months</w:t>
      </w:r>
      <w:r>
        <w:rPr>
          <w:rFonts w:ascii="Book Antiqua" w:hAnsi="Book Antiqua"/>
          <w:vertAlign w:val="superscript"/>
        </w:rPr>
        <w:t>[</w:t>
      </w:r>
      <w:proofErr w:type="gramEnd"/>
      <w:r>
        <w:rPr>
          <w:rFonts w:ascii="Book Antiqua" w:hAnsi="Book Antiqua"/>
          <w:vertAlign w:val="superscript"/>
        </w:rPr>
        <w:t>1]</w:t>
      </w:r>
      <w:r>
        <w:rPr>
          <w:rFonts w:ascii="Book Antiqua" w:hAnsi="Book Antiqua"/>
        </w:rPr>
        <w:t>.</w:t>
      </w:r>
    </w:p>
    <w:p w14:paraId="4A5C4C55" w14:textId="77777777" w:rsidR="00B33107" w:rsidRDefault="00E56C00">
      <w:pPr>
        <w:spacing w:line="360" w:lineRule="auto"/>
        <w:ind w:firstLine="480"/>
        <w:jc w:val="both"/>
      </w:pPr>
      <w:r>
        <w:rPr>
          <w:rFonts w:ascii="Book Antiqua" w:hAnsi="Book Antiqua"/>
        </w:rPr>
        <w:t xml:space="preserve">Symptoms of </w:t>
      </w:r>
      <w:r>
        <w:rPr>
          <w:rFonts w:ascii="Book Antiqua" w:hAnsi="Book Antiqua"/>
          <w:i/>
          <w:iCs/>
        </w:rPr>
        <w:t>V. parahaemolyticus</w:t>
      </w:r>
      <w:r>
        <w:rPr>
          <w:rFonts w:ascii="Book Antiqua" w:hAnsi="Book Antiqua"/>
        </w:rPr>
        <w:t xml:space="preserve">-induced gastroenteritis include abdominal cramping and pain, watery diarrhea, headache, nausea, vomiting, and low-grade fever. In the majority of cases, symptoms are usually self-limiting in immunocompetent patients who are adequately </w:t>
      </w:r>
      <w:proofErr w:type="gramStart"/>
      <w:r>
        <w:rPr>
          <w:rFonts w:ascii="Book Antiqua" w:hAnsi="Book Antiqua"/>
        </w:rPr>
        <w:t>hydrated</w:t>
      </w:r>
      <w:r>
        <w:rPr>
          <w:rFonts w:ascii="Book Antiqua" w:hAnsi="Book Antiqua"/>
          <w:vertAlign w:val="superscript"/>
        </w:rPr>
        <w:t>[</w:t>
      </w:r>
      <w:proofErr w:type="gramEnd"/>
      <w:r>
        <w:rPr>
          <w:rFonts w:ascii="Book Antiqua" w:hAnsi="Book Antiqua"/>
          <w:vertAlign w:val="superscript"/>
        </w:rPr>
        <w:t>2]</w:t>
      </w:r>
      <w:r>
        <w:rPr>
          <w:rFonts w:ascii="Book Antiqua" w:hAnsi="Book Antiqua"/>
        </w:rPr>
        <w:t>.</w:t>
      </w:r>
      <w:r>
        <w:rPr>
          <w:rFonts w:ascii="Book Antiqua" w:hAnsi="Book Antiqua"/>
          <w:b/>
          <w:bCs/>
        </w:rPr>
        <w:t xml:space="preserve"> </w:t>
      </w:r>
      <w:r>
        <w:rPr>
          <w:rFonts w:ascii="Book Antiqua" w:hAnsi="Book Antiqua"/>
        </w:rPr>
        <w:t xml:space="preserve">Occasionally, antibiotics, such as azithromycin and ciprofloxacin, may be </w:t>
      </w:r>
      <w:proofErr w:type="gramStart"/>
      <w:r>
        <w:rPr>
          <w:rFonts w:ascii="Book Antiqua" w:hAnsi="Book Antiqua"/>
        </w:rPr>
        <w:t>indicated</w:t>
      </w:r>
      <w:r>
        <w:rPr>
          <w:rFonts w:ascii="Book Antiqua" w:hAnsi="Book Antiqua"/>
          <w:vertAlign w:val="superscript"/>
        </w:rPr>
        <w:t>[</w:t>
      </w:r>
      <w:proofErr w:type="gramEnd"/>
      <w:r>
        <w:rPr>
          <w:rFonts w:ascii="Book Antiqua" w:hAnsi="Book Antiqua"/>
          <w:vertAlign w:val="superscript"/>
        </w:rPr>
        <w:t>3]</w:t>
      </w:r>
      <w:r>
        <w:rPr>
          <w:rFonts w:ascii="Book Antiqua" w:hAnsi="Book Antiqua"/>
        </w:rPr>
        <w:t>.</w:t>
      </w:r>
      <w:r>
        <w:rPr>
          <w:rFonts w:ascii="Book Antiqua" w:hAnsi="Book Antiqua"/>
          <w:b/>
          <w:bCs/>
        </w:rPr>
        <w:t xml:space="preserve"> </w:t>
      </w:r>
      <w:r>
        <w:rPr>
          <w:rFonts w:ascii="Book Antiqua" w:hAnsi="Book Antiqua"/>
          <w:i/>
          <w:iCs/>
        </w:rPr>
        <w:t>V. parahaemolyticus</w:t>
      </w:r>
      <w:r>
        <w:rPr>
          <w:rFonts w:ascii="Book Antiqua" w:hAnsi="Book Antiqua"/>
        </w:rPr>
        <w:t xml:space="preserve"> infection may progress to more severe conditions such as septicemia through intestinal </w:t>
      </w:r>
      <w:proofErr w:type="gramStart"/>
      <w:r>
        <w:rPr>
          <w:rFonts w:ascii="Book Antiqua" w:hAnsi="Book Antiqua"/>
        </w:rPr>
        <w:t>invasion</w:t>
      </w:r>
      <w:r>
        <w:rPr>
          <w:rFonts w:ascii="Book Antiqua" w:hAnsi="Book Antiqua"/>
          <w:vertAlign w:val="superscript"/>
        </w:rPr>
        <w:t>[</w:t>
      </w:r>
      <w:proofErr w:type="gramEnd"/>
      <w:r>
        <w:rPr>
          <w:rFonts w:ascii="Book Antiqua" w:hAnsi="Book Antiqua"/>
          <w:vertAlign w:val="superscript"/>
        </w:rPr>
        <w:t>4]</w:t>
      </w:r>
      <w:r>
        <w:rPr>
          <w:rFonts w:ascii="Book Antiqua" w:hAnsi="Book Antiqua"/>
        </w:rPr>
        <w:t xml:space="preserve"> due to underlying stress or other risk factors including cancer; liver, kidney, and heart diseases, recent gastric surgery, and antacid use</w:t>
      </w:r>
      <w:r>
        <w:rPr>
          <w:rFonts w:ascii="Book Antiqua" w:hAnsi="Book Antiqua"/>
          <w:vertAlign w:val="superscript"/>
        </w:rPr>
        <w:t>[5]</w:t>
      </w:r>
      <w:r>
        <w:rPr>
          <w:rFonts w:ascii="Book Antiqua" w:hAnsi="Book Antiqua"/>
        </w:rPr>
        <w:t xml:space="preserve">. </w:t>
      </w:r>
    </w:p>
    <w:p w14:paraId="51E92C33" w14:textId="77777777" w:rsidR="00B33107" w:rsidRDefault="00E56C00">
      <w:pPr>
        <w:spacing w:line="360" w:lineRule="auto"/>
        <w:ind w:firstLine="480"/>
        <w:jc w:val="both"/>
      </w:pPr>
      <w:r>
        <w:rPr>
          <w:rFonts w:ascii="Book Antiqua" w:hAnsi="Book Antiqua"/>
        </w:rPr>
        <w:t xml:space="preserve">The spectrum of disease is diverse due to its complex virulence factors. We present a case of </w:t>
      </w:r>
      <w:r>
        <w:rPr>
          <w:rFonts w:ascii="Book Antiqua" w:hAnsi="Book Antiqua"/>
          <w:i/>
          <w:iCs/>
        </w:rPr>
        <w:t>V. parahaemolyticus</w:t>
      </w:r>
      <w:r>
        <w:rPr>
          <w:rFonts w:ascii="Book Antiqua" w:hAnsi="Book Antiqua"/>
        </w:rPr>
        <w:t xml:space="preserve">-induced acute gastroenteritis complicated by spontaneous small bowel perforation. </w:t>
      </w:r>
    </w:p>
    <w:p w14:paraId="795179C4" w14:textId="77777777" w:rsidR="00B33107" w:rsidRDefault="00B33107">
      <w:pPr>
        <w:spacing w:line="360" w:lineRule="auto"/>
        <w:jc w:val="both"/>
      </w:pPr>
    </w:p>
    <w:p w14:paraId="45B93ADB" w14:textId="77777777" w:rsidR="00B33107" w:rsidRDefault="00E56C00">
      <w:pPr>
        <w:spacing w:line="360" w:lineRule="auto"/>
        <w:jc w:val="both"/>
      </w:pPr>
      <w:r>
        <w:rPr>
          <w:rFonts w:ascii="Book Antiqua" w:hAnsi="Book Antiqua"/>
          <w:b/>
          <w:bCs/>
          <w:caps/>
          <w:u w:val="single"/>
        </w:rPr>
        <w:t>CASE PRESENTATION</w:t>
      </w:r>
    </w:p>
    <w:p w14:paraId="6E13B7B3" w14:textId="77777777" w:rsidR="00B33107" w:rsidRDefault="00E56C00">
      <w:pPr>
        <w:spacing w:line="360" w:lineRule="auto"/>
        <w:jc w:val="both"/>
      </w:pPr>
      <w:r>
        <w:rPr>
          <w:rFonts w:ascii="Book Antiqua" w:hAnsi="Book Antiqua"/>
          <w:b/>
          <w:bCs/>
          <w:i/>
          <w:iCs/>
        </w:rPr>
        <w:t>Chief complaints</w:t>
      </w:r>
    </w:p>
    <w:p w14:paraId="057B4D8F" w14:textId="77777777" w:rsidR="00B33107" w:rsidRDefault="00E56C00">
      <w:pPr>
        <w:spacing w:line="360" w:lineRule="auto"/>
        <w:jc w:val="both"/>
      </w:pPr>
      <w:r>
        <w:rPr>
          <w:rFonts w:ascii="Book Antiqua" w:hAnsi="Book Antiqua"/>
        </w:rPr>
        <w:t xml:space="preserve">A 71-year-old woman presented to our emergency department with complaints of acute-onset, severe abdominal cramping pain that started several hours prior to arrival. </w:t>
      </w:r>
    </w:p>
    <w:p w14:paraId="665B206B" w14:textId="77777777" w:rsidR="00B33107" w:rsidRDefault="00B33107">
      <w:pPr>
        <w:spacing w:line="360" w:lineRule="auto"/>
        <w:jc w:val="both"/>
      </w:pPr>
    </w:p>
    <w:p w14:paraId="50F78EEC" w14:textId="77777777" w:rsidR="00B33107" w:rsidRDefault="00E56C00">
      <w:pPr>
        <w:spacing w:line="360" w:lineRule="auto"/>
        <w:jc w:val="both"/>
      </w:pPr>
      <w:r>
        <w:rPr>
          <w:rFonts w:ascii="Book Antiqua" w:hAnsi="Book Antiqua"/>
          <w:b/>
          <w:bCs/>
          <w:i/>
          <w:iCs/>
        </w:rPr>
        <w:t>History of present illness</w:t>
      </w:r>
    </w:p>
    <w:p w14:paraId="4432DCB5" w14:textId="77777777" w:rsidR="00B33107" w:rsidRDefault="00E56C00">
      <w:pPr>
        <w:spacing w:line="360" w:lineRule="auto"/>
        <w:jc w:val="both"/>
      </w:pPr>
      <w:r>
        <w:rPr>
          <w:rFonts w:ascii="Book Antiqua" w:hAnsi="Book Antiqua"/>
        </w:rPr>
        <w:t xml:space="preserve">Forty-eight hours prior to presentation, the patient had experienced several vomiting episodes as well as 6-7 episodes of watery diarrhea </w:t>
      </w:r>
      <w:r>
        <w:rPr>
          <w:rFonts w:ascii="Book Antiqua" w:hAnsi="Book Antiqua"/>
          <w:i/>
          <w:iCs/>
        </w:rPr>
        <w:t>per</w:t>
      </w:r>
      <w:r>
        <w:rPr>
          <w:rFonts w:ascii="Book Antiqua" w:hAnsi="Book Antiqua"/>
        </w:rPr>
        <w:t xml:space="preserve"> day. </w:t>
      </w:r>
    </w:p>
    <w:p w14:paraId="6E49F7F3" w14:textId="77777777" w:rsidR="00B33107" w:rsidRDefault="00B33107">
      <w:pPr>
        <w:spacing w:line="360" w:lineRule="auto"/>
        <w:jc w:val="both"/>
      </w:pPr>
    </w:p>
    <w:p w14:paraId="26BA0A35" w14:textId="77777777" w:rsidR="00B33107" w:rsidRDefault="00E56C00">
      <w:pPr>
        <w:spacing w:line="360" w:lineRule="auto"/>
        <w:jc w:val="both"/>
      </w:pPr>
      <w:r>
        <w:rPr>
          <w:rFonts w:ascii="Book Antiqua" w:hAnsi="Book Antiqua"/>
          <w:b/>
          <w:bCs/>
          <w:i/>
          <w:iCs/>
        </w:rPr>
        <w:t>History of past illness</w:t>
      </w:r>
    </w:p>
    <w:p w14:paraId="4A266081" w14:textId="77777777" w:rsidR="00B33107" w:rsidRDefault="00E56C00">
      <w:pPr>
        <w:spacing w:line="360" w:lineRule="auto"/>
        <w:jc w:val="both"/>
      </w:pPr>
      <w:r>
        <w:rPr>
          <w:rFonts w:ascii="Book Antiqua" w:hAnsi="Book Antiqua"/>
        </w:rPr>
        <w:t>She had a history of hypertension controlled by medication.</w:t>
      </w:r>
    </w:p>
    <w:p w14:paraId="3D51191E" w14:textId="77777777" w:rsidR="00B33107" w:rsidRDefault="00B33107">
      <w:pPr>
        <w:spacing w:line="360" w:lineRule="auto"/>
        <w:jc w:val="both"/>
      </w:pPr>
    </w:p>
    <w:p w14:paraId="6B3D6F15" w14:textId="77777777" w:rsidR="00B33107" w:rsidRDefault="00E56C00">
      <w:pPr>
        <w:spacing w:line="360" w:lineRule="auto"/>
        <w:jc w:val="both"/>
      </w:pPr>
      <w:r>
        <w:rPr>
          <w:rFonts w:ascii="Book Antiqua" w:hAnsi="Book Antiqua"/>
          <w:b/>
          <w:bCs/>
          <w:i/>
          <w:iCs/>
        </w:rPr>
        <w:t>Physical examination</w:t>
      </w:r>
    </w:p>
    <w:p w14:paraId="2EDB7B01" w14:textId="77777777" w:rsidR="00B33107" w:rsidRDefault="00E56C00">
      <w:pPr>
        <w:spacing w:line="360" w:lineRule="auto"/>
        <w:jc w:val="both"/>
      </w:pPr>
      <w:r>
        <w:rPr>
          <w:rFonts w:ascii="Book Antiqua" w:hAnsi="Book Antiqua"/>
        </w:rPr>
        <w:t>On arrival, her vital signs were as follows: Temperature was 37.3 °C; heart rate was 83 beats/min; respiratory rate was 18 breaths/min; blood pressure was 99/64 mmHg; and pulse oximetry (SPO</w:t>
      </w:r>
      <w:r>
        <w:rPr>
          <w:rFonts w:ascii="Book Antiqua" w:hAnsi="Book Antiqua"/>
          <w:vertAlign w:val="subscript"/>
        </w:rPr>
        <w:t>2</w:t>
      </w:r>
      <w:r>
        <w:rPr>
          <w:rFonts w:ascii="Book Antiqua" w:hAnsi="Book Antiqua"/>
        </w:rPr>
        <w:t xml:space="preserve">) was 97%. She was fully conscious (Glasgow Coma Scale: E4V5M6). Physical examination revealed mild abdominal tenderness, and the abdomen was tympanic on percussion. </w:t>
      </w:r>
    </w:p>
    <w:p w14:paraId="350AB14D" w14:textId="77777777" w:rsidR="00B33107" w:rsidRDefault="00B33107">
      <w:pPr>
        <w:spacing w:line="360" w:lineRule="auto"/>
        <w:jc w:val="both"/>
      </w:pPr>
    </w:p>
    <w:p w14:paraId="7640ABF0" w14:textId="77777777" w:rsidR="00B33107" w:rsidRDefault="00E56C00">
      <w:pPr>
        <w:spacing w:line="360" w:lineRule="auto"/>
        <w:jc w:val="both"/>
      </w:pPr>
      <w:r>
        <w:rPr>
          <w:rFonts w:ascii="Book Antiqua" w:hAnsi="Book Antiqua"/>
          <w:b/>
          <w:bCs/>
          <w:i/>
          <w:iCs/>
        </w:rPr>
        <w:t>Laboratory examinations</w:t>
      </w:r>
    </w:p>
    <w:p w14:paraId="2A1115A4" w14:textId="2778A57C" w:rsidR="00B33107" w:rsidRDefault="00E56C00">
      <w:pPr>
        <w:spacing w:line="360" w:lineRule="auto"/>
        <w:jc w:val="both"/>
      </w:pPr>
      <w:r>
        <w:rPr>
          <w:rFonts w:ascii="Book Antiqua" w:hAnsi="Book Antiqua"/>
        </w:rPr>
        <w:t>Laboratory data revealed leukocytosis with neutrophil predominance [white blood cell count: 10600/</w:t>
      </w:r>
      <w:proofErr w:type="spellStart"/>
      <w:r>
        <w:rPr>
          <w:rFonts w:ascii="Book Antiqua" w:hAnsi="Book Antiqua"/>
        </w:rPr>
        <w:t>μL</w:t>
      </w:r>
      <w:proofErr w:type="spellEnd"/>
      <w:r>
        <w:rPr>
          <w:rFonts w:ascii="Book Antiqua" w:hAnsi="Book Antiqua"/>
        </w:rPr>
        <w:t xml:space="preserve"> (normal: 4000</w:t>
      </w:r>
      <w:r w:rsidR="0038407A">
        <w:rPr>
          <w:rFonts w:ascii="Book Antiqua" w:hAnsi="Book Antiqua"/>
        </w:rPr>
        <w:t>-</w:t>
      </w:r>
      <w:r>
        <w:rPr>
          <w:rFonts w:ascii="Book Antiqua" w:hAnsi="Book Antiqua"/>
        </w:rPr>
        <w:t>10000/</w:t>
      </w:r>
      <w:proofErr w:type="spellStart"/>
      <w:r>
        <w:rPr>
          <w:rFonts w:ascii="Book Antiqua" w:hAnsi="Book Antiqua"/>
        </w:rPr>
        <w:t>μL</w:t>
      </w:r>
      <w:proofErr w:type="spellEnd"/>
      <w:r>
        <w:rPr>
          <w:rFonts w:ascii="Book Antiqua" w:hAnsi="Book Antiqua"/>
        </w:rPr>
        <w:t>), neutrophil percentage: 88.6% (normal: 55</w:t>
      </w:r>
      <w:r w:rsidR="0038407A">
        <w:rPr>
          <w:rFonts w:ascii="Book Antiqua" w:hAnsi="Book Antiqua"/>
        </w:rPr>
        <w:t>-</w:t>
      </w:r>
      <w:r>
        <w:rPr>
          <w:rFonts w:ascii="Book Antiqua" w:hAnsi="Book Antiqua"/>
        </w:rPr>
        <w:t>75%)], and pre-renal azotemia [blood urine nitrogen: 22.1 mg/dL (normal: 8</w:t>
      </w:r>
      <w:r w:rsidR="0038407A">
        <w:rPr>
          <w:rFonts w:ascii="Book Antiqua" w:hAnsi="Book Antiqua"/>
        </w:rPr>
        <w:t>-</w:t>
      </w:r>
      <w:r>
        <w:rPr>
          <w:rFonts w:ascii="Book Antiqua" w:hAnsi="Book Antiqua"/>
        </w:rPr>
        <w:t>20 mg/dL) and creatinine: 0.59 mg/dL (normal: 0.4</w:t>
      </w:r>
      <w:r w:rsidR="0038407A">
        <w:rPr>
          <w:rFonts w:ascii="Book Antiqua" w:hAnsi="Book Antiqua"/>
        </w:rPr>
        <w:t>-</w:t>
      </w:r>
      <w:r>
        <w:rPr>
          <w:rFonts w:ascii="Book Antiqua" w:hAnsi="Book Antiqua"/>
        </w:rPr>
        <w:t xml:space="preserve">1.2 mg/dL)]. </w:t>
      </w:r>
      <w:r>
        <w:rPr>
          <w:rFonts w:ascii="Book Antiqua" w:hAnsi="Book Antiqua"/>
          <w:shd w:val="clear" w:color="auto" w:fill="FFFFFF"/>
        </w:rPr>
        <w:t xml:space="preserve">No elevated C-reactive protein levels or coagulopathy were noted. </w:t>
      </w:r>
      <w:r>
        <w:rPr>
          <w:rFonts w:ascii="Book Antiqua" w:hAnsi="Book Antiqua"/>
        </w:rPr>
        <w:t xml:space="preserve">A </w:t>
      </w:r>
      <w:r>
        <w:rPr>
          <w:rFonts w:ascii="Book Antiqua" w:hAnsi="Book Antiqua"/>
          <w:shd w:val="clear" w:color="auto" w:fill="FFFFFF"/>
        </w:rPr>
        <w:t xml:space="preserve">general urine examination revealed no pyuria. Because of </w:t>
      </w:r>
      <w:r>
        <w:rPr>
          <w:rFonts w:ascii="Book Antiqua" w:hAnsi="Book Antiqua"/>
        </w:rPr>
        <w:t xml:space="preserve">her </w:t>
      </w:r>
      <w:r>
        <w:rPr>
          <w:rFonts w:ascii="Book Antiqua" w:hAnsi="Book Antiqua"/>
          <w:shd w:val="clear" w:color="auto" w:fill="FFFFFF"/>
        </w:rPr>
        <w:t xml:space="preserve">peritoneal signs, we scheduled an abdominal computed tomography (CT) scan for further evaluation. </w:t>
      </w:r>
    </w:p>
    <w:p w14:paraId="6C780D5E" w14:textId="77777777" w:rsidR="00B33107" w:rsidRPr="0038407A" w:rsidRDefault="00B33107">
      <w:pPr>
        <w:spacing w:line="360" w:lineRule="auto"/>
        <w:jc w:val="both"/>
      </w:pPr>
    </w:p>
    <w:p w14:paraId="54A5B25A" w14:textId="77777777" w:rsidR="00B33107" w:rsidRDefault="00E56C00">
      <w:pPr>
        <w:spacing w:line="360" w:lineRule="auto"/>
        <w:jc w:val="both"/>
      </w:pPr>
      <w:r>
        <w:rPr>
          <w:rFonts w:ascii="Book Antiqua" w:hAnsi="Book Antiqua"/>
          <w:b/>
          <w:bCs/>
          <w:i/>
          <w:iCs/>
        </w:rPr>
        <w:t>Imaging examinations</w:t>
      </w:r>
    </w:p>
    <w:p w14:paraId="73B8136A" w14:textId="77777777" w:rsidR="00B33107" w:rsidRDefault="00E56C00">
      <w:pPr>
        <w:spacing w:line="360" w:lineRule="auto"/>
        <w:jc w:val="both"/>
      </w:pPr>
      <w:r>
        <w:rPr>
          <w:rFonts w:ascii="Book Antiqua" w:hAnsi="Book Antiqua"/>
          <w:shd w:val="clear" w:color="auto" w:fill="FFFFFF"/>
        </w:rPr>
        <w:t xml:space="preserve">The abdominal CT scan with and without contrast medium revealed multiple, focal areas of extraluminal air in </w:t>
      </w:r>
      <w:r>
        <w:rPr>
          <w:rFonts w:ascii="Book Antiqua" w:hAnsi="Book Antiqua"/>
        </w:rPr>
        <w:t xml:space="preserve">the left lower mesentery with adjacent small bowel edema, accompanied by focal congested mesentery and small ascites in the coronal section </w:t>
      </w:r>
      <w:r>
        <w:rPr>
          <w:rFonts w:ascii="Book Antiqua" w:hAnsi="Book Antiqua"/>
          <w:shd w:val="clear" w:color="auto" w:fill="FFFFFF"/>
        </w:rPr>
        <w:t>(Figure 1).</w:t>
      </w:r>
    </w:p>
    <w:p w14:paraId="77CDB8D9" w14:textId="77777777" w:rsidR="00B33107" w:rsidRDefault="00B33107">
      <w:pPr>
        <w:spacing w:line="360" w:lineRule="auto"/>
        <w:jc w:val="both"/>
      </w:pPr>
    </w:p>
    <w:p w14:paraId="2A395A0A" w14:textId="77777777" w:rsidR="00B33107" w:rsidRDefault="00E56C00">
      <w:pPr>
        <w:spacing w:line="360" w:lineRule="auto"/>
        <w:jc w:val="both"/>
      </w:pPr>
      <w:r>
        <w:rPr>
          <w:rFonts w:ascii="Book Antiqua" w:hAnsi="Book Antiqua"/>
          <w:b/>
          <w:bCs/>
          <w:caps/>
          <w:u w:val="single"/>
        </w:rPr>
        <w:t>FINAL DIAGNOSIS</w:t>
      </w:r>
    </w:p>
    <w:p w14:paraId="753FF930" w14:textId="77777777" w:rsidR="00B33107" w:rsidRDefault="00E56C00">
      <w:pPr>
        <w:spacing w:line="360" w:lineRule="auto"/>
        <w:jc w:val="both"/>
      </w:pPr>
      <w:r>
        <w:rPr>
          <w:rFonts w:ascii="Book Antiqua" w:hAnsi="Book Antiqua"/>
          <w:shd w:val="clear" w:color="auto" w:fill="FFFFFF"/>
        </w:rPr>
        <w:t xml:space="preserve">Based on these findings, a small bowel perforation secondary to an </w:t>
      </w:r>
      <w:r>
        <w:rPr>
          <w:rFonts w:ascii="Book Antiqua" w:hAnsi="Book Antiqua"/>
          <w:i/>
          <w:iCs/>
          <w:shd w:val="clear" w:color="auto" w:fill="FFFFFF"/>
        </w:rPr>
        <w:t xml:space="preserve">V. Parahaemolyticus </w:t>
      </w:r>
      <w:r>
        <w:rPr>
          <w:rFonts w:ascii="Book Antiqua" w:hAnsi="Book Antiqua"/>
          <w:shd w:val="clear" w:color="auto" w:fill="FFFFFF"/>
        </w:rPr>
        <w:t>infection was made.</w:t>
      </w:r>
    </w:p>
    <w:p w14:paraId="32479230" w14:textId="77777777" w:rsidR="00B33107" w:rsidRDefault="00B33107">
      <w:pPr>
        <w:spacing w:line="360" w:lineRule="auto"/>
        <w:jc w:val="both"/>
      </w:pPr>
    </w:p>
    <w:p w14:paraId="7EBFF6B4" w14:textId="77777777" w:rsidR="00B33107" w:rsidRDefault="00E56C00">
      <w:pPr>
        <w:spacing w:line="360" w:lineRule="auto"/>
        <w:jc w:val="both"/>
      </w:pPr>
      <w:r>
        <w:rPr>
          <w:rFonts w:ascii="Book Antiqua" w:hAnsi="Book Antiqua"/>
          <w:b/>
          <w:bCs/>
          <w:caps/>
          <w:u w:val="single"/>
        </w:rPr>
        <w:t>TREATMENT</w:t>
      </w:r>
    </w:p>
    <w:p w14:paraId="25684B3B" w14:textId="77777777" w:rsidR="00B33107" w:rsidRDefault="00E56C00">
      <w:pPr>
        <w:spacing w:line="360" w:lineRule="auto"/>
        <w:jc w:val="both"/>
      </w:pPr>
      <w:r>
        <w:rPr>
          <w:rFonts w:ascii="Book Antiqua" w:hAnsi="Book Antiqua"/>
        </w:rPr>
        <w:lastRenderedPageBreak/>
        <w:t xml:space="preserve">For symptomatic control, </w:t>
      </w:r>
      <w:r>
        <w:rPr>
          <w:rFonts w:ascii="Book Antiqua" w:hAnsi="Book Antiqua"/>
          <w:shd w:val="clear" w:color="auto" w:fill="FFFFFF"/>
        </w:rPr>
        <w:t>we administered 30 mg of intravenous ketorolac tromethamine, 20 mg of hyoscine butyl bromide</w:t>
      </w:r>
      <w:r>
        <w:rPr>
          <w:rFonts w:ascii="Book Antiqua" w:hAnsi="Book Antiqua"/>
        </w:rPr>
        <w:t xml:space="preserve">, and 5 mg of prochlorperazine. For infection control, </w:t>
      </w:r>
      <w:r>
        <w:rPr>
          <w:rFonts w:ascii="Book Antiqua" w:hAnsi="Book Antiqua"/>
          <w:shd w:val="clear" w:color="auto" w:fill="FFFFFF"/>
        </w:rPr>
        <w:t xml:space="preserve">ertapenem </w:t>
      </w:r>
      <w:r>
        <w:rPr>
          <w:rFonts w:ascii="Book Antiqua" w:hAnsi="Book Antiqua"/>
        </w:rPr>
        <w:t xml:space="preserve">(1 g) was given daily for 10 d. The patient was then transferred for an emergency laparotomy after consulting with a general surgeon. </w:t>
      </w:r>
    </w:p>
    <w:p w14:paraId="2D1AE961" w14:textId="77777777" w:rsidR="00B33107" w:rsidRDefault="00E56C00">
      <w:pPr>
        <w:spacing w:line="360" w:lineRule="auto"/>
        <w:ind w:firstLine="480"/>
        <w:jc w:val="both"/>
      </w:pPr>
      <w:r>
        <w:rPr>
          <w:rFonts w:ascii="Book Antiqua" w:hAnsi="Book Antiqua"/>
          <w:shd w:val="clear" w:color="auto" w:fill="FFFFFF"/>
        </w:rPr>
        <w:t xml:space="preserve">The general surgeon elected to perform open surgery to better survey the abdominal cavity. A necrotic perforation was noted 80 cm from the ileocecal junction (Figure 2). A wedge resection encompassing the perforation was performed, followed by the creation of an end-to-end anastomosis. A Jackson-Pratt surgical drain was inserted. The peritoneal cavity was irrigated with warm saline. Finally, the turbid ascites were evacuated, and samples were sent for culture, which revealed </w:t>
      </w:r>
      <w:r>
        <w:rPr>
          <w:rFonts w:ascii="Book Antiqua" w:hAnsi="Book Antiqua"/>
          <w:i/>
          <w:iCs/>
          <w:shd w:val="clear" w:color="auto" w:fill="FFFFFF"/>
        </w:rPr>
        <w:t>V. parahaemolyticus</w:t>
      </w:r>
      <w:r>
        <w:rPr>
          <w:rFonts w:ascii="Book Antiqua" w:hAnsi="Book Antiqua"/>
          <w:shd w:val="clear" w:color="auto" w:fill="FFFFFF"/>
        </w:rPr>
        <w:t>. We maintained the patient on a 10 d antibiotic course</w:t>
      </w:r>
      <w:r>
        <w:rPr>
          <w:rFonts w:ascii="Book Antiqua" w:hAnsi="Book Antiqua"/>
        </w:rPr>
        <w:t xml:space="preserve">. </w:t>
      </w:r>
    </w:p>
    <w:p w14:paraId="7C780AFF" w14:textId="77777777" w:rsidR="00B33107" w:rsidRDefault="00B33107">
      <w:pPr>
        <w:spacing w:line="360" w:lineRule="auto"/>
        <w:ind w:firstLine="180"/>
        <w:jc w:val="both"/>
      </w:pPr>
    </w:p>
    <w:p w14:paraId="244AD3E5" w14:textId="77777777" w:rsidR="00B33107" w:rsidRDefault="00E56C00">
      <w:pPr>
        <w:spacing w:line="360" w:lineRule="auto"/>
        <w:jc w:val="both"/>
      </w:pPr>
      <w:r>
        <w:rPr>
          <w:rFonts w:ascii="Book Antiqua" w:hAnsi="Book Antiqua"/>
          <w:b/>
          <w:bCs/>
          <w:caps/>
          <w:u w:val="single"/>
        </w:rPr>
        <w:t>OUTCOME AND FOLLOW-UP</w:t>
      </w:r>
    </w:p>
    <w:p w14:paraId="65AFCA63" w14:textId="77777777" w:rsidR="00B33107" w:rsidRDefault="00E56C00">
      <w:pPr>
        <w:spacing w:line="360" w:lineRule="auto"/>
        <w:jc w:val="both"/>
      </w:pPr>
      <w:r>
        <w:rPr>
          <w:rFonts w:ascii="Book Antiqua" w:hAnsi="Book Antiqua"/>
        </w:rPr>
        <w:t>The patient was discharged after 10 d without any discomfort. She was followed up at the outpatient department two weeks later without any complications.</w:t>
      </w:r>
    </w:p>
    <w:p w14:paraId="23F41BC5" w14:textId="77777777" w:rsidR="00B33107" w:rsidRDefault="00B33107">
      <w:pPr>
        <w:spacing w:line="360" w:lineRule="auto"/>
        <w:jc w:val="both"/>
      </w:pPr>
    </w:p>
    <w:p w14:paraId="66DA2C4E" w14:textId="77777777" w:rsidR="00B33107" w:rsidRDefault="00E56C00">
      <w:pPr>
        <w:spacing w:line="360" w:lineRule="auto"/>
        <w:jc w:val="both"/>
      </w:pPr>
      <w:r>
        <w:rPr>
          <w:rFonts w:ascii="Book Antiqua" w:hAnsi="Book Antiqua"/>
          <w:b/>
          <w:bCs/>
          <w:caps/>
          <w:u w:val="single"/>
        </w:rPr>
        <w:t>DISCUSSION</w:t>
      </w:r>
    </w:p>
    <w:p w14:paraId="5AE2A113" w14:textId="77777777" w:rsidR="00B33107" w:rsidRDefault="00E56C00">
      <w:pPr>
        <w:spacing w:line="360" w:lineRule="auto"/>
        <w:jc w:val="both"/>
      </w:pPr>
      <w:r>
        <w:rPr>
          <w:rFonts w:ascii="Book Antiqua" w:hAnsi="Book Antiqua"/>
        </w:rPr>
        <w:t>Spontaneous perforation of the small intestine is a rare sequelae of infective gastroenteritis. Several pathogens are associated with such complications including viruses (Cytomegalovirus), bacteria (</w:t>
      </w:r>
      <w:r>
        <w:rPr>
          <w:rFonts w:ascii="Book Antiqua" w:hAnsi="Book Antiqua"/>
          <w:i/>
          <w:iCs/>
        </w:rPr>
        <w:t>Salmonella typhi</w:t>
      </w:r>
      <w:r>
        <w:rPr>
          <w:rFonts w:ascii="Book Antiqua" w:hAnsi="Book Antiqua"/>
        </w:rPr>
        <w:t xml:space="preserve">, </w:t>
      </w:r>
      <w:r>
        <w:rPr>
          <w:rFonts w:ascii="Book Antiqua" w:hAnsi="Book Antiqua"/>
          <w:i/>
          <w:iCs/>
        </w:rPr>
        <w:t>Mycobacterium tuberculosis</w:t>
      </w:r>
      <w:r>
        <w:rPr>
          <w:rFonts w:ascii="Book Antiqua" w:hAnsi="Book Antiqua"/>
        </w:rPr>
        <w:t xml:space="preserve">, and </w:t>
      </w:r>
      <w:proofErr w:type="spellStart"/>
      <w:r>
        <w:rPr>
          <w:rFonts w:ascii="Book Antiqua" w:hAnsi="Book Antiqua"/>
          <w:i/>
          <w:iCs/>
        </w:rPr>
        <w:t>Tropheryma</w:t>
      </w:r>
      <w:proofErr w:type="spellEnd"/>
      <w:r>
        <w:rPr>
          <w:rFonts w:ascii="Book Antiqua" w:hAnsi="Book Antiqua"/>
          <w:i/>
          <w:iCs/>
        </w:rPr>
        <w:t xml:space="preserve"> </w:t>
      </w:r>
      <w:proofErr w:type="spellStart"/>
      <w:r>
        <w:rPr>
          <w:rFonts w:ascii="Book Antiqua" w:hAnsi="Book Antiqua"/>
          <w:i/>
          <w:iCs/>
        </w:rPr>
        <w:t>whipplei</w:t>
      </w:r>
      <w:proofErr w:type="spellEnd"/>
      <w:r>
        <w:rPr>
          <w:rFonts w:ascii="Book Antiqua" w:hAnsi="Book Antiqua"/>
        </w:rPr>
        <w:t>), fungi (histoplasmosis, candida), parasites (roundworm), and protozoans (</w:t>
      </w:r>
      <w:r>
        <w:rPr>
          <w:rFonts w:ascii="Book Antiqua" w:hAnsi="Book Antiqua"/>
          <w:i/>
          <w:iCs/>
        </w:rPr>
        <w:t>Entamoeba histolytica</w:t>
      </w:r>
      <w:proofErr w:type="gramStart"/>
      <w:r>
        <w:rPr>
          <w:rFonts w:ascii="Book Antiqua" w:hAnsi="Book Antiqua"/>
        </w:rPr>
        <w:t>)</w:t>
      </w:r>
      <w:r>
        <w:rPr>
          <w:rFonts w:ascii="Book Antiqua" w:hAnsi="Book Antiqua"/>
          <w:vertAlign w:val="superscript"/>
        </w:rPr>
        <w:t>[</w:t>
      </w:r>
      <w:proofErr w:type="gramEnd"/>
      <w:r>
        <w:rPr>
          <w:rFonts w:ascii="Book Antiqua" w:hAnsi="Book Antiqua"/>
          <w:vertAlign w:val="superscript"/>
        </w:rPr>
        <w:t>6,7]</w:t>
      </w:r>
      <w:r>
        <w:rPr>
          <w:rFonts w:ascii="Book Antiqua" w:hAnsi="Book Antiqua"/>
        </w:rPr>
        <w:t xml:space="preserve">. To the best of our knowledge, this is the first case report of </w:t>
      </w:r>
      <w:r>
        <w:rPr>
          <w:rFonts w:ascii="Book Antiqua" w:hAnsi="Book Antiqua"/>
          <w:i/>
          <w:iCs/>
        </w:rPr>
        <w:t>V. parahaemolyticus</w:t>
      </w:r>
      <w:r>
        <w:rPr>
          <w:rFonts w:ascii="Book Antiqua" w:hAnsi="Book Antiqua"/>
        </w:rPr>
        <w:t xml:space="preserve">-induced spontaneous small bowel perforation. </w:t>
      </w:r>
    </w:p>
    <w:p w14:paraId="434A2F97" w14:textId="77777777" w:rsidR="00B33107" w:rsidRDefault="00E56C00">
      <w:pPr>
        <w:spacing w:line="360" w:lineRule="auto"/>
        <w:ind w:firstLine="480"/>
        <w:jc w:val="both"/>
      </w:pPr>
      <w:r>
        <w:rPr>
          <w:rFonts w:ascii="Book Antiqua" w:hAnsi="Book Antiqua"/>
          <w:i/>
          <w:iCs/>
        </w:rPr>
        <w:t>V. parahaemolyticus</w:t>
      </w:r>
      <w:r>
        <w:rPr>
          <w:rFonts w:ascii="Book Antiqua" w:hAnsi="Book Antiqua"/>
        </w:rPr>
        <w:t xml:space="preserve"> is usually managed with supportive treatment. However, it can have varied presentations in </w:t>
      </w:r>
      <w:r>
        <w:rPr>
          <w:rFonts w:ascii="Book Antiqua" w:hAnsi="Book Antiqua"/>
          <w:i/>
          <w:iCs/>
        </w:rPr>
        <w:t>V. parahaemolyticus</w:t>
      </w:r>
      <w:r>
        <w:rPr>
          <w:rFonts w:ascii="Book Antiqua" w:hAnsi="Book Antiqua"/>
        </w:rPr>
        <w:t xml:space="preserve">-induced gastroenteritis. </w:t>
      </w:r>
      <w:proofErr w:type="spellStart"/>
      <w:r>
        <w:rPr>
          <w:rFonts w:ascii="Book Antiqua" w:hAnsi="Book Antiqua"/>
        </w:rPr>
        <w:t>Akeda</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w:t>
      </w:r>
      <w:r>
        <w:rPr>
          <w:rFonts w:ascii="Book Antiqua" w:hAnsi="Book Antiqua"/>
        </w:rPr>
        <w:t xml:space="preserve"> noted that </w:t>
      </w:r>
      <w:r>
        <w:rPr>
          <w:rFonts w:ascii="Book Antiqua" w:hAnsi="Book Antiqua"/>
          <w:i/>
          <w:iCs/>
        </w:rPr>
        <w:t>V. parahaemolyticus</w:t>
      </w:r>
      <w:r>
        <w:rPr>
          <w:rFonts w:ascii="Book Antiqua" w:hAnsi="Book Antiqua"/>
        </w:rPr>
        <w:t xml:space="preserve"> may have an invasive form that allows it to invade the intestinal epithelium leading to septicemia</w:t>
      </w:r>
      <w:r>
        <w:rPr>
          <w:rFonts w:ascii="Book Antiqua" w:hAnsi="Book Antiqua"/>
          <w:vertAlign w:val="superscript"/>
        </w:rPr>
        <w:t>[4]</w:t>
      </w:r>
      <w:r>
        <w:rPr>
          <w:rFonts w:ascii="Book Antiqua" w:hAnsi="Book Antiqua"/>
        </w:rPr>
        <w:t xml:space="preserve">. In our case, the patient’s infection led to another life-threatening condition, a small bowel perforation. The range in disease severity is due to the complex pathogenesis of </w:t>
      </w:r>
      <w:r>
        <w:rPr>
          <w:rFonts w:ascii="Book Antiqua" w:hAnsi="Book Antiqua"/>
          <w:i/>
          <w:iCs/>
        </w:rPr>
        <w:t>V. parahaemolyticus</w:t>
      </w:r>
      <w:r>
        <w:rPr>
          <w:rFonts w:ascii="Book Antiqua" w:hAnsi="Book Antiqua"/>
        </w:rPr>
        <w:t xml:space="preserve">, which can induce </w:t>
      </w:r>
      <w:r>
        <w:rPr>
          <w:rFonts w:ascii="Book Antiqua" w:hAnsi="Book Antiqua"/>
        </w:rPr>
        <w:lastRenderedPageBreak/>
        <w:t>chemotoxicity, cytotoxicity, and enterotoxicity. To date, there are multiple pathways that induce disease mechanisms: (1) hemolysins, including thermostable direct hemolysin (TDH), TDH-related hemolysin, and thermolabile hemolysin; (2) secretory systems, such as the type 3 and 6 secretory systems; (3) adhesion factors, such as hemagglutinin and enolase; (4) iron reuptake system; (5) lipopolysaccharide; (6) proteases; and (7)</w:t>
      </w:r>
      <w:r>
        <w:rPr>
          <w:rFonts w:ascii="Book Antiqua" w:hAnsi="Book Antiqua"/>
          <w:b/>
          <w:bCs/>
        </w:rPr>
        <w:t xml:space="preserve"> </w:t>
      </w:r>
      <w:r>
        <w:rPr>
          <w:rFonts w:ascii="Book Antiqua" w:hAnsi="Book Antiqua"/>
        </w:rPr>
        <w:t xml:space="preserve">outer membrane </w:t>
      </w:r>
      <w:proofErr w:type="gramStart"/>
      <w:r>
        <w:rPr>
          <w:rFonts w:ascii="Book Antiqua" w:hAnsi="Book Antiqua"/>
        </w:rPr>
        <w:t>proteins</w:t>
      </w:r>
      <w:r>
        <w:rPr>
          <w:rFonts w:ascii="Book Antiqua" w:hAnsi="Book Antiqua"/>
          <w:vertAlign w:val="superscript"/>
        </w:rPr>
        <w:t>[</w:t>
      </w:r>
      <w:proofErr w:type="gramEnd"/>
      <w:r>
        <w:rPr>
          <w:rFonts w:ascii="Book Antiqua" w:hAnsi="Book Antiqua"/>
          <w:vertAlign w:val="superscript"/>
        </w:rPr>
        <w:t>8]</w:t>
      </w:r>
      <w:r>
        <w:rPr>
          <w:rFonts w:ascii="Book Antiqua" w:hAnsi="Book Antiqua"/>
        </w:rPr>
        <w:t>. The main virulence mechanisms related to enterotoxicity were: (1) TDH that increases calcium ion concentration in intestinal cells and opens the chloride channel to facilitate chloride secretion in intestinal cells; (2) type 3 secretion system-2 which can target the cytoskeleton and manipulate cell signal transduction (the mitogen-activated protein kinase or nuclear factor-k-gene binding pathway) through different effectors (</w:t>
      </w:r>
      <w:proofErr w:type="spellStart"/>
      <w:r>
        <w:rPr>
          <w:rFonts w:ascii="Book Antiqua" w:hAnsi="Book Antiqua"/>
        </w:rPr>
        <w:t>VopA</w:t>
      </w:r>
      <w:proofErr w:type="spellEnd"/>
      <w:r>
        <w:rPr>
          <w:rFonts w:ascii="Book Antiqua" w:hAnsi="Book Antiqua"/>
        </w:rPr>
        <w:t xml:space="preserve">, </w:t>
      </w:r>
      <w:proofErr w:type="spellStart"/>
      <w:r>
        <w:rPr>
          <w:rFonts w:ascii="Book Antiqua" w:hAnsi="Book Antiqua"/>
        </w:rPr>
        <w:t>VopT</w:t>
      </w:r>
      <w:proofErr w:type="spellEnd"/>
      <w:r>
        <w:rPr>
          <w:rFonts w:ascii="Book Antiqua" w:hAnsi="Book Antiqua"/>
        </w:rPr>
        <w:t xml:space="preserve">, </w:t>
      </w:r>
      <w:proofErr w:type="spellStart"/>
      <w:r>
        <w:rPr>
          <w:rFonts w:ascii="Book Antiqua" w:hAnsi="Book Antiqua"/>
        </w:rPr>
        <w:t>VopL</w:t>
      </w:r>
      <w:proofErr w:type="spellEnd"/>
      <w:r>
        <w:rPr>
          <w:rFonts w:ascii="Book Antiqua" w:hAnsi="Book Antiqua"/>
        </w:rPr>
        <w:t xml:space="preserve">, </w:t>
      </w:r>
      <w:proofErr w:type="spellStart"/>
      <w:r>
        <w:rPr>
          <w:rFonts w:ascii="Book Antiqua" w:hAnsi="Book Antiqua"/>
        </w:rPr>
        <w:t>VopV</w:t>
      </w:r>
      <w:proofErr w:type="spellEnd"/>
      <w:r>
        <w:rPr>
          <w:rFonts w:ascii="Book Antiqua" w:hAnsi="Book Antiqua"/>
        </w:rPr>
        <w:t xml:space="preserve">, </w:t>
      </w:r>
      <w:proofErr w:type="spellStart"/>
      <w:r>
        <w:rPr>
          <w:rFonts w:ascii="Book Antiqua" w:hAnsi="Book Antiqua"/>
        </w:rPr>
        <w:t>VopC</w:t>
      </w:r>
      <w:proofErr w:type="spellEnd"/>
      <w:r>
        <w:rPr>
          <w:rFonts w:ascii="Book Antiqua" w:hAnsi="Book Antiqua"/>
        </w:rPr>
        <w:t xml:space="preserve">, </w:t>
      </w:r>
      <w:proofErr w:type="spellStart"/>
      <w:r>
        <w:rPr>
          <w:rFonts w:ascii="Book Antiqua" w:hAnsi="Book Antiqua"/>
        </w:rPr>
        <w:t>VopZ</w:t>
      </w:r>
      <w:proofErr w:type="spellEnd"/>
      <w:r>
        <w:rPr>
          <w:rFonts w:ascii="Book Antiqua" w:hAnsi="Book Antiqua"/>
        </w:rPr>
        <w:t>, and VPA1380), which can lead to diarrhea and facilitate bacterial invasion into the epithelium; and (3) adhesion factors, such as mannose-sensitive hemagglutinin and nitrogen-limitation sigma factor (</w:t>
      </w:r>
      <w:proofErr w:type="spellStart"/>
      <w:r>
        <w:rPr>
          <w:rFonts w:ascii="Book Antiqua" w:hAnsi="Book Antiqua"/>
        </w:rPr>
        <w:t>RpoN</w:t>
      </w:r>
      <w:proofErr w:type="spellEnd"/>
      <w:r>
        <w:rPr>
          <w:rFonts w:ascii="Book Antiqua" w:hAnsi="Book Antiqua"/>
        </w:rPr>
        <w:t xml:space="preserve">), which can facilitate colonization of </w:t>
      </w:r>
      <w:r>
        <w:rPr>
          <w:rFonts w:ascii="Book Antiqua" w:hAnsi="Book Antiqua"/>
          <w:i/>
          <w:iCs/>
        </w:rPr>
        <w:t>V. parahaemolyticus</w:t>
      </w:r>
      <w:r>
        <w:rPr>
          <w:rFonts w:ascii="Book Antiqua" w:hAnsi="Book Antiqua"/>
        </w:rPr>
        <w:t xml:space="preserve"> in the intestine</w:t>
      </w:r>
      <w:r>
        <w:rPr>
          <w:rFonts w:ascii="Book Antiqua" w:hAnsi="Book Antiqua"/>
          <w:vertAlign w:val="superscript"/>
        </w:rPr>
        <w:t>[8]</w:t>
      </w:r>
      <w:r>
        <w:rPr>
          <w:rFonts w:ascii="Book Antiqua" w:hAnsi="Book Antiqua"/>
        </w:rPr>
        <w:t xml:space="preserve">. Additionally, strain-to-strain differences among </w:t>
      </w:r>
      <w:r>
        <w:rPr>
          <w:rFonts w:ascii="Book Antiqua" w:hAnsi="Book Antiqua"/>
          <w:i/>
          <w:iCs/>
        </w:rPr>
        <w:t>V. parahaemolyticus</w:t>
      </w:r>
      <w:r>
        <w:rPr>
          <w:rFonts w:ascii="Book Antiqua" w:hAnsi="Book Antiqua"/>
        </w:rPr>
        <w:t xml:space="preserve"> are remarkable. The O3:K6 strain that usually induces pandemics in Asia contains the </w:t>
      </w:r>
      <w:proofErr w:type="spellStart"/>
      <w:r>
        <w:rPr>
          <w:rFonts w:ascii="Book Antiqua" w:hAnsi="Book Antiqua"/>
        </w:rPr>
        <w:t>tdh</w:t>
      </w:r>
      <w:proofErr w:type="spellEnd"/>
      <w:r>
        <w:rPr>
          <w:rFonts w:ascii="Book Antiqua" w:hAnsi="Book Antiqua"/>
        </w:rPr>
        <w:t xml:space="preserve"> gene but not the </w:t>
      </w:r>
      <w:proofErr w:type="spellStart"/>
      <w:r>
        <w:rPr>
          <w:rFonts w:ascii="Book Antiqua" w:hAnsi="Book Antiqua"/>
        </w:rPr>
        <w:t>trh</w:t>
      </w:r>
      <w:proofErr w:type="spellEnd"/>
      <w:r>
        <w:rPr>
          <w:rFonts w:ascii="Book Antiqua" w:hAnsi="Book Antiqua"/>
        </w:rPr>
        <w:t xml:space="preserve"> gene. The level of TDH may vary in different isolated </w:t>
      </w:r>
      <w:proofErr w:type="gramStart"/>
      <w:r>
        <w:rPr>
          <w:rFonts w:ascii="Book Antiqua" w:hAnsi="Book Antiqua"/>
        </w:rPr>
        <w:t>strains</w:t>
      </w:r>
      <w:r>
        <w:rPr>
          <w:rFonts w:ascii="Book Antiqua" w:hAnsi="Book Antiqua"/>
          <w:vertAlign w:val="superscript"/>
        </w:rPr>
        <w:t>[</w:t>
      </w:r>
      <w:proofErr w:type="gramEnd"/>
      <w:r>
        <w:rPr>
          <w:rFonts w:ascii="Book Antiqua" w:hAnsi="Book Antiqua"/>
          <w:vertAlign w:val="superscript"/>
        </w:rPr>
        <w:t>9]</w:t>
      </w:r>
      <w:r>
        <w:rPr>
          <w:rFonts w:ascii="Book Antiqua" w:hAnsi="Book Antiqua"/>
        </w:rPr>
        <w:t xml:space="preserve">. Environmental factors such as temperature and acid-base status also play a role in </w:t>
      </w:r>
      <w:proofErr w:type="gramStart"/>
      <w:r>
        <w:rPr>
          <w:rFonts w:ascii="Book Antiqua" w:hAnsi="Book Antiqua"/>
        </w:rPr>
        <w:t>pathogenesis</w:t>
      </w:r>
      <w:r>
        <w:rPr>
          <w:rFonts w:ascii="Book Antiqua" w:hAnsi="Book Antiqua"/>
          <w:vertAlign w:val="superscript"/>
        </w:rPr>
        <w:t>[</w:t>
      </w:r>
      <w:proofErr w:type="gramEnd"/>
      <w:r>
        <w:rPr>
          <w:rFonts w:ascii="Book Antiqua" w:hAnsi="Book Antiqua"/>
          <w:vertAlign w:val="superscript"/>
        </w:rPr>
        <w:t>9]</w:t>
      </w:r>
      <w:r>
        <w:rPr>
          <w:rFonts w:ascii="Book Antiqua" w:hAnsi="Book Antiqua"/>
        </w:rPr>
        <w:t>. The exact mechanism still needs clarification.</w:t>
      </w:r>
    </w:p>
    <w:p w14:paraId="10109DF5" w14:textId="77777777" w:rsidR="00B33107" w:rsidRDefault="00E56C00">
      <w:pPr>
        <w:spacing w:line="360" w:lineRule="auto"/>
        <w:ind w:firstLine="480"/>
        <w:jc w:val="both"/>
      </w:pPr>
      <w:r>
        <w:rPr>
          <w:rFonts w:ascii="Book Antiqua" w:hAnsi="Book Antiqua"/>
        </w:rPr>
        <w:t xml:space="preserve">A limitation of our study is that the patient did not have a previous colonoscope survey. We cannot exclude whether there was a pre-existing congenital or acquired structure abnormality, such as Crohn's disease, lymphoma, or other underlying lesion. We also cannot exclude any underlying mesentery vascular lesions, which can, in rare cases, cause a spontaneous small bowel perforation. Additionally, we did not perform molecular studies to determine the virulence factors for this pathogenic strain of </w:t>
      </w:r>
      <w:r>
        <w:rPr>
          <w:rFonts w:ascii="Book Antiqua" w:hAnsi="Book Antiqua"/>
          <w:i/>
          <w:iCs/>
        </w:rPr>
        <w:t>V. parahaemolyticus</w:t>
      </w:r>
      <w:r>
        <w:rPr>
          <w:rFonts w:ascii="Book Antiqua" w:hAnsi="Book Antiqua"/>
        </w:rPr>
        <w:t xml:space="preserve">. </w:t>
      </w:r>
    </w:p>
    <w:p w14:paraId="68887B45" w14:textId="77777777" w:rsidR="00B33107" w:rsidRDefault="00B33107">
      <w:pPr>
        <w:spacing w:line="360" w:lineRule="auto"/>
        <w:ind w:firstLine="720"/>
        <w:jc w:val="both"/>
      </w:pPr>
    </w:p>
    <w:p w14:paraId="56EDF9E8" w14:textId="77777777" w:rsidR="00B33107" w:rsidRDefault="00E56C00">
      <w:pPr>
        <w:spacing w:line="360" w:lineRule="auto"/>
        <w:jc w:val="both"/>
      </w:pPr>
      <w:r>
        <w:rPr>
          <w:rFonts w:ascii="Book Antiqua" w:hAnsi="Book Antiqua"/>
          <w:b/>
          <w:bCs/>
          <w:caps/>
          <w:u w:val="single"/>
        </w:rPr>
        <w:t>CONCLUSION</w:t>
      </w:r>
    </w:p>
    <w:p w14:paraId="02990C15" w14:textId="77777777" w:rsidR="00B33107" w:rsidRDefault="00E56C00">
      <w:pPr>
        <w:spacing w:line="360" w:lineRule="auto"/>
        <w:jc w:val="both"/>
      </w:pPr>
      <w:r>
        <w:rPr>
          <w:rFonts w:ascii="Book Antiqua" w:hAnsi="Book Antiqua"/>
          <w:i/>
          <w:iCs/>
        </w:rPr>
        <w:lastRenderedPageBreak/>
        <w:t>V. parahaemolyticus</w:t>
      </w:r>
      <w:r>
        <w:rPr>
          <w:rFonts w:ascii="Book Antiqua" w:hAnsi="Book Antiqua"/>
        </w:rPr>
        <w:t xml:space="preserve"> is a common pathogen causing acute gastroenteritis in Asia. In addition to supportive and antibiotic treatments that are typically used, it is important to be aware of the possible complications that may require surgical intervention such as small bowel perforations.</w:t>
      </w:r>
    </w:p>
    <w:p w14:paraId="44712A17" w14:textId="77777777" w:rsidR="00B33107" w:rsidRDefault="00B33107">
      <w:pPr>
        <w:spacing w:line="360" w:lineRule="auto"/>
        <w:jc w:val="both"/>
      </w:pPr>
    </w:p>
    <w:p w14:paraId="4468917E" w14:textId="77777777" w:rsidR="00B33107" w:rsidRDefault="00E56C00">
      <w:pPr>
        <w:spacing w:line="360" w:lineRule="auto"/>
        <w:jc w:val="both"/>
      </w:pPr>
      <w:r>
        <w:rPr>
          <w:rFonts w:ascii="Book Antiqua" w:hAnsi="Book Antiqua"/>
          <w:b/>
          <w:bCs/>
        </w:rPr>
        <w:t>REFERENCES</w:t>
      </w:r>
    </w:p>
    <w:p w14:paraId="7AA27725" w14:textId="64A80CED" w:rsidR="00B33107" w:rsidRDefault="00E56C00">
      <w:pPr>
        <w:spacing w:line="360" w:lineRule="auto"/>
        <w:jc w:val="both"/>
      </w:pPr>
      <w:r>
        <w:rPr>
          <w:rFonts w:ascii="Book Antiqua" w:hAnsi="Book Antiqua"/>
        </w:rPr>
        <w:t xml:space="preserve">1 </w:t>
      </w:r>
      <w:proofErr w:type="spellStart"/>
      <w:r>
        <w:rPr>
          <w:rFonts w:ascii="Book Antiqua" w:hAnsi="Book Antiqua"/>
          <w:b/>
          <w:bCs/>
        </w:rPr>
        <w:t>Rezny</w:t>
      </w:r>
      <w:proofErr w:type="spellEnd"/>
      <w:r>
        <w:rPr>
          <w:rFonts w:ascii="Book Antiqua" w:hAnsi="Book Antiqua"/>
          <w:b/>
          <w:bCs/>
        </w:rPr>
        <w:t xml:space="preserve"> BR,</w:t>
      </w:r>
      <w:r>
        <w:rPr>
          <w:rFonts w:ascii="Book Antiqua" w:hAnsi="Book Antiqua"/>
        </w:rPr>
        <w:t xml:space="preserve"> Evans DS. Vibrio Parahaemolyticus. 2020 Jul 3. In: </w:t>
      </w:r>
      <w:proofErr w:type="spellStart"/>
      <w:r>
        <w:rPr>
          <w:rFonts w:ascii="Book Antiqua" w:hAnsi="Book Antiqua"/>
        </w:rPr>
        <w:t>StatPearls</w:t>
      </w:r>
      <w:proofErr w:type="spellEnd"/>
      <w:r>
        <w:rPr>
          <w:rFonts w:ascii="Book Antiqua" w:hAnsi="Book Antiqua"/>
        </w:rPr>
        <w:t xml:space="preserve"> [Internet]. Treasure Island (FL): </w:t>
      </w:r>
      <w:proofErr w:type="spellStart"/>
      <w:r>
        <w:rPr>
          <w:rFonts w:ascii="Book Antiqua" w:hAnsi="Book Antiqua"/>
        </w:rPr>
        <w:t>StatPearls</w:t>
      </w:r>
      <w:proofErr w:type="spellEnd"/>
      <w:r>
        <w:rPr>
          <w:rFonts w:ascii="Book Antiqua" w:hAnsi="Book Antiqua"/>
        </w:rPr>
        <w:t xml:space="preserve"> Publishing; 2020</w:t>
      </w:r>
      <w:r w:rsidR="00D476A8">
        <w:rPr>
          <w:rFonts w:ascii="Book Antiqua" w:hAnsi="Book Antiqua"/>
        </w:rPr>
        <w:t xml:space="preserve"> </w:t>
      </w:r>
      <w:r>
        <w:rPr>
          <w:rFonts w:ascii="Book Antiqua" w:hAnsi="Book Antiqua"/>
        </w:rPr>
        <w:t>[PMID: 29083695]</w:t>
      </w:r>
    </w:p>
    <w:p w14:paraId="45C1C79E" w14:textId="77777777" w:rsidR="00B33107" w:rsidRDefault="00E56C00">
      <w:pPr>
        <w:spacing w:line="360" w:lineRule="auto"/>
        <w:jc w:val="both"/>
      </w:pPr>
      <w:r>
        <w:rPr>
          <w:rFonts w:ascii="Book Antiqua" w:hAnsi="Book Antiqua"/>
        </w:rPr>
        <w:t xml:space="preserve">2 </w:t>
      </w:r>
      <w:r>
        <w:rPr>
          <w:rFonts w:ascii="Book Antiqua" w:hAnsi="Book Antiqua"/>
          <w:b/>
          <w:bCs/>
        </w:rPr>
        <w:t>Yeung PS</w:t>
      </w:r>
      <w:r>
        <w:rPr>
          <w:rFonts w:ascii="Book Antiqua" w:hAnsi="Book Antiqua"/>
        </w:rPr>
        <w:t xml:space="preserve">, Boor KJ. Epidemiology, pathogenesis, and prevention of foodborne Vibrio parahaemolyticus infections. </w:t>
      </w:r>
      <w:r>
        <w:rPr>
          <w:rFonts w:ascii="Book Antiqua" w:hAnsi="Book Antiqua"/>
          <w:i/>
          <w:iCs/>
        </w:rPr>
        <w:t xml:space="preserve">Foodborne </w:t>
      </w:r>
      <w:proofErr w:type="spellStart"/>
      <w:r>
        <w:rPr>
          <w:rFonts w:ascii="Book Antiqua" w:hAnsi="Book Antiqua"/>
          <w:i/>
          <w:iCs/>
        </w:rPr>
        <w:t>Pathog</w:t>
      </w:r>
      <w:proofErr w:type="spellEnd"/>
      <w:r>
        <w:rPr>
          <w:rFonts w:ascii="Book Antiqua" w:hAnsi="Book Antiqua"/>
          <w:i/>
          <w:iCs/>
        </w:rPr>
        <w:t xml:space="preserve"> Dis</w:t>
      </w:r>
      <w:r>
        <w:rPr>
          <w:rFonts w:ascii="Book Antiqua" w:hAnsi="Book Antiqua"/>
        </w:rPr>
        <w:t xml:space="preserve"> 2004; </w:t>
      </w:r>
      <w:r>
        <w:rPr>
          <w:rFonts w:ascii="Book Antiqua" w:hAnsi="Book Antiqua"/>
          <w:b/>
          <w:bCs/>
        </w:rPr>
        <w:t>1</w:t>
      </w:r>
      <w:r>
        <w:rPr>
          <w:rFonts w:ascii="Book Antiqua" w:hAnsi="Book Antiqua"/>
        </w:rPr>
        <w:t>: 74-88 [PMID: 15992266 DOI: 10.1089/153531404323143594]</w:t>
      </w:r>
    </w:p>
    <w:p w14:paraId="3613D7EF" w14:textId="77777777" w:rsidR="00B33107" w:rsidRDefault="00E56C00">
      <w:pPr>
        <w:spacing w:line="360" w:lineRule="auto"/>
        <w:jc w:val="both"/>
      </w:pPr>
      <w:r>
        <w:rPr>
          <w:rFonts w:ascii="Book Antiqua" w:hAnsi="Book Antiqua"/>
        </w:rPr>
        <w:t xml:space="preserve">3 </w:t>
      </w:r>
      <w:r>
        <w:rPr>
          <w:rFonts w:ascii="Book Antiqua" w:hAnsi="Book Antiqua"/>
          <w:b/>
          <w:bCs/>
        </w:rPr>
        <w:t>Baker-Austin C</w:t>
      </w:r>
      <w:r>
        <w:rPr>
          <w:rFonts w:ascii="Book Antiqua" w:hAnsi="Book Antiqua"/>
        </w:rPr>
        <w:t xml:space="preserve">, Oliver JD, </w:t>
      </w:r>
      <w:proofErr w:type="spellStart"/>
      <w:r>
        <w:rPr>
          <w:rFonts w:ascii="Book Antiqua" w:hAnsi="Book Antiqua"/>
        </w:rPr>
        <w:t>Alam</w:t>
      </w:r>
      <w:proofErr w:type="spellEnd"/>
      <w:r>
        <w:rPr>
          <w:rFonts w:ascii="Book Antiqua" w:hAnsi="Book Antiqua"/>
        </w:rPr>
        <w:t xml:space="preserve"> M, Ali A, </w:t>
      </w:r>
      <w:proofErr w:type="spellStart"/>
      <w:r>
        <w:rPr>
          <w:rFonts w:ascii="Book Antiqua" w:hAnsi="Book Antiqua"/>
        </w:rPr>
        <w:t>Waldor</w:t>
      </w:r>
      <w:proofErr w:type="spellEnd"/>
      <w:r>
        <w:rPr>
          <w:rFonts w:ascii="Book Antiqua" w:hAnsi="Book Antiqua"/>
        </w:rPr>
        <w:t xml:space="preserve"> MK, </w:t>
      </w:r>
      <w:proofErr w:type="spellStart"/>
      <w:r>
        <w:rPr>
          <w:rFonts w:ascii="Book Antiqua" w:hAnsi="Book Antiqua"/>
        </w:rPr>
        <w:t>Qadri</w:t>
      </w:r>
      <w:proofErr w:type="spellEnd"/>
      <w:r>
        <w:rPr>
          <w:rFonts w:ascii="Book Antiqua" w:hAnsi="Book Antiqua"/>
        </w:rPr>
        <w:t xml:space="preserve"> F, Martinez-</w:t>
      </w:r>
      <w:proofErr w:type="spellStart"/>
      <w:r>
        <w:rPr>
          <w:rFonts w:ascii="Book Antiqua" w:hAnsi="Book Antiqua"/>
        </w:rPr>
        <w:t>Urtaza</w:t>
      </w:r>
      <w:proofErr w:type="spellEnd"/>
      <w:r>
        <w:rPr>
          <w:rFonts w:ascii="Book Antiqua" w:hAnsi="Book Antiqua"/>
        </w:rPr>
        <w:t xml:space="preserve"> J. Vibrio spp. infections. </w:t>
      </w:r>
      <w:r>
        <w:rPr>
          <w:rFonts w:ascii="Book Antiqua" w:hAnsi="Book Antiqua"/>
          <w:i/>
          <w:iCs/>
        </w:rPr>
        <w:t>Nat Rev Dis Primers</w:t>
      </w:r>
      <w:r>
        <w:rPr>
          <w:rFonts w:ascii="Book Antiqua" w:hAnsi="Book Antiqua"/>
        </w:rPr>
        <w:t xml:space="preserve"> 2018; </w:t>
      </w:r>
      <w:r>
        <w:rPr>
          <w:rFonts w:ascii="Book Antiqua" w:hAnsi="Book Antiqua"/>
          <w:b/>
          <w:bCs/>
        </w:rPr>
        <w:t>4</w:t>
      </w:r>
      <w:r>
        <w:rPr>
          <w:rFonts w:ascii="Book Antiqua" w:hAnsi="Book Antiqua"/>
        </w:rPr>
        <w:t>: 8 [PMID: 30002421 DOI: 10.1038/s41572-018-0005-8]</w:t>
      </w:r>
    </w:p>
    <w:p w14:paraId="324FB601" w14:textId="77777777" w:rsidR="00B33107" w:rsidRDefault="00E56C00">
      <w:pPr>
        <w:spacing w:line="360" w:lineRule="auto"/>
        <w:jc w:val="both"/>
      </w:pPr>
      <w:r>
        <w:rPr>
          <w:rFonts w:ascii="Book Antiqua" w:hAnsi="Book Antiqua"/>
        </w:rPr>
        <w:t xml:space="preserve">4 </w:t>
      </w:r>
      <w:proofErr w:type="spellStart"/>
      <w:r>
        <w:rPr>
          <w:rFonts w:ascii="Book Antiqua" w:hAnsi="Book Antiqua"/>
          <w:b/>
          <w:bCs/>
        </w:rPr>
        <w:t>Akeda</w:t>
      </w:r>
      <w:proofErr w:type="spellEnd"/>
      <w:r>
        <w:rPr>
          <w:rFonts w:ascii="Book Antiqua" w:hAnsi="Book Antiqua"/>
          <w:b/>
          <w:bCs/>
        </w:rPr>
        <w:t xml:space="preserve"> Y</w:t>
      </w:r>
      <w:r>
        <w:rPr>
          <w:rFonts w:ascii="Book Antiqua" w:hAnsi="Book Antiqua"/>
        </w:rPr>
        <w:t xml:space="preserve">, Nagayama K, Yamamoto K, Honda T. Invasive phenotype of Vibrio parahaemolyticus. </w:t>
      </w:r>
      <w:r>
        <w:rPr>
          <w:rFonts w:ascii="Book Antiqua" w:hAnsi="Book Antiqua"/>
          <w:i/>
          <w:iCs/>
        </w:rPr>
        <w:t>J Infect Dis</w:t>
      </w:r>
      <w:r>
        <w:rPr>
          <w:rFonts w:ascii="Book Antiqua" w:hAnsi="Book Antiqua"/>
        </w:rPr>
        <w:t xml:space="preserve"> 1997; </w:t>
      </w:r>
      <w:r>
        <w:rPr>
          <w:rFonts w:ascii="Book Antiqua" w:hAnsi="Book Antiqua"/>
          <w:b/>
          <w:bCs/>
        </w:rPr>
        <w:t>176</w:t>
      </w:r>
      <w:r>
        <w:rPr>
          <w:rFonts w:ascii="Book Antiqua" w:hAnsi="Book Antiqua"/>
        </w:rPr>
        <w:t>: 822-824 [PMID: 9291344 DOI: 10.1086/517312]</w:t>
      </w:r>
    </w:p>
    <w:p w14:paraId="37061776" w14:textId="77777777" w:rsidR="00B33107" w:rsidRDefault="00E56C00">
      <w:pPr>
        <w:spacing w:line="360" w:lineRule="auto"/>
        <w:jc w:val="both"/>
      </w:pPr>
      <w:r>
        <w:rPr>
          <w:rFonts w:ascii="Book Antiqua" w:hAnsi="Book Antiqua"/>
        </w:rPr>
        <w:t xml:space="preserve">5 </w:t>
      </w:r>
      <w:proofErr w:type="spellStart"/>
      <w:r>
        <w:rPr>
          <w:rFonts w:ascii="Book Antiqua" w:hAnsi="Book Antiqua"/>
          <w:b/>
          <w:bCs/>
        </w:rPr>
        <w:t>Broberg</w:t>
      </w:r>
      <w:proofErr w:type="spellEnd"/>
      <w:r>
        <w:rPr>
          <w:rFonts w:ascii="Book Antiqua" w:hAnsi="Book Antiqua"/>
          <w:b/>
          <w:bCs/>
        </w:rPr>
        <w:t xml:space="preserve"> CA</w:t>
      </w:r>
      <w:r>
        <w:rPr>
          <w:rFonts w:ascii="Book Antiqua" w:hAnsi="Book Antiqua"/>
        </w:rPr>
        <w:t xml:space="preserve">, Calder TJ, Orth K. Vibrio parahaemolyticus cell biology and pathogenicity determinants. </w:t>
      </w:r>
      <w:r>
        <w:rPr>
          <w:rFonts w:ascii="Book Antiqua" w:hAnsi="Book Antiqua"/>
          <w:i/>
          <w:iCs/>
        </w:rPr>
        <w:t>Microbes Infect</w:t>
      </w:r>
      <w:r>
        <w:rPr>
          <w:rFonts w:ascii="Book Antiqua" w:hAnsi="Book Antiqua"/>
        </w:rPr>
        <w:t xml:space="preserve"> 2011; </w:t>
      </w:r>
      <w:r>
        <w:rPr>
          <w:rFonts w:ascii="Book Antiqua" w:hAnsi="Book Antiqua"/>
          <w:b/>
          <w:bCs/>
        </w:rPr>
        <w:t>13</w:t>
      </w:r>
      <w:r>
        <w:rPr>
          <w:rFonts w:ascii="Book Antiqua" w:hAnsi="Book Antiqua"/>
        </w:rPr>
        <w:t>: 992-1001 [PMID: 21782964 DOI: 10.1016/j.micinf.2011.06.013]</w:t>
      </w:r>
    </w:p>
    <w:p w14:paraId="7FBECE33" w14:textId="77777777" w:rsidR="00B33107" w:rsidRDefault="00E56C00">
      <w:pPr>
        <w:spacing w:line="360" w:lineRule="auto"/>
        <w:jc w:val="both"/>
      </w:pPr>
      <w:r>
        <w:rPr>
          <w:rFonts w:ascii="Book Antiqua" w:hAnsi="Book Antiqua"/>
        </w:rPr>
        <w:t xml:space="preserve">6 </w:t>
      </w:r>
      <w:r>
        <w:rPr>
          <w:rFonts w:ascii="Book Antiqua" w:hAnsi="Book Antiqua"/>
          <w:b/>
          <w:bCs/>
        </w:rPr>
        <w:t>Freeman HJ</w:t>
      </w:r>
      <w:r>
        <w:rPr>
          <w:rFonts w:ascii="Book Antiqua" w:hAnsi="Book Antiqua"/>
        </w:rPr>
        <w:t xml:space="preserve">. Spontaneous free perforation of the small intestine in adults.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9990-9997 [PMID: 25110427 DOI: 10.3748/wjg.v20.i29.9990]</w:t>
      </w:r>
    </w:p>
    <w:p w14:paraId="55F96D8B" w14:textId="77777777" w:rsidR="00B33107" w:rsidRDefault="00E56C00">
      <w:pPr>
        <w:spacing w:line="360" w:lineRule="auto"/>
        <w:jc w:val="both"/>
      </w:pPr>
      <w:r>
        <w:rPr>
          <w:rFonts w:ascii="Book Antiqua" w:hAnsi="Book Antiqua"/>
        </w:rPr>
        <w:t xml:space="preserve">7 </w:t>
      </w:r>
      <w:proofErr w:type="spellStart"/>
      <w:r>
        <w:rPr>
          <w:rFonts w:ascii="Book Antiqua" w:hAnsi="Book Antiqua"/>
          <w:b/>
          <w:bCs/>
        </w:rPr>
        <w:t>Luglio</w:t>
      </w:r>
      <w:proofErr w:type="spellEnd"/>
      <w:r>
        <w:rPr>
          <w:rFonts w:ascii="Book Antiqua" w:hAnsi="Book Antiqua"/>
          <w:b/>
          <w:bCs/>
        </w:rPr>
        <w:t xml:space="preserve"> G</w:t>
      </w:r>
      <w:r>
        <w:rPr>
          <w:rFonts w:ascii="Book Antiqua" w:hAnsi="Book Antiqua"/>
        </w:rPr>
        <w:t xml:space="preserve">, De Palma GD, </w:t>
      </w:r>
      <w:proofErr w:type="spellStart"/>
      <w:r>
        <w:rPr>
          <w:rFonts w:ascii="Book Antiqua" w:hAnsi="Book Antiqua"/>
        </w:rPr>
        <w:t>Liccardo</w:t>
      </w:r>
      <w:proofErr w:type="spellEnd"/>
      <w:r>
        <w:rPr>
          <w:rFonts w:ascii="Book Antiqua" w:hAnsi="Book Antiqua"/>
        </w:rPr>
        <w:t xml:space="preserve"> F, </w:t>
      </w:r>
      <w:proofErr w:type="spellStart"/>
      <w:r>
        <w:rPr>
          <w:rFonts w:ascii="Book Antiqua" w:hAnsi="Book Antiqua"/>
        </w:rPr>
        <w:t>Giglio</w:t>
      </w:r>
      <w:proofErr w:type="spellEnd"/>
      <w:r>
        <w:rPr>
          <w:rFonts w:ascii="Book Antiqua" w:hAnsi="Book Antiqua"/>
        </w:rPr>
        <w:t xml:space="preserve"> MC, </w:t>
      </w:r>
      <w:proofErr w:type="spellStart"/>
      <w:r>
        <w:rPr>
          <w:rFonts w:ascii="Book Antiqua" w:hAnsi="Book Antiqua"/>
        </w:rPr>
        <w:t>Sollazzo</w:t>
      </w:r>
      <w:proofErr w:type="spellEnd"/>
      <w:r>
        <w:rPr>
          <w:rFonts w:ascii="Book Antiqua" w:hAnsi="Book Antiqua"/>
        </w:rPr>
        <w:t xml:space="preserve"> V, </w:t>
      </w:r>
      <w:proofErr w:type="spellStart"/>
      <w:r>
        <w:rPr>
          <w:rFonts w:ascii="Book Antiqua" w:hAnsi="Book Antiqua"/>
        </w:rPr>
        <w:t>Zito</w:t>
      </w:r>
      <w:proofErr w:type="spellEnd"/>
      <w:r>
        <w:rPr>
          <w:rFonts w:ascii="Book Antiqua" w:hAnsi="Book Antiqua"/>
        </w:rPr>
        <w:t xml:space="preserve"> G, Bucci L. Recurrent, spontaneous, postoperative small bowel perforations caused by invasive candidiasis. </w:t>
      </w:r>
      <w:r>
        <w:rPr>
          <w:rFonts w:ascii="Book Antiqua" w:hAnsi="Book Antiqua"/>
          <w:i/>
          <w:iCs/>
        </w:rPr>
        <w:t>Int J Colorectal Dis</w:t>
      </w:r>
      <w:r>
        <w:rPr>
          <w:rFonts w:ascii="Book Antiqua" w:hAnsi="Book Antiqua"/>
        </w:rPr>
        <w:t xml:space="preserve"> 2015; </w:t>
      </w:r>
      <w:r>
        <w:rPr>
          <w:rFonts w:ascii="Book Antiqua" w:hAnsi="Book Antiqua"/>
          <w:b/>
          <w:bCs/>
        </w:rPr>
        <w:t>30</w:t>
      </w:r>
      <w:r>
        <w:rPr>
          <w:rFonts w:ascii="Book Antiqua" w:hAnsi="Book Antiqua"/>
        </w:rPr>
        <w:t>: 1585-1586 [PMID: 25735924 DOI: 10.1007/s00384-015-2138-5]</w:t>
      </w:r>
    </w:p>
    <w:p w14:paraId="5CEC4071" w14:textId="77777777" w:rsidR="00B33107" w:rsidRDefault="00E56C00">
      <w:pPr>
        <w:spacing w:line="360" w:lineRule="auto"/>
        <w:jc w:val="both"/>
      </w:pPr>
      <w:r>
        <w:rPr>
          <w:rFonts w:ascii="Book Antiqua" w:hAnsi="Book Antiqua"/>
        </w:rPr>
        <w:t xml:space="preserve">8 </w:t>
      </w:r>
      <w:r>
        <w:rPr>
          <w:rFonts w:ascii="Book Antiqua" w:hAnsi="Book Antiqua"/>
          <w:b/>
          <w:bCs/>
        </w:rPr>
        <w:t>Li L</w:t>
      </w:r>
      <w:r>
        <w:rPr>
          <w:rFonts w:ascii="Book Antiqua" w:hAnsi="Book Antiqua"/>
        </w:rPr>
        <w:t xml:space="preserve">, Meng H, Gu D, Li Y, Jia M. Molecular mechanisms of Vibrio parahaemolyticus pathogenesis. </w:t>
      </w:r>
      <w:r>
        <w:rPr>
          <w:rFonts w:ascii="Book Antiqua" w:hAnsi="Book Antiqua"/>
          <w:i/>
          <w:iCs/>
        </w:rPr>
        <w:t>Microbiol Res</w:t>
      </w:r>
      <w:r>
        <w:rPr>
          <w:rFonts w:ascii="Book Antiqua" w:hAnsi="Book Antiqua"/>
        </w:rPr>
        <w:t xml:space="preserve"> 2019; </w:t>
      </w:r>
      <w:r>
        <w:rPr>
          <w:rFonts w:ascii="Book Antiqua" w:hAnsi="Book Antiqua"/>
          <w:b/>
          <w:bCs/>
        </w:rPr>
        <w:t>222</w:t>
      </w:r>
      <w:r>
        <w:rPr>
          <w:rFonts w:ascii="Book Antiqua" w:hAnsi="Book Antiqua"/>
        </w:rPr>
        <w:t>: 43-51 [PMID: 30928029 DOI: 10.1016/j.micres.2019.03.003]</w:t>
      </w:r>
    </w:p>
    <w:p w14:paraId="6E710BCF" w14:textId="77777777" w:rsidR="00B33107" w:rsidRDefault="00E56C00">
      <w:pPr>
        <w:spacing w:line="360" w:lineRule="auto"/>
        <w:jc w:val="both"/>
      </w:pPr>
      <w:r>
        <w:rPr>
          <w:rFonts w:ascii="Book Antiqua" w:hAnsi="Book Antiqua"/>
        </w:rPr>
        <w:lastRenderedPageBreak/>
        <w:t xml:space="preserve">9 </w:t>
      </w:r>
      <w:r>
        <w:rPr>
          <w:rFonts w:ascii="Book Antiqua" w:hAnsi="Book Antiqua"/>
          <w:b/>
          <w:bCs/>
        </w:rPr>
        <w:t>Wong HC</w:t>
      </w:r>
      <w:r>
        <w:rPr>
          <w:rFonts w:ascii="Book Antiqua" w:hAnsi="Book Antiqua"/>
        </w:rPr>
        <w:t xml:space="preserve">, Liu SH, Wang TK, Lee CL, </w:t>
      </w:r>
      <w:proofErr w:type="spellStart"/>
      <w:r>
        <w:rPr>
          <w:rFonts w:ascii="Book Antiqua" w:hAnsi="Book Antiqua"/>
        </w:rPr>
        <w:t>Chiou</w:t>
      </w:r>
      <w:proofErr w:type="spellEnd"/>
      <w:r>
        <w:rPr>
          <w:rFonts w:ascii="Book Antiqua" w:hAnsi="Book Antiqua"/>
        </w:rPr>
        <w:t xml:space="preserve"> CS, Liu DP, </w:t>
      </w:r>
      <w:proofErr w:type="spellStart"/>
      <w:r>
        <w:rPr>
          <w:rFonts w:ascii="Book Antiqua" w:hAnsi="Book Antiqua"/>
        </w:rPr>
        <w:t>Nishibuchi</w:t>
      </w:r>
      <w:proofErr w:type="spellEnd"/>
      <w:r>
        <w:rPr>
          <w:rFonts w:ascii="Book Antiqua" w:hAnsi="Book Antiqua"/>
        </w:rPr>
        <w:t xml:space="preserve"> M, Lee BK. Characteristics of Vibrio parahaemolyticus O3:K6 from Asia. </w:t>
      </w:r>
      <w:r>
        <w:rPr>
          <w:rFonts w:ascii="Book Antiqua" w:hAnsi="Book Antiqua"/>
          <w:i/>
          <w:iCs/>
        </w:rPr>
        <w:t>Appl Environ Microbiol</w:t>
      </w:r>
      <w:r>
        <w:rPr>
          <w:rFonts w:ascii="Book Antiqua" w:hAnsi="Book Antiqua"/>
        </w:rPr>
        <w:t xml:space="preserve"> 2000; </w:t>
      </w:r>
      <w:r>
        <w:rPr>
          <w:rFonts w:ascii="Book Antiqua" w:hAnsi="Book Antiqua"/>
          <w:b/>
          <w:bCs/>
        </w:rPr>
        <w:t>66</w:t>
      </w:r>
      <w:r>
        <w:rPr>
          <w:rFonts w:ascii="Book Antiqua" w:hAnsi="Book Antiqua"/>
        </w:rPr>
        <w:t>: 3981-3986 [PMID: 10966418 DOI: 10.1128/aem.66.9.3981-3986.2000]</w:t>
      </w:r>
    </w:p>
    <w:p w14:paraId="01DEFF76" w14:textId="77777777" w:rsidR="00B33107" w:rsidRDefault="00B33107">
      <w:pPr>
        <w:spacing w:line="360" w:lineRule="auto"/>
        <w:jc w:val="both"/>
        <w:sectPr w:rsidR="00B33107">
          <w:headerReference w:type="default" r:id="rId8"/>
          <w:pgSz w:w="12240" w:h="15840"/>
          <w:pgMar w:top="1440" w:right="1440" w:bottom="1440" w:left="1440" w:header="720" w:footer="720" w:gutter="0"/>
          <w:cols w:space="720"/>
        </w:sectPr>
      </w:pPr>
    </w:p>
    <w:p w14:paraId="62FAFDB3" w14:textId="77777777" w:rsidR="00B33107" w:rsidRDefault="00E56C00">
      <w:pPr>
        <w:spacing w:line="360" w:lineRule="auto"/>
        <w:jc w:val="both"/>
      </w:pPr>
      <w:r>
        <w:rPr>
          <w:rFonts w:ascii="Book Antiqua" w:hAnsi="Book Antiqua"/>
          <w:b/>
          <w:bCs/>
        </w:rPr>
        <w:lastRenderedPageBreak/>
        <w:t>Footnotes</w:t>
      </w:r>
    </w:p>
    <w:p w14:paraId="51E39FD5" w14:textId="77777777" w:rsidR="00B33107" w:rsidRDefault="00E56C00">
      <w:pPr>
        <w:spacing w:line="360" w:lineRule="auto"/>
        <w:jc w:val="both"/>
      </w:pPr>
      <w:r>
        <w:rPr>
          <w:rFonts w:ascii="Book Antiqua" w:hAnsi="Book Antiqua"/>
          <w:b/>
          <w:bCs/>
        </w:rPr>
        <w:t xml:space="preserve">Informed consent statement: </w:t>
      </w:r>
      <w:r>
        <w:rPr>
          <w:rFonts w:ascii="Book Antiqua" w:hAnsi="Book Antiqua"/>
          <w:shd w:val="clear" w:color="auto" w:fill="FFFFFF"/>
        </w:rPr>
        <w:t>Informed written consent was obtained from the patient for publication of this report and any accompanying images.</w:t>
      </w:r>
    </w:p>
    <w:p w14:paraId="24779D20" w14:textId="77777777" w:rsidR="00B33107" w:rsidRDefault="00B33107">
      <w:pPr>
        <w:spacing w:line="360" w:lineRule="auto"/>
        <w:jc w:val="both"/>
      </w:pPr>
    </w:p>
    <w:p w14:paraId="1BD399F0" w14:textId="77777777" w:rsidR="00B33107" w:rsidRDefault="00E56C00">
      <w:pPr>
        <w:spacing w:line="360" w:lineRule="auto"/>
        <w:jc w:val="both"/>
      </w:pPr>
      <w:r>
        <w:rPr>
          <w:rFonts w:ascii="Book Antiqua" w:hAnsi="Book Antiqua"/>
          <w:b/>
          <w:bCs/>
        </w:rPr>
        <w:t xml:space="preserve">Conflict-of-interest statement: </w:t>
      </w:r>
      <w:r>
        <w:rPr>
          <w:rFonts w:ascii="Book Antiqua" w:hAnsi="Book Antiqua"/>
          <w:shd w:val="clear" w:color="auto" w:fill="FFFFFF"/>
        </w:rPr>
        <w:t>The authors declare that they have no conflict of interest.</w:t>
      </w:r>
    </w:p>
    <w:p w14:paraId="1FC54057" w14:textId="77777777" w:rsidR="00B33107" w:rsidRDefault="00B33107">
      <w:pPr>
        <w:spacing w:line="360" w:lineRule="auto"/>
        <w:jc w:val="both"/>
      </w:pPr>
    </w:p>
    <w:p w14:paraId="6D420D43" w14:textId="77777777" w:rsidR="00B33107" w:rsidRDefault="00E56C00">
      <w:pPr>
        <w:spacing w:line="360" w:lineRule="auto"/>
        <w:jc w:val="both"/>
      </w:pPr>
      <w:r>
        <w:rPr>
          <w:rFonts w:ascii="Book Antiqua" w:hAnsi="Book Antiqua"/>
          <w:b/>
          <w:bCs/>
        </w:rPr>
        <w:t xml:space="preserve">CARE Checklist (2016) statement: </w:t>
      </w:r>
      <w:r>
        <w:rPr>
          <w:rFonts w:ascii="Book Antiqua" w:hAnsi="Book Antiqua"/>
          <w:shd w:val="clear" w:color="auto" w:fill="FFFFFF"/>
        </w:rPr>
        <w:t>The authors have read the CARE Checklist (2016), and the manuscript was prepared and revised according to the CARE Checklist (2016).</w:t>
      </w:r>
    </w:p>
    <w:p w14:paraId="1A03C45E" w14:textId="77777777" w:rsidR="00B33107" w:rsidRDefault="00B33107">
      <w:pPr>
        <w:spacing w:line="360" w:lineRule="auto"/>
        <w:jc w:val="both"/>
      </w:pPr>
    </w:p>
    <w:p w14:paraId="1D911BE6" w14:textId="77777777" w:rsidR="00B33107" w:rsidRDefault="00E56C00">
      <w:pPr>
        <w:spacing w:line="360" w:lineRule="auto"/>
        <w:jc w:val="both"/>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E8008C" w14:textId="77777777" w:rsidR="00B33107" w:rsidRDefault="00B33107">
      <w:pPr>
        <w:spacing w:line="360" w:lineRule="auto"/>
        <w:jc w:val="both"/>
      </w:pPr>
    </w:p>
    <w:p w14:paraId="7969EB53" w14:textId="77777777" w:rsidR="00B33107" w:rsidRDefault="00E56C00">
      <w:pPr>
        <w:spacing w:line="360" w:lineRule="auto"/>
        <w:jc w:val="both"/>
      </w:pPr>
      <w:r>
        <w:rPr>
          <w:rFonts w:ascii="Book Antiqua" w:hAnsi="Book Antiqua"/>
          <w:b/>
          <w:bCs/>
        </w:rPr>
        <w:t xml:space="preserve">Manuscript source: </w:t>
      </w:r>
      <w:r>
        <w:rPr>
          <w:rFonts w:ascii="Book Antiqua" w:hAnsi="Book Antiqua"/>
        </w:rPr>
        <w:t>Unsolicited manuscript</w:t>
      </w:r>
    </w:p>
    <w:p w14:paraId="6F75C1A4" w14:textId="77777777" w:rsidR="00B33107" w:rsidRDefault="00B33107">
      <w:pPr>
        <w:spacing w:line="360" w:lineRule="auto"/>
        <w:jc w:val="both"/>
      </w:pPr>
    </w:p>
    <w:p w14:paraId="13929F66" w14:textId="77777777" w:rsidR="00B33107" w:rsidRDefault="00E56C00">
      <w:pPr>
        <w:spacing w:line="360" w:lineRule="auto"/>
        <w:jc w:val="both"/>
      </w:pPr>
      <w:r>
        <w:rPr>
          <w:rFonts w:ascii="Book Antiqua" w:hAnsi="Book Antiqua"/>
          <w:b/>
          <w:bCs/>
        </w:rPr>
        <w:t xml:space="preserve">Peer-review started: </w:t>
      </w:r>
      <w:r>
        <w:rPr>
          <w:rFonts w:ascii="Book Antiqua" w:hAnsi="Book Antiqua"/>
        </w:rPr>
        <w:t>November 17, 2020</w:t>
      </w:r>
    </w:p>
    <w:p w14:paraId="7AF9D867" w14:textId="77777777" w:rsidR="00B33107" w:rsidRDefault="00E56C00">
      <w:pPr>
        <w:spacing w:line="360" w:lineRule="auto"/>
        <w:jc w:val="both"/>
      </w:pPr>
      <w:r>
        <w:rPr>
          <w:rFonts w:ascii="Book Antiqua" w:hAnsi="Book Antiqua"/>
          <w:b/>
          <w:bCs/>
        </w:rPr>
        <w:t xml:space="preserve">First decision: </w:t>
      </w:r>
      <w:r>
        <w:rPr>
          <w:rFonts w:ascii="Book Antiqua" w:hAnsi="Book Antiqua"/>
        </w:rPr>
        <w:t>December 8, 2020</w:t>
      </w:r>
    </w:p>
    <w:p w14:paraId="5DEFEB24" w14:textId="2E8AD303" w:rsidR="00B33107" w:rsidRDefault="00E56C00">
      <w:pPr>
        <w:spacing w:line="360" w:lineRule="auto"/>
        <w:jc w:val="both"/>
      </w:pPr>
      <w:r>
        <w:rPr>
          <w:rFonts w:ascii="Book Antiqua" w:hAnsi="Book Antiqua"/>
          <w:b/>
          <w:bCs/>
        </w:rPr>
        <w:t xml:space="preserve">Article in press: </w:t>
      </w:r>
      <w:r w:rsidR="002A4F83" w:rsidRPr="00523B07">
        <w:rPr>
          <w:rFonts w:ascii="Book Antiqua" w:hAnsi="Book Antiqua"/>
        </w:rPr>
        <w:t>January 7, 2021</w:t>
      </w:r>
    </w:p>
    <w:p w14:paraId="581CAA81" w14:textId="77777777" w:rsidR="00B33107" w:rsidRDefault="00B33107">
      <w:pPr>
        <w:spacing w:line="360" w:lineRule="auto"/>
        <w:jc w:val="both"/>
      </w:pPr>
    </w:p>
    <w:p w14:paraId="5EC5FC51" w14:textId="77777777" w:rsidR="00B33107" w:rsidRDefault="00E56C00">
      <w:pPr>
        <w:spacing w:line="360" w:lineRule="auto"/>
        <w:jc w:val="both"/>
      </w:pPr>
      <w:r>
        <w:rPr>
          <w:rFonts w:ascii="Book Antiqua" w:hAnsi="Book Antiqua"/>
          <w:b/>
          <w:bCs/>
        </w:rPr>
        <w:t xml:space="preserve">Specialty type: </w:t>
      </w:r>
      <w:bookmarkStart w:id="1" w:name="OLE_LINK1952"/>
      <w:r>
        <w:rPr>
          <w:rFonts w:ascii="Book Antiqua" w:hAnsi="Book Antiqua"/>
        </w:rPr>
        <w:t>M</w:t>
      </w:r>
      <w:bookmarkStart w:id="2" w:name="OLE_LINK1953"/>
      <w:bookmarkEnd w:id="1"/>
      <w:r>
        <w:rPr>
          <w:rFonts w:ascii="Book Antiqua" w:hAnsi="Book Antiqua"/>
        </w:rPr>
        <w:t>e</w:t>
      </w:r>
      <w:bookmarkStart w:id="3" w:name="OLE_LINK2066"/>
      <w:bookmarkEnd w:id="2"/>
      <w:r>
        <w:rPr>
          <w:rFonts w:ascii="Book Antiqua" w:hAnsi="Book Antiqua"/>
        </w:rPr>
        <w:t>dicine, research and experiment</w:t>
      </w:r>
      <w:bookmarkEnd w:id="3"/>
      <w:r>
        <w:rPr>
          <w:rFonts w:ascii="Book Antiqua" w:hAnsi="Book Antiqua"/>
        </w:rPr>
        <w:t>al</w:t>
      </w:r>
    </w:p>
    <w:p w14:paraId="6C6D8704" w14:textId="77777777" w:rsidR="00B33107" w:rsidRDefault="00E56C00">
      <w:pPr>
        <w:spacing w:line="360" w:lineRule="auto"/>
        <w:jc w:val="both"/>
      </w:pPr>
      <w:r>
        <w:rPr>
          <w:rFonts w:ascii="Book Antiqua" w:hAnsi="Book Antiqua"/>
          <w:b/>
          <w:bCs/>
        </w:rPr>
        <w:t xml:space="preserve">Country/Territory of origin: </w:t>
      </w:r>
      <w:r>
        <w:rPr>
          <w:rFonts w:ascii="Book Antiqua" w:hAnsi="Book Antiqua"/>
        </w:rPr>
        <w:t>Taiwan</w:t>
      </w:r>
    </w:p>
    <w:p w14:paraId="40E18B41" w14:textId="77777777" w:rsidR="00B33107" w:rsidRDefault="00E56C00">
      <w:pPr>
        <w:spacing w:line="360" w:lineRule="auto"/>
        <w:jc w:val="both"/>
      </w:pPr>
      <w:r>
        <w:rPr>
          <w:rFonts w:ascii="Book Antiqua" w:hAnsi="Book Antiqua"/>
          <w:b/>
          <w:bCs/>
        </w:rPr>
        <w:t>Peer-review report’s scientific quality classification</w:t>
      </w:r>
    </w:p>
    <w:p w14:paraId="27A81E8C" w14:textId="77777777" w:rsidR="00B33107" w:rsidRDefault="00E56C00">
      <w:pPr>
        <w:spacing w:line="360" w:lineRule="auto"/>
        <w:jc w:val="both"/>
      </w:pPr>
      <w:r>
        <w:rPr>
          <w:rFonts w:ascii="Book Antiqua" w:hAnsi="Book Antiqua"/>
        </w:rPr>
        <w:t>Grade A (Excellent): 0</w:t>
      </w:r>
    </w:p>
    <w:p w14:paraId="77A8A3D8" w14:textId="77777777" w:rsidR="00B33107" w:rsidRDefault="00E56C00">
      <w:pPr>
        <w:spacing w:line="360" w:lineRule="auto"/>
        <w:jc w:val="both"/>
      </w:pPr>
      <w:r>
        <w:rPr>
          <w:rFonts w:ascii="Book Antiqua" w:hAnsi="Book Antiqua"/>
        </w:rPr>
        <w:t>Grade B (Very good): B</w:t>
      </w:r>
    </w:p>
    <w:p w14:paraId="1BA27E25" w14:textId="77777777" w:rsidR="00B33107" w:rsidRDefault="00E56C00">
      <w:pPr>
        <w:spacing w:line="360" w:lineRule="auto"/>
        <w:jc w:val="both"/>
      </w:pPr>
      <w:r>
        <w:rPr>
          <w:rFonts w:ascii="Book Antiqua" w:hAnsi="Book Antiqua"/>
        </w:rPr>
        <w:lastRenderedPageBreak/>
        <w:t>Grade C (Good): 0</w:t>
      </w:r>
    </w:p>
    <w:p w14:paraId="43CE21D7" w14:textId="77777777" w:rsidR="00B33107" w:rsidRDefault="00E56C00">
      <w:pPr>
        <w:spacing w:line="360" w:lineRule="auto"/>
        <w:jc w:val="both"/>
      </w:pPr>
      <w:r>
        <w:rPr>
          <w:rFonts w:ascii="Book Antiqua" w:hAnsi="Book Antiqua"/>
        </w:rPr>
        <w:t>Grade D (Fair): 0</w:t>
      </w:r>
    </w:p>
    <w:p w14:paraId="55F50B1F" w14:textId="77777777" w:rsidR="00B33107" w:rsidRDefault="00E56C00">
      <w:pPr>
        <w:spacing w:line="360" w:lineRule="auto"/>
        <w:jc w:val="both"/>
      </w:pPr>
      <w:r>
        <w:rPr>
          <w:rFonts w:ascii="Book Antiqua" w:hAnsi="Book Antiqua"/>
        </w:rPr>
        <w:t>Grade E (Poor): 0</w:t>
      </w:r>
    </w:p>
    <w:p w14:paraId="34B8922F" w14:textId="77777777" w:rsidR="00B33107" w:rsidRDefault="00B33107">
      <w:pPr>
        <w:spacing w:line="360" w:lineRule="auto"/>
        <w:jc w:val="both"/>
      </w:pPr>
    </w:p>
    <w:p w14:paraId="27CCDA76" w14:textId="47CEA592" w:rsidR="00B33107" w:rsidRDefault="00E56C00">
      <w:pPr>
        <w:spacing w:line="360" w:lineRule="auto"/>
        <w:jc w:val="both"/>
        <w:sectPr w:rsidR="00B33107">
          <w:headerReference w:type="default" r:id="rId9"/>
          <w:pgSz w:w="12240" w:h="15840"/>
          <w:pgMar w:top="1440" w:right="1440" w:bottom="1440" w:left="1440" w:header="720" w:footer="720" w:gutter="0"/>
          <w:cols w:space="720"/>
        </w:sectPr>
      </w:pPr>
      <w:r>
        <w:rPr>
          <w:rFonts w:ascii="Book Antiqua" w:hAnsi="Book Antiqua"/>
          <w:b/>
          <w:bCs/>
        </w:rPr>
        <w:t xml:space="preserve">P-Reviewer: </w:t>
      </w:r>
      <w:proofErr w:type="spellStart"/>
      <w:r>
        <w:rPr>
          <w:rFonts w:ascii="Book Antiqua" w:hAnsi="Book Antiqua"/>
        </w:rPr>
        <w:t>Mikulic</w:t>
      </w:r>
      <w:proofErr w:type="spellEnd"/>
      <w:r>
        <w:rPr>
          <w:rFonts w:ascii="Book Antiqua" w:hAnsi="Book Antiqua"/>
        </w:rPr>
        <w:t xml:space="preserve"> D</w:t>
      </w:r>
      <w:r>
        <w:rPr>
          <w:rFonts w:ascii="Book Antiqua" w:hAnsi="Book Antiqua"/>
          <w:b/>
          <w:bCs/>
        </w:rPr>
        <w:t xml:space="preserve"> S-Editor: </w:t>
      </w:r>
      <w:r>
        <w:rPr>
          <w:rFonts w:ascii="Book Antiqua" w:hAnsi="Book Antiqua"/>
        </w:rPr>
        <w:t>Fan JR</w:t>
      </w:r>
      <w:r>
        <w:rPr>
          <w:rFonts w:ascii="Book Antiqua" w:hAnsi="Book Antiqua"/>
          <w:b/>
          <w:bCs/>
        </w:rPr>
        <w:t xml:space="preserve"> L-Editor:</w:t>
      </w:r>
      <w:r w:rsidR="002A4F83">
        <w:rPr>
          <w:rFonts w:ascii="Book Antiqua" w:hAnsi="Book Antiqua" w:hint="eastAsia"/>
          <w:b/>
          <w:bCs/>
        </w:rPr>
        <w:t xml:space="preserve"> </w:t>
      </w:r>
      <w:r w:rsidR="002A4F83" w:rsidRPr="002A4F83">
        <w:rPr>
          <w:rFonts w:ascii="Book Antiqua" w:hAnsi="Book Antiqua" w:hint="eastAsia"/>
          <w:bCs/>
        </w:rPr>
        <w:t>A</w:t>
      </w:r>
      <w:r w:rsidR="002A4F83">
        <w:rPr>
          <w:rFonts w:ascii="Book Antiqua" w:hAnsi="Book Antiqua" w:hint="eastAsia"/>
          <w:b/>
          <w:bCs/>
        </w:rPr>
        <w:t xml:space="preserve"> </w:t>
      </w:r>
      <w:r>
        <w:rPr>
          <w:rFonts w:ascii="Book Antiqua" w:hAnsi="Book Antiqua"/>
          <w:b/>
          <w:bCs/>
        </w:rPr>
        <w:t xml:space="preserve">P-Editor: </w:t>
      </w:r>
      <w:r w:rsidR="002A4F83" w:rsidRPr="002A4F83">
        <w:rPr>
          <w:rFonts w:ascii="Book Antiqua" w:hAnsi="Book Antiqua"/>
          <w:bCs/>
        </w:rPr>
        <w:t>Xing YX</w:t>
      </w:r>
    </w:p>
    <w:p w14:paraId="78E59BFC" w14:textId="77777777" w:rsidR="00B33107" w:rsidRDefault="00E56C00">
      <w:pPr>
        <w:spacing w:line="360" w:lineRule="auto"/>
        <w:jc w:val="both"/>
      </w:pPr>
      <w:r>
        <w:rPr>
          <w:rFonts w:ascii="Book Antiqua" w:hAnsi="Book Antiqua"/>
          <w:b/>
          <w:bCs/>
        </w:rPr>
        <w:lastRenderedPageBreak/>
        <w:t>Figure Legends</w:t>
      </w:r>
    </w:p>
    <w:p w14:paraId="1B9DF874" w14:textId="77777777" w:rsidR="00B33107" w:rsidRDefault="00E56C00">
      <w:pPr>
        <w:spacing w:line="360" w:lineRule="auto"/>
        <w:jc w:val="both"/>
        <w:rPr>
          <w:rFonts w:ascii="Book Antiqua" w:eastAsia="Book Antiqua" w:hAnsi="Book Antiqua" w:cs="Book Antiqua"/>
          <w:b/>
          <w:bCs/>
          <w:shd w:val="clear" w:color="auto" w:fill="FFFFFF"/>
        </w:rPr>
      </w:pPr>
      <w:r>
        <w:rPr>
          <w:rStyle w:val="a00"/>
          <w:noProof/>
        </w:rPr>
        <w:drawing>
          <wp:inline distT="0" distB="0" distL="0" distR="0" wp14:anchorId="3EC29498" wp14:editId="49CB66C8">
            <wp:extent cx="4809524" cy="312380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stretch>
                      <a:fillRect/>
                    </a:stretch>
                  </pic:blipFill>
                  <pic:spPr>
                    <a:xfrm>
                      <a:off x="0" y="0"/>
                      <a:ext cx="4809524" cy="3123809"/>
                    </a:xfrm>
                    <a:prstGeom prst="rect">
                      <a:avLst/>
                    </a:prstGeom>
                    <a:ln w="12700" cap="flat">
                      <a:noFill/>
                      <a:miter lim="400000"/>
                    </a:ln>
                    <a:effectLst/>
                  </pic:spPr>
                </pic:pic>
              </a:graphicData>
            </a:graphic>
          </wp:inline>
        </w:drawing>
      </w:r>
    </w:p>
    <w:p w14:paraId="16512ED1" w14:textId="77777777" w:rsidR="00B33107" w:rsidRDefault="00E56C00">
      <w:pPr>
        <w:spacing w:line="360" w:lineRule="auto"/>
        <w:jc w:val="both"/>
        <w:rPr>
          <w:b/>
          <w:bCs/>
        </w:rPr>
      </w:pPr>
      <w:r>
        <w:rPr>
          <w:rFonts w:ascii="Book Antiqua" w:hAnsi="Book Antiqua"/>
          <w:b/>
          <w:bCs/>
          <w:shd w:val="clear" w:color="auto" w:fill="FFFFFF"/>
        </w:rPr>
        <w:t>Figure 1 The abdominal computed tomography with and without contrast revealed focal extraluminal air in the left lower mesentery with adjacent bowel edema indicative of small bowel perforation.</w:t>
      </w:r>
    </w:p>
    <w:p w14:paraId="437DD600" w14:textId="77777777" w:rsidR="00B33107" w:rsidRDefault="00E56C00">
      <w:pPr>
        <w:spacing w:line="360" w:lineRule="auto"/>
        <w:jc w:val="both"/>
      </w:pPr>
      <w:r>
        <w:rPr>
          <w:rFonts w:ascii="Arial Unicode MS" w:hAnsi="Arial Unicode MS"/>
          <w:shd w:val="clear" w:color="auto" w:fill="FFFFFF"/>
        </w:rPr>
        <w:br w:type="page"/>
      </w:r>
    </w:p>
    <w:p w14:paraId="4D87A22E" w14:textId="77777777" w:rsidR="00B33107" w:rsidRDefault="00E56C00">
      <w:pPr>
        <w:spacing w:line="360" w:lineRule="auto"/>
        <w:jc w:val="both"/>
        <w:rPr>
          <w:rFonts w:ascii="Book Antiqua" w:eastAsia="Book Antiqua" w:hAnsi="Book Antiqua" w:cs="Book Antiqua"/>
          <w:b/>
          <w:bCs/>
          <w:shd w:val="clear" w:color="auto" w:fill="FFFFFF"/>
        </w:rPr>
      </w:pPr>
      <w:r>
        <w:rPr>
          <w:rStyle w:val="a00"/>
          <w:noProof/>
        </w:rPr>
        <w:lastRenderedPageBreak/>
        <w:drawing>
          <wp:inline distT="0" distB="0" distL="0" distR="0" wp14:anchorId="1B32DF26" wp14:editId="09A77C24">
            <wp:extent cx="4476190" cy="318095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1"/>
                    <a:stretch>
                      <a:fillRect/>
                    </a:stretch>
                  </pic:blipFill>
                  <pic:spPr>
                    <a:xfrm>
                      <a:off x="0" y="0"/>
                      <a:ext cx="4476190" cy="3180952"/>
                    </a:xfrm>
                    <a:prstGeom prst="rect">
                      <a:avLst/>
                    </a:prstGeom>
                    <a:ln w="12700" cap="flat">
                      <a:noFill/>
                      <a:miter lim="400000"/>
                    </a:ln>
                    <a:effectLst/>
                  </pic:spPr>
                </pic:pic>
              </a:graphicData>
            </a:graphic>
          </wp:inline>
        </w:drawing>
      </w:r>
    </w:p>
    <w:p w14:paraId="676592EE" w14:textId="0CE4BFFD" w:rsidR="002B153C" w:rsidRDefault="00E56C00">
      <w:pPr>
        <w:spacing w:line="360" w:lineRule="auto"/>
        <w:jc w:val="both"/>
        <w:rPr>
          <w:rFonts w:ascii="Book Antiqua" w:hAnsi="Book Antiqua"/>
          <w:b/>
          <w:bCs/>
          <w:shd w:val="clear" w:color="auto" w:fill="FFFFFF"/>
        </w:rPr>
      </w:pPr>
      <w:r>
        <w:rPr>
          <w:rFonts w:ascii="Book Antiqua" w:hAnsi="Book Antiqua"/>
          <w:b/>
          <w:bCs/>
          <w:shd w:val="clear" w:color="auto" w:fill="FFFFFF"/>
        </w:rPr>
        <w:t>Figure 2 Necrotic perforation 80 cm from the ileocecal junction.</w:t>
      </w:r>
    </w:p>
    <w:p w14:paraId="3EA5F7D8" w14:textId="77777777" w:rsidR="002B153C" w:rsidRDefault="002B153C">
      <w:pPr>
        <w:rPr>
          <w:rFonts w:ascii="Book Antiqua" w:hAnsi="Book Antiqua"/>
          <w:b/>
          <w:bCs/>
          <w:shd w:val="clear" w:color="auto" w:fill="FFFFFF"/>
        </w:rPr>
      </w:pPr>
      <w:r>
        <w:rPr>
          <w:rFonts w:ascii="Book Antiqua" w:hAnsi="Book Antiqua"/>
          <w:b/>
          <w:bCs/>
          <w:shd w:val="clear" w:color="auto" w:fill="FFFFFF"/>
        </w:rPr>
        <w:br w:type="page"/>
      </w:r>
    </w:p>
    <w:p w14:paraId="0021F662" w14:textId="77777777" w:rsidR="002B153C" w:rsidRDefault="002B153C" w:rsidP="002B153C">
      <w:pPr>
        <w:jc w:val="center"/>
        <w:rPr>
          <w:rFonts w:ascii="Book Antiqua" w:hAnsi="Book Antiqua"/>
        </w:rPr>
      </w:pPr>
    </w:p>
    <w:p w14:paraId="31F5CA12" w14:textId="77777777" w:rsidR="002B153C" w:rsidRDefault="002B153C" w:rsidP="002B153C">
      <w:pPr>
        <w:jc w:val="center"/>
        <w:rPr>
          <w:rFonts w:ascii="Book Antiqua" w:hAnsi="Book Antiqua"/>
        </w:rPr>
      </w:pPr>
    </w:p>
    <w:p w14:paraId="3D55DE6C" w14:textId="77777777" w:rsidR="002B153C" w:rsidRDefault="002B153C" w:rsidP="002B153C">
      <w:pPr>
        <w:jc w:val="center"/>
        <w:rPr>
          <w:rFonts w:ascii="Book Antiqua" w:hAnsi="Book Antiqua"/>
        </w:rPr>
      </w:pPr>
    </w:p>
    <w:p w14:paraId="22429AD8" w14:textId="77777777" w:rsidR="002B153C" w:rsidRDefault="002B153C" w:rsidP="002B153C">
      <w:pPr>
        <w:jc w:val="center"/>
        <w:rPr>
          <w:rFonts w:ascii="Book Antiqua" w:hAnsi="Book Antiqua"/>
        </w:rPr>
      </w:pPr>
    </w:p>
    <w:p w14:paraId="703B207D" w14:textId="77777777" w:rsidR="002B153C" w:rsidRDefault="002B153C" w:rsidP="002B153C">
      <w:pPr>
        <w:jc w:val="center"/>
        <w:rPr>
          <w:rFonts w:ascii="Book Antiqua" w:hAnsi="Book Antiqua"/>
        </w:rPr>
      </w:pPr>
    </w:p>
    <w:p w14:paraId="275A5B51" w14:textId="77777777" w:rsidR="002B153C" w:rsidRDefault="002B153C" w:rsidP="002B153C">
      <w:pPr>
        <w:jc w:val="center"/>
        <w:rPr>
          <w:rFonts w:ascii="Book Antiqua" w:hAnsi="Book Antiqua"/>
        </w:rPr>
      </w:pPr>
      <w:r>
        <w:rPr>
          <w:rFonts w:ascii="Book Antiqua" w:hAnsi="Book Antiqua"/>
          <w:noProof/>
        </w:rPr>
        <w:drawing>
          <wp:inline distT="0" distB="0" distL="0" distR="0" wp14:anchorId="43B5FCBA" wp14:editId="37AD31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6DE84C" w14:textId="77777777" w:rsidR="002B153C" w:rsidRDefault="002B153C" w:rsidP="002B153C">
      <w:pPr>
        <w:jc w:val="center"/>
        <w:rPr>
          <w:rFonts w:ascii="Book Antiqua" w:hAnsi="Book Antiqua"/>
        </w:rPr>
      </w:pPr>
    </w:p>
    <w:p w14:paraId="23759C74" w14:textId="77777777" w:rsidR="002B153C" w:rsidRPr="00763D22" w:rsidRDefault="002B153C" w:rsidP="002B153C">
      <w:pPr>
        <w:autoSpaceDE w:val="0"/>
        <w:autoSpaceDN w:val="0"/>
        <w:adjustRightInd w:val="0"/>
        <w:jc w:val="center"/>
        <w:rPr>
          <w:rFonts w:ascii="Book Antiqua" w:eastAsia="Garamond-Bold" w:hAnsi="Book Antiqua" w:cs="Garamond-Bold"/>
          <w:b/>
          <w:bCs/>
          <w:sz w:val="28"/>
          <w:szCs w:val="28"/>
        </w:rPr>
      </w:pPr>
      <w:r w:rsidRPr="00763D22">
        <w:rPr>
          <w:rFonts w:ascii="Book Antiqua" w:eastAsia="TimesNewRomanPSMT" w:hAnsi="Book Antiqua" w:cs="TimesNewRomanPSMT"/>
          <w:sz w:val="28"/>
          <w:szCs w:val="28"/>
        </w:rPr>
        <w:t xml:space="preserve">Published by </w:t>
      </w:r>
      <w:proofErr w:type="spellStart"/>
      <w:r w:rsidRPr="00763D22">
        <w:rPr>
          <w:rFonts w:ascii="Book Antiqua" w:eastAsia="Garamond-Bold" w:hAnsi="Book Antiqua" w:cs="Garamond-Bold"/>
          <w:b/>
          <w:bCs/>
          <w:sz w:val="28"/>
          <w:szCs w:val="28"/>
        </w:rPr>
        <w:t>Baishideng</w:t>
      </w:r>
      <w:proofErr w:type="spellEnd"/>
      <w:r w:rsidRPr="00763D22">
        <w:rPr>
          <w:rFonts w:ascii="Book Antiqua" w:eastAsia="Garamond-Bold" w:hAnsi="Book Antiqua" w:cs="Garamond-Bold"/>
          <w:b/>
          <w:bCs/>
          <w:sz w:val="28"/>
          <w:szCs w:val="28"/>
        </w:rPr>
        <w:t xml:space="preserve"> Publishing Group </w:t>
      </w:r>
      <w:proofErr w:type="spellStart"/>
      <w:r w:rsidRPr="00763D22">
        <w:rPr>
          <w:rFonts w:ascii="Book Antiqua" w:eastAsia="Garamond-Bold" w:hAnsi="Book Antiqua" w:cs="Garamond-Bold"/>
          <w:b/>
          <w:bCs/>
          <w:sz w:val="28"/>
          <w:szCs w:val="28"/>
        </w:rPr>
        <w:t>Inc</w:t>
      </w:r>
      <w:proofErr w:type="spellEnd"/>
    </w:p>
    <w:p w14:paraId="71FFD6BE" w14:textId="77777777" w:rsidR="002B153C" w:rsidRPr="00763D22" w:rsidRDefault="002B153C" w:rsidP="002B153C">
      <w:pPr>
        <w:autoSpaceDE w:val="0"/>
        <w:autoSpaceDN w:val="0"/>
        <w:adjustRightInd w:val="0"/>
        <w:jc w:val="center"/>
        <w:rPr>
          <w:rFonts w:ascii="Book Antiqua" w:eastAsia="TimesNewRomanPSMT" w:hAnsi="Book Antiqua" w:cs="Garamond"/>
          <w:sz w:val="28"/>
          <w:szCs w:val="28"/>
        </w:rPr>
      </w:pPr>
      <w:r w:rsidRPr="00763D22">
        <w:rPr>
          <w:rFonts w:ascii="Book Antiqua" w:eastAsia="TimesNewRomanPSMT" w:hAnsi="Book Antiqua" w:cs="Garamond"/>
          <w:sz w:val="28"/>
          <w:szCs w:val="28"/>
        </w:rPr>
        <w:t>7041 Koll Center Parkway, Suite 160, Pleasanton, CA 94566, USA</w:t>
      </w:r>
    </w:p>
    <w:p w14:paraId="7EDE3799" w14:textId="77777777" w:rsidR="002B153C" w:rsidRPr="00763D22" w:rsidRDefault="002B153C" w:rsidP="002B153C">
      <w:pPr>
        <w:autoSpaceDE w:val="0"/>
        <w:autoSpaceDN w:val="0"/>
        <w:adjustRightInd w:val="0"/>
        <w:jc w:val="center"/>
        <w:rPr>
          <w:rFonts w:ascii="Book Antiqua" w:eastAsia="TimesNewRomanPSMT" w:hAnsi="Book Antiqua" w:cs="Garamond"/>
          <w:sz w:val="28"/>
          <w:szCs w:val="28"/>
        </w:rPr>
      </w:pPr>
      <w:r w:rsidRPr="00763D22">
        <w:rPr>
          <w:rFonts w:ascii="Book Antiqua" w:eastAsia="Garamond-Bold" w:hAnsi="Book Antiqua" w:cs="Garamond-Bold"/>
          <w:b/>
          <w:bCs/>
          <w:sz w:val="28"/>
          <w:szCs w:val="28"/>
        </w:rPr>
        <w:t xml:space="preserve">Telephone: </w:t>
      </w:r>
      <w:r w:rsidRPr="00763D22">
        <w:rPr>
          <w:rFonts w:ascii="Book Antiqua" w:eastAsia="TimesNewRomanPSMT" w:hAnsi="Book Antiqua" w:cs="Garamond"/>
          <w:sz w:val="28"/>
          <w:szCs w:val="28"/>
        </w:rPr>
        <w:t>+1-925-3991568</w:t>
      </w:r>
    </w:p>
    <w:p w14:paraId="2E07DD19" w14:textId="77777777" w:rsidR="002B153C" w:rsidRPr="00763D22" w:rsidRDefault="002B153C" w:rsidP="002B15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sz w:val="28"/>
          <w:szCs w:val="28"/>
        </w:rPr>
        <w:t xml:space="preserve">E-mail: </w:t>
      </w:r>
      <w:r w:rsidRPr="00763D22">
        <w:rPr>
          <w:rFonts w:ascii="Book Antiqua" w:eastAsia="TimesNewRomanPSMT" w:hAnsi="Book Antiqua" w:cs="Garamond"/>
          <w:color w:val="D56400"/>
          <w:sz w:val="28"/>
          <w:szCs w:val="28"/>
        </w:rPr>
        <w:t>bpgoffice@wjgnet.com</w:t>
      </w:r>
    </w:p>
    <w:p w14:paraId="7EB9CCF0" w14:textId="77777777" w:rsidR="002B153C" w:rsidRPr="00763D22" w:rsidRDefault="002B153C" w:rsidP="002B15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sz w:val="28"/>
          <w:szCs w:val="28"/>
        </w:rPr>
        <w:t xml:space="preserve">Help Desk: </w:t>
      </w:r>
      <w:r w:rsidRPr="00763D22">
        <w:rPr>
          <w:rFonts w:ascii="Book Antiqua" w:eastAsia="TimesNewRomanPSMT" w:hAnsi="Book Antiqua" w:cs="Garamond"/>
          <w:color w:val="D56400"/>
          <w:sz w:val="28"/>
          <w:szCs w:val="28"/>
        </w:rPr>
        <w:t>https://www.f6publishing.com/helpdesk</w:t>
      </w:r>
    </w:p>
    <w:p w14:paraId="38F8109E" w14:textId="77777777" w:rsidR="002B153C" w:rsidRPr="00763D22" w:rsidRDefault="002B153C" w:rsidP="002B153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FA259CA" w14:textId="77777777" w:rsidR="002B153C" w:rsidRDefault="002B153C" w:rsidP="002B153C">
      <w:pPr>
        <w:jc w:val="center"/>
        <w:rPr>
          <w:rFonts w:ascii="Book Antiqua" w:hAnsi="Book Antiqua"/>
        </w:rPr>
      </w:pPr>
    </w:p>
    <w:p w14:paraId="325B4C70" w14:textId="77777777" w:rsidR="002B153C" w:rsidRDefault="002B153C" w:rsidP="002B153C">
      <w:pPr>
        <w:jc w:val="center"/>
        <w:rPr>
          <w:rFonts w:ascii="Book Antiqua" w:hAnsi="Book Antiqua"/>
        </w:rPr>
      </w:pPr>
    </w:p>
    <w:p w14:paraId="7390250C" w14:textId="77777777" w:rsidR="002B153C" w:rsidRDefault="002B153C" w:rsidP="002B153C">
      <w:pPr>
        <w:jc w:val="center"/>
        <w:rPr>
          <w:rFonts w:ascii="Book Antiqua" w:hAnsi="Book Antiqua"/>
        </w:rPr>
      </w:pPr>
    </w:p>
    <w:p w14:paraId="7BEA3EAF" w14:textId="77777777" w:rsidR="002B153C" w:rsidRDefault="002B153C" w:rsidP="002B153C">
      <w:pPr>
        <w:jc w:val="center"/>
        <w:rPr>
          <w:rFonts w:ascii="Book Antiqua" w:hAnsi="Book Antiqua"/>
        </w:rPr>
      </w:pPr>
      <w:r>
        <w:rPr>
          <w:rFonts w:ascii="Book Antiqua" w:hAnsi="Book Antiqua"/>
          <w:noProof/>
        </w:rPr>
        <w:drawing>
          <wp:inline distT="0" distB="0" distL="0" distR="0" wp14:anchorId="0A55C0F6" wp14:editId="16D85E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73AD0B" w14:textId="77777777" w:rsidR="002B153C" w:rsidRDefault="002B153C" w:rsidP="002B153C">
      <w:pPr>
        <w:jc w:val="center"/>
        <w:rPr>
          <w:rFonts w:ascii="Book Antiqua" w:hAnsi="Book Antiqua"/>
        </w:rPr>
      </w:pPr>
    </w:p>
    <w:p w14:paraId="44C2675F" w14:textId="77777777" w:rsidR="002B153C" w:rsidRDefault="002B153C" w:rsidP="002B153C">
      <w:pPr>
        <w:jc w:val="center"/>
        <w:rPr>
          <w:rFonts w:ascii="Book Antiqua" w:hAnsi="Book Antiqua"/>
        </w:rPr>
      </w:pPr>
    </w:p>
    <w:p w14:paraId="71048252" w14:textId="77777777" w:rsidR="002B153C" w:rsidRDefault="002B153C" w:rsidP="002B153C">
      <w:pPr>
        <w:jc w:val="center"/>
        <w:rPr>
          <w:rFonts w:ascii="Book Antiqua" w:hAnsi="Book Antiqua"/>
        </w:rPr>
      </w:pPr>
    </w:p>
    <w:p w14:paraId="550889AF" w14:textId="77777777" w:rsidR="002B153C" w:rsidRDefault="002B153C" w:rsidP="002B153C">
      <w:pPr>
        <w:jc w:val="center"/>
        <w:rPr>
          <w:rFonts w:ascii="Book Antiqua" w:hAnsi="Book Antiqua"/>
        </w:rPr>
      </w:pPr>
    </w:p>
    <w:p w14:paraId="4396EF31" w14:textId="77777777" w:rsidR="002B153C" w:rsidRDefault="002B153C" w:rsidP="002B153C">
      <w:pPr>
        <w:jc w:val="center"/>
        <w:rPr>
          <w:rFonts w:ascii="Book Antiqua" w:hAnsi="Book Antiqua"/>
        </w:rPr>
      </w:pPr>
    </w:p>
    <w:p w14:paraId="106304DE" w14:textId="77777777" w:rsidR="002B153C" w:rsidRDefault="002B153C" w:rsidP="002B153C">
      <w:pPr>
        <w:jc w:val="center"/>
        <w:rPr>
          <w:rFonts w:ascii="Book Antiqua" w:hAnsi="Book Antiqua"/>
        </w:rPr>
      </w:pPr>
    </w:p>
    <w:p w14:paraId="41BE78DD" w14:textId="77777777" w:rsidR="002B153C" w:rsidRDefault="002B153C" w:rsidP="002B153C">
      <w:pPr>
        <w:jc w:val="center"/>
        <w:rPr>
          <w:rFonts w:ascii="Book Antiqua" w:hAnsi="Book Antiqua"/>
        </w:rPr>
      </w:pPr>
    </w:p>
    <w:p w14:paraId="432F8350" w14:textId="77777777" w:rsidR="002B153C" w:rsidRDefault="002B153C" w:rsidP="002B153C">
      <w:pPr>
        <w:jc w:val="center"/>
        <w:rPr>
          <w:rFonts w:ascii="Book Antiqua" w:hAnsi="Book Antiqua"/>
        </w:rPr>
      </w:pPr>
    </w:p>
    <w:p w14:paraId="10CD636A" w14:textId="77777777" w:rsidR="002B153C" w:rsidRDefault="002B153C" w:rsidP="002B153C">
      <w:pPr>
        <w:jc w:val="center"/>
        <w:rPr>
          <w:rFonts w:ascii="Book Antiqua" w:hAnsi="Book Antiqua"/>
        </w:rPr>
      </w:pPr>
    </w:p>
    <w:p w14:paraId="326B9AB2" w14:textId="77777777" w:rsidR="002B153C" w:rsidRPr="00763D22" w:rsidRDefault="002B153C" w:rsidP="002B153C">
      <w:pPr>
        <w:jc w:val="right"/>
        <w:rPr>
          <w:rFonts w:ascii="Book Antiqua" w:hAnsi="Book Antiqua"/>
          <w:color w:val="000000" w:themeColor="text1"/>
        </w:rPr>
      </w:pPr>
    </w:p>
    <w:p w14:paraId="651A798D" w14:textId="77777777" w:rsidR="002B153C" w:rsidRPr="00763D22" w:rsidRDefault="002B153C" w:rsidP="002B153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B007DBE" w14:textId="77777777" w:rsidR="00B33107" w:rsidRPr="002B153C" w:rsidRDefault="00B33107">
      <w:pPr>
        <w:spacing w:line="360" w:lineRule="auto"/>
        <w:jc w:val="both"/>
      </w:pPr>
    </w:p>
    <w:sectPr w:rsidR="00B33107" w:rsidRPr="002B153C">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42783" w14:textId="77777777" w:rsidR="00883826" w:rsidRDefault="00883826">
      <w:r>
        <w:separator/>
      </w:r>
    </w:p>
  </w:endnote>
  <w:endnote w:type="continuationSeparator" w:id="0">
    <w:p w14:paraId="1F6167D9" w14:textId="77777777" w:rsidR="00883826" w:rsidRDefault="0088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微软雅黑"/>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2A21" w14:textId="77777777" w:rsidR="00B33107" w:rsidRDefault="00E56C00">
    <w:pPr>
      <w:pStyle w:val="a5"/>
      <w:jc w:val="right"/>
    </w:pPr>
    <w:r>
      <w:rPr>
        <w:rFonts w:ascii="Book Antiqua" w:hAnsi="Book Antiqua"/>
        <w:sz w:val="24"/>
        <w:szCs w:val="24"/>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sidR="00AA50F1">
      <w:rPr>
        <w:rFonts w:ascii="Book Antiqua" w:eastAsia="Book Antiqua" w:hAnsi="Book Antiqua" w:cs="Book Antiqua"/>
        <w:noProof/>
        <w:sz w:val="24"/>
        <w:szCs w:val="24"/>
      </w:rPr>
      <w:t>3</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AA50F1">
      <w:rPr>
        <w:rFonts w:ascii="Book Antiqua" w:eastAsia="Book Antiqua" w:hAnsi="Book Antiqua" w:cs="Book Antiqua"/>
        <w:noProof/>
        <w:sz w:val="24"/>
        <w:szCs w:val="24"/>
      </w:rPr>
      <w:t>14</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D8069" w14:textId="77777777" w:rsidR="00883826" w:rsidRDefault="00883826">
      <w:r>
        <w:separator/>
      </w:r>
    </w:p>
  </w:footnote>
  <w:footnote w:type="continuationSeparator" w:id="0">
    <w:p w14:paraId="41D28D4C" w14:textId="77777777" w:rsidR="00883826" w:rsidRDefault="00883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B0D6E" w14:textId="77777777" w:rsidR="00B33107" w:rsidRDefault="00B331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8BE43" w14:textId="77777777" w:rsidR="00B33107" w:rsidRDefault="00B331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C2BB" w14:textId="77777777" w:rsidR="00B33107" w:rsidRDefault="00B331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07"/>
    <w:rsid w:val="00092536"/>
    <w:rsid w:val="000E39E4"/>
    <w:rsid w:val="00150811"/>
    <w:rsid w:val="00160C3E"/>
    <w:rsid w:val="002A4F83"/>
    <w:rsid w:val="002B153C"/>
    <w:rsid w:val="00364A15"/>
    <w:rsid w:val="0038407A"/>
    <w:rsid w:val="004E69C3"/>
    <w:rsid w:val="00523B07"/>
    <w:rsid w:val="005D4598"/>
    <w:rsid w:val="005D6FE7"/>
    <w:rsid w:val="006629F8"/>
    <w:rsid w:val="00883826"/>
    <w:rsid w:val="00901DB1"/>
    <w:rsid w:val="00A8389C"/>
    <w:rsid w:val="00AA50F1"/>
    <w:rsid w:val="00AB2B25"/>
    <w:rsid w:val="00B33107"/>
    <w:rsid w:val="00B576DD"/>
    <w:rsid w:val="00B76E18"/>
    <w:rsid w:val="00BF3768"/>
    <w:rsid w:val="00CE2D87"/>
    <w:rsid w:val="00D476A8"/>
    <w:rsid w:val="00E56C00"/>
    <w:rsid w:val="00F10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153"/>
        <w:tab w:val="right" w:pos="8306"/>
      </w:tabs>
    </w:pPr>
    <w:rPr>
      <w:rFonts w:eastAsia="Arial Unicode MS" w:cs="Arial Unicode MS"/>
      <w:color w:val="000000"/>
      <w:sz w:val="18"/>
      <w:szCs w:val="18"/>
      <w:u w:color="000000"/>
    </w:rPr>
  </w:style>
  <w:style w:type="character" w:customStyle="1" w:styleId="a00">
    <w:name w:val="a0"/>
  </w:style>
  <w:style w:type="paragraph" w:styleId="a6">
    <w:name w:val="Balloon Text"/>
    <w:basedOn w:val="a"/>
    <w:link w:val="Char"/>
    <w:uiPriority w:val="99"/>
    <w:semiHidden/>
    <w:unhideWhenUsed/>
    <w:rsid w:val="005D4598"/>
    <w:rPr>
      <w:sz w:val="18"/>
      <w:szCs w:val="18"/>
    </w:rPr>
  </w:style>
  <w:style w:type="character" w:customStyle="1" w:styleId="Char">
    <w:name w:val="批注框文本 Char"/>
    <w:basedOn w:val="a0"/>
    <w:link w:val="a6"/>
    <w:uiPriority w:val="99"/>
    <w:semiHidden/>
    <w:rsid w:val="005D4598"/>
    <w:rPr>
      <w:rFonts w:eastAsia="Arial Unicode MS" w:cs="Arial Unicode MS"/>
      <w:color w:val="000000"/>
      <w:sz w:val="18"/>
      <w:szCs w:val="18"/>
      <w:u w:color="000000"/>
    </w:rPr>
  </w:style>
  <w:style w:type="paragraph" w:styleId="a7">
    <w:name w:val="header"/>
    <w:basedOn w:val="a"/>
    <w:link w:val="Char0"/>
    <w:uiPriority w:val="99"/>
    <w:unhideWhenUsed/>
    <w:rsid w:val="005D45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D4598"/>
    <w:rPr>
      <w:rFonts w:eastAsia="Arial Unicode MS" w:cs="Arial Unicode MS"/>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153"/>
        <w:tab w:val="right" w:pos="8306"/>
      </w:tabs>
    </w:pPr>
    <w:rPr>
      <w:rFonts w:eastAsia="Arial Unicode MS" w:cs="Arial Unicode MS"/>
      <w:color w:val="000000"/>
      <w:sz w:val="18"/>
      <w:szCs w:val="18"/>
      <w:u w:color="000000"/>
    </w:rPr>
  </w:style>
  <w:style w:type="character" w:customStyle="1" w:styleId="a00">
    <w:name w:val="a0"/>
  </w:style>
  <w:style w:type="paragraph" w:styleId="a6">
    <w:name w:val="Balloon Text"/>
    <w:basedOn w:val="a"/>
    <w:link w:val="Char"/>
    <w:uiPriority w:val="99"/>
    <w:semiHidden/>
    <w:unhideWhenUsed/>
    <w:rsid w:val="005D4598"/>
    <w:rPr>
      <w:sz w:val="18"/>
      <w:szCs w:val="18"/>
    </w:rPr>
  </w:style>
  <w:style w:type="character" w:customStyle="1" w:styleId="Char">
    <w:name w:val="批注框文本 Char"/>
    <w:basedOn w:val="a0"/>
    <w:link w:val="a6"/>
    <w:uiPriority w:val="99"/>
    <w:semiHidden/>
    <w:rsid w:val="005D4598"/>
    <w:rPr>
      <w:rFonts w:eastAsia="Arial Unicode MS" w:cs="Arial Unicode MS"/>
      <w:color w:val="000000"/>
      <w:sz w:val="18"/>
      <w:szCs w:val="18"/>
      <w:u w:color="000000"/>
    </w:rPr>
  </w:style>
  <w:style w:type="paragraph" w:styleId="a7">
    <w:name w:val="header"/>
    <w:basedOn w:val="a"/>
    <w:link w:val="Char0"/>
    <w:uiPriority w:val="99"/>
    <w:unhideWhenUsed/>
    <w:rsid w:val="005D45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D4598"/>
    <w:rPr>
      <w:rFonts w:eastAsia="Arial Unicode M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2091</Words>
  <Characters>11920</Characters>
  <Application>Microsoft Office Word</Application>
  <DocSecurity>0</DocSecurity>
  <Lines>99</Lines>
  <Paragraphs>27</Paragraphs>
  <ScaleCrop>false</ScaleCrop>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lijiahui</cp:lastModifiedBy>
  <cp:revision>8</cp:revision>
  <dcterms:created xsi:type="dcterms:W3CDTF">2021-01-07T18:06:00Z</dcterms:created>
  <dcterms:modified xsi:type="dcterms:W3CDTF">2021-01-29T02:34:00Z</dcterms:modified>
</cp:coreProperties>
</file>