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2E934" w14:textId="77777777" w:rsidR="00A77B3E" w:rsidRDefault="00191F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C0959B1" w14:textId="77777777" w:rsidR="00A77B3E" w:rsidRDefault="00191F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60951</w:t>
      </w:r>
    </w:p>
    <w:p w14:paraId="5DC2A10F" w14:textId="77777777" w:rsidR="00A77B3E" w:rsidRDefault="00191F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EA99A6A" w14:textId="77777777" w:rsidR="00A77B3E" w:rsidRDefault="00A77B3E">
      <w:pPr>
        <w:spacing w:line="360" w:lineRule="auto"/>
        <w:jc w:val="both"/>
      </w:pPr>
    </w:p>
    <w:p w14:paraId="1B957F72" w14:textId="77777777" w:rsidR="00A77B3E" w:rsidRDefault="00191F56">
      <w:pPr>
        <w:spacing w:line="360" w:lineRule="auto"/>
        <w:jc w:val="both"/>
      </w:pPr>
      <w:r>
        <w:rPr>
          <w:rFonts w:ascii="Book Antiqua" w:eastAsia="Book Antiqua" w:hAnsi="Book Antiqua" w:cs="Book Antiqua"/>
          <w:b/>
          <w:color w:val="000000"/>
        </w:rPr>
        <w:t xml:space="preserve">Management protocol for Fournier’s gangrene in sanitary regime caused by </w:t>
      </w:r>
      <w:bookmarkStart w:id="0" w:name="_Hlk60328561"/>
      <w:r>
        <w:rPr>
          <w:rFonts w:ascii="Book Antiqua" w:eastAsia="Book Antiqua" w:hAnsi="Book Antiqua" w:cs="Book Antiqua"/>
          <w:b/>
          <w:color w:val="000000"/>
        </w:rPr>
        <w:t>SARS-CoV-2</w:t>
      </w:r>
      <w:bookmarkEnd w:id="0"/>
      <w:r>
        <w:rPr>
          <w:rFonts w:ascii="Book Antiqua" w:eastAsia="Book Antiqua" w:hAnsi="Book Antiqua" w:cs="Book Antiqua"/>
          <w:b/>
          <w:color w:val="000000"/>
        </w:rPr>
        <w:t xml:space="preserve"> pandemic: A case report</w:t>
      </w:r>
    </w:p>
    <w:p w14:paraId="5146EEF6" w14:textId="77777777" w:rsidR="00A77B3E" w:rsidRDefault="00A77B3E">
      <w:pPr>
        <w:spacing w:line="360" w:lineRule="auto"/>
        <w:jc w:val="both"/>
      </w:pPr>
    </w:p>
    <w:p w14:paraId="294A3633" w14:textId="0A85221F" w:rsidR="00A77B3E" w:rsidRDefault="00C15BE2">
      <w:pPr>
        <w:spacing w:line="360" w:lineRule="auto"/>
        <w:jc w:val="both"/>
      </w:pP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A </w:t>
      </w:r>
      <w:r w:rsidRPr="00B7000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91F56">
        <w:rPr>
          <w:rFonts w:ascii="Book Antiqua" w:eastAsia="Book Antiqua" w:hAnsi="Book Antiqua" w:cs="Book Antiqua"/>
          <w:color w:val="000000"/>
        </w:rPr>
        <w:t xml:space="preserve">Fournier’s </w:t>
      </w:r>
      <w:r>
        <w:rPr>
          <w:rFonts w:ascii="Book Antiqua" w:eastAsia="Book Antiqua" w:hAnsi="Book Antiqua" w:cs="Book Antiqua"/>
          <w:color w:val="000000"/>
        </w:rPr>
        <w:t>g</w:t>
      </w:r>
      <w:r w:rsidR="00191F56">
        <w:rPr>
          <w:rFonts w:ascii="Book Antiqua" w:eastAsia="Book Antiqua" w:hAnsi="Book Antiqua" w:cs="Book Antiqua"/>
          <w:color w:val="000000"/>
        </w:rPr>
        <w:t>angrene</w:t>
      </w:r>
      <w:r>
        <w:rPr>
          <w:rFonts w:ascii="Book Antiqua" w:eastAsia="Book Antiqua" w:hAnsi="Book Antiqua" w:cs="Book Antiqua"/>
          <w:color w:val="000000"/>
        </w:rPr>
        <w:t xml:space="preserve"> </w:t>
      </w:r>
      <w:r w:rsidR="00191F56">
        <w:rPr>
          <w:rFonts w:ascii="Book Antiqua" w:eastAsia="Book Antiqua" w:hAnsi="Book Antiqua" w:cs="Book Antiqua"/>
          <w:color w:val="000000"/>
        </w:rPr>
        <w:t>case report</w:t>
      </w:r>
    </w:p>
    <w:p w14:paraId="1F0E0C69" w14:textId="77777777" w:rsidR="00A77B3E" w:rsidRDefault="00A77B3E">
      <w:pPr>
        <w:spacing w:line="360" w:lineRule="auto"/>
        <w:jc w:val="both"/>
      </w:pPr>
    </w:p>
    <w:p w14:paraId="78FECF5D" w14:textId="6C2D10A3" w:rsidR="00A77B3E" w:rsidRDefault="00191F56">
      <w:pPr>
        <w:spacing w:line="360" w:lineRule="auto"/>
        <w:jc w:val="both"/>
      </w:pPr>
      <w:r>
        <w:rPr>
          <w:rFonts w:ascii="Book Antiqua" w:eastAsia="Book Antiqua" w:hAnsi="Book Antiqua" w:cs="Book Antiqua"/>
          <w:color w:val="000000"/>
        </w:rPr>
        <w:t xml:space="preserve">Agnieszka </w:t>
      </w: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Łukasz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Michalczyk</w:t>
      </w:r>
      <w:proofErr w:type="spellEnd"/>
      <w:r>
        <w:rPr>
          <w:rFonts w:ascii="Book Antiqua" w:eastAsia="Book Antiqua" w:hAnsi="Book Antiqua" w:cs="Book Antiqua"/>
          <w:color w:val="000000"/>
        </w:rPr>
        <w:t xml:space="preserve">, Beata </w:t>
      </w:r>
      <w:proofErr w:type="spellStart"/>
      <w:r>
        <w:rPr>
          <w:rFonts w:ascii="Book Antiqua" w:eastAsia="Book Antiqua" w:hAnsi="Book Antiqua" w:cs="Book Antiqua"/>
          <w:color w:val="000000"/>
        </w:rPr>
        <w:t>Banaczyk</w:t>
      </w:r>
      <w:proofErr w:type="spellEnd"/>
      <w:r>
        <w:rPr>
          <w:rFonts w:ascii="Book Antiqua" w:eastAsia="Book Antiqua" w:hAnsi="Book Antiqua" w:cs="Book Antiqua"/>
          <w:color w:val="000000"/>
        </w:rPr>
        <w:t xml:space="preserve">, Tomasz </w:t>
      </w:r>
      <w:proofErr w:type="spellStart"/>
      <w:r>
        <w:rPr>
          <w:rFonts w:ascii="Book Antiqua" w:eastAsia="Book Antiqua" w:hAnsi="Book Antiqua" w:cs="Book Antiqua"/>
          <w:color w:val="000000"/>
        </w:rPr>
        <w:t>Syryło</w:t>
      </w:r>
      <w:proofErr w:type="spellEnd"/>
      <w:r>
        <w:rPr>
          <w:rFonts w:ascii="Book Antiqua" w:eastAsia="Book Antiqua" w:hAnsi="Book Antiqua" w:cs="Book Antiqua"/>
          <w:color w:val="000000"/>
        </w:rPr>
        <w:t xml:space="preserve">, Tomasz </w:t>
      </w:r>
      <w:proofErr w:type="spellStart"/>
      <w:r>
        <w:rPr>
          <w:rFonts w:ascii="Book Antiqua" w:eastAsia="Book Antiqua" w:hAnsi="Book Antiqua" w:cs="Book Antiqua"/>
          <w:color w:val="000000"/>
        </w:rPr>
        <w:t>Z</w:t>
      </w:r>
      <w:r w:rsidR="003037C8">
        <w:rPr>
          <w:rFonts w:ascii="Book Antiqua" w:eastAsia="Book Antiqua" w:hAnsi="Book Antiqua" w:cs="Book Antiqua"/>
          <w:color w:val="000000"/>
        </w:rPr>
        <w:t>ą</w:t>
      </w:r>
      <w:r>
        <w:rPr>
          <w:rFonts w:ascii="Book Antiqua" w:eastAsia="Book Antiqua" w:hAnsi="Book Antiqua" w:cs="Book Antiqua"/>
          <w:color w:val="000000"/>
        </w:rPr>
        <w:t>bkowski</w:t>
      </w:r>
      <w:proofErr w:type="spellEnd"/>
    </w:p>
    <w:p w14:paraId="62661DF7" w14:textId="77777777" w:rsidR="00A77B3E" w:rsidRDefault="00A77B3E">
      <w:pPr>
        <w:spacing w:line="360" w:lineRule="auto"/>
        <w:jc w:val="both"/>
      </w:pPr>
    </w:p>
    <w:p w14:paraId="02987E40" w14:textId="7C1C217A" w:rsidR="00A77B3E" w:rsidRDefault="00191F56">
      <w:pPr>
        <w:spacing w:line="360" w:lineRule="auto"/>
        <w:jc w:val="both"/>
      </w:pPr>
      <w:r>
        <w:rPr>
          <w:rFonts w:ascii="Book Antiqua" w:eastAsia="Book Antiqua" w:hAnsi="Book Antiqua" w:cs="Book Antiqua"/>
          <w:b/>
          <w:bCs/>
          <w:color w:val="000000"/>
        </w:rPr>
        <w:t xml:space="preserve">Agnieszka </w:t>
      </w:r>
      <w:proofErr w:type="spellStart"/>
      <w:r>
        <w:rPr>
          <w:rFonts w:ascii="Book Antiqua" w:eastAsia="Book Antiqua" w:hAnsi="Book Antiqua" w:cs="Book Antiqua"/>
          <w:b/>
          <w:bCs/>
          <w:color w:val="000000"/>
        </w:rPr>
        <w:t>Grabińska</w:t>
      </w:r>
      <w:proofErr w:type="spellEnd"/>
      <w:r>
        <w:rPr>
          <w:rFonts w:ascii="Book Antiqua" w:eastAsia="Book Antiqua" w:hAnsi="Book Antiqua" w:cs="Book Antiqua"/>
          <w:b/>
          <w:bCs/>
          <w:color w:val="000000"/>
        </w:rPr>
        <w:t xml:space="preserve">, Tomasz </w:t>
      </w:r>
      <w:proofErr w:type="spellStart"/>
      <w:r>
        <w:rPr>
          <w:rFonts w:ascii="Book Antiqua" w:eastAsia="Book Antiqua" w:hAnsi="Book Antiqua" w:cs="Book Antiqua"/>
          <w:b/>
          <w:bCs/>
          <w:color w:val="000000"/>
        </w:rPr>
        <w:t>Syryło</w:t>
      </w:r>
      <w:proofErr w:type="spellEnd"/>
      <w:r>
        <w:rPr>
          <w:rFonts w:ascii="Book Antiqua" w:eastAsia="Book Antiqua" w:hAnsi="Book Antiqua" w:cs="Book Antiqua"/>
          <w:b/>
          <w:bCs/>
          <w:color w:val="000000"/>
        </w:rPr>
        <w:t xml:space="preserve">, Tomasz </w:t>
      </w:r>
      <w:proofErr w:type="spellStart"/>
      <w:r>
        <w:rPr>
          <w:rFonts w:ascii="Book Antiqua" w:eastAsia="Book Antiqua" w:hAnsi="Book Antiqua" w:cs="Book Antiqua"/>
          <w:b/>
          <w:bCs/>
          <w:color w:val="000000"/>
        </w:rPr>
        <w:t>Z</w:t>
      </w:r>
      <w:r w:rsidR="003037C8" w:rsidRPr="003037C8">
        <w:rPr>
          <w:rFonts w:ascii="Book Antiqua" w:eastAsia="Book Antiqua" w:hAnsi="Book Antiqua" w:cs="Book Antiqua"/>
          <w:b/>
          <w:bCs/>
          <w:color w:val="000000"/>
        </w:rPr>
        <w:t>ą</w:t>
      </w:r>
      <w:r>
        <w:rPr>
          <w:rFonts w:ascii="Book Antiqua" w:eastAsia="Book Antiqua" w:hAnsi="Book Antiqua" w:cs="Book Antiqua"/>
          <w:b/>
          <w:bCs/>
          <w:color w:val="000000"/>
        </w:rPr>
        <w:t>bkowski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Urology, Military Institute of Medicine, Warsaw 04-141, Poland</w:t>
      </w:r>
    </w:p>
    <w:p w14:paraId="2F3017D8" w14:textId="77777777" w:rsidR="00A77B3E" w:rsidRDefault="00A77B3E">
      <w:pPr>
        <w:spacing w:line="360" w:lineRule="auto"/>
        <w:jc w:val="both"/>
      </w:pPr>
    </w:p>
    <w:p w14:paraId="630F94F5" w14:textId="77777777" w:rsidR="00A77B3E" w:rsidRDefault="00191F56">
      <w:pPr>
        <w:spacing w:line="360" w:lineRule="auto"/>
        <w:jc w:val="both"/>
      </w:pPr>
      <w:proofErr w:type="spellStart"/>
      <w:r>
        <w:rPr>
          <w:rFonts w:ascii="Book Antiqua" w:eastAsia="Book Antiqua" w:hAnsi="Book Antiqua" w:cs="Book Antiqua"/>
          <w:b/>
          <w:bCs/>
          <w:color w:val="000000"/>
        </w:rPr>
        <w:t>Łukasz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Michalczyk</w:t>
      </w:r>
      <w:proofErr w:type="spellEnd"/>
      <w:r>
        <w:rPr>
          <w:rFonts w:ascii="Book Antiqua" w:eastAsia="Book Antiqua" w:hAnsi="Book Antiqua" w:cs="Book Antiqua"/>
          <w:b/>
          <w:bCs/>
          <w:color w:val="000000"/>
        </w:rPr>
        <w:t xml:space="preserve">, Beata </w:t>
      </w:r>
      <w:proofErr w:type="spellStart"/>
      <w:r>
        <w:rPr>
          <w:rFonts w:ascii="Book Antiqua" w:eastAsia="Book Antiqua" w:hAnsi="Book Antiqua" w:cs="Book Antiqua"/>
          <w:b/>
          <w:bCs/>
          <w:color w:val="000000"/>
        </w:rPr>
        <w:t>Banaczyk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Urology and Oncologic Urology, </w:t>
      </w:r>
      <w:proofErr w:type="spellStart"/>
      <w:r>
        <w:rPr>
          <w:rFonts w:ascii="Book Antiqua" w:eastAsia="Book Antiqua" w:hAnsi="Book Antiqua" w:cs="Book Antiqua"/>
          <w:color w:val="000000"/>
        </w:rPr>
        <w:t>Praski</w:t>
      </w:r>
      <w:proofErr w:type="spellEnd"/>
      <w:r>
        <w:rPr>
          <w:rFonts w:ascii="Book Antiqua" w:eastAsia="Book Antiqua" w:hAnsi="Book Antiqua" w:cs="Book Antiqua"/>
          <w:color w:val="000000"/>
        </w:rPr>
        <w:t xml:space="preserve"> Hospital in Warsaw, Warsaw 04-141, Poland</w:t>
      </w:r>
    </w:p>
    <w:p w14:paraId="67D26387" w14:textId="77777777" w:rsidR="00A77B3E" w:rsidRDefault="00A77B3E">
      <w:pPr>
        <w:spacing w:line="360" w:lineRule="auto"/>
        <w:jc w:val="both"/>
      </w:pPr>
    </w:p>
    <w:p w14:paraId="0D411ACC" w14:textId="77777777" w:rsidR="00A77B3E" w:rsidRDefault="00191F5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A reviewed the literature, contributed to manuscript drafting, collected data, analyzed and interpreted the imaging findings; </w:t>
      </w:r>
      <w:proofErr w:type="spellStart"/>
      <w:r>
        <w:rPr>
          <w:rFonts w:ascii="Book Antiqua" w:eastAsia="Book Antiqua" w:hAnsi="Book Antiqua" w:cs="Book Antiqua"/>
          <w:color w:val="000000"/>
        </w:rPr>
        <w:t>Michalczyk</w:t>
      </w:r>
      <w:proofErr w:type="spellEnd"/>
      <w:r>
        <w:rPr>
          <w:rFonts w:ascii="Book Antiqua" w:eastAsia="Book Antiqua" w:hAnsi="Book Antiqua" w:cs="Book Antiqua"/>
          <w:color w:val="000000"/>
        </w:rPr>
        <w:t xml:space="preserve"> Ł and </w:t>
      </w:r>
      <w:proofErr w:type="spellStart"/>
      <w:r>
        <w:rPr>
          <w:rFonts w:ascii="Book Antiqua" w:eastAsia="Book Antiqua" w:hAnsi="Book Antiqua" w:cs="Book Antiqua"/>
          <w:color w:val="000000"/>
        </w:rPr>
        <w:t>Banaczyk</w:t>
      </w:r>
      <w:proofErr w:type="spellEnd"/>
      <w:r>
        <w:rPr>
          <w:rFonts w:ascii="Book Antiqua" w:eastAsia="Book Antiqua" w:hAnsi="Book Antiqua" w:cs="Book Antiqua"/>
          <w:color w:val="000000"/>
        </w:rPr>
        <w:t xml:space="preserve"> B reviewed the literature and contributed to manuscript drafting; </w:t>
      </w:r>
      <w:proofErr w:type="spellStart"/>
      <w:r>
        <w:rPr>
          <w:rFonts w:ascii="Book Antiqua" w:eastAsia="Book Antiqua" w:hAnsi="Book Antiqua" w:cs="Book Antiqua"/>
          <w:color w:val="000000"/>
        </w:rPr>
        <w:t>Syryło</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Ząbkowski</w:t>
      </w:r>
      <w:proofErr w:type="spellEnd"/>
      <w:r>
        <w:rPr>
          <w:rFonts w:ascii="Book Antiqua" w:eastAsia="Book Antiqua" w:hAnsi="Book Antiqua" w:cs="Book Antiqua"/>
          <w:color w:val="000000"/>
        </w:rPr>
        <w:t xml:space="preserve"> T were responsible for the revision of the manuscript for important intellectual content; all authors issued final approval for the version to be submitted.</w:t>
      </w:r>
    </w:p>
    <w:p w14:paraId="15ADB50A" w14:textId="77777777" w:rsidR="00A77B3E" w:rsidRDefault="00A77B3E">
      <w:pPr>
        <w:spacing w:line="360" w:lineRule="auto"/>
        <w:jc w:val="both"/>
      </w:pPr>
    </w:p>
    <w:p w14:paraId="44070B90" w14:textId="3C594F1E" w:rsidR="00A77B3E" w:rsidRDefault="00191F56">
      <w:pPr>
        <w:spacing w:line="360" w:lineRule="auto"/>
        <w:jc w:val="both"/>
      </w:pPr>
      <w:r>
        <w:rPr>
          <w:rFonts w:ascii="Book Antiqua" w:eastAsia="Book Antiqua" w:hAnsi="Book Antiqua" w:cs="Book Antiqua"/>
          <w:b/>
          <w:bCs/>
          <w:color w:val="000000"/>
        </w:rPr>
        <w:t xml:space="preserve">Corresponding author: Tomasz </w:t>
      </w:r>
      <w:proofErr w:type="spellStart"/>
      <w:r>
        <w:rPr>
          <w:rFonts w:ascii="Book Antiqua" w:eastAsia="Book Antiqua" w:hAnsi="Book Antiqua" w:cs="Book Antiqua"/>
          <w:b/>
          <w:bCs/>
          <w:color w:val="000000"/>
        </w:rPr>
        <w:t>Z</w:t>
      </w:r>
      <w:r w:rsidR="003037C8" w:rsidRPr="003037C8">
        <w:rPr>
          <w:rFonts w:ascii="Book Antiqua" w:eastAsia="Book Antiqua" w:hAnsi="Book Antiqua" w:cs="Book Antiqua"/>
          <w:b/>
          <w:bCs/>
          <w:color w:val="000000"/>
        </w:rPr>
        <w:t>ą</w:t>
      </w:r>
      <w:r>
        <w:rPr>
          <w:rFonts w:ascii="Book Antiqua" w:eastAsia="Book Antiqua" w:hAnsi="Book Antiqua" w:cs="Book Antiqua"/>
          <w:b/>
          <w:bCs/>
          <w:color w:val="000000"/>
        </w:rPr>
        <w:t>bkowski</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Urology, Military Institute of Medicine, 128 </w:t>
      </w:r>
      <w:proofErr w:type="spellStart"/>
      <w:r>
        <w:rPr>
          <w:rFonts w:ascii="Book Antiqua" w:eastAsia="Book Antiqua" w:hAnsi="Book Antiqua" w:cs="Book Antiqua"/>
          <w:color w:val="000000"/>
        </w:rPr>
        <w:t>Szaserów</w:t>
      </w:r>
      <w:proofErr w:type="spellEnd"/>
      <w:r>
        <w:rPr>
          <w:rFonts w:ascii="Book Antiqua" w:eastAsia="Book Antiqua" w:hAnsi="Book Antiqua" w:cs="Book Antiqua"/>
          <w:color w:val="000000"/>
        </w:rPr>
        <w:t>, Warsaw 04-141, Poland. urodent@wp.pl</w:t>
      </w:r>
    </w:p>
    <w:p w14:paraId="5D535F5D" w14:textId="77777777" w:rsidR="00A77B3E" w:rsidRDefault="00A77B3E">
      <w:pPr>
        <w:spacing w:line="360" w:lineRule="auto"/>
        <w:jc w:val="both"/>
      </w:pPr>
    </w:p>
    <w:p w14:paraId="627E5AA2" w14:textId="77777777" w:rsidR="00A77B3E" w:rsidRDefault="00191F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2020</w:t>
      </w:r>
    </w:p>
    <w:p w14:paraId="2467EF9D" w14:textId="77777777" w:rsidR="00A77B3E" w:rsidRDefault="00191F5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2020</w:t>
      </w:r>
    </w:p>
    <w:p w14:paraId="4260300E" w14:textId="55B19BF1" w:rsidR="00A77B3E" w:rsidRDefault="00191F56">
      <w:pPr>
        <w:spacing w:line="360" w:lineRule="auto"/>
        <w:jc w:val="both"/>
      </w:pPr>
      <w:r>
        <w:rPr>
          <w:rFonts w:ascii="Book Antiqua" w:eastAsia="Book Antiqua" w:hAnsi="Book Antiqua" w:cs="Book Antiqua"/>
          <w:b/>
          <w:bCs/>
          <w:color w:val="000000"/>
        </w:rPr>
        <w:t xml:space="preserve">Accepted: </w:t>
      </w:r>
      <w:r w:rsidR="00E007B1" w:rsidRPr="00E007B1">
        <w:rPr>
          <w:rFonts w:ascii="Book Antiqua" w:eastAsia="Book Antiqua" w:hAnsi="Book Antiqua" w:cs="Book Antiqua"/>
          <w:color w:val="000000"/>
        </w:rPr>
        <w:t>January 7, 2021</w:t>
      </w:r>
    </w:p>
    <w:p w14:paraId="7F2050A4" w14:textId="77777777" w:rsidR="00A77B3E" w:rsidRDefault="00191F56">
      <w:pPr>
        <w:spacing w:line="360" w:lineRule="auto"/>
        <w:jc w:val="both"/>
      </w:pPr>
      <w:r>
        <w:rPr>
          <w:rFonts w:ascii="Book Antiqua" w:eastAsia="Book Antiqua" w:hAnsi="Book Antiqua" w:cs="Book Antiqua"/>
          <w:b/>
          <w:bCs/>
          <w:color w:val="000000"/>
        </w:rPr>
        <w:lastRenderedPageBreak/>
        <w:t xml:space="preserve">Published online: </w:t>
      </w:r>
    </w:p>
    <w:p w14:paraId="15C28F5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40144C8" w14:textId="77777777" w:rsidR="00A77B3E" w:rsidRDefault="00191F56">
      <w:pPr>
        <w:spacing w:line="360" w:lineRule="auto"/>
        <w:jc w:val="both"/>
      </w:pPr>
      <w:r>
        <w:rPr>
          <w:rFonts w:ascii="Book Antiqua" w:eastAsia="Book Antiqua" w:hAnsi="Book Antiqua" w:cs="Book Antiqua"/>
          <w:b/>
          <w:color w:val="000000"/>
        </w:rPr>
        <w:lastRenderedPageBreak/>
        <w:t>Abstract</w:t>
      </w:r>
    </w:p>
    <w:p w14:paraId="1FB8A07F" w14:textId="77777777" w:rsidR="00A77B3E" w:rsidRDefault="00191F56">
      <w:pPr>
        <w:spacing w:line="360" w:lineRule="auto"/>
        <w:jc w:val="both"/>
      </w:pPr>
      <w:r>
        <w:rPr>
          <w:rFonts w:ascii="Book Antiqua" w:eastAsia="Book Antiqua" w:hAnsi="Book Antiqua" w:cs="Book Antiqua"/>
          <w:color w:val="000000"/>
        </w:rPr>
        <w:t>BACKGROUND</w:t>
      </w:r>
    </w:p>
    <w:p w14:paraId="08F1FAF0" w14:textId="307AAD32" w:rsidR="00A77B3E" w:rsidRDefault="00191F56">
      <w:pPr>
        <w:spacing w:line="360" w:lineRule="auto"/>
        <w:jc w:val="both"/>
      </w:pPr>
      <w:r>
        <w:rPr>
          <w:rFonts w:ascii="Book Antiqua" w:eastAsia="Book Antiqua" w:hAnsi="Book Antiqua" w:cs="Book Antiqua"/>
          <w:color w:val="000000"/>
        </w:rPr>
        <w:t>Fournier's gangrene (FG) is a serious, aggressive and often deadly polymicrobial infection of the soft tissues of the perineum, the rectum and the external genital organs. It is an anatomical subcategory of necrotizing fasciitis, which has a similar etiology and treatment strategy.</w:t>
      </w:r>
    </w:p>
    <w:p w14:paraId="463471A6" w14:textId="77777777" w:rsidR="00A77B3E" w:rsidRDefault="00A77B3E">
      <w:pPr>
        <w:spacing w:line="360" w:lineRule="auto"/>
        <w:jc w:val="both"/>
      </w:pPr>
    </w:p>
    <w:p w14:paraId="64F8CA70" w14:textId="77777777" w:rsidR="00A77B3E" w:rsidRDefault="00191F56">
      <w:pPr>
        <w:spacing w:line="360" w:lineRule="auto"/>
        <w:jc w:val="both"/>
      </w:pPr>
      <w:r>
        <w:rPr>
          <w:rFonts w:ascii="Book Antiqua" w:eastAsia="Book Antiqua" w:hAnsi="Book Antiqua" w:cs="Book Antiqua"/>
          <w:color w:val="000000"/>
        </w:rPr>
        <w:t>CASE SUMMARY</w:t>
      </w:r>
    </w:p>
    <w:p w14:paraId="09E46D1E" w14:textId="54634CCA" w:rsidR="00A77B3E" w:rsidRDefault="00191F56">
      <w:pPr>
        <w:spacing w:line="360" w:lineRule="auto"/>
        <w:jc w:val="both"/>
      </w:pPr>
      <w:r>
        <w:rPr>
          <w:rFonts w:ascii="Book Antiqua" w:eastAsia="Book Antiqua" w:hAnsi="Book Antiqua" w:cs="Book Antiqua"/>
          <w:color w:val="000000"/>
        </w:rPr>
        <w:t>A 60</w:t>
      </w:r>
      <w:r w:rsidR="00373716">
        <w:rPr>
          <w:rFonts w:ascii="Book Antiqua" w:eastAsia="Book Antiqua" w:hAnsi="Book Antiqua" w:cs="Book Antiqua"/>
          <w:color w:val="000000"/>
        </w:rPr>
        <w:t>-</w:t>
      </w:r>
      <w:r>
        <w:rPr>
          <w:rFonts w:ascii="Book Antiqua" w:eastAsia="Book Antiqua" w:hAnsi="Book Antiqua" w:cs="Book Antiqua"/>
          <w:color w:val="000000"/>
        </w:rPr>
        <w:t>year-old man was admitted to the hospital during severe acute respiratory syndrome coronavirus 2 pandemic with complaints of fever up to 38.9</w:t>
      </w:r>
      <w:r w:rsidR="00373716">
        <w:rPr>
          <w:rFonts w:ascii="Book Antiqua" w:eastAsia="Book Antiqua" w:hAnsi="Book Antiqua" w:cs="Book Antiqua"/>
          <w:color w:val="000000"/>
        </w:rPr>
        <w:t xml:space="preserve"> </w:t>
      </w:r>
      <w:r>
        <w:rPr>
          <w:rFonts w:ascii="Book Antiqua" w:eastAsia="Book Antiqua" w:hAnsi="Book Antiqua" w:cs="Book Antiqua"/>
          <w:color w:val="000000"/>
        </w:rPr>
        <w:t>°C, abdominal pain, and edema of the scrotum, the penis, the perineum, and the right gluteal region for 2 d.</w:t>
      </w:r>
      <w:r w:rsidR="00373716">
        <w:rPr>
          <w:rFonts w:hint="eastAsia"/>
          <w:lang w:eastAsia="zh-CN"/>
        </w:rPr>
        <w:t xml:space="preserve"> </w:t>
      </w:r>
      <w:r>
        <w:rPr>
          <w:rFonts w:ascii="Book Antiqua" w:eastAsia="Book Antiqua" w:hAnsi="Book Antiqua" w:cs="Book Antiqua"/>
          <w:color w:val="000000"/>
        </w:rPr>
        <w:t xml:space="preserve">Computed tomography of the abdomen and the pelvis revealed extensive inflammatory infiltrations of the subcutaneous tissue of the hypogastrium, and the penis; along with liquefaction and presence of gas in the subcutaneous tissues of the scrotum, the perineum, and the right gluteal region. The patient was diagnosed with </w:t>
      </w:r>
      <w:proofErr w:type="gramStart"/>
      <w:r w:rsidR="00373716">
        <w:rPr>
          <w:rFonts w:ascii="Book Antiqua" w:eastAsia="Book Antiqua" w:hAnsi="Book Antiqua" w:cs="Book Antiqua"/>
          <w:color w:val="000000"/>
        </w:rPr>
        <w:t>FG</w:t>
      </w:r>
      <w:r>
        <w:rPr>
          <w:rFonts w:ascii="Book Antiqua" w:eastAsia="Book Antiqua" w:hAnsi="Book Antiqua" w:cs="Book Antiqua"/>
          <w:color w:val="000000"/>
        </w:rPr>
        <w:t>, and</w:t>
      </w:r>
      <w:proofErr w:type="gramEnd"/>
      <w:r>
        <w:rPr>
          <w:rFonts w:ascii="Book Antiqua" w:eastAsia="Book Antiqua" w:hAnsi="Book Antiqua" w:cs="Book Antiqua"/>
          <w:color w:val="000000"/>
        </w:rPr>
        <w:t xml:space="preserve"> was urgently qualified to undergo surgery in the Department of Urology. After performing the necessary examinations, a resection of the necrotic tissues with bilateral orchiectomy and excision of the penile and scrotal skin was performed. After surgery, he was transferred to the intensive care unit for further management.</w:t>
      </w:r>
    </w:p>
    <w:p w14:paraId="1B3AD03F" w14:textId="77777777" w:rsidR="00A77B3E" w:rsidRDefault="00A77B3E">
      <w:pPr>
        <w:spacing w:line="360" w:lineRule="auto"/>
        <w:jc w:val="both"/>
      </w:pPr>
    </w:p>
    <w:p w14:paraId="3A53CB24" w14:textId="77777777" w:rsidR="00A77B3E" w:rsidRDefault="00191F56">
      <w:pPr>
        <w:spacing w:line="360" w:lineRule="auto"/>
        <w:jc w:val="both"/>
      </w:pPr>
      <w:r>
        <w:rPr>
          <w:rFonts w:ascii="Book Antiqua" w:eastAsia="Book Antiqua" w:hAnsi="Book Antiqua" w:cs="Book Antiqua"/>
          <w:color w:val="000000"/>
        </w:rPr>
        <w:t>CONCLUSION</w:t>
      </w:r>
    </w:p>
    <w:p w14:paraId="3BA4FE24" w14:textId="77777777" w:rsidR="00A77B3E" w:rsidRDefault="00191F56">
      <w:pPr>
        <w:spacing w:line="360" w:lineRule="auto"/>
        <w:jc w:val="both"/>
      </w:pPr>
      <w:r>
        <w:rPr>
          <w:rFonts w:ascii="Book Antiqua" w:eastAsia="Book Antiqua" w:hAnsi="Book Antiqua" w:cs="Book Antiqua"/>
          <w:color w:val="000000"/>
        </w:rPr>
        <w:t>Early management prevents the resection of the other organs by inhibiting the contiguous spread of infection.</w:t>
      </w:r>
    </w:p>
    <w:p w14:paraId="43B691A8" w14:textId="77777777" w:rsidR="00A77B3E" w:rsidRDefault="00A77B3E">
      <w:pPr>
        <w:spacing w:line="360" w:lineRule="auto"/>
        <w:jc w:val="both"/>
      </w:pPr>
    </w:p>
    <w:p w14:paraId="4DFEA70F" w14:textId="4419E444" w:rsidR="00A77B3E" w:rsidRDefault="00191F5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Fournier’s </w:t>
      </w:r>
      <w:r w:rsidR="00373716">
        <w:rPr>
          <w:rFonts w:ascii="Book Antiqua" w:eastAsia="Book Antiqua" w:hAnsi="Book Antiqua" w:cs="Book Antiqua"/>
          <w:color w:val="000000"/>
        </w:rPr>
        <w:t>g</w:t>
      </w:r>
      <w:r>
        <w:rPr>
          <w:rFonts w:ascii="Book Antiqua" w:eastAsia="Book Antiqua" w:hAnsi="Book Antiqua" w:cs="Book Antiqua"/>
          <w:color w:val="000000"/>
        </w:rPr>
        <w:t xml:space="preserve">angrene; Management; Negative pressure wound therapy; Treatment; Orchiectomy; </w:t>
      </w:r>
      <w:r w:rsidR="00373716">
        <w:rPr>
          <w:rFonts w:ascii="Book Antiqua" w:eastAsia="Book Antiqua" w:hAnsi="Book Antiqua" w:cs="Book Antiqua"/>
          <w:color w:val="000000"/>
        </w:rPr>
        <w:t xml:space="preserve">Case report; </w:t>
      </w:r>
      <w:r>
        <w:rPr>
          <w:rFonts w:ascii="Book Antiqua" w:eastAsia="Book Antiqua" w:hAnsi="Book Antiqua" w:cs="Book Antiqua"/>
          <w:color w:val="000000"/>
        </w:rPr>
        <w:t>Necrotic tissues</w:t>
      </w:r>
      <w:r w:rsidR="0025531C">
        <w:rPr>
          <w:rFonts w:ascii="Book Antiqua" w:eastAsia="Book Antiqua" w:hAnsi="Book Antiqua" w:cs="Book Antiqua"/>
          <w:color w:val="000000"/>
        </w:rPr>
        <w:t xml:space="preserve">; </w:t>
      </w:r>
      <w:r w:rsidR="0025531C" w:rsidRPr="0025531C">
        <w:rPr>
          <w:rFonts w:ascii="Book Antiqua" w:eastAsia="Book Antiqua" w:hAnsi="Book Antiqua" w:cs="Book Antiqua"/>
          <w:color w:val="000000"/>
        </w:rPr>
        <w:t>SARS-CoV-2</w:t>
      </w:r>
    </w:p>
    <w:p w14:paraId="3D5BB9CC" w14:textId="77777777" w:rsidR="00A77B3E" w:rsidRDefault="00A77B3E">
      <w:pPr>
        <w:spacing w:line="360" w:lineRule="auto"/>
        <w:jc w:val="both"/>
      </w:pPr>
    </w:p>
    <w:p w14:paraId="02F3AEAA" w14:textId="55D926D8" w:rsidR="00A77B3E" w:rsidRDefault="00191F56">
      <w:pPr>
        <w:spacing w:line="360" w:lineRule="auto"/>
        <w:jc w:val="both"/>
      </w:pPr>
      <w:proofErr w:type="spellStart"/>
      <w:r>
        <w:rPr>
          <w:rFonts w:ascii="Book Antiqua" w:eastAsia="Book Antiqua" w:hAnsi="Book Antiqua" w:cs="Book Antiqua"/>
          <w:color w:val="000000"/>
        </w:rPr>
        <w:t>Grabińska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Michalczyk</w:t>
      </w:r>
      <w:proofErr w:type="spellEnd"/>
      <w:r>
        <w:rPr>
          <w:rFonts w:ascii="Book Antiqua" w:eastAsia="Book Antiqua" w:hAnsi="Book Antiqua" w:cs="Book Antiqua"/>
          <w:color w:val="000000"/>
        </w:rPr>
        <w:t xml:space="preserve"> Ł, </w:t>
      </w:r>
      <w:proofErr w:type="spellStart"/>
      <w:r>
        <w:rPr>
          <w:rFonts w:ascii="Book Antiqua" w:eastAsia="Book Antiqua" w:hAnsi="Book Antiqua" w:cs="Book Antiqua"/>
          <w:color w:val="000000"/>
        </w:rPr>
        <w:t>Banaczyk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Syryło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Zabkowski</w:t>
      </w:r>
      <w:proofErr w:type="spellEnd"/>
      <w:r>
        <w:rPr>
          <w:rFonts w:ascii="Book Antiqua" w:eastAsia="Book Antiqua" w:hAnsi="Book Antiqua" w:cs="Book Antiqua"/>
          <w:color w:val="000000"/>
        </w:rPr>
        <w:t xml:space="preserve"> T. Management protocol for Fournier’s gangrene in sanitary regime caused by SARS-CoV-2 pandemic: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D1353B">
        <w:rPr>
          <w:rFonts w:ascii="Book Antiqua" w:eastAsia="Book Antiqua" w:hAnsi="Book Antiqua" w:cs="Book Antiqua"/>
          <w:color w:val="000000"/>
        </w:rPr>
        <w:t>1</w:t>
      </w:r>
      <w:r>
        <w:rPr>
          <w:rFonts w:ascii="Book Antiqua" w:eastAsia="Book Antiqua" w:hAnsi="Book Antiqua" w:cs="Book Antiqua"/>
          <w:color w:val="000000"/>
        </w:rPr>
        <w:t>; In press</w:t>
      </w:r>
    </w:p>
    <w:p w14:paraId="59806448" w14:textId="77777777" w:rsidR="00A77B3E" w:rsidRDefault="00A77B3E">
      <w:pPr>
        <w:spacing w:line="360" w:lineRule="auto"/>
        <w:jc w:val="both"/>
      </w:pPr>
    </w:p>
    <w:p w14:paraId="2D9404A9" w14:textId="77777777" w:rsidR="00A77B3E" w:rsidRDefault="00191F5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Fournier's gangrene (FG) is a serious and often deadly polymicrobial infection of the soft tissues of the perineum, the rectum and the external genital organs. We present herein, a case of patient diagnosed with FG, urgently qualified to undergo surgery. After performing the examinations, a resection of the necrotic tissues with bilateral orchiectomy and excision of the penile and scrotal skin was performed. This case highlights that the mortality rate of FG can be reduced if a patient is presented early to the hospital. Early management prevents the resection of the other organs by inhibiting the contiguous spread of infection. </w:t>
      </w:r>
    </w:p>
    <w:p w14:paraId="2F48E6E9" w14:textId="3D6C1F0A" w:rsidR="00A77B3E" w:rsidRDefault="00373716">
      <w:pPr>
        <w:spacing w:line="360" w:lineRule="auto"/>
        <w:jc w:val="both"/>
      </w:pPr>
      <w:r>
        <w:br w:type="page"/>
      </w:r>
      <w:r w:rsidR="00191F56">
        <w:rPr>
          <w:rFonts w:ascii="Book Antiqua" w:eastAsia="Book Antiqua" w:hAnsi="Book Antiqua" w:cs="Book Antiqua"/>
          <w:b/>
          <w:caps/>
          <w:color w:val="000000"/>
          <w:u w:val="single"/>
        </w:rPr>
        <w:lastRenderedPageBreak/>
        <w:t>INTRODUCTION</w:t>
      </w:r>
    </w:p>
    <w:p w14:paraId="1ACF3A49" w14:textId="0085D17B" w:rsidR="00A77B3E" w:rsidRDefault="00191F56">
      <w:pPr>
        <w:spacing w:line="360" w:lineRule="auto"/>
        <w:jc w:val="both"/>
      </w:pPr>
      <w:r>
        <w:rPr>
          <w:rFonts w:ascii="Book Antiqua" w:eastAsia="Book Antiqua" w:hAnsi="Book Antiqua" w:cs="Book Antiqua"/>
          <w:color w:val="000000"/>
        </w:rPr>
        <w:t xml:space="preserve">Fournier's gangrene (FG) is a serious, aggressive, and often deadly polymicrobial infection of the soft tissue of the perineum, the rectum, and the external genital organs. It is an anatomical subcategory of necrotizing fasciitis, which has similar etiology and treatment strategy. This disease was first reported by Jean Alfred Fournier, who described five cases in young males. FG is ten times more common in males than in females and can occur at any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usually causes a painful scrotal or perineal swelling with sepsis. On physical examination, small areas of necrotic skin with erythema and edema are visible. Crepitus with a malodorous discharge occur in more advanced stage of the disease. Mortality increases due to certain risk factors like immunosuppression, diabetes, alcoholism, </w:t>
      </w:r>
      <w:proofErr w:type="spellStart"/>
      <w:r>
        <w:rPr>
          <w:rFonts w:ascii="Book Antiqua" w:eastAsia="Book Antiqua" w:hAnsi="Book Antiqua" w:cs="Book Antiqua"/>
          <w:color w:val="000000"/>
        </w:rPr>
        <w:t>artherosclerosis</w:t>
      </w:r>
      <w:proofErr w:type="spellEnd"/>
      <w:r>
        <w:rPr>
          <w:rFonts w:ascii="Book Antiqua" w:eastAsia="Book Antiqua" w:hAnsi="Book Antiqua" w:cs="Book Antiqua"/>
          <w:color w:val="000000"/>
        </w:rPr>
        <w:t>, malnutrition, recent urethral or perineal</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surgery, HIV infection, liver disease, leukemia, and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insidious onset of the disease is present in 40% of the cases, and undiagnosed pain results in the treatment delay. </w:t>
      </w:r>
      <w:r w:rsidR="00373716">
        <w:rPr>
          <w:rFonts w:ascii="Book Antiqua" w:eastAsia="Book Antiqua" w:hAnsi="Book Antiqua" w:cs="Book Antiqua"/>
          <w:color w:val="000000"/>
        </w:rPr>
        <w:t>FG</w:t>
      </w:r>
      <w:r>
        <w:rPr>
          <w:rFonts w:ascii="Book Antiqua" w:eastAsia="Book Antiqua" w:hAnsi="Book Antiqua" w:cs="Book Antiqua"/>
          <w:color w:val="000000"/>
        </w:rPr>
        <w:t xml:space="preserve"> can be caused by trauma, insect bite, or unsafe sexual </w:t>
      </w:r>
      <w:proofErr w:type="gramStart"/>
      <w:r>
        <w:rPr>
          <w:rFonts w:ascii="Book Antiqua" w:eastAsia="Book Antiqua" w:hAnsi="Book Antiqua" w:cs="Book Antiqua"/>
          <w:color w:val="000000"/>
        </w:rPr>
        <w:t>practices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Computed tomography (CT) or magnetic resonance imaging (MRI) may contribute to the assessment of the degree of rectal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degree of internal necrosis is usually higher, as is suggested by the external symptoms. Therefore, repeated debridement of the surgical wound with urinary catheterization is necessary to decrease the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Surgical wound debridement should be performed thoroughly within 24 h because a delayed or an inappropriate surgery may result in a higher mortality rate. It is recommended to immediately start empirical broad-spectrum antibiotic therapy parenterally which provides appropriate coverage against all the </w:t>
      </w:r>
      <w:proofErr w:type="gramStart"/>
      <w:r>
        <w:rPr>
          <w:rFonts w:ascii="Book Antiqua" w:eastAsia="Book Antiqua" w:hAnsi="Book Antiqua" w:cs="Book Antiqua"/>
          <w:color w:val="000000"/>
        </w:rPr>
        <w:t>probably</w:t>
      </w:r>
      <w:proofErr w:type="gramEnd"/>
      <w:r>
        <w:rPr>
          <w:rFonts w:ascii="Book Antiqua" w:eastAsia="Book Antiqua" w:hAnsi="Book Antiqua" w:cs="Book Antiqua"/>
          <w:color w:val="000000"/>
        </w:rPr>
        <w:t xml:space="preserve"> microbes. The suggested scheme usually includes broad-spectrum penicillin or a third</w:t>
      </w:r>
      <w:r w:rsidR="00373716">
        <w:rPr>
          <w:rFonts w:ascii="Book Antiqua" w:eastAsia="Book Antiqua" w:hAnsi="Book Antiqua" w:cs="Book Antiqua"/>
          <w:color w:val="000000"/>
        </w:rPr>
        <w:t>-</w:t>
      </w:r>
      <w:r>
        <w:rPr>
          <w:rFonts w:ascii="Book Antiqua" w:eastAsia="Book Antiqua" w:hAnsi="Book Antiqua" w:cs="Book Antiqua"/>
          <w:color w:val="000000"/>
        </w:rPr>
        <w:t xml:space="preserve">generation cephalosporin (combined with a beta lactamase inhibitor), along with gentamicin, and either metronidazole, or clindamycin. The scheme could be modified according to the microbiological culture and sensitivity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AFBBA7E" w14:textId="77777777" w:rsidR="00A77B3E" w:rsidRDefault="00A77B3E">
      <w:pPr>
        <w:spacing w:line="360" w:lineRule="auto"/>
        <w:jc w:val="both"/>
      </w:pPr>
    </w:p>
    <w:p w14:paraId="462E418D" w14:textId="77777777" w:rsidR="00A77B3E" w:rsidRDefault="00191F56">
      <w:pPr>
        <w:spacing w:line="360" w:lineRule="auto"/>
        <w:jc w:val="both"/>
      </w:pPr>
      <w:r>
        <w:rPr>
          <w:rFonts w:ascii="Book Antiqua" w:eastAsia="Book Antiqua" w:hAnsi="Book Antiqua" w:cs="Book Antiqua"/>
          <w:b/>
          <w:caps/>
          <w:color w:val="000000"/>
          <w:u w:val="single"/>
        </w:rPr>
        <w:t>CASE PRESENTATION</w:t>
      </w:r>
    </w:p>
    <w:p w14:paraId="77958687" w14:textId="77777777" w:rsidR="00A77B3E" w:rsidRDefault="00191F56">
      <w:pPr>
        <w:spacing w:line="360" w:lineRule="auto"/>
        <w:jc w:val="both"/>
      </w:pPr>
      <w:r>
        <w:rPr>
          <w:rFonts w:ascii="Book Antiqua" w:eastAsia="Book Antiqua" w:hAnsi="Book Antiqua" w:cs="Book Antiqua"/>
          <w:b/>
          <w:i/>
          <w:color w:val="000000"/>
        </w:rPr>
        <w:t>Chief complaints</w:t>
      </w:r>
    </w:p>
    <w:p w14:paraId="3E56CDBF" w14:textId="19C67BAB" w:rsidR="00A77B3E" w:rsidRDefault="00191F56">
      <w:pPr>
        <w:spacing w:line="360" w:lineRule="auto"/>
        <w:jc w:val="both"/>
      </w:pPr>
      <w:r>
        <w:rPr>
          <w:rFonts w:ascii="Book Antiqua" w:eastAsia="Book Antiqua" w:hAnsi="Book Antiqua" w:cs="Book Antiqua"/>
          <w:color w:val="000000"/>
        </w:rPr>
        <w:lastRenderedPageBreak/>
        <w:t>A 60</w:t>
      </w:r>
      <w:r w:rsidR="00373716">
        <w:rPr>
          <w:rFonts w:ascii="Book Antiqua" w:eastAsia="Book Antiqua" w:hAnsi="Book Antiqua" w:cs="Book Antiqua"/>
          <w:color w:val="000000"/>
        </w:rPr>
        <w:t>-</w:t>
      </w:r>
      <w:r>
        <w:rPr>
          <w:rFonts w:ascii="Book Antiqua" w:eastAsia="Book Antiqua" w:hAnsi="Book Antiqua" w:cs="Book Antiqua"/>
          <w:color w:val="000000"/>
        </w:rPr>
        <w:t xml:space="preserve">year-old man was admitted to the hospital during </w:t>
      </w:r>
      <w:r w:rsidR="00373716">
        <w:rPr>
          <w:rFonts w:ascii="Book Antiqua" w:eastAsia="Book Antiqua" w:hAnsi="Book Antiqua" w:cs="Book Antiqua"/>
          <w:color w:val="000000"/>
        </w:rPr>
        <w:t>severe acute respiratory syndrome coronavirus 2 (</w:t>
      </w:r>
      <w:r>
        <w:rPr>
          <w:rFonts w:ascii="Book Antiqua" w:eastAsia="Book Antiqua" w:hAnsi="Book Antiqua" w:cs="Book Antiqua"/>
          <w:color w:val="000000"/>
        </w:rPr>
        <w:t>SARS-CoV-2</w:t>
      </w:r>
      <w:r w:rsidR="00373716">
        <w:rPr>
          <w:rFonts w:ascii="Book Antiqua" w:eastAsia="Book Antiqua" w:hAnsi="Book Antiqua" w:cs="Book Antiqua"/>
          <w:color w:val="000000"/>
        </w:rPr>
        <w:t>)</w:t>
      </w:r>
      <w:r>
        <w:rPr>
          <w:rFonts w:ascii="Book Antiqua" w:eastAsia="Book Antiqua" w:hAnsi="Book Antiqua" w:cs="Book Antiqua"/>
          <w:color w:val="000000"/>
        </w:rPr>
        <w:t xml:space="preserve"> pandemic with complaints of fever up to 38.9</w:t>
      </w:r>
      <w:r w:rsidR="00373716">
        <w:rPr>
          <w:rFonts w:ascii="Book Antiqua" w:eastAsia="Book Antiqua" w:hAnsi="Book Antiqua" w:cs="Book Antiqua"/>
          <w:color w:val="000000"/>
        </w:rPr>
        <w:t xml:space="preserve"> </w:t>
      </w:r>
      <w:r>
        <w:rPr>
          <w:rFonts w:ascii="Book Antiqua" w:eastAsia="Book Antiqua" w:hAnsi="Book Antiqua" w:cs="Book Antiqua"/>
          <w:color w:val="000000"/>
        </w:rPr>
        <w:t>°C, abdominal pain and edema of the scrotum, the penis, the perineum, and the right gluteal region for 2 d.</w:t>
      </w:r>
    </w:p>
    <w:p w14:paraId="231FF706" w14:textId="77777777" w:rsidR="00A77B3E" w:rsidRDefault="00A77B3E">
      <w:pPr>
        <w:spacing w:line="360" w:lineRule="auto"/>
        <w:jc w:val="both"/>
      </w:pPr>
    </w:p>
    <w:p w14:paraId="1C546478" w14:textId="77777777" w:rsidR="00A77B3E" w:rsidRDefault="00191F56">
      <w:pPr>
        <w:spacing w:line="360" w:lineRule="auto"/>
        <w:jc w:val="both"/>
      </w:pPr>
      <w:r>
        <w:rPr>
          <w:rFonts w:ascii="Book Antiqua" w:eastAsia="Book Antiqua" w:hAnsi="Book Antiqua" w:cs="Book Antiqua"/>
          <w:b/>
          <w:i/>
          <w:color w:val="000000"/>
        </w:rPr>
        <w:t>History of present illness</w:t>
      </w:r>
    </w:p>
    <w:p w14:paraId="6C9F076A" w14:textId="77777777" w:rsidR="00A77B3E" w:rsidRDefault="00191F56">
      <w:pPr>
        <w:spacing w:line="360" w:lineRule="auto"/>
        <w:jc w:val="both"/>
      </w:pPr>
      <w:r>
        <w:rPr>
          <w:rFonts w:ascii="Book Antiqua" w:eastAsia="Book Antiqua" w:hAnsi="Book Antiqua" w:cs="Book Antiqua"/>
          <w:color w:val="000000"/>
        </w:rPr>
        <w:t>The patient had the above-mentioned symptoms for 48 h.</w:t>
      </w:r>
    </w:p>
    <w:p w14:paraId="2BEC53B6" w14:textId="77777777" w:rsidR="00A77B3E" w:rsidRDefault="00A77B3E">
      <w:pPr>
        <w:spacing w:line="360" w:lineRule="auto"/>
        <w:jc w:val="both"/>
      </w:pPr>
    </w:p>
    <w:p w14:paraId="24543DAB" w14:textId="77777777" w:rsidR="00A77B3E" w:rsidRDefault="00191F56">
      <w:pPr>
        <w:spacing w:line="360" w:lineRule="auto"/>
        <w:jc w:val="both"/>
      </w:pPr>
      <w:r>
        <w:rPr>
          <w:rFonts w:ascii="Book Antiqua" w:eastAsia="Book Antiqua" w:hAnsi="Book Antiqua" w:cs="Book Antiqua"/>
          <w:b/>
          <w:i/>
          <w:color w:val="000000"/>
        </w:rPr>
        <w:t>History of past illness</w:t>
      </w:r>
    </w:p>
    <w:p w14:paraId="4ECE86B6" w14:textId="77777777" w:rsidR="00A77B3E" w:rsidRDefault="00191F56">
      <w:pPr>
        <w:spacing w:line="360" w:lineRule="auto"/>
        <w:jc w:val="both"/>
      </w:pPr>
      <w:r>
        <w:rPr>
          <w:rFonts w:ascii="Book Antiqua" w:eastAsia="Book Antiqua" w:hAnsi="Book Antiqua" w:cs="Book Antiqua"/>
          <w:color w:val="000000"/>
        </w:rPr>
        <w:t>The patient had a medical history of hypertension, osteoporosis, and hemorrhoids.</w:t>
      </w:r>
    </w:p>
    <w:p w14:paraId="6412D9CB" w14:textId="77777777" w:rsidR="00A77B3E" w:rsidRDefault="00A77B3E">
      <w:pPr>
        <w:spacing w:line="360" w:lineRule="auto"/>
        <w:jc w:val="both"/>
      </w:pPr>
    </w:p>
    <w:p w14:paraId="423A2D3E" w14:textId="77777777" w:rsidR="00A77B3E" w:rsidRDefault="00191F56">
      <w:pPr>
        <w:spacing w:line="360" w:lineRule="auto"/>
        <w:jc w:val="both"/>
      </w:pPr>
      <w:r>
        <w:rPr>
          <w:rFonts w:ascii="Book Antiqua" w:eastAsia="Book Antiqua" w:hAnsi="Book Antiqua" w:cs="Book Antiqua"/>
          <w:b/>
          <w:i/>
          <w:color w:val="000000"/>
        </w:rPr>
        <w:t>Personal and family history</w:t>
      </w:r>
    </w:p>
    <w:p w14:paraId="4CE67DF6" w14:textId="77777777" w:rsidR="00A77B3E" w:rsidRDefault="00191F56">
      <w:pPr>
        <w:spacing w:line="360" w:lineRule="auto"/>
        <w:jc w:val="both"/>
      </w:pPr>
      <w:r>
        <w:rPr>
          <w:rFonts w:ascii="Book Antiqua" w:eastAsia="Book Antiqua" w:hAnsi="Book Antiqua" w:cs="Book Antiqua"/>
          <w:color w:val="000000"/>
        </w:rPr>
        <w:t>No personal and family history was identified.</w:t>
      </w:r>
    </w:p>
    <w:p w14:paraId="417B296C" w14:textId="77777777" w:rsidR="00A77B3E" w:rsidRDefault="00A77B3E">
      <w:pPr>
        <w:spacing w:line="360" w:lineRule="auto"/>
        <w:jc w:val="both"/>
      </w:pPr>
    </w:p>
    <w:p w14:paraId="2CF0F305" w14:textId="77777777" w:rsidR="00A77B3E" w:rsidRDefault="00191F56">
      <w:pPr>
        <w:spacing w:line="360" w:lineRule="auto"/>
        <w:jc w:val="both"/>
      </w:pPr>
      <w:r>
        <w:rPr>
          <w:rFonts w:ascii="Book Antiqua" w:eastAsia="Book Antiqua" w:hAnsi="Book Antiqua" w:cs="Book Antiqua"/>
          <w:b/>
          <w:i/>
          <w:color w:val="000000"/>
        </w:rPr>
        <w:t>Physical examination</w:t>
      </w:r>
    </w:p>
    <w:p w14:paraId="32A7D80A" w14:textId="77777777" w:rsidR="00A77B3E" w:rsidRDefault="00191F56">
      <w:pPr>
        <w:spacing w:line="360" w:lineRule="auto"/>
        <w:jc w:val="both"/>
      </w:pPr>
      <w:r>
        <w:rPr>
          <w:rFonts w:ascii="Book Antiqua" w:eastAsia="Book Antiqua" w:hAnsi="Book Antiqua" w:cs="Book Antiqua"/>
          <w:color w:val="000000"/>
        </w:rPr>
        <w:t xml:space="preserve">His blood pressure was 103/62 mmHg, heart rate was 135/min, and oxygen saturation was 88%. </w:t>
      </w:r>
    </w:p>
    <w:p w14:paraId="6C17CD93" w14:textId="77777777" w:rsidR="00A77B3E" w:rsidRDefault="00A77B3E">
      <w:pPr>
        <w:spacing w:line="360" w:lineRule="auto"/>
        <w:jc w:val="both"/>
      </w:pPr>
    </w:p>
    <w:p w14:paraId="6836675A" w14:textId="77777777" w:rsidR="00A77B3E" w:rsidRDefault="00191F56">
      <w:pPr>
        <w:spacing w:line="360" w:lineRule="auto"/>
        <w:jc w:val="both"/>
      </w:pPr>
      <w:r>
        <w:rPr>
          <w:rFonts w:ascii="Book Antiqua" w:eastAsia="Book Antiqua" w:hAnsi="Book Antiqua" w:cs="Book Antiqua"/>
          <w:b/>
          <w:i/>
          <w:color w:val="000000"/>
        </w:rPr>
        <w:t>Laboratory examinations</w:t>
      </w:r>
    </w:p>
    <w:p w14:paraId="0A27D7B7" w14:textId="47339A10" w:rsidR="00A77B3E" w:rsidRDefault="00191F56">
      <w:pPr>
        <w:spacing w:line="360" w:lineRule="auto"/>
        <w:jc w:val="both"/>
      </w:pPr>
      <w:r>
        <w:rPr>
          <w:rFonts w:ascii="Book Antiqua" w:eastAsia="Book Antiqua" w:hAnsi="Book Antiqua" w:cs="Book Antiqua"/>
          <w:color w:val="000000"/>
        </w:rPr>
        <w:t>Blood tests indicated a high degree of inflammation with a white blood cell count of 13.11/</w:t>
      </w:r>
      <w:proofErr w:type="spellStart"/>
      <w:r>
        <w:rPr>
          <w:rFonts w:ascii="Book Antiqua" w:eastAsia="Book Antiqua" w:hAnsi="Book Antiqua" w:cs="Book Antiqua"/>
          <w:color w:val="000000"/>
        </w:rPr>
        <w:t>μ</w:t>
      </w:r>
      <w:r w:rsidR="00373716">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and C-reactive protein level of 61.4 mg/dL. Biochemical parameters were as follows: serum creatinine 4.3 mg/dL; blood urea 157 mg/dL; blood sugar 142 mg/dL, and procalcitonin</w:t>
      </w:r>
      <w:r w:rsidR="00373716">
        <w:rPr>
          <w:rFonts w:ascii="Book Antiqua" w:eastAsia="Book Antiqua" w:hAnsi="Book Antiqua" w:cs="Book Antiqua"/>
          <w:color w:val="000000"/>
        </w:rPr>
        <w:t xml:space="preserve"> </w:t>
      </w:r>
      <w:r>
        <w:rPr>
          <w:rFonts w:ascii="Book Antiqua" w:eastAsia="Book Antiqua" w:hAnsi="Book Antiqua" w:cs="Book Antiqua"/>
          <w:color w:val="000000"/>
        </w:rPr>
        <w:t>8.53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p>
    <w:p w14:paraId="3C8F1614" w14:textId="1B8C800E" w:rsidR="00A77B3E" w:rsidRDefault="00191F56" w:rsidP="00373716">
      <w:pPr>
        <w:spacing w:line="360" w:lineRule="auto"/>
        <w:ind w:firstLineChars="100" w:firstLine="240"/>
        <w:jc w:val="both"/>
      </w:pPr>
      <w:r>
        <w:rPr>
          <w:rFonts w:ascii="Book Antiqua" w:eastAsia="Book Antiqua" w:hAnsi="Book Antiqua" w:cs="Book Antiqua"/>
          <w:color w:val="000000"/>
        </w:rPr>
        <w:t>Every patient should be classified as either being suspected of having SARS-CoV-2 infection or having a confirmed infection during the pandemic. The epidemiological interview, immunological examination,</w:t>
      </w:r>
      <w:r w:rsidR="00373716">
        <w:rPr>
          <w:rFonts w:ascii="Book Antiqua" w:eastAsia="Book Antiqua" w:hAnsi="Book Antiqua" w:cs="Book Antiqua"/>
          <w:color w:val="000000"/>
        </w:rPr>
        <w:t xml:space="preserve"> </w:t>
      </w:r>
      <w:r>
        <w:rPr>
          <w:rFonts w:ascii="Book Antiqua" w:eastAsia="Book Antiqua" w:hAnsi="Book Antiqua" w:cs="Book Antiqua"/>
          <w:color w:val="000000"/>
        </w:rPr>
        <w:t>reverse transcriptase-polymerase chain reaction (RT-PCR), and CT/X-ray of the chest are necessary to assess the risk of infection. If a CT scan of the abdomen was performed in the Emergency Department, it should be extended to perform CT of chest as well. Due to the high risk of</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SARS-CoV-2 infection, it is recommended to use personal protective equipment (PPE) of at least the third grade </w:t>
      </w:r>
      <w:r>
        <w:rPr>
          <w:rFonts w:ascii="Book Antiqua" w:eastAsia="Book Antiqua" w:hAnsi="Book Antiqua" w:cs="Book Antiqua"/>
          <w:color w:val="000000"/>
        </w:rPr>
        <w:lastRenderedPageBreak/>
        <w:t xml:space="preserve">(according to the four grades of the American National Standards Institute </w:t>
      </w:r>
      <w:r w:rsidR="00373716">
        <w:rPr>
          <w:rFonts w:ascii="Book Antiqua" w:eastAsia="Book Antiqua" w:hAnsi="Book Antiqua" w:cs="Book Antiqua"/>
          <w:color w:val="000000"/>
        </w:rPr>
        <w:t>(</w:t>
      </w:r>
      <w:r>
        <w:rPr>
          <w:rFonts w:ascii="Book Antiqua" w:eastAsia="Book Antiqua" w:hAnsi="Book Antiqua" w:cs="Book Antiqua"/>
          <w:color w:val="000000"/>
        </w:rPr>
        <w:t>ANSI</w:t>
      </w:r>
      <w:r w:rsidR="00373716">
        <w:rPr>
          <w:rFonts w:ascii="Book Antiqua" w:eastAsia="Book Antiqua" w:hAnsi="Book Antiqua" w:cs="Book Antiqua"/>
          <w:color w:val="000000"/>
        </w:rPr>
        <w:t>)</w:t>
      </w:r>
      <w:r>
        <w:rPr>
          <w:rFonts w:ascii="Book Antiqua" w:eastAsia="Book Antiqua" w:hAnsi="Book Antiqua" w:cs="Book Antiqua"/>
          <w:color w:val="000000"/>
        </w:rPr>
        <w:t xml:space="preserve"> classification. The PPE in the third grade of the ANSI classification includes surgical mask and cap for the patient, N95/FFP3 mask with a surgical mask, cap, protective goggles, face shield, single-use biological protective suit, surgical barrier apron, surgical gloves (three pairs), and safety shoes.</w:t>
      </w:r>
      <w:r w:rsidR="00373716">
        <w:rPr>
          <w:rFonts w:hint="eastAsia"/>
          <w:lang w:eastAsia="zh-CN"/>
        </w:rPr>
        <w:t xml:space="preserve"> </w:t>
      </w:r>
      <w:r>
        <w:rPr>
          <w:rFonts w:ascii="Book Antiqua" w:eastAsia="Book Antiqua" w:hAnsi="Book Antiqua" w:cs="Book Antiqua"/>
          <w:color w:val="000000"/>
        </w:rPr>
        <w:t xml:space="preserve">In addition, RT-PCR test for SARS-CoV-2 was performed, and the result was negative. </w:t>
      </w:r>
    </w:p>
    <w:p w14:paraId="584EC74B" w14:textId="77777777" w:rsidR="00A77B3E" w:rsidRDefault="00A77B3E">
      <w:pPr>
        <w:spacing w:line="360" w:lineRule="auto"/>
        <w:jc w:val="both"/>
      </w:pPr>
    </w:p>
    <w:p w14:paraId="614073C4" w14:textId="77777777" w:rsidR="00A77B3E" w:rsidRDefault="00191F56">
      <w:pPr>
        <w:spacing w:line="360" w:lineRule="auto"/>
        <w:jc w:val="both"/>
      </w:pPr>
      <w:r>
        <w:rPr>
          <w:rFonts w:ascii="Book Antiqua" w:eastAsia="Book Antiqua" w:hAnsi="Book Antiqua" w:cs="Book Antiqua"/>
          <w:b/>
          <w:i/>
          <w:color w:val="000000"/>
        </w:rPr>
        <w:t>Imaging examinations</w:t>
      </w:r>
    </w:p>
    <w:p w14:paraId="00A61926" w14:textId="626393EE" w:rsidR="00A77B3E" w:rsidRDefault="00191F56">
      <w:pPr>
        <w:spacing w:line="360" w:lineRule="auto"/>
        <w:jc w:val="both"/>
      </w:pPr>
      <w:r>
        <w:rPr>
          <w:rFonts w:ascii="Book Antiqua" w:eastAsia="Book Antiqua" w:hAnsi="Book Antiqua" w:cs="Book Antiqua"/>
          <w:color w:val="000000"/>
        </w:rPr>
        <w:t>CT of the abdomen and the pelvis revealed extensive inflammatory infiltration of the subcutaneous tissues of the hypogastrium and the penis, and liquefaction, and presence of gas in the subcutaneous tissues of the scrotum, the perineum, and the right gluteal region (Figure</w:t>
      </w:r>
      <w:r w:rsidR="00373716">
        <w:rPr>
          <w:rFonts w:ascii="Book Antiqua" w:eastAsia="Book Antiqua" w:hAnsi="Book Antiqua" w:cs="Book Antiqua"/>
          <w:color w:val="000000"/>
        </w:rPr>
        <w:t>s</w:t>
      </w:r>
      <w:r>
        <w:rPr>
          <w:rFonts w:ascii="Book Antiqua" w:eastAsia="Book Antiqua" w:hAnsi="Book Antiqua" w:cs="Book Antiqua"/>
          <w:color w:val="000000"/>
        </w:rPr>
        <w:t xml:space="preserve"> 1</w:t>
      </w:r>
      <w:r w:rsidR="00373716">
        <w:rPr>
          <w:rFonts w:ascii="Book Antiqua" w:eastAsia="Book Antiqua" w:hAnsi="Book Antiqua" w:cs="Book Antiqua"/>
          <w:color w:val="000000"/>
        </w:rPr>
        <w:t xml:space="preserve"> and </w:t>
      </w:r>
      <w:r>
        <w:rPr>
          <w:rFonts w:ascii="Book Antiqua" w:eastAsia="Book Antiqua" w:hAnsi="Book Antiqua" w:cs="Book Antiqua"/>
          <w:color w:val="000000"/>
        </w:rPr>
        <w:t xml:space="preserve">2). </w:t>
      </w:r>
    </w:p>
    <w:p w14:paraId="7F1F6C57" w14:textId="77777777" w:rsidR="00A77B3E" w:rsidRDefault="00A77B3E">
      <w:pPr>
        <w:spacing w:line="360" w:lineRule="auto"/>
        <w:jc w:val="both"/>
      </w:pPr>
    </w:p>
    <w:p w14:paraId="738C45E2" w14:textId="77777777" w:rsidR="00A77B3E" w:rsidRDefault="00191F56">
      <w:pPr>
        <w:spacing w:line="360" w:lineRule="auto"/>
        <w:jc w:val="both"/>
      </w:pPr>
      <w:r>
        <w:rPr>
          <w:rFonts w:ascii="Book Antiqua" w:eastAsia="Book Antiqua" w:hAnsi="Book Antiqua" w:cs="Book Antiqua"/>
          <w:b/>
          <w:caps/>
          <w:color w:val="000000"/>
          <w:u w:val="single"/>
        </w:rPr>
        <w:t>FINAL DIAGNOSIS</w:t>
      </w:r>
    </w:p>
    <w:p w14:paraId="6761D347" w14:textId="28C204F9" w:rsidR="00A77B3E" w:rsidRDefault="00191F56">
      <w:pPr>
        <w:spacing w:line="360" w:lineRule="auto"/>
        <w:jc w:val="both"/>
      </w:pPr>
      <w:r>
        <w:rPr>
          <w:rFonts w:ascii="Book Antiqua" w:eastAsia="Book Antiqua" w:hAnsi="Book Antiqua" w:cs="Book Antiqua"/>
          <w:color w:val="000000"/>
        </w:rPr>
        <w:t xml:space="preserve">The patient was diagnosed with </w:t>
      </w:r>
      <w:proofErr w:type="gramStart"/>
      <w:r w:rsidR="00373716">
        <w:rPr>
          <w:rFonts w:ascii="Book Antiqua" w:eastAsia="Book Antiqua" w:hAnsi="Book Antiqua" w:cs="Book Antiqua"/>
          <w:color w:val="000000"/>
        </w:rPr>
        <w:t>FG</w:t>
      </w:r>
      <w:r>
        <w:rPr>
          <w:rFonts w:ascii="Book Antiqua" w:eastAsia="Book Antiqua" w:hAnsi="Book Antiqua" w:cs="Book Antiqua"/>
          <w:color w:val="000000"/>
        </w:rPr>
        <w:t>, and</w:t>
      </w:r>
      <w:proofErr w:type="gramEnd"/>
      <w:r>
        <w:rPr>
          <w:rFonts w:ascii="Book Antiqua" w:eastAsia="Book Antiqua" w:hAnsi="Book Antiqua" w:cs="Book Antiqua"/>
          <w:color w:val="000000"/>
        </w:rPr>
        <w:t xml:space="preserve"> was urgently qualified to undergo surgery in the Department of Urology. </w:t>
      </w:r>
    </w:p>
    <w:p w14:paraId="2EF34574" w14:textId="77777777" w:rsidR="00A77B3E" w:rsidRDefault="00A77B3E">
      <w:pPr>
        <w:spacing w:line="360" w:lineRule="auto"/>
        <w:jc w:val="both"/>
      </w:pPr>
    </w:p>
    <w:p w14:paraId="45BC33E1" w14:textId="77777777" w:rsidR="00A77B3E" w:rsidRDefault="00191F56">
      <w:pPr>
        <w:spacing w:line="360" w:lineRule="auto"/>
        <w:jc w:val="both"/>
      </w:pPr>
      <w:r>
        <w:rPr>
          <w:rFonts w:ascii="Book Antiqua" w:eastAsia="Book Antiqua" w:hAnsi="Book Antiqua" w:cs="Book Antiqua"/>
          <w:b/>
          <w:caps/>
          <w:color w:val="000000"/>
          <w:u w:val="single"/>
        </w:rPr>
        <w:t>TREATMENT</w:t>
      </w:r>
    </w:p>
    <w:p w14:paraId="601F162E" w14:textId="1FFA3B2A" w:rsidR="00A77B3E" w:rsidRDefault="00191F56">
      <w:pPr>
        <w:spacing w:line="360" w:lineRule="auto"/>
        <w:jc w:val="both"/>
      </w:pPr>
      <w:r>
        <w:rPr>
          <w:rFonts w:ascii="Book Antiqua" w:eastAsia="Book Antiqua" w:hAnsi="Book Antiqua" w:cs="Book Antiqua"/>
          <w:color w:val="000000"/>
        </w:rPr>
        <w:t>Antibiotic therapy using meropenem at a dose 1</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g thrice daily, metronidazole at a dose of 500 mg thrice daily, and linezolid 600 mg twice daily were started intravenously. This antibiotic therapy lasted for 18 d. </w:t>
      </w:r>
    </w:p>
    <w:p w14:paraId="23A2BB94" w14:textId="77777777"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After performing the necessary examinations, a resection of the necrotic tissues with bilateral orchiectomy, and the excision of the penile and scrotal skin were performed (Figure 3). </w:t>
      </w:r>
    </w:p>
    <w:p w14:paraId="3502E094" w14:textId="77777777" w:rsidR="00A77B3E" w:rsidRDefault="00191F56" w:rsidP="00373716">
      <w:pPr>
        <w:spacing w:line="360" w:lineRule="auto"/>
        <w:ind w:firstLineChars="100" w:firstLine="240"/>
        <w:jc w:val="both"/>
      </w:pPr>
      <w:r>
        <w:rPr>
          <w:rFonts w:ascii="Book Antiqua" w:eastAsia="Book Antiqua" w:hAnsi="Book Antiqua" w:cs="Book Antiqua"/>
          <w:color w:val="000000"/>
        </w:rPr>
        <w:t>After surgery, he was transferred to the intensive care unit (ICU) for further management.</w:t>
      </w:r>
    </w:p>
    <w:p w14:paraId="4A6E5000" w14:textId="13BEBD3D" w:rsidR="00A77B3E" w:rsidRDefault="00191F56" w:rsidP="00373716">
      <w:pPr>
        <w:spacing w:line="360" w:lineRule="auto"/>
        <w:ind w:firstLineChars="100" w:firstLine="240"/>
        <w:jc w:val="both"/>
      </w:pPr>
      <w:r>
        <w:rPr>
          <w:rFonts w:ascii="Book Antiqua" w:eastAsia="Book Antiqua" w:hAnsi="Book Antiqua" w:cs="Book Antiqua"/>
          <w:color w:val="000000"/>
        </w:rPr>
        <w:t>In the ICU, the patient was in a very serious condition and required intensive therapy</w:t>
      </w:r>
      <w:r w:rsidR="0034675E">
        <w:rPr>
          <w:rFonts w:ascii="Book Antiqua" w:eastAsia="Book Antiqua" w:hAnsi="Book Antiqua" w:cs="Book Antiqua"/>
          <w:color w:val="000000"/>
        </w:rPr>
        <w:t xml:space="preserve"> </w:t>
      </w:r>
      <w:r w:rsidR="00373716" w:rsidRPr="00373716">
        <w:rPr>
          <w:rFonts w:ascii="Book Antiqua" w:hAnsi="Book Antiqua" w:cs="Book Antiqua"/>
          <w:color w:val="000000"/>
          <w:lang w:eastAsia="zh-CN"/>
        </w:rPr>
        <w:t>—</w:t>
      </w:r>
      <w:r w:rsidR="0034675E">
        <w:rPr>
          <w:rFonts w:ascii="Book Antiqua" w:hAnsi="Book Antiqua" w:cs="Book Antiqua"/>
          <w:color w:val="000000"/>
          <w:lang w:eastAsia="zh-CN"/>
        </w:rPr>
        <w:t xml:space="preserve"> </w:t>
      </w:r>
      <w:r>
        <w:rPr>
          <w:rFonts w:ascii="Book Antiqua" w:eastAsia="Book Antiqua" w:hAnsi="Book Antiqua" w:cs="Book Antiqua"/>
          <w:color w:val="000000"/>
        </w:rPr>
        <w:t>it was used a respiratory therapy</w:t>
      </w:r>
      <w:r w:rsidR="00C16BB8">
        <w:rPr>
          <w:rFonts w:ascii="Book Antiqua" w:eastAsia="Book Antiqua" w:hAnsi="Book Antiqua" w:cs="Book Antiqua"/>
          <w:color w:val="000000"/>
        </w:rPr>
        <w:t xml:space="preserve"> </w:t>
      </w:r>
      <w:r w:rsidR="00373716" w:rsidRPr="00373716">
        <w:rPr>
          <w:rFonts w:ascii="Book Antiqua" w:hAnsi="Book Antiqua" w:cs="Book Antiqua"/>
          <w:color w:val="000000"/>
          <w:lang w:eastAsia="zh-CN"/>
        </w:rPr>
        <w:t>—</w:t>
      </w:r>
      <w:r w:rsidR="00C16BB8">
        <w:rPr>
          <w:rFonts w:ascii="Book Antiqua" w:hAnsi="Book Antiqua" w:cs="Book Antiqua"/>
          <w:color w:val="000000"/>
          <w:lang w:eastAsia="zh-CN"/>
        </w:rPr>
        <w:t xml:space="preserve"> </w:t>
      </w:r>
      <w:r>
        <w:rPr>
          <w:rFonts w:ascii="Book Antiqua" w:eastAsia="Book Antiqua" w:hAnsi="Book Antiqua" w:cs="Book Antiqua"/>
          <w:color w:val="000000"/>
        </w:rPr>
        <w:t xml:space="preserve">which included mechanical ventilation, broad-spectrum antibiotics, and supportive and nutritional therapies. </w:t>
      </w:r>
    </w:p>
    <w:p w14:paraId="04FFFFB9" w14:textId="151E11E8" w:rsidR="00A77B3E" w:rsidRDefault="00191F56" w:rsidP="00373716">
      <w:pPr>
        <w:spacing w:line="360" w:lineRule="auto"/>
        <w:ind w:firstLineChars="100" w:firstLine="240"/>
        <w:jc w:val="both"/>
      </w:pPr>
      <w:r>
        <w:rPr>
          <w:rFonts w:ascii="Book Antiqua" w:eastAsia="Book Antiqua" w:hAnsi="Book Antiqua" w:cs="Book Antiqua"/>
          <w:color w:val="000000"/>
        </w:rPr>
        <w:lastRenderedPageBreak/>
        <w:t>Colostomy was performed on the patient; wound was debrided several times; and negative pressure wound therapy (NPWT) was applied. As a result of this therapy, the patient’s condition started improving. After sedation was discontinued, the patient recovered consciousness, was extubated, and was able to breathe on his own with oxygen on low flow. He was hemodynamically stable, and diuresis was stimulated using a small dose of furosemide. Postoperatively, the inflammatory markers decreased significantly. The culture of the pus material showed Escherichia coli and Pseudomonas aeruginosa; therefore, the antibiotic therapy was modified to include cephazolin dose of 1g twice daily, intravenously, for 24 d. NPWT was also discontinued. The patient was transferred to the Department of Plastic Surgery so that free-skin grafts could be applied to the debrided areas (Figure 4). After 46 d the patient was discharged.</w:t>
      </w:r>
    </w:p>
    <w:p w14:paraId="6C020903" w14:textId="77777777" w:rsidR="00A77B3E" w:rsidRDefault="00A77B3E">
      <w:pPr>
        <w:spacing w:line="360" w:lineRule="auto"/>
        <w:jc w:val="both"/>
      </w:pPr>
    </w:p>
    <w:p w14:paraId="2520A9C2" w14:textId="77777777" w:rsidR="00A77B3E" w:rsidRDefault="00191F56">
      <w:pPr>
        <w:spacing w:line="360" w:lineRule="auto"/>
        <w:jc w:val="both"/>
      </w:pPr>
      <w:r>
        <w:rPr>
          <w:rFonts w:ascii="Book Antiqua" w:eastAsia="Book Antiqua" w:hAnsi="Book Antiqua" w:cs="Book Antiqua"/>
          <w:b/>
          <w:caps/>
          <w:color w:val="000000"/>
          <w:u w:val="single"/>
        </w:rPr>
        <w:t>OUTCOME AND FOLLOW-UP</w:t>
      </w:r>
    </w:p>
    <w:p w14:paraId="711D4014" w14:textId="77777777" w:rsidR="00A77B3E" w:rsidRDefault="00191F56">
      <w:pPr>
        <w:spacing w:line="360" w:lineRule="auto"/>
        <w:jc w:val="both"/>
      </w:pPr>
      <w:r>
        <w:rPr>
          <w:rFonts w:ascii="Book Antiqua" w:eastAsia="Book Antiqua" w:hAnsi="Book Antiqua" w:cs="Book Antiqua"/>
          <w:color w:val="000000"/>
        </w:rPr>
        <w:t xml:space="preserve">Currently, the patient is living in a nursing home where he has received </w:t>
      </w:r>
      <w:proofErr w:type="spellStart"/>
      <w:r>
        <w:rPr>
          <w:rFonts w:ascii="Book Antiqua" w:eastAsia="Book Antiqua" w:hAnsi="Book Antiqua" w:cs="Book Antiqua"/>
          <w:color w:val="000000"/>
        </w:rPr>
        <w:t>continous</w:t>
      </w:r>
      <w:proofErr w:type="spellEnd"/>
      <w:r>
        <w:rPr>
          <w:rFonts w:ascii="Book Antiqua" w:eastAsia="Book Antiqua" w:hAnsi="Book Antiqua" w:cs="Book Antiqua"/>
          <w:color w:val="000000"/>
        </w:rPr>
        <w:t xml:space="preserve"> nursing care, free-skin graft care, and regular dressing changes. The patient is in good physical and mental condition but requires regular physiotherapy, under the care of a urological and surgical clinic. The patient receives testosterone supplementation at a dose of 80 mg twice daily. After complete wound closure following the application of the free-skin graft to the right gluteal area, the patient will be qualified for colostomy reversal resume the continuity and proper functioning of the gastrointestinal tract (Figure 5).</w:t>
      </w:r>
    </w:p>
    <w:p w14:paraId="0A303FD9" w14:textId="77777777" w:rsidR="00A77B3E" w:rsidRDefault="00A77B3E">
      <w:pPr>
        <w:spacing w:line="360" w:lineRule="auto"/>
        <w:jc w:val="both"/>
      </w:pPr>
    </w:p>
    <w:p w14:paraId="780E0F9E" w14:textId="77777777" w:rsidR="00A77B3E" w:rsidRDefault="00191F56">
      <w:pPr>
        <w:spacing w:line="360" w:lineRule="auto"/>
        <w:jc w:val="both"/>
      </w:pPr>
      <w:r>
        <w:rPr>
          <w:rFonts w:ascii="Book Antiqua" w:eastAsia="Book Antiqua" w:hAnsi="Book Antiqua" w:cs="Book Antiqua"/>
          <w:b/>
          <w:caps/>
          <w:color w:val="000000"/>
          <w:u w:val="single"/>
        </w:rPr>
        <w:t>DISCUSSION</w:t>
      </w:r>
    </w:p>
    <w:p w14:paraId="4E7A0B8C" w14:textId="36457B28" w:rsidR="00A77B3E" w:rsidRDefault="00373716">
      <w:pPr>
        <w:spacing w:line="360" w:lineRule="auto"/>
        <w:jc w:val="both"/>
      </w:pPr>
      <w:r>
        <w:rPr>
          <w:rFonts w:ascii="Book Antiqua" w:eastAsia="Book Antiqua" w:hAnsi="Book Antiqua" w:cs="Book Antiqua"/>
          <w:color w:val="000000"/>
        </w:rPr>
        <w:t>FG</w:t>
      </w:r>
      <w:r w:rsidR="00191F56">
        <w:rPr>
          <w:rFonts w:ascii="Book Antiqua" w:eastAsia="Book Antiqua" w:hAnsi="Book Antiqua" w:cs="Book Antiqua"/>
          <w:color w:val="000000"/>
        </w:rPr>
        <w:t xml:space="preserve"> is a rare infectious disease with high morbidity and mortality.</w:t>
      </w:r>
      <w:r w:rsidR="00191F56">
        <w:rPr>
          <w:rFonts w:ascii="Book Antiqua" w:eastAsia="Book Antiqua" w:hAnsi="Book Antiqua" w:cs="Book Antiqua"/>
          <w:color w:val="000000"/>
          <w:shd w:val="clear" w:color="auto" w:fill="FFFFFF"/>
        </w:rPr>
        <w:t xml:space="preserve"> </w:t>
      </w:r>
      <w:r w:rsidR="00191F56">
        <w:rPr>
          <w:rFonts w:ascii="Book Antiqua" w:eastAsia="Book Antiqua" w:hAnsi="Book Antiqua" w:cs="Book Antiqua"/>
          <w:color w:val="000000"/>
        </w:rPr>
        <w:t xml:space="preserve">Despite the advancements made in understanding the etiology and the pathophysiology of FG, mortality rates remain </w:t>
      </w:r>
      <w:proofErr w:type="gramStart"/>
      <w:r w:rsidR="00191F56">
        <w:rPr>
          <w:rFonts w:ascii="Book Antiqua" w:eastAsia="Book Antiqua" w:hAnsi="Book Antiqua" w:cs="Book Antiqua"/>
          <w:color w:val="000000"/>
        </w:rPr>
        <w:t>high</w:t>
      </w:r>
      <w:r w:rsidR="00191F56">
        <w:rPr>
          <w:rFonts w:ascii="Book Antiqua" w:eastAsia="Book Antiqua" w:hAnsi="Book Antiqua" w:cs="Book Antiqua"/>
          <w:color w:val="000000"/>
          <w:vertAlign w:val="superscript"/>
        </w:rPr>
        <w:t>[</w:t>
      </w:r>
      <w:proofErr w:type="gramEnd"/>
      <w:r w:rsidR="00191F56">
        <w:rPr>
          <w:rFonts w:ascii="Book Antiqua" w:eastAsia="Book Antiqua" w:hAnsi="Book Antiqua" w:cs="Book Antiqua"/>
          <w:color w:val="000000"/>
          <w:vertAlign w:val="superscript"/>
        </w:rPr>
        <w:t>4]</w:t>
      </w:r>
      <w:r w:rsidR="00191F56">
        <w:rPr>
          <w:rFonts w:ascii="Book Antiqua" w:eastAsia="Book Antiqua" w:hAnsi="Book Antiqua" w:cs="Book Antiqua"/>
          <w:color w:val="000000"/>
        </w:rPr>
        <w:t xml:space="preserve">. The mortality rate ranges from 3% to 45%. In addition, diabetes plays a crucial role because about 60% of patients with FG have </w:t>
      </w:r>
      <w:proofErr w:type="gramStart"/>
      <w:r w:rsidR="00191F56">
        <w:rPr>
          <w:rFonts w:ascii="Book Antiqua" w:eastAsia="Book Antiqua" w:hAnsi="Book Antiqua" w:cs="Book Antiqua"/>
          <w:color w:val="000000"/>
        </w:rPr>
        <w:t>diabetes</w:t>
      </w:r>
      <w:r w:rsidR="00191F56">
        <w:rPr>
          <w:rFonts w:ascii="Book Antiqua" w:eastAsia="Book Antiqua" w:hAnsi="Book Antiqua" w:cs="Book Antiqua"/>
          <w:color w:val="000000"/>
          <w:vertAlign w:val="superscript"/>
        </w:rPr>
        <w:t>[</w:t>
      </w:r>
      <w:proofErr w:type="gramEnd"/>
      <w:r w:rsidR="00191F56">
        <w:rPr>
          <w:rFonts w:ascii="Book Antiqua" w:eastAsia="Book Antiqua" w:hAnsi="Book Antiqua" w:cs="Book Antiqua"/>
          <w:color w:val="000000"/>
          <w:vertAlign w:val="superscript"/>
        </w:rPr>
        <w:t>5]</w:t>
      </w:r>
      <w:r w:rsidR="00191F56">
        <w:rPr>
          <w:rFonts w:ascii="Book Antiqua" w:eastAsia="Book Antiqua" w:hAnsi="Book Antiqua" w:cs="Book Antiqua"/>
          <w:color w:val="000000"/>
        </w:rPr>
        <w:t>.</w:t>
      </w:r>
    </w:p>
    <w:p w14:paraId="3B19CA1C" w14:textId="22928370"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Many conditions predispose to </w:t>
      </w:r>
      <w:r w:rsidR="00373716">
        <w:rPr>
          <w:rFonts w:ascii="Book Antiqua" w:eastAsia="Book Antiqua" w:hAnsi="Book Antiqua" w:cs="Book Antiqua"/>
          <w:color w:val="000000"/>
        </w:rPr>
        <w:t>FG</w:t>
      </w:r>
      <w:r>
        <w:rPr>
          <w:rFonts w:ascii="Book Antiqua" w:eastAsia="Book Antiqua" w:hAnsi="Book Antiqua" w:cs="Book Antiqua"/>
          <w:color w:val="000000"/>
        </w:rPr>
        <w:t xml:space="preserve">, such as diabetes, alcoholism, immunodeficiency, trauma, and genitourinary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76B5C40" w14:textId="17C77B00" w:rsidR="00A77B3E" w:rsidRDefault="00191F56" w:rsidP="00373716">
      <w:pPr>
        <w:spacing w:line="360" w:lineRule="auto"/>
        <w:ind w:firstLineChars="100" w:firstLine="240"/>
        <w:jc w:val="both"/>
      </w:pPr>
      <w:r>
        <w:rPr>
          <w:rFonts w:ascii="Book Antiqua" w:eastAsia="Book Antiqua" w:hAnsi="Book Antiqua" w:cs="Book Antiqua"/>
          <w:color w:val="000000"/>
        </w:rPr>
        <w:t>A systematic literature review from 1980 to 2017, which included randomized clinical trials, reviews, and prospective and retrospective studies, showed mortality rates of 5</w:t>
      </w:r>
      <w:r w:rsidR="00373716">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color w:val="000000"/>
        </w:rPr>
        <w:lastRenderedPageBreak/>
        <w:t>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37371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higher risk of mortality correlates with old age, obesity, and diabetes. A prospective study by </w:t>
      </w:r>
      <w:proofErr w:type="spellStart"/>
      <w:r>
        <w:rPr>
          <w:rFonts w:ascii="Book Antiqua" w:eastAsia="Book Antiqua" w:hAnsi="Book Antiqua" w:cs="Book Antiqua"/>
          <w:color w:val="000000"/>
        </w:rPr>
        <w:t>Roghmann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73716">
        <w:rPr>
          <w:rFonts w:ascii="Book Antiqua" w:eastAsia="Book Antiqua" w:hAnsi="Book Antiqua" w:cs="Book Antiqua"/>
          <w:color w:val="000000"/>
          <w:vertAlign w:val="superscript"/>
        </w:rPr>
        <w:t>[</w:t>
      </w:r>
      <w:proofErr w:type="gramEnd"/>
      <w:r w:rsidR="00373716">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analyzing the FG severity score showed that the disease-specific severity score predicted the results; however, it was not better than the standard scoring system employed in critical care.</w:t>
      </w:r>
    </w:p>
    <w:p w14:paraId="1CBEF96A" w14:textId="610E5815" w:rsidR="00A77B3E" w:rsidRDefault="00191F56" w:rsidP="00373716">
      <w:pPr>
        <w:spacing w:line="360" w:lineRule="auto"/>
        <w:ind w:firstLineChars="100" w:firstLine="240"/>
        <w:jc w:val="both"/>
      </w:pPr>
      <w:proofErr w:type="spellStart"/>
      <w:r>
        <w:rPr>
          <w:rFonts w:ascii="Book Antiqua" w:eastAsia="Book Antiqua" w:hAnsi="Book Antiqua" w:cs="Book Antiqua"/>
          <w:color w:val="000000"/>
        </w:rPr>
        <w:t>Lauerman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73716">
        <w:rPr>
          <w:rFonts w:ascii="Book Antiqua" w:eastAsia="Book Antiqua" w:hAnsi="Book Antiqua" w:cs="Book Antiqua"/>
          <w:color w:val="000000"/>
          <w:vertAlign w:val="superscript"/>
        </w:rPr>
        <w:t>[</w:t>
      </w:r>
      <w:proofErr w:type="gramEnd"/>
      <w:r w:rsidR="00373716">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performed a retrospective study on the antibiotic duration and outcomes in FG. The study did not show a significant difference in mortality in patients who were administered</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10 d of parenteral antibiotics (</w:t>
      </w:r>
      <w:r>
        <w:rPr>
          <w:rFonts w:ascii="Book Antiqua" w:eastAsia="Book Antiqua" w:hAnsi="Book Antiqua" w:cs="Book Antiqua"/>
          <w:i/>
          <w:iCs/>
          <w:color w:val="000000"/>
        </w:rPr>
        <w:t>n</w:t>
      </w:r>
      <w:r>
        <w:rPr>
          <w:rFonts w:ascii="Book Antiqua" w:eastAsia="Book Antiqua" w:hAnsi="Book Antiqua" w:cs="Book Antiqua"/>
          <w:color w:val="000000"/>
        </w:rPr>
        <w:t xml:space="preserve"> = 80) </w:t>
      </w:r>
      <w:r>
        <w:rPr>
          <w:rFonts w:ascii="Book Antiqua" w:eastAsia="Book Antiqua" w:hAnsi="Book Antiqua" w:cs="Book Antiqua"/>
          <w:i/>
          <w:iCs/>
          <w:color w:val="000000"/>
        </w:rPr>
        <w:t>vs</w:t>
      </w:r>
      <w:r>
        <w:rPr>
          <w:rFonts w:ascii="Book Antiqua" w:eastAsia="Book Antiqua" w:hAnsi="Book Antiqua" w:cs="Book Antiqua"/>
          <w:color w:val="000000"/>
        </w:rPr>
        <w:t xml:space="preserve"> patients who were administered &gt; 10 d of parenteral antibiotics (</w:t>
      </w:r>
      <w:r>
        <w:rPr>
          <w:rFonts w:ascii="Book Antiqua" w:eastAsia="Book Antiqua" w:hAnsi="Book Antiqua" w:cs="Book Antiqua"/>
          <w:i/>
          <w:iCs/>
          <w:color w:val="000000"/>
        </w:rPr>
        <w:t>n</w:t>
      </w:r>
      <w:r>
        <w:rPr>
          <w:rFonts w:ascii="Book Antiqua" w:eastAsia="Book Antiqua" w:hAnsi="Book Antiqua" w:cs="Book Antiqua"/>
          <w:color w:val="000000"/>
        </w:rPr>
        <w:t xml:space="preserve"> = 88).</w:t>
      </w:r>
    </w:p>
    <w:p w14:paraId="65731C24" w14:textId="046E2F82" w:rsidR="00A77B3E" w:rsidRDefault="00191F56" w:rsidP="00373716">
      <w:pPr>
        <w:spacing w:line="360" w:lineRule="auto"/>
        <w:ind w:firstLineChars="100" w:firstLine="240"/>
        <w:jc w:val="both"/>
      </w:pPr>
      <w:r>
        <w:rPr>
          <w:rFonts w:ascii="Book Antiqua" w:eastAsia="Book Antiqua" w:hAnsi="Book Antiqua" w:cs="Book Antiqua"/>
          <w:color w:val="000000"/>
        </w:rPr>
        <w:t>A systematic literature review of wound closure showed a low data quality of 16 case series that included 425 male patients. This review recommended primary or secondary wound closure when the scrotal defect was ≤ 50%, and flap or skin grafting for scrotal defects that were either</w:t>
      </w:r>
      <w:r w:rsidR="00373716">
        <w:rPr>
          <w:rFonts w:ascii="Book Antiqua" w:eastAsia="Book Antiqua" w:hAnsi="Book Antiqua" w:cs="Book Antiqua"/>
          <w:color w:val="000000"/>
        </w:rPr>
        <w:t xml:space="preserve"> </w:t>
      </w:r>
      <w:r>
        <w:rPr>
          <w:rFonts w:ascii="Book Antiqua" w:eastAsia="Book Antiqua" w:hAnsi="Book Antiqua" w:cs="Book Antiqua"/>
          <w:color w:val="000000"/>
        </w:rPr>
        <w:t>&gt;</w:t>
      </w:r>
      <w:r w:rsidR="00373716">
        <w:rPr>
          <w:rFonts w:ascii="Book Antiqua" w:eastAsia="Book Antiqua" w:hAnsi="Book Antiqua" w:cs="Book Antiqua"/>
          <w:color w:val="000000"/>
        </w:rPr>
        <w:t xml:space="preserve"> </w:t>
      </w:r>
      <w:r>
        <w:rPr>
          <w:rFonts w:ascii="Book Antiqua" w:eastAsia="Book Antiqua" w:hAnsi="Book Antiqua" w:cs="Book Antiqua"/>
          <w:color w:val="000000"/>
        </w:rPr>
        <w:t xml:space="preserve">50% or extended outside the </w:t>
      </w:r>
      <w:proofErr w:type="gramStart"/>
      <w:r>
        <w:rPr>
          <w:rFonts w:ascii="Book Antiqua" w:eastAsia="Book Antiqua" w:hAnsi="Book Antiqua" w:cs="Book Antiqua"/>
          <w:color w:val="000000"/>
        </w:rPr>
        <w:t>scrotum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C0B799B" w14:textId="05CA28E7"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The comparative case series showed a beneficial aspect of the use of hyperbaric oxygen therapy in 16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12 patients in whom this therapy was not used: a decreased mortality and need for a fewer </w:t>
      </w:r>
      <w:proofErr w:type="spellStart"/>
      <w:r>
        <w:rPr>
          <w:rFonts w:ascii="Book Antiqua" w:eastAsia="Book Antiqua" w:hAnsi="Book Antiqua" w:cs="Book Antiqua"/>
          <w:color w:val="000000"/>
        </w:rPr>
        <w:t>debridements</w:t>
      </w:r>
      <w:proofErr w:type="spellEnd"/>
      <w:r>
        <w:rPr>
          <w:rFonts w:ascii="Book Antiqua" w:eastAsia="Book Antiqua" w:hAnsi="Book Antiqua" w:cs="Book Antiqua"/>
          <w:color w:val="000000"/>
        </w:rPr>
        <w:t xml:space="preserve"> were also noticed in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2F44F1B2" w14:textId="6643B223" w:rsidR="00A77B3E" w:rsidRDefault="00191F56" w:rsidP="00373716">
      <w:pPr>
        <w:spacing w:line="360" w:lineRule="auto"/>
        <w:ind w:firstLineChars="100" w:firstLine="240"/>
        <w:jc w:val="both"/>
      </w:pPr>
      <w:r>
        <w:rPr>
          <w:rFonts w:ascii="Book Antiqua" w:eastAsia="Book Antiqua" w:hAnsi="Book Antiqua" w:cs="Book Antiqua"/>
          <w:color w:val="000000"/>
        </w:rPr>
        <w:t xml:space="preserve">A randomized clinical trial of low quality, which included 30 cases, assessed the treatment results for the honey dressing. This trial showed a shorter hospital stay (28 d) with the honey dressing in comparison to the Edinburgh solution of lime dressing (32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02F910F6" w14:textId="77777777" w:rsidR="00A77B3E" w:rsidRDefault="00A77B3E">
      <w:pPr>
        <w:spacing w:line="360" w:lineRule="auto"/>
        <w:jc w:val="both"/>
      </w:pPr>
    </w:p>
    <w:p w14:paraId="280C51EF" w14:textId="77777777" w:rsidR="00A77B3E" w:rsidRDefault="00191F56">
      <w:pPr>
        <w:spacing w:line="360" w:lineRule="auto"/>
        <w:jc w:val="both"/>
      </w:pPr>
      <w:r>
        <w:rPr>
          <w:rFonts w:ascii="Book Antiqua" w:eastAsia="Book Antiqua" w:hAnsi="Book Antiqua" w:cs="Book Antiqua"/>
          <w:b/>
          <w:caps/>
          <w:color w:val="000000"/>
          <w:u w:val="single"/>
        </w:rPr>
        <w:t>CONCLUSION</w:t>
      </w:r>
    </w:p>
    <w:p w14:paraId="2B77D53B" w14:textId="4E15DAC1" w:rsidR="00A77B3E" w:rsidRDefault="00373716">
      <w:pPr>
        <w:spacing w:line="360" w:lineRule="auto"/>
        <w:jc w:val="both"/>
      </w:pPr>
      <w:r>
        <w:rPr>
          <w:rFonts w:ascii="Book Antiqua" w:eastAsia="Book Antiqua" w:hAnsi="Book Antiqua" w:cs="Book Antiqua"/>
          <w:color w:val="000000"/>
        </w:rPr>
        <w:t>FG</w:t>
      </w:r>
      <w:r w:rsidR="00191F56">
        <w:rPr>
          <w:rFonts w:ascii="Book Antiqua" w:eastAsia="Book Antiqua" w:hAnsi="Book Antiqua" w:cs="Book Antiqua"/>
          <w:color w:val="000000"/>
        </w:rPr>
        <w:t xml:space="preserve"> is a urological emergency with a high mortality rate. The multidisciplinary approach plays a key role in the management of FG.</w:t>
      </w:r>
      <w:r>
        <w:rPr>
          <w:rFonts w:ascii="Book Antiqua" w:eastAsia="Book Antiqua" w:hAnsi="Book Antiqua" w:cs="Book Antiqua"/>
          <w:color w:val="000000"/>
        </w:rPr>
        <w:t xml:space="preserve"> </w:t>
      </w:r>
      <w:r w:rsidR="00191F56">
        <w:rPr>
          <w:rFonts w:ascii="Book Antiqua" w:eastAsia="Book Antiqua" w:hAnsi="Book Antiqua" w:cs="Book Antiqua"/>
          <w:color w:val="000000"/>
        </w:rPr>
        <w:t>The mortality rate of FG can be reduced if a patient presents to the hospital early, the broad-spectrum antibiotic therapy is administered immediately, and a wide surgical debridement of the necrotic tissues is performed urgently. Early management prevents the resection of the other organs by inhibiting the contiguous spread of infection.</w:t>
      </w:r>
      <w:r>
        <w:rPr>
          <w:rFonts w:hint="eastAsia"/>
          <w:lang w:eastAsia="zh-CN"/>
        </w:rPr>
        <w:t xml:space="preserve"> </w:t>
      </w:r>
      <w:r w:rsidR="00191F56">
        <w:rPr>
          <w:rFonts w:ascii="Book Antiqua" w:eastAsia="Book Antiqua" w:hAnsi="Book Antiqua" w:cs="Book Antiqua"/>
          <w:color w:val="000000"/>
        </w:rPr>
        <w:t>This case study also showed a high effectiveness of the NPWT.</w:t>
      </w:r>
    </w:p>
    <w:p w14:paraId="2F3BFFD7" w14:textId="77777777" w:rsidR="00A77B3E" w:rsidRDefault="00A77B3E">
      <w:pPr>
        <w:spacing w:line="360" w:lineRule="auto"/>
        <w:jc w:val="both"/>
      </w:pPr>
    </w:p>
    <w:p w14:paraId="2BD2B8EB" w14:textId="77777777" w:rsidR="00A77B3E" w:rsidRDefault="00191F56">
      <w:pPr>
        <w:spacing w:line="360" w:lineRule="auto"/>
        <w:jc w:val="both"/>
      </w:pPr>
      <w:r>
        <w:rPr>
          <w:rFonts w:ascii="Book Antiqua" w:eastAsia="Book Antiqua" w:hAnsi="Book Antiqua" w:cs="Book Antiqua"/>
          <w:b/>
          <w:color w:val="000000"/>
        </w:rPr>
        <w:t>REFERENCES</w:t>
      </w:r>
    </w:p>
    <w:p w14:paraId="4E0CD2BB" w14:textId="77777777" w:rsidR="00A77B3E" w:rsidRDefault="00191F56">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Chennamsetty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Khourdaji</w:t>
      </w:r>
      <w:proofErr w:type="spellEnd"/>
      <w:r>
        <w:rPr>
          <w:rFonts w:ascii="Book Antiqua" w:eastAsia="Book Antiqua" w:hAnsi="Book Antiqua" w:cs="Book Antiqua"/>
          <w:color w:val="000000"/>
        </w:rPr>
        <w:t xml:space="preserve"> I, Burks F, Killinger KA. Contemporary diagnosis and management of Fournier's gangrene.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203-215 [PMID: 26445600 DOI: 10.1177/1756287215584740]</w:t>
      </w:r>
    </w:p>
    <w:p w14:paraId="5CFD3516" w14:textId="77777777" w:rsidR="00A77B3E" w:rsidRDefault="00191F5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Taylor GM</w:t>
      </w:r>
      <w:r>
        <w:rPr>
          <w:rFonts w:ascii="Book Antiqua" w:eastAsia="Book Antiqua" w:hAnsi="Book Antiqua" w:cs="Book Antiqua"/>
          <w:color w:val="000000"/>
        </w:rPr>
        <w:t xml:space="preserve">, Hess DV. Fournier gangrene: a rare case of necrotizing fasciitis of the entire right hemi-pelvis in a diabetic female.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 xml:space="preserve"> Med Case Reports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omx094 [PMID: 29479450 DOI: 10.1093/</w:t>
      </w:r>
      <w:proofErr w:type="spellStart"/>
      <w:r>
        <w:rPr>
          <w:rFonts w:ascii="Book Antiqua" w:eastAsia="Book Antiqua" w:hAnsi="Book Antiqua" w:cs="Book Antiqua"/>
          <w:color w:val="000000"/>
        </w:rPr>
        <w:t>omcr</w:t>
      </w:r>
      <w:proofErr w:type="spellEnd"/>
      <w:r>
        <w:rPr>
          <w:rFonts w:ascii="Book Antiqua" w:eastAsia="Book Antiqua" w:hAnsi="Book Antiqua" w:cs="Book Antiqua"/>
          <w:color w:val="000000"/>
        </w:rPr>
        <w:t>/omx094]</w:t>
      </w:r>
    </w:p>
    <w:p w14:paraId="78EA6F12" w14:textId="00FADA02" w:rsidR="00A77B3E" w:rsidRDefault="00191F5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Krishna Gowtham V</w:t>
      </w:r>
      <w:r w:rsidRPr="00B70000">
        <w:rPr>
          <w:rFonts w:ascii="Book Antiqua" w:eastAsia="Book Antiqua" w:hAnsi="Book Antiqua" w:cs="Book Antiqua"/>
          <w:color w:val="000000"/>
        </w:rPr>
        <w:t>,</w:t>
      </w:r>
      <w:r w:rsidRPr="00C15BE2">
        <w:rPr>
          <w:rFonts w:ascii="Book Antiqua" w:eastAsia="Book Antiqua" w:hAnsi="Book Antiqua" w:cs="Book Antiqua"/>
          <w:color w:val="000000"/>
        </w:rPr>
        <w:t xml:space="preserve"> </w:t>
      </w:r>
      <w:r>
        <w:rPr>
          <w:rFonts w:ascii="Book Antiqua" w:eastAsia="Book Antiqua" w:hAnsi="Book Antiqua" w:cs="Book Antiqua"/>
          <w:color w:val="000000"/>
        </w:rPr>
        <w:t xml:space="preserve">Vaishnavi A, Bhargav Narendra J. Case Report on Fournier’s Gangrene. </w:t>
      </w:r>
      <w:r w:rsidRPr="00B70000">
        <w:rPr>
          <w:rFonts w:ascii="Book Antiqua" w:eastAsia="Book Antiqua" w:hAnsi="Book Antiqua" w:cs="Book Antiqua"/>
          <w:i/>
          <w:iCs/>
          <w:color w:val="000000"/>
        </w:rPr>
        <w:t xml:space="preserve">World J </w:t>
      </w:r>
      <w:proofErr w:type="spellStart"/>
      <w:r w:rsidRPr="00B70000">
        <w:rPr>
          <w:rFonts w:ascii="Book Antiqua" w:eastAsia="Book Antiqua" w:hAnsi="Book Antiqua" w:cs="Book Antiqua"/>
          <w:i/>
          <w:iCs/>
          <w:color w:val="000000"/>
        </w:rPr>
        <w:t>Curr</w:t>
      </w:r>
      <w:proofErr w:type="spellEnd"/>
      <w:r w:rsidRPr="00B70000">
        <w:rPr>
          <w:rFonts w:ascii="Book Antiqua" w:eastAsia="Book Antiqua" w:hAnsi="Book Antiqua" w:cs="Book Antiqua"/>
          <w:i/>
          <w:iCs/>
          <w:color w:val="000000"/>
        </w:rPr>
        <w:t xml:space="preserve"> Med Pharm Res</w:t>
      </w:r>
      <w:r>
        <w:rPr>
          <w:rFonts w:ascii="Book Antiqua" w:eastAsia="Book Antiqua" w:hAnsi="Book Antiqua" w:cs="Book Antiqua"/>
          <w:color w:val="000000"/>
        </w:rPr>
        <w:t xml:space="preserve"> 2020; </w:t>
      </w:r>
      <w:r w:rsidRPr="00B70000">
        <w:rPr>
          <w:rFonts w:ascii="Book Antiqua" w:eastAsia="Book Antiqua" w:hAnsi="Book Antiqua" w:cs="Book Antiqua"/>
          <w:b/>
          <w:bCs/>
          <w:color w:val="000000"/>
        </w:rPr>
        <w:t>2</w:t>
      </w:r>
      <w:r>
        <w:rPr>
          <w:rFonts w:ascii="Book Antiqua" w:eastAsia="Book Antiqua" w:hAnsi="Book Antiqua" w:cs="Book Antiqua"/>
          <w:color w:val="000000"/>
        </w:rPr>
        <w:t>: 191-193 [DOI: 10.37022/WJCMPR.2020.2220]</w:t>
      </w:r>
    </w:p>
    <w:p w14:paraId="54B3FCD3" w14:textId="77777777" w:rsidR="00A77B3E" w:rsidRDefault="00191F5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Hota</w:t>
      </w:r>
      <w:proofErr w:type="spellEnd"/>
      <w:r>
        <w:rPr>
          <w:rFonts w:ascii="Book Antiqua" w:eastAsia="Book Antiqua" w:hAnsi="Book Antiqua" w:cs="Book Antiqua"/>
          <w:b/>
          <w:bCs/>
          <w:color w:val="000000"/>
        </w:rPr>
        <w:t xml:space="preserve"> PK</w:t>
      </w:r>
      <w:r>
        <w:rPr>
          <w:rFonts w:ascii="Book Antiqua" w:eastAsia="Book Antiqua" w:hAnsi="Book Antiqua" w:cs="Book Antiqua"/>
          <w:color w:val="000000"/>
        </w:rPr>
        <w:t xml:space="preserve">. Fournier's Gangrene: Report of 2 Cases.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984195 [PMID: 23326734 DOI: 10.1155/2012/984195]</w:t>
      </w:r>
    </w:p>
    <w:p w14:paraId="17F70B16" w14:textId="77777777" w:rsidR="00A77B3E" w:rsidRDefault="00191F5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Puvanendran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Huey JC, </w:t>
      </w:r>
      <w:proofErr w:type="spellStart"/>
      <w:r>
        <w:rPr>
          <w:rFonts w:ascii="Book Antiqua" w:eastAsia="Book Antiqua" w:hAnsi="Book Antiqua" w:cs="Book Antiqua"/>
          <w:color w:val="000000"/>
        </w:rPr>
        <w:t>Pasupathy</w:t>
      </w:r>
      <w:proofErr w:type="spellEnd"/>
      <w:r>
        <w:rPr>
          <w:rFonts w:ascii="Book Antiqua" w:eastAsia="Book Antiqua" w:hAnsi="Book Antiqua" w:cs="Book Antiqua"/>
          <w:color w:val="000000"/>
        </w:rPr>
        <w:t xml:space="preserve"> S. Necrotizing fasciitis. </w:t>
      </w:r>
      <w:r>
        <w:rPr>
          <w:rFonts w:ascii="Book Antiqua" w:eastAsia="Book Antiqua" w:hAnsi="Book Antiqua" w:cs="Book Antiqua"/>
          <w:i/>
          <w:iCs/>
          <w:color w:val="000000"/>
        </w:rPr>
        <w:t>Can Fam Physician</w:t>
      </w:r>
      <w:r>
        <w:rPr>
          <w:rFonts w:ascii="Book Antiqua" w:eastAsia="Book Antiqua" w:hAnsi="Book Antiqua" w:cs="Book Antiqua"/>
          <w:color w:val="000000"/>
        </w:rPr>
        <w:t xml:space="preserve"> 2009; </w:t>
      </w:r>
      <w:r>
        <w:rPr>
          <w:rFonts w:ascii="Book Antiqua" w:eastAsia="Book Antiqua" w:hAnsi="Book Antiqua" w:cs="Book Antiqua"/>
          <w:b/>
          <w:bCs/>
          <w:color w:val="000000"/>
        </w:rPr>
        <w:t>55</w:t>
      </w:r>
      <w:r>
        <w:rPr>
          <w:rFonts w:ascii="Book Antiqua" w:eastAsia="Book Antiqua" w:hAnsi="Book Antiqua" w:cs="Book Antiqua"/>
          <w:color w:val="000000"/>
        </w:rPr>
        <w:t>: 981-987 [PMID: 19826154 DOI: 10.2147/IJGM.S82999]</w:t>
      </w:r>
    </w:p>
    <w:p w14:paraId="7B711C10" w14:textId="77777777" w:rsidR="00A77B3E" w:rsidRDefault="00191F5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Furr J</w:t>
      </w:r>
      <w:r>
        <w:rPr>
          <w:rFonts w:ascii="Book Antiqua" w:eastAsia="Book Antiqua" w:hAnsi="Book Antiqua" w:cs="Book Antiqua"/>
          <w:color w:val="000000"/>
        </w:rPr>
        <w:t xml:space="preserve">, Watts T, Street R, Cross B, </w:t>
      </w:r>
      <w:proofErr w:type="spellStart"/>
      <w:r>
        <w:rPr>
          <w:rFonts w:ascii="Book Antiqua" w:eastAsia="Book Antiqua" w:hAnsi="Book Antiqua" w:cs="Book Antiqua"/>
          <w:color w:val="000000"/>
        </w:rPr>
        <w:t>Slobodov</w:t>
      </w:r>
      <w:proofErr w:type="spellEnd"/>
      <w:r>
        <w:rPr>
          <w:rFonts w:ascii="Book Antiqua" w:eastAsia="Book Antiqua" w:hAnsi="Book Antiqua" w:cs="Book Antiqua"/>
          <w:color w:val="000000"/>
        </w:rPr>
        <w:t xml:space="preserve"> G, Patel S. Contemporary Trends in the Inpatient Management of Fournier's Gangrene: Predictors of Length of Stay and Mortality Based on Population-based Sample.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79-84 [PMID: 27693572 DOI: 10.1016/j.urology.2016.09.021]</w:t>
      </w:r>
    </w:p>
    <w:p w14:paraId="3D4E802F" w14:textId="77777777" w:rsidR="00A77B3E" w:rsidRDefault="00191F5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Kim SY</w:t>
      </w:r>
      <w:r>
        <w:rPr>
          <w:rFonts w:ascii="Book Antiqua" w:eastAsia="Book Antiqua" w:hAnsi="Book Antiqua" w:cs="Book Antiqua"/>
          <w:color w:val="000000"/>
        </w:rPr>
        <w:t xml:space="preserve">, Dupree JM, Le BV, Kim DY, Zhao LC, Kundu SD. A contemporary analysis of Fournier gangrene using the National Surgical Quality Improvement Program.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85</w:t>
      </w:r>
      <w:r>
        <w:rPr>
          <w:rFonts w:ascii="Book Antiqua" w:eastAsia="Book Antiqua" w:hAnsi="Book Antiqua" w:cs="Book Antiqua"/>
          <w:color w:val="000000"/>
        </w:rPr>
        <w:t>: 1052-1057 [PMID: 25770725 DOI: 10.1016/j.urology.2014.08.063]</w:t>
      </w:r>
    </w:p>
    <w:p w14:paraId="079853FC" w14:textId="77777777" w:rsidR="00A77B3E" w:rsidRDefault="00191F5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Sorensen MD</w:t>
      </w:r>
      <w:r>
        <w:rPr>
          <w:rFonts w:ascii="Book Antiqua" w:eastAsia="Book Antiqua" w:hAnsi="Book Antiqua" w:cs="Book Antiqua"/>
          <w:color w:val="000000"/>
        </w:rPr>
        <w:t xml:space="preserve">, Krieger JN. Fournier's Gangrene: Epidemiology and Outcomes in the General US Population.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97</w:t>
      </w:r>
      <w:r>
        <w:rPr>
          <w:rFonts w:ascii="Book Antiqua" w:eastAsia="Book Antiqua" w:hAnsi="Book Antiqua" w:cs="Book Antiqua"/>
          <w:color w:val="000000"/>
        </w:rPr>
        <w:t>: 249-259 [PMID: 27172977 DOI: 10.1159/000445695]</w:t>
      </w:r>
    </w:p>
    <w:p w14:paraId="79DA93E7" w14:textId="77777777" w:rsidR="00A77B3E" w:rsidRDefault="00191F5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Roghmann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Bodman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Löppenberg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Hinkel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Palisaar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Noldus</w:t>
      </w:r>
      <w:proofErr w:type="spellEnd"/>
      <w:r>
        <w:rPr>
          <w:rFonts w:ascii="Book Antiqua" w:eastAsia="Book Antiqua" w:hAnsi="Book Antiqua" w:cs="Book Antiqua"/>
          <w:color w:val="000000"/>
        </w:rPr>
        <w:t xml:space="preserve"> J. Is there a need for the Fournier's gangrene severity index? Comparison of scoring systems for outcome prediction in patients with Fournier's gangrene.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110</w:t>
      </w:r>
      <w:r>
        <w:rPr>
          <w:rFonts w:ascii="Book Antiqua" w:eastAsia="Book Antiqua" w:hAnsi="Book Antiqua" w:cs="Book Antiqua"/>
          <w:color w:val="000000"/>
        </w:rPr>
        <w:t>: 1359-1365 [PMID: 22494217 DOI: 10.1111/j.1464-410X.</w:t>
      </w:r>
      <w:proofErr w:type="gramStart"/>
      <w:r>
        <w:rPr>
          <w:rFonts w:ascii="Book Antiqua" w:eastAsia="Book Antiqua" w:hAnsi="Book Antiqua" w:cs="Book Antiqua"/>
          <w:color w:val="000000"/>
        </w:rPr>
        <w:t>2012.11082.x</w:t>
      </w:r>
      <w:proofErr w:type="gramEnd"/>
      <w:r>
        <w:rPr>
          <w:rFonts w:ascii="Book Antiqua" w:eastAsia="Book Antiqua" w:hAnsi="Book Antiqua" w:cs="Book Antiqua"/>
          <w:color w:val="000000"/>
        </w:rPr>
        <w:t>]</w:t>
      </w:r>
    </w:p>
    <w:p w14:paraId="51690F4F" w14:textId="77777777" w:rsidR="00A77B3E" w:rsidRDefault="00191F5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Lauerman</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Kolesnik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Sethuraman</w:t>
      </w:r>
      <w:proofErr w:type="spellEnd"/>
      <w:r>
        <w:rPr>
          <w:rFonts w:ascii="Book Antiqua" w:eastAsia="Book Antiqua" w:hAnsi="Book Antiqua" w:cs="Book Antiqua"/>
          <w:color w:val="000000"/>
        </w:rPr>
        <w:t xml:space="preserve"> K, Rabinowitz R, Joshi M, Clark E, Stein D,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 Henry S. Less is more? Antibiotic duration and outcomes in Fournier's </w:t>
      </w:r>
      <w:r>
        <w:rPr>
          <w:rFonts w:ascii="Book Antiqua" w:eastAsia="Book Antiqua" w:hAnsi="Book Antiqua" w:cs="Book Antiqua"/>
          <w:color w:val="000000"/>
        </w:rPr>
        <w:lastRenderedPageBreak/>
        <w:t xml:space="preserve">gangrene.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83</w:t>
      </w:r>
      <w:r>
        <w:rPr>
          <w:rFonts w:ascii="Book Antiqua" w:eastAsia="Book Antiqua" w:hAnsi="Book Antiqua" w:cs="Book Antiqua"/>
          <w:color w:val="000000"/>
        </w:rPr>
        <w:t>: 443-448 [PMID: 28538648 DOI: 10.1097/TA.0000000000001562]</w:t>
      </w:r>
    </w:p>
    <w:p w14:paraId="467D366C" w14:textId="77777777" w:rsidR="00A77B3E" w:rsidRDefault="00191F5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C</w:t>
      </w:r>
      <w:r>
        <w:rPr>
          <w:rFonts w:ascii="Book Antiqua" w:eastAsia="Book Antiqua" w:hAnsi="Book Antiqua" w:cs="Book Antiqua"/>
          <w:color w:val="000000"/>
        </w:rPr>
        <w:t xml:space="preserve">, Zhou X, Liu LF, Qi F, Chen JB, Zu XB. Hyperbaric Oxygen Therapy as an Adjuvant Therapy for Comprehensive Treatment of Fournier's Gangrene.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453-458 [PMID: 25677386 DOI: 10.1159/000366137]</w:t>
      </w:r>
    </w:p>
    <w:p w14:paraId="4C9D9637" w14:textId="328A2338" w:rsidR="00A77B3E" w:rsidRDefault="00191F5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Subrahmanyam M</w:t>
      </w:r>
      <w:r w:rsidRPr="00B70000">
        <w:rPr>
          <w:rFonts w:ascii="Book Antiqua" w:eastAsia="Book Antiqua" w:hAnsi="Book Antiqua" w:cs="Book Antiqua"/>
          <w:color w:val="000000"/>
        </w:rPr>
        <w:t>,</w:t>
      </w:r>
      <w:r w:rsidRPr="00C15BE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Ugane</w:t>
      </w:r>
      <w:proofErr w:type="spellEnd"/>
      <w:r>
        <w:rPr>
          <w:rFonts w:ascii="Book Antiqua" w:eastAsia="Book Antiqua" w:hAnsi="Book Antiqua" w:cs="Book Antiqua"/>
          <w:color w:val="000000"/>
        </w:rPr>
        <w:t xml:space="preserve"> SP. Krishna Gowtham V, Vaishnavi A, Bhargav Narendra J. Case Report on Fournier’s Gangrene. </w:t>
      </w:r>
      <w:r w:rsidRPr="00B70000">
        <w:rPr>
          <w:rFonts w:ascii="Book Antiqua" w:eastAsia="Book Antiqua" w:hAnsi="Book Antiqua" w:cs="Book Antiqua"/>
          <w:i/>
          <w:iCs/>
          <w:color w:val="000000"/>
        </w:rPr>
        <w:t>Indian J Surg</w:t>
      </w:r>
      <w:r>
        <w:rPr>
          <w:rFonts w:ascii="Book Antiqua" w:eastAsia="Book Antiqua" w:hAnsi="Book Antiqua" w:cs="Book Antiqua"/>
          <w:color w:val="000000"/>
        </w:rPr>
        <w:t xml:space="preserve"> 2004; </w:t>
      </w:r>
      <w:r w:rsidRPr="00B70000">
        <w:rPr>
          <w:rFonts w:ascii="Book Antiqua" w:eastAsia="Book Antiqua" w:hAnsi="Book Antiqua" w:cs="Book Antiqua"/>
          <w:b/>
          <w:bCs/>
          <w:color w:val="000000"/>
        </w:rPr>
        <w:t>66</w:t>
      </w:r>
      <w:r>
        <w:rPr>
          <w:rFonts w:ascii="Book Antiqua" w:eastAsia="Book Antiqua" w:hAnsi="Book Antiqua" w:cs="Book Antiqua"/>
          <w:color w:val="000000"/>
        </w:rPr>
        <w:t>: 75-77</w:t>
      </w:r>
    </w:p>
    <w:p w14:paraId="549892A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3FB064" w14:textId="77777777" w:rsidR="00A77B3E" w:rsidRDefault="00191F56">
      <w:pPr>
        <w:spacing w:line="360" w:lineRule="auto"/>
        <w:jc w:val="both"/>
      </w:pPr>
      <w:r>
        <w:rPr>
          <w:rFonts w:ascii="Book Antiqua" w:eastAsia="Book Antiqua" w:hAnsi="Book Antiqua" w:cs="Book Antiqua"/>
          <w:b/>
          <w:color w:val="000000"/>
        </w:rPr>
        <w:lastRenderedPageBreak/>
        <w:t>Footnotes</w:t>
      </w:r>
    </w:p>
    <w:p w14:paraId="325ED95A" w14:textId="77777777" w:rsidR="00A77B3E" w:rsidRDefault="00191F5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BC51042" w14:textId="77777777" w:rsidR="00A77B3E" w:rsidRDefault="00A77B3E">
      <w:pPr>
        <w:spacing w:line="360" w:lineRule="auto"/>
        <w:jc w:val="both"/>
      </w:pPr>
    </w:p>
    <w:p w14:paraId="520DA784" w14:textId="77777777" w:rsidR="00A77B3E" w:rsidRDefault="00191F5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70E05063" w14:textId="77777777" w:rsidR="00A77B3E" w:rsidRDefault="00A77B3E">
      <w:pPr>
        <w:spacing w:line="360" w:lineRule="auto"/>
        <w:jc w:val="both"/>
      </w:pPr>
    </w:p>
    <w:p w14:paraId="6878D335" w14:textId="77777777" w:rsidR="00A77B3E" w:rsidRDefault="00191F5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E4B9229" w14:textId="77777777" w:rsidR="00A77B3E" w:rsidRDefault="00A77B3E">
      <w:pPr>
        <w:spacing w:line="360" w:lineRule="auto"/>
        <w:jc w:val="both"/>
      </w:pPr>
    </w:p>
    <w:p w14:paraId="34331D0A" w14:textId="77777777" w:rsidR="00A77B3E" w:rsidRDefault="00191F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EDE313" w14:textId="77777777" w:rsidR="00A77B3E" w:rsidRDefault="00A77B3E">
      <w:pPr>
        <w:spacing w:line="360" w:lineRule="auto"/>
        <w:jc w:val="both"/>
      </w:pPr>
    </w:p>
    <w:p w14:paraId="6C2D0C98" w14:textId="004617FE" w:rsidR="00A77B3E" w:rsidRDefault="00191F5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15BE2">
        <w:rPr>
          <w:rFonts w:ascii="Book Antiqua" w:eastAsia="Book Antiqua" w:hAnsi="Book Antiqua" w:cs="Book Antiqua"/>
          <w:color w:val="000000"/>
        </w:rPr>
        <w:t>ma</w:t>
      </w:r>
      <w:r>
        <w:rPr>
          <w:rFonts w:ascii="Book Antiqua" w:eastAsia="Book Antiqua" w:hAnsi="Book Antiqua" w:cs="Book Antiqua"/>
          <w:color w:val="000000"/>
        </w:rPr>
        <w:t>nuscript</w:t>
      </w:r>
    </w:p>
    <w:p w14:paraId="17490201" w14:textId="77777777" w:rsidR="00A77B3E" w:rsidRDefault="00A77B3E">
      <w:pPr>
        <w:spacing w:line="360" w:lineRule="auto"/>
        <w:jc w:val="both"/>
      </w:pPr>
    </w:p>
    <w:p w14:paraId="66DEB1A9" w14:textId="77777777" w:rsidR="00A77B3E" w:rsidRDefault="00191F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2020</w:t>
      </w:r>
    </w:p>
    <w:p w14:paraId="08527D4F" w14:textId="77777777" w:rsidR="00A77B3E" w:rsidRDefault="00191F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5F9DFC2A" w14:textId="77777777" w:rsidR="00A77B3E" w:rsidRDefault="00191F56">
      <w:pPr>
        <w:spacing w:line="360" w:lineRule="auto"/>
        <w:jc w:val="both"/>
      </w:pPr>
      <w:r>
        <w:rPr>
          <w:rFonts w:ascii="Book Antiqua" w:eastAsia="Book Antiqua" w:hAnsi="Book Antiqua" w:cs="Book Antiqua"/>
          <w:b/>
          <w:color w:val="000000"/>
        </w:rPr>
        <w:t xml:space="preserve">Article in press: </w:t>
      </w:r>
    </w:p>
    <w:p w14:paraId="4ADFC780" w14:textId="77777777" w:rsidR="00A77B3E" w:rsidRDefault="00A77B3E">
      <w:pPr>
        <w:spacing w:line="360" w:lineRule="auto"/>
        <w:jc w:val="both"/>
      </w:pPr>
    </w:p>
    <w:p w14:paraId="05F55717" w14:textId="7875E06D" w:rsidR="00A77B3E" w:rsidRDefault="00191F56">
      <w:pPr>
        <w:spacing w:line="360" w:lineRule="auto"/>
        <w:jc w:val="both"/>
      </w:pPr>
      <w:r>
        <w:rPr>
          <w:rFonts w:ascii="Book Antiqua" w:eastAsia="Book Antiqua" w:hAnsi="Book Antiqua" w:cs="Book Antiqua"/>
          <w:b/>
          <w:color w:val="000000"/>
        </w:rPr>
        <w:t xml:space="preserve">Specialty type: </w:t>
      </w:r>
      <w:r w:rsidR="00C15BE2" w:rsidRPr="00E700C2">
        <w:rPr>
          <w:rFonts w:ascii="Book Antiqua" w:eastAsia="Microsoft YaHei" w:hAnsi="Book Antiqua" w:cs="SimSun"/>
        </w:rPr>
        <w:t>Medicine, research and experimental</w:t>
      </w:r>
    </w:p>
    <w:p w14:paraId="301ABBD0" w14:textId="77777777" w:rsidR="00A77B3E" w:rsidRDefault="00191F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0CA3E5B8" w14:textId="77777777" w:rsidR="00A77B3E" w:rsidRDefault="00191F56">
      <w:pPr>
        <w:spacing w:line="360" w:lineRule="auto"/>
        <w:jc w:val="both"/>
      </w:pPr>
      <w:r>
        <w:rPr>
          <w:rFonts w:ascii="Book Antiqua" w:eastAsia="Book Antiqua" w:hAnsi="Book Antiqua" w:cs="Book Antiqua"/>
          <w:b/>
          <w:color w:val="000000"/>
        </w:rPr>
        <w:t>Peer-review report’s scientific quality classification</w:t>
      </w:r>
    </w:p>
    <w:p w14:paraId="06B07E71" w14:textId="77777777" w:rsidR="00A77B3E" w:rsidRDefault="00191F56">
      <w:pPr>
        <w:spacing w:line="360" w:lineRule="auto"/>
        <w:jc w:val="both"/>
      </w:pPr>
      <w:r>
        <w:rPr>
          <w:rFonts w:ascii="Book Antiqua" w:eastAsia="Book Antiqua" w:hAnsi="Book Antiqua" w:cs="Book Antiqua"/>
          <w:color w:val="000000"/>
        </w:rPr>
        <w:t>Grade A (Excellent): A, A</w:t>
      </w:r>
    </w:p>
    <w:p w14:paraId="3BEF6A2D" w14:textId="77777777" w:rsidR="00A77B3E" w:rsidRDefault="00191F56">
      <w:pPr>
        <w:spacing w:line="360" w:lineRule="auto"/>
        <w:jc w:val="both"/>
      </w:pPr>
      <w:r>
        <w:rPr>
          <w:rFonts w:ascii="Book Antiqua" w:eastAsia="Book Antiqua" w:hAnsi="Book Antiqua" w:cs="Book Antiqua"/>
          <w:color w:val="000000"/>
        </w:rPr>
        <w:t>Grade B (Very good): B</w:t>
      </w:r>
    </w:p>
    <w:p w14:paraId="6AC911DE" w14:textId="77777777" w:rsidR="00A77B3E" w:rsidRDefault="00191F56">
      <w:pPr>
        <w:spacing w:line="360" w:lineRule="auto"/>
        <w:jc w:val="both"/>
      </w:pPr>
      <w:r>
        <w:rPr>
          <w:rFonts w:ascii="Book Antiqua" w:eastAsia="Book Antiqua" w:hAnsi="Book Antiqua" w:cs="Book Antiqua"/>
          <w:color w:val="000000"/>
        </w:rPr>
        <w:t>Grade C (Good): 0</w:t>
      </w:r>
    </w:p>
    <w:p w14:paraId="3EBF6377" w14:textId="77777777" w:rsidR="00A77B3E" w:rsidRDefault="00191F56">
      <w:pPr>
        <w:spacing w:line="360" w:lineRule="auto"/>
        <w:jc w:val="both"/>
      </w:pPr>
      <w:r>
        <w:rPr>
          <w:rFonts w:ascii="Book Antiqua" w:eastAsia="Book Antiqua" w:hAnsi="Book Antiqua" w:cs="Book Antiqua"/>
          <w:color w:val="000000"/>
        </w:rPr>
        <w:t>Grade D (Fair): 0</w:t>
      </w:r>
    </w:p>
    <w:p w14:paraId="4F57A2C6" w14:textId="77777777" w:rsidR="00A77B3E" w:rsidRDefault="00191F56">
      <w:pPr>
        <w:spacing w:line="360" w:lineRule="auto"/>
        <w:jc w:val="both"/>
      </w:pPr>
      <w:r>
        <w:rPr>
          <w:rFonts w:ascii="Book Antiqua" w:eastAsia="Book Antiqua" w:hAnsi="Book Antiqua" w:cs="Book Antiqua"/>
          <w:color w:val="000000"/>
        </w:rPr>
        <w:t>Grade E (Poor): 0</w:t>
      </w:r>
    </w:p>
    <w:p w14:paraId="700C57E6" w14:textId="77777777" w:rsidR="00A77B3E" w:rsidRDefault="00A77B3E">
      <w:pPr>
        <w:spacing w:line="360" w:lineRule="auto"/>
        <w:jc w:val="both"/>
      </w:pPr>
    </w:p>
    <w:p w14:paraId="249507D2" w14:textId="77777777" w:rsidR="00A77B3E" w:rsidRDefault="00191F5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Georgiev</w:t>
      </w:r>
      <w:proofErr w:type="spellEnd"/>
      <w:r>
        <w:rPr>
          <w:rFonts w:ascii="Book Antiqua" w:eastAsia="Book Antiqua" w:hAnsi="Book Antiqua" w:cs="Book Antiqua"/>
          <w:color w:val="000000"/>
        </w:rPr>
        <w:t xml:space="preserve"> T, Lee SS, Rahman MM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459C11C" w14:textId="6B53CA1D" w:rsidR="00A77B3E" w:rsidRDefault="00191F5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7DAA2F" w14:textId="7FB85135" w:rsidR="00373716" w:rsidRPr="00373716" w:rsidRDefault="00373716">
      <w:pPr>
        <w:spacing w:line="360" w:lineRule="auto"/>
        <w:jc w:val="both"/>
        <w:rPr>
          <w:rFonts w:ascii="Book Antiqua" w:hAnsi="Book Antiqua" w:cs="Book Antiqua"/>
          <w:bCs/>
          <w:color w:val="000000"/>
          <w:lang w:eastAsia="zh-CN"/>
        </w:rPr>
      </w:pPr>
      <w:r w:rsidRPr="00373716">
        <w:rPr>
          <w:rFonts w:ascii="Book Antiqua" w:hAnsi="Book Antiqua" w:cs="Book Antiqua"/>
          <w:bCs/>
          <w:color w:val="000000"/>
          <w:lang w:eastAsia="zh-CN"/>
        </w:rPr>
        <w:t>A</w:t>
      </w:r>
    </w:p>
    <w:p w14:paraId="4FE1A4A4" w14:textId="2D44FBB0" w:rsidR="00373716" w:rsidRDefault="00373716">
      <w:pPr>
        <w:spacing w:line="360" w:lineRule="auto"/>
        <w:jc w:val="both"/>
      </w:pPr>
      <w:r w:rsidRPr="00373716">
        <w:rPr>
          <w:noProof/>
          <w:lang w:eastAsia="zh-CN"/>
        </w:rPr>
        <w:drawing>
          <wp:inline distT="0" distB="0" distL="0" distR="0" wp14:anchorId="74DA3897" wp14:editId="4F38FBD3">
            <wp:extent cx="3373762" cy="2301439"/>
            <wp:effectExtent l="0" t="0" r="0" b="0"/>
            <wp:docPr id="4" name="Obraz 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Figure 1.jpg"/>
                    <pic:cNvPicPr>
                      <a:picLocks noChangeAspect="1"/>
                    </pic:cNvPicPr>
                  </pic:nvPicPr>
                  <pic:blipFill>
                    <a:blip r:embed="rId7" cstate="print"/>
                    <a:stretch>
                      <a:fillRect/>
                    </a:stretch>
                  </pic:blipFill>
                  <pic:spPr>
                    <a:xfrm>
                      <a:off x="0" y="0"/>
                      <a:ext cx="3380462" cy="2306009"/>
                    </a:xfrm>
                    <a:prstGeom prst="rect">
                      <a:avLst/>
                    </a:prstGeom>
                  </pic:spPr>
                </pic:pic>
              </a:graphicData>
            </a:graphic>
          </wp:inline>
        </w:drawing>
      </w:r>
    </w:p>
    <w:p w14:paraId="4A7849FB" w14:textId="3DDBAEB0" w:rsidR="00373716" w:rsidRDefault="00373716">
      <w:pPr>
        <w:spacing w:line="360" w:lineRule="auto"/>
        <w:jc w:val="both"/>
        <w:rPr>
          <w:lang w:eastAsia="zh-CN"/>
        </w:rPr>
      </w:pPr>
      <w:r>
        <w:rPr>
          <w:rFonts w:hint="eastAsia"/>
          <w:lang w:eastAsia="zh-CN"/>
        </w:rPr>
        <w:t>B</w:t>
      </w:r>
    </w:p>
    <w:p w14:paraId="2FC97433" w14:textId="04A1EEA7" w:rsidR="00373716" w:rsidRDefault="00373716">
      <w:pPr>
        <w:spacing w:line="360" w:lineRule="auto"/>
        <w:jc w:val="both"/>
        <w:rPr>
          <w:lang w:eastAsia="zh-CN"/>
        </w:rPr>
      </w:pPr>
      <w:r w:rsidRPr="00373716">
        <w:rPr>
          <w:noProof/>
          <w:lang w:eastAsia="zh-CN"/>
        </w:rPr>
        <w:drawing>
          <wp:inline distT="0" distB="0" distL="0" distR="0" wp14:anchorId="534D310B" wp14:editId="176607E2">
            <wp:extent cx="3356766" cy="2203057"/>
            <wp:effectExtent l="0" t="0" r="0" b="0"/>
            <wp:docPr id="2" name="Obraz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2.jpg"/>
                    <pic:cNvPicPr>
                      <a:picLocks noChangeAspect="1"/>
                    </pic:cNvPicPr>
                  </pic:nvPicPr>
                  <pic:blipFill>
                    <a:blip r:embed="rId8" cstate="print"/>
                    <a:stretch>
                      <a:fillRect/>
                    </a:stretch>
                  </pic:blipFill>
                  <pic:spPr>
                    <a:xfrm>
                      <a:off x="0" y="0"/>
                      <a:ext cx="3364890" cy="2208389"/>
                    </a:xfrm>
                    <a:prstGeom prst="rect">
                      <a:avLst/>
                    </a:prstGeom>
                  </pic:spPr>
                </pic:pic>
              </a:graphicData>
            </a:graphic>
          </wp:inline>
        </w:drawing>
      </w:r>
    </w:p>
    <w:p w14:paraId="0251FD08" w14:textId="5DB35AE2" w:rsidR="00100D3F"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373716">
        <w:rPr>
          <w:rFonts w:ascii="Book Antiqua" w:eastAsia="Book Antiqua" w:hAnsi="Book Antiqua" w:cs="Book Antiqua"/>
          <w:b/>
          <w:bCs/>
          <w:color w:val="000000"/>
        </w:rPr>
        <w:t xml:space="preserve"> </w:t>
      </w:r>
      <w:r w:rsidR="002C26CD">
        <w:rPr>
          <w:rFonts w:ascii="Book Antiqua" w:eastAsia="Book Antiqua" w:hAnsi="Book Antiqua" w:cs="Book Antiqua"/>
          <w:b/>
          <w:bCs/>
          <w:color w:val="000000"/>
        </w:rPr>
        <w:t>S</w:t>
      </w:r>
      <w:r w:rsidR="002C26CD" w:rsidRPr="002C26CD">
        <w:rPr>
          <w:rFonts w:ascii="Book Antiqua" w:eastAsia="Book Antiqua" w:hAnsi="Book Antiqua" w:cs="Book Antiqua"/>
          <w:b/>
          <w:bCs/>
          <w:color w:val="000000"/>
        </w:rPr>
        <w:t>crotum and penis images</w:t>
      </w:r>
      <w:r w:rsidR="00100D3F">
        <w:rPr>
          <w:rFonts w:ascii="Book Antiqua" w:eastAsia="Book Antiqua" w:hAnsi="Book Antiqua" w:cs="Book Antiqua"/>
          <w:b/>
          <w:bCs/>
          <w:color w:val="000000"/>
        </w:rPr>
        <w:t xml:space="preserve">. </w:t>
      </w:r>
      <w:r w:rsidRPr="00100D3F">
        <w:rPr>
          <w:rFonts w:ascii="Book Antiqua" w:eastAsia="Book Antiqua" w:hAnsi="Book Antiqua" w:cs="Book Antiqua"/>
          <w:color w:val="000000"/>
        </w:rPr>
        <w:t>A</w:t>
      </w:r>
      <w:r w:rsidR="00100D3F" w:rsidRPr="00100D3F">
        <w:rPr>
          <w:rFonts w:ascii="Book Antiqua" w:eastAsia="Book Antiqua" w:hAnsi="Book Antiqua" w:cs="Book Antiqua"/>
          <w:color w:val="000000"/>
        </w:rPr>
        <w:t xml:space="preserve">: </w:t>
      </w:r>
      <w:r w:rsidRPr="00100D3F">
        <w:rPr>
          <w:rFonts w:ascii="Book Antiqua" w:eastAsia="Book Antiqua" w:hAnsi="Book Antiqua" w:cs="Book Antiqua"/>
          <w:color w:val="000000"/>
        </w:rPr>
        <w:t>Necrosis of scrotum and penis, and edema of the subcutaneous tissues</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B</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Necrosis within the scrotal tissues.</w:t>
      </w:r>
    </w:p>
    <w:p w14:paraId="0870F4B4" w14:textId="7AFA9A09" w:rsidR="00A77B3E" w:rsidRDefault="00100D3F">
      <w:pPr>
        <w:spacing w:line="360" w:lineRule="auto"/>
        <w:jc w:val="both"/>
      </w:pPr>
      <w:r>
        <w:rPr>
          <w:rFonts w:ascii="Book Antiqua" w:eastAsia="Book Antiqua" w:hAnsi="Book Antiqua" w:cs="Book Antiqua"/>
          <w:color w:val="000000"/>
        </w:rPr>
        <w:br w:type="page"/>
      </w:r>
      <w:r w:rsidRPr="00100D3F">
        <w:rPr>
          <w:rFonts w:ascii="Book Antiqua" w:eastAsia="Book Antiqua" w:hAnsi="Book Antiqua" w:cs="Book Antiqua"/>
          <w:noProof/>
          <w:color w:val="000000"/>
          <w:lang w:eastAsia="zh-CN"/>
        </w:rPr>
        <w:lastRenderedPageBreak/>
        <w:drawing>
          <wp:inline distT="0" distB="0" distL="0" distR="0" wp14:anchorId="7AF44A1F" wp14:editId="63D798BC">
            <wp:extent cx="3259367" cy="2682013"/>
            <wp:effectExtent l="0" t="0" r="0" b="0"/>
            <wp:docPr id="1" name="Obraz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2.jpg"/>
                    <pic:cNvPicPr>
                      <a:picLocks noChangeAspect="1"/>
                    </pic:cNvPicPr>
                  </pic:nvPicPr>
                  <pic:blipFill>
                    <a:blip r:embed="rId9"/>
                    <a:stretch>
                      <a:fillRect/>
                    </a:stretch>
                  </pic:blipFill>
                  <pic:spPr>
                    <a:xfrm>
                      <a:off x="0" y="0"/>
                      <a:ext cx="3262118" cy="2684277"/>
                    </a:xfrm>
                    <a:prstGeom prst="rect">
                      <a:avLst/>
                    </a:prstGeom>
                  </pic:spPr>
                </pic:pic>
              </a:graphicData>
            </a:graphic>
          </wp:inline>
        </w:drawing>
      </w:r>
    </w:p>
    <w:p w14:paraId="1E64D5AE" w14:textId="796D8056" w:rsidR="00100D3F"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100D3F">
        <w:rPr>
          <w:rFonts w:ascii="Book Antiqua" w:eastAsia="Book Antiqua" w:hAnsi="Book Antiqua" w:cs="Book Antiqua"/>
          <w:b/>
          <w:bCs/>
          <w:color w:val="000000"/>
        </w:rPr>
        <w:t xml:space="preserve"> </w:t>
      </w:r>
      <w:r>
        <w:rPr>
          <w:rFonts w:ascii="Book Antiqua" w:eastAsia="Book Antiqua" w:hAnsi="Book Antiqua" w:cs="Book Antiqua"/>
          <w:b/>
          <w:bCs/>
          <w:color w:val="000000"/>
        </w:rPr>
        <w:t>Computed tomography of abdomen and pelvis without contrast</w:t>
      </w:r>
      <w:r w:rsidR="00100D3F">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100D3F" w:rsidRPr="00100D3F">
        <w:rPr>
          <w:rFonts w:ascii="Book Antiqua" w:eastAsia="Book Antiqua" w:hAnsi="Book Antiqua" w:cs="Book Antiqua"/>
          <w:color w:val="000000"/>
        </w:rPr>
        <w:t>E</w:t>
      </w:r>
      <w:r w:rsidRPr="00100D3F">
        <w:rPr>
          <w:rFonts w:ascii="Book Antiqua" w:eastAsia="Book Antiqua" w:hAnsi="Book Antiqua" w:cs="Book Antiqua"/>
          <w:color w:val="000000"/>
        </w:rPr>
        <w:t>xtensive inflammatory infiltrations of the subcutaneous tissue of hypogastrium and penis; liquefaction and gas in the subcutaneous tissues of scrotum, perineum, and the right gluteal region.</w:t>
      </w:r>
    </w:p>
    <w:p w14:paraId="1CE43261" w14:textId="52575A98" w:rsidR="00A77B3E" w:rsidRDefault="00100D3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C3B633D" w14:textId="126C17C1" w:rsidR="00100D3F" w:rsidRDefault="00100D3F">
      <w:pPr>
        <w:spacing w:line="360" w:lineRule="auto"/>
        <w:jc w:val="both"/>
      </w:pPr>
      <w:r w:rsidRPr="00100D3F">
        <w:rPr>
          <w:noProof/>
          <w:lang w:eastAsia="zh-CN"/>
        </w:rPr>
        <w:drawing>
          <wp:inline distT="0" distB="0" distL="0" distR="0" wp14:anchorId="348EAC3F" wp14:editId="7D46710E">
            <wp:extent cx="2982846" cy="1906982"/>
            <wp:effectExtent l="0" t="0" r="0" b="0"/>
            <wp:docPr id="3" name="Obraz 1"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3.jpg"/>
                    <pic:cNvPicPr>
                      <a:picLocks noChangeAspect="1"/>
                    </pic:cNvPicPr>
                  </pic:nvPicPr>
                  <pic:blipFill>
                    <a:blip r:embed="rId10" cstate="print"/>
                    <a:stretch>
                      <a:fillRect/>
                    </a:stretch>
                  </pic:blipFill>
                  <pic:spPr>
                    <a:xfrm>
                      <a:off x="0" y="0"/>
                      <a:ext cx="2986373" cy="1909237"/>
                    </a:xfrm>
                    <a:prstGeom prst="rect">
                      <a:avLst/>
                    </a:prstGeom>
                  </pic:spPr>
                </pic:pic>
              </a:graphicData>
            </a:graphic>
          </wp:inline>
        </w:drawing>
      </w:r>
    </w:p>
    <w:p w14:paraId="57D80FB8" w14:textId="54D3DC8C" w:rsidR="00100D3F" w:rsidRDefault="00100D3F">
      <w:pPr>
        <w:spacing w:line="360" w:lineRule="auto"/>
        <w:jc w:val="both"/>
        <w:rPr>
          <w:lang w:eastAsia="zh-CN"/>
        </w:rPr>
      </w:pPr>
      <w:r>
        <w:rPr>
          <w:rFonts w:hint="eastAsia"/>
          <w:lang w:eastAsia="zh-CN"/>
        </w:rPr>
        <w:t>B</w:t>
      </w:r>
    </w:p>
    <w:p w14:paraId="5EC0D11B" w14:textId="18D7DC7D" w:rsidR="00100D3F" w:rsidRPr="00100D3F" w:rsidRDefault="00100D3F">
      <w:pPr>
        <w:spacing w:line="360" w:lineRule="auto"/>
        <w:jc w:val="both"/>
        <w:rPr>
          <w:lang w:eastAsia="zh-CN"/>
        </w:rPr>
      </w:pPr>
      <w:r w:rsidRPr="00100D3F">
        <w:rPr>
          <w:noProof/>
          <w:lang w:eastAsia="zh-CN"/>
        </w:rPr>
        <w:drawing>
          <wp:inline distT="0" distB="0" distL="0" distR="0" wp14:anchorId="2C325A4A" wp14:editId="2D9789E6">
            <wp:extent cx="3005139" cy="2019158"/>
            <wp:effectExtent l="0" t="0" r="0" b="0"/>
            <wp:docPr id="5" name="Obraz 1"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4.jpg"/>
                    <pic:cNvPicPr>
                      <a:picLocks noChangeAspect="1"/>
                    </pic:cNvPicPr>
                  </pic:nvPicPr>
                  <pic:blipFill>
                    <a:blip r:embed="rId11" cstate="print"/>
                    <a:stretch>
                      <a:fillRect/>
                    </a:stretch>
                  </pic:blipFill>
                  <pic:spPr>
                    <a:xfrm>
                      <a:off x="0" y="0"/>
                      <a:ext cx="3014244" cy="2025275"/>
                    </a:xfrm>
                    <a:prstGeom prst="rect">
                      <a:avLst/>
                    </a:prstGeom>
                  </pic:spPr>
                </pic:pic>
              </a:graphicData>
            </a:graphic>
          </wp:inline>
        </w:drawing>
      </w:r>
    </w:p>
    <w:p w14:paraId="1D66296A" w14:textId="42FA2D53" w:rsidR="00100D3F" w:rsidRDefault="00191F5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100D3F">
        <w:rPr>
          <w:rFonts w:ascii="Book Antiqua" w:eastAsia="Book Antiqua" w:hAnsi="Book Antiqua" w:cs="Book Antiqua"/>
          <w:b/>
          <w:bCs/>
          <w:color w:val="000000"/>
        </w:rPr>
        <w:t xml:space="preserve"> </w:t>
      </w:r>
      <w:r w:rsidR="002C26CD">
        <w:rPr>
          <w:rFonts w:ascii="Book Antiqua" w:eastAsia="Book Antiqua" w:hAnsi="Book Antiqua" w:cs="Book Antiqua"/>
          <w:b/>
          <w:bCs/>
          <w:color w:val="000000"/>
        </w:rPr>
        <w:t>A</w:t>
      </w:r>
      <w:r w:rsidR="002C26CD" w:rsidRPr="002C26CD">
        <w:rPr>
          <w:rFonts w:ascii="Book Antiqua" w:eastAsia="Book Antiqua" w:hAnsi="Book Antiqua" w:cs="Book Antiqua"/>
          <w:b/>
          <w:bCs/>
          <w:color w:val="000000"/>
        </w:rPr>
        <w:t xml:space="preserve"> resection of the necrotic tissues with bilateral orchiectomy, and the excision of the penile and scrotal skin were performed</w:t>
      </w:r>
      <w:r>
        <w:rPr>
          <w:rFonts w:ascii="Book Antiqua" w:eastAsia="Book Antiqua" w:hAnsi="Book Antiqua" w:cs="Book Antiqua"/>
          <w:b/>
          <w:bCs/>
          <w:color w:val="000000"/>
        </w:rPr>
        <w:t xml:space="preserve">. </w:t>
      </w:r>
      <w:r w:rsidRPr="00100D3F">
        <w:rPr>
          <w:rFonts w:ascii="Book Antiqua" w:eastAsia="Book Antiqua" w:hAnsi="Book Antiqua" w:cs="Book Antiqua"/>
          <w:color w:val="000000"/>
        </w:rPr>
        <w:t>A</w:t>
      </w:r>
      <w:r w:rsidR="00100D3F" w:rsidRPr="00100D3F">
        <w:rPr>
          <w:rFonts w:ascii="Book Antiqua" w:eastAsia="Book Antiqua" w:hAnsi="Book Antiqua" w:cs="Book Antiqua"/>
          <w:color w:val="000000"/>
        </w:rPr>
        <w:t xml:space="preserve">: </w:t>
      </w:r>
      <w:r w:rsidRPr="00100D3F">
        <w:rPr>
          <w:rFonts w:ascii="Book Antiqua" w:eastAsia="Book Antiqua" w:hAnsi="Book Antiqua" w:cs="Book Antiqua"/>
          <w:color w:val="000000"/>
        </w:rPr>
        <w:t>Necrosis of the tissues within the right gluteal area</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B</w:t>
      </w:r>
      <w:r w:rsidR="00100D3F" w:rsidRPr="00100D3F">
        <w:rPr>
          <w:rFonts w:ascii="Book Antiqua" w:eastAsia="Book Antiqua" w:hAnsi="Book Antiqua" w:cs="Book Antiqua"/>
          <w:color w:val="000000"/>
        </w:rPr>
        <w:t>:</w:t>
      </w:r>
      <w:r w:rsidRPr="00100D3F">
        <w:rPr>
          <w:rFonts w:ascii="Book Antiqua" w:eastAsia="Book Antiqua" w:hAnsi="Book Antiqua" w:cs="Book Antiqua"/>
          <w:color w:val="000000"/>
        </w:rPr>
        <w:t xml:space="preserve"> Area after wide debridement of the necrotic tissues of perineum, scrotum, hypogastrium, and right gluteal region.</w:t>
      </w:r>
    </w:p>
    <w:p w14:paraId="02C9319E" w14:textId="7CEF44F9" w:rsidR="00A77B3E" w:rsidRDefault="00100D3F">
      <w:pPr>
        <w:spacing w:line="360" w:lineRule="auto"/>
        <w:jc w:val="both"/>
      </w:pPr>
      <w:r>
        <w:rPr>
          <w:rFonts w:ascii="Book Antiqua" w:eastAsia="Book Antiqua" w:hAnsi="Book Antiqua" w:cs="Book Antiqua"/>
          <w:color w:val="000000"/>
        </w:rPr>
        <w:br w:type="page"/>
      </w:r>
      <w:r w:rsidRPr="00100D3F">
        <w:rPr>
          <w:rFonts w:ascii="Book Antiqua" w:eastAsia="Book Antiqua" w:hAnsi="Book Antiqua" w:cs="Book Antiqua"/>
          <w:noProof/>
          <w:color w:val="000000"/>
          <w:lang w:eastAsia="zh-CN"/>
        </w:rPr>
        <w:lastRenderedPageBreak/>
        <w:drawing>
          <wp:inline distT="0" distB="0" distL="0" distR="0" wp14:anchorId="0235FA06" wp14:editId="7F4B6FE0">
            <wp:extent cx="3424876" cy="2274103"/>
            <wp:effectExtent l="0" t="0" r="0" b="0"/>
            <wp:docPr id="6" name="Obraz 1" descr="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6.jpg"/>
                    <pic:cNvPicPr>
                      <a:picLocks noChangeAspect="1"/>
                    </pic:cNvPicPr>
                  </pic:nvPicPr>
                  <pic:blipFill>
                    <a:blip r:embed="rId12" cstate="print"/>
                    <a:stretch>
                      <a:fillRect/>
                    </a:stretch>
                  </pic:blipFill>
                  <pic:spPr>
                    <a:xfrm>
                      <a:off x="0" y="0"/>
                      <a:ext cx="3431692" cy="2278629"/>
                    </a:xfrm>
                    <a:prstGeom prst="rect">
                      <a:avLst/>
                    </a:prstGeom>
                  </pic:spPr>
                </pic:pic>
              </a:graphicData>
            </a:graphic>
          </wp:inline>
        </w:drawing>
      </w:r>
    </w:p>
    <w:p w14:paraId="734F90A3" w14:textId="4B6C38E8" w:rsidR="00100D3F" w:rsidRDefault="00191F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w:t>
      </w:r>
      <w:r w:rsidR="00100D3F">
        <w:rPr>
          <w:rFonts w:ascii="Book Antiqua" w:eastAsia="Book Antiqua" w:hAnsi="Book Antiqua" w:cs="Book Antiqua"/>
          <w:b/>
          <w:bCs/>
          <w:color w:val="000000"/>
        </w:rPr>
        <w:t xml:space="preserve"> </w:t>
      </w:r>
      <w:r>
        <w:rPr>
          <w:rFonts w:ascii="Book Antiqua" w:eastAsia="Book Antiqua" w:hAnsi="Book Antiqua" w:cs="Book Antiqua"/>
          <w:b/>
          <w:bCs/>
          <w:color w:val="000000"/>
        </w:rPr>
        <w:t>Patient after surgery</w:t>
      </w:r>
      <w:r w:rsidR="00100D3F" w:rsidRPr="00100D3F">
        <w:rPr>
          <w:rFonts w:ascii="Book Antiqua" w:hAnsi="Book Antiqua" w:cs="Book Antiqua"/>
          <w:b/>
          <w:bCs/>
          <w:color w:val="000000"/>
          <w:lang w:eastAsia="zh-CN"/>
        </w:rPr>
        <w:t>—</w:t>
      </w:r>
      <w:r>
        <w:rPr>
          <w:rFonts w:ascii="Book Antiqua" w:eastAsia="Book Antiqua" w:hAnsi="Book Antiqua" w:cs="Book Antiqua"/>
          <w:b/>
          <w:bCs/>
          <w:color w:val="000000"/>
        </w:rPr>
        <w:t>stoma and negative pressure wound therapy.</w:t>
      </w:r>
    </w:p>
    <w:p w14:paraId="0F625BE6" w14:textId="6E3920F5" w:rsidR="00A77B3E" w:rsidRDefault="00100D3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100D3F">
        <w:rPr>
          <w:rFonts w:ascii="Book Antiqua" w:eastAsia="Book Antiqua" w:hAnsi="Book Antiqua" w:cs="Book Antiqua"/>
          <w:b/>
          <w:bCs/>
          <w:noProof/>
          <w:color w:val="000000"/>
          <w:lang w:eastAsia="zh-CN"/>
        </w:rPr>
        <w:lastRenderedPageBreak/>
        <w:drawing>
          <wp:inline distT="0" distB="0" distL="0" distR="0" wp14:anchorId="4FDACC3D" wp14:editId="324A7A0D">
            <wp:extent cx="2793571" cy="1920580"/>
            <wp:effectExtent l="0" t="0" r="0" b="0"/>
            <wp:docPr id="8" name="Obraz 1" descr="Figure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7a.jpg"/>
                    <pic:cNvPicPr>
                      <a:picLocks noChangeAspect="1"/>
                    </pic:cNvPicPr>
                  </pic:nvPicPr>
                  <pic:blipFill>
                    <a:blip r:embed="rId13" cstate="print"/>
                    <a:stretch>
                      <a:fillRect/>
                    </a:stretch>
                  </pic:blipFill>
                  <pic:spPr>
                    <a:xfrm>
                      <a:off x="0" y="0"/>
                      <a:ext cx="2809369" cy="1931441"/>
                    </a:xfrm>
                    <a:prstGeom prst="rect">
                      <a:avLst/>
                    </a:prstGeom>
                  </pic:spPr>
                </pic:pic>
              </a:graphicData>
            </a:graphic>
          </wp:inline>
        </w:drawing>
      </w:r>
    </w:p>
    <w:p w14:paraId="20B247D9" w14:textId="7DE3D980" w:rsidR="00100D3F" w:rsidRDefault="00100D3F">
      <w:pPr>
        <w:spacing w:line="360" w:lineRule="auto"/>
        <w:jc w:val="both"/>
      </w:pPr>
      <w:r w:rsidRPr="00100D3F">
        <w:rPr>
          <w:noProof/>
          <w:lang w:eastAsia="zh-CN"/>
        </w:rPr>
        <w:drawing>
          <wp:inline distT="0" distB="0" distL="0" distR="0" wp14:anchorId="291BEFA0" wp14:editId="22C8FDDE">
            <wp:extent cx="2784927" cy="1896785"/>
            <wp:effectExtent l="0" t="0" r="0" b="0"/>
            <wp:docPr id="9" name="Obraz 1" descr="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Figure 8.jpg"/>
                    <pic:cNvPicPr>
                      <a:picLocks noChangeAspect="1"/>
                    </pic:cNvPicPr>
                  </pic:nvPicPr>
                  <pic:blipFill>
                    <a:blip r:embed="rId14" cstate="print"/>
                    <a:stretch>
                      <a:fillRect/>
                    </a:stretch>
                  </pic:blipFill>
                  <pic:spPr>
                    <a:xfrm>
                      <a:off x="0" y="0"/>
                      <a:ext cx="2790528" cy="1900600"/>
                    </a:xfrm>
                    <a:prstGeom prst="rect">
                      <a:avLst/>
                    </a:prstGeom>
                  </pic:spPr>
                </pic:pic>
              </a:graphicData>
            </a:graphic>
          </wp:inline>
        </w:drawing>
      </w:r>
    </w:p>
    <w:p w14:paraId="4E6CA1D8" w14:textId="446B6BF1" w:rsidR="00A77B3E" w:rsidRDefault="00191F56">
      <w:pPr>
        <w:spacing w:line="360" w:lineRule="auto"/>
        <w:jc w:val="both"/>
      </w:pPr>
      <w:r>
        <w:rPr>
          <w:rFonts w:ascii="Book Antiqua" w:eastAsia="Book Antiqua" w:hAnsi="Book Antiqua" w:cs="Book Antiqua"/>
          <w:b/>
          <w:bCs/>
          <w:color w:val="000000"/>
        </w:rPr>
        <w:t>Figure 5</w:t>
      </w:r>
      <w:r w:rsidR="00100D3F">
        <w:rPr>
          <w:rFonts w:ascii="Book Antiqua" w:eastAsia="Book Antiqua" w:hAnsi="Book Antiqua" w:cs="Book Antiqua"/>
          <w:b/>
          <w:bCs/>
          <w:color w:val="000000"/>
        </w:rPr>
        <w:t xml:space="preserve"> </w:t>
      </w:r>
      <w:r>
        <w:rPr>
          <w:rFonts w:ascii="Book Antiqua" w:eastAsia="Book Antiqua" w:hAnsi="Book Antiqua" w:cs="Book Antiqua"/>
          <w:b/>
          <w:bCs/>
          <w:color w:val="000000"/>
        </w:rPr>
        <w:t>Condition after applying the free-skin grafts in locations after debridement of the necrotic tissues.</w:t>
      </w:r>
      <w:r w:rsidRPr="00100D3F">
        <w:rPr>
          <w:rFonts w:ascii="Book Antiqua" w:eastAsia="Book Antiqua" w:hAnsi="Book Antiqua" w:cs="Book Antiqua"/>
          <w:color w:val="000000"/>
        </w:rPr>
        <w:t xml:space="preserve"> On the right thigh, the location of a free-skin graft is visible.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1B7FB" w14:textId="77777777" w:rsidR="00A52655" w:rsidRDefault="00A52655" w:rsidP="00497F4C">
      <w:r>
        <w:separator/>
      </w:r>
    </w:p>
  </w:endnote>
  <w:endnote w:type="continuationSeparator" w:id="0">
    <w:p w14:paraId="466AF2AA" w14:textId="77777777" w:rsidR="00A52655" w:rsidRDefault="00A52655" w:rsidP="0049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93810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E552346" w14:textId="406AD2EA" w:rsidR="00497F4C" w:rsidRPr="00497F4C" w:rsidRDefault="00497F4C" w:rsidP="00497F4C">
            <w:pPr>
              <w:pStyle w:val="Footer"/>
              <w:jc w:val="right"/>
              <w:rPr>
                <w:rFonts w:ascii="Book Antiqua" w:hAnsi="Book Antiqua"/>
                <w:sz w:val="24"/>
                <w:szCs w:val="24"/>
              </w:rPr>
            </w:pPr>
            <w:r w:rsidRPr="00497F4C">
              <w:rPr>
                <w:rFonts w:ascii="Book Antiqua" w:hAnsi="Book Antiqua"/>
                <w:sz w:val="24"/>
                <w:szCs w:val="24"/>
                <w:lang w:val="zh-CN" w:eastAsia="zh-CN"/>
              </w:rPr>
              <w:t xml:space="preserve"> </w:t>
            </w:r>
            <w:r w:rsidRPr="00497F4C">
              <w:rPr>
                <w:rFonts w:ascii="Book Antiqua" w:hAnsi="Book Antiqua"/>
                <w:sz w:val="24"/>
                <w:szCs w:val="24"/>
              </w:rPr>
              <w:fldChar w:fldCharType="begin"/>
            </w:r>
            <w:r w:rsidRPr="00497F4C">
              <w:rPr>
                <w:rFonts w:ascii="Book Antiqua" w:hAnsi="Book Antiqua"/>
                <w:sz w:val="24"/>
                <w:szCs w:val="24"/>
              </w:rPr>
              <w:instrText>PAGE</w:instrText>
            </w:r>
            <w:r w:rsidRPr="00497F4C">
              <w:rPr>
                <w:rFonts w:ascii="Book Antiqua" w:hAnsi="Book Antiqua"/>
                <w:sz w:val="24"/>
                <w:szCs w:val="24"/>
              </w:rPr>
              <w:fldChar w:fldCharType="separate"/>
            </w:r>
            <w:r w:rsidR="00C16BB8">
              <w:rPr>
                <w:rFonts w:ascii="Book Antiqua" w:hAnsi="Book Antiqua"/>
                <w:noProof/>
                <w:sz w:val="24"/>
                <w:szCs w:val="24"/>
              </w:rPr>
              <w:t>1</w:t>
            </w:r>
            <w:r w:rsidRPr="00497F4C">
              <w:rPr>
                <w:rFonts w:ascii="Book Antiqua" w:hAnsi="Book Antiqua"/>
                <w:sz w:val="24"/>
                <w:szCs w:val="24"/>
              </w:rPr>
              <w:fldChar w:fldCharType="end"/>
            </w:r>
            <w:r w:rsidRPr="00497F4C">
              <w:rPr>
                <w:rFonts w:ascii="Book Antiqua" w:hAnsi="Book Antiqua"/>
                <w:sz w:val="24"/>
                <w:szCs w:val="24"/>
                <w:lang w:val="zh-CN" w:eastAsia="zh-CN"/>
              </w:rPr>
              <w:t xml:space="preserve"> / </w:t>
            </w:r>
            <w:r w:rsidRPr="00497F4C">
              <w:rPr>
                <w:rFonts w:ascii="Book Antiqua" w:hAnsi="Book Antiqua"/>
                <w:sz w:val="24"/>
                <w:szCs w:val="24"/>
              </w:rPr>
              <w:fldChar w:fldCharType="begin"/>
            </w:r>
            <w:r w:rsidRPr="00497F4C">
              <w:rPr>
                <w:rFonts w:ascii="Book Antiqua" w:hAnsi="Book Antiqua"/>
                <w:sz w:val="24"/>
                <w:szCs w:val="24"/>
              </w:rPr>
              <w:instrText>NUMPAGES</w:instrText>
            </w:r>
            <w:r w:rsidRPr="00497F4C">
              <w:rPr>
                <w:rFonts w:ascii="Book Antiqua" w:hAnsi="Book Antiqua"/>
                <w:sz w:val="24"/>
                <w:szCs w:val="24"/>
              </w:rPr>
              <w:fldChar w:fldCharType="separate"/>
            </w:r>
            <w:r w:rsidR="00C16BB8">
              <w:rPr>
                <w:rFonts w:ascii="Book Antiqua" w:hAnsi="Book Antiqua"/>
                <w:noProof/>
                <w:sz w:val="24"/>
                <w:szCs w:val="24"/>
              </w:rPr>
              <w:t>18</w:t>
            </w:r>
            <w:r w:rsidRPr="00497F4C">
              <w:rPr>
                <w:rFonts w:ascii="Book Antiqua" w:hAnsi="Book Antiqua"/>
                <w:sz w:val="24"/>
                <w:szCs w:val="24"/>
              </w:rPr>
              <w:fldChar w:fldCharType="end"/>
            </w:r>
          </w:p>
        </w:sdtContent>
      </w:sdt>
    </w:sdtContent>
  </w:sdt>
  <w:p w14:paraId="728E006A" w14:textId="77777777" w:rsidR="00497F4C" w:rsidRPr="00497F4C" w:rsidRDefault="00497F4C" w:rsidP="00497F4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13C8A" w14:textId="77777777" w:rsidR="00A52655" w:rsidRDefault="00A52655" w:rsidP="00497F4C">
      <w:r>
        <w:separator/>
      </w:r>
    </w:p>
  </w:footnote>
  <w:footnote w:type="continuationSeparator" w:id="0">
    <w:p w14:paraId="13ED144F" w14:textId="77777777" w:rsidR="00A52655" w:rsidRDefault="00A52655" w:rsidP="00497F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0D3F"/>
    <w:rsid w:val="00186AF1"/>
    <w:rsid w:val="00191F56"/>
    <w:rsid w:val="0025531C"/>
    <w:rsid w:val="002C26CD"/>
    <w:rsid w:val="003037C8"/>
    <w:rsid w:val="0034675E"/>
    <w:rsid w:val="00373716"/>
    <w:rsid w:val="00497F4C"/>
    <w:rsid w:val="00541D4D"/>
    <w:rsid w:val="005C6827"/>
    <w:rsid w:val="00745933"/>
    <w:rsid w:val="007D4191"/>
    <w:rsid w:val="0089626F"/>
    <w:rsid w:val="00A52655"/>
    <w:rsid w:val="00A77B3E"/>
    <w:rsid w:val="00B70000"/>
    <w:rsid w:val="00BF26D6"/>
    <w:rsid w:val="00C15BE2"/>
    <w:rsid w:val="00C16BB8"/>
    <w:rsid w:val="00CA2A55"/>
    <w:rsid w:val="00D1353B"/>
    <w:rsid w:val="00DF122F"/>
    <w:rsid w:val="00E00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CECFF"/>
  <w15:docId w15:val="{F3531F4F-CBB6-4504-B237-14DD2D77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15BE2"/>
    <w:rPr>
      <w:sz w:val="18"/>
      <w:szCs w:val="18"/>
    </w:rPr>
  </w:style>
  <w:style w:type="character" w:customStyle="1" w:styleId="BalloonTextChar">
    <w:name w:val="Balloon Text Char"/>
    <w:basedOn w:val="DefaultParagraphFont"/>
    <w:link w:val="BalloonText"/>
    <w:rsid w:val="00C15BE2"/>
    <w:rPr>
      <w:sz w:val="18"/>
      <w:szCs w:val="18"/>
    </w:rPr>
  </w:style>
  <w:style w:type="character" w:styleId="CommentReference">
    <w:name w:val="annotation reference"/>
    <w:basedOn w:val="DefaultParagraphFont"/>
    <w:semiHidden/>
    <w:unhideWhenUsed/>
    <w:rsid w:val="00100D3F"/>
    <w:rPr>
      <w:sz w:val="21"/>
      <w:szCs w:val="21"/>
    </w:rPr>
  </w:style>
  <w:style w:type="paragraph" w:styleId="CommentText">
    <w:name w:val="annotation text"/>
    <w:basedOn w:val="Normal"/>
    <w:link w:val="CommentTextChar"/>
    <w:semiHidden/>
    <w:unhideWhenUsed/>
    <w:rsid w:val="00100D3F"/>
  </w:style>
  <w:style w:type="character" w:customStyle="1" w:styleId="CommentTextChar">
    <w:name w:val="Comment Text Char"/>
    <w:basedOn w:val="DefaultParagraphFont"/>
    <w:link w:val="CommentText"/>
    <w:semiHidden/>
    <w:rsid w:val="00100D3F"/>
    <w:rPr>
      <w:sz w:val="24"/>
      <w:szCs w:val="24"/>
    </w:rPr>
  </w:style>
  <w:style w:type="paragraph" w:styleId="CommentSubject">
    <w:name w:val="annotation subject"/>
    <w:basedOn w:val="CommentText"/>
    <w:next w:val="CommentText"/>
    <w:link w:val="CommentSubjectChar"/>
    <w:semiHidden/>
    <w:unhideWhenUsed/>
    <w:rsid w:val="00100D3F"/>
    <w:rPr>
      <w:b/>
      <w:bCs/>
    </w:rPr>
  </w:style>
  <w:style w:type="character" w:customStyle="1" w:styleId="CommentSubjectChar">
    <w:name w:val="Comment Subject Char"/>
    <w:basedOn w:val="CommentTextChar"/>
    <w:link w:val="CommentSubject"/>
    <w:semiHidden/>
    <w:rsid w:val="00100D3F"/>
    <w:rPr>
      <w:b/>
      <w:bCs/>
      <w:sz w:val="24"/>
      <w:szCs w:val="24"/>
    </w:rPr>
  </w:style>
  <w:style w:type="paragraph" w:styleId="Header">
    <w:name w:val="header"/>
    <w:basedOn w:val="Normal"/>
    <w:link w:val="HeaderChar"/>
    <w:unhideWhenUsed/>
    <w:rsid w:val="00497F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97F4C"/>
    <w:rPr>
      <w:sz w:val="18"/>
      <w:szCs w:val="18"/>
    </w:rPr>
  </w:style>
  <w:style w:type="paragraph" w:styleId="Footer">
    <w:name w:val="footer"/>
    <w:basedOn w:val="Normal"/>
    <w:link w:val="FooterChar"/>
    <w:uiPriority w:val="99"/>
    <w:unhideWhenUsed/>
    <w:rsid w:val="00497F4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97F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2705</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2021-01-07T18:17:00Z</dcterms:created>
  <dcterms:modified xsi:type="dcterms:W3CDTF">2021-01-07T18:21:00Z</dcterms:modified>
</cp:coreProperties>
</file>