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Transplantation</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61064</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META-ANALYSIS</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b/>
          <w:color w:val="000000"/>
        </w:rPr>
      </w:pPr>
      <w:bookmarkStart w:id="0" w:name="OLE_LINK19"/>
      <w:bookmarkStart w:id="1" w:name="OLE_LINK72"/>
      <w:bookmarkStart w:id="2" w:name="OLE_LINK20"/>
      <w:r>
        <w:rPr>
          <w:rFonts w:ascii="Book Antiqua" w:hAnsi="Book Antiqua" w:eastAsia="Book Antiqua" w:cs="Book Antiqua"/>
          <w:b/>
          <w:color w:val="000000"/>
        </w:rPr>
        <w:t>Belatacept in renal transplantation in comparison to tacrolimus and molecular understanding of resistance pattern</w:t>
      </w:r>
      <w:r>
        <w:rPr>
          <w:rFonts w:ascii="Book Antiqua" w:hAnsi="Book Antiqua" w:cs="Book Antiqua"/>
          <w:b/>
          <w:color w:val="000000"/>
          <w:lang w:eastAsia="zh-CN"/>
        </w:rPr>
        <w:t xml:space="preserve">: </w:t>
      </w:r>
      <w:r>
        <w:rPr>
          <w:rFonts w:ascii="Book Antiqua" w:hAnsi="Book Antiqua" w:eastAsia="Book Antiqua" w:cs="Book Antiqua"/>
          <w:b/>
          <w:color w:val="000000"/>
        </w:rPr>
        <w:t>Meta-analysis</w:t>
      </w:r>
      <w:r>
        <w:rPr>
          <w:rFonts w:ascii="Book Antiqua" w:hAnsi="Book Antiqua"/>
          <w:b/>
          <w:lang w:eastAsia="zh-CN"/>
        </w:rPr>
        <w:t xml:space="preserve"> and </w:t>
      </w:r>
      <w:r>
        <w:rPr>
          <w:rFonts w:ascii="Book Antiqua" w:hAnsi="Book Antiqua" w:eastAsia="Book Antiqua" w:cs="Book Antiqua"/>
          <w:b/>
          <w:color w:val="000000"/>
        </w:rPr>
        <w:t>systematic review</w:t>
      </w:r>
    </w:p>
    <w:bookmarkEnd w:id="0"/>
    <w:bookmarkEnd w:id="1"/>
    <w:bookmarkEnd w:id="2"/>
    <w:p>
      <w:pPr>
        <w:snapToGrid w:val="0"/>
        <w:spacing w:line="360" w:lineRule="auto"/>
        <w:jc w:val="both"/>
        <w:rPr>
          <w:rFonts w:ascii="Book Antiqua" w:hAnsi="Book Antiqua"/>
          <w:b/>
          <w:lang w:eastAsia="zh-CN"/>
        </w:rPr>
      </w:pPr>
    </w:p>
    <w:p>
      <w:pPr>
        <w:snapToGrid w:val="0"/>
        <w:spacing w:line="360" w:lineRule="auto"/>
        <w:jc w:val="both"/>
        <w:rPr>
          <w:rFonts w:ascii="Book Antiqua" w:hAnsi="Book Antiqua"/>
        </w:rPr>
      </w:pPr>
      <w:r>
        <w:rPr>
          <w:rFonts w:ascii="Book Antiqua" w:hAnsi="Book Antiqua" w:eastAsia="Book Antiqua" w:cs="Book Antiqua"/>
          <w:color w:val="000000"/>
        </w:rPr>
        <w:t xml:space="preserve">Kumar J </w:t>
      </w:r>
      <w:r>
        <w:rPr>
          <w:rFonts w:ascii="Book Antiqua" w:hAnsi="Book Antiqua" w:eastAsia="Book Antiqua" w:cs="Book Antiqua"/>
          <w:i/>
          <w:color w:val="000000"/>
        </w:rPr>
        <w:t>et al</w:t>
      </w:r>
      <w:r>
        <w:rPr>
          <w:rFonts w:ascii="Book Antiqua" w:hAnsi="Book Antiqua" w:eastAsia="Book Antiqua" w:cs="Book Antiqua"/>
          <w:color w:val="000000"/>
        </w:rPr>
        <w:t xml:space="preserve">. </w:t>
      </w:r>
      <w:bookmarkStart w:id="3" w:name="OLE_LINK16"/>
      <w:bookmarkStart w:id="4" w:name="OLE_LINK21"/>
      <w:bookmarkStart w:id="5" w:name="OLE_LINK73"/>
      <w:bookmarkStart w:id="6" w:name="OLE_LINK15"/>
      <w:r>
        <w:rPr>
          <w:rFonts w:ascii="Book Antiqua" w:hAnsi="Book Antiqua" w:eastAsia="Book Antiqua" w:cs="Book Antiqua"/>
          <w:color w:val="000000"/>
        </w:rPr>
        <w:t>Belatacept in renal transplantation</w:t>
      </w:r>
    </w:p>
    <w:bookmarkEnd w:id="3"/>
    <w:bookmarkEnd w:id="4"/>
    <w:bookmarkEnd w:id="5"/>
    <w:bookmarkEnd w:id="6"/>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Jayant Kumar, Isabella Reccia, Francesco Virdis, Mauro Podda, Ajay Kumar Sharma, Ahmed Halawa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Jayant Kumar, Isabella Reccia, </w:t>
      </w:r>
      <w:r>
        <w:rPr>
          <w:rFonts w:ascii="Book Antiqua" w:hAnsi="Book Antiqua" w:eastAsia="Book Antiqua" w:cs="Book Antiqua"/>
          <w:color w:val="000000"/>
        </w:rPr>
        <w:t xml:space="preserve">Department of Cancer and Surgery, Imperial College, London </w:t>
      </w:r>
      <w:r>
        <w:rPr>
          <w:rFonts w:ascii="Book Antiqua" w:hAnsi="Book Antiqua" w:eastAsia="Book Antiqua" w:cs="Book Antiqua"/>
          <w:caps/>
          <w:color w:val="000000"/>
        </w:rPr>
        <w:t>w</w:t>
      </w:r>
      <w:r>
        <w:rPr>
          <w:rFonts w:ascii="Book Antiqua" w:hAnsi="Book Antiqua" w:eastAsia="Book Antiqua" w:cs="Book Antiqua"/>
          <w:color w:val="000000"/>
        </w:rPr>
        <w:t>12 0HS, United Kingdom</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Francesco Virdis, </w:t>
      </w:r>
      <w:r>
        <w:rPr>
          <w:rFonts w:ascii="Book Antiqua" w:hAnsi="Book Antiqua" w:eastAsia="Book Antiqua" w:cs="Book Antiqua"/>
          <w:color w:val="000000"/>
        </w:rPr>
        <w:t xml:space="preserve">Department of Emergency General Surgery, </w:t>
      </w:r>
      <w:bookmarkStart w:id="7" w:name="OLE_LINK1"/>
      <w:bookmarkStart w:id="8" w:name="OLE_LINK2"/>
      <w:r>
        <w:rPr>
          <w:rFonts w:ascii="Book Antiqua" w:hAnsi="Book Antiqua" w:eastAsia="Book Antiqua" w:cs="Book Antiqua"/>
          <w:color w:val="000000"/>
        </w:rPr>
        <w:t>Royal Free Hospital</w:t>
      </w:r>
      <w:bookmarkEnd w:id="7"/>
      <w:bookmarkEnd w:id="8"/>
      <w:r>
        <w:rPr>
          <w:rFonts w:ascii="Book Antiqua" w:hAnsi="Book Antiqua" w:eastAsia="Book Antiqua" w:cs="Book Antiqua"/>
          <w:color w:val="000000"/>
        </w:rPr>
        <w:t>, London NW3 2QG, United Kingdom</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Mauro Podda, </w:t>
      </w:r>
      <w:bookmarkStart w:id="9" w:name="OLE_LINK3"/>
      <w:bookmarkStart w:id="10" w:name="OLE_LINK4"/>
      <w:r>
        <w:rPr>
          <w:rFonts w:ascii="Book Antiqua" w:hAnsi="Book Antiqua" w:eastAsia="Book Antiqua" w:cs="Book Antiqua"/>
          <w:color w:val="000000"/>
        </w:rPr>
        <w:t>Department of Surgery, General, Emergency and Robotic Surgical Unit</w:t>
      </w:r>
      <w:bookmarkEnd w:id="9"/>
      <w:bookmarkEnd w:id="10"/>
      <w:r>
        <w:rPr>
          <w:rFonts w:ascii="Book Antiqua" w:hAnsi="Book Antiqua" w:eastAsia="Book Antiqua" w:cs="Book Antiqua"/>
          <w:color w:val="000000"/>
        </w:rPr>
        <w:t>, San Francesco Hospital, Nuoro 08100, Italy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Ajay Kumar Sharma, </w:t>
      </w:r>
      <w:bookmarkStart w:id="11" w:name="OLE_LINK5"/>
      <w:bookmarkStart w:id="12" w:name="OLE_LINK6"/>
      <w:r>
        <w:rPr>
          <w:rFonts w:ascii="Book Antiqua" w:hAnsi="Book Antiqua" w:eastAsia="Book Antiqua" w:cs="Book Antiqua"/>
          <w:color w:val="000000"/>
        </w:rPr>
        <w:t>Department of Transplantation</w:t>
      </w:r>
      <w:bookmarkEnd w:id="11"/>
      <w:bookmarkEnd w:id="12"/>
      <w:r>
        <w:rPr>
          <w:rFonts w:ascii="Book Antiqua" w:hAnsi="Book Antiqua" w:eastAsia="Book Antiqua" w:cs="Book Antiqua"/>
          <w:color w:val="000000"/>
        </w:rPr>
        <w:t>, Royal Liverpool University Hospital, Liverpool L7 8XP, United Kingdom</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Ahmed Halawa, </w:t>
      </w:r>
      <w:r>
        <w:rPr>
          <w:rFonts w:ascii="Book Antiqua" w:hAnsi="Book Antiqua" w:eastAsia="Book Antiqua" w:cs="Book Antiqua"/>
          <w:color w:val="000000"/>
        </w:rPr>
        <w:t>Department of Surgery, Sheffield Teaching Hospitals, Sheffield S10 2JF, United Kingdom</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bookmarkStart w:id="13" w:name="OLE_LINK23"/>
      <w:bookmarkStart w:id="14" w:name="OLE_LINK22"/>
      <w:r>
        <w:rPr>
          <w:rFonts w:ascii="Book Antiqua" w:hAnsi="Book Antiqua" w:eastAsia="Book Antiqua" w:cs="Book Antiqua"/>
          <w:color w:val="000000"/>
        </w:rPr>
        <w:t>Halawa A and Sharma AK designed the idea of study; Reccia I and Kumar J contributed to literature review and data collection; Kumar J, Reccia I, Podda M, Halawa A, and Sharma AK contributed to manuscript writing and critical revision.</w:t>
      </w:r>
    </w:p>
    <w:bookmarkEnd w:id="13"/>
    <w:bookmarkEnd w:id="14"/>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Jayant Kumar, MD, MSc, PhD, Academic Fellow, Attending Doctor, Senior Research Fellow, </w:t>
      </w:r>
      <w:r>
        <w:rPr>
          <w:rFonts w:ascii="Book Antiqua" w:hAnsi="Book Antiqua" w:eastAsia="Book Antiqua" w:cs="Book Antiqua"/>
          <w:color w:val="000000"/>
        </w:rPr>
        <w:t xml:space="preserve">Department of Cancer and Surgery, Imperial College, DuCane, London </w:t>
      </w:r>
      <w:r>
        <w:rPr>
          <w:rFonts w:ascii="Book Antiqua" w:hAnsi="Book Antiqua" w:eastAsia="Book Antiqua" w:cs="Book Antiqua"/>
          <w:caps/>
          <w:color w:val="000000"/>
        </w:rPr>
        <w:t>w</w:t>
      </w:r>
      <w:r>
        <w:rPr>
          <w:rFonts w:ascii="Book Antiqua" w:hAnsi="Book Antiqua" w:eastAsia="Book Antiqua" w:cs="Book Antiqua"/>
          <w:color w:val="000000"/>
        </w:rPr>
        <w:t>12 0HS, United Kingdom. jkumar@ic.ac.uk</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23, 2020</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December 23, 2020</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February 12, 2021</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March 18, 2021</w:t>
      </w:r>
    </w:p>
    <w:p>
      <w:pPr>
        <w:snapToGrid w:val="0"/>
        <w:spacing w:line="360" w:lineRule="auto"/>
        <w:jc w:val="both"/>
        <w:rPr>
          <w:rFonts w:ascii="Book Antiqua" w:hAnsi="Book Antiqua"/>
        </w:rPr>
        <w:sectPr>
          <w:footerReference r:id="rId3" w:type="default"/>
          <w:type w:val="continuous"/>
          <w:pgSz w:w="12240" w:h="15840"/>
          <w:pgMar w:top="1440" w:right="1800" w:bottom="1440" w:left="1800" w:header="720" w:footer="720" w:gutter="0"/>
          <w:cols w:space="720" w:num="1"/>
          <w:docGrid w:linePitch="360" w:charSpace="0"/>
        </w:sectPr>
      </w:pPr>
    </w:p>
    <w:p>
      <w:pPr>
        <w:snapToGrid w:val="0"/>
        <w:spacing w:line="360" w:lineRule="auto"/>
        <w:jc w:val="both"/>
        <w:rPr>
          <w:rFonts w:ascii="Book Antiqua" w:hAnsi="Book Antiqua"/>
        </w:rPr>
      </w:pPr>
      <w:r>
        <w:rPr>
          <w:rFonts w:ascii="Book Antiqua" w:hAnsi="Book Antiqua" w:eastAsia="Book Antiqua" w:cs="Book Antiqua"/>
          <w:b/>
          <w:color w:val="000000"/>
        </w:rPr>
        <w:br w:type="page"/>
      </w:r>
      <w:r>
        <w:rPr>
          <w:rFonts w:ascii="Book Antiqua" w:hAnsi="Book Antiqua" w:eastAsia="Book Antiqua" w:cs="Book Antiqua"/>
          <w:b/>
          <w:color w:val="000000"/>
        </w:rPr>
        <w:t>Abstract</w:t>
      </w:r>
    </w:p>
    <w:p>
      <w:pPr>
        <w:snapToGrid w:val="0"/>
        <w:spacing w:line="360" w:lineRule="auto"/>
        <w:jc w:val="both"/>
        <w:rPr>
          <w:rFonts w:ascii="Book Antiqua" w:hAnsi="Book Antiqua"/>
        </w:rPr>
      </w:pPr>
      <w:r>
        <w:rPr>
          <w:rFonts w:ascii="Book Antiqua" w:hAnsi="Book Antiqua" w:eastAsia="Book Antiqua" w:cs="Book Antiqua"/>
          <w:color w:val="000000"/>
        </w:rPr>
        <w:t>BACKGROUND</w:t>
      </w:r>
    </w:p>
    <w:p>
      <w:pPr>
        <w:snapToGrid w:val="0"/>
        <w:spacing w:line="360" w:lineRule="auto"/>
        <w:jc w:val="both"/>
        <w:rPr>
          <w:rFonts w:ascii="Book Antiqua" w:hAnsi="Book Antiqua"/>
        </w:rPr>
      </w:pPr>
      <w:bookmarkStart w:id="15" w:name="OLE_LINK28"/>
      <w:bookmarkStart w:id="16" w:name="OLE_LINK29"/>
      <w:r>
        <w:rPr>
          <w:rFonts w:ascii="Book Antiqua" w:hAnsi="Book Antiqua" w:eastAsia="Book Antiqua" w:cs="Book Antiqua"/>
          <w:color w:val="000000"/>
        </w:rPr>
        <w:t>The T-cell costimulation blocking agent belatacept has been identified as a possible substitute for calcineurin inhibitors, however, no consensus has been established against its use over the standard care agent Tacrolimus.</w:t>
      </w:r>
    </w:p>
    <w:bookmarkEnd w:id="15"/>
    <w:bookmarkEnd w:id="16"/>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AIM</w:t>
      </w:r>
    </w:p>
    <w:p>
      <w:pPr>
        <w:snapToGrid w:val="0"/>
        <w:spacing w:line="360" w:lineRule="auto"/>
        <w:jc w:val="both"/>
        <w:rPr>
          <w:rFonts w:ascii="Book Antiqua" w:hAnsi="Book Antiqua"/>
        </w:rPr>
      </w:pPr>
      <w:bookmarkStart w:id="17" w:name="OLE_LINK30"/>
      <w:bookmarkStart w:id="18" w:name="OLE_LINK31"/>
      <w:r>
        <w:rPr>
          <w:rFonts w:ascii="Book Antiqua" w:hAnsi="Book Antiqua" w:eastAsia="Book Antiqua" w:cs="Book Antiqua"/>
          <w:color w:val="000000"/>
        </w:rPr>
        <w:t>To evaluate the effectiveness of belatacept based maintenance immuno</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suppressive regimens in comparison to tacrolimus in renal transplantion.</w:t>
      </w:r>
    </w:p>
    <w:bookmarkEnd w:id="17"/>
    <w:bookmarkEnd w:id="18"/>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METHODS</w:t>
      </w:r>
    </w:p>
    <w:p>
      <w:pPr>
        <w:snapToGrid w:val="0"/>
        <w:spacing w:line="360" w:lineRule="auto"/>
        <w:jc w:val="both"/>
        <w:rPr>
          <w:rFonts w:ascii="Book Antiqua" w:hAnsi="Book Antiqua"/>
        </w:rPr>
      </w:pPr>
      <w:bookmarkStart w:id="19" w:name="OLE_LINK32"/>
      <w:r>
        <w:rPr>
          <w:rFonts w:ascii="Book Antiqua" w:hAnsi="Book Antiqua" w:eastAsia="Book Antiqua" w:cs="Book Antiqua"/>
          <w:color w:val="000000"/>
        </w:rPr>
        <w:t>We did extensive search of all the available literature comparing the role of belatacept to tacrolimus in renal transplant recipients by searching the PubMed, Embase, Cochrane, Crossref, Scopus, clinical trials registry on October 5, 2020. </w:t>
      </w:r>
    </w:p>
    <w:bookmarkEnd w:id="19"/>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RESULTS</w:t>
      </w:r>
    </w:p>
    <w:p>
      <w:pPr>
        <w:snapToGrid w:val="0"/>
        <w:spacing w:line="360" w:lineRule="auto"/>
        <w:jc w:val="both"/>
        <w:rPr>
          <w:rFonts w:ascii="Book Antiqua" w:hAnsi="Book Antiqua"/>
        </w:rPr>
      </w:pPr>
      <w:bookmarkStart w:id="20" w:name="OLE_LINK33"/>
      <w:bookmarkStart w:id="21" w:name="OLE_LINK34"/>
      <w:r>
        <w:rPr>
          <w:rFonts w:ascii="Book Antiqua" w:hAnsi="Book Antiqua" w:eastAsia="Book Antiqua" w:cs="Book Antiqua"/>
          <w:color w:val="000000"/>
        </w:rPr>
        <w:t>The literature search identified four randomized controlled trials (</w:t>
      </w:r>
      <w:r>
        <w:rPr>
          <w:rFonts w:ascii="Book Antiqua" w:hAnsi="Book Antiqua" w:eastAsia="Book Antiqua" w:cs="Book Antiqua"/>
          <w:i/>
          <w:iCs/>
          <w:color w:val="000000"/>
        </w:rPr>
        <w:t>n</w:t>
      </w:r>
      <w:r>
        <w:rPr>
          <w:rFonts w:ascii="Book Antiqua" w:hAnsi="Book Antiqua" w:eastAsia="Book Antiqua" w:cs="Book Antiqua"/>
          <w:color w:val="000000"/>
        </w:rPr>
        <w:t xml:space="preserve"> = 173 participants) comparing belatacept with tacrolimus. There was no significant difference in estimated renal function at 12 mo [mean difference 4.12 mL/min/1.73 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confidence interval (CI): -2.18 to 10.42, </w:t>
      </w:r>
      <w:r>
        <w:rPr>
          <w:rFonts w:ascii="Book Antiqua" w:hAnsi="Book Antiqua" w:eastAsia="Book Antiqua" w:cs="Book Antiqua"/>
          <w:i/>
          <w:iCs/>
          <w:color w:val="000000"/>
        </w:rPr>
        <w:t>P</w:t>
      </w:r>
      <w:r>
        <w:rPr>
          <w:rFonts w:ascii="Book Antiqua" w:hAnsi="Book Antiqua" w:eastAsia="Book Antiqua" w:cs="Book Antiqua"/>
          <w:color w:val="000000"/>
        </w:rPr>
        <w:t xml:space="preserve"> = 0.20]. Further, belatacept group was associated with significant increase in biopsy proven acute rejection [relative risk (RR) = 3.27, CI: 0.88 to 12.11, </w:t>
      </w:r>
      <w:r>
        <w:rPr>
          <w:rFonts w:ascii="Book Antiqua" w:hAnsi="Book Antiqua" w:eastAsia="Book Antiqua" w:cs="Book Antiqua"/>
          <w:i/>
          <w:color w:val="000000"/>
        </w:rPr>
        <w:t>P</w:t>
      </w:r>
      <w:r>
        <w:rPr>
          <w:rFonts w:ascii="Book Antiqua" w:hAnsi="Book Antiqua" w:eastAsia="Book Antiqua" w:cs="Book Antiqua"/>
          <w:color w:val="000000"/>
        </w:rPr>
        <w:t xml:space="preserve"> = 0.08] and worse 12 mo allograft survival (RR = 4.51, CI: 1.23 to 16.58, </w:t>
      </w:r>
      <w:r>
        <w:rPr>
          <w:rFonts w:ascii="Book Antiqua" w:hAnsi="Book Antiqua" w:eastAsia="Book Antiqua" w:cs="Book Antiqua"/>
          <w:i/>
          <w:color w:val="000000"/>
        </w:rPr>
        <w:t>P</w:t>
      </w:r>
      <w:r>
        <w:rPr>
          <w:rFonts w:ascii="Book Antiqua" w:hAnsi="Book Antiqua" w:eastAsia="Book Antiqua" w:cs="Book Antiqua"/>
          <w:color w:val="000000"/>
        </w:rPr>
        <w:t> = 0.02). However, incidence of new onset diabetes mellitus was lower with belatacept at 12 mo (RR = 0.26, CI: 0.07</w:t>
      </w:r>
      <w:r>
        <w:rPr>
          <w:rFonts w:ascii="MS Gothic" w:hAnsi="MS Gothic" w:eastAsia="Book Antiqua" w:cs="MS Gothic"/>
          <w:color w:val="000000"/>
        </w:rPr>
        <w:t> </w:t>
      </w:r>
      <w:r>
        <w:rPr>
          <w:rFonts w:ascii="Book Antiqua" w:hAnsi="Book Antiqua" w:eastAsia="Book Antiqua" w:cs="Book Antiqua"/>
          <w:color w:val="000000"/>
        </w:rPr>
        <w:t xml:space="preserve">to 0.99, </w:t>
      </w:r>
      <w:r>
        <w:rPr>
          <w:rFonts w:ascii="Book Antiqua" w:hAnsi="Book Antiqua" w:eastAsia="Book Antiqua" w:cs="Book Antiqua"/>
          <w:i/>
          <w:iCs/>
          <w:color w:val="000000"/>
        </w:rPr>
        <w:t>P</w:t>
      </w:r>
      <w:r>
        <w:rPr>
          <w:rFonts w:ascii="Book Antiqua" w:hAnsi="Book Antiqua" w:eastAsia="Book Antiqua" w:cs="Book Antiqua"/>
          <w:color w:val="000000"/>
        </w:rPr>
        <w:t xml:space="preserve"> = 0.05).</w:t>
      </w:r>
    </w:p>
    <w:bookmarkEnd w:id="20"/>
    <w:bookmarkEnd w:id="21"/>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CONCLUSION</w:t>
      </w:r>
    </w:p>
    <w:p>
      <w:pPr>
        <w:snapToGrid w:val="0"/>
        <w:spacing w:line="360" w:lineRule="auto"/>
        <w:jc w:val="both"/>
        <w:rPr>
          <w:rFonts w:ascii="Book Antiqua" w:hAnsi="Book Antiqua"/>
        </w:rPr>
      </w:pPr>
      <w:bookmarkStart w:id="22" w:name="OLE_LINK35"/>
      <w:bookmarkStart w:id="23" w:name="OLE_LINK36"/>
      <w:r>
        <w:rPr>
          <w:rFonts w:ascii="Book Antiqua" w:hAnsi="Book Antiqua" w:eastAsia="Book Antiqua" w:cs="Book Antiqua"/>
          <w:color w:val="000000"/>
        </w:rPr>
        <w:t>The evidence reviewed in this meta-analysis suggested that belatacept-based maintenance immunosuppression regimens were associated with an increased risk allograft loss in renal transplant recipients with equivalent renal functioning against standard tacrolimus; however, observed significantly reduced new onset diabetes mellitus after transplantation incidence and lower serum low density lipid profile levels in belatacept group. In addition, the adaptation of belatacept in renal transplantation has been forestalled by increased rates of rejection and resistance owing to development of various effector memory T cells through, parallel differentiation and immunological plasticity.</w:t>
      </w:r>
    </w:p>
    <w:bookmarkEnd w:id="22"/>
    <w:bookmarkEnd w:id="23"/>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bookmarkStart w:id="24" w:name="OLE_LINK24"/>
      <w:bookmarkStart w:id="25" w:name="OLE_LINK25"/>
      <w:r>
        <w:rPr>
          <w:rFonts w:ascii="Book Antiqua" w:hAnsi="Book Antiqua" w:eastAsia="Book Antiqua" w:cs="Book Antiqua"/>
          <w:color w:val="000000"/>
        </w:rPr>
        <w:t>Adverse events; Calcineurin inhibitors; Belatacept; Tacrolimus; Graft failure; Kidney transplantation</w:t>
      </w:r>
    </w:p>
    <w:bookmarkEnd w:id="24"/>
    <w:bookmarkEnd w:id="25"/>
    <w:p>
      <w:pPr>
        <w:snapToGrid w:val="0"/>
        <w:spacing w:line="360" w:lineRule="auto"/>
        <w:jc w:val="both"/>
        <w:rPr>
          <w:rFonts w:ascii="Book Antiqua" w:hAnsi="Book Antiqua"/>
        </w:rPr>
      </w:pPr>
    </w:p>
    <w:p>
      <w:pPr>
        <w:widowControl w:val="0"/>
        <w:spacing w:line="360" w:lineRule="auto"/>
        <w:jc w:val="both"/>
        <w:rPr>
          <w:rFonts w:ascii="Book Antiqua" w:hAnsi="Book Antiqua" w:eastAsia="Book Antiqua" w:cs="Book Antiqua"/>
          <w:color w:val="000000"/>
          <w:kern w:val="2"/>
          <w:sz w:val="21"/>
          <w:szCs w:val="22"/>
          <w:lang w:eastAsia="zh-CN"/>
        </w:rPr>
      </w:pPr>
      <w:r>
        <w:rPr>
          <w:rFonts w:hint="eastAsia" w:ascii="Book Antiqua" w:hAnsi="Book Antiqua" w:eastAsia="Book Antiqua" w:cs="Book Antiqua"/>
          <w:b/>
          <w:color w:val="000000"/>
          <w:kern w:val="2"/>
          <w:sz w:val="21"/>
          <w:szCs w:val="22"/>
          <w:lang w:eastAsia="zh-CN"/>
        </w:rPr>
        <w:t>©</w:t>
      </w:r>
      <w:r>
        <w:rPr>
          <w:rFonts w:ascii="Book Antiqua" w:hAnsi="Book Antiqua" w:eastAsia="Book Antiqua" w:cs="Book Antiqua"/>
          <w:b/>
          <w:color w:val="000000"/>
          <w:kern w:val="2"/>
          <w:sz w:val="21"/>
          <w:szCs w:val="22"/>
          <w:lang w:eastAsia="zh-CN"/>
        </w:rPr>
        <w:t>The</w:t>
      </w:r>
      <w:r>
        <w:rPr>
          <w:rFonts w:ascii="Book Antiqua" w:hAnsi="Book Antiqua" w:eastAsia="Book Antiqua" w:cs="Book Antiqua"/>
          <w:color w:val="000000"/>
          <w:kern w:val="2"/>
          <w:sz w:val="21"/>
          <w:szCs w:val="22"/>
          <w:lang w:eastAsia="zh-CN"/>
        </w:rPr>
        <w:t xml:space="preserve"> </w:t>
      </w:r>
      <w:r>
        <w:rPr>
          <w:rFonts w:ascii="Book Antiqua" w:hAnsi="Book Antiqua" w:eastAsia="Book Antiqua" w:cs="Book Antiqua"/>
          <w:b/>
          <w:color w:val="000000"/>
          <w:kern w:val="2"/>
          <w:sz w:val="21"/>
          <w:szCs w:val="22"/>
          <w:lang w:eastAsia="zh-CN"/>
        </w:rPr>
        <w:t xml:space="preserve">Author(s) 2021. </w:t>
      </w:r>
      <w:r>
        <w:rPr>
          <w:rFonts w:ascii="Book Antiqua" w:hAnsi="Book Antiqua" w:eastAsia="Book Antiqua" w:cs="Book Antiqua"/>
          <w:color w:val="000000"/>
          <w:kern w:val="2"/>
          <w:sz w:val="21"/>
          <w:szCs w:val="22"/>
          <w:lang w:eastAsia="zh-CN"/>
        </w:rPr>
        <w:t xml:space="preserve">Published by Baishideng Publishing Group Inc. All rights reserved. </w:t>
      </w:r>
    </w:p>
    <w:p>
      <w:pPr>
        <w:snapToGrid w:val="0"/>
        <w:spacing w:line="360" w:lineRule="auto"/>
        <w:jc w:val="both"/>
        <w:rPr>
          <w:rFonts w:ascii="Book Antiqua" w:hAnsi="Book Antiqua"/>
        </w:rPr>
      </w:pPr>
    </w:p>
    <w:p>
      <w:pPr>
        <w:snapToGrid w:val="0"/>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Citation</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color w:val="000000"/>
        </w:rPr>
        <w:t>Kumar J, Reccia I, Virdis F, Podda M, Sharma AK, Halawa A. Belatacept in renal transplantation in comparison to tacrolimus and molecular understanding of resistance pattern: Meta-analysis and systematic review.</w:t>
      </w:r>
      <w:r>
        <w:rPr>
          <w:rFonts w:ascii="Book Antiqua" w:hAnsi="Book Antiqua" w:cs="Book Antiqua"/>
          <w:color w:val="000000"/>
          <w:lang w:eastAsia="zh-CN"/>
        </w:rPr>
        <w:t xml:space="preserve"> </w:t>
      </w:r>
      <w:r>
        <w:rPr>
          <w:rFonts w:ascii="Book Antiqua" w:hAnsi="Book Antiqua" w:eastAsia="Book Antiqua" w:cs="Book Antiqua"/>
          <w:i/>
          <w:iCs/>
          <w:color w:val="000000"/>
        </w:rPr>
        <w:t>World J Transplant</w:t>
      </w:r>
      <w:r>
        <w:rPr>
          <w:rFonts w:ascii="Book Antiqua" w:hAnsi="Book Antiqua" w:eastAsia="Book Antiqua" w:cs="Book Antiqua"/>
          <w:color w:val="000000"/>
        </w:rPr>
        <w:t xml:space="preserve"> 2021;</w:t>
      </w:r>
      <w:r>
        <w:rPr>
          <w:rFonts w:hint="eastAsia" w:ascii="Book Antiqua" w:hAnsi="Book Antiqua" w:eastAsia="Book Antiqua" w:cs="Book Antiqua"/>
          <w:color w:val="000000"/>
        </w:rPr>
        <w:t xml:space="preserve"> 11(3): </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0-</w:t>
      </w:r>
      <w:r>
        <w:rPr>
          <w:rFonts w:hint="eastAsia" w:ascii="Book Antiqua" w:hAnsi="Book Antiqua" w:eastAsia="宋体" w:cs="Book Antiqua"/>
          <w:color w:val="000000"/>
          <w:lang w:val="en-US" w:eastAsia="zh-CN"/>
        </w:rPr>
        <w:t>87</w:t>
      </w:r>
    </w:p>
    <w:p>
      <w:pPr>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宋体" w:cs="Book Antiqua"/>
          <w:b/>
          <w:bCs/>
          <w:color w:val="000000"/>
          <w:lang w:val="en-US" w:eastAsia="zh-CN"/>
        </w:rPr>
        <w:t xml:space="preserve"> </w:t>
      </w:r>
      <w:r>
        <w:rPr>
          <w:rFonts w:hint="eastAsia" w:ascii="Book Antiqua" w:hAnsi="Book Antiqua" w:eastAsia="Book Antiqua" w:cs="Book Antiqua"/>
          <w:color w:val="000000"/>
        </w:rPr>
        <w:t>https://www.wjgnet.com/2220-3230/full/v11/i3/</w:t>
      </w:r>
      <w:r>
        <w:rPr>
          <w:rFonts w:hint="eastAsia" w:ascii="Book Antiqua" w:hAnsi="Book Antiqua" w:eastAsia="宋体" w:cs="Book Antiqua"/>
          <w:color w:val="000000"/>
          <w:lang w:val="en-US" w:eastAsia="zh-CN"/>
        </w:rPr>
        <w:t>70</w:t>
      </w:r>
      <w:r>
        <w:rPr>
          <w:rFonts w:hint="eastAsia" w:ascii="Book Antiqua" w:hAnsi="Book Antiqua" w:eastAsia="Book Antiqua" w:cs="Book Antiqua"/>
          <w:color w:val="000000"/>
        </w:rPr>
        <w:t>.htm</w:t>
      </w:r>
    </w:p>
    <w:p>
      <w:pPr>
        <w:snapToGrid w:val="0"/>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 xml:space="preserve">DOI: </w:t>
      </w:r>
      <w:r>
        <w:rPr>
          <w:rFonts w:hint="eastAsia" w:ascii="Book Antiqua" w:hAnsi="Book Antiqua" w:eastAsia="Book Antiqua" w:cs="Book Antiqua"/>
          <w:color w:val="000000"/>
        </w:rPr>
        <w:t>https://dx.doi.org/10.5500/wjt.v11.i3.</w:t>
      </w:r>
      <w:r>
        <w:rPr>
          <w:rFonts w:hint="eastAsia" w:ascii="Book Antiqua" w:hAnsi="Book Antiqua" w:eastAsia="宋体" w:cs="Book Antiqua"/>
          <w:color w:val="000000"/>
          <w:lang w:val="en-US" w:eastAsia="zh-CN"/>
        </w:rPr>
        <w:t>70</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26" w:name="OLE_LINK27"/>
      <w:bookmarkStart w:id="27" w:name="OLE_LINK26"/>
      <w:r>
        <w:rPr>
          <w:rFonts w:ascii="Book Antiqua" w:hAnsi="Book Antiqua" w:eastAsia="Book Antiqua" w:cs="Book Antiqua"/>
          <w:color w:val="000000"/>
        </w:rPr>
        <w:t>This meta-analysis suggested that belatacept-based maintenance immunosuppression regimens were associated with an increased risk allograft loss in renal transplant recipients with equivalent renal functioning against standard tacro-limus.</w:t>
      </w:r>
    </w:p>
    <w:bookmarkEnd w:id="26"/>
    <w:bookmarkEnd w:id="27"/>
    <w:p>
      <w:pPr>
        <w:snapToGrid w:val="0"/>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napToGrid w:val="0"/>
        <w:spacing w:line="360" w:lineRule="auto"/>
        <w:jc w:val="both"/>
        <w:rPr>
          <w:rFonts w:ascii="Book Antiqua" w:hAnsi="Book Antiqua"/>
        </w:rPr>
      </w:pPr>
      <w:bookmarkStart w:id="28" w:name="OLE_LINK38"/>
      <w:bookmarkStart w:id="29" w:name="OLE_LINK37"/>
      <w:r>
        <w:rPr>
          <w:rFonts w:ascii="Book Antiqua" w:hAnsi="Book Antiqua" w:eastAsia="Book Antiqua" w:cs="Book Antiqua"/>
          <w:color w:val="000000"/>
        </w:rPr>
        <w:t>The success immunosuppression in kidney transplantation has added a significant number of productive years to the life of chronic kidney disease patients</w:t>
      </w:r>
      <w:r>
        <w:rPr>
          <w:rFonts w:ascii="Book Antiqua" w:hAnsi="Book Antiqua" w:eastAsia="Book Antiqua" w:cs="Book Antiqua"/>
          <w:color w:val="000000"/>
          <w:vertAlign w:val="superscript"/>
        </w:rPr>
        <w:t>[1]</w:t>
      </w:r>
      <w:r>
        <w:rPr>
          <w:rFonts w:ascii="Book Antiqua" w:hAnsi="Book Antiqua" w:eastAsia="Book Antiqua" w:cs="Book Antiqua"/>
          <w:color w:val="000000"/>
        </w:rPr>
        <w:t>. The calcineurin inhibitors (CNIs), cyclosporine A and tacrolimus (Tac) were introduced in clinical practice in 1980’s and form the cornerstone of immunosuppressive therapy in renal transplant recipients. Globally most of the kidney transplant recipients have been initially get treated with a calcineurin inhibitor (usually tacrolimus), an antimetabolite (preferentially mycophenolate), and steroids plus in many instances require an additional agent of induction as basiliximab or thymoglobulin. Various studies including randomized controlled trials (RCT) and meta-analysis reported that these immunosuppressive regimens have been associated with more than 90% one-year graft survival whilst extending a rejection rate of below 15%-20%</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However, the superlative results of short-term allograft survival have not been maintained for long owing to renal and non-renal toxicities of these drugs which produce slow, steady decline in renal functioning</w:t>
      </w:r>
      <w:r>
        <w:rPr>
          <w:rFonts w:ascii="Book Antiqua" w:hAnsi="Book Antiqua" w:eastAsia="Book Antiqua" w:cs="Book Antiqua"/>
          <w:color w:val="000000"/>
          <w:vertAlign w:val="superscript"/>
        </w:rPr>
        <w:t>[5]</w:t>
      </w:r>
      <w:r>
        <w:rPr>
          <w:rFonts w:ascii="Book Antiqua" w:hAnsi="Book Antiqua" w:eastAsia="Book Antiqua" w:cs="Book Antiqua"/>
          <w:color w:val="000000"/>
        </w:rPr>
        <w:t>. The non-renal toxicities as cardiovascular adverse events and malignancies are considered to be the most important determinants of death with functioning graft in renal transplant recipients</w:t>
      </w:r>
      <w:r>
        <w:rPr>
          <w:rFonts w:ascii="Book Antiqua" w:hAnsi="Book Antiqua" w:eastAsia="Book Antiqua" w:cs="Book Antiqua"/>
          <w:color w:val="000000"/>
          <w:vertAlign w:val="superscript"/>
        </w:rPr>
        <w:t>[6]</w:t>
      </w:r>
      <w:r>
        <w:rPr>
          <w:rFonts w:ascii="Book Antiqua" w:hAnsi="Book Antiqua" w:eastAsia="Book Antiqua" w:cs="Book Antiqua"/>
          <w:color w:val="000000"/>
        </w:rPr>
        <w:t>. In addition, CNIs have been associated with development of various cardiovascular risk factors such as hyperlipidemia, hypertension, and new onset diabetes mellitus after transplantation (NODAT)</w:t>
      </w:r>
      <w:r>
        <w:rPr>
          <w:rFonts w:ascii="Book Antiqua" w:hAnsi="Book Antiqua" w:eastAsia="Book Antiqua" w:cs="Book Antiqua"/>
          <w:color w:val="000000"/>
          <w:vertAlign w:val="superscript"/>
        </w:rPr>
        <w:t>[7,8]</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the given circumstances, it is important to note, that, CNI induced nephrotoxicity as a consequence to interstitial fibrosis and tubular atrophy represents a major obstacle to the long-term success of the renal transplant. The pathophysiology behind CNI induced nephrotoxicity involves increased production of vasoconstrictors, </w:t>
      </w:r>
      <w:r>
        <w:rPr>
          <w:rFonts w:ascii="Book Antiqua" w:hAnsi="Book Antiqua" w:eastAsia="Book Antiqua" w:cs="Book Antiqua"/>
          <w:i/>
          <w:iCs/>
          <w:color w:val="000000"/>
        </w:rPr>
        <w:t>e.g.</w:t>
      </w:r>
      <w:r>
        <w:rPr>
          <w:rFonts w:ascii="Book Antiqua" w:hAnsi="Book Antiqua" w:eastAsia="Book Antiqua" w:cs="Book Antiqua"/>
          <w:iCs/>
          <w:color w:val="000000"/>
        </w:rPr>
        <w:t>,</w:t>
      </w:r>
      <w:r>
        <w:rPr>
          <w:rFonts w:ascii="Book Antiqua" w:hAnsi="Book Antiqua" w:eastAsia="Book Antiqua" w:cs="Book Antiqua"/>
          <w:color w:val="000000"/>
        </w:rPr>
        <w:t xml:space="preserve"> thromboxane and endothelin, with limited secretion of the vasodilators, such as nitric oxide, prostaglandin E2, and prostacyclin. The long-term graft failure has been observed in 96.8% of allograft biopsies</w:t>
      </w:r>
      <w:r>
        <w:rPr>
          <w:rFonts w:ascii="Book Antiqua" w:hAnsi="Book Antiqua" w:eastAsia="Book Antiqua" w:cs="Book Antiqua"/>
          <w:color w:val="000000"/>
          <w:vertAlign w:val="superscript"/>
        </w:rPr>
        <w:t>[9,10]</w:t>
      </w:r>
      <w:r>
        <w:rPr>
          <w:rFonts w:ascii="Book Antiqua" w:hAnsi="Book Antiqua" w:eastAsia="Book Antiqua" w:cs="Book Antiqua"/>
          <w:color w:val="000000"/>
        </w:rPr>
        <w:t>. In addition, the biggest challenge with immunosuppression therapy is to maintain the balance of immunosuppression in order to avert any rejection episode, whilst keeping the check on the toxicities. Studies have shown that a reduction or withdrawal from a CNI can significantly improve renal function</w:t>
      </w:r>
      <w:r>
        <w:rPr>
          <w:rFonts w:ascii="Book Antiqua" w:hAnsi="Book Antiqua" w:eastAsia="Book Antiqua" w:cs="Book Antiqua"/>
          <w:color w:val="000000"/>
          <w:vertAlign w:val="superscript"/>
        </w:rPr>
        <w:t>[11-14]</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In last decade, T-cell costimulation blocking agent belatacept has been identified as possible substitute to CNI therapy and obtained United States Food and Drug Administration approval in 2011 for the prevention of rejection in kidney transplant recipients</w:t>
      </w:r>
      <w:r>
        <w:rPr>
          <w:rFonts w:ascii="Book Antiqua" w:hAnsi="Book Antiqua" w:eastAsia="Book Antiqua" w:cs="Book Antiqua"/>
          <w:color w:val="000000"/>
          <w:vertAlign w:val="superscript"/>
        </w:rPr>
        <w:t>[15-18]</w:t>
      </w:r>
      <w:r>
        <w:rPr>
          <w:rFonts w:ascii="Book Antiqua" w:hAnsi="Book Antiqua" w:eastAsia="Book Antiqua" w:cs="Book Antiqua"/>
          <w:color w:val="000000"/>
        </w:rPr>
        <w:t>. Belatacept is a human fusion protein, which selectively binds to CD80 and CD86 with higher affinity than CD28. Thus blocks the interaction between CD86-CD28, hence, inhibits the complete activation of T-cells and promotes anergy and apoptosis</w:t>
      </w:r>
      <w:r>
        <w:rPr>
          <w:rFonts w:ascii="Book Antiqua" w:hAnsi="Book Antiqua" w:eastAsia="Book Antiqua" w:cs="Book Antiqua"/>
          <w:color w:val="000000"/>
          <w:vertAlign w:val="superscript"/>
        </w:rPr>
        <w:t>[19,20]</w:t>
      </w:r>
      <w:r>
        <w:rPr>
          <w:rFonts w:ascii="Book Antiqua" w:hAnsi="Book Antiqua" w:eastAsia="Book Antiqua" w:cs="Book Antiqua"/>
          <w:color w:val="000000"/>
        </w:rPr>
        <w:t> (Figure 1). Additional studies have demonstrated that costimulation blockade modulates T cell mediated immune processes which ought to abridge the dependence on the traditional maintenance immunosuppressive drugs</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These distinct immunological properties and limited nephrotoxic potential of belatacept have prevailed clinicians to use them as a surrogate to CNIs; cyclosporine A and Tac</w:t>
      </w:r>
      <w:r>
        <w:rPr>
          <w:rFonts w:ascii="Book Antiqua" w:hAnsi="Book Antiqua" w:eastAsia="Book Antiqua" w:cs="Book Antiqua"/>
          <w:color w:val="000000"/>
          <w:vertAlign w:val="superscript"/>
        </w:rPr>
        <w:t>[22,23]</w:t>
      </w:r>
      <w:r>
        <w:rPr>
          <w:rFonts w:ascii="Book Antiqua" w:hAnsi="Book Antiqua" w:eastAsia="Book Antiqua" w:cs="Book Antiqua"/>
          <w:color w:val="000000"/>
        </w:rPr>
        <w:t xml:space="preserve">. Given these findings, clinical trials in humans were undertaken to investigate the possibilities of belatacept as an adjunct to CNI based regimens. A recent, meta-analysis conducted by Talawila </w:t>
      </w:r>
      <w:r>
        <w:rPr>
          <w:rFonts w:ascii="Book Antiqua" w:hAnsi="Book Antiqua" w:eastAsia="Book Antiqua" w:cs="Book Antiqua"/>
          <w:i/>
          <w:iCs/>
          <w:color w:val="000000"/>
        </w:rPr>
        <w:t>et al</w:t>
      </w:r>
      <w:r>
        <w:rPr>
          <w:rFonts w:ascii="Book Antiqua" w:hAnsi="Book Antiqua" w:eastAsia="Book Antiqua" w:cs="Book Antiqua"/>
          <w:iCs/>
          <w:color w:val="000000"/>
          <w:vertAlign w:val="superscript"/>
        </w:rPr>
        <w:t>[24]</w:t>
      </w:r>
      <w:r>
        <w:rPr>
          <w:rFonts w:ascii="Book Antiqua" w:hAnsi="Book Antiqua" w:eastAsia="Book Antiqua" w:cs="Book Antiqua"/>
          <w:color w:val="000000"/>
        </w:rPr>
        <w:t>, included five trials to better elucidate the usefulness of belatacept in juxtaposition to cyclosporine. The group outlined the potential benefit for belatacept by reducing the risk of CNI toxicity, especially renal function, without any increased evidence of acute rejection at 12 mo.</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Indeed, most of the kidney transplant recipients approximately 90% in the United States have been initially managed with a calcineurin inhibitor of which Tac is primarily used agent in 92% whilst cyclosporine is alternative option in 2%. The primary reason behind preferring Tac over cyclosporine includes decreased acute rejection rates, better tolerability, relatively lower requirement of mycophenolate mofetil (MMF)</w:t>
      </w:r>
      <w:r>
        <w:rPr>
          <w:rFonts w:ascii="Book Antiqua" w:hAnsi="Book Antiqua" w:eastAsia="Book Antiqua" w:cs="Book Antiqua"/>
          <w:color w:val="000000"/>
          <w:vertAlign w:val="superscript"/>
        </w:rPr>
        <w:t>[3,4,25-27]</w:t>
      </w:r>
      <w:r>
        <w:rPr>
          <w:rFonts w:ascii="Book Antiqua" w:hAnsi="Book Antiqua" w:eastAsia="Book Antiqua" w:cs="Book Antiqua"/>
          <w:color w:val="000000"/>
        </w:rPr>
        <w:t xml:space="preserve">. A meta-analysis conducted by Webster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included 30 studies (4102 patients) comparing tacrolimus and cyclosporine, demonstrated that tacrolimus significantly lowered the risk of graft loss following six months of renal trans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plantation [relative risk (RR): 0.56, 95% confidence interval (CI): 0.36-0.86]. Further, tacrolimus continued to favour allograft loss and reported 1-year, 2-year and 3-years graft loss of RR: 0.77 (CI: 0.58-1.02), RR: 0.74 (CI: 0.46-1.21) and RR: 0.71 (CI: 0.52-0.96) respectively. Moreover, tacrolimus also decreased the risk of acute rejection at one year (RR: 0.66, 95%CI: 0.6-0.79).</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However, it was very unfortunate that till 2016 only one prospective study had been conducted to assess the usefulness of </w:t>
      </w:r>
      <w:r>
        <w:rPr>
          <w:rFonts w:ascii="Book Antiqua" w:hAnsi="Book Antiqua" w:eastAsia="Book Antiqua" w:cs="Book Antiqua"/>
          <w:i/>
          <w:color w:val="000000"/>
        </w:rPr>
        <w:t>de novo</w:t>
      </w:r>
      <w:r>
        <w:rPr>
          <w:rFonts w:ascii="Book Antiqua" w:hAnsi="Book Antiqua" w:eastAsia="Book Antiqua" w:cs="Book Antiqua"/>
          <w:color w:val="000000"/>
        </w:rPr>
        <w:t xml:space="preserve"> belatacept over Tac. However, to bridge this lack of evidence Muduma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performed an “indirect treatment comparison” of belatacept to Tac. Here, they simultaneously conducted two consecutive meta-analyses comparing Tac to cyclosporine and cyclosporine to belatacept respectively and then compared the results of these analyses with each other to generate a direct comparison between Tac to belatacept. However, the review failed to find any conclusive evidence of difference towards the beneficence of belatacept as primary maintenance immunosuppressive agent in place of Tac.</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Despite the availability of enormous literature on the applicability of belatacept in renal transplantation, intriguingly many questions are yet to be answered such as what is the true potential of this drug in current practice of renal transplantation with the principle of primum non nocere? Hence, the present study aimed to systematically review and where possible meta-analyze the available data on the clinical effectiveness of </w:t>
      </w:r>
      <w:r>
        <w:rPr>
          <w:rFonts w:ascii="Book Antiqua" w:hAnsi="Book Antiqua" w:eastAsia="Book Antiqua" w:cs="Book Antiqua"/>
          <w:i/>
          <w:color w:val="000000"/>
        </w:rPr>
        <w:t>de novo</w:t>
      </w:r>
      <w:r>
        <w:rPr>
          <w:rFonts w:ascii="Book Antiqua" w:hAnsi="Book Antiqua" w:eastAsia="Book Antiqua" w:cs="Book Antiqua"/>
          <w:color w:val="000000"/>
        </w:rPr>
        <w:t xml:space="preserve"> belatacept as an alternative to Tac in patients undergoing renal transplantation and further highlighted the immunological basis for the development of belatacept-resistant rejection (BRR).</w:t>
      </w:r>
    </w:p>
    <w:bookmarkEnd w:id="28"/>
    <w:bookmarkEnd w:id="29"/>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napToGrid w:val="0"/>
        <w:spacing w:line="360" w:lineRule="auto"/>
        <w:jc w:val="both"/>
        <w:rPr>
          <w:rFonts w:ascii="Book Antiqua" w:hAnsi="Book Antiqua"/>
        </w:rPr>
      </w:pPr>
      <w:bookmarkStart w:id="30" w:name="OLE_LINK39"/>
      <w:bookmarkStart w:id="31" w:name="OLE_LINK40"/>
      <w:r>
        <w:rPr>
          <w:rFonts w:ascii="Book Antiqua" w:hAnsi="Book Antiqua" w:eastAsia="Book Antiqua" w:cs="Book Antiqua"/>
          <w:color w:val="000000"/>
        </w:rPr>
        <w:t>The present meta-analysis was conducted following completion of registration (CRD42018086032) in PROSPERO an international database of prospectively registered systematic reviews. A detailed literature search was made on National Library of Medicine Database (PubMed), Embase, Cochrane, Crossref, Scopus databases, clinical trial registries on October 5, 2020 to determine the immunosuppressive role of belatacept as an alternative to Tac. The search covered the period 2005 (the year of the first reported use of belatacept) to October 5, 2020</w:t>
      </w:r>
      <w:r>
        <w:rPr>
          <w:rFonts w:ascii="Book Antiqua" w:hAnsi="Book Antiqua" w:eastAsia="Book Antiqua" w:cs="Book Antiqua"/>
          <w:color w:val="000000"/>
          <w:vertAlign w:val="superscript"/>
        </w:rPr>
        <w:t>[17,29]</w:t>
      </w:r>
      <w:r>
        <w:rPr>
          <w:rFonts w:ascii="Book Antiqua" w:hAnsi="Book Antiqua" w:eastAsia="Book Antiqua" w:cs="Book Antiqua"/>
          <w:color w:val="000000"/>
        </w:rPr>
        <w:t>. The search strategy designed according to the guidelines mentioned in the Cochrane Handbook for Systematic Reviews of Interventions and reported as per the guidelines proposed by Meta-analysis of Observational Studies in Epidemiology. The medical subject headings terms and free text words were searched in various permutations and combinations: “Adverse events”, “Calcineurin Inhibitors”, “Tacrolimus”, “Belatacept”, “Graft Rejection”, “Graft Survival”, “Kidney Transplantation”, to complete the analysis. In addition, a manual search was conducted for conference abstracts, bibliographies and citations list of the relevant articles were examined for additional studies.</w:t>
      </w:r>
    </w:p>
    <w:p>
      <w:pPr>
        <w:snapToGrid w:val="0"/>
        <w:spacing w:line="360" w:lineRule="auto"/>
        <w:jc w:val="both"/>
        <w:rPr>
          <w:rFonts w:ascii="Book Antiqua" w:hAnsi="Book Antiqua"/>
        </w:rPr>
      </w:pPr>
    </w:p>
    <w:p>
      <w:pPr>
        <w:snapToGrid w:val="0"/>
        <w:spacing w:line="360" w:lineRule="auto"/>
        <w:jc w:val="both"/>
        <w:rPr>
          <w:rFonts w:ascii="Book Antiqua" w:hAnsi="Book Antiqua"/>
          <w:b/>
          <w:i/>
        </w:rPr>
      </w:pPr>
      <w:r>
        <w:rPr>
          <w:rFonts w:ascii="Book Antiqua" w:hAnsi="Book Antiqua" w:eastAsia="Book Antiqua" w:cs="Book Antiqua"/>
          <w:b/>
          <w:i/>
          <w:color w:val="000000"/>
          <w:u w:color="000000"/>
        </w:rPr>
        <w:t>Inclusion criteria</w:t>
      </w:r>
    </w:p>
    <w:p>
      <w:pPr>
        <w:snapToGrid w:val="0"/>
        <w:spacing w:line="360" w:lineRule="auto"/>
        <w:jc w:val="both"/>
        <w:rPr>
          <w:rFonts w:ascii="Book Antiqua" w:hAnsi="Book Antiqua"/>
        </w:rPr>
      </w:pPr>
      <w:r>
        <w:rPr>
          <w:rFonts w:ascii="Book Antiqua" w:hAnsi="Book Antiqua" w:eastAsia="Book Antiqua" w:cs="Book Antiqua"/>
          <w:color w:val="000000"/>
        </w:rPr>
        <w:t xml:space="preserve">Only prospectively, systematically and quantitatively done RCT, comparing </w:t>
      </w:r>
      <w:r>
        <w:rPr>
          <w:rFonts w:ascii="Book Antiqua" w:hAnsi="Book Antiqua" w:eastAsia="Book Antiqua" w:cs="Book Antiqua"/>
          <w:i/>
          <w:color w:val="000000"/>
        </w:rPr>
        <w:t>de novo</w:t>
      </w:r>
      <w:r>
        <w:rPr>
          <w:rFonts w:ascii="Book Antiqua" w:hAnsi="Book Antiqua" w:eastAsia="Book Antiqua" w:cs="Book Antiqua"/>
          <w:color w:val="000000"/>
        </w:rPr>
        <w:t xml:space="preserve"> belatacept with Tac in both living and/or deceased kidney transplant recipient were included. All other studies or publications types as retrospective studies, editorials, reviews, posters and letters were excluded. The primary outcome of interest was renal function, estimated glomerular filtration rate, and secondary outcomes were biopsy proven acute rejection (BPAR), patient and graft survival, NODAT, blood pressure, hyperlipidaemia, CMV viremia, and polyomavirus infection (Table 1). </w:t>
      </w:r>
    </w:p>
    <w:p>
      <w:pPr>
        <w:snapToGrid w:val="0"/>
        <w:spacing w:line="360" w:lineRule="auto"/>
        <w:jc w:val="both"/>
        <w:rPr>
          <w:rFonts w:ascii="Book Antiqua" w:hAnsi="Book Antiqua"/>
        </w:rPr>
      </w:pPr>
    </w:p>
    <w:p>
      <w:pPr>
        <w:snapToGrid w:val="0"/>
        <w:spacing w:line="360" w:lineRule="auto"/>
        <w:jc w:val="both"/>
        <w:rPr>
          <w:rFonts w:ascii="Book Antiqua" w:hAnsi="Book Antiqua"/>
          <w:b/>
          <w:i/>
        </w:rPr>
      </w:pPr>
      <w:r>
        <w:rPr>
          <w:rFonts w:ascii="Book Antiqua" w:hAnsi="Book Antiqua" w:eastAsia="Book Antiqua" w:cs="Book Antiqua"/>
          <w:b/>
          <w:i/>
          <w:color w:val="000000"/>
          <w:u w:color="000000"/>
        </w:rPr>
        <w:t>Data extraction</w:t>
      </w:r>
    </w:p>
    <w:p>
      <w:pPr>
        <w:snapToGrid w:val="0"/>
        <w:spacing w:line="360" w:lineRule="auto"/>
        <w:jc w:val="both"/>
        <w:rPr>
          <w:rFonts w:ascii="Book Antiqua" w:hAnsi="Book Antiqua"/>
        </w:rPr>
      </w:pPr>
      <w:r>
        <w:rPr>
          <w:rFonts w:ascii="Book Antiqua" w:hAnsi="Book Antiqua" w:eastAsia="Book Antiqua" w:cs="Book Antiqua"/>
          <w:color w:val="000000"/>
        </w:rPr>
        <w:t xml:space="preserve">Two separate physician reviewers (Kumar K and Reccia I) employed a two-stage method to conduct study screening independently. At the first stage, titles and abstracts were scrutinized for excluding obviously ineligible studies. At the second stage, the full texts were read carefully for further excluding any ineligible studies. Disagreements were resolved </w:t>
      </w:r>
      <w:r>
        <w:rPr>
          <w:rFonts w:ascii="Book Antiqua" w:hAnsi="Book Antiqua" w:eastAsia="Book Antiqua" w:cs="Book Antiqua"/>
          <w:i/>
          <w:iCs/>
          <w:color w:val="000000"/>
        </w:rPr>
        <w:t>via</w:t>
      </w:r>
      <w:r>
        <w:rPr>
          <w:rFonts w:ascii="Book Antiqua" w:hAnsi="Book Antiqua" w:eastAsia="Book Antiqua" w:cs="Book Antiqua"/>
          <w:color w:val="000000"/>
        </w:rPr>
        <w:t xml:space="preserve"> consensus, and matters for which consensus could not be made were settled after much deliberation with senior author. The Preferred Reporting Items for Systematic Reviews and Meta-analyses guidelines were used here to complete search strategy and study selection (Figure 2 and 3).</w:t>
      </w:r>
    </w:p>
    <w:p>
      <w:pPr>
        <w:snapToGrid w:val="0"/>
        <w:spacing w:line="360" w:lineRule="auto"/>
        <w:jc w:val="both"/>
        <w:rPr>
          <w:rFonts w:ascii="Book Antiqua" w:hAnsi="Book Antiqua"/>
        </w:rPr>
      </w:pPr>
    </w:p>
    <w:p>
      <w:pPr>
        <w:snapToGrid w:val="0"/>
        <w:spacing w:line="360" w:lineRule="auto"/>
        <w:jc w:val="both"/>
        <w:rPr>
          <w:rFonts w:ascii="Book Antiqua" w:hAnsi="Book Antiqua"/>
          <w:b/>
          <w:i/>
        </w:rPr>
      </w:pPr>
      <w:r>
        <w:rPr>
          <w:rFonts w:ascii="Book Antiqua" w:hAnsi="Book Antiqua" w:eastAsia="Book Antiqua" w:cs="Book Antiqua"/>
          <w:b/>
          <w:i/>
          <w:color w:val="000000"/>
          <w:u w:color="000000"/>
        </w:rPr>
        <w:t>Statistical analysis</w:t>
      </w:r>
    </w:p>
    <w:p>
      <w:pPr>
        <w:snapToGrid w:val="0"/>
        <w:spacing w:line="360" w:lineRule="auto"/>
        <w:jc w:val="both"/>
        <w:rPr>
          <w:rFonts w:ascii="Book Antiqua" w:hAnsi="Book Antiqua"/>
        </w:rPr>
      </w:pPr>
      <w:r>
        <w:rPr>
          <w:rFonts w:ascii="Book Antiqua" w:hAnsi="Book Antiqua" w:eastAsia="Book Antiqua" w:cs="Book Antiqua"/>
          <w:color w:val="000000"/>
        </w:rPr>
        <w:t>The internal validity of pre-specified inclusion and exclusion criteria of the included studies were determined by independently by the authors using the Cochrane Risk of Bias tool. Each study was thoroughly analyzed to evaluate the above mentioned parameters (Table 2). </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Cochrane Collaboration, Review Manager (RevMan) Version 5.3 can analyze minimum of two trials and available continuous and dichotomous trial data. The data formulated as RR for dichotomous data, mean difference for continuous outcomes including 95%CI, heterogeneity between the trials compared and </w:t>
      </w:r>
      <w:r>
        <w:rPr>
          <w:rFonts w:ascii="Book Antiqua" w:hAnsi="Book Antiqua" w:eastAsia="Book Antiqua" w:cs="Book Antiqua"/>
          <w:i/>
          <w:color w:val="000000"/>
        </w:rPr>
        <w:t>I</w:t>
      </w:r>
      <w:r>
        <w:rPr>
          <w:rFonts w:ascii="Book Antiqua" w:hAnsi="Book Antiqua" w:eastAsia="Book Antiqua" w:cs="Book Antiqua"/>
          <w:color w:val="000000"/>
          <w:vertAlign w:val="superscript"/>
        </w:rPr>
        <w:t>2 </w:t>
      </w:r>
      <w:r>
        <w:rPr>
          <w:rFonts w:ascii="Book Antiqua" w:hAnsi="Book Antiqua" w:eastAsia="Book Antiqua" w:cs="Book Antiqua"/>
          <w:color w:val="000000"/>
        </w:rPr>
        <w:t xml:space="preserve">statistic of more than 30% determined as significant. </w:t>
      </w:r>
      <w:r>
        <w:rPr>
          <w:rFonts w:ascii="Book Antiqua" w:hAnsi="Book Antiqua" w:eastAsia="Book Antiqua" w:cs="Book Antiqua"/>
          <w:i/>
          <w:color w:val="000000"/>
        </w:rPr>
        <w:t>I</w:t>
      </w:r>
      <w:r>
        <w:rPr>
          <w:rFonts w:ascii="Book Antiqua" w:hAnsi="Book Antiqua" w:eastAsia="Book Antiqua" w:cs="Book Antiqua"/>
          <w:color w:val="000000"/>
          <w:vertAlign w:val="superscript"/>
        </w:rPr>
        <w:t>2 </w:t>
      </w:r>
      <w:r>
        <w:rPr>
          <w:rFonts w:ascii="Book Antiqua" w:hAnsi="Book Antiqua" w:eastAsia="Book Antiqua" w:cs="Book Antiqua"/>
          <w:color w:val="000000"/>
        </w:rPr>
        <w:t>statistic of more than 30% was determined to be significant. In the stance of significant heterogeneity, the random effects model assessment was used following the evaluation of forest plot while fixed-effect model was applied in the situation of low heterogeneity. In perspective of significant heterogeneity, the random effects model assessment was done following the evaluation of forest plot of involved trials</w:t>
      </w:r>
      <w:r>
        <w:rPr>
          <w:rFonts w:ascii="Book Antiqua" w:hAnsi="Book Antiqua" w:eastAsia="Book Antiqua" w:cs="Book Antiqua"/>
          <w:color w:val="000000"/>
          <w:vertAlign w:val="superscript"/>
        </w:rPr>
        <w:t>[30,31]</w:t>
      </w:r>
      <w:r>
        <w:rPr>
          <w:rFonts w:ascii="Book Antiqua" w:hAnsi="Book Antiqua" w:eastAsia="Book Antiqua" w:cs="Book Antiqua"/>
          <w:color w:val="000000"/>
        </w:rPr>
        <w:t>. Publication bias formally assessed through funnel plots but that requires at least 10 trials unfortunately present meta-analysis involved only four trials, so, we couldn’t assess publication bias</w:t>
      </w:r>
      <w:r>
        <w:rPr>
          <w:rFonts w:ascii="Book Antiqua" w:hAnsi="Book Antiqua" w:eastAsia="Book Antiqua" w:cs="Book Antiqua"/>
          <w:color w:val="000000"/>
          <w:vertAlign w:val="superscript"/>
        </w:rPr>
        <w:t>[32]</w:t>
      </w:r>
      <w:r>
        <w:rPr>
          <w:rFonts w:ascii="Book Antiqua" w:hAnsi="Book Antiqua" w:eastAsia="Book Antiqua" w:cs="Book Antiqua"/>
          <w:color w:val="000000"/>
        </w:rPr>
        <w:t>.</w:t>
      </w:r>
    </w:p>
    <w:bookmarkEnd w:id="30"/>
    <w:bookmarkEnd w:id="31"/>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RESULTS</w:t>
      </w:r>
    </w:p>
    <w:p>
      <w:pPr>
        <w:snapToGrid w:val="0"/>
        <w:spacing w:line="360" w:lineRule="auto"/>
        <w:jc w:val="both"/>
        <w:rPr>
          <w:rFonts w:ascii="Book Antiqua" w:hAnsi="Book Antiqua"/>
        </w:rPr>
      </w:pPr>
      <w:bookmarkStart w:id="32" w:name="OLE_LINK41"/>
      <w:bookmarkStart w:id="33" w:name="OLE_LINK42"/>
      <w:bookmarkStart w:id="34" w:name="OLE_LINK69"/>
      <w:bookmarkStart w:id="35" w:name="OLE_LINK68"/>
      <w:r>
        <w:rPr>
          <w:rFonts w:ascii="Book Antiqua" w:hAnsi="Book Antiqua" w:eastAsia="Book Antiqua" w:cs="Book Antiqua"/>
          <w:color w:val="000000"/>
        </w:rPr>
        <w:t>Our literature searches yielded a total of 158 manuscripts. After careful evaluation, 154 articles were excluded based on our selection criteria mentioned above. After resolution of differences between reviewers a total of four studies were retrieved for further review and data extraction</w:t>
      </w:r>
      <w:r>
        <w:rPr>
          <w:rFonts w:ascii="Book Antiqua" w:hAnsi="Book Antiqua" w:eastAsia="Book Antiqua" w:cs="Book Antiqua"/>
          <w:color w:val="000000"/>
          <w:vertAlign w:val="superscript"/>
        </w:rPr>
        <w:t>[33-36]</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These include three published papers, and one unpublished data from clinical trial registry (Table 2). In a study conducted by Ferguson </w:t>
      </w:r>
      <w:r>
        <w:rPr>
          <w:rFonts w:ascii="Book Antiqua" w:hAnsi="Book Antiqua" w:eastAsia="Book Antiqua" w:cs="Book Antiqua"/>
          <w:i/>
          <w:iCs/>
          <w:color w:val="000000"/>
        </w:rPr>
        <w:t>et al</w:t>
      </w:r>
      <w:r>
        <w:rPr>
          <w:rFonts w:ascii="Book Antiqua" w:hAnsi="Book Antiqua" w:eastAsia="Book Antiqua" w:cs="Book Antiqua"/>
          <w:iCs/>
          <w:color w:val="000000"/>
          <w:vertAlign w:val="superscript"/>
        </w:rPr>
        <w:t>[33]</w:t>
      </w:r>
      <w:r>
        <w:rPr>
          <w:rFonts w:ascii="Book Antiqua" w:hAnsi="Book Antiqua" w:eastAsia="Book Antiqua" w:cs="Book Antiqua"/>
          <w:color w:val="000000"/>
        </w:rPr>
        <w:t xml:space="preserve"> they compared two belatacept based regimen, hence to maintain uniformity we considered analysis regimen including belatacept, and MMF only without sirolimus</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Similarly for study by Newel </w:t>
      </w:r>
      <w:r>
        <w:rPr>
          <w:rFonts w:ascii="Book Antiqua" w:hAnsi="Book Antiqua" w:eastAsia="Book Antiqua" w:cs="Book Antiqua"/>
          <w:i/>
          <w:iCs/>
          <w:color w:val="000000"/>
        </w:rPr>
        <w:t>et al</w:t>
      </w:r>
      <w:r>
        <w:rPr>
          <w:rFonts w:ascii="Book Antiqua" w:hAnsi="Book Antiqua" w:eastAsia="Book Antiqua" w:cs="Book Antiqua"/>
          <w:iCs/>
          <w:color w:val="000000"/>
          <w:vertAlign w:val="superscript"/>
        </w:rPr>
        <w:t>[35,36]</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and trial 1856257 we only did analysis with regimen including belatacept with MMF only without Tac</w:t>
      </w:r>
      <w:r>
        <w:rPr>
          <w:rFonts w:ascii="Book Antiqua" w:hAnsi="Book Antiqua" w:eastAsia="Book Antiqua" w:cs="Book Antiqua"/>
          <w:color w:val="000000"/>
          <w:vertAlign w:val="superscript"/>
        </w:rPr>
        <w:t>[33-36]</w:t>
      </w:r>
      <w:r>
        <w:rPr>
          <w:rFonts w:ascii="Book Antiqua" w:hAnsi="Book Antiqua" w:eastAsia="Book Antiqua" w:cs="Book Antiqua"/>
          <w:color w:val="000000"/>
        </w:rPr>
        <w:t>. The detailed data of all the studies related with the renal functioning, BPAR, survival and adverse events were summarized in Tables 3-5. The results of these data analysis were outlined below.</w:t>
      </w:r>
    </w:p>
    <w:p>
      <w:pPr>
        <w:snapToGrid w:val="0"/>
        <w:spacing w:line="360" w:lineRule="auto"/>
        <w:jc w:val="both"/>
        <w:rPr>
          <w:rFonts w:ascii="Book Antiqua" w:hAnsi="Book Antiqua"/>
        </w:rPr>
      </w:pPr>
    </w:p>
    <w:p>
      <w:pPr>
        <w:snapToGrid w:val="0"/>
        <w:spacing w:line="360" w:lineRule="auto"/>
        <w:jc w:val="both"/>
        <w:rPr>
          <w:rFonts w:ascii="Book Antiqua" w:hAnsi="Book Antiqua"/>
          <w:b/>
          <w:i/>
        </w:rPr>
      </w:pPr>
      <w:r>
        <w:rPr>
          <w:rFonts w:ascii="Book Antiqua" w:hAnsi="Book Antiqua" w:eastAsia="Book Antiqua" w:cs="Book Antiqua"/>
          <w:b/>
          <w:i/>
          <w:color w:val="000000"/>
          <w:u w:color="000000"/>
        </w:rPr>
        <w:t>Renal function</w:t>
      </w:r>
    </w:p>
    <w:p>
      <w:pPr>
        <w:snapToGrid w:val="0"/>
        <w:spacing w:line="360" w:lineRule="auto"/>
        <w:jc w:val="both"/>
        <w:rPr>
          <w:rFonts w:ascii="Book Antiqua" w:hAnsi="Book Antiqua"/>
        </w:rPr>
      </w:pPr>
      <w:r>
        <w:rPr>
          <w:rFonts w:ascii="Book Antiqua" w:hAnsi="Book Antiqua" w:eastAsia="Book Antiqua" w:cs="Book Antiqua"/>
          <w:color w:val="000000"/>
        </w:rPr>
        <w:t>There was no significant difference in estimated renal function in the either groups at 12 mo (four trials, 154 patients, mean difference 4.12 mL/ min/1.73 m</w:t>
      </w:r>
      <w:r>
        <w:rPr>
          <w:rFonts w:ascii="Book Antiqua" w:hAnsi="Book Antiqua" w:eastAsia="Book Antiqua" w:cs="Book Antiqua"/>
          <w:color w:val="000000"/>
          <w:vertAlign w:val="superscript"/>
        </w:rPr>
        <w:t>2</w:t>
      </w:r>
      <w:r>
        <w:rPr>
          <w:rFonts w:ascii="Book Antiqua" w:hAnsi="Book Antiqua" w:eastAsia="Book Antiqua" w:cs="Book Antiqua"/>
          <w:color w:val="000000"/>
        </w:rPr>
        <w:t>, CI: -2.18 to 10.42, </w:t>
      </w:r>
      <w:r>
        <w:rPr>
          <w:rFonts w:ascii="Book Antiqua" w:hAnsi="Book Antiqua" w:eastAsia="Book Antiqua" w:cs="Book Antiqua"/>
          <w:i/>
          <w:color w:val="000000"/>
        </w:rPr>
        <w:t>P</w:t>
      </w:r>
      <w:r>
        <w:rPr>
          <w:rFonts w:ascii="Book Antiqua" w:hAnsi="Book Antiqua" w:eastAsia="Book Antiqua" w:cs="Book Antiqua"/>
          <w:color w:val="000000"/>
        </w:rPr>
        <w:t> = 0.20,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 0%); (Figure 4A). </w:t>
      </w:r>
    </w:p>
    <w:p>
      <w:pPr>
        <w:snapToGrid w:val="0"/>
        <w:spacing w:line="360" w:lineRule="auto"/>
        <w:jc w:val="both"/>
        <w:rPr>
          <w:rFonts w:ascii="Book Antiqua" w:hAnsi="Book Antiqua" w:eastAsia="Book Antiqua" w:cs="Book Antiqua"/>
          <w:color w:val="000000"/>
          <w:u w:val="single" w:color="000000"/>
        </w:rPr>
      </w:pPr>
    </w:p>
    <w:p>
      <w:pPr>
        <w:snapToGrid w:val="0"/>
        <w:spacing w:line="360" w:lineRule="auto"/>
        <w:jc w:val="both"/>
        <w:rPr>
          <w:rFonts w:ascii="Book Antiqua" w:hAnsi="Book Antiqua"/>
          <w:b/>
          <w:i/>
        </w:rPr>
      </w:pPr>
      <w:r>
        <w:rPr>
          <w:rFonts w:ascii="Book Antiqua" w:hAnsi="Book Antiqua" w:eastAsia="Book Antiqua" w:cs="Book Antiqua"/>
          <w:b/>
          <w:i/>
          <w:color w:val="000000"/>
          <w:u w:color="000000"/>
        </w:rPr>
        <w:t>Biopsy proven acute rejection</w:t>
      </w:r>
    </w:p>
    <w:p>
      <w:pPr>
        <w:snapToGrid w:val="0"/>
        <w:spacing w:line="360" w:lineRule="auto"/>
        <w:jc w:val="both"/>
        <w:rPr>
          <w:rFonts w:ascii="Book Antiqua" w:hAnsi="Book Antiqua"/>
        </w:rPr>
      </w:pPr>
      <w:r>
        <w:rPr>
          <w:rFonts w:ascii="Book Antiqua" w:hAnsi="Book Antiqua" w:eastAsia="Book Antiqua" w:cs="Book Antiqua"/>
          <w:color w:val="000000"/>
        </w:rPr>
        <w:t>The incidence of BPAR was significantly higher in belatacept groups compared to Tac groups (four trials, 173 patients, RR = 3.27, CI: 0.88 to 12.11, </w:t>
      </w:r>
      <w:r>
        <w:rPr>
          <w:rFonts w:ascii="Book Antiqua" w:hAnsi="Book Antiqua" w:eastAsia="Book Antiqua" w:cs="Book Antiqua"/>
          <w:i/>
          <w:color w:val="000000"/>
        </w:rPr>
        <w:t>P</w:t>
      </w:r>
      <w:r>
        <w:rPr>
          <w:rFonts w:ascii="Book Antiqua" w:hAnsi="Book Antiqua" w:eastAsia="Book Antiqua" w:cs="Book Antiqua"/>
          <w:color w:val="000000"/>
        </w:rPr>
        <w:t> = 0.08,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 59%) over 12 mo (Figure 4B).</w:t>
      </w:r>
    </w:p>
    <w:p>
      <w:pPr>
        <w:snapToGrid w:val="0"/>
        <w:spacing w:line="360" w:lineRule="auto"/>
        <w:jc w:val="both"/>
        <w:rPr>
          <w:rFonts w:ascii="Book Antiqua" w:hAnsi="Book Antiqua"/>
        </w:rPr>
      </w:pPr>
    </w:p>
    <w:p>
      <w:pPr>
        <w:snapToGrid w:val="0"/>
        <w:spacing w:line="360" w:lineRule="auto"/>
        <w:jc w:val="both"/>
        <w:rPr>
          <w:rFonts w:ascii="Book Antiqua" w:hAnsi="Book Antiqua"/>
          <w:b/>
          <w:i/>
        </w:rPr>
      </w:pPr>
      <w:r>
        <w:rPr>
          <w:rFonts w:ascii="Book Antiqua" w:hAnsi="Book Antiqua" w:eastAsia="Book Antiqua" w:cs="Book Antiqua"/>
          <w:b/>
          <w:i/>
          <w:color w:val="000000"/>
          <w:u w:color="000000"/>
        </w:rPr>
        <w:t>Graft survival</w:t>
      </w:r>
    </w:p>
    <w:p>
      <w:pPr>
        <w:snapToGrid w:val="0"/>
        <w:spacing w:line="360" w:lineRule="auto"/>
        <w:jc w:val="both"/>
        <w:rPr>
          <w:rFonts w:ascii="Book Antiqua" w:hAnsi="Book Antiqua"/>
        </w:rPr>
      </w:pPr>
      <w:r>
        <w:rPr>
          <w:rFonts w:ascii="Book Antiqua" w:hAnsi="Book Antiqua" w:eastAsia="Book Antiqua" w:cs="Book Antiqua"/>
          <w:color w:val="000000"/>
        </w:rPr>
        <w:t xml:space="preserve">At 12 mo, the rates of graft survival were significantly worse for belatacept groups than Tac groups (four trials, 173 patients, RR = 4.51, CI: 1.23 to 16.58, </w:t>
      </w:r>
      <w:r>
        <w:rPr>
          <w:rFonts w:ascii="Book Antiqua" w:hAnsi="Book Antiqua" w:eastAsia="Book Antiqua" w:cs="Book Antiqua"/>
          <w:i/>
          <w:color w:val="000000"/>
        </w:rPr>
        <w:t>P</w:t>
      </w:r>
      <w:r>
        <w:rPr>
          <w:rFonts w:ascii="Book Antiqua" w:hAnsi="Book Antiqua" w:eastAsia="Book Antiqua" w:cs="Book Antiqua"/>
          <w:color w:val="000000"/>
        </w:rPr>
        <w:t xml:space="preserve"> = 0.02,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 0%) (Figure 4C).</w:t>
      </w:r>
    </w:p>
    <w:p>
      <w:pPr>
        <w:snapToGrid w:val="0"/>
        <w:spacing w:line="360" w:lineRule="auto"/>
        <w:jc w:val="both"/>
        <w:rPr>
          <w:rFonts w:ascii="Book Antiqua" w:hAnsi="Book Antiqua"/>
        </w:rPr>
      </w:pPr>
    </w:p>
    <w:p>
      <w:pPr>
        <w:snapToGrid w:val="0"/>
        <w:spacing w:line="360" w:lineRule="auto"/>
        <w:jc w:val="both"/>
        <w:rPr>
          <w:rFonts w:ascii="Book Antiqua" w:hAnsi="Book Antiqua"/>
          <w:b/>
          <w:i/>
        </w:rPr>
      </w:pPr>
      <w:r>
        <w:rPr>
          <w:rFonts w:ascii="Book Antiqua" w:hAnsi="Book Antiqua" w:eastAsia="Book Antiqua" w:cs="Book Antiqua"/>
          <w:b/>
          <w:i/>
          <w:color w:val="000000"/>
          <w:u w:color="000000"/>
        </w:rPr>
        <w:t>Adverse events</w:t>
      </w:r>
    </w:p>
    <w:p>
      <w:pPr>
        <w:snapToGrid w:val="0"/>
        <w:spacing w:line="360" w:lineRule="auto"/>
        <w:jc w:val="both"/>
        <w:rPr>
          <w:rFonts w:ascii="Book Antiqua" w:hAnsi="Book Antiqua"/>
        </w:rPr>
      </w:pPr>
      <w:r>
        <w:rPr>
          <w:rFonts w:ascii="Book Antiqua" w:hAnsi="Book Antiqua" w:eastAsia="Book Antiqua" w:cs="Book Antiqua"/>
          <w:color w:val="000000"/>
        </w:rPr>
        <w:t xml:space="preserve">Adverse events are summarized in Table 3. Over 12 mo, there was no significant difference in the incidence of serious adverse events/infection between the either groups (three trials, 129 patients, RR = 0.92, CI: 0.71 to 1.21, </w:t>
      </w:r>
      <w:r>
        <w:rPr>
          <w:rFonts w:ascii="Book Antiqua" w:hAnsi="Book Antiqua" w:eastAsia="Book Antiqua" w:cs="Book Antiqua"/>
          <w:i/>
          <w:color w:val="000000"/>
        </w:rPr>
        <w:t>P</w:t>
      </w:r>
      <w:r>
        <w:rPr>
          <w:rFonts w:ascii="Book Antiqua" w:hAnsi="Book Antiqua" w:eastAsia="Book Antiqua" w:cs="Book Antiqua"/>
          <w:color w:val="000000"/>
        </w:rPr>
        <w:t xml:space="preserve"> = 0.56,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(Figure 4D). Four trials reported comparable incidence of BK virus or polyomavirus infection, in both group (Four trials, 173 patients, RR = 2.09, CI: 0.60 to 7.21, </w:t>
      </w:r>
      <w:r>
        <w:rPr>
          <w:rFonts w:ascii="Book Antiqua" w:hAnsi="Book Antiqua" w:eastAsia="Book Antiqua" w:cs="Book Antiqua"/>
          <w:i/>
          <w:color w:val="000000"/>
        </w:rPr>
        <w:t>P</w:t>
      </w:r>
      <w:r>
        <w:rPr>
          <w:rFonts w:ascii="Book Antiqua" w:hAnsi="Book Antiqua" w:eastAsia="Book Antiqua" w:cs="Book Antiqua"/>
          <w:color w:val="000000"/>
        </w:rPr>
        <w:t xml:space="preserve"> = 0.24,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 19%) (Figure 4E).</w:t>
      </w:r>
    </w:p>
    <w:p>
      <w:pPr>
        <w:snapToGrid w:val="0"/>
        <w:spacing w:line="360" w:lineRule="auto"/>
        <w:jc w:val="both"/>
        <w:rPr>
          <w:rFonts w:ascii="Book Antiqua" w:hAnsi="Book Antiqua"/>
        </w:rPr>
      </w:pPr>
    </w:p>
    <w:p>
      <w:pPr>
        <w:snapToGrid w:val="0"/>
        <w:spacing w:line="360" w:lineRule="auto"/>
        <w:jc w:val="both"/>
        <w:rPr>
          <w:rFonts w:ascii="Book Antiqua" w:hAnsi="Book Antiqua"/>
          <w:b/>
          <w:i/>
        </w:rPr>
      </w:pPr>
      <w:r>
        <w:rPr>
          <w:rFonts w:ascii="Book Antiqua" w:hAnsi="Book Antiqua" w:eastAsia="Book Antiqua" w:cs="Book Antiqua"/>
          <w:b/>
          <w:i/>
          <w:color w:val="000000"/>
          <w:u w:color="000000"/>
        </w:rPr>
        <w:t>Metabolic outcomes</w:t>
      </w:r>
    </w:p>
    <w:p>
      <w:pPr>
        <w:snapToGrid w:val="0"/>
        <w:spacing w:line="360" w:lineRule="auto"/>
        <w:jc w:val="both"/>
        <w:rPr>
          <w:rFonts w:ascii="Book Antiqua" w:hAnsi="Book Antiqua"/>
        </w:rPr>
      </w:pPr>
      <w:r>
        <w:rPr>
          <w:rFonts w:ascii="Book Antiqua" w:hAnsi="Book Antiqua" w:eastAsia="Book Antiqua" w:cs="Book Antiqua"/>
          <w:color w:val="000000"/>
        </w:rPr>
        <w:t xml:space="preserve">The metabolic parameters as blood pressure and lipid profile of all four studies are outlined in Table 5. The incidence of NODAT was significantly lower with belatacept over 12 mo (four trials, 173 patients, RR = 0.26, CI: 0.07 to 0.99, </w:t>
      </w:r>
      <w:r>
        <w:rPr>
          <w:rFonts w:ascii="Book Antiqua" w:hAnsi="Book Antiqua" w:eastAsia="Book Antiqua" w:cs="Book Antiqua"/>
          <w:i/>
          <w:iCs/>
          <w:color w:val="000000"/>
        </w:rPr>
        <w:t>P</w:t>
      </w:r>
      <w:r>
        <w:rPr>
          <w:rFonts w:ascii="Book Antiqua" w:hAnsi="Book Antiqua" w:eastAsia="Book Antiqua" w:cs="Book Antiqua"/>
          <w:color w:val="000000"/>
        </w:rPr>
        <w:t xml:space="preserve"> = 0.05, </w:t>
      </w:r>
      <w:r>
        <w:rPr>
          <w:rFonts w:ascii="Book Antiqua" w:hAnsi="Book Antiqua" w:eastAsia="Book Antiqua" w:cs="Book Antiqua"/>
          <w:i/>
          <w:color w:val="000000"/>
        </w:rPr>
        <w:t>I</w:t>
      </w:r>
      <w:r>
        <w:rPr>
          <w:rFonts w:ascii="Book Antiqua" w:hAnsi="Book Antiqua" w:eastAsia="Book Antiqua" w:cs="Book Antiqua"/>
          <w:color w:val="000000"/>
          <w:vertAlign w:val="superscript"/>
        </w:rPr>
        <w:t>2 </w:t>
      </w:r>
      <w:r>
        <w:rPr>
          <w:rFonts w:ascii="Book Antiqua" w:hAnsi="Book Antiqua" w:eastAsia="Book Antiqua" w:cs="Book Antiqua"/>
          <w:color w:val="000000"/>
        </w:rPr>
        <w:t>= 0%) (Figure 4F). Belatacept therapy resulted</w:t>
      </w:r>
      <w:r>
        <w:rPr>
          <w:rFonts w:ascii="MS Gothic" w:hAnsi="MS Gothic" w:eastAsia="Book Antiqua" w:cs="MS Gothic"/>
          <w:color w:val="000000"/>
        </w:rPr>
        <w:t> </w:t>
      </w:r>
      <w:r>
        <w:rPr>
          <w:rFonts w:ascii="Book Antiqua" w:hAnsi="Book Antiqua" w:eastAsia="Book Antiqua" w:cs="Book Antiqua"/>
          <w:color w:val="000000"/>
        </w:rPr>
        <w:t>in no significant changes in systolic (four trials, 150 patients, MD = -3.77 mmHg, CI: -9.29 to 1.75, </w:t>
      </w:r>
      <w:r>
        <w:rPr>
          <w:rFonts w:ascii="Book Antiqua" w:hAnsi="Book Antiqua" w:eastAsia="Book Antiqua" w:cs="Book Antiqua"/>
          <w:i/>
          <w:color w:val="000000"/>
        </w:rPr>
        <w:t>P</w:t>
      </w:r>
      <w:r>
        <w:rPr>
          <w:rFonts w:ascii="Book Antiqua" w:hAnsi="Book Antiqua" w:eastAsia="Book Antiqua" w:cs="Book Antiqua"/>
          <w:color w:val="000000"/>
        </w:rPr>
        <w:t xml:space="preserve"> = 0.18,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 0%) (Figure 5A) and diastolic blood pressure (four trials, 150 patients, MD = -1.27 mmHg, CI = -5.90 to 3.37, </w:t>
      </w:r>
      <w:r>
        <w:rPr>
          <w:rFonts w:ascii="Book Antiqua" w:hAnsi="Book Antiqua" w:eastAsia="Book Antiqua" w:cs="Book Antiqua"/>
          <w:i/>
          <w:color w:val="000000"/>
        </w:rPr>
        <w:t>P</w:t>
      </w:r>
      <w:r>
        <w:rPr>
          <w:rFonts w:ascii="Book Antiqua" w:hAnsi="Book Antiqua" w:eastAsia="Book Antiqua" w:cs="Book Antiqua"/>
          <w:color w:val="000000"/>
        </w:rPr>
        <w:t xml:space="preserve"> = 0.59,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 35%) at 12 mo (Figure 5B).</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There total serum cholesterol level and total triglycerides were comparable in both groups (two trials, 52 patients, MD = -2.85 mg/dL, CI: -23.68 to 17.98, </w:t>
      </w:r>
      <w:r>
        <w:rPr>
          <w:rFonts w:ascii="Book Antiqua" w:hAnsi="Book Antiqua" w:eastAsia="Book Antiqua" w:cs="Book Antiqua"/>
          <w:i/>
          <w:iCs/>
          <w:color w:val="000000"/>
        </w:rPr>
        <w:t>P</w:t>
      </w:r>
      <w:r>
        <w:rPr>
          <w:rFonts w:ascii="Book Antiqua" w:hAnsi="Book Antiqua" w:eastAsia="Book Antiqua" w:cs="Book Antiqua"/>
          <w:color w:val="000000"/>
        </w:rPr>
        <w:t xml:space="preserve"> = 0.79,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0%) and (two trials, 52 patients, MD = -6.56 mg/dL, CI: -59.79 to 46.67, </w:t>
      </w:r>
      <w:r>
        <w:rPr>
          <w:rFonts w:ascii="Book Antiqua" w:hAnsi="Book Antiqua" w:eastAsia="Book Antiqua" w:cs="Book Antiqua"/>
          <w:i/>
          <w:iCs/>
          <w:color w:val="000000"/>
        </w:rPr>
        <w:t>P</w:t>
      </w:r>
      <w:r>
        <w:rPr>
          <w:rFonts w:ascii="Book Antiqua" w:hAnsi="Book Antiqua" w:eastAsia="Book Antiqua" w:cs="Book Antiqua"/>
          <w:color w:val="000000"/>
        </w:rPr>
        <w:t xml:space="preserve"> = 0.81,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26%) respectively at 12 mo (Figure 5C and D). The serum low density lipoprotein (LDL) levels were lower for belatacept at 12 mo (two trials, 52 patients, MD = -25.68 mg/dL, CI: -48.15 to -3.22, </w:t>
      </w:r>
      <w:r>
        <w:rPr>
          <w:rFonts w:ascii="Book Antiqua" w:hAnsi="Book Antiqua" w:eastAsia="Book Antiqua" w:cs="Book Antiqua"/>
          <w:i/>
          <w:iCs/>
          <w:color w:val="000000"/>
        </w:rPr>
        <w:t>P</w:t>
      </w:r>
      <w:r>
        <w:rPr>
          <w:rFonts w:ascii="Book Antiqua" w:hAnsi="Book Antiqua" w:eastAsia="Book Antiqua" w:cs="Book Antiqua"/>
          <w:color w:val="000000"/>
        </w:rPr>
        <w:t xml:space="preserve"> = 0.03,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 0%) (Figure 5E).</w:t>
      </w:r>
    </w:p>
    <w:bookmarkEnd w:id="32"/>
    <w:bookmarkEnd w:id="33"/>
    <w:bookmarkEnd w:id="34"/>
    <w:bookmarkEnd w:id="35"/>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snapToGrid w:val="0"/>
        <w:spacing w:line="360" w:lineRule="auto"/>
        <w:jc w:val="both"/>
        <w:rPr>
          <w:rFonts w:ascii="Book Antiqua" w:hAnsi="Book Antiqua"/>
        </w:rPr>
      </w:pPr>
      <w:bookmarkStart w:id="36" w:name="OLE_LINK44"/>
      <w:bookmarkStart w:id="37" w:name="OLE_LINK43"/>
      <w:bookmarkStart w:id="38" w:name="OLE_LINK70"/>
      <w:r>
        <w:rPr>
          <w:rFonts w:ascii="Book Antiqua" w:hAnsi="Book Antiqua" w:eastAsia="Book Antiqua" w:cs="Book Antiqua"/>
          <w:color w:val="000000"/>
        </w:rPr>
        <w:t xml:space="preserve">To our knowledge, this is the first meta-analysis assessing the efficacy and safety of belatacept based immunosuppressive maintenance regimen with Tac in kidney transplant recipients. The meta-analysis demonstrated that belatacept has been associated with an increased risk of allograft loss, following an increased risk of acute rejection in the first year of renal transplantation. These findings are in contrast to the previous notion, where studies have reported better allograft functioning without any significant change in patient and allograft survival over 12 mo’ study period for the belatacept </w:t>
      </w:r>
      <w:r>
        <w:rPr>
          <w:rFonts w:ascii="Book Antiqua" w:hAnsi="Book Antiqua" w:eastAsia="Book Antiqua" w:cs="Book Antiqua"/>
          <w:i/>
          <w:iCs/>
          <w:color w:val="000000"/>
        </w:rPr>
        <w:t>vs</w:t>
      </w:r>
      <w:r>
        <w:rPr>
          <w:rFonts w:ascii="Book Antiqua" w:hAnsi="Book Antiqua" w:eastAsia="Book Antiqua" w:cs="Book Antiqua"/>
          <w:color w:val="000000"/>
        </w:rPr>
        <w:t xml:space="preserve"> CNI groups, however, almost all of these studies have drawn this conclusion following comparison of belatacept to cyclosporine, not Tac</w:t>
      </w:r>
      <w:r>
        <w:rPr>
          <w:rFonts w:ascii="Book Antiqua" w:hAnsi="Book Antiqua" w:eastAsia="Book Antiqua" w:cs="Book Antiqua"/>
          <w:color w:val="000000"/>
          <w:vertAlign w:val="superscript"/>
        </w:rPr>
        <w:t>[24]</w:t>
      </w:r>
      <w:r>
        <w:rPr>
          <w:rFonts w:ascii="Book Antiqua" w:hAnsi="Book Antiqua" w:eastAsia="Book Antiqua" w:cs="Book Antiqua"/>
          <w:color w:val="000000"/>
        </w:rPr>
        <w:t>. Further, the above finding could be reflection of limited number available study assessing the role of belatacept in comparison to Tac or benefit could be sought following long duration of therapy.</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Owing to the limited number of studies the data regarding the comparative studies of Tac based immunosuppression with belatacept is quite lucid, nevertheless, the outcomes of this meta-analysis will play a crucial role in formulating future studies. The renal function was assessed in all four trials and pooled analysis of data suggested that there is no significant difference present in either group. Along with that, the present meta-analysis also demonstrated a significant rise in BPAR in belatacept group. These outcomes have been further translated in terms of lower allograft and patient survival, and poor outcomes in renal transplant recipients who received belatacept.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Previous studies been shown that cardiovascular disease and its associated underlying risk factors as NODAT, hypertension and dyslipidemia are major cause of mortality in kidney transplant recipients</w:t>
      </w:r>
      <w:r>
        <w:rPr>
          <w:rFonts w:ascii="Book Antiqua" w:hAnsi="Book Antiqua" w:eastAsia="Book Antiqua" w:cs="Book Antiqua"/>
          <w:color w:val="000000"/>
          <w:vertAlign w:val="superscript"/>
        </w:rPr>
        <w:t>[37,38]</w:t>
      </w:r>
      <w:r>
        <w:rPr>
          <w:rFonts w:ascii="Book Antiqua" w:hAnsi="Book Antiqua" w:eastAsia="Book Antiqua" w:cs="Book Antiqua"/>
          <w:color w:val="000000"/>
        </w:rPr>
        <w:t>. The reported incidence of NODAT in current literature is approximately 10%-30% in renal transplant recipients following CNI therapy</w:t>
      </w:r>
      <w:r>
        <w:rPr>
          <w:rFonts w:ascii="Book Antiqua" w:hAnsi="Book Antiqua" w:eastAsia="Book Antiqua" w:cs="Book Antiqua"/>
          <w:color w:val="000000"/>
          <w:vertAlign w:val="superscript"/>
        </w:rPr>
        <w:t>[39-41]</w:t>
      </w:r>
      <w:r>
        <w:rPr>
          <w:rFonts w:ascii="Book Antiqua" w:hAnsi="Book Antiqua" w:eastAsia="Book Antiqua" w:cs="Book Antiqua"/>
          <w:color w:val="000000"/>
        </w:rPr>
        <w:t>. Our finding supports previous literature comparing cyclosporine with belatacept and outlined significantly reduced odds for NODAT at 12 mo following belatacept in contrast to Tac</w:t>
      </w:r>
      <w:r>
        <w:rPr>
          <w:rFonts w:ascii="Book Antiqua" w:hAnsi="Book Antiqua" w:eastAsia="Book Antiqua" w:cs="Book Antiqua"/>
          <w:color w:val="000000"/>
          <w:vertAlign w:val="superscript"/>
        </w:rPr>
        <w:t>[20,24]</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Experimental studies have demonstrated that serum lipids nephrotoxicity play important role in the progression of chronic kidney disease</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Sandhu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[43]</w:t>
      </w:r>
      <w:r>
        <w:rPr>
          <w:rFonts w:ascii="Book Antiqua" w:hAnsi="Book Antiqua" w:eastAsia="Book Antiqua" w:cs="Book Antiqua"/>
          <w:color w:val="000000"/>
        </w:rPr>
        <w:t>, conducted a meta-analyses involving 26 RCT and outlined that lowering serum LDL cholesterol positively influence the rate of reduction of glomerular filtration by approximately 1 mL/min per year. Our, the data analysis revealed lower LDL level in belatacept treated patients, hence, making it safer drug alternative for maintenance immunosuppression considering the renal and cardiac perspective, however, these benefits are do not outweigh the risks of other associated perils of belatacept based therapy. Further, studies assessed the impact of transition to belatacept during maintenance phase, which have outlined similar metabolic benefits, however, more research is required to elucidate true potential of these immunosuppressive regimen</w:t>
      </w:r>
      <w:r>
        <w:rPr>
          <w:rFonts w:ascii="Book Antiqua" w:hAnsi="Book Antiqua" w:eastAsia="Book Antiqua" w:cs="Book Antiqua"/>
          <w:color w:val="000000"/>
          <w:vertAlign w:val="superscript"/>
        </w:rPr>
        <w:t>[44,45]</w:t>
      </w:r>
      <w:r>
        <w:rPr>
          <w:rFonts w:ascii="Book Antiqua" w:hAnsi="Book Antiqua" w:eastAsia="Book Antiqua" w:cs="Book Antiqua"/>
          <w:color w:val="000000"/>
        </w:rPr>
        <w:t>. As mentioned in the results, the present meta-analysis did not demonstrate any significant difference in terms of adverse events in the belatacept group compared with the Tac based regimen. Further, it did not show any statistically significant increase in incidence of BK virus infection in the belatacept group (Figure 6).</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outcomes of this meta-analysis were quite dreary to the speculation that belatacept could further enhance the benefits of renal transplantation. However, every cloud has silver lining and the received setbacks provide enormous learning opportunities and open doors for development of newer drugs. Hence, further investigations are required to better elucidate reasons behind the observed outcome with belatacept, including the cipher of BRR. Belatacept binds to CD80 and/or CD86 on antigen-presenting cells (APCs) and fosters T-cell anergy by depriving T-cells with co-stimulatory signal</w:t>
      </w:r>
      <w:r>
        <w:rPr>
          <w:rFonts w:ascii="Book Antiqua" w:hAnsi="Book Antiqua" w:eastAsia="Book Antiqua" w:cs="Book Antiqua"/>
          <w:color w:val="000000"/>
          <w:vertAlign w:val="superscript"/>
        </w:rPr>
        <w:t>[16,46]</w:t>
      </w:r>
      <w:r>
        <w:rPr>
          <w:rFonts w:ascii="Book Antiqua" w:hAnsi="Book Antiqua" w:eastAsia="Book Antiqua" w:cs="Book Antiqua"/>
          <w:color w:val="000000"/>
        </w:rPr>
        <w:t>. Belatacept's adoption as a mainstay immunosuppressive therapy has been tempered by increased BPAR and resistance to treatment. Further probe into the underlying mechanisms of resistance and rejection has been done not only to enhance the knowledge regarding clinical applicability of belatacept but also to avail the development of tailored immunosuppressive strategies.</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However, recent evidence suggests the plausible explanations for the development of resistance to the clinical usefulness and limitations of belatacept based immuno</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suppression, further in the discussion we have tried to interpret the reason behind the deceptive behaviour of current costimulatory inhibitors through the review of the available literature.</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Firstly, an aggressive, T cell-mediated allogeneic responses observed in belatacept treated patients clearly explicate the actions of memory T-cells that are less or not susceptible to co-stimulatory blockade pathway CD28-CD80/86</w:t>
      </w:r>
      <w:r>
        <w:rPr>
          <w:rFonts w:ascii="Book Antiqua" w:hAnsi="Book Antiqua" w:eastAsia="Book Antiqua" w:cs="Book Antiqua"/>
          <w:color w:val="000000"/>
          <w:vertAlign w:val="superscript"/>
        </w:rPr>
        <w:t>[47-50]</w:t>
      </w:r>
      <w:r>
        <w:rPr>
          <w:rFonts w:ascii="Book Antiqua" w:hAnsi="Book Antiqua" w:eastAsia="Book Antiqua" w:cs="Book Antiqua"/>
          <w:color w:val="000000"/>
        </w:rPr>
        <w:t>. This could be explained by the fact that belatacept inhibits T-cell proliferation in a dose-dependent manner. However, even with the higher dosages of belatacept, the inhibition of T cell proliferation does not exceed more than ± 70%, hence gives a window for residual T cells proliferation up to ± 30%</w:t>
      </w:r>
      <w:r>
        <w:rPr>
          <w:rFonts w:ascii="Book Antiqua" w:hAnsi="Book Antiqua" w:eastAsia="Book Antiqua" w:cs="Book Antiqua"/>
          <w:color w:val="000000"/>
          <w:vertAlign w:val="superscript"/>
        </w:rPr>
        <w:t>[51]</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Secondly, the plasticity theory of sequential, parallel differentiation and immunological synapse throws light on the development and maintenance of resistant effector memory T cell in belatacept treated patients</w:t>
      </w:r>
      <w:r>
        <w:rPr>
          <w:rFonts w:ascii="Book Antiqua" w:hAnsi="Book Antiqua" w:eastAsia="Book Antiqua" w:cs="Book Antiqua"/>
          <w:color w:val="000000"/>
          <w:vertAlign w:val="superscript"/>
        </w:rPr>
        <w:t>[50,52,53]</w:t>
      </w:r>
      <w:r>
        <w:rPr>
          <w:rFonts w:ascii="Book Antiqua" w:hAnsi="Book Antiqua" w:eastAsia="Book Antiqua" w:cs="Book Antiqua"/>
          <w:color w:val="000000"/>
        </w:rPr>
        <w:t>. This fact broaches a concern that, witnessed resistance to belatacept might be explained by the biological underpinning causing cross-connection between naïve, effector and memory T cells populations. The precise underlying mechanism remains obscure, however, it is possibly conferred by the development of the interaction between the B7 protein on APCs and CD28 (also known as cytotoxic T-lymphocyte-associated protein 4) on T cells</w:t>
      </w:r>
      <w:r>
        <w:rPr>
          <w:rFonts w:ascii="Book Antiqua" w:hAnsi="Book Antiqua" w:eastAsia="Book Antiqua" w:cs="Book Antiqua"/>
          <w:color w:val="000000"/>
          <w:vertAlign w:val="superscript"/>
        </w:rPr>
        <w:t>[54,55]</w:t>
      </w:r>
      <w:r>
        <w:rPr>
          <w:rFonts w:ascii="Book Antiqua" w:hAnsi="Book Antiqua" w:eastAsia="Book Antiqua" w:cs="Book Antiqua"/>
          <w:color w:val="000000"/>
        </w:rPr>
        <w:t>. Following differentiation, the expression of CD28 is markedly downregulated and the resulting memory T cells are no longer able to reinstate co-stimulation for the secondary immune responses</w:t>
      </w:r>
      <w:r>
        <w:rPr>
          <w:rFonts w:ascii="Book Antiqua" w:hAnsi="Book Antiqua" w:eastAsia="Book Antiqua" w:cs="Book Antiqua"/>
          <w:color w:val="000000"/>
          <w:vertAlign w:val="superscript"/>
        </w:rPr>
        <w:t>[56,57]</w:t>
      </w:r>
      <w:r>
        <w:rPr>
          <w:rFonts w:ascii="Book Antiqua" w:hAnsi="Book Antiqua" w:eastAsia="Book Antiqua" w:cs="Book Antiqua"/>
          <w:color w:val="000000"/>
        </w:rPr>
        <w:t>. Furthermore, the downregulation persuades T cell migration and extravasation at inflammatory sites through the expression of adhesion molecules over vascular endothelium. The molecules as LFA-1 and VLA-4 bind intercellular adhesion molecule-1 and vascular cell adhesion molecule-1 while CD2 promotes T-cell activation and adhesion by binding to LFA-3 on APCs</w:t>
      </w:r>
      <w:r>
        <w:rPr>
          <w:rFonts w:ascii="Book Antiqua" w:hAnsi="Book Antiqua" w:eastAsia="Book Antiqua" w:cs="Book Antiqua"/>
          <w:color w:val="000000"/>
          <w:vertAlign w:val="superscript"/>
        </w:rPr>
        <w:t>[58-60]</w:t>
      </w:r>
      <w:r>
        <w:rPr>
          <w:rFonts w:ascii="Book Antiqua" w:hAnsi="Book Antiqua" w:eastAsia="Book Antiqua" w:cs="Book Antiqua"/>
          <w:color w:val="000000"/>
        </w:rPr>
        <w:t>. Hence, the belatacept induced CD28 downregulation not only instigates effector memory cells proliferation but also promotes cellular infiltration into the renal allograft, which disrupts the bridge to achieve adequate immunosuppression in the transplant recipient</w:t>
      </w:r>
      <w:r>
        <w:rPr>
          <w:rFonts w:ascii="Book Antiqua" w:hAnsi="Book Antiqua" w:eastAsia="Book Antiqua" w:cs="Book Antiqua"/>
          <w:color w:val="000000"/>
          <w:vertAlign w:val="superscript"/>
        </w:rPr>
        <w:t>[61,62]</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In addition, an elevated profile of T-cell mediated allogeneic responses with variability in cell surface phenotype are detected following belatacept treatment. The lymphocyte repertoire transforms itself substantially over time as a ramification of environmental pathogen exposure, which forms the basis for the down regulation of the CD28 expression on the membrane of effector-memory T-cells following belatacept treatment. Such CD8+CD28− T cells are highly cytotoxic and bring imperil to the traditional immunosuppressive shield, however, lack in the proliferative capacity</w:t>
      </w:r>
      <w:r>
        <w:rPr>
          <w:rFonts w:ascii="Book Antiqua" w:hAnsi="Book Antiqua" w:eastAsia="Book Antiqua" w:cs="Book Antiqua"/>
          <w:color w:val="000000"/>
          <w:vertAlign w:val="superscript"/>
        </w:rPr>
        <w:t>[63,64]</w:t>
      </w:r>
      <w:r>
        <w:rPr>
          <w:rFonts w:ascii="Book Antiqua" w:hAnsi="Book Antiqua" w:eastAsia="Book Antiqua" w:cs="Book Antiqua"/>
          <w:color w:val="000000"/>
        </w:rPr>
        <w:t>. Hence, D28-CD80/86 pathway is not the sole explanation of the development of BRR</w:t>
      </w:r>
      <w:r>
        <w:rPr>
          <w:rFonts w:ascii="Book Antiqua" w:hAnsi="Book Antiqua" w:eastAsia="Book Antiqua" w:cs="Book Antiqua"/>
          <w:color w:val="000000"/>
          <w:vertAlign w:val="superscript"/>
        </w:rPr>
        <w:t>[65,66]</w:t>
      </w:r>
      <w:r>
        <w:rPr>
          <w:rFonts w:ascii="Book Antiqua" w:hAnsi="Book Antiqua" w:eastAsia="Book Antiqua" w:cs="Book Antiqua"/>
          <w:color w:val="000000"/>
        </w:rPr>
        <w:t xml:space="preserve">. Mou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[66]</w:t>
      </w:r>
      <w:r>
        <w:rPr>
          <w:rFonts w:ascii="Book Antiqua" w:hAnsi="Book Antiqua" w:eastAsia="Book Antiqua" w:cs="Book Antiqua"/>
          <w:color w:val="000000"/>
        </w:rPr>
        <w:t> outlined, the loss of CD28 expression as a major requisite towards the development of BRR, however, it was not sole attribute for the instigation of BRR and highlighted certain other plausible explanations. The study demonstrated increased rejection with the expression of CD57 on the membrane of CD28 negative T cells populations with cytolytic potential. This notion was further supported by demonstrating the infiltration of CD57+ CD4 T cells in renal allograft biopsies in patients developing rejection in spite of being on belatacept. Hence, CD57+CD4+CD28- T cells represent a potential therapeutic target and act as a practical screening tool to identify patients at risk for ACR while on belatacept. However, the identification of such phenotype (CD57+CD4+CD28-) T cells in the peripheral blood of patients awaiting renal transplantation may aid in identifications of recipients’ not amenable for belatacept-based therapy.</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An another kind of effector memory CD8+CD28++ EMRA T cells that has caught attention as a possible explanation for the development of resistance in belatacept patients</w:t>
      </w:r>
      <w:r>
        <w:rPr>
          <w:rFonts w:ascii="Book Antiqua" w:hAnsi="Book Antiqua" w:eastAsia="Book Antiqua" w:cs="Book Antiqua"/>
          <w:color w:val="000000"/>
          <w:vertAlign w:val="superscript"/>
        </w:rPr>
        <w:t>[67,68]</w:t>
      </w:r>
      <w:r>
        <w:rPr>
          <w:rFonts w:ascii="Book Antiqua" w:hAnsi="Book Antiqua" w:eastAsia="Book Antiqua" w:cs="Book Antiqua"/>
          <w:color w:val="000000"/>
        </w:rPr>
        <w:t xml:space="preserve">. However, de Graav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[51]</w:t>
      </w:r>
      <w:r>
        <w:rPr>
          <w:rFonts w:ascii="Book Antiqua" w:hAnsi="Book Antiqua" w:eastAsia="Book Antiqua" w:cs="Book Antiqua"/>
          <w:color w:val="000000"/>
        </w:rPr>
        <w:t> reported that absolute numbers or proportions of pretransplant CD28++ cells within the CD8+ EMRA T cell population did not increase BRR.</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Differences in rate and severity of BRR in patients with pre-emptive trans</w:t>
      </w:r>
      <w:r>
        <w:rPr>
          <w:rFonts w:hint="default" w:ascii="Book Antiqua" w:hAnsi="Book Antiqua" w:eastAsia="Book Antiqua" w:cs="Book Antiqua"/>
          <w:color w:val="000000"/>
          <w:lang w:val="en-US"/>
        </w:rPr>
        <w:t>-</w:t>
      </w:r>
      <w:r>
        <w:rPr>
          <w:rFonts w:ascii="Book Antiqua" w:hAnsi="Book Antiqua" w:eastAsia="Book Antiqua" w:cs="Book Antiqua"/>
          <w:color w:val="000000"/>
        </w:rPr>
        <w:t xml:space="preserve">plantations lies within the differentiation, immunological synapse and plasticity that helps in modulating the effector memory T cell in belatacept treated renal transplant recipients. Hence at present, we can’t rule out the possibility of the presence of any other memory cell or mixed effect of these cells as a possible mechanism for development BRR. The above mentioned facts do not mean that there is a failure of any kind it actually opens the way for instigation of better drugs and modified regimen, which can be used in much-tailored way to preserve the renal allograft functioning for long. The development of humoral response through production </w:t>
      </w:r>
      <w:r>
        <w:rPr>
          <w:rFonts w:ascii="Book Antiqua" w:hAnsi="Book Antiqua" w:eastAsia="Book Antiqua" w:cs="Book Antiqua"/>
          <w:i/>
          <w:color w:val="000000"/>
        </w:rPr>
        <w:t>de novo</w:t>
      </w:r>
      <w:r>
        <w:rPr>
          <w:rFonts w:ascii="Book Antiqua" w:hAnsi="Book Antiqua" w:eastAsia="Book Antiqua" w:cs="Book Antiqua"/>
          <w:color w:val="000000"/>
        </w:rPr>
        <w:t xml:space="preserve"> donor-specific antibodies following renal transplantation is considered as the one of the primary reason for late-onset renal allograft failure.</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precise mechanisms by which belatacept is involved in the control of humoral responses requires thorough investigation. Studies outlined that belatacept minimizes humoral immune response including plasmablast differentiation, immunoglobulin production, and the expression of the intricate transcription factor implicated in the functioning of the plasma cell, activation of the STAT3 transcription factor in functioning B cells and reduced the expression of CD86 and blocked CD28-mediated activation of T helper cells. Lately, Leibler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[69]</w:t>
      </w:r>
      <w:r>
        <w:rPr>
          <w:rFonts w:ascii="Book Antiqua" w:hAnsi="Book Antiqua" w:eastAsia="Book Antiqua" w:cs="Book Antiqua"/>
          <w:color w:val="000000"/>
        </w:rPr>
        <w:t xml:space="preserve"> reasoned these facts as a plausible explanation towards the lesser degree of </w:t>
      </w:r>
      <w:r>
        <w:rPr>
          <w:rFonts w:ascii="Book Antiqua" w:hAnsi="Book Antiqua" w:eastAsia="Book Antiqua" w:cs="Book Antiqua"/>
          <w:i/>
          <w:color w:val="000000"/>
        </w:rPr>
        <w:t>de novo</w:t>
      </w:r>
      <w:r>
        <w:rPr>
          <w:rFonts w:ascii="Book Antiqua" w:hAnsi="Book Antiqua" w:eastAsia="Book Antiqua" w:cs="Book Antiqua"/>
          <w:color w:val="000000"/>
        </w:rPr>
        <w:t xml:space="preserve"> donor-specific antibodies generation in the belatacept treated renal allograft recipients than conventional immuno</w:t>
      </w:r>
      <w:r>
        <w:rPr>
          <w:rFonts w:hint="default" w:ascii="Book Antiqua" w:hAnsi="Book Antiqua" w:eastAsia="Book Antiqua" w:cs="Book Antiqua"/>
          <w:color w:val="000000"/>
          <w:lang w:val="en-US"/>
        </w:rPr>
        <w:t>-</w:t>
      </w:r>
      <w:r>
        <w:rPr>
          <w:rFonts w:ascii="Book Antiqua" w:hAnsi="Book Antiqua" w:eastAsia="Book Antiqua" w:cs="Book Antiqua"/>
          <w:color w:val="000000"/>
        </w:rPr>
        <w:t>suppression regimen. Hence, attention is now turning towards the development of target costimulatory molecules which become advantageous in the field of transplantation and autoimmune conditions (Figure 7).</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present meta-analysis has certain limitations, which needs to be acknowledged. Here, we only identified four trials and thus further large-scale trials would provide much-needed data to allow firmer conclusions, regarding the use of belatacept. However, considering costs and ethical concerns owing to the increased risk of renal graft loss, conducting such a study is a matter of debate. Second, publication bias can only be tested with formal statistical tests in the case of ≥ 10 included studies. Therefore, we cannot exclude the possibility that the results from meta-analyses involving &lt; 10 studies could be driven by publication bias. </w:t>
      </w:r>
    </w:p>
    <w:bookmarkEnd w:id="36"/>
    <w:bookmarkEnd w:id="37"/>
    <w:bookmarkEnd w:id="38"/>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snapToGrid w:val="0"/>
        <w:spacing w:line="360" w:lineRule="auto"/>
        <w:jc w:val="both"/>
        <w:rPr>
          <w:rFonts w:ascii="Book Antiqua" w:hAnsi="Book Antiqua"/>
        </w:rPr>
      </w:pPr>
      <w:bookmarkStart w:id="39" w:name="OLE_LINK46"/>
      <w:bookmarkStart w:id="40" w:name="OLE_LINK45"/>
      <w:r>
        <w:rPr>
          <w:rFonts w:ascii="Book Antiqua" w:hAnsi="Book Antiqua" w:eastAsia="Book Antiqua" w:cs="Book Antiqua"/>
          <w:color w:val="000000"/>
        </w:rPr>
        <w:t>The present meta-analysis showed that belatacept-based maintenance immuno</w:t>
      </w:r>
      <w:r>
        <w:rPr>
          <w:rFonts w:hint="default" w:ascii="Book Antiqua" w:hAnsi="Book Antiqua" w:eastAsia="Book Antiqua" w:cs="Book Antiqua"/>
          <w:color w:val="000000"/>
          <w:lang w:val="en-US"/>
        </w:rPr>
        <w:t>-</w:t>
      </w:r>
      <w:r>
        <w:rPr>
          <w:rFonts w:ascii="Book Antiqua" w:hAnsi="Book Antiqua" w:eastAsia="Book Antiqua" w:cs="Book Antiqua"/>
          <w:color w:val="000000"/>
        </w:rPr>
        <w:t>suppression regimens were associated with an increased risk allograft loss for renal transplant recipients with equivalent renal functioning when compared to standard of care agent Tac. The widespread adaptation of belatacept in renal transplantation has been limited by increased rates of rejection, which is conferred owing to development of resistance secondary to differentiation into various types of effector memory T cells. Henceforth, the applicability of belatacept should be tailored according to the need of transplant recipients particularly as a transition to belatacept in the maintenance phase of immunosuppression. In light of present evidence the applicability of belatacept does look like foe, however, it still has some explicit potential role, particularly in situations such as Caucasian recipients with two-haplotype identical human leukocyte antigen, living related allografts and obesity. Additional factors ought to be considered are the cardiovascular and hemodynamic complications associated with poor allograft function, along with the immunological risk as role of belatacept is never reported in the recipients with PRA &gt; 30%. Further research are required to assess the safety and efficacy of belatacept in the setting of immunological sensitizationand to better elucidate the mechanism of resistance and development of therapeutic strategies with focus on adhesion molecule blockade or abrogation of memory-specific responses.</w:t>
      </w:r>
    </w:p>
    <w:bookmarkEnd w:id="39"/>
    <w:bookmarkEnd w:id="40"/>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napToGrid w:val="0"/>
        <w:spacing w:line="360" w:lineRule="auto"/>
        <w:jc w:val="both"/>
        <w:rPr>
          <w:rFonts w:ascii="Book Antiqua" w:hAnsi="Book Antiqua"/>
        </w:rPr>
      </w:pPr>
      <w:r>
        <w:rPr>
          <w:rFonts w:ascii="Book Antiqua" w:hAnsi="Book Antiqua" w:eastAsia="Book Antiqua" w:cs="Book Antiqua"/>
          <w:b/>
          <w:i/>
          <w:color w:val="000000"/>
        </w:rPr>
        <w:t>Research background</w:t>
      </w:r>
    </w:p>
    <w:p>
      <w:pPr>
        <w:snapToGrid w:val="0"/>
        <w:spacing w:line="360" w:lineRule="auto"/>
        <w:jc w:val="both"/>
        <w:rPr>
          <w:rFonts w:ascii="Book Antiqua" w:hAnsi="Book Antiqua"/>
        </w:rPr>
      </w:pPr>
      <w:bookmarkStart w:id="41" w:name="OLE_LINK48"/>
      <w:bookmarkStart w:id="42" w:name="OLE_LINK47"/>
      <w:r>
        <w:rPr>
          <w:rFonts w:ascii="Book Antiqua" w:hAnsi="Book Antiqua" w:eastAsia="Book Antiqua" w:cs="Book Antiqua"/>
          <w:color w:val="000000"/>
        </w:rPr>
        <w:t>The T-cell costimulation blocking agent belatacept is considered as possible substitute for calcineurin inhibitors, however, no consensus has been established against its standard immunusuppressive drug Tacrolimus.</w:t>
      </w:r>
    </w:p>
    <w:bookmarkEnd w:id="41"/>
    <w:bookmarkEnd w:id="42"/>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Research motivation</w:t>
      </w:r>
    </w:p>
    <w:p>
      <w:pPr>
        <w:snapToGrid w:val="0"/>
        <w:spacing w:line="360" w:lineRule="auto"/>
        <w:jc w:val="both"/>
        <w:rPr>
          <w:rFonts w:ascii="Book Antiqua" w:hAnsi="Book Antiqua"/>
        </w:rPr>
      </w:pPr>
      <w:bookmarkStart w:id="43" w:name="OLE_LINK50"/>
      <w:bookmarkStart w:id="44" w:name="OLE_LINK49"/>
      <w:r>
        <w:rPr>
          <w:rFonts w:ascii="Book Antiqua" w:hAnsi="Book Antiqua" w:eastAsia="Book Antiqua" w:cs="Book Antiqua"/>
          <w:color w:val="000000"/>
        </w:rPr>
        <w:t>To find the alternative to current immunosuppressive medicine tacrolimus because of its high toxic adverse effects.</w:t>
      </w:r>
    </w:p>
    <w:bookmarkEnd w:id="43"/>
    <w:bookmarkEnd w:id="44"/>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Research objectives</w:t>
      </w:r>
    </w:p>
    <w:p>
      <w:pPr>
        <w:snapToGrid w:val="0"/>
        <w:spacing w:line="360" w:lineRule="auto"/>
        <w:jc w:val="both"/>
        <w:rPr>
          <w:rFonts w:ascii="Book Antiqua" w:hAnsi="Book Antiqua"/>
        </w:rPr>
      </w:pPr>
      <w:bookmarkStart w:id="45" w:name="OLE_LINK52"/>
      <w:bookmarkStart w:id="46" w:name="OLE_LINK51"/>
      <w:r>
        <w:rPr>
          <w:rFonts w:ascii="Book Antiqua" w:hAnsi="Book Antiqua" w:eastAsia="Book Antiqua" w:cs="Book Antiqua"/>
          <w:color w:val="000000"/>
        </w:rPr>
        <w:t>To understand the effectiveness of belatacept based maintenance immunosuppressive regimens in comparison to tacrolimus in renal transplantion through meta-analysis.</w:t>
      </w:r>
    </w:p>
    <w:bookmarkEnd w:id="45"/>
    <w:bookmarkEnd w:id="46"/>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Research methods</w:t>
      </w:r>
    </w:p>
    <w:p>
      <w:pPr>
        <w:snapToGrid w:val="0"/>
        <w:spacing w:line="360" w:lineRule="auto"/>
        <w:jc w:val="both"/>
        <w:rPr>
          <w:rFonts w:ascii="Book Antiqua" w:hAnsi="Book Antiqua"/>
        </w:rPr>
      </w:pPr>
      <w:bookmarkStart w:id="47" w:name="OLE_LINK53"/>
      <w:r>
        <w:rPr>
          <w:rFonts w:ascii="Book Antiqua" w:hAnsi="Book Antiqua" w:eastAsia="Book Antiqua" w:cs="Book Antiqua"/>
          <w:color w:val="000000"/>
        </w:rPr>
        <w:t xml:space="preserve">The present meta-analysis was conducted following completion of registration (CRD42018086032) in Prospero an international database of prospectively registered systematic reviews. A detailed literature search was made on National Library of Medicine Database (PubMed), </w:t>
      </w:r>
      <w:bookmarkStart w:id="48" w:name="OLE_LINK7"/>
      <w:bookmarkStart w:id="49" w:name="OLE_LINK8"/>
      <w:r>
        <w:rPr>
          <w:rFonts w:ascii="Book Antiqua" w:hAnsi="Book Antiqua" w:eastAsia="Book Antiqua" w:cs="Book Antiqua"/>
          <w:color w:val="000000"/>
        </w:rPr>
        <w:t>Embase</w:t>
      </w:r>
      <w:bookmarkEnd w:id="48"/>
      <w:bookmarkEnd w:id="49"/>
      <w:r>
        <w:rPr>
          <w:rFonts w:ascii="Book Antiqua" w:hAnsi="Book Antiqua" w:eastAsia="Book Antiqua" w:cs="Book Antiqua"/>
          <w:color w:val="000000"/>
        </w:rPr>
        <w:t>, Cochrane, Crossref, Scopus databases, clinical trial registries on December 5, 2018 to determine the immunosuppressive role of belatacept as an alternative to Tac and analyis of data was performed through The Cochrane Collaboration, Review Manager (RevMan) Version 5.3.</w:t>
      </w:r>
    </w:p>
    <w:bookmarkEnd w:id="47"/>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Research results</w:t>
      </w:r>
    </w:p>
    <w:p>
      <w:pPr>
        <w:snapToGrid w:val="0"/>
        <w:spacing w:line="360" w:lineRule="auto"/>
        <w:jc w:val="both"/>
        <w:rPr>
          <w:rFonts w:ascii="Book Antiqua" w:hAnsi="Book Antiqua"/>
        </w:rPr>
      </w:pPr>
      <w:bookmarkStart w:id="50" w:name="OLE_LINK55"/>
      <w:bookmarkStart w:id="51" w:name="OLE_LINK54"/>
      <w:r>
        <w:rPr>
          <w:rFonts w:ascii="Book Antiqua" w:hAnsi="Book Antiqua" w:eastAsia="Book Antiqua" w:cs="Book Antiqua"/>
          <w:color w:val="000000"/>
        </w:rPr>
        <w:t>The literature search revealed four prospective randomized control studies (</w:t>
      </w:r>
      <w:r>
        <w:rPr>
          <w:rFonts w:ascii="Book Antiqua" w:hAnsi="Book Antiqua" w:eastAsia="Book Antiqua" w:cs="Book Antiqua"/>
          <w:i/>
          <w:iCs/>
          <w:color w:val="000000"/>
        </w:rPr>
        <w:t>n</w:t>
      </w:r>
      <w:r>
        <w:rPr>
          <w:rFonts w:ascii="Book Antiqua" w:hAnsi="Book Antiqua" w:eastAsia="Book Antiqua" w:cs="Book Antiqua"/>
          <w:color w:val="000000"/>
        </w:rPr>
        <w:t xml:space="preserve"> = 173 participants) comparing belatacept with tacrolimus. There was no significant difference in estimated renal function at 12 mo [mean difference 4.12 mL/min/1.73 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confidence interval (CI): -2.18 to 10.42, </w:t>
      </w:r>
      <w:r>
        <w:rPr>
          <w:rFonts w:ascii="Book Antiqua" w:hAnsi="Book Antiqua" w:eastAsia="Book Antiqua" w:cs="Book Antiqua"/>
          <w:i/>
          <w:iCs/>
          <w:color w:val="000000"/>
        </w:rPr>
        <w:t>P</w:t>
      </w:r>
      <w:r>
        <w:rPr>
          <w:rFonts w:ascii="Book Antiqua" w:hAnsi="Book Antiqua" w:eastAsia="Book Antiqua" w:cs="Book Antiqua"/>
          <w:color w:val="000000"/>
        </w:rPr>
        <w:t xml:space="preserve"> = 0.20]. Further, belatacept group was associated with significant increase in biopsy proven acute rejection [relative risk (RR) = 3.27, CI: 0.88 to 12.11, </w:t>
      </w:r>
      <w:r>
        <w:rPr>
          <w:rFonts w:ascii="Book Antiqua" w:hAnsi="Book Antiqua" w:eastAsia="Book Antiqua" w:cs="Book Antiqua"/>
          <w:i/>
          <w:color w:val="000000"/>
        </w:rPr>
        <w:t>P</w:t>
      </w:r>
      <w:r>
        <w:rPr>
          <w:rFonts w:ascii="Book Antiqua" w:hAnsi="Book Antiqua" w:eastAsia="Book Antiqua" w:cs="Book Antiqua"/>
          <w:color w:val="000000"/>
        </w:rPr>
        <w:t xml:space="preserve"> = 0.08] and worse 12 mo allograft survival (RR = 4.51, CI: 1.23 to 16.58, </w:t>
      </w:r>
      <w:r>
        <w:rPr>
          <w:rFonts w:ascii="Book Antiqua" w:hAnsi="Book Antiqua" w:eastAsia="Book Antiqua" w:cs="Book Antiqua"/>
          <w:i/>
          <w:color w:val="000000"/>
        </w:rPr>
        <w:t>P</w:t>
      </w:r>
      <w:r>
        <w:rPr>
          <w:rFonts w:ascii="Book Antiqua" w:hAnsi="Book Antiqua" w:eastAsia="Book Antiqua" w:cs="Book Antiqua"/>
          <w:color w:val="000000"/>
        </w:rPr>
        <w:t xml:space="preserve"> = 0.02). Although, the incidence of new onset diabetes mellitus was lower with belatacept at 12 mo (RR = 0.26, CI: 0.07 to 0.99, </w:t>
      </w:r>
      <w:r>
        <w:rPr>
          <w:rFonts w:ascii="Book Antiqua" w:hAnsi="Book Antiqua" w:eastAsia="Book Antiqua" w:cs="Book Antiqua"/>
          <w:i/>
          <w:iCs/>
          <w:color w:val="000000"/>
        </w:rPr>
        <w:t>P</w:t>
      </w:r>
      <w:r>
        <w:rPr>
          <w:rFonts w:ascii="Book Antiqua" w:hAnsi="Book Antiqua" w:eastAsia="Book Antiqua" w:cs="Book Antiqua"/>
          <w:color w:val="000000"/>
        </w:rPr>
        <w:t xml:space="preserve"> = 0.05). </w:t>
      </w:r>
    </w:p>
    <w:bookmarkEnd w:id="50"/>
    <w:bookmarkEnd w:id="51"/>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Research conclusions</w:t>
      </w:r>
    </w:p>
    <w:p>
      <w:pPr>
        <w:snapToGrid w:val="0"/>
        <w:spacing w:line="360" w:lineRule="auto"/>
        <w:jc w:val="both"/>
        <w:rPr>
          <w:rFonts w:ascii="Book Antiqua" w:hAnsi="Book Antiqua"/>
        </w:rPr>
      </w:pPr>
      <w:bookmarkStart w:id="52" w:name="OLE_LINK57"/>
      <w:bookmarkStart w:id="53" w:name="OLE_LINK56"/>
      <w:r>
        <w:rPr>
          <w:rFonts w:ascii="Book Antiqua" w:hAnsi="Book Antiqua" w:eastAsia="Book Antiqua" w:cs="Book Antiqua"/>
          <w:color w:val="000000"/>
        </w:rPr>
        <w:t>The meta-analysis demonstrated that belatacept-based maintenance immuno</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suppression regimens were associated with an increased risk allograft loss in renal transplant recipients with equivalent renal functioning against standard tacrolimus. Further, the inclusion of belatacept as routine immunosuppresive agent in renal transplantation has been thwarted by increased rates of rejection and resistance owing to development of various effector memory T cells through, parallel differentiation and immunological plasticity.</w:t>
      </w:r>
    </w:p>
    <w:p>
      <w:pPr>
        <w:snapToGrid w:val="0"/>
        <w:spacing w:line="360" w:lineRule="auto"/>
        <w:jc w:val="both"/>
        <w:rPr>
          <w:rFonts w:ascii="Book Antiqua" w:hAnsi="Book Antiqua"/>
        </w:rPr>
      </w:pPr>
    </w:p>
    <w:bookmarkEnd w:id="52"/>
    <w:bookmarkEnd w:id="53"/>
    <w:p>
      <w:pPr>
        <w:snapToGrid w:val="0"/>
        <w:spacing w:line="360" w:lineRule="auto"/>
        <w:jc w:val="both"/>
        <w:rPr>
          <w:rFonts w:ascii="Book Antiqua" w:hAnsi="Book Antiqua"/>
        </w:rPr>
      </w:pPr>
      <w:r>
        <w:rPr>
          <w:rFonts w:ascii="Book Antiqua" w:hAnsi="Book Antiqua" w:eastAsia="Book Antiqua" w:cs="Book Antiqua"/>
          <w:b/>
          <w:i/>
          <w:color w:val="000000"/>
        </w:rPr>
        <w:t>Research perspectives</w:t>
      </w:r>
    </w:p>
    <w:p>
      <w:pPr>
        <w:snapToGrid w:val="0"/>
        <w:spacing w:line="360" w:lineRule="auto"/>
        <w:jc w:val="both"/>
        <w:rPr>
          <w:rFonts w:ascii="Book Antiqua" w:hAnsi="Book Antiqua"/>
        </w:rPr>
      </w:pPr>
      <w:bookmarkStart w:id="54" w:name="OLE_LINK59"/>
      <w:bookmarkStart w:id="55" w:name="OLE_LINK58"/>
      <w:r>
        <w:rPr>
          <w:rFonts w:ascii="Book Antiqua" w:hAnsi="Book Antiqua" w:eastAsia="Book Antiqua" w:cs="Book Antiqua"/>
          <w:color w:val="000000"/>
        </w:rPr>
        <w:t>Study required to determine the safety and efficacy of belatacept in the setting of immunological sensitization and to better elucidate the mechanism of resistance and development of therapeutic strategies with focus on adhesion molecule blockade or abrogation of memory-specific responses.</w:t>
      </w:r>
    </w:p>
    <w:bookmarkEnd w:id="54"/>
    <w:bookmarkEnd w:id="55"/>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REFERENCES</w:t>
      </w:r>
    </w:p>
    <w:p>
      <w:pPr>
        <w:snapToGrid w:val="0"/>
        <w:spacing w:line="360" w:lineRule="auto"/>
        <w:jc w:val="both"/>
        <w:rPr>
          <w:rFonts w:ascii="Book Antiqua" w:hAnsi="Book Antiqua"/>
        </w:rPr>
      </w:pPr>
      <w:bookmarkStart w:id="56" w:name="OLE_LINK61"/>
      <w:bookmarkStart w:id="57" w:name="OLE_LINK60"/>
      <w:r>
        <w:rPr>
          <w:rFonts w:ascii="Book Antiqua" w:hAnsi="Book Antiqua" w:eastAsia="Book Antiqua" w:cs="Book Antiqua"/>
          <w:color w:val="000000"/>
        </w:rPr>
        <w:t xml:space="preserve">1 </w:t>
      </w:r>
      <w:r>
        <w:rPr>
          <w:rFonts w:ascii="Book Antiqua" w:hAnsi="Book Antiqua" w:eastAsia="Book Antiqua" w:cs="Book Antiqua"/>
          <w:b/>
          <w:bCs/>
          <w:color w:val="000000"/>
        </w:rPr>
        <w:t>Salvadori M</w:t>
      </w:r>
      <w:r>
        <w:rPr>
          <w:rFonts w:ascii="Book Antiqua" w:hAnsi="Book Antiqua" w:eastAsia="Book Antiqua" w:cs="Book Antiqua"/>
          <w:color w:val="000000"/>
        </w:rPr>
        <w:t xml:space="preserve">, Bertoni E. Is it time to give up with calcineurin inhibitors in kidney transplantation? </w:t>
      </w:r>
      <w:r>
        <w:rPr>
          <w:rFonts w:ascii="Book Antiqua" w:hAnsi="Book Antiqua" w:eastAsia="Book Antiqua" w:cs="Book Antiqua"/>
          <w:i/>
          <w:iCs/>
          <w:color w:val="000000"/>
        </w:rPr>
        <w:t>World J Transplant</w:t>
      </w:r>
      <w:r>
        <w:rPr>
          <w:rFonts w:ascii="Book Antiqua" w:hAnsi="Book Antiqua" w:eastAsia="Book Antiqua" w:cs="Book Antiqua"/>
          <w:color w:val="000000"/>
        </w:rPr>
        <w:t xml:space="preserve"> 2013; </w:t>
      </w:r>
      <w:r>
        <w:rPr>
          <w:rFonts w:ascii="Book Antiqua" w:hAnsi="Book Antiqua" w:eastAsia="Book Antiqua" w:cs="Book Antiqua"/>
          <w:b/>
          <w:bCs/>
          <w:color w:val="000000"/>
        </w:rPr>
        <w:t>3</w:t>
      </w:r>
      <w:r>
        <w:rPr>
          <w:rFonts w:ascii="Book Antiqua" w:hAnsi="Book Antiqua" w:eastAsia="Book Antiqua" w:cs="Book Antiqua"/>
          <w:color w:val="000000"/>
        </w:rPr>
        <w:t>: 7-25 [PMID: 24175203 DOI: 10.5500/wjt.v3.i2.7]</w:t>
      </w:r>
    </w:p>
    <w:p>
      <w:pPr>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Knops N</w:t>
      </w:r>
      <w:r>
        <w:rPr>
          <w:rFonts w:ascii="Book Antiqua" w:hAnsi="Book Antiqua" w:eastAsia="Book Antiqua" w:cs="Book Antiqua"/>
          <w:color w:val="000000"/>
        </w:rPr>
        <w:t xml:space="preserve">, Levtchenko E, van den Heuvel B, Kuypers D. From gut to kidney: transporting and metabolizing calcineurin-inhibitors in solid organ transplantation. </w:t>
      </w:r>
      <w:r>
        <w:rPr>
          <w:rFonts w:ascii="Book Antiqua" w:hAnsi="Book Antiqua" w:eastAsia="Book Antiqua" w:cs="Book Antiqua"/>
          <w:i/>
          <w:iCs/>
          <w:color w:val="000000"/>
        </w:rPr>
        <w:t>Int J Pharm</w:t>
      </w:r>
      <w:r>
        <w:rPr>
          <w:rFonts w:ascii="Book Antiqua" w:hAnsi="Book Antiqua" w:eastAsia="Book Antiqua" w:cs="Book Antiqua"/>
          <w:color w:val="000000"/>
        </w:rPr>
        <w:t xml:space="preserve"> 2013; </w:t>
      </w:r>
      <w:r>
        <w:rPr>
          <w:rFonts w:ascii="Book Antiqua" w:hAnsi="Book Antiqua" w:eastAsia="Book Antiqua" w:cs="Book Antiqua"/>
          <w:b/>
          <w:bCs/>
          <w:color w:val="000000"/>
        </w:rPr>
        <w:t>452</w:t>
      </w:r>
      <w:r>
        <w:rPr>
          <w:rFonts w:ascii="Book Antiqua" w:hAnsi="Book Antiqua" w:eastAsia="Book Antiqua" w:cs="Book Antiqua"/>
          <w:color w:val="000000"/>
        </w:rPr>
        <w:t>: 14-35 [PMID: 23711732 DOI: 10.1016/j.ijpharm.2013.05.033]</w:t>
      </w:r>
    </w:p>
    <w:p>
      <w:pPr>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Webster AC</w:t>
      </w:r>
      <w:r>
        <w:rPr>
          <w:rFonts w:ascii="Book Antiqua" w:hAnsi="Book Antiqua" w:eastAsia="Book Antiqua" w:cs="Book Antiqua"/>
          <w:color w:val="000000"/>
        </w:rPr>
        <w:t xml:space="preserve">, Woodroffe RC, Taylor RS, Chapman JR, Craig JC. Tacrolimus </w:t>
      </w:r>
      <w:r>
        <w:rPr>
          <w:rFonts w:ascii="Book Antiqua" w:hAnsi="Book Antiqua" w:eastAsia="Book Antiqua" w:cs="Book Antiqua"/>
          <w:i/>
          <w:iCs/>
          <w:color w:val="000000"/>
        </w:rPr>
        <w:t>vs</w:t>
      </w:r>
      <w:r>
        <w:rPr>
          <w:rFonts w:ascii="Book Antiqua" w:hAnsi="Book Antiqua" w:eastAsia="Book Antiqua" w:cs="Book Antiqua"/>
          <w:color w:val="000000"/>
        </w:rPr>
        <w:t xml:space="preserve"> ciclosporin as primary immunosuppression for kidney transplant recipients: meta-analysis and meta-regression of randomised trial data. </w:t>
      </w:r>
      <w:r>
        <w:rPr>
          <w:rFonts w:ascii="Book Antiqua" w:hAnsi="Book Antiqua" w:eastAsia="Book Antiqua" w:cs="Book Antiqua"/>
          <w:i/>
          <w:iCs/>
          <w:color w:val="000000"/>
        </w:rPr>
        <w:t>BMJ</w:t>
      </w:r>
      <w:r>
        <w:rPr>
          <w:rFonts w:ascii="Book Antiqua" w:hAnsi="Book Antiqua" w:eastAsia="Book Antiqua" w:cs="Book Antiqua"/>
          <w:color w:val="000000"/>
        </w:rPr>
        <w:t xml:space="preserve"> 2005; </w:t>
      </w:r>
      <w:r>
        <w:rPr>
          <w:rFonts w:ascii="Book Antiqua" w:hAnsi="Book Antiqua" w:eastAsia="Book Antiqua" w:cs="Book Antiqua"/>
          <w:b/>
          <w:bCs/>
          <w:color w:val="000000"/>
        </w:rPr>
        <w:t>331</w:t>
      </w:r>
      <w:r>
        <w:rPr>
          <w:rFonts w:ascii="Book Antiqua" w:hAnsi="Book Antiqua" w:eastAsia="Book Antiqua" w:cs="Book Antiqua"/>
          <w:color w:val="000000"/>
        </w:rPr>
        <w:t>: 810 [PMID: 16157605 DOI: 10.1136/bmj.38569.471007.AE]</w:t>
      </w:r>
    </w:p>
    <w:p>
      <w:pPr>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Ekberg H</w:t>
      </w:r>
      <w:r>
        <w:rPr>
          <w:rFonts w:ascii="Book Antiqua" w:hAnsi="Book Antiqua" w:eastAsia="Book Antiqua" w:cs="Book Antiqua"/>
          <w:color w:val="000000"/>
        </w:rPr>
        <w:t xml:space="preserve">, Tedesco-Silva H, Demirbas A, Vítko S, Nashan B, Gürkan A, Margreiter R, Hugo C, Grinyó JM, Frei U, Vanrenterghem Y, Daloze P, Halloran PF; ELITE-Symphony Study. Reduced exposure to calcineurin inhibitors in renal transplantation.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2007; </w:t>
      </w:r>
      <w:r>
        <w:rPr>
          <w:rFonts w:ascii="Book Antiqua" w:hAnsi="Book Antiqua" w:eastAsia="Book Antiqua" w:cs="Book Antiqua"/>
          <w:b/>
          <w:bCs/>
          <w:color w:val="000000"/>
        </w:rPr>
        <w:t>357</w:t>
      </w:r>
      <w:r>
        <w:rPr>
          <w:rFonts w:ascii="Book Antiqua" w:hAnsi="Book Antiqua" w:eastAsia="Book Antiqua" w:cs="Book Antiqua"/>
          <w:color w:val="000000"/>
        </w:rPr>
        <w:t>: 2562-2575 [PMID: 18094377 DOI: 10.1056/NEJMoa067411]</w:t>
      </w:r>
    </w:p>
    <w:p>
      <w:pPr>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Diekmann F</w:t>
      </w:r>
      <w:r>
        <w:rPr>
          <w:rFonts w:ascii="Book Antiqua" w:hAnsi="Book Antiqua" w:eastAsia="Book Antiqua" w:cs="Book Antiqua"/>
          <w:color w:val="000000"/>
        </w:rPr>
        <w:t xml:space="preserve">, Andrés A, Oppenheimer F. mTOR inhibitor-associated proteinuria in kidney transplant recipients. </w:t>
      </w:r>
      <w:r>
        <w:rPr>
          <w:rFonts w:ascii="Book Antiqua" w:hAnsi="Book Antiqua" w:eastAsia="Book Antiqua" w:cs="Book Antiqua"/>
          <w:i/>
          <w:iCs/>
          <w:color w:val="000000"/>
        </w:rPr>
        <w:t>Transplant Rev (Orlando)</w:t>
      </w:r>
      <w:r>
        <w:rPr>
          <w:rFonts w:ascii="Book Antiqua" w:hAnsi="Book Antiqua" w:eastAsia="Book Antiqua" w:cs="Book Antiqua"/>
          <w:color w:val="000000"/>
        </w:rPr>
        <w:t xml:space="preserve"> 2012; </w:t>
      </w:r>
      <w:r>
        <w:rPr>
          <w:rFonts w:ascii="Book Antiqua" w:hAnsi="Book Antiqua" w:eastAsia="Book Antiqua" w:cs="Book Antiqua"/>
          <w:b/>
          <w:bCs/>
          <w:color w:val="000000"/>
        </w:rPr>
        <w:t>26</w:t>
      </w:r>
      <w:r>
        <w:rPr>
          <w:rFonts w:ascii="Book Antiqua" w:hAnsi="Book Antiqua" w:eastAsia="Book Antiqua" w:cs="Book Antiqua"/>
          <w:color w:val="000000"/>
        </w:rPr>
        <w:t>: 27-29 [PMID: 22137729 DOI: 10.1016/j.trre.2011.10.003]</w:t>
      </w:r>
    </w:p>
    <w:p>
      <w:pPr>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Krieger NR</w:t>
      </w:r>
      <w:r>
        <w:rPr>
          <w:rFonts w:ascii="Book Antiqua" w:hAnsi="Book Antiqua" w:eastAsia="Book Antiqua" w:cs="Book Antiqua"/>
          <w:color w:val="000000"/>
        </w:rPr>
        <w:t xml:space="preserve">, Becker BN, Heisey DM, Voss BJ, D'Alessandro AM, Becker YT, Odorico JS, Kalayoglu M, Pirsch JD, Sollinger HW, Knechtle SJ. Chronic allograft nephropathy uniformly affects recipients of cadaveric, nonidentical living-related, and living-unrelated grafts.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2003; </w:t>
      </w:r>
      <w:r>
        <w:rPr>
          <w:rFonts w:ascii="Book Antiqua" w:hAnsi="Book Antiqua" w:eastAsia="Book Antiqua" w:cs="Book Antiqua"/>
          <w:b/>
          <w:bCs/>
          <w:color w:val="000000"/>
        </w:rPr>
        <w:t>75</w:t>
      </w:r>
      <w:r>
        <w:rPr>
          <w:rFonts w:ascii="Book Antiqua" w:hAnsi="Book Antiqua" w:eastAsia="Book Antiqua" w:cs="Book Antiqua"/>
          <w:color w:val="000000"/>
        </w:rPr>
        <w:t>: 1677-1682 [PMID: 12777855 DOI: 10.1097/01.TP.0000063830.60937.06]</w:t>
      </w:r>
    </w:p>
    <w:p>
      <w:pPr>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Flechner SM</w:t>
      </w:r>
      <w:r>
        <w:rPr>
          <w:rFonts w:ascii="Book Antiqua" w:hAnsi="Book Antiqua" w:eastAsia="Book Antiqua" w:cs="Book Antiqua"/>
          <w:color w:val="000000"/>
        </w:rPr>
        <w:t xml:space="preserve">, Goldfarb D, Solez K, Modlin CS, Mastroianni B, Savas K, Babineau D, Kurian S, Salomon D, Novick AC, Cook DJ. Kidney transplantation with sirolimus and mycophenolate mofetil-based immunosuppression: 5-year results of a randomized prospective trial compared to calcineurin inhibitor drugs.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2007; </w:t>
      </w:r>
      <w:r>
        <w:rPr>
          <w:rFonts w:ascii="Book Antiqua" w:hAnsi="Book Antiqua" w:eastAsia="Book Antiqua" w:cs="Book Antiqua"/>
          <w:b/>
          <w:bCs/>
          <w:color w:val="000000"/>
        </w:rPr>
        <w:t>83</w:t>
      </w:r>
      <w:r>
        <w:rPr>
          <w:rFonts w:ascii="Book Antiqua" w:hAnsi="Book Antiqua" w:eastAsia="Book Antiqua" w:cs="Book Antiqua"/>
          <w:color w:val="000000"/>
        </w:rPr>
        <w:t>: 883-892 [PMID: 17460558 DOI: 10.1097/01.tp.0000258586.52777.4c]</w:t>
      </w:r>
    </w:p>
    <w:p>
      <w:pPr>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Flechner SM</w:t>
      </w:r>
      <w:r>
        <w:rPr>
          <w:rFonts w:ascii="Book Antiqua" w:hAnsi="Book Antiqua" w:eastAsia="Book Antiqua" w:cs="Book Antiqua"/>
          <w:color w:val="000000"/>
        </w:rPr>
        <w:t xml:space="preserve">. Sirolimus in kidney transplantation indications and practical guidelines: de novo sirolimus-based therapy without calcineurin inhibitors.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2009; </w:t>
      </w:r>
      <w:r>
        <w:rPr>
          <w:rFonts w:ascii="Book Antiqua" w:hAnsi="Book Antiqua" w:eastAsia="Book Antiqua" w:cs="Book Antiqua"/>
          <w:b/>
          <w:bCs/>
          <w:color w:val="000000"/>
        </w:rPr>
        <w:t>87</w:t>
      </w:r>
      <w:r>
        <w:rPr>
          <w:rFonts w:ascii="Book Antiqua" w:hAnsi="Book Antiqua" w:eastAsia="Book Antiqua" w:cs="Book Antiqua"/>
          <w:color w:val="000000"/>
        </w:rPr>
        <w:t>: S1-S6 [PMID: 19384179 DOI: 10.1097/TP.0b013e3181a059a1]</w:t>
      </w:r>
    </w:p>
    <w:p>
      <w:pPr>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Cornell LD</w:t>
      </w:r>
      <w:r>
        <w:rPr>
          <w:rFonts w:ascii="Book Antiqua" w:hAnsi="Book Antiqua" w:eastAsia="Book Antiqua" w:cs="Book Antiqua"/>
          <w:color w:val="000000"/>
        </w:rPr>
        <w:t xml:space="preserve">, Colvin RB. Chronic allograft nephropathy. </w:t>
      </w:r>
      <w:r>
        <w:rPr>
          <w:rFonts w:ascii="Book Antiqua" w:hAnsi="Book Antiqua" w:eastAsia="Book Antiqua" w:cs="Book Antiqua"/>
          <w:i/>
          <w:iCs/>
          <w:color w:val="000000"/>
        </w:rPr>
        <w:t>Curr Opin Nephrol Hypertens</w:t>
      </w:r>
      <w:r>
        <w:rPr>
          <w:rFonts w:ascii="Book Antiqua" w:hAnsi="Book Antiqua" w:eastAsia="Book Antiqua" w:cs="Book Antiqua"/>
          <w:color w:val="000000"/>
        </w:rPr>
        <w:t xml:space="preserve"> 2005; </w:t>
      </w:r>
      <w:r>
        <w:rPr>
          <w:rFonts w:ascii="Book Antiqua" w:hAnsi="Book Antiqua" w:eastAsia="Book Antiqua" w:cs="Book Antiqua"/>
          <w:b/>
          <w:bCs/>
          <w:color w:val="000000"/>
        </w:rPr>
        <w:t>14</w:t>
      </w:r>
      <w:r>
        <w:rPr>
          <w:rFonts w:ascii="Book Antiqua" w:hAnsi="Book Antiqua" w:eastAsia="Book Antiqua" w:cs="Book Antiqua"/>
          <w:color w:val="000000"/>
        </w:rPr>
        <w:t>: 229-234 [PMID: 15821415 DOI: 10.1097/01.mnh.0000165888.83125.07]</w:t>
      </w:r>
    </w:p>
    <w:p>
      <w:pPr>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Li C</w:t>
      </w:r>
      <w:r>
        <w:rPr>
          <w:rFonts w:ascii="Book Antiqua" w:hAnsi="Book Antiqua" w:eastAsia="Book Antiqua" w:cs="Book Antiqua"/>
          <w:color w:val="000000"/>
        </w:rPr>
        <w:t xml:space="preserve">, Yang CW. The pathogenesis and treatment of chronic allograft nephropathy. </w:t>
      </w:r>
      <w:r>
        <w:rPr>
          <w:rFonts w:ascii="Book Antiqua" w:hAnsi="Book Antiqua" w:eastAsia="Book Antiqua" w:cs="Book Antiqua"/>
          <w:i/>
          <w:iCs/>
          <w:color w:val="000000"/>
        </w:rPr>
        <w:t>Nat Rev Nephrol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5</w:t>
      </w:r>
      <w:r>
        <w:rPr>
          <w:rFonts w:ascii="Book Antiqua" w:hAnsi="Book Antiqua" w:eastAsia="Book Antiqua" w:cs="Book Antiqua"/>
          <w:color w:val="000000"/>
        </w:rPr>
        <w:t>: 513-519 [PMID: 19636333 DOI: 10.1038/nrneph.2009.113]</w:t>
      </w:r>
    </w:p>
    <w:p>
      <w:pPr>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Hamdy AF</w:t>
      </w:r>
      <w:r>
        <w:rPr>
          <w:rFonts w:ascii="Book Antiqua" w:hAnsi="Book Antiqua" w:eastAsia="Book Antiqua" w:cs="Book Antiqua"/>
          <w:color w:val="000000"/>
        </w:rPr>
        <w:t xml:space="preserve">, El-Agroudy AE, Bakr MA, Mostafa A, El-Baz M, El-Shahawy el-M, Ghoneim MA. Comparison of sirolimus with low-dose tacrolimus </w:t>
      </w:r>
      <w:r>
        <w:rPr>
          <w:rFonts w:ascii="Book Antiqua" w:hAnsi="Book Antiqua" w:eastAsia="Book Antiqua" w:cs="Book Antiqua"/>
          <w:i/>
          <w:iCs/>
          <w:color w:val="000000"/>
        </w:rPr>
        <w:t>vs</w:t>
      </w:r>
      <w:r>
        <w:rPr>
          <w:rFonts w:ascii="Book Antiqua" w:hAnsi="Book Antiqua" w:eastAsia="Book Antiqua" w:cs="Book Antiqua"/>
          <w:color w:val="000000"/>
        </w:rPr>
        <w:t xml:space="preserve"> sirolimus-based calcineurin inhibitor-free regimen in live donor renal transplantation.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2005; </w:t>
      </w:r>
      <w:r>
        <w:rPr>
          <w:rFonts w:ascii="Book Antiqua" w:hAnsi="Book Antiqua" w:eastAsia="Book Antiqua" w:cs="Book Antiqua"/>
          <w:b/>
          <w:bCs/>
          <w:color w:val="000000"/>
        </w:rPr>
        <w:t>5</w:t>
      </w:r>
      <w:r>
        <w:rPr>
          <w:rFonts w:ascii="Book Antiqua" w:hAnsi="Book Antiqua" w:eastAsia="Book Antiqua" w:cs="Book Antiqua"/>
          <w:color w:val="000000"/>
        </w:rPr>
        <w:t>: 2531-2538 [PMID: 16162204 DOI: 10.1111/j.1600-6143.2005.01064.x]</w:t>
      </w:r>
    </w:p>
    <w:p>
      <w:pPr>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Oberbauer R</w:t>
      </w:r>
      <w:r>
        <w:rPr>
          <w:rFonts w:ascii="Book Antiqua" w:hAnsi="Book Antiqua" w:eastAsia="Book Antiqua" w:cs="Book Antiqua"/>
          <w:color w:val="000000"/>
        </w:rPr>
        <w:t xml:space="preserve">, Segoloni G, Campistol JM, Kreis H, Mota A, Lawen J, Russ G, Grinyó JM, Stallone G, Hartmann A, Pinto JR, Chapman J, Burke JT, Brault Y, Neylan JF; Rapamune Maintenance Regimen Study Group. Early cyclosporine withdrawal from a sirolimus-based regimen results in better renal allograft survival and renal function at 48 mo after transplantation. </w:t>
      </w:r>
      <w:r>
        <w:rPr>
          <w:rFonts w:ascii="Book Antiqua" w:hAnsi="Book Antiqua" w:eastAsia="Book Antiqua" w:cs="Book Antiqua"/>
          <w:i/>
          <w:iCs/>
          <w:color w:val="000000"/>
        </w:rPr>
        <w:t>Transpl Int</w:t>
      </w:r>
      <w:r>
        <w:rPr>
          <w:rFonts w:ascii="Book Antiqua" w:hAnsi="Book Antiqua" w:eastAsia="Book Antiqua" w:cs="Book Antiqua"/>
          <w:color w:val="000000"/>
        </w:rPr>
        <w:t xml:space="preserve"> 2005; </w:t>
      </w:r>
      <w:r>
        <w:rPr>
          <w:rFonts w:ascii="Book Antiqua" w:hAnsi="Book Antiqua" w:eastAsia="Book Antiqua" w:cs="Book Antiqua"/>
          <w:b/>
          <w:bCs/>
          <w:color w:val="000000"/>
        </w:rPr>
        <w:t>18</w:t>
      </w:r>
      <w:r>
        <w:rPr>
          <w:rFonts w:ascii="Book Antiqua" w:hAnsi="Book Antiqua" w:eastAsia="Book Antiqua" w:cs="Book Antiqua"/>
          <w:color w:val="000000"/>
        </w:rPr>
        <w:t>: 22-28 [PMID: 15612979 DOI: 10.1111/j.1432-2277.2004.00052.x]</w:t>
      </w:r>
    </w:p>
    <w:p>
      <w:pPr>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Kumar J</w:t>
      </w:r>
      <w:r>
        <w:rPr>
          <w:rFonts w:ascii="Book Antiqua" w:hAnsi="Book Antiqua" w:eastAsia="Book Antiqua" w:cs="Book Antiqua"/>
          <w:color w:val="000000"/>
        </w:rPr>
        <w:t xml:space="preserve">, Bridson JM, Sharma A, Halawa A. Systematic Review on Role of Mammalian Target of Rapamycin Inhibitors as an Alternative to Calcineurin Inhibitors in Renal Transplant: Challenges and Window to Excel. </w:t>
      </w:r>
      <w:r>
        <w:rPr>
          <w:rFonts w:ascii="Book Antiqua" w:hAnsi="Book Antiqua" w:eastAsia="Book Antiqua" w:cs="Book Antiqua"/>
          <w:i/>
          <w:iCs/>
          <w:color w:val="000000"/>
        </w:rPr>
        <w:t>Exp Clin Transplant</w:t>
      </w:r>
      <w:r>
        <w:rPr>
          <w:rFonts w:ascii="Book Antiqua" w:hAnsi="Book Antiqua" w:eastAsia="Book Antiqua" w:cs="Book Antiqua"/>
          <w:color w:val="000000"/>
        </w:rPr>
        <w:t xml:space="preserve"> 2017; </w:t>
      </w:r>
      <w:r>
        <w:rPr>
          <w:rFonts w:ascii="Book Antiqua" w:hAnsi="Book Antiqua" w:eastAsia="Book Antiqua" w:cs="Book Antiqua"/>
          <w:b/>
          <w:bCs/>
          <w:color w:val="000000"/>
        </w:rPr>
        <w:t>15</w:t>
      </w:r>
      <w:r>
        <w:rPr>
          <w:rFonts w:ascii="Book Antiqua" w:hAnsi="Book Antiqua" w:eastAsia="Book Antiqua" w:cs="Book Antiqua"/>
          <w:color w:val="000000"/>
        </w:rPr>
        <w:t>: 241-252 [PMID: 27915965 DOI: 10.6002/ect.2016.0270]</w:t>
      </w:r>
    </w:p>
    <w:p>
      <w:pPr>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Kumar J</w:t>
      </w:r>
      <w:r>
        <w:rPr>
          <w:rFonts w:ascii="Book Antiqua" w:hAnsi="Book Antiqua" w:eastAsia="Book Antiqua" w:cs="Book Antiqua"/>
          <w:color w:val="000000"/>
        </w:rPr>
        <w:t xml:space="preserve">, Reccia I, Kusano T. Is Early Conversion to mTOR Inhibitors Represent a Suitable Choice in Renal Transplant Recipients? A Systemic Review of Medium-term Outcomes. </w:t>
      </w:r>
      <w:r>
        <w:rPr>
          <w:rFonts w:ascii="Book Antiqua" w:hAnsi="Book Antiqua" w:eastAsia="Book Antiqua" w:cs="Book Antiqua"/>
          <w:i/>
          <w:iCs/>
          <w:color w:val="000000"/>
        </w:rPr>
        <w:t>Int J Organ Transplant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8</w:t>
      </w:r>
      <w:r>
        <w:rPr>
          <w:rFonts w:ascii="Book Antiqua" w:hAnsi="Book Antiqua" w:eastAsia="Book Antiqua" w:cs="Book Antiqua"/>
          <w:color w:val="000000"/>
        </w:rPr>
        <w:t>: 68-76 [PMID: 28828166]</w:t>
      </w:r>
    </w:p>
    <w:p>
      <w:pPr>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Vincenti F</w:t>
      </w:r>
      <w:r>
        <w:rPr>
          <w:rFonts w:ascii="Book Antiqua" w:hAnsi="Book Antiqua" w:eastAsia="Book Antiqua" w:cs="Book Antiqua"/>
          <w:color w:val="000000"/>
        </w:rPr>
        <w:t xml:space="preserve">, Larsen C, Durrbach A, Wekerle T, Nashan B, Blancho G, Lang P, Grinyo J, Halloran PF, Solez K, Hagerty D, Levy E, Zhou W, Natarajan K, Charpentier B; Belatacept Study Group. Costimulation blockade with belatacept in renal transplantation.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2005; </w:t>
      </w:r>
      <w:r>
        <w:rPr>
          <w:rFonts w:ascii="Book Antiqua" w:hAnsi="Book Antiqua" w:eastAsia="Book Antiqua" w:cs="Book Antiqua"/>
          <w:b/>
          <w:bCs/>
          <w:color w:val="000000"/>
        </w:rPr>
        <w:t>353</w:t>
      </w:r>
      <w:r>
        <w:rPr>
          <w:rFonts w:ascii="Book Antiqua" w:hAnsi="Book Antiqua" w:eastAsia="Book Antiqua" w:cs="Book Antiqua"/>
          <w:color w:val="000000"/>
        </w:rPr>
        <w:t>: 770-781 [PMID: 16120857 DOI: 10.1056/NEJMoa050085]</w:t>
      </w:r>
    </w:p>
    <w:p>
      <w:pPr>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Larsen CP</w:t>
      </w:r>
      <w:r>
        <w:rPr>
          <w:rFonts w:ascii="Book Antiqua" w:hAnsi="Book Antiqua" w:eastAsia="Book Antiqua" w:cs="Book Antiqua"/>
          <w:color w:val="000000"/>
        </w:rPr>
        <w:t xml:space="preserve">, Pearson TC, Adams AB, Tso P, Shirasugi N, Strobert E, Anderson D, Cowan S, Price K, Naemura J, Emswiler J, Greene J, Turk LA, Bajorath J, Townsend R, Hagerty D, Linsley PS, Peach RJ. Rational development of LEA29Y (belatacept), a high-affinity variant of CTLA4-Ig with potent immunosuppressive properties.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2005; </w:t>
      </w:r>
      <w:r>
        <w:rPr>
          <w:rFonts w:ascii="Book Antiqua" w:hAnsi="Book Antiqua" w:eastAsia="Book Antiqua" w:cs="Book Antiqua"/>
          <w:b/>
          <w:bCs/>
          <w:color w:val="000000"/>
        </w:rPr>
        <w:t>5</w:t>
      </w:r>
      <w:r>
        <w:rPr>
          <w:rFonts w:ascii="Book Antiqua" w:hAnsi="Book Antiqua" w:eastAsia="Book Antiqua" w:cs="Book Antiqua"/>
          <w:color w:val="000000"/>
        </w:rPr>
        <w:t>: 443-453 [PMID: 15707398 DOI: 10.1111/j.1600-6143.2005.00749.x]</w:t>
      </w:r>
    </w:p>
    <w:p>
      <w:pPr>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Wekerle T</w:t>
      </w:r>
      <w:r>
        <w:rPr>
          <w:rFonts w:ascii="Book Antiqua" w:hAnsi="Book Antiqua" w:eastAsia="Book Antiqua" w:cs="Book Antiqua"/>
          <w:color w:val="000000"/>
        </w:rPr>
        <w:t xml:space="preserve">, Grinyó JM. Belatacept: from rational design to clinical application. </w:t>
      </w:r>
      <w:r>
        <w:rPr>
          <w:rFonts w:ascii="Book Antiqua" w:hAnsi="Book Antiqua" w:eastAsia="Book Antiqua" w:cs="Book Antiqua"/>
          <w:i/>
          <w:iCs/>
          <w:color w:val="000000"/>
        </w:rPr>
        <w:t>Transpl Int</w:t>
      </w:r>
      <w:r>
        <w:rPr>
          <w:rFonts w:ascii="Book Antiqua" w:hAnsi="Book Antiqua" w:eastAsia="Book Antiqua" w:cs="Book Antiqua"/>
          <w:color w:val="000000"/>
        </w:rPr>
        <w:t xml:space="preserve"> 2012; </w:t>
      </w:r>
      <w:r>
        <w:rPr>
          <w:rFonts w:ascii="Book Antiqua" w:hAnsi="Book Antiqua" w:eastAsia="Book Antiqua" w:cs="Book Antiqua"/>
          <w:b/>
          <w:bCs/>
          <w:color w:val="000000"/>
        </w:rPr>
        <w:t>25</w:t>
      </w:r>
      <w:r>
        <w:rPr>
          <w:rFonts w:ascii="Book Antiqua" w:hAnsi="Book Antiqua" w:eastAsia="Book Antiqua" w:cs="Book Antiqua"/>
          <w:color w:val="000000"/>
        </w:rPr>
        <w:t>: 139-150 [PMID: 22151353 DOI: 10.1111/j.1432-2277.2011.01386.x]</w:t>
      </w:r>
    </w:p>
    <w:p>
      <w:pPr>
        <w:snapToGrid w:val="0"/>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Vincenti F</w:t>
      </w:r>
      <w:r>
        <w:rPr>
          <w:rFonts w:ascii="Book Antiqua" w:hAnsi="Book Antiqua" w:eastAsia="Book Antiqua" w:cs="Book Antiqua"/>
          <w:color w:val="000000"/>
        </w:rPr>
        <w:t xml:space="preserve">, Dritselis A, Kirkpatrick P. Belatacept. </w:t>
      </w:r>
      <w:r>
        <w:rPr>
          <w:rFonts w:ascii="Book Antiqua" w:hAnsi="Book Antiqua" w:eastAsia="Book Antiqua" w:cs="Book Antiqua"/>
          <w:i/>
          <w:iCs/>
          <w:color w:val="000000"/>
        </w:rPr>
        <w:t>Nat Rev Drug Discov</w:t>
      </w:r>
      <w:r>
        <w:rPr>
          <w:rFonts w:ascii="Book Antiqua" w:hAnsi="Book Antiqua" w:eastAsia="Book Antiqua" w:cs="Book Antiqua"/>
          <w:color w:val="000000"/>
        </w:rPr>
        <w:t xml:space="preserve"> 2011; </w:t>
      </w:r>
      <w:r>
        <w:rPr>
          <w:rFonts w:ascii="Book Antiqua" w:hAnsi="Book Antiqua" w:eastAsia="Book Antiqua" w:cs="Book Antiqua"/>
          <w:b/>
          <w:bCs/>
          <w:color w:val="000000"/>
        </w:rPr>
        <w:t>10</w:t>
      </w:r>
      <w:r>
        <w:rPr>
          <w:rFonts w:ascii="Book Antiqua" w:hAnsi="Book Antiqua" w:eastAsia="Book Antiqua" w:cs="Book Antiqua"/>
          <w:color w:val="000000"/>
        </w:rPr>
        <w:t>: 655-656 [PMID: 21878974 DOI: 10.1038/nrd3536]</w:t>
      </w:r>
    </w:p>
    <w:p>
      <w:pPr>
        <w:snapToGrid w:val="0"/>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Grinyó JM</w:t>
      </w:r>
      <w:r>
        <w:rPr>
          <w:rFonts w:ascii="Book Antiqua" w:hAnsi="Book Antiqua" w:eastAsia="Book Antiqua" w:cs="Book Antiqua"/>
          <w:color w:val="000000"/>
        </w:rPr>
        <w:t xml:space="preserve">, Budde K, Citterio F, Charpentier B. Belatacept utilization recommendations: an expert position. </w:t>
      </w:r>
      <w:r>
        <w:rPr>
          <w:rFonts w:ascii="Book Antiqua" w:hAnsi="Book Antiqua" w:eastAsia="Book Antiqua" w:cs="Book Antiqua"/>
          <w:i/>
          <w:iCs/>
          <w:color w:val="000000"/>
        </w:rPr>
        <w:t>Expert Opin Drug Saf</w:t>
      </w:r>
      <w:r>
        <w:rPr>
          <w:rFonts w:ascii="Book Antiqua" w:hAnsi="Book Antiqua" w:eastAsia="Book Antiqua" w:cs="Book Antiqua"/>
          <w:color w:val="000000"/>
        </w:rPr>
        <w:t xml:space="preserve"> 2013; </w:t>
      </w:r>
      <w:r>
        <w:rPr>
          <w:rFonts w:ascii="Book Antiqua" w:hAnsi="Book Antiqua" w:eastAsia="Book Antiqua" w:cs="Book Antiqua"/>
          <w:b/>
          <w:bCs/>
          <w:color w:val="000000"/>
        </w:rPr>
        <w:t>12</w:t>
      </w:r>
      <w:r>
        <w:rPr>
          <w:rFonts w:ascii="Book Antiqua" w:hAnsi="Book Antiqua" w:eastAsia="Book Antiqua" w:cs="Book Antiqua"/>
          <w:color w:val="000000"/>
        </w:rPr>
        <w:t>: 111-122 [PMID: 23206310 DOI: 10.1517/14740338.2013.748747]</w:t>
      </w:r>
    </w:p>
    <w:p>
      <w:pPr>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Vanrenterghem Y</w:t>
      </w:r>
      <w:r>
        <w:rPr>
          <w:rFonts w:ascii="Book Antiqua" w:hAnsi="Book Antiqua" w:eastAsia="Book Antiqua" w:cs="Book Antiqua"/>
          <w:color w:val="000000"/>
        </w:rPr>
        <w:t xml:space="preserve">, Bresnahan B, Campistol J, Durrbach A, Grinyó J, Neumayer HH, Lang P, Larsen CP, Mancilla-Urrea E, Pestana JM, Block A, Duan T, Glicklich A, Gujrathi S, Vincenti F. Belatacept-based regimens are associated with improved cardiovascular and metabolic risk factors compared with cyclosporine in kidney transplant recipients (BENEFIT and BENEFIT-EXT studies).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2011; </w:t>
      </w:r>
      <w:r>
        <w:rPr>
          <w:rFonts w:ascii="Book Antiqua" w:hAnsi="Book Antiqua" w:eastAsia="Book Antiqua" w:cs="Book Antiqua"/>
          <w:b/>
          <w:bCs/>
          <w:color w:val="000000"/>
        </w:rPr>
        <w:t>91</w:t>
      </w:r>
      <w:r>
        <w:rPr>
          <w:rFonts w:ascii="Book Antiqua" w:hAnsi="Book Antiqua" w:eastAsia="Book Antiqua" w:cs="Book Antiqua"/>
          <w:color w:val="000000"/>
        </w:rPr>
        <w:t>: 976-983 [PMID: 21372756 DOI: 10.1097/TP.0b013e31820c10eb]</w:t>
      </w:r>
    </w:p>
    <w:p>
      <w:pPr>
        <w:snapToGrid w:val="0"/>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Garnock-Jones KP</w:t>
      </w:r>
      <w:r>
        <w:rPr>
          <w:rFonts w:ascii="Book Antiqua" w:hAnsi="Book Antiqua" w:eastAsia="Book Antiqua" w:cs="Book Antiqua"/>
          <w:color w:val="000000"/>
        </w:rPr>
        <w:t xml:space="preserve">. Belatacept: in adult kidney transplant recipients. </w:t>
      </w:r>
      <w:r>
        <w:rPr>
          <w:rFonts w:ascii="Book Antiqua" w:hAnsi="Book Antiqua" w:eastAsia="Book Antiqua" w:cs="Book Antiqua"/>
          <w:i/>
          <w:iCs/>
          <w:color w:val="000000"/>
        </w:rPr>
        <w:t>BioDrugs</w:t>
      </w:r>
      <w:r>
        <w:rPr>
          <w:rFonts w:ascii="Book Antiqua" w:hAnsi="Book Antiqua" w:eastAsia="Book Antiqua" w:cs="Book Antiqua"/>
          <w:color w:val="000000"/>
        </w:rPr>
        <w:t xml:space="preserve"> 2012; </w:t>
      </w:r>
      <w:r>
        <w:rPr>
          <w:rFonts w:ascii="Book Antiqua" w:hAnsi="Book Antiqua" w:eastAsia="Book Antiqua" w:cs="Book Antiqua"/>
          <w:b/>
          <w:bCs/>
          <w:color w:val="000000"/>
        </w:rPr>
        <w:t>26</w:t>
      </w:r>
      <w:r>
        <w:rPr>
          <w:rFonts w:ascii="Book Antiqua" w:hAnsi="Book Antiqua" w:eastAsia="Book Antiqua" w:cs="Book Antiqua"/>
          <w:color w:val="000000"/>
        </w:rPr>
        <w:t>: 413-424 [PMID: 22928660 DOI: 10.2165/11208900-000000000-00000]</w:t>
      </w:r>
    </w:p>
    <w:p>
      <w:pPr>
        <w:snapToGrid w:val="0"/>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Masson P</w:t>
      </w:r>
      <w:r>
        <w:rPr>
          <w:rFonts w:ascii="Book Antiqua" w:hAnsi="Book Antiqua" w:eastAsia="Book Antiqua" w:cs="Book Antiqua"/>
          <w:color w:val="000000"/>
        </w:rPr>
        <w:t xml:space="preserve">, Henderson L, Chapman JR, Craig JC, Webster AC. Belatacept for kidney transplant recipients. </w:t>
      </w:r>
      <w:r>
        <w:rPr>
          <w:rFonts w:ascii="Book Antiqua" w:hAnsi="Book Antiqua" w:eastAsia="Book Antiqua" w:cs="Book Antiqua"/>
          <w:i/>
          <w:iCs/>
          <w:color w:val="000000"/>
        </w:rPr>
        <w:t>Cochrane Database Syst Rev</w:t>
      </w:r>
      <w:r>
        <w:rPr>
          <w:rFonts w:ascii="Book Antiqua" w:hAnsi="Book Antiqua" w:eastAsia="Book Antiqua" w:cs="Book Antiqua"/>
          <w:color w:val="000000"/>
        </w:rPr>
        <w:t xml:space="preserve"> 2014: CD010699 [PMID: 25416857 DOI: 10.1002/14651858.CD010699.pub2]</w:t>
      </w:r>
    </w:p>
    <w:p>
      <w:pPr>
        <w:snapToGrid w:val="0"/>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Wéclawiak H</w:t>
      </w:r>
      <w:r>
        <w:rPr>
          <w:rFonts w:ascii="Book Antiqua" w:hAnsi="Book Antiqua" w:eastAsia="Book Antiqua" w:cs="Book Antiqua"/>
          <w:color w:val="000000"/>
        </w:rPr>
        <w:t xml:space="preserve">, Kamar N, Ould-Mohamed A, Cardeau-Desangles I, Rostaing L. Biological agents in kidney transplantation: belatacept is entering the field. </w:t>
      </w:r>
      <w:r>
        <w:rPr>
          <w:rFonts w:ascii="Book Antiqua" w:hAnsi="Book Antiqua" w:eastAsia="Book Antiqua" w:cs="Book Antiqua"/>
          <w:i/>
          <w:iCs/>
          <w:color w:val="000000"/>
        </w:rPr>
        <w:t>Expert Opin Biol Ther</w:t>
      </w:r>
      <w:r>
        <w:rPr>
          <w:rFonts w:ascii="Book Antiqua" w:hAnsi="Book Antiqua" w:eastAsia="Book Antiqua" w:cs="Book Antiqua"/>
          <w:color w:val="000000"/>
        </w:rPr>
        <w:t xml:space="preserve"> 2010; </w:t>
      </w:r>
      <w:r>
        <w:rPr>
          <w:rFonts w:ascii="Book Antiqua" w:hAnsi="Book Antiqua" w:eastAsia="Book Antiqua" w:cs="Book Antiqua"/>
          <w:b/>
          <w:bCs/>
          <w:color w:val="000000"/>
        </w:rPr>
        <w:t>10</w:t>
      </w:r>
      <w:r>
        <w:rPr>
          <w:rFonts w:ascii="Book Antiqua" w:hAnsi="Book Antiqua" w:eastAsia="Book Antiqua" w:cs="Book Antiqua"/>
          <w:color w:val="000000"/>
        </w:rPr>
        <w:t>: 1501-1508 [PMID: 20726688 DOI: 10.1517/14712598.2010.514901]</w:t>
      </w:r>
    </w:p>
    <w:p>
      <w:pPr>
        <w:snapToGrid w:val="0"/>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Talawila N</w:t>
      </w:r>
      <w:r>
        <w:rPr>
          <w:rFonts w:ascii="Book Antiqua" w:hAnsi="Book Antiqua" w:eastAsia="Book Antiqua" w:cs="Book Antiqua"/>
          <w:color w:val="000000"/>
        </w:rPr>
        <w:t xml:space="preserve">, Pengel LH. Does belatacept improve outcomes for kidney transplant recipients? A systematic review. </w:t>
      </w:r>
      <w:r>
        <w:rPr>
          <w:rFonts w:ascii="Book Antiqua" w:hAnsi="Book Antiqua" w:eastAsia="Book Antiqua" w:cs="Book Antiqua"/>
          <w:i/>
          <w:iCs/>
          <w:color w:val="000000"/>
        </w:rPr>
        <w:t>Transpl Int</w:t>
      </w:r>
      <w:r>
        <w:rPr>
          <w:rFonts w:ascii="Book Antiqua" w:hAnsi="Book Antiqua" w:eastAsia="Book Antiqua" w:cs="Book Antiqua"/>
          <w:color w:val="000000"/>
        </w:rPr>
        <w:t xml:space="preserve"> 2015; </w:t>
      </w:r>
      <w:r>
        <w:rPr>
          <w:rFonts w:ascii="Book Antiqua" w:hAnsi="Book Antiqua" w:eastAsia="Book Antiqua" w:cs="Book Antiqua"/>
          <w:b/>
          <w:bCs/>
          <w:color w:val="000000"/>
        </w:rPr>
        <w:t>28</w:t>
      </w:r>
      <w:r>
        <w:rPr>
          <w:rFonts w:ascii="Book Antiqua" w:hAnsi="Book Antiqua" w:eastAsia="Book Antiqua" w:cs="Book Antiqua"/>
          <w:color w:val="000000"/>
        </w:rPr>
        <w:t>: 1251-1264 [PMID: 25965549 DOI: 10.1111/tri.12605]</w:t>
      </w:r>
    </w:p>
    <w:p>
      <w:pPr>
        <w:snapToGrid w:val="0"/>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Krämer BK</w:t>
      </w:r>
      <w:r>
        <w:rPr>
          <w:rFonts w:ascii="Book Antiqua" w:hAnsi="Book Antiqua" w:eastAsia="Book Antiqua" w:cs="Book Antiqua"/>
          <w:color w:val="000000"/>
        </w:rPr>
        <w:t xml:space="preserve">, Montagnino G, Krüger B, Margreiter R, Olbricht CJ, Marcen R, Sester U, Kunzendorf U, Dietl KH, Rigotti P, Ronco C, Hörsch S, Banas B, Mühlbacher F, Arias M; European Tacrolimus </w:t>
      </w:r>
      <w:r>
        <w:rPr>
          <w:rFonts w:ascii="Book Antiqua" w:hAnsi="Book Antiqua" w:eastAsia="Book Antiqua" w:cs="Book Antiqua"/>
          <w:i/>
          <w:iCs/>
          <w:color w:val="000000"/>
        </w:rPr>
        <w:t>vs</w:t>
      </w:r>
      <w:r>
        <w:rPr>
          <w:rFonts w:ascii="Book Antiqua" w:hAnsi="Book Antiqua" w:eastAsia="Book Antiqua" w:cs="Book Antiqua"/>
          <w:color w:val="000000"/>
        </w:rPr>
        <w:t xml:space="preserve"> Ciclosporin Microemulsion Renal Transplantation Study Group. Efficacy and safety of tacrolimus compared with ciclosporin-A in renal transplantation: 7-year observational results. </w:t>
      </w:r>
      <w:r>
        <w:rPr>
          <w:rFonts w:ascii="Book Antiqua" w:hAnsi="Book Antiqua" w:eastAsia="Book Antiqua" w:cs="Book Antiqua"/>
          <w:i/>
          <w:iCs/>
          <w:color w:val="000000"/>
        </w:rPr>
        <w:t>Transpl Int</w:t>
      </w:r>
      <w:r>
        <w:rPr>
          <w:rFonts w:ascii="Book Antiqua" w:hAnsi="Book Antiqua" w:eastAsia="Book Antiqua" w:cs="Book Antiqua"/>
          <w:color w:val="000000"/>
        </w:rPr>
        <w:t xml:space="preserve"> 2016; </w:t>
      </w:r>
      <w:r>
        <w:rPr>
          <w:rFonts w:ascii="Book Antiqua" w:hAnsi="Book Antiqua" w:eastAsia="Book Antiqua" w:cs="Book Antiqua"/>
          <w:b/>
          <w:bCs/>
          <w:color w:val="000000"/>
        </w:rPr>
        <w:t>29</w:t>
      </w:r>
      <w:r>
        <w:rPr>
          <w:rFonts w:ascii="Book Antiqua" w:hAnsi="Book Antiqua" w:eastAsia="Book Antiqua" w:cs="Book Antiqua"/>
          <w:color w:val="000000"/>
        </w:rPr>
        <w:t>: 307-314 [PMID: 26565071 DOI: 10.1111/tri.12716]</w:t>
      </w:r>
    </w:p>
    <w:p>
      <w:pPr>
        <w:snapToGrid w:val="0"/>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Margreiter R</w:t>
      </w:r>
      <w:r>
        <w:rPr>
          <w:rFonts w:ascii="Book Antiqua" w:hAnsi="Book Antiqua" w:eastAsia="Book Antiqua" w:cs="Book Antiqua"/>
          <w:color w:val="000000"/>
        </w:rPr>
        <w:t xml:space="preserve">; European Tacrolimus </w:t>
      </w:r>
      <w:r>
        <w:rPr>
          <w:rFonts w:ascii="Book Antiqua" w:hAnsi="Book Antiqua" w:eastAsia="Book Antiqua" w:cs="Book Antiqua"/>
          <w:i/>
          <w:iCs/>
          <w:color w:val="000000"/>
        </w:rPr>
        <w:t>vs</w:t>
      </w:r>
      <w:r>
        <w:rPr>
          <w:rFonts w:ascii="Book Antiqua" w:hAnsi="Book Antiqua" w:eastAsia="Book Antiqua" w:cs="Book Antiqua"/>
          <w:color w:val="000000"/>
        </w:rPr>
        <w:t xml:space="preserve"> Ciclosporin Microemulsion Renal Transplantation Study Group. Efficacy and safety of tacrolimus compared with ciclosporin microemulsion in renal transplantation: a randomised multicentre study.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2002; </w:t>
      </w:r>
      <w:r>
        <w:rPr>
          <w:rFonts w:ascii="Book Antiqua" w:hAnsi="Book Antiqua" w:eastAsia="Book Antiqua" w:cs="Book Antiqua"/>
          <w:b/>
          <w:bCs/>
          <w:color w:val="000000"/>
        </w:rPr>
        <w:t>359</w:t>
      </w:r>
      <w:r>
        <w:rPr>
          <w:rFonts w:ascii="Book Antiqua" w:hAnsi="Book Antiqua" w:eastAsia="Book Antiqua" w:cs="Book Antiqua"/>
          <w:color w:val="000000"/>
        </w:rPr>
        <w:t>: 741-746 [PMID: 11888584 DOI: 10.1016/S0140-6736(02)07875-3]</w:t>
      </w:r>
    </w:p>
    <w:p>
      <w:pPr>
        <w:snapToGrid w:val="0"/>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Saudek F</w:t>
      </w:r>
      <w:r>
        <w:rPr>
          <w:rFonts w:ascii="Book Antiqua" w:hAnsi="Book Antiqua" w:eastAsia="Book Antiqua" w:cs="Book Antiqua"/>
          <w:color w:val="000000"/>
        </w:rPr>
        <w:t xml:space="preserve">, Malaise J, Boucek P, Adamec M; Euro-SPK Study Group. Efficacy and safety of tacrolimus compared with cyclosporin microemulsion in primary SPK transplantation: 3-year results of the Euro-SPK 001 trial. </w:t>
      </w:r>
      <w:r>
        <w:rPr>
          <w:rFonts w:ascii="Book Antiqua" w:hAnsi="Book Antiqua" w:eastAsia="Book Antiqua" w:cs="Book Antiqua"/>
          <w:i/>
          <w:iCs/>
          <w:color w:val="000000"/>
        </w:rPr>
        <w:t>Nephrol Dial Transplant</w:t>
      </w:r>
      <w:r>
        <w:rPr>
          <w:rFonts w:ascii="Book Antiqua" w:hAnsi="Book Antiqua" w:eastAsia="Book Antiqua" w:cs="Book Antiqua"/>
          <w:color w:val="000000"/>
        </w:rPr>
        <w:t xml:space="preserve"> 2005; </w:t>
      </w:r>
      <w:r>
        <w:rPr>
          <w:rFonts w:ascii="Book Antiqua" w:hAnsi="Book Antiqua" w:eastAsia="Book Antiqua" w:cs="Book Antiqua"/>
          <w:b/>
          <w:bCs/>
          <w:color w:val="000000"/>
        </w:rPr>
        <w:t>20 Suppl 2</w:t>
      </w:r>
      <w:r>
        <w:rPr>
          <w:rFonts w:ascii="Book Antiqua" w:hAnsi="Book Antiqua" w:eastAsia="Book Antiqua" w:cs="Book Antiqua"/>
          <w:color w:val="000000"/>
        </w:rPr>
        <w:t>: ii3-i10, ii62 [PMID: 15814547 DOI: 10.1093/ndt/gfh1076]</w:t>
      </w:r>
    </w:p>
    <w:p>
      <w:pPr>
        <w:snapToGrid w:val="0"/>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Muduma G</w:t>
      </w:r>
      <w:r>
        <w:rPr>
          <w:rFonts w:ascii="Book Antiqua" w:hAnsi="Book Antiqua" w:eastAsia="Book Antiqua" w:cs="Book Antiqua"/>
          <w:color w:val="000000"/>
        </w:rPr>
        <w:t xml:space="preserve">, Hart WM, Patel S, Odeyemi AO. Indirect treatment comparison of belatacept </w:t>
      </w:r>
      <w:r>
        <w:rPr>
          <w:rFonts w:ascii="Book Antiqua" w:hAnsi="Book Antiqua" w:eastAsia="Book Antiqua" w:cs="Book Antiqua"/>
          <w:i/>
          <w:iCs/>
          <w:color w:val="000000"/>
        </w:rPr>
        <w:t>vs</w:t>
      </w:r>
      <w:r>
        <w:rPr>
          <w:rFonts w:ascii="Book Antiqua" w:hAnsi="Book Antiqua" w:eastAsia="Book Antiqua" w:cs="Book Antiqua"/>
          <w:color w:val="000000"/>
        </w:rPr>
        <w:t xml:space="preserve"> tacrolimus from a systematic review of immunosuppressive therapies for kidney transplant patients. </w:t>
      </w:r>
      <w:r>
        <w:rPr>
          <w:rFonts w:ascii="Book Antiqua" w:hAnsi="Book Antiqua" w:eastAsia="Book Antiqua" w:cs="Book Antiqua"/>
          <w:i/>
          <w:iCs/>
          <w:color w:val="000000"/>
        </w:rPr>
        <w:t>Curr Med Res Opin</w:t>
      </w:r>
      <w:r>
        <w:rPr>
          <w:rFonts w:ascii="Book Antiqua" w:hAnsi="Book Antiqua" w:eastAsia="Book Antiqua" w:cs="Book Antiqua"/>
          <w:color w:val="000000"/>
        </w:rPr>
        <w:t xml:space="preserve"> 2016; </w:t>
      </w:r>
      <w:r>
        <w:rPr>
          <w:rFonts w:ascii="Book Antiqua" w:hAnsi="Book Antiqua" w:eastAsia="Book Antiqua" w:cs="Book Antiqua"/>
          <w:b/>
          <w:bCs/>
          <w:color w:val="000000"/>
        </w:rPr>
        <w:t>32</w:t>
      </w:r>
      <w:r>
        <w:rPr>
          <w:rFonts w:ascii="Book Antiqua" w:hAnsi="Book Antiqua" w:eastAsia="Book Antiqua" w:cs="Book Antiqua"/>
          <w:color w:val="000000"/>
        </w:rPr>
        <w:t>: 1065-1072 [PMID: 26907083 DOI: 10.1185/03007995.2016.1157463]</w:t>
      </w:r>
    </w:p>
    <w:p>
      <w:pPr>
        <w:snapToGrid w:val="0"/>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McIntyre JA</w:t>
      </w:r>
      <w:r>
        <w:rPr>
          <w:rFonts w:ascii="Book Antiqua" w:hAnsi="Book Antiqua" w:eastAsia="Book Antiqua" w:cs="Book Antiqua"/>
          <w:color w:val="000000"/>
        </w:rPr>
        <w:t xml:space="preserve">, Fernández D. </w:t>
      </w:r>
      <w:bookmarkStart w:id="58" w:name="OLE_LINK9"/>
      <w:bookmarkStart w:id="59" w:name="OLE_LINK10"/>
      <w:bookmarkStart w:id="60" w:name="OLE_LINK12"/>
      <w:bookmarkStart w:id="61" w:name="OLE_LINK11"/>
      <w:r>
        <w:rPr>
          <w:rFonts w:ascii="Book Antiqua" w:hAnsi="Book Antiqua" w:eastAsia="Book Antiqua" w:cs="Book Antiqua"/>
          <w:color w:val="000000"/>
        </w:rPr>
        <w:t>Belatacept: Treatment of transplant rejection</w:t>
      </w:r>
      <w:bookmarkEnd w:id="58"/>
      <w:bookmarkEnd w:id="59"/>
      <w:r>
        <w:rPr>
          <w:rFonts w:ascii="Book Antiqua" w:hAnsi="Book Antiqua" w:eastAsia="Book Antiqua" w:cs="Book Antiqua"/>
          <w:color w:val="000000"/>
        </w:rPr>
        <w:t xml:space="preserve">. </w:t>
      </w:r>
      <w:r>
        <w:rPr>
          <w:rFonts w:ascii="Book Antiqua" w:hAnsi="Book Antiqua" w:eastAsia="Book Antiqua" w:cs="Book Antiqua"/>
          <w:i/>
          <w:color w:val="000000"/>
        </w:rPr>
        <w:t>Drugs Future</w:t>
      </w:r>
      <w:r>
        <w:rPr>
          <w:rFonts w:ascii="Book Antiqua" w:hAnsi="Book Antiqua" w:eastAsia="Book Antiqua" w:cs="Book Antiqua"/>
          <w:color w:val="000000"/>
        </w:rPr>
        <w:t xml:space="preserve"> 2005; </w:t>
      </w:r>
      <w:r>
        <w:rPr>
          <w:rFonts w:ascii="Book Antiqua" w:hAnsi="Book Antiqua" w:eastAsia="Book Antiqua" w:cs="Book Antiqua"/>
          <w:b/>
          <w:color w:val="000000"/>
        </w:rPr>
        <w:t>30</w:t>
      </w:r>
      <w:r>
        <w:rPr>
          <w:rFonts w:ascii="Book Antiqua" w:hAnsi="Book Antiqua" w:eastAsia="Book Antiqua" w:cs="Book Antiqua"/>
          <w:color w:val="000000"/>
        </w:rPr>
        <w:t>: 873-876 [DOI: 10.1358/dof.2005.030.09.936694</w:t>
      </w:r>
      <w:bookmarkEnd w:id="60"/>
      <w:bookmarkEnd w:id="61"/>
      <w:r>
        <w:rPr>
          <w:rFonts w:ascii="Book Antiqua" w:hAnsi="Book Antiqua" w:eastAsia="Book Antiqua" w:cs="Book Antiqua"/>
          <w:color w:val="000000"/>
        </w:rPr>
        <w:t>]</w:t>
      </w:r>
    </w:p>
    <w:p>
      <w:pPr>
        <w:snapToGrid w:val="0"/>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Chootrakool H</w:t>
      </w:r>
      <w:r>
        <w:rPr>
          <w:rFonts w:ascii="Book Antiqua" w:hAnsi="Book Antiqua" w:eastAsia="Book Antiqua" w:cs="Book Antiqua"/>
          <w:color w:val="000000"/>
        </w:rPr>
        <w:t xml:space="preserve">, Shi JQ, Yue R. Meta-analysis and sensitivity analysis for multi-arm trials with selection bias. </w:t>
      </w:r>
      <w:r>
        <w:rPr>
          <w:rFonts w:ascii="Book Antiqua" w:hAnsi="Book Antiqua" w:eastAsia="Book Antiqua" w:cs="Book Antiqua"/>
          <w:i/>
          <w:iCs/>
          <w:color w:val="000000"/>
        </w:rPr>
        <w:t>Stat Med</w:t>
      </w:r>
      <w:r>
        <w:rPr>
          <w:rFonts w:ascii="Book Antiqua" w:hAnsi="Book Antiqua" w:eastAsia="Book Antiqua" w:cs="Book Antiqua"/>
          <w:color w:val="000000"/>
        </w:rPr>
        <w:t xml:space="preserve"> 2011; </w:t>
      </w:r>
      <w:r>
        <w:rPr>
          <w:rFonts w:ascii="Book Antiqua" w:hAnsi="Book Antiqua" w:eastAsia="Book Antiqua" w:cs="Book Antiqua"/>
          <w:b/>
          <w:bCs/>
          <w:color w:val="000000"/>
        </w:rPr>
        <w:t>30</w:t>
      </w:r>
      <w:r>
        <w:rPr>
          <w:rFonts w:ascii="Book Antiqua" w:hAnsi="Book Antiqua" w:eastAsia="Book Antiqua" w:cs="Book Antiqua"/>
          <w:color w:val="000000"/>
        </w:rPr>
        <w:t>: 1183-1198 [PMID: 21538449 DOI: 10.1002/sim.4143]</w:t>
      </w:r>
    </w:p>
    <w:p>
      <w:pPr>
        <w:snapToGrid w:val="0"/>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Mavridis D</w:t>
      </w:r>
      <w:r>
        <w:rPr>
          <w:rFonts w:ascii="Book Antiqua" w:hAnsi="Book Antiqua" w:eastAsia="Book Antiqua" w:cs="Book Antiqua"/>
          <w:color w:val="000000"/>
        </w:rPr>
        <w:t xml:space="preserve">, Welton NJ, Sutton A, Salanti G. A selection model for accounting for publication bias in a full network meta-analysis. </w:t>
      </w:r>
      <w:r>
        <w:rPr>
          <w:rFonts w:ascii="Book Antiqua" w:hAnsi="Book Antiqua" w:eastAsia="Book Antiqua" w:cs="Book Antiqua"/>
          <w:i/>
          <w:iCs/>
          <w:color w:val="000000"/>
        </w:rPr>
        <w:t>Stat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33</w:t>
      </w:r>
      <w:r>
        <w:rPr>
          <w:rFonts w:ascii="Book Antiqua" w:hAnsi="Book Antiqua" w:eastAsia="Book Antiqua" w:cs="Book Antiqua"/>
          <w:color w:val="000000"/>
        </w:rPr>
        <w:t>: 5399-5412 [PMID: 25316006 DOI: 10.1002/sim.6321]</w:t>
      </w:r>
    </w:p>
    <w:p>
      <w:pPr>
        <w:snapToGrid w:val="0"/>
        <w:spacing w:line="360" w:lineRule="auto"/>
        <w:jc w:val="both"/>
        <w:rPr>
          <w:rFonts w:ascii="Book Antiqua" w:hAnsi="Book Antiqua"/>
        </w:rPr>
      </w:pPr>
      <w:r>
        <w:rPr>
          <w:rFonts w:ascii="Book Antiqua" w:hAnsi="Book Antiqua" w:eastAsia="Book Antiqua" w:cs="Book Antiqua"/>
          <w:color w:val="000000"/>
          <w:highlight w:val="yellow"/>
        </w:rPr>
        <w:t xml:space="preserve">32 </w:t>
      </w:r>
      <w:r>
        <w:rPr>
          <w:rFonts w:ascii="Book Antiqua" w:hAnsi="Book Antiqua" w:eastAsia="Book Antiqua" w:cs="Book Antiqua"/>
          <w:b/>
          <w:bCs/>
          <w:color w:val="000000"/>
          <w:highlight w:val="yellow"/>
        </w:rPr>
        <w:t>Deeks JJ</w:t>
      </w:r>
      <w:r>
        <w:rPr>
          <w:rFonts w:ascii="Book Antiqua" w:hAnsi="Book Antiqua" w:eastAsia="Book Antiqua" w:cs="Book Antiqua"/>
          <w:color w:val="000000"/>
          <w:highlight w:val="yellow"/>
        </w:rPr>
        <w:t xml:space="preserve">, Higgins JP, Altman DG. </w:t>
      </w:r>
      <w:bookmarkStart w:id="62" w:name="OLE_LINK13"/>
      <w:bookmarkStart w:id="63" w:name="OLE_LINK14"/>
      <w:r>
        <w:rPr>
          <w:rFonts w:ascii="Book Antiqua" w:hAnsi="Book Antiqua" w:eastAsia="Book Antiqua" w:cs="Book Antiqua"/>
          <w:color w:val="000000"/>
          <w:highlight w:val="yellow"/>
        </w:rPr>
        <w:t>Analysing Data and Undertaking Meta-Analyses</w:t>
      </w:r>
      <w:bookmarkEnd w:id="62"/>
      <w:bookmarkEnd w:id="63"/>
      <w:r>
        <w:rPr>
          <w:rFonts w:ascii="Book Antiqua" w:hAnsi="Book Antiqua" w:eastAsia="Book Antiqua" w:cs="Book Antiqua"/>
          <w:color w:val="000000"/>
          <w:highlight w:val="yellow"/>
        </w:rPr>
        <w:t>. In: Cochrane Handbook for Systematic Reviews of Interventions: Cochrane Book Series; 2008</w:t>
      </w:r>
      <w:r>
        <w:rPr>
          <w:rFonts w:ascii="Book Antiqua" w:hAnsi="Book Antiqua" w:cs="Book Antiqua"/>
          <w:color w:val="000000"/>
          <w:highlight w:val="yellow"/>
          <w:lang w:eastAsia="zh-CN"/>
        </w:rPr>
        <w:t xml:space="preserve">: </w:t>
      </w:r>
      <w:r>
        <w:rPr>
          <w:rFonts w:ascii="Book Antiqua" w:hAnsi="Book Antiqua" w:eastAsia="Book Antiqua" w:cs="Book Antiqua"/>
          <w:color w:val="000000"/>
          <w:highlight w:val="yellow"/>
        </w:rPr>
        <w:t>243-296 [DOI: 10.1002/9780470712184.ch9]</w:t>
      </w:r>
    </w:p>
    <w:p>
      <w:pPr>
        <w:snapToGrid w:val="0"/>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Ferguson R</w:t>
      </w:r>
      <w:r>
        <w:rPr>
          <w:rFonts w:ascii="Book Antiqua" w:hAnsi="Book Antiqua" w:eastAsia="Book Antiqua" w:cs="Book Antiqua"/>
          <w:color w:val="000000"/>
        </w:rPr>
        <w:t xml:space="preserve">, Grinyó J, Vincenti F, Kaufman DB, Woodle ES, Marder BA, Citterio F, Marks WH, Agarwal M, Wu D, Dong Y, Garg P. Immunosuppression with belatacept-based, corticosteroid-avoiding regimens in de novo kidney transplant recipients.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2011; </w:t>
      </w:r>
      <w:r>
        <w:rPr>
          <w:rFonts w:ascii="Book Antiqua" w:hAnsi="Book Antiqua" w:eastAsia="Book Antiqua" w:cs="Book Antiqua"/>
          <w:b/>
          <w:bCs/>
          <w:color w:val="000000"/>
        </w:rPr>
        <w:t>11</w:t>
      </w:r>
      <w:r>
        <w:rPr>
          <w:rFonts w:ascii="Book Antiqua" w:hAnsi="Book Antiqua" w:eastAsia="Book Antiqua" w:cs="Book Antiqua"/>
          <w:color w:val="000000"/>
        </w:rPr>
        <w:t>: 66-76 [PMID: 21114656 DOI: 10.1111/j.1600-6143.2010.03338.x]</w:t>
      </w:r>
    </w:p>
    <w:p>
      <w:pPr>
        <w:snapToGrid w:val="0"/>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de Graav GN</w:t>
      </w:r>
      <w:r>
        <w:rPr>
          <w:rFonts w:ascii="Book Antiqua" w:hAnsi="Book Antiqua" w:eastAsia="Book Antiqua" w:cs="Book Antiqua"/>
          <w:color w:val="000000"/>
        </w:rPr>
        <w:t xml:space="preserve">, Baan CC, Clahsen-van Groningen MC, Kraaijeveld R, Dieterich M, Verschoor W, von der Thusen JH, Roelen DL, Cadogan M, van de Wetering J, van Rosmalen J, Weimar W, Hesselink DA. A Randomized Controlled Clinical Trial Comparing Belatacept With Tacrolimus After De Novo Kidney Transplantation.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2017; </w:t>
      </w:r>
      <w:r>
        <w:rPr>
          <w:rFonts w:ascii="Book Antiqua" w:hAnsi="Book Antiqua" w:eastAsia="Book Antiqua" w:cs="Book Antiqua"/>
          <w:b/>
          <w:bCs/>
          <w:color w:val="000000"/>
        </w:rPr>
        <w:t>101</w:t>
      </w:r>
      <w:r>
        <w:rPr>
          <w:rFonts w:ascii="Book Antiqua" w:hAnsi="Book Antiqua" w:eastAsia="Book Antiqua" w:cs="Book Antiqua"/>
          <w:color w:val="000000"/>
        </w:rPr>
        <w:t>: 2571-2581 [PMID: 28403127 DOI: 10.1097/TP.0000000000001755]</w:t>
      </w:r>
    </w:p>
    <w:p>
      <w:pPr>
        <w:snapToGrid w:val="0"/>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Newell KA</w:t>
      </w:r>
      <w:r>
        <w:rPr>
          <w:rFonts w:ascii="Book Antiqua" w:hAnsi="Book Antiqua" w:eastAsia="Book Antiqua" w:cs="Book Antiqua"/>
          <w:color w:val="000000"/>
        </w:rPr>
        <w:t xml:space="preserve">, Mehta AK, Larsen CP, Stock PG, Farris AB, Mehta SG, Ikle D, Armstrong B, Morrison Y, Bridges N, Robien M, Mannon RB. Lessons Learned: Early Termination of a Randomized Trial of Calcineurin Inhibitor and Corticosteroid Avoidance Using Belatacept.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2017; </w:t>
      </w:r>
      <w:r>
        <w:rPr>
          <w:rFonts w:ascii="Book Antiqua" w:hAnsi="Book Antiqua" w:eastAsia="Book Antiqua" w:cs="Book Antiqua"/>
          <w:b/>
          <w:bCs/>
          <w:color w:val="000000"/>
        </w:rPr>
        <w:t>17</w:t>
      </w:r>
      <w:r>
        <w:rPr>
          <w:rFonts w:ascii="Book Antiqua" w:hAnsi="Book Antiqua" w:eastAsia="Book Antiqua" w:cs="Book Antiqua"/>
          <w:color w:val="000000"/>
        </w:rPr>
        <w:t>: 2712-2719 [PMID: 28556519 DOI: 10.1111/ajt.14377]</w:t>
      </w:r>
    </w:p>
    <w:p>
      <w:pPr>
        <w:snapToGrid w:val="0"/>
        <w:spacing w:line="360" w:lineRule="auto"/>
        <w:jc w:val="both"/>
        <w:rPr>
          <w:rFonts w:ascii="Book Antiqua" w:hAnsi="Book Antiqua"/>
        </w:rPr>
      </w:pPr>
      <w:r>
        <w:rPr>
          <w:rFonts w:hint="eastAsia" w:ascii="Book Antiqua" w:hAnsi="Book Antiqua" w:eastAsia="宋体" w:cs="Book Antiqua"/>
          <w:color w:val="000000"/>
          <w:highlight w:val="yellow"/>
          <w:lang w:val="en-US" w:eastAsia="zh-CN"/>
        </w:rPr>
        <w:t xml:space="preserve">36 </w:t>
      </w:r>
      <w:r>
        <w:rPr>
          <w:rFonts w:ascii="Book Antiqua" w:hAnsi="Book Antiqua" w:eastAsia="Book Antiqua" w:cs="Book Antiqua"/>
          <w:color w:val="000000"/>
          <w:highlight w:val="yellow"/>
        </w:rPr>
        <w:t xml:space="preserve">February 12, 2021 </w:t>
      </w:r>
      <w:bookmarkStart w:id="64" w:name="OLE_LINK75"/>
      <w:r>
        <w:rPr>
          <w:rFonts w:ascii="Book Antiqua" w:hAnsi="Book Antiqua" w:eastAsia="Book Antiqua" w:cs="Book Antiqua"/>
          <w:b/>
          <w:bCs/>
          <w:color w:val="000000"/>
          <w:highlight w:val="yellow"/>
        </w:rPr>
        <w:t>Newell</w:t>
      </w:r>
      <w:bookmarkEnd w:id="64"/>
      <w:r>
        <w:rPr>
          <w:rFonts w:ascii="Book Antiqua" w:hAnsi="Book Antiqua" w:eastAsia="Book Antiqua" w:cs="Book Antiqua"/>
          <w:b/>
          <w:bCs/>
          <w:color w:val="000000"/>
          <w:highlight w:val="yellow"/>
        </w:rPr>
        <w:t xml:space="preserve"> K</w:t>
      </w:r>
      <w:r>
        <w:rPr>
          <w:rFonts w:ascii="Book Antiqua" w:hAnsi="Book Antiqua" w:eastAsia="Book Antiqua" w:cs="Book Antiqua"/>
          <w:color w:val="000000"/>
          <w:highlight w:val="yellow"/>
        </w:rPr>
        <w:t>.</w:t>
      </w:r>
      <w:r>
        <w:rPr>
          <w:rFonts w:ascii="Book Antiqua" w:hAnsi="Book Antiqua" w:eastAsia="Book Antiqua" w:cs="Book Antiqua"/>
          <w:b/>
          <w:bCs/>
          <w:color w:val="000000"/>
          <w:highlight w:val="yellow"/>
        </w:rPr>
        <w:t xml:space="preserve"> </w:t>
      </w:r>
      <w:bookmarkStart w:id="65" w:name="OLE_LINK74"/>
      <w:bookmarkStart w:id="66" w:name="OLE_LINK64"/>
      <w:r>
        <w:rPr>
          <w:rFonts w:ascii="Book Antiqua" w:hAnsi="Book Antiqua" w:eastAsia="Book Antiqua" w:cs="Book Antiqua"/>
          <w:bCs/>
          <w:color w:val="000000"/>
          <w:highlight w:val="yellow"/>
        </w:rPr>
        <w:t>Open-Label Phase 2 Trial of a Steroid-Free,</w:t>
      </w:r>
      <w:r>
        <w:rPr>
          <w:rFonts w:ascii="Book Antiqua" w:hAnsi="Book Antiqua" w:eastAsia="Book Antiqua" w:cs="Book Antiqua"/>
          <w:color w:val="000000"/>
          <w:highlight w:val="yellow"/>
        </w:rPr>
        <w:t xml:space="preserve"> CNI-Free, Be-latacept-Based Immunosuppressive Regimen</w:t>
      </w:r>
      <w:bookmarkEnd w:id="65"/>
      <w:bookmarkEnd w:id="66"/>
      <w:r>
        <w:rPr>
          <w:rFonts w:ascii="Book Antiqua" w:hAnsi="Book Antiqua" w:eastAsia="Book Antiqua" w:cs="Book Antiqua"/>
          <w:color w:val="000000"/>
          <w:highlight w:val="yellow"/>
        </w:rPr>
        <w:t>, 17</w:t>
      </w:r>
      <w:r>
        <w:rPr>
          <w:highlight w:val="yellow"/>
        </w:rPr>
        <w:t xml:space="preserve"> </w:t>
      </w:r>
      <w:r>
        <w:rPr>
          <w:rFonts w:ascii="Book Antiqua" w:hAnsi="Book Antiqua" w:eastAsia="Book Antiqua" w:cs="Book Antiqua"/>
          <w:color w:val="000000"/>
          <w:highlight w:val="yellow"/>
        </w:rPr>
        <w:t>December, 2020 [cited 19 January, 2021]. In:</w:t>
      </w:r>
      <w:r>
        <w:rPr>
          <w:highlight w:val="yellow"/>
        </w:rPr>
        <w:t xml:space="preserve"> </w:t>
      </w:r>
      <w:r>
        <w:rPr>
          <w:rFonts w:ascii="Book Antiqua" w:hAnsi="Book Antiqua" w:eastAsia="Book Antiqua" w:cs="Book Antiqua"/>
          <w:color w:val="000000"/>
          <w:highlight w:val="yellow"/>
        </w:rPr>
        <w:t>National Institute of Allergy and Infectious Diseases. ClinicalTrials.gov Identifier:</w:t>
      </w:r>
      <w:r>
        <w:rPr>
          <w:rFonts w:ascii="Book Antiqua" w:hAnsi="Book Antiqua" w:eastAsia="Book Antiqua" w:cs="Book Antiqua"/>
          <w:color w:val="000000"/>
          <w:highlight w:val="yellow"/>
        </w:rPr>
        <w:tab/>
      </w:r>
      <w:r>
        <w:rPr>
          <w:rFonts w:ascii="Book Antiqua" w:hAnsi="Book Antiqua" w:eastAsia="Book Antiqua" w:cs="Book Antiqua"/>
          <w:color w:val="000000"/>
          <w:highlight w:val="yellow"/>
        </w:rPr>
        <w:t xml:space="preserve">NCT01856257 Available from: </w:t>
      </w:r>
      <w:bookmarkStart w:id="67" w:name="OLE_LINK63"/>
      <w:r>
        <w:rPr>
          <w:rFonts w:ascii="Book Antiqua" w:hAnsi="Book Antiqua" w:eastAsia="Book Antiqua" w:cs="Book Antiqua"/>
          <w:color w:val="000000"/>
          <w:highlight w:val="yellow"/>
        </w:rPr>
        <w:t>https://clinicaltrials.gov/ct2/show/results/NCT01856257?cond=01856257&amp;rank=1§=X01256</w:t>
      </w:r>
    </w:p>
    <w:bookmarkEnd w:id="67"/>
    <w:p>
      <w:pPr>
        <w:snapToGrid w:val="0"/>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Meier-Kriesche HU</w:t>
      </w:r>
      <w:r>
        <w:rPr>
          <w:rFonts w:ascii="Book Antiqua" w:hAnsi="Book Antiqua" w:eastAsia="Book Antiqua" w:cs="Book Antiqua"/>
          <w:color w:val="000000"/>
        </w:rPr>
        <w:t xml:space="preserve">, Baliga R, Kaplan B. Decreased renal function is a strong risk factor for cardiovascular death after renal transplantation.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2003; </w:t>
      </w:r>
      <w:r>
        <w:rPr>
          <w:rFonts w:ascii="Book Antiqua" w:hAnsi="Book Antiqua" w:eastAsia="Book Antiqua" w:cs="Book Antiqua"/>
          <w:b/>
          <w:bCs/>
          <w:color w:val="000000"/>
        </w:rPr>
        <w:t>75</w:t>
      </w:r>
      <w:r>
        <w:rPr>
          <w:rFonts w:ascii="Book Antiqua" w:hAnsi="Book Antiqua" w:eastAsia="Book Antiqua" w:cs="Book Antiqua"/>
          <w:color w:val="000000"/>
        </w:rPr>
        <w:t>: 1291-1295 [PMID: 12717218 DOI: 10.1097/01.TP.0000061602.03327.E2]</w:t>
      </w:r>
    </w:p>
    <w:p>
      <w:pPr>
        <w:snapToGrid w:val="0"/>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Fellström B</w:t>
      </w:r>
      <w:r>
        <w:rPr>
          <w:rFonts w:ascii="Book Antiqua" w:hAnsi="Book Antiqua" w:eastAsia="Book Antiqua" w:cs="Book Antiqua"/>
          <w:color w:val="000000"/>
        </w:rPr>
        <w:t xml:space="preserve">, Jardine AG, Soveri I, Cole E, Neumayer HH, Maes B, Gimpelewicz C, Holdaas H; ALERT Study Group. Renal dysfunction is a strong and independent risk factor for mortality and cardiovascular complications in renal transplantation.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2005; </w:t>
      </w:r>
      <w:r>
        <w:rPr>
          <w:rFonts w:ascii="Book Antiqua" w:hAnsi="Book Antiqua" w:eastAsia="Book Antiqua" w:cs="Book Antiqua"/>
          <w:b/>
          <w:bCs/>
          <w:color w:val="000000"/>
        </w:rPr>
        <w:t>5</w:t>
      </w:r>
      <w:r>
        <w:rPr>
          <w:rFonts w:ascii="Book Antiqua" w:hAnsi="Book Antiqua" w:eastAsia="Book Antiqua" w:cs="Book Antiqua"/>
          <w:color w:val="000000"/>
        </w:rPr>
        <w:t>: 1986-1991 [PMID: 15996249 DOI: 10.1111/j.1600-6143.2005.00983.x]</w:t>
      </w:r>
    </w:p>
    <w:p>
      <w:pPr>
        <w:snapToGrid w:val="0"/>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Ojo AO</w:t>
      </w:r>
      <w:r>
        <w:rPr>
          <w:rFonts w:ascii="Book Antiqua" w:hAnsi="Book Antiqua" w:eastAsia="Book Antiqua" w:cs="Book Antiqua"/>
          <w:color w:val="000000"/>
        </w:rPr>
        <w:t xml:space="preserve">. Cardiovascular complications after renal transplantation and their prevention.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2006; </w:t>
      </w:r>
      <w:r>
        <w:rPr>
          <w:rFonts w:ascii="Book Antiqua" w:hAnsi="Book Antiqua" w:eastAsia="Book Antiqua" w:cs="Book Antiqua"/>
          <w:b/>
          <w:bCs/>
          <w:color w:val="000000"/>
        </w:rPr>
        <w:t>82</w:t>
      </w:r>
      <w:r>
        <w:rPr>
          <w:rFonts w:ascii="Book Antiqua" w:hAnsi="Book Antiqua" w:eastAsia="Book Antiqua" w:cs="Book Antiqua"/>
          <w:color w:val="000000"/>
        </w:rPr>
        <w:t>: 603-611 [PMID: 16969281 DOI: 10.1097/01.tp.0000235527.81917.fe]</w:t>
      </w:r>
    </w:p>
    <w:p>
      <w:pPr>
        <w:snapToGrid w:val="0"/>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Svensson M</w:t>
      </w:r>
      <w:r>
        <w:rPr>
          <w:rFonts w:ascii="Book Antiqua" w:hAnsi="Book Antiqua" w:eastAsia="Book Antiqua" w:cs="Book Antiqua"/>
          <w:color w:val="000000"/>
        </w:rPr>
        <w:t xml:space="preserve">, Jardine A, Fellström B, Holdaas H. Prevention of cardiovascular disease after renal transplantation. </w:t>
      </w:r>
      <w:r>
        <w:rPr>
          <w:rFonts w:ascii="Book Antiqua" w:hAnsi="Book Antiqua" w:eastAsia="Book Antiqua" w:cs="Book Antiqua"/>
          <w:i/>
          <w:iCs/>
          <w:color w:val="000000"/>
        </w:rPr>
        <w:t>Curr Opin Organ Transplant</w:t>
      </w:r>
      <w:r>
        <w:rPr>
          <w:rFonts w:ascii="Book Antiqua" w:hAnsi="Book Antiqua" w:eastAsia="Book Antiqua" w:cs="Book Antiqua"/>
          <w:color w:val="000000"/>
        </w:rPr>
        <w:t xml:space="preserve"> 2012; </w:t>
      </w:r>
      <w:r>
        <w:rPr>
          <w:rFonts w:ascii="Book Antiqua" w:hAnsi="Book Antiqua" w:eastAsia="Book Antiqua" w:cs="Book Antiqua"/>
          <w:b/>
          <w:bCs/>
          <w:color w:val="000000"/>
        </w:rPr>
        <w:t>17</w:t>
      </w:r>
      <w:r>
        <w:rPr>
          <w:rFonts w:ascii="Book Antiqua" w:hAnsi="Book Antiqua" w:eastAsia="Book Antiqua" w:cs="Book Antiqua"/>
          <w:color w:val="000000"/>
        </w:rPr>
        <w:t>: 393-400 [PMID: 22790074 DOI: 10.1097/MOT.0b013e3283560a3b]</w:t>
      </w:r>
    </w:p>
    <w:p>
      <w:pPr>
        <w:snapToGrid w:val="0"/>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Vanrenterghem YF</w:t>
      </w:r>
      <w:r>
        <w:rPr>
          <w:rFonts w:ascii="Book Antiqua" w:hAnsi="Book Antiqua" w:eastAsia="Book Antiqua" w:cs="Book Antiqua"/>
          <w:color w:val="000000"/>
        </w:rPr>
        <w:t xml:space="preserve">, Claes K, Montagnino G, Fieuws S, Maes B, Villa M, Ponticelli C. Risk factors for cardiovascular events after successful renal transplantation.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2008; </w:t>
      </w:r>
      <w:r>
        <w:rPr>
          <w:rFonts w:ascii="Book Antiqua" w:hAnsi="Book Antiqua" w:eastAsia="Book Antiqua" w:cs="Book Antiqua"/>
          <w:b/>
          <w:bCs/>
          <w:color w:val="000000"/>
        </w:rPr>
        <w:t>85</w:t>
      </w:r>
      <w:r>
        <w:rPr>
          <w:rFonts w:ascii="Book Antiqua" w:hAnsi="Book Antiqua" w:eastAsia="Book Antiqua" w:cs="Book Antiqua"/>
          <w:color w:val="000000"/>
        </w:rPr>
        <w:t>: 209-216 [PMID: 18212625 DOI: 10.1097/TP.0b013e318160254f]</w:t>
      </w:r>
    </w:p>
    <w:p>
      <w:pPr>
        <w:snapToGrid w:val="0"/>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Moorhead JF</w:t>
      </w:r>
      <w:r>
        <w:rPr>
          <w:rFonts w:ascii="Book Antiqua" w:hAnsi="Book Antiqua" w:eastAsia="Book Antiqua" w:cs="Book Antiqua"/>
          <w:color w:val="000000"/>
        </w:rPr>
        <w:t xml:space="preserve">, Chan MK, El-Nahas M, Varghese Z. Lipid nephrotoxicity in chronic progressive glomerular and tubulo-interstitial disease. </w:t>
      </w:r>
      <w:r>
        <w:rPr>
          <w:rFonts w:ascii="Book Antiqua" w:hAnsi="Book Antiqua" w:eastAsia="Book Antiqua" w:cs="Book Antiqua"/>
          <w:i/>
          <w:iCs/>
          <w:color w:val="000000"/>
        </w:rPr>
        <w:t>Lancet</w:t>
      </w:r>
      <w:r>
        <w:rPr>
          <w:rFonts w:ascii="Book Antiqua" w:hAnsi="Book Antiqua" w:eastAsia="Book Antiqua" w:cs="Book Antiqua"/>
          <w:color w:val="000000"/>
        </w:rPr>
        <w:t xml:space="preserve"> 1982; </w:t>
      </w:r>
      <w:r>
        <w:rPr>
          <w:rFonts w:ascii="Book Antiqua" w:hAnsi="Book Antiqua" w:eastAsia="Book Antiqua" w:cs="Book Antiqua"/>
          <w:b/>
          <w:bCs/>
          <w:color w:val="000000"/>
        </w:rPr>
        <w:t>2</w:t>
      </w:r>
      <w:r>
        <w:rPr>
          <w:rFonts w:ascii="Book Antiqua" w:hAnsi="Book Antiqua" w:eastAsia="Book Antiqua" w:cs="Book Antiqua"/>
          <w:color w:val="000000"/>
        </w:rPr>
        <w:t>: 1309-1311 [PMID: 6128601 DOI: 10.1016/s0140-6736(82)91513-6]</w:t>
      </w:r>
    </w:p>
    <w:p>
      <w:pPr>
        <w:snapToGrid w:val="0"/>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Sandhu S</w:t>
      </w:r>
      <w:r>
        <w:rPr>
          <w:rFonts w:ascii="Book Antiqua" w:hAnsi="Book Antiqua" w:eastAsia="Book Antiqua" w:cs="Book Antiqua"/>
          <w:color w:val="000000"/>
        </w:rPr>
        <w:t xml:space="preserve">, Wiebe N, Fried LF, Tonelli M. Statins for improving renal outcomes: a meta-analysis. </w:t>
      </w:r>
      <w:r>
        <w:rPr>
          <w:rFonts w:ascii="Book Antiqua" w:hAnsi="Book Antiqua" w:eastAsia="Book Antiqua" w:cs="Book Antiqua"/>
          <w:i/>
          <w:iCs/>
          <w:color w:val="000000"/>
        </w:rPr>
        <w:t>J Am Soc Nephrol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17</w:t>
      </w:r>
      <w:r>
        <w:rPr>
          <w:rFonts w:ascii="Book Antiqua" w:hAnsi="Book Antiqua" w:eastAsia="Book Antiqua" w:cs="Book Antiqua"/>
          <w:color w:val="000000"/>
        </w:rPr>
        <w:t>: 2006-2016 [PMID: 16762986 DOI: 10.1681/ASN.2006010012]</w:t>
      </w:r>
    </w:p>
    <w:p>
      <w:pPr>
        <w:snapToGrid w:val="0"/>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Gupta S</w:t>
      </w:r>
      <w:r>
        <w:rPr>
          <w:rFonts w:ascii="Book Antiqua" w:hAnsi="Book Antiqua" w:eastAsia="Book Antiqua" w:cs="Book Antiqua"/>
          <w:color w:val="000000"/>
        </w:rPr>
        <w:t xml:space="preserve">, Rosales I, Wojciechowski D. Pilot Analysis of Late Conversion to Belatacept in Kidney Transplant Recipients for Biopsy-Proven Chronic Tacrolimus Toxicity. </w:t>
      </w:r>
      <w:r>
        <w:rPr>
          <w:rFonts w:ascii="Book Antiqua" w:hAnsi="Book Antiqua" w:eastAsia="Book Antiqua" w:cs="Book Antiqua"/>
          <w:i/>
          <w:iCs/>
          <w:color w:val="000000"/>
        </w:rPr>
        <w:t>J Transplant</w:t>
      </w:r>
      <w:r>
        <w:rPr>
          <w:rFonts w:ascii="Book Antiqua" w:hAnsi="Book Antiqua" w:eastAsia="Book Antiqua" w:cs="Book Antiqua"/>
          <w:color w:val="000000"/>
        </w:rPr>
        <w:t xml:space="preserve"> 2018; </w:t>
      </w:r>
      <w:r>
        <w:rPr>
          <w:rFonts w:ascii="Book Antiqua" w:hAnsi="Book Antiqua" w:eastAsia="Book Antiqua" w:cs="Book Antiqua"/>
          <w:b/>
          <w:bCs/>
          <w:color w:val="000000"/>
        </w:rPr>
        <w:t>2018</w:t>
      </w:r>
      <w:r>
        <w:rPr>
          <w:rFonts w:ascii="Book Antiqua" w:hAnsi="Book Antiqua" w:eastAsia="Book Antiqua" w:cs="Book Antiqua"/>
          <w:color w:val="000000"/>
        </w:rPr>
        <w:t>: 1968029 [PMID: 29854421 DOI: 10.1155/2018/1968029]</w:t>
      </w:r>
    </w:p>
    <w:p>
      <w:pPr>
        <w:snapToGrid w:val="0"/>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Vincenti F</w:t>
      </w:r>
      <w:r>
        <w:rPr>
          <w:rFonts w:ascii="Book Antiqua" w:hAnsi="Book Antiqua" w:eastAsia="Book Antiqua" w:cs="Book Antiqua"/>
          <w:color w:val="000000"/>
        </w:rPr>
        <w:t xml:space="preserve">, Blancho G, Durrbach A, Grannas G, Grinyó J, Meier-Kriesche HU, Polinsky M, Yang L, Larsen CP. Ten-year outcomes in a randomized phase II study of kidney transplant recipients administered belatacept 4-weekly or 8-weekly.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2017; </w:t>
      </w:r>
      <w:r>
        <w:rPr>
          <w:rFonts w:ascii="Book Antiqua" w:hAnsi="Book Antiqua" w:eastAsia="Book Antiqua" w:cs="Book Antiqua"/>
          <w:b/>
          <w:bCs/>
          <w:color w:val="000000"/>
        </w:rPr>
        <w:t>17</w:t>
      </w:r>
      <w:r>
        <w:rPr>
          <w:rFonts w:ascii="Book Antiqua" w:hAnsi="Book Antiqua" w:eastAsia="Book Antiqua" w:cs="Book Antiqua"/>
          <w:color w:val="000000"/>
        </w:rPr>
        <w:t>: 3219-3227 [PMID: 28758341 DOI: 10.1111/ajt.14452]</w:t>
      </w:r>
    </w:p>
    <w:p>
      <w:pPr>
        <w:snapToGrid w:val="0"/>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Huurman VA</w:t>
      </w:r>
      <w:r>
        <w:rPr>
          <w:rFonts w:ascii="Book Antiqua" w:hAnsi="Book Antiqua" w:eastAsia="Book Antiqua" w:cs="Book Antiqua"/>
          <w:color w:val="000000"/>
        </w:rPr>
        <w:t xml:space="preserve">, Unger WW, Koeleman BP, Oaks MK, Chandraker AK, Terpstra OT, Roep BO. Differential inhibition of autoreactive memory- and alloreactive naive T cell responses by soluble cytotoxic T lymphocyte antigen 4 (sCTLA4), CTLA4Ig and LEA29Y. </w:t>
      </w:r>
      <w:r>
        <w:rPr>
          <w:rFonts w:ascii="Book Antiqua" w:hAnsi="Book Antiqua" w:eastAsia="Book Antiqua" w:cs="Book Antiqua"/>
          <w:i/>
          <w:iCs/>
          <w:color w:val="000000"/>
        </w:rPr>
        <w:t>Clin Exp Immunol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150</w:t>
      </w:r>
      <w:r>
        <w:rPr>
          <w:rFonts w:ascii="Book Antiqua" w:hAnsi="Book Antiqua" w:eastAsia="Book Antiqua" w:cs="Book Antiqua"/>
          <w:color w:val="000000"/>
        </w:rPr>
        <w:t>: 487-493 [PMID: 17924973 DOI: 10.1111/j.1365-2249.2007.03513.x]</w:t>
      </w:r>
    </w:p>
    <w:p>
      <w:pPr>
        <w:snapToGrid w:val="0"/>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Durrbach A</w:t>
      </w:r>
      <w:r>
        <w:rPr>
          <w:rFonts w:ascii="Book Antiqua" w:hAnsi="Book Antiqua" w:eastAsia="Book Antiqua" w:cs="Book Antiqua"/>
          <w:color w:val="000000"/>
        </w:rPr>
        <w:t xml:space="preserve">, Pestana JM, Pearson T, Vincenti F, Garcia VD, Campistol J, Rial Mdel C, Florman S, Block A, Di Russo G, Xing J, Garg P, Grinyó J. A phase III study of belatacept </w:t>
      </w:r>
      <w:r>
        <w:rPr>
          <w:rFonts w:ascii="Book Antiqua" w:hAnsi="Book Antiqua" w:eastAsia="Book Antiqua" w:cs="Book Antiqua"/>
          <w:i/>
          <w:iCs/>
          <w:color w:val="000000"/>
        </w:rPr>
        <w:t>vs</w:t>
      </w:r>
      <w:r>
        <w:rPr>
          <w:rFonts w:ascii="Book Antiqua" w:hAnsi="Book Antiqua" w:eastAsia="Book Antiqua" w:cs="Book Antiqua"/>
          <w:color w:val="000000"/>
        </w:rPr>
        <w:t xml:space="preserve"> cyclosporine in kidney transplants from extended criteria donors (BENEFIT-EXT study).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2010; </w:t>
      </w:r>
      <w:r>
        <w:rPr>
          <w:rFonts w:ascii="Book Antiqua" w:hAnsi="Book Antiqua" w:eastAsia="Book Antiqua" w:cs="Book Antiqua"/>
          <w:b/>
          <w:bCs/>
          <w:color w:val="000000"/>
        </w:rPr>
        <w:t>10</w:t>
      </w:r>
      <w:r>
        <w:rPr>
          <w:rFonts w:ascii="Book Antiqua" w:hAnsi="Book Antiqua" w:eastAsia="Book Antiqua" w:cs="Book Antiqua"/>
          <w:color w:val="000000"/>
        </w:rPr>
        <w:t>: 547-557 [PMID: 20415898 DOI: 10.1111/j.1600-6143.2010.03016.x]</w:t>
      </w:r>
    </w:p>
    <w:p>
      <w:pPr>
        <w:snapToGrid w:val="0"/>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Weaver TA</w:t>
      </w:r>
      <w:r>
        <w:rPr>
          <w:rFonts w:ascii="Book Antiqua" w:hAnsi="Book Antiqua" w:eastAsia="Book Antiqua" w:cs="Book Antiqua"/>
          <w:color w:val="000000"/>
        </w:rPr>
        <w:t xml:space="preserve">, Charafeddine AH, Agarwal A, Turner AP, Russell M, Leopardi FV, Kampen RL, Stempora L, Song M, Larsen CP, Kirk AD. Alefacept promotes co-stimulation blockade based allograft survival in nonhuman primates. </w:t>
      </w:r>
      <w:r>
        <w:rPr>
          <w:rFonts w:ascii="Book Antiqua" w:hAnsi="Book Antiqua" w:eastAsia="Book Antiqua" w:cs="Book Antiqua"/>
          <w:i/>
          <w:iCs/>
          <w:color w:val="000000"/>
        </w:rPr>
        <w:t>Nat Med</w:t>
      </w:r>
      <w:r>
        <w:rPr>
          <w:rFonts w:ascii="Book Antiqua" w:hAnsi="Book Antiqua" w:eastAsia="Book Antiqua" w:cs="Book Antiqua"/>
          <w:color w:val="000000"/>
        </w:rPr>
        <w:t xml:space="preserve"> 2009; </w:t>
      </w:r>
      <w:r>
        <w:rPr>
          <w:rFonts w:ascii="Book Antiqua" w:hAnsi="Book Antiqua" w:eastAsia="Book Antiqua" w:cs="Book Antiqua"/>
          <w:b/>
          <w:bCs/>
          <w:color w:val="000000"/>
        </w:rPr>
        <w:t>15</w:t>
      </w:r>
      <w:r>
        <w:rPr>
          <w:rFonts w:ascii="Book Antiqua" w:hAnsi="Book Antiqua" w:eastAsia="Book Antiqua" w:cs="Book Antiqua"/>
          <w:color w:val="000000"/>
        </w:rPr>
        <w:t>: 746-749 [PMID: 19584865 DOI: 10.1038/nm.1993]</w:t>
      </w:r>
    </w:p>
    <w:p>
      <w:pPr>
        <w:snapToGrid w:val="0"/>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Lo DJ</w:t>
      </w:r>
      <w:r>
        <w:rPr>
          <w:rFonts w:ascii="Book Antiqua" w:hAnsi="Book Antiqua" w:eastAsia="Book Antiqua" w:cs="Book Antiqua"/>
          <w:color w:val="000000"/>
        </w:rPr>
        <w:t xml:space="preserve">, Weaver TA, Stempora L, Mehta AK, Ford ML, Larsen CP, Kirk AD. Selective targeting of human alloresponsive CD8+ effector memory T cells based on CD2 expression.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2011; </w:t>
      </w:r>
      <w:r>
        <w:rPr>
          <w:rFonts w:ascii="Book Antiqua" w:hAnsi="Book Antiqua" w:eastAsia="Book Antiqua" w:cs="Book Antiqua"/>
          <w:b/>
          <w:bCs/>
          <w:color w:val="000000"/>
        </w:rPr>
        <w:t>11</w:t>
      </w:r>
      <w:r>
        <w:rPr>
          <w:rFonts w:ascii="Book Antiqua" w:hAnsi="Book Antiqua" w:eastAsia="Book Antiqua" w:cs="Book Antiqua"/>
          <w:color w:val="000000"/>
        </w:rPr>
        <w:t>: 22-33 [PMID: 21070604 DOI: 10.1111/j.1600-6143.2010.03317.x]</w:t>
      </w:r>
    </w:p>
    <w:p>
      <w:pPr>
        <w:snapToGrid w:val="0"/>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Kaech SM</w:t>
      </w:r>
      <w:r>
        <w:rPr>
          <w:rFonts w:ascii="Book Antiqua" w:hAnsi="Book Antiqua" w:eastAsia="Book Antiqua" w:cs="Book Antiqua"/>
          <w:color w:val="000000"/>
        </w:rPr>
        <w:t xml:space="preserve">, Tan JT, Wherry EJ, Konieczny BT, Surh CD, Ahmed R. Selective expression of the interleukin 7 receptor identifies effector CD8 T cells that give rise to long-lived memory cells. </w:t>
      </w:r>
      <w:r>
        <w:rPr>
          <w:rFonts w:ascii="Book Antiqua" w:hAnsi="Book Antiqua" w:eastAsia="Book Antiqua" w:cs="Book Antiqua"/>
          <w:i/>
          <w:iCs/>
          <w:color w:val="000000"/>
        </w:rPr>
        <w:t>Nat Immunol</w:t>
      </w:r>
      <w:r>
        <w:rPr>
          <w:rFonts w:ascii="Book Antiqua" w:hAnsi="Book Antiqua" w:eastAsia="Book Antiqua" w:cs="Book Antiqua"/>
          <w:color w:val="000000"/>
        </w:rPr>
        <w:t xml:space="preserve"> 2003; </w:t>
      </w:r>
      <w:r>
        <w:rPr>
          <w:rFonts w:ascii="Book Antiqua" w:hAnsi="Book Antiqua" w:eastAsia="Book Antiqua" w:cs="Book Antiqua"/>
          <w:b/>
          <w:bCs/>
          <w:color w:val="000000"/>
        </w:rPr>
        <w:t>4</w:t>
      </w:r>
      <w:r>
        <w:rPr>
          <w:rFonts w:ascii="Book Antiqua" w:hAnsi="Book Antiqua" w:eastAsia="Book Antiqua" w:cs="Book Antiqua"/>
          <w:color w:val="000000"/>
        </w:rPr>
        <w:t>: 1191-1198 [PMID: 14625547 DOI: 10.1038/ni1009]</w:t>
      </w:r>
    </w:p>
    <w:p>
      <w:pPr>
        <w:snapToGrid w:val="0"/>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de Graav GN</w:t>
      </w:r>
      <w:r>
        <w:rPr>
          <w:rFonts w:ascii="Book Antiqua" w:hAnsi="Book Antiqua" w:eastAsia="Book Antiqua" w:cs="Book Antiqua"/>
          <w:color w:val="000000"/>
        </w:rPr>
        <w:t xml:space="preserve">, Hesselink DA, Dieterich M, Kraaijeveld R, Weimar W, Baan CC. Down-Regulation of Surface CD28 under Belatacept Treatment: An Escape Mechanism for Antigen-Reactive T-Cells.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2016; </w:t>
      </w:r>
      <w:r>
        <w:rPr>
          <w:rFonts w:ascii="Book Antiqua" w:hAnsi="Book Antiqua" w:eastAsia="Book Antiqua" w:cs="Book Antiqua"/>
          <w:b/>
          <w:bCs/>
          <w:color w:val="000000"/>
        </w:rPr>
        <w:t>11</w:t>
      </w:r>
      <w:r>
        <w:rPr>
          <w:rFonts w:ascii="Book Antiqua" w:hAnsi="Book Antiqua" w:eastAsia="Book Antiqua" w:cs="Book Antiqua"/>
          <w:color w:val="000000"/>
        </w:rPr>
        <w:t>: e0148604 [PMID: 26919152 DOI: 10.1371/journal.pone.0148604]</w:t>
      </w:r>
    </w:p>
    <w:p>
      <w:pPr>
        <w:snapToGrid w:val="0"/>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Grakoui A</w:t>
      </w:r>
      <w:r>
        <w:rPr>
          <w:rFonts w:ascii="Book Antiqua" w:hAnsi="Book Antiqua" w:eastAsia="Book Antiqua" w:cs="Book Antiqua"/>
          <w:color w:val="000000"/>
        </w:rPr>
        <w:t xml:space="preserve">, Bromley SK, Sumen C, Davis MM, Shaw AS, Allen PM, Dustin ML. The immunological synapse: a molecular machine controlling T cell activation.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1999; </w:t>
      </w:r>
      <w:r>
        <w:rPr>
          <w:rFonts w:ascii="Book Antiqua" w:hAnsi="Book Antiqua" w:eastAsia="Book Antiqua" w:cs="Book Antiqua"/>
          <w:b/>
          <w:bCs/>
          <w:color w:val="000000"/>
        </w:rPr>
        <w:t>285</w:t>
      </w:r>
      <w:r>
        <w:rPr>
          <w:rFonts w:ascii="Book Antiqua" w:hAnsi="Book Antiqua" w:eastAsia="Book Antiqua" w:cs="Book Antiqua"/>
          <w:color w:val="000000"/>
        </w:rPr>
        <w:t>: 221-227 [PMID: 10398592 DOI: 10.1126/science.285.5425.221]</w:t>
      </w:r>
    </w:p>
    <w:p>
      <w:pPr>
        <w:snapToGrid w:val="0"/>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Chang JT</w:t>
      </w:r>
      <w:r>
        <w:rPr>
          <w:rFonts w:ascii="Book Antiqua" w:hAnsi="Book Antiqua" w:eastAsia="Book Antiqua" w:cs="Book Antiqua"/>
          <w:color w:val="000000"/>
        </w:rPr>
        <w:t xml:space="preserve">, Wherry EJ, Goldrath AW. Molecular regulation of effector and memory T cell differentiation. </w:t>
      </w:r>
      <w:r>
        <w:rPr>
          <w:rFonts w:ascii="Book Antiqua" w:hAnsi="Book Antiqua" w:eastAsia="Book Antiqua" w:cs="Book Antiqua"/>
          <w:i/>
          <w:iCs/>
          <w:color w:val="000000"/>
        </w:rPr>
        <w:t>Nat Immunol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15</w:t>
      </w:r>
      <w:r>
        <w:rPr>
          <w:rFonts w:ascii="Book Antiqua" w:hAnsi="Book Antiqua" w:eastAsia="Book Antiqua" w:cs="Book Antiqua"/>
          <w:color w:val="000000"/>
        </w:rPr>
        <w:t>: 1104-1115 [PMID: 25396352 DOI: 10.1038/ni.3031]</w:t>
      </w:r>
    </w:p>
    <w:p>
      <w:pPr>
        <w:snapToGrid w:val="0"/>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Deeths MJ</w:t>
      </w:r>
      <w:r>
        <w:rPr>
          <w:rFonts w:ascii="Book Antiqua" w:hAnsi="Book Antiqua" w:eastAsia="Book Antiqua" w:cs="Book Antiqua"/>
          <w:color w:val="000000"/>
        </w:rPr>
        <w:t xml:space="preserve">, Mescher MF. B7-1-dependent co-stimulation results in qualitatively and quantitatively different responses by CD4+ and CD8+ T cells. </w:t>
      </w:r>
      <w:r>
        <w:rPr>
          <w:rFonts w:ascii="Book Antiqua" w:hAnsi="Book Antiqua" w:eastAsia="Book Antiqua" w:cs="Book Antiqua"/>
          <w:i/>
          <w:iCs/>
          <w:color w:val="000000"/>
        </w:rPr>
        <w:t>Eur J Immunol</w:t>
      </w:r>
      <w:r>
        <w:rPr>
          <w:rFonts w:ascii="Book Antiqua" w:hAnsi="Book Antiqua" w:eastAsia="Book Antiqua" w:cs="Book Antiqua"/>
          <w:color w:val="000000"/>
        </w:rPr>
        <w:t xml:space="preserve"> 1997; </w:t>
      </w:r>
      <w:r>
        <w:rPr>
          <w:rFonts w:ascii="Book Antiqua" w:hAnsi="Book Antiqua" w:eastAsia="Book Antiqua" w:cs="Book Antiqua"/>
          <w:b/>
          <w:bCs/>
          <w:color w:val="000000"/>
        </w:rPr>
        <w:t>27</w:t>
      </w:r>
      <w:r>
        <w:rPr>
          <w:rFonts w:ascii="Book Antiqua" w:hAnsi="Book Antiqua" w:eastAsia="Book Antiqua" w:cs="Book Antiqua"/>
          <w:color w:val="000000"/>
        </w:rPr>
        <w:t>: 598-608 [PMID: 9079798 DOI: 10.1002/eji.1830270305]</w:t>
      </w:r>
    </w:p>
    <w:p>
      <w:pPr>
        <w:snapToGrid w:val="0"/>
        <w:spacing w:line="360" w:lineRule="auto"/>
        <w:jc w:val="both"/>
        <w:rPr>
          <w:rFonts w:ascii="Book Antiqua" w:hAnsi="Book Antiqua"/>
        </w:rPr>
      </w:pPr>
      <w:r>
        <w:rPr>
          <w:rFonts w:ascii="Book Antiqua" w:hAnsi="Book Antiqua" w:eastAsia="Book Antiqua" w:cs="Book Antiqua"/>
          <w:color w:val="000000"/>
        </w:rPr>
        <w:t xml:space="preserve">55 </w:t>
      </w:r>
      <w:r>
        <w:rPr>
          <w:rFonts w:ascii="Book Antiqua" w:hAnsi="Book Antiqua" w:eastAsia="Book Antiqua" w:cs="Book Antiqua"/>
          <w:b/>
          <w:bCs/>
          <w:color w:val="000000"/>
        </w:rPr>
        <w:t>Guerder S</w:t>
      </w:r>
      <w:r>
        <w:rPr>
          <w:rFonts w:ascii="Book Antiqua" w:hAnsi="Book Antiqua" w:eastAsia="Book Antiqua" w:cs="Book Antiqua"/>
          <w:color w:val="000000"/>
        </w:rPr>
        <w:t xml:space="preserve">, Carding SR, Flavell RA. B7 costimulation is necessary for the activation of the lytic function in cytotoxic T lymphocyte precursors. </w:t>
      </w:r>
      <w:r>
        <w:rPr>
          <w:rFonts w:ascii="Book Antiqua" w:hAnsi="Book Antiqua" w:eastAsia="Book Antiqua" w:cs="Book Antiqua"/>
          <w:i/>
          <w:iCs/>
          <w:color w:val="000000"/>
        </w:rPr>
        <w:t>J Immunol</w:t>
      </w:r>
      <w:r>
        <w:rPr>
          <w:rFonts w:ascii="Book Antiqua" w:hAnsi="Book Antiqua" w:eastAsia="Book Antiqua" w:cs="Book Antiqua"/>
          <w:color w:val="000000"/>
        </w:rPr>
        <w:t xml:space="preserve"> 1995; </w:t>
      </w:r>
      <w:r>
        <w:rPr>
          <w:rFonts w:ascii="Book Antiqua" w:hAnsi="Book Antiqua" w:eastAsia="Book Antiqua" w:cs="Book Antiqua"/>
          <w:b/>
          <w:bCs/>
          <w:color w:val="000000"/>
        </w:rPr>
        <w:t>155</w:t>
      </w:r>
      <w:r>
        <w:rPr>
          <w:rFonts w:ascii="Book Antiqua" w:hAnsi="Book Antiqua" w:eastAsia="Book Antiqua" w:cs="Book Antiqua"/>
          <w:color w:val="000000"/>
        </w:rPr>
        <w:t>: 5167-5174 [PMID: 7594526]</w:t>
      </w:r>
    </w:p>
    <w:p>
      <w:pPr>
        <w:snapToGrid w:val="0"/>
        <w:spacing w:line="360" w:lineRule="auto"/>
        <w:jc w:val="both"/>
        <w:rPr>
          <w:rFonts w:ascii="Book Antiqua" w:hAnsi="Book Antiqua"/>
        </w:rPr>
      </w:pPr>
      <w:r>
        <w:rPr>
          <w:rFonts w:ascii="Book Antiqua" w:hAnsi="Book Antiqua" w:eastAsia="Book Antiqua" w:cs="Book Antiqua"/>
          <w:color w:val="000000"/>
        </w:rPr>
        <w:t xml:space="preserve">56 </w:t>
      </w:r>
      <w:r>
        <w:rPr>
          <w:rFonts w:ascii="Book Antiqua" w:hAnsi="Book Antiqua" w:eastAsia="Book Antiqua" w:cs="Book Antiqua"/>
          <w:b/>
          <w:bCs/>
          <w:color w:val="000000"/>
        </w:rPr>
        <w:t>Shin T</w:t>
      </w:r>
      <w:r>
        <w:rPr>
          <w:rFonts w:ascii="Book Antiqua" w:hAnsi="Book Antiqua" w:eastAsia="Book Antiqua" w:cs="Book Antiqua"/>
          <w:color w:val="000000"/>
        </w:rPr>
        <w:t xml:space="preserve">, Yoshimura K, Shin T, Crafton EB, Tsuchiya H, Housseau F, Koseki H, Schulick RD, Chen L, Pardoll DM. In vivo costimulatory role of B7-DC in tuning T helper cell 1 and cytotoxic T lymphocyte responses. </w:t>
      </w:r>
      <w:r>
        <w:rPr>
          <w:rFonts w:ascii="Book Antiqua" w:hAnsi="Book Antiqua" w:eastAsia="Book Antiqua" w:cs="Book Antiqua"/>
          <w:i/>
          <w:iCs/>
          <w:color w:val="000000"/>
        </w:rPr>
        <w:t>J Exp Med</w:t>
      </w:r>
      <w:r>
        <w:rPr>
          <w:rFonts w:ascii="Book Antiqua" w:hAnsi="Book Antiqua" w:eastAsia="Book Antiqua" w:cs="Book Antiqua"/>
          <w:color w:val="000000"/>
        </w:rPr>
        <w:t xml:space="preserve"> 2005; </w:t>
      </w:r>
      <w:r>
        <w:rPr>
          <w:rFonts w:ascii="Book Antiqua" w:hAnsi="Book Antiqua" w:eastAsia="Book Antiqua" w:cs="Book Antiqua"/>
          <w:b/>
          <w:bCs/>
          <w:color w:val="000000"/>
        </w:rPr>
        <w:t>201</w:t>
      </w:r>
      <w:r>
        <w:rPr>
          <w:rFonts w:ascii="Book Antiqua" w:hAnsi="Book Antiqua" w:eastAsia="Book Antiqua" w:cs="Book Antiqua"/>
          <w:color w:val="000000"/>
        </w:rPr>
        <w:t>: 1531-1541 [PMID: 15897272 DOI: 10.1084/jem.20050072]</w:t>
      </w:r>
    </w:p>
    <w:p>
      <w:pPr>
        <w:snapToGrid w:val="0"/>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Mandelbrot DA</w:t>
      </w:r>
      <w:r>
        <w:rPr>
          <w:rFonts w:ascii="Book Antiqua" w:hAnsi="Book Antiqua" w:eastAsia="Book Antiqua" w:cs="Book Antiqua"/>
          <w:color w:val="000000"/>
        </w:rPr>
        <w:t xml:space="preserve">, McAdam AJ, Sharpe AH. B7-1 or B7-2 is required to produce the lymphoproliferative phenotype in mice lacking cytotoxic T lymphocyte-associated antigen 4 (CTLA-4). </w:t>
      </w:r>
      <w:r>
        <w:rPr>
          <w:rFonts w:ascii="Book Antiqua" w:hAnsi="Book Antiqua" w:eastAsia="Book Antiqua" w:cs="Book Antiqua"/>
          <w:i/>
          <w:iCs/>
          <w:color w:val="000000"/>
        </w:rPr>
        <w:t>J Exp Med</w:t>
      </w:r>
      <w:r>
        <w:rPr>
          <w:rFonts w:ascii="Book Antiqua" w:hAnsi="Book Antiqua" w:eastAsia="Book Antiqua" w:cs="Book Antiqua"/>
          <w:color w:val="000000"/>
        </w:rPr>
        <w:t xml:space="preserve"> 1999; </w:t>
      </w:r>
      <w:r>
        <w:rPr>
          <w:rFonts w:ascii="Book Antiqua" w:hAnsi="Book Antiqua" w:eastAsia="Book Antiqua" w:cs="Book Antiqua"/>
          <w:b/>
          <w:bCs/>
          <w:color w:val="000000"/>
        </w:rPr>
        <w:t>189</w:t>
      </w:r>
      <w:r>
        <w:rPr>
          <w:rFonts w:ascii="Book Antiqua" w:hAnsi="Book Antiqua" w:eastAsia="Book Antiqua" w:cs="Book Antiqua"/>
          <w:color w:val="000000"/>
        </w:rPr>
        <w:t>: 435-440 [PMID: 9892625 DOI: 10.1084/jem.189.2.435]</w:t>
      </w:r>
    </w:p>
    <w:p>
      <w:pPr>
        <w:snapToGrid w:val="0"/>
        <w:spacing w:line="360" w:lineRule="auto"/>
        <w:jc w:val="both"/>
        <w:rPr>
          <w:rFonts w:ascii="Book Antiqua" w:hAnsi="Book Antiqua"/>
        </w:rPr>
      </w:pPr>
      <w:r>
        <w:rPr>
          <w:rFonts w:ascii="Book Antiqua" w:hAnsi="Book Antiqua" w:eastAsia="Book Antiqua" w:cs="Book Antiqua"/>
          <w:color w:val="000000"/>
        </w:rPr>
        <w:t xml:space="preserve">58 </w:t>
      </w:r>
      <w:r>
        <w:rPr>
          <w:rFonts w:ascii="Book Antiqua" w:hAnsi="Book Antiqua" w:eastAsia="Book Antiqua" w:cs="Book Antiqua"/>
          <w:b/>
          <w:bCs/>
          <w:color w:val="000000"/>
        </w:rPr>
        <w:t>Selvaraj P</w:t>
      </w:r>
      <w:r>
        <w:rPr>
          <w:rFonts w:ascii="Book Antiqua" w:hAnsi="Book Antiqua" w:eastAsia="Book Antiqua" w:cs="Book Antiqua"/>
          <w:color w:val="000000"/>
        </w:rPr>
        <w:t xml:space="preserve">, Plunkett ML, Dustin M, Sanders ME, Shaw S, Springer TA. The T lymphocyte glycoprotein CD2 binds the cell surface ligand LFA-3. </w:t>
      </w:r>
      <w:r>
        <w:rPr>
          <w:rFonts w:ascii="Book Antiqua" w:hAnsi="Book Antiqua" w:eastAsia="Book Antiqua" w:cs="Book Antiqua"/>
          <w:i/>
          <w:iCs/>
          <w:color w:val="000000"/>
        </w:rPr>
        <w:t>Nature</w:t>
      </w:r>
      <w:r>
        <w:rPr>
          <w:rFonts w:ascii="Book Antiqua" w:hAnsi="Book Antiqua" w:eastAsia="Book Antiqua" w:cs="Book Antiqua"/>
          <w:color w:val="000000"/>
        </w:rPr>
        <w:t xml:space="preserve"> 1987; </w:t>
      </w:r>
      <w:r>
        <w:rPr>
          <w:rFonts w:ascii="Book Antiqua" w:hAnsi="Book Antiqua" w:eastAsia="Book Antiqua" w:cs="Book Antiqua"/>
          <w:b/>
          <w:bCs/>
          <w:color w:val="000000"/>
        </w:rPr>
        <w:t>326</w:t>
      </w:r>
      <w:r>
        <w:rPr>
          <w:rFonts w:ascii="Book Antiqua" w:hAnsi="Book Antiqua" w:eastAsia="Book Antiqua" w:cs="Book Antiqua"/>
          <w:color w:val="000000"/>
        </w:rPr>
        <w:t>: 400-403 [PMID: 2951597 DOI: 10.1038/326400a0]</w:t>
      </w:r>
    </w:p>
    <w:p>
      <w:pPr>
        <w:snapToGrid w:val="0"/>
        <w:spacing w:line="360" w:lineRule="auto"/>
        <w:jc w:val="both"/>
        <w:rPr>
          <w:rFonts w:ascii="Book Antiqua" w:hAnsi="Book Antiqua"/>
        </w:rPr>
      </w:pPr>
      <w:r>
        <w:rPr>
          <w:rFonts w:ascii="Book Antiqua" w:hAnsi="Book Antiqua" w:eastAsia="Book Antiqua" w:cs="Book Antiqua"/>
          <w:color w:val="000000"/>
        </w:rPr>
        <w:t xml:space="preserve">59 </w:t>
      </w:r>
      <w:r>
        <w:rPr>
          <w:rFonts w:ascii="Book Antiqua" w:hAnsi="Book Antiqua" w:eastAsia="Book Antiqua" w:cs="Book Antiqua"/>
          <w:b/>
          <w:bCs/>
          <w:color w:val="000000"/>
        </w:rPr>
        <w:t>Bachmann MF</w:t>
      </w:r>
      <w:r>
        <w:rPr>
          <w:rFonts w:ascii="Book Antiqua" w:hAnsi="Book Antiqua" w:eastAsia="Book Antiqua" w:cs="Book Antiqua"/>
          <w:color w:val="000000"/>
        </w:rPr>
        <w:t xml:space="preserve">, McKall-Faienza K, Schmits R, Bouchard D, Beach J, Speiser DE, Mak TW, Ohashi PS. Distinct roles for LFA-1 and CD28 during activation of naive T cells: adhesion </w:t>
      </w:r>
      <w:r>
        <w:rPr>
          <w:rFonts w:ascii="Book Antiqua" w:hAnsi="Book Antiqua" w:eastAsia="Book Antiqua" w:cs="Book Antiqua"/>
          <w:i/>
          <w:iCs/>
          <w:color w:val="000000"/>
        </w:rPr>
        <w:t>vs</w:t>
      </w:r>
      <w:r>
        <w:rPr>
          <w:rFonts w:ascii="Book Antiqua" w:hAnsi="Book Antiqua" w:eastAsia="Book Antiqua" w:cs="Book Antiqua"/>
          <w:color w:val="000000"/>
        </w:rPr>
        <w:t xml:space="preserve"> costimulation. </w:t>
      </w:r>
      <w:r>
        <w:rPr>
          <w:rFonts w:ascii="Book Antiqua" w:hAnsi="Book Antiqua" w:eastAsia="Book Antiqua" w:cs="Book Antiqua"/>
          <w:i/>
          <w:iCs/>
          <w:color w:val="000000"/>
        </w:rPr>
        <w:t>Immunity</w:t>
      </w:r>
      <w:r>
        <w:rPr>
          <w:rFonts w:ascii="Book Antiqua" w:hAnsi="Book Antiqua" w:eastAsia="Book Antiqua" w:cs="Book Antiqua"/>
          <w:color w:val="000000"/>
        </w:rPr>
        <w:t xml:space="preserve"> 1997; </w:t>
      </w:r>
      <w:r>
        <w:rPr>
          <w:rFonts w:ascii="Book Antiqua" w:hAnsi="Book Antiqua" w:eastAsia="Book Antiqua" w:cs="Book Antiqua"/>
          <w:b/>
          <w:bCs/>
          <w:color w:val="000000"/>
        </w:rPr>
        <w:t>7</w:t>
      </w:r>
      <w:r>
        <w:rPr>
          <w:rFonts w:ascii="Book Antiqua" w:hAnsi="Book Antiqua" w:eastAsia="Book Antiqua" w:cs="Book Antiqua"/>
          <w:color w:val="000000"/>
        </w:rPr>
        <w:t>: 549-557 [PMID: 9354475 DOI: 10.1016/s1074-7613(00)80376-3]</w:t>
      </w:r>
    </w:p>
    <w:p>
      <w:pPr>
        <w:snapToGrid w:val="0"/>
        <w:spacing w:line="360" w:lineRule="auto"/>
        <w:jc w:val="both"/>
        <w:rPr>
          <w:rFonts w:ascii="Book Antiqua" w:hAnsi="Book Antiqua"/>
        </w:rPr>
      </w:pPr>
      <w:r>
        <w:rPr>
          <w:rFonts w:ascii="Book Antiqua" w:hAnsi="Book Antiqua" w:eastAsia="Book Antiqua" w:cs="Book Antiqua"/>
          <w:color w:val="000000"/>
        </w:rPr>
        <w:t xml:space="preserve">60 </w:t>
      </w:r>
      <w:r>
        <w:rPr>
          <w:rFonts w:ascii="Book Antiqua" w:hAnsi="Book Antiqua" w:eastAsia="Book Antiqua" w:cs="Book Antiqua"/>
          <w:b/>
          <w:bCs/>
          <w:color w:val="000000"/>
        </w:rPr>
        <w:t>Lamphear JG</w:t>
      </w:r>
      <w:r>
        <w:rPr>
          <w:rFonts w:ascii="Book Antiqua" w:hAnsi="Book Antiqua" w:eastAsia="Book Antiqua" w:cs="Book Antiqua"/>
          <w:color w:val="000000"/>
        </w:rPr>
        <w:t xml:space="preserve">, Stevens KR, Rich RR. Intercellular adhesion molecule-1 and leukocyte function-associated antigen-3 provide costimulation for superantigen-induced T lymphocyte proliferation in the absence of a specific presenting molecule. </w:t>
      </w:r>
      <w:r>
        <w:rPr>
          <w:rFonts w:ascii="Book Antiqua" w:hAnsi="Book Antiqua" w:eastAsia="Book Antiqua" w:cs="Book Antiqua"/>
          <w:i/>
          <w:iCs/>
          <w:color w:val="000000"/>
        </w:rPr>
        <w:t>J Immunol</w:t>
      </w:r>
      <w:r>
        <w:rPr>
          <w:rFonts w:ascii="Book Antiqua" w:hAnsi="Book Antiqua" w:eastAsia="Book Antiqua" w:cs="Book Antiqua"/>
          <w:color w:val="000000"/>
        </w:rPr>
        <w:t xml:space="preserve"> 1998; </w:t>
      </w:r>
      <w:r>
        <w:rPr>
          <w:rFonts w:ascii="Book Antiqua" w:hAnsi="Book Antiqua" w:eastAsia="Book Antiqua" w:cs="Book Antiqua"/>
          <w:b/>
          <w:bCs/>
          <w:color w:val="000000"/>
        </w:rPr>
        <w:t>160</w:t>
      </w:r>
      <w:r>
        <w:rPr>
          <w:rFonts w:ascii="Book Antiqua" w:hAnsi="Book Antiqua" w:eastAsia="Book Antiqua" w:cs="Book Antiqua"/>
          <w:color w:val="000000"/>
        </w:rPr>
        <w:t>: 615-623 [PMID: 9551895]</w:t>
      </w:r>
    </w:p>
    <w:p>
      <w:pPr>
        <w:snapToGrid w:val="0"/>
        <w:spacing w:line="360" w:lineRule="auto"/>
        <w:jc w:val="both"/>
        <w:rPr>
          <w:rFonts w:ascii="Book Antiqua" w:hAnsi="Book Antiqua"/>
        </w:rPr>
      </w:pPr>
      <w:r>
        <w:rPr>
          <w:rFonts w:ascii="Book Antiqua" w:hAnsi="Book Antiqua" w:eastAsia="Book Antiqua" w:cs="Book Antiqua"/>
          <w:color w:val="000000"/>
        </w:rPr>
        <w:t xml:space="preserve">61 </w:t>
      </w:r>
      <w:r>
        <w:rPr>
          <w:rFonts w:ascii="Book Antiqua" w:hAnsi="Book Antiqua" w:eastAsia="Book Antiqua" w:cs="Book Antiqua"/>
          <w:b/>
          <w:bCs/>
          <w:color w:val="000000"/>
        </w:rPr>
        <w:t>Yusuf-Makagiansar H</w:t>
      </w:r>
      <w:r>
        <w:rPr>
          <w:rFonts w:ascii="Book Antiqua" w:hAnsi="Book Antiqua" w:eastAsia="Book Antiqua" w:cs="Book Antiqua"/>
          <w:color w:val="000000"/>
        </w:rPr>
        <w:t xml:space="preserve">, Anderson ME, Yakovleva TV, Murray JS, Siahaan TJ. Inhibition of LFA-1/ICAM-1 and VLA-4/VCAM-1 as a therapeutic approach to inflammation and autoimmune diseases. </w:t>
      </w:r>
      <w:r>
        <w:rPr>
          <w:rFonts w:ascii="Book Antiqua" w:hAnsi="Book Antiqua" w:eastAsia="Book Antiqua" w:cs="Book Antiqua"/>
          <w:i/>
          <w:iCs/>
          <w:color w:val="000000"/>
        </w:rPr>
        <w:t>Med Res Rev</w:t>
      </w:r>
      <w:r>
        <w:rPr>
          <w:rFonts w:ascii="Book Antiqua" w:hAnsi="Book Antiqua" w:eastAsia="Book Antiqua" w:cs="Book Antiqua"/>
          <w:color w:val="000000"/>
        </w:rPr>
        <w:t xml:space="preserve"> 2002; </w:t>
      </w:r>
      <w:r>
        <w:rPr>
          <w:rFonts w:ascii="Book Antiqua" w:hAnsi="Book Antiqua" w:eastAsia="Book Antiqua" w:cs="Book Antiqua"/>
          <w:b/>
          <w:bCs/>
          <w:color w:val="000000"/>
        </w:rPr>
        <w:t>22</w:t>
      </w:r>
      <w:r>
        <w:rPr>
          <w:rFonts w:ascii="Book Antiqua" w:hAnsi="Book Antiqua" w:eastAsia="Book Antiqua" w:cs="Book Antiqua"/>
          <w:color w:val="000000"/>
        </w:rPr>
        <w:t>: 146-167 [PMID: 11857637 DOI: 10.1002/med.10001]</w:t>
      </w:r>
    </w:p>
    <w:p>
      <w:pPr>
        <w:snapToGrid w:val="0"/>
        <w:spacing w:line="360" w:lineRule="auto"/>
        <w:jc w:val="both"/>
        <w:rPr>
          <w:rFonts w:ascii="Book Antiqua" w:hAnsi="Book Antiqua"/>
        </w:rPr>
      </w:pPr>
      <w:r>
        <w:rPr>
          <w:rFonts w:ascii="Book Antiqua" w:hAnsi="Book Antiqua" w:eastAsia="Book Antiqua" w:cs="Book Antiqua"/>
          <w:color w:val="000000"/>
        </w:rPr>
        <w:t xml:space="preserve">62 </w:t>
      </w:r>
      <w:r>
        <w:rPr>
          <w:rFonts w:ascii="Book Antiqua" w:hAnsi="Book Antiqua" w:eastAsia="Book Antiqua" w:cs="Book Antiqua"/>
          <w:b/>
          <w:bCs/>
          <w:color w:val="000000"/>
        </w:rPr>
        <w:t>Anderson ME</w:t>
      </w:r>
      <w:r>
        <w:rPr>
          <w:rFonts w:ascii="Book Antiqua" w:hAnsi="Book Antiqua" w:eastAsia="Book Antiqua" w:cs="Book Antiqua"/>
          <w:color w:val="000000"/>
        </w:rPr>
        <w:t xml:space="preserve">, Siahaan TJ. Targeting ICAM-1/LFA-1 interaction for controlling autoimmune diseases: designing peptide and small molecule inhibitors. </w:t>
      </w:r>
      <w:r>
        <w:rPr>
          <w:rFonts w:ascii="Book Antiqua" w:hAnsi="Book Antiqua" w:eastAsia="Book Antiqua" w:cs="Book Antiqua"/>
          <w:i/>
          <w:iCs/>
          <w:color w:val="000000"/>
        </w:rPr>
        <w:t>Peptides</w:t>
      </w:r>
      <w:r>
        <w:rPr>
          <w:rFonts w:ascii="Book Antiqua" w:hAnsi="Book Antiqua" w:eastAsia="Book Antiqua" w:cs="Book Antiqua"/>
          <w:color w:val="000000"/>
        </w:rPr>
        <w:t xml:space="preserve"> 2003; </w:t>
      </w:r>
      <w:r>
        <w:rPr>
          <w:rFonts w:ascii="Book Antiqua" w:hAnsi="Book Antiqua" w:eastAsia="Book Antiqua" w:cs="Book Antiqua"/>
          <w:b/>
          <w:bCs/>
          <w:color w:val="000000"/>
        </w:rPr>
        <w:t>24</w:t>
      </w:r>
      <w:r>
        <w:rPr>
          <w:rFonts w:ascii="Book Antiqua" w:hAnsi="Book Antiqua" w:eastAsia="Book Antiqua" w:cs="Book Antiqua"/>
          <w:color w:val="000000"/>
        </w:rPr>
        <w:t>: 487-501 [PMID: 12732350 DOI: 10.1016/s0196-9781(03)00083-4]</w:t>
      </w:r>
    </w:p>
    <w:p>
      <w:pPr>
        <w:snapToGrid w:val="0"/>
        <w:spacing w:line="360" w:lineRule="auto"/>
        <w:jc w:val="both"/>
        <w:rPr>
          <w:rFonts w:ascii="Book Antiqua" w:hAnsi="Book Antiqua"/>
        </w:rPr>
      </w:pPr>
      <w:r>
        <w:rPr>
          <w:rFonts w:ascii="Book Antiqua" w:hAnsi="Book Antiqua" w:eastAsia="Book Antiqua" w:cs="Book Antiqua"/>
          <w:color w:val="000000"/>
        </w:rPr>
        <w:t xml:space="preserve">63 </w:t>
      </w:r>
      <w:r>
        <w:rPr>
          <w:rFonts w:ascii="Book Antiqua" w:hAnsi="Book Antiqua" w:eastAsia="Book Antiqua" w:cs="Book Antiqua"/>
          <w:b/>
          <w:bCs/>
          <w:color w:val="000000"/>
        </w:rPr>
        <w:t>Ford ML</w:t>
      </w:r>
      <w:r>
        <w:rPr>
          <w:rFonts w:ascii="Book Antiqua" w:hAnsi="Book Antiqua" w:eastAsia="Book Antiqua" w:cs="Book Antiqua"/>
          <w:color w:val="000000"/>
        </w:rPr>
        <w:t xml:space="preserve">, Adams AB, Pearson TC. Targeting co-stimulatory pathways: transplantation and autoimmunity. </w:t>
      </w:r>
      <w:r>
        <w:rPr>
          <w:rFonts w:ascii="Book Antiqua" w:hAnsi="Book Antiqua" w:eastAsia="Book Antiqua" w:cs="Book Antiqua"/>
          <w:i/>
          <w:iCs/>
          <w:color w:val="000000"/>
        </w:rPr>
        <w:t>Nat Rev Nephrol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10</w:t>
      </w:r>
      <w:r>
        <w:rPr>
          <w:rFonts w:ascii="Book Antiqua" w:hAnsi="Book Antiqua" w:eastAsia="Book Antiqua" w:cs="Book Antiqua"/>
          <w:color w:val="000000"/>
        </w:rPr>
        <w:t>: 14-24 [PMID: 24100403 DOI: 10.1038/nrneph.2013.183]</w:t>
      </w:r>
    </w:p>
    <w:p>
      <w:pPr>
        <w:snapToGrid w:val="0"/>
        <w:spacing w:line="360" w:lineRule="auto"/>
        <w:jc w:val="both"/>
        <w:rPr>
          <w:rFonts w:ascii="Book Antiqua" w:hAnsi="Book Antiqua"/>
        </w:rPr>
      </w:pPr>
      <w:r>
        <w:rPr>
          <w:rFonts w:ascii="Book Antiqua" w:hAnsi="Book Antiqua" w:eastAsia="Book Antiqua" w:cs="Book Antiqua"/>
          <w:color w:val="000000"/>
        </w:rPr>
        <w:t xml:space="preserve">64 </w:t>
      </w:r>
      <w:r>
        <w:rPr>
          <w:rFonts w:ascii="Book Antiqua" w:hAnsi="Book Antiqua" w:eastAsia="Book Antiqua" w:cs="Book Antiqua"/>
          <w:b/>
          <w:bCs/>
          <w:color w:val="000000"/>
        </w:rPr>
        <w:t>Gourley TS</w:t>
      </w:r>
      <w:r>
        <w:rPr>
          <w:rFonts w:ascii="Book Antiqua" w:hAnsi="Book Antiqua" w:eastAsia="Book Antiqua" w:cs="Book Antiqua"/>
          <w:color w:val="000000"/>
        </w:rPr>
        <w:t xml:space="preserve">, Wherry EJ, Masopust D, Ahmed R. Generation and maintenance of immunological memory. </w:t>
      </w:r>
      <w:r>
        <w:rPr>
          <w:rFonts w:ascii="Book Antiqua" w:hAnsi="Book Antiqua" w:eastAsia="Book Antiqua" w:cs="Book Antiqua"/>
          <w:i/>
          <w:iCs/>
          <w:color w:val="000000"/>
        </w:rPr>
        <w:t>Semin Immunol</w:t>
      </w:r>
      <w:r>
        <w:rPr>
          <w:rFonts w:ascii="Book Antiqua" w:hAnsi="Book Antiqua" w:eastAsia="Book Antiqua" w:cs="Book Antiqua"/>
          <w:color w:val="000000"/>
        </w:rPr>
        <w:t xml:space="preserve"> 2004; </w:t>
      </w:r>
      <w:r>
        <w:rPr>
          <w:rFonts w:ascii="Book Antiqua" w:hAnsi="Book Antiqua" w:eastAsia="Book Antiqua" w:cs="Book Antiqua"/>
          <w:b/>
          <w:bCs/>
          <w:color w:val="000000"/>
        </w:rPr>
        <w:t>16</w:t>
      </w:r>
      <w:r>
        <w:rPr>
          <w:rFonts w:ascii="Book Antiqua" w:hAnsi="Book Antiqua" w:eastAsia="Book Antiqua" w:cs="Book Antiqua"/>
          <w:color w:val="000000"/>
        </w:rPr>
        <w:t>: 323-333 [PMID: 15528077 DOI: 10.1016/j.smim.2004.08.013]</w:t>
      </w:r>
    </w:p>
    <w:p>
      <w:pPr>
        <w:snapToGrid w:val="0"/>
        <w:spacing w:line="360" w:lineRule="auto"/>
        <w:jc w:val="both"/>
        <w:rPr>
          <w:rFonts w:ascii="Book Antiqua" w:hAnsi="Book Antiqua"/>
        </w:rPr>
      </w:pPr>
      <w:r>
        <w:rPr>
          <w:rFonts w:ascii="Book Antiqua" w:hAnsi="Book Antiqua" w:eastAsia="Book Antiqua" w:cs="Book Antiqua"/>
          <w:color w:val="000000"/>
        </w:rPr>
        <w:t xml:space="preserve">65 </w:t>
      </w:r>
      <w:r>
        <w:rPr>
          <w:rFonts w:ascii="Book Antiqua" w:hAnsi="Book Antiqua" w:eastAsia="Book Antiqua" w:cs="Book Antiqua"/>
          <w:b/>
          <w:bCs/>
          <w:color w:val="000000"/>
        </w:rPr>
        <w:t>Xu H</w:t>
      </w:r>
      <w:r>
        <w:rPr>
          <w:rFonts w:ascii="Book Antiqua" w:hAnsi="Book Antiqua" w:eastAsia="Book Antiqua" w:cs="Book Antiqua"/>
          <w:color w:val="000000"/>
        </w:rPr>
        <w:t xml:space="preserve">, Perez SD, Cheeseman J, Mehta AK, Kirk AD. The allo- and viral-specific immunosuppressive effect of belatacept, but not tacrolimus, attenuates with progressive T cell maturation.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2014; </w:t>
      </w:r>
      <w:r>
        <w:rPr>
          <w:rFonts w:ascii="Book Antiqua" w:hAnsi="Book Antiqua" w:eastAsia="Book Antiqua" w:cs="Book Antiqua"/>
          <w:b/>
          <w:bCs/>
          <w:color w:val="000000"/>
        </w:rPr>
        <w:t>14</w:t>
      </w:r>
      <w:r>
        <w:rPr>
          <w:rFonts w:ascii="Book Antiqua" w:hAnsi="Book Antiqua" w:eastAsia="Book Antiqua" w:cs="Book Antiqua"/>
          <w:color w:val="000000"/>
        </w:rPr>
        <w:t>: 319-332 [PMID: 24472192 DOI: 10.1111/ajt.12574]</w:t>
      </w:r>
    </w:p>
    <w:p>
      <w:pPr>
        <w:snapToGrid w:val="0"/>
        <w:spacing w:line="360" w:lineRule="auto"/>
        <w:jc w:val="both"/>
        <w:rPr>
          <w:rFonts w:ascii="Book Antiqua" w:hAnsi="Book Antiqua"/>
        </w:rPr>
      </w:pPr>
      <w:r>
        <w:rPr>
          <w:rFonts w:ascii="Book Antiqua" w:hAnsi="Book Antiqua" w:eastAsia="Book Antiqua" w:cs="Book Antiqua"/>
          <w:color w:val="000000"/>
        </w:rPr>
        <w:t xml:space="preserve">66 </w:t>
      </w:r>
      <w:r>
        <w:rPr>
          <w:rFonts w:ascii="Book Antiqua" w:hAnsi="Book Antiqua" w:eastAsia="Book Antiqua" w:cs="Book Antiqua"/>
          <w:b/>
          <w:bCs/>
          <w:color w:val="000000"/>
        </w:rPr>
        <w:t>Mou D</w:t>
      </w:r>
      <w:r>
        <w:rPr>
          <w:rFonts w:ascii="Book Antiqua" w:hAnsi="Book Antiqua" w:eastAsia="Book Antiqua" w:cs="Book Antiqua"/>
          <w:color w:val="000000"/>
        </w:rPr>
        <w:t xml:space="preserve">, Espinosa JE, Stempora L, Iwakoshi NN, Kirk AD. Viral-induced CD28 Loss evokes costimulation independent alloimmunity. </w:t>
      </w:r>
      <w:r>
        <w:rPr>
          <w:rFonts w:ascii="Book Antiqua" w:hAnsi="Book Antiqua" w:eastAsia="Book Antiqua" w:cs="Book Antiqua"/>
          <w:i/>
          <w:iCs/>
          <w:color w:val="000000"/>
        </w:rPr>
        <w:t>J Surg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196</w:t>
      </w:r>
      <w:r>
        <w:rPr>
          <w:rFonts w:ascii="Book Antiqua" w:hAnsi="Book Antiqua" w:eastAsia="Book Antiqua" w:cs="Book Antiqua"/>
          <w:color w:val="000000"/>
        </w:rPr>
        <w:t>: 241-246 [PMID: 25801976 DOI: 10.1016/j.jss.2015.02.033]</w:t>
      </w:r>
    </w:p>
    <w:p>
      <w:pPr>
        <w:snapToGrid w:val="0"/>
        <w:spacing w:line="360" w:lineRule="auto"/>
        <w:jc w:val="both"/>
        <w:rPr>
          <w:rFonts w:ascii="Book Antiqua" w:hAnsi="Book Antiqua"/>
        </w:rPr>
      </w:pPr>
      <w:r>
        <w:rPr>
          <w:rFonts w:ascii="Book Antiqua" w:hAnsi="Book Antiqua" w:eastAsia="Book Antiqua" w:cs="Book Antiqua"/>
          <w:color w:val="000000"/>
        </w:rPr>
        <w:t xml:space="preserve">67 </w:t>
      </w:r>
      <w:r>
        <w:rPr>
          <w:rFonts w:ascii="Book Antiqua" w:hAnsi="Book Antiqua" w:eastAsia="Book Antiqua" w:cs="Book Antiqua"/>
          <w:b/>
          <w:bCs/>
          <w:color w:val="000000"/>
        </w:rPr>
        <w:t>Espinosa J</w:t>
      </w:r>
      <w:r>
        <w:rPr>
          <w:rFonts w:ascii="Book Antiqua" w:hAnsi="Book Antiqua" w:eastAsia="Book Antiqua" w:cs="Book Antiqua"/>
          <w:color w:val="000000"/>
        </w:rPr>
        <w:t xml:space="preserve">, Herr F, Tharp G, Bosinger S, Song M, Farris AB 3rd, George R, Cheeseman J, Stempora L, Townsend R, Durrbach A, Kirk AD. CD57(+) CD4 T Cells Underlie Belatacept-Resistant Allograft Rejection.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2016; </w:t>
      </w:r>
      <w:r>
        <w:rPr>
          <w:rFonts w:ascii="Book Antiqua" w:hAnsi="Book Antiqua" w:eastAsia="Book Antiqua" w:cs="Book Antiqua"/>
          <w:b/>
          <w:bCs/>
          <w:color w:val="000000"/>
        </w:rPr>
        <w:t>16</w:t>
      </w:r>
      <w:r>
        <w:rPr>
          <w:rFonts w:ascii="Book Antiqua" w:hAnsi="Book Antiqua" w:eastAsia="Book Antiqua" w:cs="Book Antiqua"/>
          <w:color w:val="000000"/>
        </w:rPr>
        <w:t>: 1102-1112 [PMID: 26603381 DOI: 10.1111/ajt.13613]</w:t>
      </w:r>
    </w:p>
    <w:p>
      <w:pPr>
        <w:snapToGrid w:val="0"/>
        <w:spacing w:line="360" w:lineRule="auto"/>
        <w:jc w:val="both"/>
        <w:rPr>
          <w:rFonts w:ascii="Book Antiqua" w:hAnsi="Book Antiqua"/>
        </w:rPr>
      </w:pPr>
      <w:r>
        <w:rPr>
          <w:rFonts w:ascii="Book Antiqua" w:hAnsi="Book Antiqua" w:eastAsia="Book Antiqua" w:cs="Book Antiqua"/>
          <w:color w:val="000000"/>
        </w:rPr>
        <w:t xml:space="preserve">68 </w:t>
      </w:r>
      <w:r>
        <w:rPr>
          <w:rFonts w:ascii="Book Antiqua" w:hAnsi="Book Antiqua" w:eastAsia="Book Antiqua" w:cs="Book Antiqua"/>
          <w:b/>
          <w:bCs/>
          <w:color w:val="000000"/>
        </w:rPr>
        <w:t>Mathews DV</w:t>
      </w:r>
      <w:r>
        <w:rPr>
          <w:rFonts w:ascii="Book Antiqua" w:hAnsi="Book Antiqua" w:eastAsia="Book Antiqua" w:cs="Book Antiqua"/>
          <w:color w:val="000000"/>
        </w:rPr>
        <w:t>, Wakwe WC, Kim SC, Lowe MC, Breeden C, Roberts ME, Farris AB, Strobert EA, Jenkins JB, Larsen CP, Ford ML, Townsend R, Adams AB. Belatacept-Resistant Rejection Is Associated With CD28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Memory CD8 T Cells.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2017; </w:t>
      </w:r>
      <w:r>
        <w:rPr>
          <w:rFonts w:ascii="Book Antiqua" w:hAnsi="Book Antiqua" w:eastAsia="Book Antiqua" w:cs="Book Antiqua"/>
          <w:b/>
          <w:bCs/>
          <w:color w:val="000000"/>
        </w:rPr>
        <w:t>17</w:t>
      </w:r>
      <w:r>
        <w:rPr>
          <w:rFonts w:ascii="Book Antiqua" w:hAnsi="Book Antiqua" w:eastAsia="Book Antiqua" w:cs="Book Antiqua"/>
          <w:color w:val="000000"/>
        </w:rPr>
        <w:t>: 2285-2299 [PMID: 28502128 DOI: 10.1111/ajt.14349]</w:t>
      </w:r>
    </w:p>
    <w:p>
      <w:pPr>
        <w:snapToGrid w:val="0"/>
        <w:spacing w:line="360" w:lineRule="auto"/>
        <w:jc w:val="both"/>
        <w:rPr>
          <w:rFonts w:ascii="Book Antiqua" w:hAnsi="Book Antiqua"/>
        </w:rPr>
      </w:pPr>
      <w:r>
        <w:rPr>
          <w:rFonts w:ascii="Book Antiqua" w:hAnsi="Book Antiqua" w:eastAsia="Book Antiqua" w:cs="Book Antiqua"/>
          <w:color w:val="000000"/>
        </w:rPr>
        <w:t xml:space="preserve">69 </w:t>
      </w:r>
      <w:r>
        <w:rPr>
          <w:rFonts w:ascii="Book Antiqua" w:hAnsi="Book Antiqua" w:eastAsia="Book Antiqua" w:cs="Book Antiqua"/>
          <w:b/>
          <w:bCs/>
          <w:color w:val="000000"/>
        </w:rPr>
        <w:t>Leibler C</w:t>
      </w:r>
      <w:r>
        <w:rPr>
          <w:rFonts w:ascii="Book Antiqua" w:hAnsi="Book Antiqua" w:eastAsia="Book Antiqua" w:cs="Book Antiqua"/>
          <w:color w:val="000000"/>
        </w:rPr>
        <w:t xml:space="preserve">, Thiolat A, Hénique C, Samson C, Pilon C, Tamagne M, Pirenne F, Vingert B, Cohen JL, Grimbert P. Control of Humoral Response in Renal Transplantation by Belatacept Depends on a Direct Effect on B Cells and Impaired T Follicular Helper-B Cell Crosstalk. </w:t>
      </w:r>
      <w:r>
        <w:rPr>
          <w:rFonts w:ascii="Book Antiqua" w:hAnsi="Book Antiqua" w:eastAsia="Book Antiqua" w:cs="Book Antiqua"/>
          <w:i/>
          <w:iCs/>
          <w:color w:val="000000"/>
        </w:rPr>
        <w:t>J Am Soc Nephrol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29</w:t>
      </w:r>
      <w:r>
        <w:rPr>
          <w:rFonts w:ascii="Book Antiqua" w:hAnsi="Book Antiqua" w:eastAsia="Book Antiqua" w:cs="Book Antiqua"/>
          <w:color w:val="000000"/>
        </w:rPr>
        <w:t>: 1049-1062 [PMID: 29321143 DOI: 10.1681/ASN.2017060679]</w:t>
      </w:r>
    </w:p>
    <w:p>
      <w:pPr>
        <w:snapToGrid w:val="0"/>
        <w:spacing w:line="360" w:lineRule="auto"/>
        <w:jc w:val="both"/>
        <w:rPr>
          <w:rFonts w:ascii="Book Antiqua" w:hAnsi="Book Antiqua"/>
        </w:rPr>
        <w:sectPr>
          <w:type w:val="continuous"/>
          <w:pgSz w:w="12240" w:h="15840"/>
          <w:pgMar w:top="1440" w:right="1800" w:bottom="1440" w:left="1800" w:header="720" w:footer="720" w:gutter="0"/>
          <w:cols w:space="720" w:num="1"/>
          <w:docGrid w:linePitch="360" w:charSpace="0"/>
        </w:sectPr>
      </w:pPr>
    </w:p>
    <w:bookmarkEnd w:id="56"/>
    <w:bookmarkEnd w:id="57"/>
    <w:p>
      <w:pPr>
        <w:snapToGrid w:val="0"/>
        <w:spacing w:line="360" w:lineRule="auto"/>
        <w:jc w:val="both"/>
        <w:rPr>
          <w:rFonts w:ascii="Book Antiqua" w:hAnsi="Book Antiqua"/>
        </w:rPr>
      </w:pPr>
      <w:r>
        <w:rPr>
          <w:rFonts w:ascii="Book Antiqua" w:hAnsi="Book Antiqua" w:eastAsia="Book Antiqua" w:cs="Book Antiqua"/>
          <w:b/>
          <w:color w:val="000000"/>
        </w:rPr>
        <w:br w:type="page"/>
      </w:r>
      <w:r>
        <w:rPr>
          <w:rFonts w:ascii="Book Antiqua" w:hAnsi="Book Antiqua" w:eastAsia="Book Antiqua" w:cs="Book Antiqua"/>
          <w:b/>
          <w:color w:val="000000"/>
        </w:rPr>
        <w:t>Footnotes</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bookmarkStart w:id="68" w:name="OLE_LINK62"/>
      <w:r>
        <w:rPr>
          <w:rFonts w:ascii="Book Antiqua" w:hAnsi="Book Antiqua" w:eastAsia="Book Antiqua" w:cs="Book Antiqua"/>
          <w:color w:val="000000"/>
        </w:rPr>
        <w:t>None of the contributing authors have any conflict of interest, including specific financial interests or relationships and affiliations relevant to the subject matter or materials discussed in the manuscript. </w:t>
      </w:r>
    </w:p>
    <w:bookmarkEnd w:id="68"/>
    <w:p>
      <w:pPr>
        <w:snapToGrid w:val="0"/>
        <w:spacing w:line="360" w:lineRule="auto"/>
        <w:ind w:hanging="210"/>
        <w:jc w:val="both"/>
        <w:rPr>
          <w:rFonts w:ascii="Book Antiqua" w:hAnsi="Book Antiqua"/>
        </w:rPr>
      </w:pPr>
    </w:p>
    <w:p>
      <w:pPr>
        <w:snapToGrid w:val="0"/>
        <w:spacing w:line="360" w:lineRule="auto"/>
        <w:jc w:val="both"/>
        <w:rPr>
          <w:rFonts w:ascii="Book Antiqua" w:hAnsi="Book Antiqua" w:cs="Garamond"/>
          <w:color w:val="000000"/>
        </w:rPr>
      </w:pPr>
      <w:r>
        <w:rPr>
          <w:rFonts w:ascii="Book Antiqua" w:hAnsi="Book Antiqua" w:eastAsia="Book Antiqua" w:cs="Book Antiqua"/>
          <w:b/>
          <w:bCs/>
          <w:color w:val="000000"/>
        </w:rPr>
        <w:t xml:space="preserve">PRISMA 2009 Checklist statement: </w:t>
      </w:r>
      <w:r>
        <w:rPr>
          <w:rFonts w:ascii="Book Antiqua" w:hAnsi="Book Antiqua" w:cs="Garamond"/>
          <w:color w:val="000000"/>
        </w:rPr>
        <w:t xml:space="preserve">The </w:t>
      </w:r>
      <w:r>
        <w:rPr>
          <w:rFonts w:hint="eastAsia" w:ascii="Book Antiqua" w:hAnsi="Book Antiqua" w:cs="Garamond"/>
          <w:color w:val="000000"/>
        </w:rPr>
        <w:t xml:space="preserve">authors have read the </w:t>
      </w:r>
      <w:r>
        <w:rPr>
          <w:rFonts w:ascii="Book Antiqua" w:hAnsi="Book Antiqua" w:cs="Garamond"/>
          <w:color w:val="000000"/>
        </w:rPr>
        <w:t>PRISMA 2009 Checklist</w:t>
      </w:r>
      <w:r>
        <w:rPr>
          <w:rFonts w:hint="eastAsia" w:ascii="Book Antiqua" w:hAnsi="Book Antiqua" w:cs="Garamond"/>
          <w:color w:val="000000"/>
        </w:rPr>
        <w:t xml:space="preserve">, and the manuscript was </w:t>
      </w:r>
      <w:r>
        <w:rPr>
          <w:rFonts w:ascii="Book Antiqua" w:hAnsi="Book Antiqua" w:cs="Garamond"/>
          <w:color w:val="000000"/>
        </w:rPr>
        <w:t>prepare</w:t>
      </w:r>
      <w:r>
        <w:rPr>
          <w:rFonts w:hint="eastAsia" w:ascii="Book Antiqua" w:hAnsi="Book Antiqua" w:cs="Garamond"/>
          <w:color w:val="000000"/>
        </w:rPr>
        <w:t xml:space="preserve">d and revised according to the </w:t>
      </w:r>
      <w:r>
        <w:rPr>
          <w:rFonts w:ascii="Book Antiqua" w:hAnsi="Book Antiqua" w:cs="Garamond"/>
          <w:color w:val="000000"/>
        </w:rPr>
        <w:t>PRISMA 2009 Checklist</w:t>
      </w:r>
      <w:r>
        <w:rPr>
          <w:rFonts w:hint="eastAsia" w:ascii="Book Antiqua" w:hAnsi="Book Antiqua" w:cs="Garamond"/>
          <w:color w:val="000000"/>
        </w:rPr>
        <w: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bookmarkStart w:id="69" w:name="OLE_LINK17"/>
      <w:bookmarkStart w:id="70" w:name="OLE_LINK18"/>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9"/>
    <w:bookmarkEnd w:id="70"/>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Invited manuscript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23, 2020</w:t>
      </w:r>
    </w:p>
    <w:p>
      <w:pPr>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21, 2020</w:t>
      </w:r>
    </w:p>
    <w:p>
      <w:pPr>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hint="eastAsia" w:ascii="Book Antiqua" w:hAnsi="Book Antiqua" w:eastAsia="Book Antiqua" w:cs="Book Antiqua"/>
          <w:b w:val="0"/>
          <w:bCs/>
          <w:color w:val="000000"/>
        </w:rPr>
        <w:t>February 12, 2021</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Transplantation</w:t>
      </w:r>
    </w:p>
    <w:p>
      <w:pPr>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Kingdom</w:t>
      </w:r>
    </w:p>
    <w:p>
      <w:pPr>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napToGrid w:val="0"/>
        <w:spacing w:line="360" w:lineRule="auto"/>
        <w:jc w:val="both"/>
        <w:rPr>
          <w:rFonts w:ascii="Book Antiqua" w:hAnsi="Book Antiqua"/>
        </w:rPr>
      </w:pPr>
      <w:r>
        <w:rPr>
          <w:rFonts w:ascii="Book Antiqua" w:hAnsi="Book Antiqua" w:eastAsia="Book Antiqua" w:cs="Book Antiqua"/>
          <w:color w:val="000000"/>
        </w:rPr>
        <w:t>Grade A (Excellent): 0</w:t>
      </w:r>
    </w:p>
    <w:p>
      <w:pPr>
        <w:snapToGrid w:val="0"/>
        <w:spacing w:line="360" w:lineRule="auto"/>
        <w:jc w:val="both"/>
        <w:rPr>
          <w:rFonts w:ascii="Book Antiqua" w:hAnsi="Book Antiqua"/>
        </w:rPr>
      </w:pPr>
      <w:r>
        <w:rPr>
          <w:rFonts w:ascii="Book Antiqua" w:hAnsi="Book Antiqua" w:eastAsia="Book Antiqua" w:cs="Book Antiqua"/>
          <w:color w:val="000000"/>
        </w:rPr>
        <w:t>Grade B (Very good): B</w:t>
      </w:r>
    </w:p>
    <w:p>
      <w:pPr>
        <w:snapToGrid w:val="0"/>
        <w:spacing w:line="360" w:lineRule="auto"/>
        <w:jc w:val="both"/>
        <w:rPr>
          <w:rFonts w:ascii="Book Antiqua" w:hAnsi="Book Antiqua"/>
        </w:rPr>
      </w:pPr>
      <w:r>
        <w:rPr>
          <w:rFonts w:ascii="Book Antiqua" w:hAnsi="Book Antiqua" w:eastAsia="Book Antiqua" w:cs="Book Antiqua"/>
          <w:color w:val="000000"/>
        </w:rPr>
        <w:t>Grade C (Good): C</w:t>
      </w:r>
    </w:p>
    <w:p>
      <w:pPr>
        <w:snapToGrid w:val="0"/>
        <w:spacing w:line="360" w:lineRule="auto"/>
        <w:jc w:val="both"/>
        <w:rPr>
          <w:rFonts w:ascii="Book Antiqua" w:hAnsi="Book Antiqua"/>
        </w:rPr>
      </w:pPr>
      <w:r>
        <w:rPr>
          <w:rFonts w:ascii="Book Antiqua" w:hAnsi="Book Antiqua" w:eastAsia="Book Antiqua" w:cs="Book Antiqua"/>
          <w:color w:val="000000"/>
        </w:rPr>
        <w:t>Grade D (Fair): 0</w:t>
      </w:r>
    </w:p>
    <w:p>
      <w:pPr>
        <w:snapToGrid w:val="0"/>
        <w:spacing w:line="360" w:lineRule="auto"/>
        <w:jc w:val="both"/>
        <w:rPr>
          <w:rFonts w:ascii="Book Antiqua" w:hAnsi="Book Antiqua"/>
        </w:rPr>
      </w:pPr>
      <w:r>
        <w:rPr>
          <w:rFonts w:ascii="Book Antiqua" w:hAnsi="Book Antiqua" w:eastAsia="Book Antiqua" w:cs="Book Antiqua"/>
          <w:color w:val="000000"/>
        </w:rPr>
        <w:t>Grade E (Poor): 0</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Cantarovich F, Kute VB</w:t>
      </w:r>
      <w:r>
        <w:rPr>
          <w:rFonts w:ascii="Book Antiqua" w:hAnsi="Book Antiqua" w:eastAsia="Book Antiqua" w:cs="Book Antiqua"/>
          <w:b/>
          <w:color w:val="000000"/>
        </w:rPr>
        <w:t xml:space="preserve"> S-Editor: </w:t>
      </w:r>
      <w:r>
        <w:rPr>
          <w:rFonts w:ascii="Book Antiqua" w:hAnsi="Book Antiqua" w:eastAsia="Book Antiqua" w:cs="Book Antiqua"/>
          <w:color w:val="000000"/>
        </w:rPr>
        <w:t>Zhang L</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A</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color w:val="000000"/>
        </w:rPr>
        <w:t xml:space="preserve">P-Editor: </w:t>
      </w:r>
      <w:r>
        <w:rPr>
          <w:rFonts w:hint="eastAsia" w:ascii="Book Antiqua" w:hAnsi="Book Antiqua" w:eastAsia="Book Antiqua" w:cs="Book Antiqua"/>
          <w:b w:val="0"/>
          <w:bCs/>
          <w:color w:val="000000"/>
        </w:rPr>
        <w:t>Yuan YY</w:t>
      </w:r>
    </w:p>
    <w:p>
      <w:pPr>
        <w:snapToGrid w:val="0"/>
        <w:spacing w:line="360" w:lineRule="auto"/>
        <w:jc w:val="both"/>
        <w:rPr>
          <w:rFonts w:ascii="Book Antiqua" w:hAnsi="Book Antiqua"/>
        </w:rPr>
        <w:sectPr>
          <w:type w:val="continuous"/>
          <w:pgSz w:w="12240" w:h="15840"/>
          <w:pgMar w:top="1440" w:right="1800" w:bottom="1440" w:left="1800" w:header="720" w:footer="720" w:gutter="0"/>
          <w:cols w:space="720" w:num="1"/>
          <w:docGrid w:linePitch="360" w:charSpace="0"/>
        </w:sectPr>
      </w:pPr>
    </w:p>
    <w:p>
      <w:pPr>
        <w:snapToGrid w:val="0"/>
        <w:spacing w:line="360" w:lineRule="auto"/>
        <w:jc w:val="both"/>
        <w:rPr>
          <w:rFonts w:ascii="Book Antiqua" w:hAnsi="Book Antiqua"/>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lang w:eastAsia="zh-CN"/>
        </w:rPr>
        <w:drawing>
          <wp:inline distT="0" distB="0" distL="0" distR="0">
            <wp:extent cx="5486400" cy="3422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3422015"/>
                    </a:xfrm>
                    <a:prstGeom prst="rect">
                      <a:avLst/>
                    </a:prstGeom>
                  </pic:spPr>
                </pic:pic>
              </a:graphicData>
            </a:graphic>
          </wp:inline>
        </w:drawing>
      </w:r>
    </w:p>
    <w:p>
      <w:pPr>
        <w:snapToGrid w:val="0"/>
        <w:spacing w:line="360" w:lineRule="auto"/>
        <w:jc w:val="both"/>
        <w:rPr>
          <w:rFonts w:ascii="Book Antiqua" w:hAnsi="Book Antiqua" w:eastAsia="Book Antiqua" w:cs="Book Antiqua"/>
          <w:b/>
          <w:color w:val="000000"/>
        </w:rPr>
      </w:pPr>
      <w:bookmarkStart w:id="71" w:name="OLE_LINK66"/>
      <w:bookmarkStart w:id="72" w:name="OLE_LINK65"/>
      <w:r>
        <w:rPr>
          <w:rFonts w:ascii="Book Antiqua" w:hAnsi="Book Antiqua" w:eastAsia="Book Antiqua" w:cs="Book Antiqua"/>
          <w:b/>
          <w:color w:val="000000"/>
        </w:rPr>
        <w:t xml:space="preserve">Figure 1 Pictorial depiction of mechanism of action of belatacept. </w:t>
      </w:r>
      <w:r>
        <w:rPr>
          <w:rFonts w:ascii="Book Antiqua" w:hAnsi="Book Antiqua" w:eastAsia="Book Antiqua" w:cs="Book Antiqua"/>
          <w:color w:val="000000"/>
        </w:rPr>
        <w:t>APC: Antigen-presenting cell.</w:t>
      </w:r>
    </w:p>
    <w:bookmarkEnd w:id="71"/>
    <w:bookmarkEnd w:id="72"/>
    <w:p>
      <w:pPr>
        <w:snapToGrid w:val="0"/>
        <w:spacing w:line="360" w:lineRule="auto"/>
        <w:jc w:val="both"/>
        <w:rPr>
          <w:rFonts w:ascii="Book Antiqua" w:hAnsi="Book Antiqua"/>
          <w:b/>
        </w:rPr>
      </w:pPr>
      <w:r>
        <w:rPr>
          <w:rFonts w:ascii="Book Antiqua" w:hAnsi="Book Antiqua" w:eastAsia="Book Antiqua" w:cs="Book Antiqua"/>
          <w:b/>
          <w:color w:val="000000"/>
        </w:rPr>
        <w:br w:type="page"/>
      </w:r>
      <w:r>
        <w:rPr>
          <w:rFonts w:ascii="Book Antiqua" w:hAnsi="Book Antiqua"/>
          <w:b/>
          <w:lang w:eastAsia="zh-CN"/>
        </w:rPr>
        <w:drawing>
          <wp:inline distT="0" distB="0" distL="0" distR="0">
            <wp:extent cx="5486400" cy="5367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86400" cy="5367655"/>
                    </a:xfrm>
                    <a:prstGeom prst="rect">
                      <a:avLst/>
                    </a:prstGeom>
                  </pic:spPr>
                </pic:pic>
              </a:graphicData>
            </a:graphic>
          </wp:inline>
        </w:drawing>
      </w:r>
    </w:p>
    <w:p>
      <w:pPr>
        <w:snapToGrid w:val="0"/>
        <w:spacing w:line="360" w:lineRule="auto"/>
        <w:jc w:val="both"/>
        <w:rPr>
          <w:rFonts w:ascii="Book Antiqua" w:hAnsi="Book Antiqua"/>
          <w:b/>
        </w:rPr>
      </w:pPr>
      <w:r>
        <w:rPr>
          <w:rFonts w:ascii="Book Antiqua" w:hAnsi="Book Antiqua" w:eastAsia="Book Antiqua" w:cs="Book Antiqua"/>
          <w:b/>
          <w:color w:val="000000"/>
        </w:rPr>
        <w:t>Figure 2 Search strategy and selections strategy applied in this meta-analysis as per PRISMA protocol.</w:t>
      </w: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lang w:eastAsia="zh-CN"/>
        </w:rPr>
        <w:drawing>
          <wp:inline distT="0" distB="0" distL="0" distR="0">
            <wp:extent cx="4274185" cy="56851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4479" cy="5685646"/>
                    </a:xfrm>
                    <a:prstGeom prst="rect">
                      <a:avLst/>
                    </a:prstGeom>
                  </pic:spPr>
                </pic:pic>
              </a:graphicData>
            </a:graphic>
          </wp:inline>
        </w:drawing>
      </w:r>
    </w:p>
    <w:p>
      <w:pPr>
        <w:snapToGrid w:val="0"/>
        <w:spacing w:line="360" w:lineRule="auto"/>
        <w:jc w:val="both"/>
        <w:rPr>
          <w:rFonts w:ascii="Book Antiqua" w:hAnsi="Book Antiqua"/>
          <w:b/>
        </w:rPr>
      </w:pPr>
      <w:r>
        <w:rPr>
          <w:rFonts w:ascii="Book Antiqua" w:hAnsi="Book Antiqua" w:eastAsia="Book Antiqua" w:cs="Book Antiqua"/>
          <w:b/>
          <w:color w:val="000000"/>
        </w:rPr>
        <w:t>Figure 3 Risk of bias summary: review authors' judgements about each risk of bias item for each included study.</w:t>
      </w: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lang w:eastAsia="zh-CN"/>
        </w:rPr>
        <w:drawing>
          <wp:inline distT="0" distB="0" distL="0" distR="0">
            <wp:extent cx="5486400" cy="685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p>
    <w:p>
      <w:pPr>
        <w:snapToGrid w:val="0"/>
        <w:spacing w:line="360" w:lineRule="auto"/>
        <w:jc w:val="both"/>
        <w:rPr>
          <w:rFonts w:ascii="Book Antiqua" w:hAnsi="Book Antiqua" w:eastAsia="Book Antiqua" w:cs="Book Antiqua"/>
          <w:color w:val="000000"/>
        </w:rPr>
      </w:pPr>
      <w:bookmarkStart w:id="73" w:name="OLE_LINK71"/>
      <w:r>
        <w:rPr>
          <w:rFonts w:ascii="Book Antiqua" w:hAnsi="Book Antiqua" w:eastAsia="Book Antiqua" w:cs="Book Antiqua"/>
          <w:b/>
          <w:color w:val="000000"/>
        </w:rPr>
        <w:t xml:space="preserve">Figure 4 Forest plot represents the changes at 12 mo in kidney transplant recipients when treated with belatacept or tacrolimus. </w:t>
      </w:r>
      <w:r>
        <w:rPr>
          <w:rFonts w:ascii="Book Antiqua" w:hAnsi="Book Antiqua" w:eastAsia="Book Antiqua" w:cs="Book Antiqua"/>
          <w:color w:val="000000"/>
        </w:rPr>
        <w:t>Squares represent size effects of studies, comparing the weight of the study in the meta-analysis. 95 percent confidence intervals represented in horizontal bars.</w:t>
      </w:r>
      <w:r>
        <w:rPr>
          <w:rFonts w:ascii="Book Antiqua" w:hAnsi="Book Antiqua" w:cs="Book Antiqua"/>
          <w:color w:val="000000"/>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 xml:space="preserve"> </w:t>
      </w:r>
      <w:r>
        <w:rPr>
          <w:rFonts w:ascii="Book Antiqua" w:hAnsi="Book Antiqua" w:eastAsia="Book Antiqua" w:cs="Book Antiqua"/>
          <w:color w:val="000000"/>
        </w:rPr>
        <w:t xml:space="preserve">The eGFR at </w:t>
      </w:r>
      <w:bookmarkStart w:id="74" w:name="OLE_LINK67"/>
      <w:r>
        <w:rPr>
          <w:rFonts w:ascii="Book Antiqua" w:hAnsi="Book Antiqua" w:eastAsia="Book Antiqua" w:cs="Book Antiqua"/>
          <w:color w:val="000000"/>
        </w:rPr>
        <w:t>12 mo in kidney transplant recipients</w:t>
      </w:r>
      <w:bookmarkEnd w:id="74"/>
      <w:r>
        <w:rPr>
          <w:rFonts w:ascii="Book Antiqua" w:hAnsi="Book Antiqua" w:eastAsia="Book Antiqua" w:cs="Book Antiqua"/>
          <w:color w:val="000000"/>
        </w:rPr>
        <w:t>; B: The biopsy proven acute rejection over 12 mo in kidney transplant recipients. The diamond shows significant favour towards tacrolimus group following random effect analysis; C:  Graft survival over 12 mo in kidney transplant recipients. The diamond shows significant favour towards tacrolimus group following fixed effect analysis; D: The adverse events over 12 mo in kidney transplant recipients. The diamond doesn't suggest any significant difference following fixed effects analysis;</w:t>
      </w:r>
      <w:r>
        <w:rPr>
          <w:rFonts w:ascii="Book Antiqua" w:hAnsi="Book Antiqua" w:cs="Book Antiqua"/>
          <w:color w:val="000000"/>
          <w:lang w:eastAsia="zh-CN"/>
        </w:rPr>
        <w:t xml:space="preserve"> </w:t>
      </w:r>
      <w:r>
        <w:rPr>
          <w:rFonts w:ascii="Book Antiqua" w:hAnsi="Book Antiqua" w:eastAsia="Book Antiqua" w:cs="Book Antiqua"/>
          <w:color w:val="000000"/>
        </w:rPr>
        <w:t>E: The BK virus infection over 12 mo in kidney transplant recipients. The diamond doesn't suggest any significant difference following fixed effects analysis; F:</w:t>
      </w:r>
      <w:r>
        <w:rPr>
          <w:rFonts w:ascii="Book Antiqua" w:hAnsi="Book Antiqua" w:cs="Book Antiqua"/>
          <w:color w:val="000000"/>
          <w:lang w:eastAsia="zh-CN"/>
        </w:rPr>
        <w:t xml:space="preserve"> </w:t>
      </w:r>
      <w:r>
        <w:rPr>
          <w:rFonts w:ascii="Book Antiqua" w:hAnsi="Book Antiqua" w:eastAsia="Book Antiqua" w:cs="Book Antiqua"/>
          <w:color w:val="000000"/>
        </w:rPr>
        <w:t>The new onset diabetes mellitus after transplantation over 12 mo in kidney transplant recipients. The diamond suggests significant favour towards belatacept group following fixed effects analysis.</w:t>
      </w: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color w:val="000000"/>
        </w:rPr>
        <w:br w:type="page"/>
      </w:r>
      <w:bookmarkEnd w:id="73"/>
      <w:r>
        <w:rPr>
          <w:rFonts w:ascii="Book Antiqua" w:hAnsi="Book Antiqua" w:eastAsia="Book Antiqua" w:cs="Book Antiqua"/>
          <w:b/>
          <w:color w:val="000000"/>
          <w:lang w:eastAsia="zh-CN"/>
        </w:rPr>
        <w:drawing>
          <wp:inline distT="0" distB="0" distL="0" distR="0">
            <wp:extent cx="5486400" cy="35737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573780"/>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eastAsia="Book Antiqua" w:cs="Book Antiqua"/>
          <w:b/>
          <w:color w:val="000000"/>
        </w:rPr>
        <w:t>Figure 5 Forest plot represents the changes at 12 mo in kidney transplant recipients when treated with belatacept or tacrolimus.</w:t>
      </w:r>
      <w:r>
        <w:rPr>
          <w:rFonts w:ascii="Book Antiqua" w:hAnsi="Book Antiqua" w:eastAsia="Book Antiqua" w:cs="Book Antiqua"/>
          <w:color w:val="000000"/>
        </w:rPr>
        <w:t xml:space="preserve"> Squares represent size effects of studies, comparing the weight of the study in the meta-analysis. 95 percent confidence intervals represented in horizontal bars.</w:t>
      </w:r>
      <w:r>
        <w:rPr>
          <w:rFonts w:ascii="Book Antiqua" w:hAnsi="Book Antiqua"/>
          <w:lang w:eastAsia="zh-CN"/>
        </w:rPr>
        <w:t xml:space="preserve"> </w:t>
      </w:r>
      <w:r>
        <w:rPr>
          <w:rFonts w:ascii="Book Antiqua" w:hAnsi="Book Antiqua" w:eastAsia="Book Antiqua" w:cs="Book Antiqua"/>
          <w:color w:val="000000"/>
        </w:rPr>
        <w:t xml:space="preserve">A: The systolic blood pressure at 12 mo in kidney transplant recipients. The diamond doesn't suggest any significant difference following fixed effects analysis; B:  The diastolic blood pressure at 12 mo in kidney transplant recipients. The diamond doesn't suggest any significant difference following random effects analysis; C: Serum total cholesterol at 12 mo in kidney transplant recipients. The diamond doesn't suggest any significant difference following fixed effects analysis; D: Serum triglycerides at 12 mo in kidney transplant recipients. The diamond doesn't suggest any significant difference following fixed effects analysis; E: Serum low density lipoprotein at 12 mo in kidney transplant recipients. The diamond suggests favour towards belatacept group following fixed effects analysis. </w:t>
      </w:r>
    </w:p>
    <w:p>
      <w:pPr>
        <w:snapToGrid w:val="0"/>
        <w:spacing w:line="360" w:lineRule="auto"/>
        <w:jc w:val="both"/>
        <w:rPr>
          <w:rFonts w:ascii="Book Antiqua" w:hAnsi="Book Antiqua"/>
        </w:rPr>
      </w:pPr>
      <w:r>
        <w:rPr>
          <w:rFonts w:ascii="Book Antiqua" w:hAnsi="Book Antiqua"/>
        </w:rPr>
        <w:br w:type="page"/>
      </w:r>
      <w:r>
        <w:rPr>
          <w:rFonts w:ascii="Book Antiqua" w:hAnsi="Book Antiqua"/>
          <w:lang w:eastAsia="zh-CN"/>
        </w:rPr>
        <w:drawing>
          <wp:inline distT="0" distB="0" distL="0" distR="0">
            <wp:extent cx="5486400" cy="21253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125345"/>
                    </a:xfrm>
                    <a:prstGeom prst="rect">
                      <a:avLst/>
                    </a:prstGeom>
                  </pic:spPr>
                </pic:pic>
              </a:graphicData>
            </a:graphic>
          </wp:inline>
        </w:drawing>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Figure 6 Factors modified by belatacept and tacrolimus based regimen.</w:t>
      </w:r>
      <w:r>
        <w:rPr>
          <w:rFonts w:ascii="Book Antiqua" w:hAnsi="Book Antiqua"/>
          <w:b/>
          <w:lang w:eastAsia="zh-CN"/>
        </w:rPr>
        <w:t xml:space="preserve"> </w:t>
      </w:r>
      <w:r>
        <w:rPr>
          <w:rFonts w:ascii="Book Antiqua" w:hAnsi="Book Antiqua" w:eastAsia="Book Antiqua" w:cs="Book Antiqua"/>
          <w:color w:val="000000"/>
        </w:rPr>
        <w:t>BPAR: Biopsy proven acute rejection; NODAT: New onset diabetes mellitus after transplantation; Serum LDL: Serum low density lipoprotein.</w:t>
      </w:r>
    </w:p>
    <w:p>
      <w:pPr>
        <w:snapToGrid w:val="0"/>
        <w:spacing w:line="360" w:lineRule="auto"/>
        <w:jc w:val="both"/>
        <w:rPr>
          <w:rFonts w:ascii="Book Antiqua" w:hAnsi="Book Antiqua"/>
          <w:b/>
        </w:rPr>
      </w:pPr>
      <w:r>
        <w:rPr>
          <w:rFonts w:ascii="Book Antiqua" w:hAnsi="Book Antiqua" w:eastAsia="Book Antiqua" w:cs="Book Antiqua"/>
          <w:color w:val="000000"/>
        </w:rPr>
        <w:br w:type="page"/>
      </w:r>
      <w:r>
        <w:rPr>
          <w:rFonts w:ascii="Book Antiqua" w:hAnsi="Book Antiqua"/>
          <w:b/>
          <w:lang w:eastAsia="zh-CN"/>
        </w:rPr>
        <w:drawing>
          <wp:inline distT="0" distB="0" distL="0" distR="0">
            <wp:extent cx="5486400" cy="34175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417570"/>
                    </a:xfrm>
                    <a:prstGeom prst="rect">
                      <a:avLst/>
                    </a:prstGeom>
                  </pic:spPr>
                </pic:pic>
              </a:graphicData>
            </a:graphic>
          </wp:inline>
        </w:drawing>
      </w:r>
    </w:p>
    <w:p>
      <w:pPr>
        <w:pStyle w:val="13"/>
        <w:snapToGrid w:val="0"/>
        <w:spacing w:line="360" w:lineRule="auto"/>
        <w:jc w:val="both"/>
        <w:outlineLvl w:val="0"/>
        <w:rPr>
          <w:rFonts w:ascii="Book Antiqua" w:hAnsi="Book Antiqua" w:cs="Times New Roman"/>
          <w:b/>
          <w:color w:val="000000" w:themeColor="text1"/>
          <w:lang w:val="en-GB"/>
          <w14:textFill>
            <w14:solidFill>
              <w14:schemeClr w14:val="tx1"/>
            </w14:solidFill>
          </w14:textFill>
        </w:rPr>
      </w:pPr>
      <w:r>
        <w:rPr>
          <w:rFonts w:ascii="Book Antiqua" w:hAnsi="Book Antiqua" w:cs="Times New Roman"/>
          <w:b/>
          <w:color w:val="000000" w:themeColor="text1"/>
          <w:lang w:val="en-GB"/>
          <w14:textFill>
            <w14:solidFill>
              <w14:schemeClr w14:val="tx1"/>
            </w14:solidFill>
          </w14:textFill>
        </w:rPr>
        <w:t xml:space="preserve">Figure 7 </w:t>
      </w:r>
      <w:r>
        <w:rPr>
          <w:rFonts w:ascii="Book Antiqua" w:hAnsi="Book Antiqua"/>
          <w:b/>
          <w:color w:val="000000" w:themeColor="text1"/>
          <w14:textFill>
            <w14:solidFill>
              <w14:schemeClr w14:val="tx1"/>
            </w14:solidFill>
          </w14:textFill>
        </w:rPr>
        <w:t>Mechanism of the development of resistance to belatacept.</w:t>
      </w:r>
    </w:p>
    <w:p>
      <w:pPr>
        <w:snapToGrid w:val="0"/>
        <w:spacing w:line="360" w:lineRule="auto"/>
        <w:jc w:val="both"/>
        <w:rPr>
          <w:rFonts w:ascii="Book Antiqua" w:hAnsi="Book Antiqua"/>
          <w:b/>
        </w:rPr>
      </w:pPr>
      <w:r>
        <w:rPr>
          <w:rFonts w:ascii="Book Antiqua" w:hAnsi="Book Antiqua"/>
        </w:rPr>
        <w:br w:type="page"/>
      </w:r>
      <w:r>
        <w:rPr>
          <w:rFonts w:ascii="Book Antiqua" w:hAnsi="Book Antiqua"/>
          <w:b/>
        </w:rPr>
        <w:t>Table 1 Criteria for the inclusion of studies</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8"/>
        <w:gridCol w:w="633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6" w:type="dxa"/>
            <w:gridSpan w:val="2"/>
            <w:tcBorders>
              <w:top w:val="single" w:color="auto" w:sz="4" w:space="0"/>
              <w:bottom w:val="single" w:color="auto" w:sz="4" w:space="0"/>
            </w:tcBorders>
          </w:tcPr>
          <w:p>
            <w:pPr>
              <w:snapToGrid w:val="0"/>
              <w:spacing w:line="360" w:lineRule="auto"/>
              <w:jc w:val="both"/>
              <w:rPr>
                <w:rFonts w:ascii="Book Antiqua" w:hAnsi="Book Antiqua" w:eastAsiaTheme="minorHAnsi" w:cstheme="minorBidi"/>
                <w:b/>
              </w:rPr>
            </w:pPr>
            <w:r>
              <w:rPr>
                <w:rFonts w:ascii="Book Antiqua" w:hAnsi="Book Antiqua" w:eastAsiaTheme="minorHAnsi" w:cstheme="minorBidi"/>
                <w:b/>
              </w:rPr>
              <w:t>Type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Borders>
              <w:top w:val="single" w:color="auto" w:sz="4" w:space="0"/>
            </w:tcBorders>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Study design</w:t>
            </w:r>
          </w:p>
        </w:tc>
        <w:tc>
          <w:tcPr>
            <w:tcW w:w="6338" w:type="dxa"/>
            <w:tcBorders>
              <w:top w:val="single" w:color="auto" w:sz="4" w:space="0"/>
            </w:tcBorders>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Prospective cohort design with a well-defined study population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Study group</w:t>
            </w:r>
          </w:p>
        </w:tc>
        <w:tc>
          <w:tcPr>
            <w:tcW w:w="633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Post renal transplant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Study size</w:t>
            </w:r>
          </w:p>
        </w:tc>
        <w:tc>
          <w:tcPr>
            <w:tcW w:w="633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Any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Length of follow-up</w:t>
            </w:r>
          </w:p>
        </w:tc>
        <w:tc>
          <w:tcPr>
            <w:tcW w:w="633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Any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Source</w:t>
            </w:r>
          </w:p>
        </w:tc>
        <w:tc>
          <w:tcPr>
            <w:tcW w:w="633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Peer-reviewed journals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Language</w:t>
            </w:r>
          </w:p>
        </w:tc>
        <w:tc>
          <w:tcPr>
            <w:tcW w:w="633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English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Outcome measure</w:t>
            </w:r>
          </w:p>
        </w:tc>
        <w:tc>
          <w:tcPr>
            <w:tcW w:w="6338" w:type="dxa"/>
          </w:tcPr>
          <w:p>
            <w:pPr>
              <w:snapToGrid w:val="0"/>
              <w:spacing w:line="360" w:lineRule="auto"/>
              <w:jc w:val="both"/>
              <w:rPr>
                <w:rFonts w:ascii="Book Antiqua" w:hAnsi="Book Antiqua" w:eastAsiaTheme="minorHAnsi" w:cstheme="minorBidi"/>
              </w:rPr>
            </w:pPr>
            <w:r>
              <w:rPr>
                <w:rFonts w:ascii="Book Antiqua" w:hAnsi="Book Antiqua" w:eastAsiaTheme="minorHAnsi" w:cstheme="minorBidi"/>
              </w:rPr>
              <w:t>Renal function, patient safety, adverse events, and graft functioning and survival</w:t>
            </w:r>
          </w:p>
        </w:tc>
      </w:tr>
    </w:tbl>
    <w:p>
      <w:pPr>
        <w:snapToGrid w:val="0"/>
        <w:spacing w:line="360" w:lineRule="auto"/>
        <w:jc w:val="both"/>
        <w:rPr>
          <w:rFonts w:ascii="Book Antiqua" w:hAnsi="Book Antiqua"/>
          <w:b/>
        </w:rPr>
        <w:sectPr>
          <w:type w:val="continuous"/>
          <w:pgSz w:w="12240" w:h="15840"/>
          <w:pgMar w:top="1440" w:right="1800" w:bottom="1440" w:left="1800" w:header="720" w:footer="720" w:gutter="0"/>
          <w:cols w:space="720" w:num="1"/>
          <w:docGrid w:linePitch="360" w:charSpace="0"/>
        </w:sectPr>
      </w:pPr>
    </w:p>
    <w:p>
      <w:pPr>
        <w:snapToGrid w:val="0"/>
        <w:spacing w:line="360" w:lineRule="auto"/>
        <w:jc w:val="both"/>
        <w:rPr>
          <w:rFonts w:ascii="Book Antiqua" w:hAnsi="Book Antiqua"/>
          <w:b/>
        </w:rPr>
      </w:pPr>
      <w:r>
        <w:rPr>
          <w:rFonts w:ascii="Book Antiqua" w:hAnsi="Book Antiqua"/>
          <w:b/>
        </w:rPr>
        <w:t>Table 2 Characteristics of included studies</w:t>
      </w:r>
    </w:p>
    <w:tbl>
      <w:tblPr>
        <w:tblStyle w:val="7"/>
        <w:tblW w:w="5175" w:type="pct"/>
        <w:tblInd w:w="-771" w:type="dxa"/>
        <w:tblBorders>
          <w:top w:val="single" w:color="FFC000" w:sz="4" w:space="0"/>
          <w:left w:val="none" w:color="auto" w:sz="0" w:space="0"/>
          <w:bottom w:val="single" w:color="FFC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19"/>
        <w:gridCol w:w="2126"/>
        <w:gridCol w:w="1483"/>
        <w:gridCol w:w="2633"/>
        <w:gridCol w:w="2308"/>
        <w:gridCol w:w="2994"/>
      </w:tblGrid>
      <w:tr>
        <w:tblPrEx>
          <w:tblBorders>
            <w:top w:val="single" w:color="FFC000" w:sz="4" w:space="0"/>
            <w:left w:val="none" w:color="auto" w:sz="0" w:space="0"/>
            <w:bottom w:val="single" w:color="FFC000" w:sz="4" w:space="0"/>
            <w:right w:val="none" w:color="auto" w:sz="0" w:space="0"/>
            <w:insideH w:val="none" w:color="auto" w:sz="0" w:space="0"/>
            <w:insideV w:val="none" w:color="auto" w:sz="0" w:space="0"/>
          </w:tblBorders>
        </w:tblPrEx>
        <w:trPr>
          <w:trHeight w:val="412" w:hRule="atLeast"/>
        </w:trPr>
        <w:tc>
          <w:tcPr>
            <w:tcW w:w="484" w:type="pct"/>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14:textFill>
                  <w14:solidFill>
                    <w14:schemeClr w14:val="tx1"/>
                  </w14:solidFill>
                </w14:textFill>
              </w:rPr>
            </w:pPr>
            <w:r>
              <w:rPr>
                <w:rFonts w:ascii="Book Antiqua" w:hAnsi="Book Antiqua" w:cs="Times New Roman"/>
                <w:b/>
                <w:bCs/>
                <w:color w:val="000000" w:themeColor="text1"/>
                <w:u w:color="FFFFFF"/>
                <w14:textFill>
                  <w14:solidFill>
                    <w14:schemeClr w14:val="tx1"/>
                  </w14:solidFill>
                </w14:textFill>
              </w:rPr>
              <w:t>Ref.</w:t>
            </w:r>
          </w:p>
        </w:tc>
        <w:tc>
          <w:tcPr>
            <w:tcW w:w="846" w:type="pct"/>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14:textFill>
                  <w14:solidFill>
                    <w14:schemeClr w14:val="tx1"/>
                  </w14:solidFill>
                </w14:textFill>
              </w:rPr>
            </w:pPr>
            <w:r>
              <w:rPr>
                <w:rFonts w:ascii="Book Antiqua" w:hAnsi="Book Antiqua" w:cs="Times New Roman"/>
                <w:b/>
                <w:bCs/>
                <w:color w:val="000000" w:themeColor="text1"/>
                <w:u w:color="FFFFFF"/>
                <w14:textFill>
                  <w14:solidFill>
                    <w14:schemeClr w14:val="tx1"/>
                  </w14:solidFill>
                </w14:textFill>
              </w:rPr>
              <w:t>Study design</w:t>
            </w:r>
          </w:p>
        </w:tc>
        <w:tc>
          <w:tcPr>
            <w:tcW w:w="596" w:type="pct"/>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b/>
                <w:color w:val="000000" w:themeColor="text1"/>
                <w14:textFill>
                  <w14:solidFill>
                    <w14:schemeClr w14:val="tx1"/>
                  </w14:solidFill>
                </w14:textFill>
              </w:rPr>
            </w:pPr>
            <w:r>
              <w:rPr>
                <w:rFonts w:ascii="Book Antiqua" w:hAnsi="Book Antiqua" w:cs="Times New Roman"/>
                <w:b/>
                <w:color w:val="000000" w:themeColor="text1"/>
                <w14:textFill>
                  <w14:solidFill>
                    <w14:schemeClr w14:val="tx1"/>
                  </w14:solidFill>
                </w14:textFill>
              </w:rPr>
              <w:t>Donor type</w:t>
            </w:r>
          </w:p>
        </w:tc>
        <w:tc>
          <w:tcPr>
            <w:tcW w:w="1043" w:type="pct"/>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b/>
                <w:bCs/>
                <w:color w:val="000000" w:themeColor="text1"/>
                <w:u w:color="FFFFFF"/>
                <w14:textFill>
                  <w14:solidFill>
                    <w14:schemeClr w14:val="tx1"/>
                  </w14:solidFill>
                </w14:textFill>
              </w:rPr>
            </w:pPr>
            <w:r>
              <w:rPr>
                <w:rFonts w:ascii="Book Antiqua" w:hAnsi="Book Antiqua" w:cs="Times New Roman"/>
                <w:b/>
                <w:bCs/>
                <w:color w:val="000000" w:themeColor="text1"/>
                <w:u w:color="FFFFFF"/>
                <w14:textFill>
                  <w14:solidFill>
                    <w14:schemeClr w14:val="tx1"/>
                  </w14:solidFill>
                </w14:textFill>
              </w:rPr>
              <w:t>Belatacept based</w:t>
            </w:r>
            <w:r>
              <w:rPr>
                <w:rFonts w:hint="eastAsia" w:ascii="Book Antiqua" w:hAnsi="Book Antiqua" w:eastAsia="宋体" w:cs="Times New Roman"/>
                <w:b/>
                <w:bCs/>
                <w:color w:val="000000" w:themeColor="text1"/>
                <w:u w:color="FFFFFF"/>
                <w:lang w:val="en-US" w:eastAsia="zh-CN"/>
                <w14:textFill>
                  <w14:solidFill>
                    <w14:schemeClr w14:val="tx1"/>
                  </w14:solidFill>
                </w14:textFill>
              </w:rPr>
              <w:t xml:space="preserve"> </w:t>
            </w:r>
            <w:r>
              <w:rPr>
                <w:rFonts w:ascii="Book Antiqua" w:hAnsi="Book Antiqua" w:cs="Times New Roman"/>
                <w:b/>
                <w:bCs/>
                <w:color w:val="000000" w:themeColor="text1"/>
                <w:u w:color="FFFFFF"/>
                <w14:textFill>
                  <w14:solidFill>
                    <w14:schemeClr w14:val="tx1"/>
                  </w14:solidFill>
                </w14:textFill>
              </w:rPr>
              <w:t>(group 1)</w:t>
            </w:r>
          </w:p>
        </w:tc>
        <w:tc>
          <w:tcPr>
            <w:tcW w:w="848" w:type="pct"/>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14:textFill>
                  <w14:solidFill>
                    <w14:schemeClr w14:val="tx1"/>
                  </w14:solidFill>
                </w14:textFill>
              </w:rPr>
            </w:pPr>
            <w:r>
              <w:rPr>
                <w:rFonts w:ascii="Book Antiqua" w:hAnsi="Book Antiqua" w:cs="Times New Roman"/>
                <w:b/>
                <w:bCs/>
                <w:color w:val="000000" w:themeColor="text1"/>
                <w:u w:color="FFFFFF"/>
                <w14:textFill>
                  <w14:solidFill>
                    <w14:schemeClr w14:val="tx1"/>
                  </w14:solidFill>
                </w14:textFill>
              </w:rPr>
              <w:t>Tacrolimus based</w:t>
            </w:r>
            <w:r>
              <w:rPr>
                <w:rFonts w:hint="eastAsia" w:ascii="Book Antiqua" w:hAnsi="Book Antiqua" w:eastAsia="宋体" w:cs="Times New Roman"/>
                <w:b/>
                <w:bCs/>
                <w:color w:val="000000" w:themeColor="text1"/>
                <w:u w:color="FFFFFF"/>
                <w:lang w:val="en-US" w:eastAsia="zh-CN"/>
                <w14:textFill>
                  <w14:solidFill>
                    <w14:schemeClr w14:val="tx1"/>
                  </w14:solidFill>
                </w14:textFill>
              </w:rPr>
              <w:t xml:space="preserve"> </w:t>
            </w:r>
            <w:r>
              <w:rPr>
                <w:rFonts w:ascii="Book Antiqua" w:hAnsi="Book Antiqua" w:cs="Times New Roman"/>
                <w:b/>
                <w:bCs/>
                <w:color w:val="000000" w:themeColor="text1"/>
                <w:u w:color="FFFFFF"/>
                <w14:textFill>
                  <w14:solidFill>
                    <w14:schemeClr w14:val="tx1"/>
                  </w14:solidFill>
                </w14:textFill>
              </w:rPr>
              <w:t>(group 2)</w:t>
            </w:r>
          </w:p>
        </w:tc>
        <w:tc>
          <w:tcPr>
            <w:tcW w:w="1183" w:type="pct"/>
            <w:tcBorders>
              <w:top w:val="single" w:color="000000" w:themeColor="text1" w:sz="4" w:space="0"/>
              <w:bottom w:val="single" w:color="000000" w:themeColor="text1" w:sz="4" w:space="0"/>
            </w:tcBorders>
            <w:shd w:val="clear" w:color="auto" w:fill="auto"/>
          </w:tcPr>
          <w:p>
            <w:pPr>
              <w:pStyle w:val="13"/>
              <w:snapToGrid w:val="0"/>
              <w:spacing w:line="360" w:lineRule="auto"/>
              <w:jc w:val="both"/>
              <w:rPr>
                <w:rFonts w:ascii="Book Antiqua" w:hAnsi="Book Antiqua" w:cs="Times New Roman"/>
                <w:b/>
                <w:bCs/>
                <w:color w:val="000000" w:themeColor="text1"/>
                <w:u w:color="FFFFFF"/>
                <w14:textFill>
                  <w14:solidFill>
                    <w14:schemeClr w14:val="tx1"/>
                  </w14:solidFill>
                </w14:textFill>
              </w:rPr>
            </w:pPr>
            <w:r>
              <w:rPr>
                <w:rFonts w:ascii="Book Antiqua" w:hAnsi="Book Antiqua" w:cs="Times New Roman"/>
                <w:b/>
                <w:bCs/>
                <w:color w:val="000000" w:themeColor="text1"/>
                <w:u w:color="FFFFFF"/>
                <w14:textFill>
                  <w14:solidFill>
                    <w14:schemeClr w14:val="tx1"/>
                  </w14:solidFill>
                </w14:textFill>
              </w:rPr>
              <w:t>Belatacept based</w:t>
            </w:r>
            <w:r>
              <w:rPr>
                <w:rFonts w:hint="eastAsia" w:ascii="Book Antiqua" w:hAnsi="Book Antiqua" w:eastAsia="宋体" w:cs="Times New Roman"/>
                <w:b/>
                <w:bCs/>
                <w:color w:val="000000" w:themeColor="text1"/>
                <w:u w:color="FFFFFF"/>
                <w:lang w:val="en-US" w:eastAsia="zh-CN"/>
                <w14:textFill>
                  <w14:solidFill>
                    <w14:schemeClr w14:val="tx1"/>
                  </w14:solidFill>
                </w14:textFill>
              </w:rPr>
              <w:t xml:space="preserve"> </w:t>
            </w:r>
            <w:r>
              <w:rPr>
                <w:rFonts w:ascii="Book Antiqua" w:hAnsi="Book Antiqua" w:cs="Times New Roman"/>
                <w:b/>
                <w:bCs/>
                <w:color w:val="000000" w:themeColor="text1"/>
                <w:u w:color="FFFFFF"/>
                <w14:textFill>
                  <w14:solidFill>
                    <w14:schemeClr w14:val="tx1"/>
                  </w14:solidFill>
                </w14:textFill>
              </w:rPr>
              <w:t xml:space="preserve">(group 3) </w:t>
            </w:r>
          </w:p>
        </w:tc>
      </w:tr>
      <w:tr>
        <w:tblPrEx>
          <w:tblBorders>
            <w:top w:val="single" w:color="FFC000" w:sz="4" w:space="0"/>
            <w:left w:val="none" w:color="auto" w:sz="0" w:space="0"/>
            <w:bottom w:val="single" w:color="FFC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484" w:type="pct"/>
            <w:tcBorders>
              <w:top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14:textFill>
                  <w14:solidFill>
                    <w14:schemeClr w14:val="tx1"/>
                  </w14:solidFill>
                </w14:textFill>
              </w:rPr>
            </w:pPr>
            <w:r>
              <w:rPr>
                <w:rFonts w:ascii="Book Antiqua" w:hAnsi="Book Antiqua" w:cs="Times New Roman"/>
                <w:color w:val="000000" w:themeColor="text1"/>
                <w14:textFill>
                  <w14:solidFill>
                    <w14:schemeClr w14:val="tx1"/>
                  </w14:solidFill>
                </w14:textFill>
              </w:rPr>
              <w:t xml:space="preserve">Ferguson </w:t>
            </w:r>
            <w:r>
              <w:rPr>
                <w:rFonts w:ascii="Book Antiqua" w:hAnsi="Book Antiqua" w:cs="Times New Roman"/>
                <w:i/>
                <w:color w:val="000000" w:themeColor="text1"/>
                <w14:textFill>
                  <w14:solidFill>
                    <w14:schemeClr w14:val="tx1"/>
                  </w14:solidFill>
                </w14:textFill>
              </w:rPr>
              <w:t>et al</w:t>
            </w:r>
            <w:r>
              <w:rPr>
                <w:rFonts w:ascii="Book Antiqua" w:hAnsi="Book Antiqua" w:cs="Times New Roman"/>
                <w:color w:val="000000" w:themeColor="text1"/>
                <w:vertAlign w:val="superscript"/>
                <w14:textFill>
                  <w14:solidFill>
                    <w14:schemeClr w14:val="tx1"/>
                  </w14:solidFill>
                </w14:textFill>
              </w:rPr>
              <w:t>[33]</w:t>
            </w:r>
            <w:r>
              <w:rPr>
                <w:rFonts w:ascii="Book Antiqua" w:hAnsi="Book Antiqua" w:cs="Times New Roman"/>
                <w:color w:val="000000" w:themeColor="text1"/>
                <w14:textFill>
                  <w14:solidFill>
                    <w14:schemeClr w14:val="tx1"/>
                  </w14:solidFill>
                </w14:textFill>
              </w:rPr>
              <w:t>, 2011</w:t>
            </w:r>
          </w:p>
        </w:tc>
        <w:tc>
          <w:tcPr>
            <w:tcW w:w="846" w:type="pct"/>
            <w:tcBorders>
              <w:top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Multicentre, prospective, randomized (93 patients, 1 yr)</w:t>
            </w:r>
          </w:p>
        </w:tc>
        <w:tc>
          <w:tcPr>
            <w:tcW w:w="596" w:type="pct"/>
            <w:tcBorders>
              <w:top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Living and deceased</w:t>
            </w:r>
          </w:p>
        </w:tc>
        <w:tc>
          <w:tcPr>
            <w:tcW w:w="1043" w:type="pct"/>
            <w:tcBorders>
              <w:top w:val="single" w:color="000000" w:themeColor="text1" w:sz="4" w:space="0"/>
            </w:tcBorders>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Belatacept 10 mg/kg on day 1 and 5, then once every 2 wk through 3 mo, every 4 wk through 6 mo and</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5 mg/kg from 7 mo onwards;</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MMF: 1 mg twice daily;</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Induction: Thymoglobulin + Corticosterids</w:t>
            </w:r>
          </w:p>
        </w:tc>
        <w:tc>
          <w:tcPr>
            <w:tcW w:w="848" w:type="pct"/>
            <w:tcBorders>
              <w:top w:val="single" w:color="000000" w:themeColor="text1" w:sz="4" w:space="0"/>
            </w:tcBorders>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Tac 0.2 mg/kg divided into two doses;</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Tac 0.2 mg/kg divided into two doses;</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Induction: Thymoglobulin + Corticosterids</w:t>
            </w:r>
          </w:p>
        </w:tc>
        <w:tc>
          <w:tcPr>
            <w:tcW w:w="1183" w:type="pct"/>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Belatacept 10 mg/kg on day 1 and 5, then once every 2 wk through 3 mo, every 4 wk through 6 mo and</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5 mg/kg from 7 mo onwards;</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SRL initiated on day 1 and dose level 7-12 ng/mL</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Induction: Thymoglobulin + Corticosterids</w:t>
            </w:r>
          </w:p>
        </w:tc>
      </w:tr>
      <w:tr>
        <w:tblPrEx>
          <w:tblBorders>
            <w:top w:val="single" w:color="FFC000" w:sz="4" w:space="0"/>
            <w:left w:val="none" w:color="auto" w:sz="0" w:space="0"/>
            <w:bottom w:val="single" w:color="FFC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484" w:type="pct"/>
            <w:shd w:val="clear" w:color="auto" w:fill="auto"/>
            <w:tcMar>
              <w:top w:w="80" w:type="dxa"/>
              <w:left w:w="80" w:type="dxa"/>
              <w:bottom w:w="80" w:type="dxa"/>
              <w:right w:w="80" w:type="dxa"/>
            </w:tcMar>
          </w:tcPr>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de Graav </w:t>
            </w:r>
            <w:r>
              <w:rPr>
                <w:rFonts w:ascii="Book Antiqua" w:hAnsi="Book Antiqua"/>
                <w:i/>
                <w:color w:val="000000" w:themeColor="text1"/>
                <w14:textFill>
                  <w14:solidFill>
                    <w14:schemeClr w14:val="tx1"/>
                  </w14:solidFill>
                </w14:textFill>
              </w:rPr>
              <w:t>et al</w:t>
            </w:r>
            <w:r>
              <w:rPr>
                <w:rFonts w:ascii="Book Antiqua" w:hAnsi="Book Antiqua"/>
                <w:color w:val="000000" w:themeColor="text1"/>
                <w:vertAlign w:val="superscript"/>
                <w14:textFill>
                  <w14:solidFill>
                    <w14:schemeClr w14:val="tx1"/>
                  </w14:solidFill>
                </w14:textFill>
              </w:rPr>
              <w:t>[34]</w:t>
            </w:r>
            <w:r>
              <w:rPr>
                <w:rFonts w:ascii="Book Antiqua" w:hAnsi="Book Antiqua"/>
                <w:color w:val="000000" w:themeColor="text1"/>
                <w14:textFill>
                  <w14:solidFill>
                    <w14:schemeClr w14:val="tx1"/>
                  </w14:solidFill>
                </w14:textFill>
              </w:rPr>
              <w:t>, 2017</w:t>
            </w:r>
          </w:p>
        </w:tc>
        <w:tc>
          <w:tcPr>
            <w:tcW w:w="846" w:type="pct"/>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Single centre, prospective, randomized (40 patients, 1 yr)</w:t>
            </w:r>
          </w:p>
        </w:tc>
        <w:tc>
          <w:tcPr>
            <w:tcW w:w="596" w:type="pct"/>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Living</w:t>
            </w:r>
          </w:p>
        </w:tc>
        <w:tc>
          <w:tcPr>
            <w:tcW w:w="1043" w:type="pct"/>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Belatacept 10 mg/kg on day 0, 4, 15, 30, 60, 90 d of transplant, following that 5 mg/kg till 12 mo</w:t>
            </w:r>
          </w:p>
        </w:tc>
        <w:tc>
          <w:tcPr>
            <w:tcW w:w="848" w:type="pct"/>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Tac 0.2 mg/kg divided into two doses.</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Target concentration</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10 to 15 ng/mL (week 1-2);</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8 to 12 ng/mL (week 3-4);</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5-10 ng/mL (week &gt; 5)</w:t>
            </w:r>
          </w:p>
        </w:tc>
        <w:tc>
          <w:tcPr>
            <w:tcW w:w="1183" w:type="pct"/>
            <w:shd w:val="clear" w:color="auto" w:fill="auto"/>
          </w:tcPr>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NA</w:t>
            </w:r>
          </w:p>
        </w:tc>
      </w:tr>
      <w:tr>
        <w:tblPrEx>
          <w:tblBorders>
            <w:top w:val="single" w:color="FFC000" w:sz="4" w:space="0"/>
            <w:left w:val="none" w:color="auto" w:sz="0" w:space="0"/>
            <w:bottom w:val="single" w:color="FFC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484" w:type="pct"/>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14:textFill>
                  <w14:solidFill>
                    <w14:schemeClr w14:val="tx1"/>
                  </w14:solidFill>
                </w14:textFill>
              </w:rPr>
            </w:pPr>
            <w:r>
              <w:rPr>
                <w:rFonts w:ascii="Book Antiqua" w:hAnsi="Book Antiqua" w:cs="Times New Roman"/>
                <w:color w:val="000000" w:themeColor="text1"/>
                <w14:textFill>
                  <w14:solidFill>
                    <w14:schemeClr w14:val="tx1"/>
                  </w14:solidFill>
                </w14:textFill>
              </w:rPr>
              <w:t xml:space="preserve">Newell </w:t>
            </w:r>
            <w:r>
              <w:rPr>
                <w:rFonts w:ascii="Book Antiqua" w:hAnsi="Book Antiqua" w:cs="Times New Roman"/>
                <w:i/>
                <w:color w:val="000000" w:themeColor="text1"/>
                <w14:textFill>
                  <w14:solidFill>
                    <w14:schemeClr w14:val="tx1"/>
                  </w14:solidFill>
                </w14:textFill>
              </w:rPr>
              <w:t>et al</w:t>
            </w:r>
            <w:r>
              <w:rPr>
                <w:rFonts w:ascii="Book Antiqua" w:hAnsi="Book Antiqua" w:cs="Times New Roman"/>
                <w:color w:val="000000" w:themeColor="text1"/>
                <w:vertAlign w:val="superscript"/>
                <w14:textFill>
                  <w14:solidFill>
                    <w14:schemeClr w14:val="tx1"/>
                  </w14:solidFill>
                </w14:textFill>
              </w:rPr>
              <w:t>[35]</w:t>
            </w:r>
            <w:r>
              <w:rPr>
                <w:rFonts w:ascii="Book Antiqua" w:hAnsi="Book Antiqua" w:cs="Times New Roman"/>
                <w:color w:val="000000" w:themeColor="text1"/>
                <w14:textFill>
                  <w14:solidFill>
                    <w14:schemeClr w14:val="tx1"/>
                  </w14:solidFill>
                </w14:textFill>
              </w:rPr>
              <w:t>, 2017</w:t>
            </w:r>
          </w:p>
        </w:tc>
        <w:tc>
          <w:tcPr>
            <w:tcW w:w="846" w:type="pct"/>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Multicentre, prospective, randomized (19 patients, 1 yr)</w:t>
            </w:r>
          </w:p>
        </w:tc>
        <w:tc>
          <w:tcPr>
            <w:tcW w:w="596" w:type="pct"/>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Living and deceased</w:t>
            </w:r>
          </w:p>
        </w:tc>
        <w:tc>
          <w:tcPr>
            <w:tcW w:w="1043" w:type="pct"/>
            <w:shd w:val="clear" w:color="auto" w:fill="auto"/>
            <w:tcMar>
              <w:top w:w="80" w:type="dxa"/>
              <w:left w:w="80" w:type="dxa"/>
              <w:bottom w:w="80" w:type="dxa"/>
              <w:right w:w="80" w:type="dxa"/>
            </w:tcMar>
          </w:tcPr>
          <w:p>
            <w:pPr>
              <w:pStyle w:val="13"/>
              <w:snapToGrid w:val="0"/>
              <w:spacing w:line="360" w:lineRule="auto"/>
              <w:jc w:val="both"/>
              <w:rPr>
                <w:rFonts w:ascii="Book Antiqua" w:hAnsi="Book Antiqua"/>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 xml:space="preserve">Belatacept 10 mg/kg on day </w:t>
            </w:r>
            <w:r>
              <w:rPr>
                <w:rFonts w:ascii="Book Antiqua" w:hAnsi="Book Antiqua"/>
                <w:color w:val="000000" w:themeColor="text1"/>
                <w:u w:color="1A1A1A"/>
                <w14:textFill>
                  <w14:solidFill>
                    <w14:schemeClr w14:val="tx1"/>
                  </w14:solidFill>
                </w14:textFill>
              </w:rPr>
              <w:t>0 (day of transplant) and then on days 4, 14, 28, 56, and 84. After day 84, participants received a maintenance dose of 5 mg/kg every 4 wk until completion of the trial;</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MMF: 1 mg twice daily;</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 xml:space="preserve">Induction: </w:t>
            </w:r>
            <w:r>
              <w:rPr>
                <w:rFonts w:ascii="Book Antiqua" w:hAnsi="Book Antiqua"/>
                <w:color w:val="000000" w:themeColor="text1"/>
                <w:u w:color="1A1A1A"/>
                <w14:textFill>
                  <w14:solidFill>
                    <w14:schemeClr w14:val="tx1"/>
                  </w14:solidFill>
                </w14:textFill>
              </w:rPr>
              <w:t>Thymoglobulin, rapid methylprednisolone taper</w:t>
            </w:r>
          </w:p>
        </w:tc>
        <w:tc>
          <w:tcPr>
            <w:tcW w:w="848" w:type="pct"/>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Tac 0.1 mg/kg divided into two doses;</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Target concentration</w:t>
            </w:r>
          </w:p>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8 to 12 ng/mL (week 24), then</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5 to 8 ng/mL (week &gt; 24);</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MMF: 1 mg twice daily;</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 xml:space="preserve">Induction: </w:t>
            </w:r>
            <w:r>
              <w:rPr>
                <w:rFonts w:ascii="Book Antiqua" w:hAnsi="Book Antiqua"/>
                <w:color w:val="000000" w:themeColor="text1"/>
                <w:u w:color="1A1A1A"/>
                <w14:textFill>
                  <w14:solidFill>
                    <w14:schemeClr w14:val="tx1"/>
                  </w14:solidFill>
                </w14:textFill>
              </w:rPr>
              <w:t>Thymoglobulin, rapid methylprednisolone taper</w:t>
            </w:r>
          </w:p>
        </w:tc>
        <w:tc>
          <w:tcPr>
            <w:tcW w:w="1183" w:type="pct"/>
            <w:shd w:val="clear" w:color="auto" w:fill="auto"/>
          </w:tcPr>
          <w:p>
            <w:pPr>
              <w:pStyle w:val="13"/>
              <w:snapToGrid w:val="0"/>
              <w:spacing w:line="360" w:lineRule="auto"/>
              <w:jc w:val="both"/>
              <w:rPr>
                <w:rFonts w:ascii="Book Antiqua" w:hAnsi="Book Antiqua"/>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 xml:space="preserve">Belatacept 10 mg/kg on day </w:t>
            </w:r>
            <w:r>
              <w:rPr>
                <w:rFonts w:ascii="Book Antiqua" w:hAnsi="Book Antiqua"/>
                <w:color w:val="000000" w:themeColor="text1"/>
                <w:u w:color="1A1A1A"/>
                <w14:textFill>
                  <w14:solidFill>
                    <w14:schemeClr w14:val="tx1"/>
                  </w14:solidFill>
                </w14:textFill>
              </w:rPr>
              <w:t>0 (day of transplant) and then on days 4, 14, 28, 56, and 84. After day 84, participants received a maintenance dose of 5 mg/kg every 4 wk.</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 xml:space="preserve">Tac 0.1 mg/kg divided into two doses </w:t>
            </w:r>
            <w:r>
              <w:rPr>
                <w:rFonts w:ascii="Book Antiqua" w:hAnsi="Book Antiqua"/>
                <w:color w:val="000000" w:themeColor="text1"/>
                <w:u w:color="1A1A1A"/>
                <w14:textFill>
                  <w14:solidFill>
                    <w14:schemeClr w14:val="tx1"/>
                  </w14:solidFill>
                </w14:textFill>
              </w:rPr>
              <w:t>then adjusted to target trough levels: 8-12 ng/mL by Day 29, 5-8 ng/mL by Day 57, 3-5 ng/mL by Day 85 then stopped.</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MMF: 1 mg twice daily;</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Tac: 5 to 8 ng/mL (till 24 wk);</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Induction: Basiliximab + Corticosteroids</w:t>
            </w:r>
          </w:p>
        </w:tc>
      </w:tr>
      <w:tr>
        <w:tblPrEx>
          <w:tblBorders>
            <w:top w:val="single" w:color="FFC000" w:sz="4" w:space="0"/>
            <w:left w:val="none" w:color="auto" w:sz="0" w:space="0"/>
            <w:bottom w:val="single" w:color="FFC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484" w:type="pct"/>
            <w:tcBorders>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hint="eastAsia" w:ascii="Book Antiqua" w:hAnsi="Book Antiqua" w:eastAsia="宋体" w:cs="Times New Roman"/>
                <w:color w:val="000000" w:themeColor="text1"/>
                <w:lang w:val="en-US" w:eastAsia="zh-CN"/>
                <w14:textFill>
                  <w14:solidFill>
                    <w14:schemeClr w14:val="tx1"/>
                  </w14:solidFill>
                </w14:textFill>
              </w:rPr>
            </w:pPr>
            <w:r>
              <w:rPr>
                <w:rFonts w:ascii="Book Antiqua" w:hAnsi="Book Antiqua" w:cs="Times New Roman"/>
                <w:color w:val="000000" w:themeColor="text1"/>
                <w14:textFill>
                  <w14:solidFill>
                    <w14:schemeClr w14:val="tx1"/>
                  </w14:solidFill>
                </w14:textFill>
              </w:rPr>
              <w:t>Trial 1856257</w:t>
            </w:r>
            <w:r>
              <w:rPr>
                <w:rFonts w:hint="eastAsia" w:ascii="Book Antiqua" w:hAnsi="Book Antiqua" w:cs="Times New Roman"/>
                <w:color w:val="000000" w:themeColor="text1"/>
                <w:vertAlign w:val="superscript"/>
                <w:lang w:val="en-US" w:eastAsia="zh-CN"/>
                <w14:textFill>
                  <w14:solidFill>
                    <w14:schemeClr w14:val="tx1"/>
                  </w14:solidFill>
                </w14:textFill>
              </w:rPr>
              <w:t>[36]</w:t>
            </w:r>
            <w:r>
              <w:rPr>
                <w:rFonts w:ascii="Book Antiqua" w:hAnsi="Book Antiqua" w:cs="Times New Roman"/>
                <w:color w:val="000000" w:themeColor="text1"/>
                <w14:textFill>
                  <w14:solidFill>
                    <w14:schemeClr w14:val="tx1"/>
                  </w14:solidFill>
                </w14:textFill>
              </w:rPr>
              <w:t>,</w:t>
            </w:r>
            <w:r>
              <w:rPr>
                <w:rFonts w:ascii="Book Antiqua" w:hAnsi="Book Antiqua" w:cs="Times New Roman"/>
                <w:vertAlign w:val="baseline"/>
              </w:rPr>
              <w:t xml:space="preserve"> </w:t>
            </w:r>
            <w:r>
              <w:rPr>
                <w:rFonts w:ascii="Book Antiqua" w:hAnsi="Book Antiqua" w:cs="Times New Roman"/>
              </w:rPr>
              <w:t>2017</w:t>
            </w:r>
          </w:p>
        </w:tc>
        <w:tc>
          <w:tcPr>
            <w:tcW w:w="846" w:type="pct"/>
            <w:tcBorders>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Multicentre, prospective, randomized</w:t>
            </w:r>
            <w:r>
              <w:rPr>
                <w:rFonts w:hint="eastAsia" w:ascii="Book Antiqua" w:hAnsi="Book Antiqua" w:eastAsia="宋体" w:cs="Times New Roman"/>
                <w:color w:val="000000" w:themeColor="text1"/>
                <w:u w:color="1A1A1A"/>
                <w:lang w:val="en-US" w:eastAsia="zh-CN"/>
                <w14:textFill>
                  <w14:solidFill>
                    <w14:schemeClr w14:val="tx1"/>
                  </w14:solidFill>
                </w14:textFill>
              </w:rPr>
              <w:t xml:space="preserve"> </w:t>
            </w:r>
            <w:bookmarkStart w:id="75" w:name="_GoBack"/>
            <w:bookmarkEnd w:id="75"/>
            <w:r>
              <w:rPr>
                <w:rFonts w:ascii="Book Antiqua" w:hAnsi="Book Antiqua" w:cs="Times New Roman"/>
                <w:color w:val="000000" w:themeColor="text1"/>
                <w:u w:color="1A1A1A"/>
                <w14:textFill>
                  <w14:solidFill>
                    <w14:schemeClr w14:val="tx1"/>
                  </w14:solidFill>
                </w14:textFill>
              </w:rPr>
              <w:t>(69 patients, 1 yr)</w:t>
            </w:r>
          </w:p>
        </w:tc>
        <w:tc>
          <w:tcPr>
            <w:tcW w:w="596" w:type="pct"/>
            <w:tcBorders>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Living and deceased</w:t>
            </w:r>
          </w:p>
        </w:tc>
        <w:tc>
          <w:tcPr>
            <w:tcW w:w="1043" w:type="pct"/>
            <w:tcBorders>
              <w:bottom w:val="single" w:color="000000" w:themeColor="text1" w:sz="4" w:space="0"/>
            </w:tcBorders>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 xml:space="preserve">Belatacept 10 mg/kg on day </w:t>
            </w:r>
            <w:r>
              <w:rPr>
                <w:rFonts w:ascii="Book Antiqua" w:hAnsi="Book Antiqua"/>
                <w:color w:val="000000" w:themeColor="text1"/>
                <w:u w:color="1A1A1A"/>
                <w14:textFill>
                  <w14:solidFill>
                    <w14:schemeClr w14:val="tx1"/>
                  </w14:solidFill>
                </w14:textFill>
              </w:rPr>
              <w:t xml:space="preserve">1 (24 h of transplant) and then on days 5, 14, 28, 56, and 84. </w:t>
            </w:r>
            <w:r>
              <w:rPr>
                <w:rFonts w:ascii="Book Antiqua" w:hAnsi="Book Antiqua" w:cs="Times New Roman"/>
                <w:color w:val="000000" w:themeColor="text1"/>
                <w:u w:color="1A1A1A"/>
                <w14:textFill>
                  <w14:solidFill>
                    <w14:schemeClr w14:val="tx1"/>
                  </w14:solidFill>
                </w14:textFill>
              </w:rPr>
              <w:t>MMF: 1 mg twice daily;</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Induction: Thymoglobulin + Corticosteroids</w:t>
            </w:r>
          </w:p>
        </w:tc>
        <w:tc>
          <w:tcPr>
            <w:tcW w:w="848" w:type="pct"/>
            <w:tcBorders>
              <w:bottom w:val="single" w:color="000000" w:themeColor="text1" w:sz="4" w:space="0"/>
            </w:tcBorders>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Tac started on day 0/1;</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Target concentration</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8 to 12 ng/mL (week 24), then</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5 to 8 ng/mL (week &gt; 24);</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MMF: 1 mg twice daily;</w:t>
            </w:r>
            <w:r>
              <w:rPr>
                <w:rFonts w:ascii="Book Antiqua" w:hAnsi="Book Antiqua" w:cs="Times New Roman"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Induction: Thymoglobulin + Corticosteroids</w:t>
            </w:r>
          </w:p>
        </w:tc>
        <w:tc>
          <w:tcPr>
            <w:tcW w:w="1183" w:type="pct"/>
            <w:tcBorders>
              <w:bottom w:val="single" w:color="000000" w:themeColor="text1" w:sz="4" w:space="0"/>
            </w:tcBorders>
            <w:shd w:val="clear" w:color="auto" w:fill="auto"/>
          </w:tcPr>
          <w:p>
            <w:pPr>
              <w:pStyle w:val="13"/>
              <w:snapToGrid w:val="0"/>
              <w:spacing w:line="360" w:lineRule="auto"/>
              <w:jc w:val="both"/>
              <w:rPr>
                <w:rFonts w:ascii="Book Antiqua" w:hAnsi="Book Antiqua"/>
                <w:color w:val="000000" w:themeColor="text1"/>
                <w:u w:color="1A1A1A"/>
                <w14:textFill>
                  <w14:solidFill>
                    <w14:schemeClr w14:val="tx1"/>
                  </w14:solidFill>
                </w14:textFill>
              </w:rPr>
            </w:pPr>
            <w:r>
              <w:rPr>
                <w:rFonts w:ascii="Book Antiqua" w:hAnsi="Book Antiqua" w:cs="Times New Roman"/>
                <w:color w:val="000000" w:themeColor="text1"/>
                <w:u w:color="1A1A1A"/>
                <w14:textFill>
                  <w14:solidFill>
                    <w14:schemeClr w14:val="tx1"/>
                  </w14:solidFill>
                </w14:textFill>
              </w:rPr>
              <w:t xml:space="preserve">Belatacept 10 mg/kg on day </w:t>
            </w:r>
            <w:r>
              <w:rPr>
                <w:rFonts w:ascii="Book Antiqua" w:hAnsi="Book Antiqua"/>
                <w:color w:val="000000" w:themeColor="text1"/>
                <w:u w:color="1A1A1A"/>
                <w14:textFill>
                  <w14:solidFill>
                    <w14:schemeClr w14:val="tx1"/>
                  </w14:solidFill>
                </w14:textFill>
              </w:rPr>
              <w:t xml:space="preserve">1 (24 h of transplant) and then on days 5, 14, 28, 56, and 84. </w:t>
            </w:r>
            <w:r>
              <w:rPr>
                <w:rFonts w:ascii="Book Antiqua" w:hAnsi="Book Antiqua" w:cs="Times New Roman"/>
                <w:color w:val="000000" w:themeColor="text1"/>
                <w:u w:color="1A1A1A"/>
                <w14:textFill>
                  <w14:solidFill>
                    <w14:schemeClr w14:val="tx1"/>
                  </w14:solidFill>
                </w14:textFill>
              </w:rPr>
              <w:t>Tac started on day 0/1;</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Target concentration</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8 to 12 ng/mL (day 1-84) and then decreased by 1/3 at day 84 and by 1/3 at week 16. If trough levels were less than or equal to 3 ng/mL at week 20 then all tac was stopped. Otherwise, the dose was reduced by 1/2 and stopped at week 24.</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MMF: 1 mg twice daily;</w:t>
            </w:r>
            <w:r>
              <w:rPr>
                <w:rFonts w:ascii="Book Antiqua" w:hAnsi="Book Antiqua" w:eastAsiaTheme="minorEastAsia"/>
                <w:color w:val="000000" w:themeColor="text1"/>
                <w:u w:color="1A1A1A"/>
                <w:lang w:eastAsia="zh-CN"/>
                <w14:textFill>
                  <w14:solidFill>
                    <w14:schemeClr w14:val="tx1"/>
                  </w14:solidFill>
                </w14:textFill>
              </w:rPr>
              <w:t xml:space="preserve"> </w:t>
            </w:r>
            <w:r>
              <w:rPr>
                <w:rFonts w:ascii="Book Antiqua" w:hAnsi="Book Antiqua" w:cs="Times New Roman"/>
                <w:color w:val="000000" w:themeColor="text1"/>
                <w:u w:color="1A1A1A"/>
                <w14:textFill>
                  <w14:solidFill>
                    <w14:schemeClr w14:val="tx1"/>
                  </w14:solidFill>
                </w14:textFill>
              </w:rPr>
              <w:t>Induction: Basiliximab + Corticosteroids + Tac</w:t>
            </w:r>
          </w:p>
        </w:tc>
      </w:tr>
    </w:tbl>
    <w:p>
      <w:pPr>
        <w:pStyle w:val="13"/>
        <w:snapToGrid w:val="0"/>
        <w:spacing w:line="360" w:lineRule="auto"/>
        <w:jc w:val="both"/>
        <w:rPr>
          <w:rFonts w:ascii="Book Antiqua" w:hAnsi="Book Antiqua" w:eastAsia="Times New Roman" w:cs="Times New Roman"/>
          <w:bCs/>
          <w:color w:val="000000" w:themeColor="text1"/>
          <w14:textFill>
            <w14:solidFill>
              <w14:schemeClr w14:val="tx1"/>
            </w14:solidFill>
          </w14:textFill>
        </w:rPr>
      </w:pPr>
      <w:r>
        <w:rPr>
          <w:rFonts w:ascii="Book Antiqua" w:hAnsi="Book Antiqua" w:eastAsia="Times New Roman" w:cs="Times New Roman"/>
          <w:bCs/>
          <w:color w:val="000000" w:themeColor="text1"/>
          <w14:textFill>
            <w14:solidFill>
              <w14:schemeClr w14:val="tx1"/>
            </w14:solidFill>
          </w14:textFill>
        </w:rPr>
        <w:t>MMF: Mycofenolate mofetil; NA: Not applicable; SRL: Sirolimus; Tac: Tacrolimus.</w:t>
      </w:r>
    </w:p>
    <w:p>
      <w:pPr>
        <w:snapToGrid w:val="0"/>
        <w:spacing w:line="360" w:lineRule="auto"/>
        <w:jc w:val="both"/>
        <w:rPr>
          <w:rFonts w:ascii="Book Antiqua" w:hAnsi="Book Antiqua"/>
          <w:b/>
        </w:rPr>
      </w:pPr>
      <w:r>
        <w:rPr>
          <w:rFonts w:ascii="Book Antiqua" w:hAnsi="Book Antiqua"/>
          <w:b/>
        </w:rPr>
        <w:br w:type="page"/>
      </w:r>
      <w:r>
        <w:rPr>
          <w:rFonts w:ascii="Book Antiqua" w:hAnsi="Book Antiqua"/>
          <w:b/>
        </w:rPr>
        <w:t>Table 3 Summary of outcomes in clinical trials</w:t>
      </w:r>
    </w:p>
    <w:tbl>
      <w:tblPr>
        <w:tblStyle w:val="7"/>
        <w:tblW w:w="13042" w:type="dxa"/>
        <w:tblInd w:w="-62"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60"/>
        <w:gridCol w:w="2693"/>
        <w:gridCol w:w="2268"/>
        <w:gridCol w:w="3544"/>
        <w:gridCol w:w="2977"/>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1560" w:type="dxa"/>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auto"/>
              </w:rPr>
            </w:pPr>
            <w:r>
              <w:rPr>
                <w:rFonts w:ascii="Book Antiqua" w:hAnsi="Book Antiqua" w:cs="Times New Roman"/>
                <w:b/>
                <w:bCs/>
                <w:color w:val="auto"/>
                <w:u w:color="FFFFFF"/>
              </w:rPr>
              <w:t>Ref.</w:t>
            </w:r>
          </w:p>
        </w:tc>
        <w:tc>
          <w:tcPr>
            <w:tcW w:w="2693" w:type="dxa"/>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eastAsia="Times New Roman" w:cs="Times New Roman"/>
                <w:color w:val="auto"/>
                <w:u w:color="FFFFFF"/>
              </w:rPr>
            </w:pPr>
            <w:r>
              <w:rPr>
                <w:rFonts w:ascii="Book Antiqua" w:hAnsi="Book Antiqua" w:cs="Times New Roman"/>
                <w:b/>
                <w:bCs/>
                <w:color w:val="auto"/>
                <w:u w:color="FFFFFF"/>
              </w:rPr>
              <w:t xml:space="preserve">Renal function (Gp 1 </w:t>
            </w:r>
            <w:r>
              <w:rPr>
                <w:rFonts w:ascii="Book Antiqua" w:hAnsi="Book Antiqua" w:cs="Times New Roman"/>
                <w:b/>
                <w:bCs/>
                <w:i/>
                <w:color w:val="auto"/>
                <w:u w:color="FFFFFF"/>
              </w:rPr>
              <w:t>vs</w:t>
            </w:r>
            <w:r>
              <w:rPr>
                <w:rFonts w:ascii="Book Antiqua" w:hAnsi="Book Antiqua" w:cs="Times New Roman"/>
                <w:b/>
                <w:bCs/>
                <w:color w:val="auto"/>
                <w:u w:color="FFFFFF"/>
              </w:rPr>
              <w:t xml:space="preserve"> Gp 2)</w:t>
            </w:r>
          </w:p>
        </w:tc>
        <w:tc>
          <w:tcPr>
            <w:tcW w:w="2268" w:type="dxa"/>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eastAsia="Times New Roman" w:cs="Times New Roman"/>
                <w:color w:val="auto"/>
                <w:u w:color="FFFFFF"/>
              </w:rPr>
            </w:pPr>
            <w:r>
              <w:rPr>
                <w:rFonts w:ascii="Book Antiqua" w:hAnsi="Book Antiqua" w:cs="Times New Roman"/>
                <w:b/>
                <w:bCs/>
                <w:color w:val="auto"/>
                <w:u w:color="FFFFFF"/>
              </w:rPr>
              <w:t xml:space="preserve">BPAR (Gp 1 </w:t>
            </w:r>
            <w:r>
              <w:rPr>
                <w:rFonts w:ascii="Book Antiqua" w:hAnsi="Book Antiqua" w:cs="Times New Roman"/>
                <w:b/>
                <w:bCs/>
                <w:i/>
                <w:color w:val="auto"/>
                <w:u w:color="FFFFFF"/>
              </w:rPr>
              <w:t>vs</w:t>
            </w:r>
            <w:r>
              <w:rPr>
                <w:rFonts w:ascii="Book Antiqua" w:hAnsi="Book Antiqua" w:cs="Times New Roman"/>
                <w:b/>
                <w:bCs/>
                <w:color w:val="auto"/>
                <w:u w:color="FFFFFF"/>
              </w:rPr>
              <w:t xml:space="preserve"> Gp 2)</w:t>
            </w:r>
          </w:p>
        </w:tc>
        <w:tc>
          <w:tcPr>
            <w:tcW w:w="3544" w:type="dxa"/>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b/>
                <w:bCs/>
                <w:color w:val="auto"/>
                <w:u w:color="FFFFFF"/>
              </w:rPr>
            </w:pPr>
            <w:r>
              <w:rPr>
                <w:rFonts w:ascii="Book Antiqua" w:hAnsi="Book Antiqua" w:cs="Times New Roman"/>
                <w:b/>
                <w:bCs/>
                <w:color w:val="auto"/>
                <w:u w:color="FFFFFF"/>
              </w:rPr>
              <w:t xml:space="preserve">Adverse event (Gp1 or </w:t>
            </w:r>
            <w:r>
              <w:rPr>
                <w:rFonts w:ascii="Book Antiqua" w:hAnsi="Book Antiqua" w:cs="Times New Roman"/>
                <w:b/>
                <w:bCs/>
                <w:i/>
                <w:color w:val="auto"/>
                <w:u w:color="FFFFFF"/>
              </w:rPr>
              <w:t>vs</w:t>
            </w:r>
            <w:r>
              <w:rPr>
                <w:rFonts w:ascii="Book Antiqua" w:hAnsi="Book Antiqua" w:cs="Times New Roman"/>
                <w:b/>
                <w:bCs/>
                <w:color w:val="auto"/>
                <w:u w:color="FFFFFF"/>
              </w:rPr>
              <w:t xml:space="preserve"> Gp 2)</w:t>
            </w:r>
          </w:p>
        </w:tc>
        <w:tc>
          <w:tcPr>
            <w:tcW w:w="2977" w:type="dxa"/>
            <w:tcBorders>
              <w:top w:val="single" w:color="000000" w:themeColor="text1" w:sz="4" w:space="0"/>
              <w:bottom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color w:val="auto"/>
              </w:rPr>
            </w:pPr>
            <w:r>
              <w:rPr>
                <w:rFonts w:ascii="Book Antiqua" w:hAnsi="Book Antiqua" w:cs="Times New Roman"/>
                <w:b/>
                <w:bCs/>
                <w:color w:val="auto"/>
                <w:u w:color="FFFFFF"/>
              </w:rPr>
              <w:t>Remarks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1560" w:type="dxa"/>
            <w:tcBorders>
              <w:top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rPr>
            </w:pPr>
            <w:r>
              <w:rPr>
                <w:rFonts w:ascii="Book Antiqua" w:hAnsi="Book Antiqua" w:cs="Times New Roman"/>
                <w:color w:val="000000" w:themeColor="text1"/>
                <w14:textFill>
                  <w14:solidFill>
                    <w14:schemeClr w14:val="tx1"/>
                  </w14:solidFill>
                </w14:textFill>
              </w:rPr>
              <w:t xml:space="preserve">Ferguson </w:t>
            </w:r>
            <w:r>
              <w:rPr>
                <w:rFonts w:ascii="Book Antiqua" w:hAnsi="Book Antiqua" w:cs="Times New Roman"/>
                <w:i/>
                <w:color w:val="000000" w:themeColor="text1"/>
                <w14:textFill>
                  <w14:solidFill>
                    <w14:schemeClr w14:val="tx1"/>
                  </w14:solidFill>
                </w14:textFill>
              </w:rPr>
              <w:t>et al</w:t>
            </w:r>
            <w:r>
              <w:rPr>
                <w:rFonts w:ascii="Book Antiqua" w:hAnsi="Book Antiqua" w:cs="Times New Roman"/>
                <w:color w:val="000000" w:themeColor="text1"/>
                <w:vertAlign w:val="superscript"/>
                <w14:textFill>
                  <w14:solidFill>
                    <w14:schemeClr w14:val="tx1"/>
                  </w14:solidFill>
                </w14:textFill>
              </w:rPr>
              <w:t>[33]</w:t>
            </w:r>
            <w:r>
              <w:rPr>
                <w:rFonts w:ascii="Book Antiqua" w:hAnsi="Book Antiqua" w:cs="Times New Roman"/>
                <w:color w:val="000000" w:themeColor="text1"/>
                <w14:textFill>
                  <w14:solidFill>
                    <w14:schemeClr w14:val="tx1"/>
                  </w14:solidFill>
                </w14:textFill>
              </w:rPr>
              <w:t>, 2011</w:t>
            </w:r>
          </w:p>
        </w:tc>
        <w:tc>
          <w:tcPr>
            <w:tcW w:w="2693" w:type="dxa"/>
            <w:tcBorders>
              <w:top w:val="single" w:color="000000" w:themeColor="text1" w:sz="4" w:space="0"/>
            </w:tcBorders>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12 mo;</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Sr. Cr: NA;</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eGFR: 63.6 ± 27.27 </w:t>
            </w:r>
            <w:r>
              <w:rPr>
                <w:rFonts w:ascii="Book Antiqua" w:hAnsi="Book Antiqua" w:cs="Times New Roman"/>
                <w:i/>
                <w:color w:val="1A1A1A"/>
                <w:u w:color="1A1A1A"/>
              </w:rPr>
              <w:t>vs</w:t>
            </w:r>
            <w:r>
              <w:rPr>
                <w:rFonts w:ascii="Book Antiqua" w:hAnsi="Book Antiqua" w:cs="Times New Roman"/>
                <w:color w:val="1A1A1A"/>
                <w:u w:color="1A1A1A"/>
              </w:rPr>
              <w:t xml:space="preserve"> 54.0 ± 14.95 mL/min;</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w:t>
            </w:r>
            <w:r>
              <w:rPr>
                <w:rFonts w:ascii="Book Antiqua" w:hAnsi="Book Antiqua" w:cs="Times New Roman"/>
                <w:i/>
                <w:color w:val="1A1A1A"/>
                <w:u w:color="1A1A1A"/>
              </w:rPr>
              <w:t>P</w:t>
            </w:r>
            <w:r>
              <w:rPr>
                <w:rFonts w:ascii="Book Antiqua" w:hAnsi="Book Antiqua" w:cs="Times New Roman"/>
                <w:color w:val="1A1A1A"/>
                <w:u w:color="1A1A1A"/>
              </w:rPr>
              <w:t xml:space="preserve"> = 0.14)</w:t>
            </w:r>
          </w:p>
        </w:tc>
        <w:tc>
          <w:tcPr>
            <w:tcW w:w="2268" w:type="dxa"/>
            <w:tcBorders>
              <w:top w:val="single" w:color="000000" w:themeColor="text1" w:sz="4" w:space="0"/>
            </w:tcBorders>
            <w:shd w:val="clear" w:color="auto" w:fill="auto"/>
            <w:tcMar>
              <w:top w:w="80" w:type="dxa"/>
              <w:left w:w="80" w:type="dxa"/>
              <w:bottom w:w="80" w:type="dxa"/>
              <w:right w:w="80" w:type="dxa"/>
            </w:tcMar>
          </w:tcPr>
          <w:p>
            <w:pPr>
              <w:pStyle w:val="13"/>
              <w:snapToGrid w:val="0"/>
              <w:spacing w:line="360" w:lineRule="auto"/>
              <w:jc w:val="both"/>
              <w:rPr>
                <w:rFonts w:ascii="Book Antiqua" w:hAnsi="Book Antiqua" w:eastAsia="Times New Roman" w:cs="Times New Roman"/>
              </w:rPr>
            </w:pPr>
            <w:r>
              <w:rPr>
                <w:rFonts w:ascii="Book Antiqua" w:hAnsi="Book Antiqua" w:cs="Times New Roman"/>
              </w:rPr>
              <w:t xml:space="preserve">15.2% (5/33) </w:t>
            </w:r>
            <w:r>
              <w:rPr>
                <w:rFonts w:ascii="Book Antiqua" w:hAnsi="Book Antiqua" w:cs="Times New Roman"/>
                <w:i/>
              </w:rPr>
              <w:t>vs</w:t>
            </w:r>
            <w:r>
              <w:rPr>
                <w:rFonts w:ascii="Book Antiqua" w:hAnsi="Book Antiqua" w:cs="Times New Roman"/>
              </w:rPr>
              <w:t xml:space="preserve"> 3.3% (1/30)</w:t>
            </w:r>
            <w:r>
              <w:rPr>
                <w:rFonts w:ascii="Book Antiqua" w:hAnsi="Book Antiqua" w:cs="Times New Roman" w:eastAsiaTheme="minorEastAsia"/>
                <w:lang w:eastAsia="zh-CN"/>
              </w:rPr>
              <w:t xml:space="preserve"> </w:t>
            </w:r>
            <w:r>
              <w:rPr>
                <w:rFonts w:ascii="Book Antiqua" w:hAnsi="Book Antiqua" w:cs="Times New Roman"/>
              </w:rPr>
              <w:t>(</w:t>
            </w:r>
            <w:r>
              <w:rPr>
                <w:rFonts w:ascii="Book Antiqua" w:hAnsi="Book Antiqua" w:cs="Times New Roman"/>
                <w:i/>
                <w:color w:val="1A1A1A"/>
                <w:u w:color="1A1A1A"/>
              </w:rPr>
              <w:t>P</w:t>
            </w:r>
            <w:r>
              <w:rPr>
                <w:rFonts w:ascii="Book Antiqua" w:hAnsi="Book Antiqua" w:cs="Times New Roman"/>
              </w:rPr>
              <w:t xml:space="preserve"> = 0.24)</w:t>
            </w:r>
          </w:p>
        </w:tc>
        <w:tc>
          <w:tcPr>
            <w:tcW w:w="3544" w:type="dxa"/>
            <w:tcBorders>
              <w:top w:val="single" w:color="000000" w:themeColor="text1" w:sz="4" w:space="0"/>
            </w:tcBorders>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 xml:space="preserve">SAE/Infection: 57.5% (19/33) </w:t>
            </w:r>
            <w:r>
              <w:rPr>
                <w:rFonts w:ascii="Book Antiqua" w:hAnsi="Book Antiqua" w:cs="Times New Roman"/>
                <w:i/>
                <w:color w:val="1A1A1A"/>
                <w:u w:color="1A1A1A"/>
              </w:rPr>
              <w:t>vs</w:t>
            </w:r>
            <w:r>
              <w:rPr>
                <w:rFonts w:ascii="Book Antiqua" w:hAnsi="Book Antiqua" w:cs="Times New Roman"/>
                <w:color w:val="1A1A1A"/>
                <w:u w:color="1A1A1A"/>
              </w:rPr>
              <w:t xml:space="preserve"> 53.3% (16/30);</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w:t>
            </w:r>
            <w:r>
              <w:rPr>
                <w:rFonts w:ascii="Book Antiqua" w:hAnsi="Book Antiqua" w:cs="Times New Roman"/>
                <w:i/>
                <w:color w:val="1A1A1A"/>
                <w:u w:color="1A1A1A"/>
              </w:rPr>
              <w:t>P</w:t>
            </w:r>
            <w:r>
              <w:rPr>
                <w:rFonts w:ascii="Book Antiqua" w:hAnsi="Book Antiqua" w:cs="Times New Roman"/>
                <w:color w:val="1A1A1A"/>
                <w:u w:color="1A1A1A"/>
              </w:rPr>
              <w:t xml:space="preserve"> = 0.007);</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CMV infection: 3.0% (1/33) </w:t>
            </w:r>
            <w:r>
              <w:rPr>
                <w:rFonts w:ascii="Book Antiqua" w:hAnsi="Book Antiqua" w:cs="Times New Roman"/>
                <w:i/>
                <w:color w:val="1A1A1A"/>
                <w:u w:color="1A1A1A"/>
              </w:rPr>
              <w:t>vs</w:t>
            </w:r>
            <w:r>
              <w:rPr>
                <w:rFonts w:ascii="Book Antiqua" w:hAnsi="Book Antiqua" w:cs="Times New Roman"/>
                <w:color w:val="1A1A1A"/>
                <w:u w:color="1A1A1A"/>
              </w:rPr>
              <w:t xml:space="preserve"> 3.3% (1/30) (</w:t>
            </w:r>
            <w:r>
              <w:rPr>
                <w:rFonts w:ascii="Book Antiqua" w:hAnsi="Book Antiqua" w:cs="Times New Roman"/>
                <w:i/>
                <w:color w:val="1A1A1A"/>
                <w:u w:color="1A1A1A"/>
              </w:rPr>
              <w:t>P</w:t>
            </w:r>
            <w:r>
              <w:rPr>
                <w:rFonts w:ascii="Book Antiqua" w:hAnsi="Book Antiqua" w:cs="Times New Roman"/>
                <w:color w:val="1A1A1A"/>
                <w:u w:color="1A1A1A"/>
              </w:rPr>
              <w:t xml:space="preserve"> = 0.96);</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BK infection: 6.0% (2/33) </w:t>
            </w:r>
            <w:r>
              <w:rPr>
                <w:rFonts w:ascii="Book Antiqua" w:hAnsi="Book Antiqua" w:cs="Times New Roman"/>
                <w:i/>
                <w:color w:val="1A1A1A"/>
                <w:u w:color="1A1A1A"/>
              </w:rPr>
              <w:t>vs</w:t>
            </w:r>
            <w:r>
              <w:rPr>
                <w:rFonts w:ascii="Book Antiqua" w:hAnsi="Book Antiqua" w:cs="Times New Roman"/>
                <w:color w:val="1A1A1A"/>
                <w:u w:color="1A1A1A"/>
              </w:rPr>
              <w:t xml:space="preserve"> 3.3% (1/30) (</w:t>
            </w:r>
            <w:r>
              <w:rPr>
                <w:rFonts w:ascii="Book Antiqua" w:hAnsi="Book Antiqua" w:cs="Times New Roman"/>
                <w:i/>
                <w:color w:val="1A1A1A"/>
                <w:u w:color="1A1A1A"/>
              </w:rPr>
              <w:t>P</w:t>
            </w:r>
            <w:r>
              <w:rPr>
                <w:rFonts w:ascii="Book Antiqua" w:hAnsi="Book Antiqua" w:cs="Times New Roman"/>
                <w:color w:val="1A1A1A"/>
                <w:u w:color="1A1A1A"/>
              </w:rPr>
              <w:t xml:space="preserve"> = 0.59);</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NODAT: 0% (0/33) </w:t>
            </w:r>
            <w:r>
              <w:rPr>
                <w:rFonts w:ascii="Book Antiqua" w:hAnsi="Book Antiqua" w:cs="Times New Roman"/>
                <w:i/>
                <w:color w:val="1A1A1A"/>
                <w:u w:color="1A1A1A"/>
              </w:rPr>
              <w:t>vs</w:t>
            </w:r>
            <w:r>
              <w:rPr>
                <w:rFonts w:ascii="Book Antiqua" w:hAnsi="Book Antiqua" w:cs="Times New Roman"/>
                <w:color w:val="1A1A1A"/>
                <w:u w:color="1A1A1A"/>
              </w:rPr>
              <w:t xml:space="preserve"> 3.3% (1/30) (</w:t>
            </w:r>
            <w:r>
              <w:rPr>
                <w:rFonts w:ascii="Book Antiqua" w:hAnsi="Book Antiqua" w:cs="Times New Roman"/>
                <w:i/>
                <w:color w:val="1A1A1A"/>
                <w:u w:color="1A1A1A"/>
              </w:rPr>
              <w:t>P</w:t>
            </w:r>
            <w:r>
              <w:rPr>
                <w:rFonts w:ascii="Book Antiqua" w:hAnsi="Book Antiqua" w:cs="Times New Roman"/>
                <w:color w:val="1A1A1A"/>
                <w:u w:color="1A1A1A"/>
              </w:rPr>
              <w:t xml:space="preserve"> = 0.47)</w:t>
            </w:r>
          </w:p>
        </w:tc>
        <w:tc>
          <w:tcPr>
            <w:tcW w:w="2977" w:type="dxa"/>
            <w:tcBorders>
              <w:top w:val="single" w:color="000000" w:themeColor="text1" w:sz="4" w:space="0"/>
            </w:tcBorders>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eastAsia="Times New Roman" w:cs="Times New Roman"/>
                <w:color w:val="1A1A1A"/>
                <w:u w:color="1A1A1A"/>
              </w:rPr>
            </w:pPr>
            <w:r>
              <w:rPr>
                <w:rFonts w:ascii="Book Antiqua" w:hAnsi="Book Antiqua" w:cs="Times New Roman"/>
                <w:color w:val="1A1A1A"/>
                <w:u w:color="1A1A1A"/>
              </w:rPr>
              <w:t xml:space="preserve">Graft survival: 93.93% (31/33) </w:t>
            </w:r>
            <w:r>
              <w:rPr>
                <w:rFonts w:ascii="Book Antiqua" w:hAnsi="Book Antiqua" w:cs="Times New Roman"/>
                <w:i/>
                <w:color w:val="1A1A1A"/>
                <w:u w:color="1A1A1A"/>
              </w:rPr>
              <w:t>vs</w:t>
            </w:r>
            <w:r>
              <w:rPr>
                <w:rFonts w:ascii="Book Antiqua" w:hAnsi="Book Antiqua" w:cs="Times New Roman"/>
                <w:color w:val="1A1A1A"/>
                <w:u w:color="1A1A1A"/>
              </w:rPr>
              <w:t xml:space="preserve"> 100% (30/30) (</w:t>
            </w:r>
            <w:r>
              <w:rPr>
                <w:rFonts w:ascii="Book Antiqua" w:hAnsi="Book Antiqua" w:cs="Times New Roman"/>
                <w:i/>
                <w:color w:val="1A1A1A"/>
                <w:u w:color="1A1A1A"/>
              </w:rPr>
              <w:t>P</w:t>
            </w:r>
            <w:r>
              <w:rPr>
                <w:rFonts w:ascii="Book Antiqua" w:hAnsi="Book Antiqua" w:cs="Times New Roman"/>
                <w:color w:val="1A1A1A"/>
                <w:u w:color="1A1A1A"/>
              </w:rPr>
              <w:t xml:space="preserve"> = 0.51);</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Patient survival 93.93% (31/33) </w:t>
            </w:r>
            <w:r>
              <w:rPr>
                <w:rFonts w:ascii="Book Antiqua" w:hAnsi="Book Antiqua" w:cs="Times New Roman"/>
                <w:i/>
                <w:color w:val="1A1A1A"/>
                <w:u w:color="1A1A1A"/>
              </w:rPr>
              <w:t>vs</w:t>
            </w:r>
            <w:r>
              <w:rPr>
                <w:rFonts w:ascii="Book Antiqua" w:hAnsi="Book Antiqua" w:cs="Times New Roman"/>
                <w:color w:val="1A1A1A"/>
                <w:u w:color="1A1A1A"/>
              </w:rPr>
              <w:t xml:space="preserve"> 100% (30/30) (</w:t>
            </w:r>
            <w:r>
              <w:rPr>
                <w:rFonts w:ascii="Book Antiqua" w:hAnsi="Book Antiqua" w:cs="Times New Roman"/>
                <w:i/>
                <w:color w:val="1A1A1A"/>
                <w:u w:color="1A1A1A"/>
              </w:rPr>
              <w:t>P</w:t>
            </w:r>
            <w:r>
              <w:rPr>
                <w:rFonts w:ascii="Book Antiqua" w:hAnsi="Book Antiqua" w:cs="Times New Roman"/>
                <w:color w:val="1A1A1A"/>
                <w:u w:color="1A1A1A"/>
              </w:rPr>
              <w:t xml:space="preserve"> = 0.51)</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2" w:hRule="atLeast"/>
        </w:trPr>
        <w:tc>
          <w:tcPr>
            <w:tcW w:w="1560" w:type="dxa"/>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rPr>
            </w:pPr>
            <w:r>
              <w:rPr>
                <w:rFonts w:ascii="Book Antiqua" w:hAnsi="Book Antiqua"/>
                <w:color w:val="000000" w:themeColor="text1"/>
                <w14:textFill>
                  <w14:solidFill>
                    <w14:schemeClr w14:val="tx1"/>
                  </w14:solidFill>
                </w14:textFill>
              </w:rPr>
              <w:t xml:space="preserve">de Graav </w:t>
            </w:r>
            <w:r>
              <w:rPr>
                <w:rFonts w:ascii="Book Antiqua" w:hAnsi="Book Antiqua"/>
                <w:i/>
                <w:color w:val="000000" w:themeColor="text1"/>
                <w14:textFill>
                  <w14:solidFill>
                    <w14:schemeClr w14:val="tx1"/>
                  </w14:solidFill>
                </w14:textFill>
              </w:rPr>
              <w:t>et al</w:t>
            </w:r>
            <w:r>
              <w:rPr>
                <w:rFonts w:ascii="Book Antiqua" w:hAnsi="Book Antiqua"/>
                <w:color w:val="000000" w:themeColor="text1"/>
                <w:vertAlign w:val="superscript"/>
                <w14:textFill>
                  <w14:solidFill>
                    <w14:schemeClr w14:val="tx1"/>
                  </w14:solidFill>
                </w14:textFill>
              </w:rPr>
              <w:t>[34]</w:t>
            </w:r>
            <w:r>
              <w:rPr>
                <w:rFonts w:ascii="Book Antiqua" w:hAnsi="Book Antiqua"/>
                <w:color w:val="000000" w:themeColor="text1"/>
                <w14:textFill>
                  <w14:solidFill>
                    <w14:schemeClr w14:val="tx1"/>
                  </w14:solidFill>
                </w14:textFill>
              </w:rPr>
              <w:t>, 2017</w:t>
            </w:r>
          </w:p>
        </w:tc>
        <w:tc>
          <w:tcPr>
            <w:tcW w:w="2693" w:type="dxa"/>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12 mo;</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Sr. Cr: 133.5 ± 39.26 </w:t>
            </w:r>
            <w:r>
              <w:rPr>
                <w:rFonts w:ascii="Book Antiqua" w:hAnsi="Book Antiqua" w:cs="Times New Roman"/>
                <w:i/>
                <w:color w:val="1A1A1A"/>
                <w:u w:color="1A1A1A"/>
              </w:rPr>
              <w:t>vs</w:t>
            </w:r>
            <w:r>
              <w:rPr>
                <w:rFonts w:ascii="Book Antiqua" w:hAnsi="Book Antiqua" w:cs="Times New Roman"/>
                <w:color w:val="1A1A1A"/>
                <w:u w:color="1A1A1A"/>
              </w:rPr>
              <w:t xml:space="preserve"> 127.5 ± 28.87 μmol/L (</w:t>
            </w:r>
            <w:r>
              <w:rPr>
                <w:rFonts w:ascii="Book Antiqua" w:hAnsi="Book Antiqua" w:cs="Times New Roman"/>
                <w:i/>
                <w:color w:val="1A1A1A"/>
                <w:u w:color="1A1A1A"/>
              </w:rPr>
              <w:t>P</w:t>
            </w:r>
            <w:r>
              <w:rPr>
                <w:rFonts w:ascii="Book Antiqua" w:hAnsi="Book Antiqua" w:cs="Times New Roman"/>
                <w:color w:val="1A1A1A"/>
                <w:u w:color="1A1A1A"/>
              </w:rPr>
              <w:t xml:space="preserve"> = 0.80);</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eGFR: 56.25 ± 17.61 </w:t>
            </w:r>
            <w:r>
              <w:rPr>
                <w:rFonts w:ascii="Book Antiqua" w:hAnsi="Book Antiqua" w:cs="Times New Roman"/>
                <w:i/>
                <w:color w:val="1A1A1A"/>
                <w:u w:color="1A1A1A"/>
              </w:rPr>
              <w:t>vs</w:t>
            </w:r>
            <w:r>
              <w:rPr>
                <w:rFonts w:ascii="Book Antiqua" w:hAnsi="Book Antiqua" w:cs="Times New Roman"/>
                <w:color w:val="1A1A1A"/>
                <w:u w:color="1A1A1A"/>
              </w:rPr>
              <w:t xml:space="preserve"> 54.25 ± 14.73 mL/min</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w:t>
            </w:r>
            <w:r>
              <w:rPr>
                <w:rFonts w:ascii="Book Antiqua" w:hAnsi="Book Antiqua" w:cs="Times New Roman"/>
                <w:i/>
                <w:color w:val="1A1A1A"/>
                <w:u w:color="1A1A1A"/>
              </w:rPr>
              <w:t>P</w:t>
            </w:r>
            <w:r>
              <w:rPr>
                <w:rFonts w:ascii="Book Antiqua" w:hAnsi="Book Antiqua" w:cs="Times New Roman"/>
                <w:color w:val="1A1A1A"/>
                <w:u w:color="1A1A1A"/>
              </w:rPr>
              <w:t xml:space="preserve"> = 0.57)</w:t>
            </w:r>
          </w:p>
        </w:tc>
        <w:tc>
          <w:tcPr>
            <w:tcW w:w="2268" w:type="dxa"/>
            <w:shd w:val="clear" w:color="auto" w:fill="auto"/>
            <w:tcMar>
              <w:top w:w="80" w:type="dxa"/>
              <w:left w:w="80" w:type="dxa"/>
              <w:bottom w:w="80" w:type="dxa"/>
              <w:right w:w="80" w:type="dxa"/>
            </w:tcMar>
          </w:tcPr>
          <w:p>
            <w:pPr>
              <w:pStyle w:val="13"/>
              <w:snapToGrid w:val="0"/>
              <w:spacing w:line="360" w:lineRule="auto"/>
              <w:jc w:val="both"/>
              <w:rPr>
                <w:rFonts w:ascii="Book Antiqua" w:hAnsi="Book Antiqua" w:eastAsia="Times New Roman" w:cs="Times New Roman"/>
              </w:rPr>
            </w:pPr>
            <w:r>
              <w:rPr>
                <w:rFonts w:ascii="Book Antiqua" w:hAnsi="Book Antiqua" w:cs="Times New Roman"/>
              </w:rPr>
              <w:t xml:space="preserve">55% (11/20) </w:t>
            </w:r>
            <w:r>
              <w:rPr>
                <w:rFonts w:ascii="Book Antiqua" w:hAnsi="Book Antiqua" w:cs="Times New Roman"/>
                <w:i/>
              </w:rPr>
              <w:t>vs</w:t>
            </w:r>
            <w:r>
              <w:rPr>
                <w:rFonts w:ascii="Book Antiqua" w:hAnsi="Book Antiqua" w:cs="Times New Roman"/>
              </w:rPr>
              <w:t xml:space="preserve"> 10% (2/20)</w:t>
            </w:r>
            <w:r>
              <w:rPr>
                <w:rFonts w:ascii="Book Antiqua" w:hAnsi="Book Antiqua" w:cs="Times New Roman" w:eastAsiaTheme="minorEastAsia"/>
                <w:lang w:eastAsia="zh-CN"/>
              </w:rPr>
              <w:t xml:space="preserve"> </w:t>
            </w:r>
            <w:r>
              <w:rPr>
                <w:rFonts w:ascii="Book Antiqua" w:hAnsi="Book Antiqua" w:cs="Times New Roman"/>
              </w:rPr>
              <w:t>(</w:t>
            </w:r>
            <w:r>
              <w:rPr>
                <w:rFonts w:ascii="Book Antiqua" w:hAnsi="Book Antiqua" w:cs="Times New Roman"/>
                <w:i/>
                <w:color w:val="1A1A1A"/>
                <w:u w:color="1A1A1A"/>
              </w:rPr>
              <w:t>P</w:t>
            </w:r>
            <w:r>
              <w:rPr>
                <w:rFonts w:ascii="Book Antiqua" w:hAnsi="Book Antiqua" w:cs="Times New Roman"/>
              </w:rPr>
              <w:t xml:space="preserve"> = 0.006)</w:t>
            </w:r>
          </w:p>
        </w:tc>
        <w:tc>
          <w:tcPr>
            <w:tcW w:w="3544" w:type="dxa"/>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eastAsia="Times New Roman" w:cs="Times New Roman"/>
                <w:color w:val="1A1A1A"/>
                <w:u w:color="1A1A1A"/>
              </w:rPr>
            </w:pPr>
            <w:r>
              <w:rPr>
                <w:rFonts w:ascii="Book Antiqua" w:hAnsi="Book Antiqua" w:cs="Times New Roman"/>
                <w:color w:val="1A1A1A"/>
                <w:u w:color="1A1A1A"/>
              </w:rPr>
              <w:t xml:space="preserve">SAE/Infection: 10.25 ± 4.18 </w:t>
            </w:r>
            <w:r>
              <w:rPr>
                <w:rFonts w:ascii="Book Antiqua" w:hAnsi="Book Antiqua" w:cs="Times New Roman"/>
                <w:i/>
                <w:color w:val="1A1A1A"/>
                <w:u w:color="1A1A1A"/>
              </w:rPr>
              <w:t>vs</w:t>
            </w:r>
            <w:r>
              <w:rPr>
                <w:rFonts w:ascii="Book Antiqua" w:hAnsi="Book Antiqua" w:cs="Times New Roman"/>
                <w:color w:val="1A1A1A"/>
                <w:u w:color="1A1A1A"/>
              </w:rPr>
              <w:t xml:space="preserve"> 11.90 ± 5.43 </w:t>
            </w:r>
            <w:r>
              <w:rPr>
                <w:rFonts w:ascii="Book Antiqua" w:hAnsi="Book Antiqua" w:cs="Times New Roman"/>
                <w:color w:val="000000" w:themeColor="text1"/>
                <w:u w:color="1A1A1A"/>
                <w14:textFill>
                  <w14:solidFill>
                    <w14:schemeClr w14:val="tx1"/>
                  </w14:solidFill>
                </w14:textFill>
              </w:rPr>
              <w:t>(</w:t>
            </w:r>
            <w:r>
              <w:rPr>
                <w:rFonts w:ascii="Book Antiqua" w:hAnsi="Book Antiqua" w:cs="Times New Roman"/>
                <w:i/>
                <w:color w:val="1A1A1A"/>
                <w:u w:color="1A1A1A"/>
              </w:rPr>
              <w:t>P</w:t>
            </w:r>
            <w:r>
              <w:rPr>
                <w:rFonts w:ascii="Book Antiqua" w:hAnsi="Book Antiqua" w:cs="Times New Roman"/>
                <w:color w:val="000000" w:themeColor="text1"/>
                <w:u w:color="1A1A1A"/>
                <w14:textFill>
                  <w14:solidFill>
                    <w14:schemeClr w14:val="tx1"/>
                  </w14:solidFill>
                </w14:textFill>
              </w:rPr>
              <w:t xml:space="preserve"> = 0.41);</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CMV infection: 10% (2/20) </w:t>
            </w:r>
            <w:r>
              <w:rPr>
                <w:rFonts w:ascii="Book Antiqua" w:hAnsi="Book Antiqua" w:cs="Times New Roman"/>
                <w:i/>
                <w:color w:val="1A1A1A"/>
                <w:u w:color="1A1A1A"/>
              </w:rPr>
              <w:t>vs</w:t>
            </w:r>
            <w:r>
              <w:rPr>
                <w:rFonts w:ascii="Book Antiqua" w:hAnsi="Book Antiqua" w:cs="Times New Roman"/>
                <w:color w:val="1A1A1A"/>
                <w:u w:color="1A1A1A"/>
              </w:rPr>
              <w:t xml:space="preserve"> 5% (1/20) (</w:t>
            </w:r>
            <w:r>
              <w:rPr>
                <w:rFonts w:ascii="Book Antiqua" w:hAnsi="Book Antiqua" w:cs="Times New Roman"/>
                <w:i/>
                <w:color w:val="1A1A1A"/>
                <w:u w:color="1A1A1A"/>
              </w:rPr>
              <w:t>P</w:t>
            </w:r>
            <w:r>
              <w:rPr>
                <w:rFonts w:ascii="Book Antiqua" w:hAnsi="Book Antiqua" w:cs="Times New Roman"/>
                <w:color w:val="1A1A1A"/>
                <w:u w:color="1A1A1A"/>
              </w:rPr>
              <w:t xml:space="preserve"> = 0.96);</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BK infection: 5% (1/20) </w:t>
            </w:r>
            <w:r>
              <w:rPr>
                <w:rFonts w:ascii="Book Antiqua" w:hAnsi="Book Antiqua" w:cs="Times New Roman"/>
                <w:i/>
                <w:color w:val="1A1A1A"/>
                <w:u w:color="1A1A1A"/>
              </w:rPr>
              <w:t>vs</w:t>
            </w:r>
            <w:r>
              <w:rPr>
                <w:rFonts w:ascii="Book Antiqua" w:hAnsi="Book Antiqua" w:cs="Times New Roman"/>
                <w:color w:val="1A1A1A"/>
                <w:u w:color="1A1A1A"/>
              </w:rPr>
              <w:t xml:space="preserve"> 3.3% (2/20) (</w:t>
            </w:r>
            <w:r>
              <w:rPr>
                <w:rFonts w:ascii="Book Antiqua" w:hAnsi="Book Antiqua" w:cs="Times New Roman"/>
                <w:i/>
                <w:color w:val="1A1A1A"/>
                <w:u w:color="1A1A1A"/>
              </w:rPr>
              <w:t>P</w:t>
            </w:r>
            <w:r>
              <w:rPr>
                <w:rFonts w:ascii="Book Antiqua" w:hAnsi="Book Antiqua" w:cs="Times New Roman"/>
                <w:color w:val="1A1A1A"/>
                <w:u w:color="1A1A1A"/>
              </w:rPr>
              <w:t xml:space="preserve"> = 0.54);</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NODAT: 5% (1/20) </w:t>
            </w:r>
            <w:r>
              <w:rPr>
                <w:rFonts w:ascii="Book Antiqua" w:hAnsi="Book Antiqua" w:cs="Times New Roman"/>
                <w:i/>
                <w:color w:val="1A1A1A"/>
                <w:u w:color="1A1A1A"/>
              </w:rPr>
              <w:t>vs</w:t>
            </w:r>
            <w:r>
              <w:rPr>
                <w:rFonts w:ascii="Book Antiqua" w:hAnsi="Book Antiqua" w:cs="Times New Roman"/>
                <w:color w:val="1A1A1A"/>
                <w:u w:color="1A1A1A"/>
              </w:rPr>
              <w:t xml:space="preserve"> 35% (7/20) (</w:t>
            </w:r>
            <w:r>
              <w:rPr>
                <w:rFonts w:ascii="Book Antiqua" w:hAnsi="Book Antiqua" w:cs="Times New Roman"/>
                <w:i/>
                <w:color w:val="1A1A1A"/>
                <w:u w:color="1A1A1A"/>
              </w:rPr>
              <w:t>P</w:t>
            </w:r>
            <w:r>
              <w:rPr>
                <w:rFonts w:ascii="Book Antiqua" w:hAnsi="Book Antiqua" w:cs="Times New Roman"/>
                <w:color w:val="1A1A1A"/>
                <w:u w:color="1A1A1A"/>
              </w:rPr>
              <w:t xml:space="preserve"> = 0.04)</w:t>
            </w:r>
          </w:p>
        </w:tc>
        <w:tc>
          <w:tcPr>
            <w:tcW w:w="2977" w:type="dxa"/>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eastAsia="Times New Roman" w:cs="Times New Roman"/>
                <w:color w:val="1A1A1A"/>
                <w:u w:color="1A1A1A"/>
              </w:rPr>
            </w:pPr>
            <w:r>
              <w:rPr>
                <w:rFonts w:ascii="Book Antiqua" w:hAnsi="Book Antiqua" w:cs="Times New Roman"/>
                <w:color w:val="1A1A1A"/>
                <w:u w:color="1A1A1A"/>
              </w:rPr>
              <w:t xml:space="preserve">Graft survival: 85% (17/20) </w:t>
            </w:r>
            <w:r>
              <w:rPr>
                <w:rFonts w:ascii="Book Antiqua" w:hAnsi="Book Antiqua" w:cs="Times New Roman"/>
                <w:i/>
                <w:color w:val="1A1A1A"/>
                <w:u w:color="1A1A1A"/>
              </w:rPr>
              <w:t>vs</w:t>
            </w:r>
            <w:r>
              <w:rPr>
                <w:rFonts w:ascii="Book Antiqua" w:hAnsi="Book Antiqua" w:cs="Times New Roman"/>
                <w:color w:val="1A1A1A"/>
                <w:u w:color="1A1A1A"/>
              </w:rPr>
              <w:t xml:space="preserve"> 100% (20/20) (</w:t>
            </w:r>
            <w:r>
              <w:rPr>
                <w:rFonts w:ascii="Book Antiqua" w:hAnsi="Book Antiqua" w:cs="Times New Roman"/>
                <w:i/>
                <w:color w:val="1A1A1A"/>
                <w:u w:color="1A1A1A"/>
              </w:rPr>
              <w:t>P</w:t>
            </w:r>
            <w:r>
              <w:rPr>
                <w:rFonts w:ascii="Book Antiqua" w:hAnsi="Book Antiqua" w:cs="Times New Roman"/>
                <w:color w:val="1A1A1A"/>
                <w:u w:color="1A1A1A"/>
              </w:rPr>
              <w:t xml:space="preserve"> = 0.22);</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Patient Survival 100% (20/20) </w:t>
            </w:r>
            <w:r>
              <w:rPr>
                <w:rFonts w:ascii="Book Antiqua" w:hAnsi="Book Antiqua" w:cs="Times New Roman"/>
                <w:i/>
                <w:color w:val="1A1A1A"/>
                <w:u w:color="1A1A1A"/>
              </w:rPr>
              <w:t>vs</w:t>
            </w:r>
            <w:r>
              <w:rPr>
                <w:rFonts w:ascii="Book Antiqua" w:hAnsi="Book Antiqua" w:cs="Times New Roman"/>
                <w:color w:val="1A1A1A"/>
                <w:u w:color="1A1A1A"/>
              </w:rPr>
              <w:t xml:space="preserve"> 95% (19/20) (</w:t>
            </w:r>
            <w:r>
              <w:rPr>
                <w:rFonts w:ascii="Book Antiqua" w:hAnsi="Book Antiqua" w:cs="Times New Roman"/>
                <w:i/>
                <w:color w:val="1A1A1A"/>
                <w:u w:color="1A1A1A"/>
              </w:rPr>
              <w:t>P</w:t>
            </w:r>
            <w:r>
              <w:rPr>
                <w:rFonts w:ascii="Book Antiqua" w:hAnsi="Book Antiqua" w:cs="Times New Roman"/>
                <w:color w:val="1A1A1A"/>
                <w:u w:color="1A1A1A"/>
              </w:rPr>
              <w:t xml:space="preserve"> = 0.31)</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1560" w:type="dxa"/>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rPr>
            </w:pPr>
            <w:r>
              <w:rPr>
                <w:rFonts w:ascii="Book Antiqua" w:hAnsi="Book Antiqua" w:cs="Times New Roman"/>
                <w:color w:val="000000" w:themeColor="text1"/>
                <w14:textFill>
                  <w14:solidFill>
                    <w14:schemeClr w14:val="tx1"/>
                  </w14:solidFill>
                </w14:textFill>
              </w:rPr>
              <w:t xml:space="preserve">Newell </w:t>
            </w:r>
            <w:r>
              <w:rPr>
                <w:rFonts w:ascii="Book Antiqua" w:hAnsi="Book Antiqua" w:cs="Times New Roman"/>
                <w:i/>
                <w:color w:val="000000" w:themeColor="text1"/>
                <w14:textFill>
                  <w14:solidFill>
                    <w14:schemeClr w14:val="tx1"/>
                  </w14:solidFill>
                </w14:textFill>
              </w:rPr>
              <w:t>et al</w:t>
            </w:r>
            <w:r>
              <w:rPr>
                <w:rFonts w:ascii="Book Antiqua" w:hAnsi="Book Antiqua" w:cs="Times New Roman"/>
                <w:color w:val="000000" w:themeColor="text1"/>
                <w:vertAlign w:val="superscript"/>
                <w14:textFill>
                  <w14:solidFill>
                    <w14:schemeClr w14:val="tx1"/>
                  </w14:solidFill>
                </w14:textFill>
              </w:rPr>
              <w:t>[35]</w:t>
            </w:r>
            <w:r>
              <w:rPr>
                <w:rFonts w:ascii="Book Antiqua" w:hAnsi="Book Antiqua" w:cs="Times New Roman"/>
                <w:color w:val="000000" w:themeColor="text1"/>
                <w14:textFill>
                  <w14:solidFill>
                    <w14:schemeClr w14:val="tx1"/>
                  </w14:solidFill>
                </w14:textFill>
              </w:rPr>
              <w:t>, 2017</w:t>
            </w:r>
          </w:p>
        </w:tc>
        <w:tc>
          <w:tcPr>
            <w:tcW w:w="2693" w:type="dxa"/>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rPr>
            </w:pPr>
            <w:r>
              <w:rPr>
                <w:rFonts w:ascii="Book Antiqua" w:hAnsi="Book Antiqua" w:cs="Times New Roman"/>
              </w:rPr>
              <w:t>12 mo;</w:t>
            </w:r>
            <w:r>
              <w:rPr>
                <w:rFonts w:ascii="Book Antiqua" w:hAnsi="Book Antiqua" w:cs="Times New Roman" w:eastAsiaTheme="minorEastAsia"/>
                <w:lang w:eastAsia="zh-CN"/>
              </w:rPr>
              <w:t xml:space="preserve"> </w:t>
            </w:r>
            <w:r>
              <w:rPr>
                <w:rFonts w:ascii="Book Antiqua" w:hAnsi="Book Antiqua" w:cs="Times New Roman"/>
              </w:rPr>
              <w:t>Sr Cr: NA;</w:t>
            </w:r>
            <w:r>
              <w:rPr>
                <w:rFonts w:ascii="Book Antiqua" w:hAnsi="Book Antiqua" w:cs="Times New Roman" w:eastAsiaTheme="minorEastAsia"/>
                <w:lang w:eastAsia="zh-CN"/>
              </w:rPr>
              <w:t xml:space="preserve"> </w:t>
            </w:r>
            <w:r>
              <w:rPr>
                <w:rFonts w:ascii="Book Antiqua" w:hAnsi="Book Antiqua" w:cs="Times New Roman"/>
              </w:rPr>
              <w:t xml:space="preserve">eGFR: 51.6 ± 23.5 </w:t>
            </w:r>
            <w:r>
              <w:rPr>
                <w:rFonts w:ascii="Book Antiqua" w:hAnsi="Book Antiqua" w:cs="Times New Roman"/>
                <w:i/>
              </w:rPr>
              <w:t>vs</w:t>
            </w:r>
            <w:r>
              <w:rPr>
                <w:rFonts w:ascii="Book Antiqua" w:hAnsi="Book Antiqua" w:cs="Times New Roman"/>
              </w:rPr>
              <w:t xml:space="preserve"> 55.9 ± 8.9 mL/min</w:t>
            </w:r>
            <w:r>
              <w:rPr>
                <w:rFonts w:ascii="Book Antiqua" w:hAnsi="Book Antiqua" w:cs="Times New Roman" w:eastAsiaTheme="minorEastAsia"/>
                <w:lang w:eastAsia="zh-CN"/>
              </w:rPr>
              <w:t xml:space="preserve"> </w:t>
            </w:r>
            <w:r>
              <w:rPr>
                <w:rFonts w:ascii="Book Antiqua" w:hAnsi="Book Antiqua" w:cs="Times New Roman"/>
              </w:rPr>
              <w:t>(</w:t>
            </w:r>
            <w:r>
              <w:rPr>
                <w:rFonts w:ascii="Book Antiqua" w:hAnsi="Book Antiqua" w:cs="Times New Roman"/>
                <w:i/>
                <w:color w:val="1A1A1A"/>
                <w:u w:color="1A1A1A"/>
              </w:rPr>
              <w:t>P</w:t>
            </w:r>
            <w:r>
              <w:rPr>
                <w:rFonts w:ascii="Book Antiqua" w:hAnsi="Book Antiqua" w:cs="Times New Roman"/>
              </w:rPr>
              <w:t xml:space="preserve"> = 0.74)</w:t>
            </w:r>
          </w:p>
        </w:tc>
        <w:tc>
          <w:tcPr>
            <w:tcW w:w="2268" w:type="dxa"/>
            <w:shd w:val="clear" w:color="auto" w:fill="auto"/>
            <w:tcMar>
              <w:top w:w="80" w:type="dxa"/>
              <w:left w:w="80" w:type="dxa"/>
              <w:bottom w:w="80" w:type="dxa"/>
              <w:right w:w="80" w:type="dxa"/>
            </w:tcMar>
          </w:tcPr>
          <w:p>
            <w:pPr>
              <w:pStyle w:val="13"/>
              <w:snapToGrid w:val="0"/>
              <w:spacing w:line="360" w:lineRule="auto"/>
              <w:jc w:val="both"/>
              <w:rPr>
                <w:rFonts w:ascii="Book Antiqua" w:hAnsi="Book Antiqua" w:eastAsia="Times New Roman" w:cs="Times New Roman"/>
              </w:rPr>
            </w:pPr>
            <w:r>
              <w:rPr>
                <w:rFonts w:ascii="Book Antiqua" w:hAnsi="Book Antiqua" w:cs="Times New Roman"/>
              </w:rPr>
              <w:t xml:space="preserve">33.3% (2/6) </w:t>
            </w:r>
            <w:r>
              <w:rPr>
                <w:rFonts w:ascii="Book Antiqua" w:hAnsi="Book Antiqua" w:cs="Times New Roman"/>
                <w:i/>
              </w:rPr>
              <w:t>vs</w:t>
            </w:r>
            <w:r>
              <w:rPr>
                <w:rFonts w:ascii="Book Antiqua" w:hAnsi="Book Antiqua" w:cs="Times New Roman"/>
              </w:rPr>
              <w:t xml:space="preserve"> 50% (3/6)</w:t>
            </w:r>
            <w:r>
              <w:rPr>
                <w:rFonts w:ascii="Book Antiqua" w:hAnsi="Book Antiqua" w:cs="Times New Roman" w:eastAsiaTheme="minorEastAsia"/>
                <w:lang w:eastAsia="zh-CN"/>
              </w:rPr>
              <w:t xml:space="preserve"> </w:t>
            </w:r>
            <w:r>
              <w:rPr>
                <w:rFonts w:ascii="Book Antiqua" w:hAnsi="Book Antiqua" w:cs="Times New Roman"/>
              </w:rPr>
              <w:t>(</w:t>
            </w:r>
            <w:r>
              <w:rPr>
                <w:rFonts w:ascii="Book Antiqua" w:hAnsi="Book Antiqua" w:cs="Times New Roman"/>
                <w:i/>
                <w:color w:val="1A1A1A"/>
                <w:u w:color="1A1A1A"/>
              </w:rPr>
              <w:t>P</w:t>
            </w:r>
            <w:r>
              <w:rPr>
                <w:rFonts w:ascii="Book Antiqua" w:hAnsi="Book Antiqua" w:cs="Times New Roman"/>
              </w:rPr>
              <w:t xml:space="preserve"> = 0.55)</w:t>
            </w:r>
          </w:p>
        </w:tc>
        <w:tc>
          <w:tcPr>
            <w:tcW w:w="3544" w:type="dxa"/>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 xml:space="preserve">SAE/Infection: 33.3% (2/6) </w:t>
            </w:r>
            <w:r>
              <w:rPr>
                <w:rFonts w:ascii="Book Antiqua" w:hAnsi="Book Antiqua" w:cs="Times New Roman"/>
                <w:i/>
                <w:color w:val="1A1A1A"/>
                <w:u w:color="1A1A1A"/>
              </w:rPr>
              <w:t xml:space="preserve">vs </w:t>
            </w:r>
            <w:r>
              <w:rPr>
                <w:rFonts w:ascii="Book Antiqua" w:hAnsi="Book Antiqua" w:cs="Times New Roman"/>
                <w:color w:val="1A1A1A"/>
                <w:u w:color="1A1A1A"/>
              </w:rPr>
              <w:t>33.3% (2/6) (</w:t>
            </w:r>
            <w:r>
              <w:rPr>
                <w:rFonts w:ascii="Book Antiqua" w:hAnsi="Book Antiqua" w:cs="Times New Roman"/>
                <w:i/>
                <w:color w:val="1A1A1A"/>
                <w:u w:color="1A1A1A"/>
              </w:rPr>
              <w:t>P</w:t>
            </w:r>
            <w:r>
              <w:rPr>
                <w:rFonts w:ascii="Book Antiqua" w:hAnsi="Book Antiqua" w:cs="Times New Roman"/>
                <w:color w:val="1A1A1A"/>
                <w:u w:color="1A1A1A"/>
              </w:rPr>
              <w:t xml:space="preserve"> = 1.0);</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CMV infection: 0% (0/6) </w:t>
            </w:r>
            <w:r>
              <w:rPr>
                <w:rFonts w:ascii="Book Antiqua" w:hAnsi="Book Antiqua" w:cs="Times New Roman"/>
                <w:i/>
                <w:color w:val="1A1A1A"/>
                <w:u w:color="1A1A1A"/>
              </w:rPr>
              <w:t>vs</w:t>
            </w:r>
            <w:r>
              <w:rPr>
                <w:rFonts w:ascii="Book Antiqua" w:hAnsi="Book Antiqua" w:cs="Times New Roman"/>
                <w:color w:val="1A1A1A"/>
                <w:u w:color="1A1A1A"/>
              </w:rPr>
              <w:t xml:space="preserve"> 16.6% (1/6) (</w:t>
            </w:r>
            <w:r>
              <w:rPr>
                <w:rFonts w:ascii="Book Antiqua" w:hAnsi="Book Antiqua" w:cs="Times New Roman"/>
                <w:i/>
                <w:color w:val="1A1A1A"/>
                <w:u w:color="1A1A1A"/>
              </w:rPr>
              <w:t>P</w:t>
            </w:r>
            <w:r>
              <w:rPr>
                <w:rFonts w:ascii="Book Antiqua" w:hAnsi="Book Antiqua" w:cs="Times New Roman"/>
                <w:color w:val="1A1A1A"/>
                <w:u w:color="1A1A1A"/>
              </w:rPr>
              <w:t xml:space="preserve"> = 0.29);</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BK infection: 0% (0/6) </w:t>
            </w:r>
            <w:r>
              <w:rPr>
                <w:rFonts w:ascii="Book Antiqua" w:hAnsi="Book Antiqua" w:cs="Times New Roman"/>
                <w:i/>
                <w:color w:val="1A1A1A"/>
                <w:u w:color="1A1A1A"/>
              </w:rPr>
              <w:t>vs</w:t>
            </w:r>
            <w:r>
              <w:rPr>
                <w:rFonts w:ascii="Book Antiqua" w:hAnsi="Book Antiqua" w:cs="Times New Roman"/>
                <w:color w:val="1A1A1A"/>
                <w:u w:color="1A1A1A"/>
              </w:rPr>
              <w:t xml:space="preserve"> 0% (0/6) (</w:t>
            </w:r>
            <w:r>
              <w:rPr>
                <w:rFonts w:ascii="Book Antiqua" w:hAnsi="Book Antiqua" w:cs="Times New Roman"/>
                <w:i/>
                <w:color w:val="1A1A1A"/>
                <w:u w:color="1A1A1A"/>
              </w:rPr>
              <w:t>P</w:t>
            </w:r>
            <w:r>
              <w:rPr>
                <w:rFonts w:ascii="Book Antiqua" w:hAnsi="Book Antiqua" w:cs="Times New Roman"/>
                <w:color w:val="1A1A1A"/>
                <w:u w:color="1A1A1A"/>
              </w:rPr>
              <w:t xml:space="preserve"> = 1.00);</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NODAT: 0% (0/6) </w:t>
            </w:r>
            <w:r>
              <w:rPr>
                <w:rFonts w:ascii="Book Antiqua" w:hAnsi="Book Antiqua" w:cs="Times New Roman"/>
                <w:i/>
                <w:color w:val="1A1A1A"/>
                <w:u w:color="1A1A1A"/>
              </w:rPr>
              <w:t>vs</w:t>
            </w:r>
            <w:r>
              <w:rPr>
                <w:rFonts w:ascii="Book Antiqua" w:hAnsi="Book Antiqua" w:cs="Times New Roman"/>
                <w:color w:val="1A1A1A"/>
                <w:u w:color="1A1A1A"/>
              </w:rPr>
              <w:t xml:space="preserve"> 0% (0/6) (</w:t>
            </w:r>
            <w:r>
              <w:rPr>
                <w:rFonts w:ascii="Book Antiqua" w:hAnsi="Book Antiqua" w:cs="Times New Roman"/>
                <w:i/>
                <w:color w:val="1A1A1A"/>
                <w:u w:color="1A1A1A"/>
              </w:rPr>
              <w:t>P</w:t>
            </w:r>
            <w:r>
              <w:rPr>
                <w:rFonts w:ascii="Book Antiqua" w:hAnsi="Book Antiqua" w:cs="Times New Roman"/>
                <w:color w:val="1A1A1A"/>
                <w:u w:color="1A1A1A"/>
              </w:rPr>
              <w:t xml:space="preserve"> = 1.00)</w:t>
            </w:r>
          </w:p>
        </w:tc>
        <w:tc>
          <w:tcPr>
            <w:tcW w:w="2977" w:type="dxa"/>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eastAsia="Times New Roman" w:cs="Times New Roman"/>
                <w:color w:val="1A1A1A"/>
                <w:u w:color="1A1A1A"/>
              </w:rPr>
            </w:pPr>
            <w:r>
              <w:rPr>
                <w:rFonts w:ascii="Book Antiqua" w:hAnsi="Book Antiqua" w:cs="Times New Roman"/>
                <w:color w:val="1A1A1A"/>
                <w:u w:color="1A1A1A"/>
              </w:rPr>
              <w:t xml:space="preserve">Graft survival: 50% (3/6) </w:t>
            </w:r>
            <w:r>
              <w:rPr>
                <w:rFonts w:ascii="Book Antiqua" w:hAnsi="Book Antiqua" w:cs="Times New Roman"/>
                <w:i/>
                <w:color w:val="1A1A1A"/>
                <w:u w:color="1A1A1A"/>
              </w:rPr>
              <w:t>vs</w:t>
            </w:r>
            <w:r>
              <w:rPr>
                <w:rFonts w:ascii="Book Antiqua" w:hAnsi="Book Antiqua" w:cs="Times New Roman"/>
                <w:color w:val="1A1A1A"/>
                <w:u w:color="1A1A1A"/>
              </w:rPr>
              <w:t xml:space="preserve"> 83.33% (5/6) (</w:t>
            </w:r>
            <w:r>
              <w:rPr>
                <w:rFonts w:ascii="Book Antiqua" w:hAnsi="Book Antiqua" w:cs="Times New Roman"/>
                <w:i/>
                <w:color w:val="1A1A1A"/>
                <w:u w:color="1A1A1A"/>
              </w:rPr>
              <w:t>P</w:t>
            </w:r>
            <w:r>
              <w:rPr>
                <w:rFonts w:ascii="Book Antiqua" w:hAnsi="Book Antiqua" w:cs="Times New Roman"/>
                <w:color w:val="1A1A1A"/>
                <w:u w:color="1A1A1A"/>
              </w:rPr>
              <w:t xml:space="preserve"> = 0.85);</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Patient survival 100% (6/6) </w:t>
            </w:r>
            <w:r>
              <w:rPr>
                <w:rFonts w:ascii="Book Antiqua" w:hAnsi="Book Antiqua" w:cs="Times New Roman"/>
                <w:i/>
                <w:color w:val="1A1A1A"/>
                <w:u w:color="1A1A1A"/>
              </w:rPr>
              <w:t>vs</w:t>
            </w:r>
            <w:r>
              <w:rPr>
                <w:rFonts w:ascii="Book Antiqua" w:hAnsi="Book Antiqua" w:cs="Times New Roman"/>
                <w:color w:val="1A1A1A"/>
                <w:u w:color="1A1A1A"/>
              </w:rPr>
              <w:t xml:space="preserve"> 83.33% (5/6) (</w:t>
            </w:r>
            <w:r>
              <w:rPr>
                <w:rFonts w:ascii="Book Antiqua" w:hAnsi="Book Antiqua" w:cs="Times New Roman"/>
                <w:i/>
                <w:color w:val="1A1A1A"/>
                <w:u w:color="1A1A1A"/>
              </w:rPr>
              <w:t>P</w:t>
            </w:r>
            <w:r>
              <w:rPr>
                <w:rFonts w:ascii="Book Antiqua" w:hAnsi="Book Antiqua" w:cs="Times New Roman"/>
                <w:color w:val="1A1A1A"/>
                <w:u w:color="1A1A1A"/>
              </w:rPr>
              <w:t xml:space="preserve"> = 0.29)</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1560" w:type="dxa"/>
            <w:shd w:val="clear" w:color="auto" w:fill="auto"/>
            <w:tcMar>
              <w:top w:w="80" w:type="dxa"/>
              <w:left w:w="80" w:type="dxa"/>
              <w:bottom w:w="80" w:type="dxa"/>
              <w:right w:w="80" w:type="dxa"/>
            </w:tcMar>
          </w:tcPr>
          <w:p>
            <w:pPr>
              <w:pStyle w:val="13"/>
              <w:snapToGrid w:val="0"/>
              <w:spacing w:line="360" w:lineRule="auto"/>
              <w:jc w:val="both"/>
              <w:rPr>
                <w:rFonts w:ascii="Book Antiqua" w:hAnsi="Book Antiqua" w:cs="Times New Roman"/>
              </w:rPr>
            </w:pPr>
            <w:r>
              <w:rPr>
                <w:rFonts w:ascii="Book Antiqua" w:hAnsi="Book Antiqua" w:cs="Times New Roman"/>
              </w:rPr>
              <w:t>Clinicaltrial.gov 1856257</w:t>
            </w:r>
            <w:r>
              <w:rPr>
                <w:rFonts w:ascii="Book Antiqua" w:hAnsi="Book Antiqua" w:cs="Times New Roman"/>
                <w:color w:val="000000" w:themeColor="text1"/>
                <w:vertAlign w:val="superscript"/>
                <w14:textFill>
                  <w14:solidFill>
                    <w14:schemeClr w14:val="tx1"/>
                  </w14:solidFill>
                </w14:textFill>
              </w:rPr>
              <w:t>[3</w:t>
            </w:r>
            <w:r>
              <w:rPr>
                <w:rFonts w:hint="eastAsia" w:ascii="Book Antiqua" w:hAnsi="Book Antiqua" w:eastAsia="宋体" w:cs="Times New Roman"/>
                <w:color w:val="000000" w:themeColor="text1"/>
                <w:vertAlign w:val="superscript"/>
                <w:lang w:val="en-US" w:eastAsia="zh-CN"/>
                <w14:textFill>
                  <w14:solidFill>
                    <w14:schemeClr w14:val="tx1"/>
                  </w14:solidFill>
                </w14:textFill>
              </w:rPr>
              <w:t>6</w:t>
            </w:r>
            <w:r>
              <w:rPr>
                <w:rFonts w:ascii="Book Antiqua" w:hAnsi="Book Antiqua" w:cs="Times New Roman"/>
                <w:color w:val="000000" w:themeColor="text1"/>
                <w:vertAlign w:val="superscript"/>
                <w14:textFill>
                  <w14:solidFill>
                    <w14:schemeClr w14:val="tx1"/>
                  </w14:solidFill>
                </w14:textFill>
              </w:rPr>
              <w:t>]</w:t>
            </w:r>
            <w:r>
              <w:rPr>
                <w:rFonts w:ascii="Book Antiqua" w:hAnsi="Book Antiqua" w:cs="Times New Roman"/>
                <w:color w:val="000000" w:themeColor="text1"/>
                <w14:textFill>
                  <w14:solidFill>
                    <w14:schemeClr w14:val="tx1"/>
                  </w14:solidFill>
                </w14:textFill>
              </w:rPr>
              <w:t>,</w:t>
            </w:r>
            <w:r>
              <w:rPr>
                <w:rFonts w:ascii="Book Antiqua" w:hAnsi="Book Antiqua" w:cs="Times New Roman" w:eastAsiaTheme="minorEastAsia"/>
                <w:lang w:eastAsia="zh-CN"/>
              </w:rPr>
              <w:t xml:space="preserve"> </w:t>
            </w:r>
            <w:r>
              <w:rPr>
                <w:rFonts w:ascii="Book Antiqua" w:hAnsi="Book Antiqua" w:cs="Times New Roman"/>
              </w:rPr>
              <w:t>2017</w:t>
            </w:r>
          </w:p>
        </w:tc>
        <w:tc>
          <w:tcPr>
            <w:tcW w:w="2693" w:type="dxa"/>
            <w:shd w:val="clear" w:color="auto" w:fill="auto"/>
            <w:tcMar>
              <w:top w:w="80" w:type="dxa"/>
              <w:left w:w="80" w:type="dxa"/>
              <w:bottom w:w="80" w:type="dxa"/>
              <w:right w:w="80" w:type="dxa"/>
            </w:tcMar>
          </w:tcPr>
          <w:p>
            <w:pPr>
              <w:pStyle w:val="13"/>
              <w:snapToGrid w:val="0"/>
              <w:spacing w:line="360" w:lineRule="auto"/>
              <w:jc w:val="both"/>
              <w:rPr>
                <w:rFonts w:ascii="Book Antiqua" w:hAnsi="Book Antiqua" w:eastAsia="Times New Roman" w:cs="Times New Roman"/>
              </w:rPr>
            </w:pPr>
            <w:r>
              <w:rPr>
                <w:rFonts w:ascii="Book Antiqua" w:hAnsi="Book Antiqua" w:cs="Times New Roman"/>
              </w:rPr>
              <w:t>12 mo,</w:t>
            </w:r>
            <w:r>
              <w:rPr>
                <w:rFonts w:ascii="Book Antiqua" w:hAnsi="Book Antiqua" w:cs="Times New Roman" w:eastAsiaTheme="minorEastAsia"/>
                <w:lang w:eastAsia="zh-CN"/>
              </w:rPr>
              <w:t xml:space="preserve"> </w:t>
            </w:r>
            <w:r>
              <w:rPr>
                <w:rFonts w:ascii="Book Antiqua" w:hAnsi="Book Antiqua" w:cs="Times New Roman"/>
              </w:rPr>
              <w:t>Sr. Cr: NA,</w:t>
            </w:r>
            <w:r>
              <w:rPr>
                <w:rFonts w:ascii="Book Antiqua" w:hAnsi="Book Antiqua" w:cs="Times New Roman" w:eastAsiaTheme="minorEastAsia"/>
                <w:lang w:eastAsia="zh-CN"/>
              </w:rPr>
              <w:t xml:space="preserve"> </w:t>
            </w:r>
            <w:r>
              <w:rPr>
                <w:rFonts w:ascii="Book Antiqua" w:hAnsi="Book Antiqua" w:cs="Times New Roman"/>
              </w:rPr>
              <w:t xml:space="preserve">eGFR: </w:t>
            </w:r>
            <w:r>
              <w:rPr>
                <w:rFonts w:ascii="Book Antiqua" w:hAnsi="Book Antiqua" w:cs="Times New Roman"/>
                <w:color w:val="1A1A1A"/>
                <w:u w:color="1A1A1A"/>
              </w:rPr>
              <w:t xml:space="preserve">61.5 ± 23.3 </w:t>
            </w:r>
            <w:r>
              <w:rPr>
                <w:rFonts w:ascii="Book Antiqua" w:hAnsi="Book Antiqua" w:cs="Times New Roman"/>
                <w:i/>
                <w:color w:val="1A1A1A"/>
                <w:u w:color="1A1A1A"/>
              </w:rPr>
              <w:t>vs</w:t>
            </w:r>
            <w:r>
              <w:rPr>
                <w:rFonts w:ascii="Book Antiqua" w:hAnsi="Book Antiqua" w:cs="Times New Roman"/>
                <w:color w:val="1A1A1A"/>
                <w:u w:color="1A1A1A"/>
              </w:rPr>
              <w:t xml:space="preserve"> 59.2 ± 19.9 mL/min</w:t>
            </w:r>
            <w:r>
              <w:rPr>
                <w:rFonts w:ascii="Book Antiqua" w:hAnsi="Book Antiqua" w:cs="Times New Roman" w:eastAsiaTheme="minorEastAsia"/>
                <w:lang w:eastAsia="zh-CN"/>
              </w:rPr>
              <w:t xml:space="preserve"> </w:t>
            </w:r>
            <w:r>
              <w:rPr>
                <w:rFonts w:ascii="Book Antiqua" w:hAnsi="Book Antiqua" w:cs="Times New Roman"/>
                <w:color w:val="1A1A1A"/>
                <w:u w:color="1A1A1A"/>
              </w:rPr>
              <w:t>(</w:t>
            </w:r>
            <w:r>
              <w:rPr>
                <w:rFonts w:ascii="Book Antiqua" w:hAnsi="Book Antiqua" w:cs="Times New Roman"/>
                <w:i/>
                <w:color w:val="1A1A1A"/>
                <w:u w:color="1A1A1A"/>
              </w:rPr>
              <w:t>P</w:t>
            </w:r>
            <w:r>
              <w:rPr>
                <w:rFonts w:ascii="Book Antiqua" w:hAnsi="Book Antiqua" w:cs="Times New Roman"/>
                <w:color w:val="1A1A1A"/>
                <w:u w:color="1A1A1A"/>
              </w:rPr>
              <w:t xml:space="preserve"> = 0.70)</w:t>
            </w:r>
          </w:p>
        </w:tc>
        <w:tc>
          <w:tcPr>
            <w:tcW w:w="2268" w:type="dxa"/>
            <w:shd w:val="clear" w:color="auto" w:fill="auto"/>
            <w:tcMar>
              <w:top w:w="80" w:type="dxa"/>
              <w:left w:w="80" w:type="dxa"/>
              <w:bottom w:w="80" w:type="dxa"/>
              <w:right w:w="80" w:type="dxa"/>
            </w:tcMar>
          </w:tcPr>
          <w:p>
            <w:pPr>
              <w:pStyle w:val="13"/>
              <w:snapToGrid w:val="0"/>
              <w:spacing w:line="360" w:lineRule="auto"/>
              <w:jc w:val="both"/>
              <w:rPr>
                <w:rFonts w:ascii="Book Antiqua" w:hAnsi="Book Antiqua" w:eastAsia="Times New Roman" w:cs="Times New Roman"/>
              </w:rPr>
            </w:pPr>
            <w:r>
              <w:rPr>
                <w:rFonts w:ascii="Book Antiqua" w:hAnsi="Book Antiqua" w:cs="Times New Roman"/>
              </w:rPr>
              <w:t xml:space="preserve">37.9% (11/29) </w:t>
            </w:r>
            <w:r>
              <w:rPr>
                <w:rFonts w:ascii="Book Antiqua" w:hAnsi="Book Antiqua" w:cs="Times New Roman"/>
                <w:i/>
              </w:rPr>
              <w:t>vs</w:t>
            </w:r>
            <w:r>
              <w:rPr>
                <w:rFonts w:ascii="Book Antiqua" w:hAnsi="Book Antiqua" w:cs="Times New Roman"/>
              </w:rPr>
              <w:t xml:space="preserve"> 6.8% (2/29)</w:t>
            </w:r>
            <w:r>
              <w:rPr>
                <w:rFonts w:ascii="Book Antiqua" w:hAnsi="Book Antiqua" w:cs="Times New Roman" w:eastAsiaTheme="minorEastAsia"/>
                <w:lang w:eastAsia="zh-CN"/>
              </w:rPr>
              <w:t xml:space="preserve"> </w:t>
            </w:r>
            <w:r>
              <w:rPr>
                <w:rFonts w:ascii="Book Antiqua" w:hAnsi="Book Antiqua" w:cs="Times New Roman"/>
              </w:rPr>
              <w:t>(</w:t>
            </w:r>
            <w:r>
              <w:rPr>
                <w:rFonts w:ascii="Book Antiqua" w:hAnsi="Book Antiqua" w:cs="Times New Roman"/>
                <w:i/>
                <w:color w:val="1A1A1A"/>
                <w:u w:color="1A1A1A"/>
              </w:rPr>
              <w:t>P</w:t>
            </w:r>
            <w:r>
              <w:rPr>
                <w:rFonts w:ascii="Book Antiqua" w:hAnsi="Book Antiqua" w:cs="Times New Roman"/>
              </w:rPr>
              <w:t xml:space="preserve"> = 0.009)</w:t>
            </w:r>
          </w:p>
        </w:tc>
        <w:tc>
          <w:tcPr>
            <w:tcW w:w="3544" w:type="dxa"/>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 xml:space="preserve">SAE/Infection: 72.41% (21/29) </w:t>
            </w:r>
            <w:r>
              <w:rPr>
                <w:rFonts w:ascii="Book Antiqua" w:hAnsi="Book Antiqua" w:cs="Times New Roman"/>
                <w:i/>
                <w:color w:val="1A1A1A"/>
                <w:u w:color="1A1A1A"/>
              </w:rPr>
              <w:t>vs</w:t>
            </w:r>
            <w:r>
              <w:rPr>
                <w:rFonts w:ascii="Book Antiqua" w:hAnsi="Book Antiqua" w:cs="Times New Roman"/>
                <w:color w:val="1A1A1A"/>
                <w:u w:color="1A1A1A"/>
              </w:rPr>
              <w:t xml:space="preserve"> 65.5% (19/29) (</w:t>
            </w:r>
            <w:r>
              <w:rPr>
                <w:rFonts w:ascii="Book Antiqua" w:hAnsi="Book Antiqua" w:cs="Times New Roman"/>
                <w:i/>
                <w:color w:val="1A1A1A"/>
                <w:u w:color="1A1A1A"/>
              </w:rPr>
              <w:t>P</w:t>
            </w:r>
            <w:r>
              <w:rPr>
                <w:rFonts w:ascii="Book Antiqua" w:hAnsi="Book Antiqua" w:cs="Times New Roman"/>
                <w:color w:val="1A1A1A"/>
                <w:u w:color="1A1A1A"/>
              </w:rPr>
              <w:t xml:space="preserve"> = 0.77);</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CMV infection: 20.6% (6/29) </w:t>
            </w:r>
            <w:r>
              <w:rPr>
                <w:rFonts w:ascii="Book Antiqua" w:hAnsi="Book Antiqua" w:cs="Times New Roman"/>
                <w:i/>
                <w:color w:val="1A1A1A"/>
                <w:u w:color="1A1A1A"/>
              </w:rPr>
              <w:t>vs</w:t>
            </w:r>
            <w:r>
              <w:rPr>
                <w:rFonts w:ascii="Book Antiqua" w:hAnsi="Book Antiqua" w:cs="Times New Roman"/>
                <w:color w:val="1A1A1A"/>
                <w:u w:color="1A1A1A"/>
              </w:rPr>
              <w:t xml:space="preserve"> 3.4% (1/29) (</w:t>
            </w:r>
            <w:r>
              <w:rPr>
                <w:rFonts w:ascii="Book Antiqua" w:hAnsi="Book Antiqua" w:cs="Times New Roman"/>
                <w:i/>
                <w:color w:val="1A1A1A"/>
                <w:u w:color="1A1A1A"/>
              </w:rPr>
              <w:t>P</w:t>
            </w:r>
            <w:r>
              <w:rPr>
                <w:rFonts w:ascii="Book Antiqua" w:hAnsi="Book Antiqua" w:cs="Times New Roman"/>
                <w:color w:val="1A1A1A"/>
                <w:u w:color="1A1A1A"/>
              </w:rPr>
              <w:t xml:space="preserve"> = 1.0);</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BK infection: 13.7% (4/29) </w:t>
            </w:r>
            <w:r>
              <w:rPr>
                <w:rFonts w:ascii="Book Antiqua" w:hAnsi="Book Antiqua" w:cs="Times New Roman"/>
                <w:i/>
                <w:color w:val="1A1A1A"/>
                <w:u w:color="1A1A1A"/>
              </w:rPr>
              <w:t>vs</w:t>
            </w:r>
            <w:r>
              <w:rPr>
                <w:rFonts w:ascii="Book Antiqua" w:hAnsi="Book Antiqua" w:cs="Times New Roman"/>
                <w:color w:val="1A1A1A"/>
                <w:u w:color="1A1A1A"/>
              </w:rPr>
              <w:t xml:space="preserve"> 0% (0/29) (</w:t>
            </w:r>
            <w:r>
              <w:rPr>
                <w:rFonts w:ascii="Book Antiqua" w:hAnsi="Book Antiqua" w:cs="Times New Roman"/>
                <w:i/>
                <w:color w:val="1A1A1A"/>
                <w:u w:color="1A1A1A"/>
              </w:rPr>
              <w:t>P</w:t>
            </w:r>
            <w:r>
              <w:rPr>
                <w:rFonts w:ascii="Book Antiqua" w:hAnsi="Book Antiqua" w:cs="Times New Roman"/>
                <w:color w:val="1A1A1A"/>
                <w:u w:color="1A1A1A"/>
              </w:rPr>
              <w:t xml:space="preserve"> = 0.11);</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NODAT: 3.4% (1/29) </w:t>
            </w:r>
            <w:r>
              <w:rPr>
                <w:rFonts w:ascii="Book Antiqua" w:hAnsi="Book Antiqua" w:cs="Times New Roman"/>
                <w:i/>
                <w:color w:val="1A1A1A"/>
                <w:u w:color="1A1A1A"/>
              </w:rPr>
              <w:t>vs</w:t>
            </w:r>
            <w:r>
              <w:rPr>
                <w:rFonts w:ascii="Book Antiqua" w:hAnsi="Book Antiqua" w:cs="Times New Roman"/>
                <w:color w:val="1A1A1A"/>
                <w:u w:color="1A1A1A"/>
              </w:rPr>
              <w:t xml:space="preserve"> 3.4% (1/29) (</w:t>
            </w:r>
            <w:r>
              <w:rPr>
                <w:rFonts w:ascii="Book Antiqua" w:hAnsi="Book Antiqua" w:cs="Times New Roman"/>
                <w:i/>
                <w:color w:val="1A1A1A"/>
                <w:u w:color="1A1A1A"/>
              </w:rPr>
              <w:t>P</w:t>
            </w:r>
            <w:r>
              <w:rPr>
                <w:rFonts w:ascii="Book Antiqua" w:hAnsi="Book Antiqua" w:cs="Times New Roman"/>
                <w:color w:val="1A1A1A"/>
                <w:u w:color="1A1A1A"/>
              </w:rPr>
              <w:t xml:space="preserve"> = 1.0)</w:t>
            </w:r>
          </w:p>
        </w:tc>
        <w:tc>
          <w:tcPr>
            <w:tcW w:w="2977" w:type="dxa"/>
            <w:shd w:val="clear" w:color="auto" w:fill="auto"/>
            <w:tcMar>
              <w:top w:w="80" w:type="dxa"/>
              <w:left w:w="80" w:type="dxa"/>
              <w:bottom w:w="80" w:type="dxa"/>
              <w:right w:w="80" w:type="dxa"/>
            </w:tcMar>
          </w:tcPr>
          <w:p>
            <w:pPr>
              <w:pStyle w:val="13"/>
              <w:widowControl w:val="0"/>
              <w:snapToGrid w:val="0"/>
              <w:spacing w:line="360" w:lineRule="auto"/>
              <w:jc w:val="both"/>
              <w:rPr>
                <w:rFonts w:ascii="Book Antiqua" w:hAnsi="Book Antiqua" w:eastAsia="Times New Roman" w:cs="Times New Roman"/>
                <w:color w:val="1A1A1A"/>
                <w:u w:color="1A1A1A"/>
              </w:rPr>
            </w:pPr>
            <w:r>
              <w:rPr>
                <w:rFonts w:ascii="Book Antiqua" w:hAnsi="Book Antiqua" w:cs="Times New Roman"/>
                <w:color w:val="1A1A1A"/>
                <w:u w:color="1A1A1A"/>
              </w:rPr>
              <w:t xml:space="preserve">Graft survival: 93.1% (27/29) </w:t>
            </w:r>
            <w:r>
              <w:rPr>
                <w:rFonts w:ascii="Book Antiqua" w:hAnsi="Book Antiqua" w:cs="Times New Roman"/>
                <w:i/>
                <w:color w:val="1A1A1A"/>
                <w:u w:color="1A1A1A"/>
              </w:rPr>
              <w:t>vs</w:t>
            </w:r>
            <w:r>
              <w:rPr>
                <w:rFonts w:ascii="Book Antiqua" w:hAnsi="Book Antiqua" w:cs="Times New Roman"/>
                <w:color w:val="1A1A1A"/>
                <w:u w:color="1A1A1A"/>
              </w:rPr>
              <w:t xml:space="preserve"> 100% (29/29) (</w:t>
            </w:r>
            <w:r>
              <w:rPr>
                <w:rFonts w:ascii="Book Antiqua" w:hAnsi="Book Antiqua" w:cs="Times New Roman"/>
                <w:i/>
                <w:color w:val="1A1A1A"/>
                <w:u w:color="1A1A1A"/>
              </w:rPr>
              <w:t>P</w:t>
            </w:r>
            <w:r>
              <w:rPr>
                <w:rFonts w:ascii="Book Antiqua" w:hAnsi="Book Antiqua" w:cs="Times New Roman"/>
                <w:color w:val="1A1A1A"/>
                <w:u w:color="1A1A1A"/>
              </w:rPr>
              <w:t xml:space="preserve"> = 0.49);</w:t>
            </w:r>
            <w:r>
              <w:rPr>
                <w:rFonts w:ascii="Book Antiqua" w:hAnsi="Book Antiqua" w:cs="Times New Roman" w:eastAsiaTheme="minorEastAsia"/>
                <w:color w:val="1A1A1A"/>
                <w:u w:color="1A1A1A"/>
                <w:lang w:eastAsia="zh-CN"/>
              </w:rPr>
              <w:t xml:space="preserve"> </w:t>
            </w:r>
            <w:r>
              <w:rPr>
                <w:rFonts w:ascii="Book Antiqua" w:hAnsi="Book Antiqua" w:cs="Times New Roman"/>
                <w:color w:val="1A1A1A"/>
                <w:u w:color="1A1A1A"/>
              </w:rPr>
              <w:t xml:space="preserve">Patient survival: 93.1% (27/29) </w:t>
            </w:r>
            <w:r>
              <w:rPr>
                <w:rFonts w:ascii="Book Antiqua" w:hAnsi="Book Antiqua" w:cs="Times New Roman"/>
                <w:i/>
                <w:color w:val="1A1A1A"/>
                <w:u w:color="1A1A1A"/>
              </w:rPr>
              <w:t>vs</w:t>
            </w:r>
            <w:r>
              <w:rPr>
                <w:rFonts w:ascii="Book Antiqua" w:hAnsi="Book Antiqua" w:cs="Times New Roman"/>
                <w:color w:val="1A1A1A"/>
                <w:u w:color="1A1A1A"/>
              </w:rPr>
              <w:t xml:space="preserve"> 100% (29/29) (</w:t>
            </w:r>
            <w:r>
              <w:rPr>
                <w:rFonts w:ascii="Book Antiqua" w:hAnsi="Book Antiqua" w:cs="Times New Roman"/>
                <w:i/>
                <w:color w:val="1A1A1A"/>
                <w:u w:color="1A1A1A"/>
              </w:rPr>
              <w:t>P</w:t>
            </w:r>
            <w:r>
              <w:rPr>
                <w:rFonts w:ascii="Book Antiqua" w:hAnsi="Book Antiqua" w:cs="Times New Roman"/>
                <w:color w:val="1A1A1A"/>
                <w:u w:color="1A1A1A"/>
              </w:rPr>
              <w:t xml:space="preserve"> = 0.49)</w:t>
            </w:r>
          </w:p>
        </w:tc>
      </w:tr>
    </w:tbl>
    <w:p>
      <w:pPr>
        <w:pStyle w:val="13"/>
        <w:snapToGrid w:val="0"/>
        <w:spacing w:line="360" w:lineRule="auto"/>
        <w:jc w:val="both"/>
        <w:rPr>
          <w:rFonts w:ascii="Book Antiqua" w:hAnsi="Book Antiqua" w:eastAsia="Times New Roman"/>
          <w:bCs/>
          <w:color w:val="000000" w:themeColor="text1"/>
          <w14:textFill>
            <w14:solidFill>
              <w14:schemeClr w14:val="tx1"/>
            </w14:solidFill>
          </w14:textFill>
        </w:rPr>
      </w:pPr>
      <w:r>
        <w:rPr>
          <w:rFonts w:ascii="Book Antiqua" w:hAnsi="Book Antiqua" w:eastAsia="Times New Roman"/>
          <w:bCs/>
          <w:color w:val="000000" w:themeColor="text1"/>
          <w14:textFill>
            <w14:solidFill>
              <w14:schemeClr w14:val="tx1"/>
            </w14:solidFill>
          </w14:textFill>
        </w:rPr>
        <w:t xml:space="preserve">CMV: Cytomegalovirus; </w:t>
      </w:r>
      <w:r>
        <w:rPr>
          <w:rFonts w:ascii="Book Antiqua" w:hAnsi="Book Antiqua" w:eastAsia="Times New Roman" w:cs="Times New Roman"/>
          <w:bCs/>
          <w:color w:val="000000" w:themeColor="text1"/>
          <w14:textFill>
            <w14:solidFill>
              <w14:schemeClr w14:val="tx1"/>
            </w14:solidFill>
          </w14:textFill>
        </w:rPr>
        <w:t>eGFR: Estimated glomerular filtration rate; Gp: Group; SAE: Serious adverse experiences; Sr Cr: Serum creatinine; NODAT: New onset diabetes mellitus after transplantation.</w:t>
      </w:r>
    </w:p>
    <w:p>
      <w:pPr>
        <w:snapToGrid w:val="0"/>
        <w:spacing w:line="360" w:lineRule="auto"/>
        <w:jc w:val="both"/>
        <w:rPr>
          <w:rFonts w:ascii="Book Antiqua" w:hAnsi="Book Antiqua"/>
          <w:b/>
        </w:rPr>
      </w:pPr>
      <w:r>
        <w:rPr>
          <w:rFonts w:ascii="Book Antiqua" w:hAnsi="Book Antiqua"/>
          <w:b/>
        </w:rPr>
        <w:br w:type="page"/>
      </w:r>
      <w:r>
        <w:rPr>
          <w:rFonts w:ascii="Book Antiqua" w:hAnsi="Book Antiqua"/>
          <w:b/>
        </w:rPr>
        <w:t xml:space="preserve">Table 4 Summary of </w:t>
      </w:r>
      <w:r>
        <w:rPr>
          <w:rFonts w:ascii="Book Antiqua" w:hAnsi="Book Antiqua" w:eastAsia="Book Antiqua" w:cs="Book Antiqua"/>
          <w:b/>
          <w:color w:val="000000"/>
        </w:rPr>
        <w:t>biopsy proven acute rejection</w:t>
      </w:r>
      <w:r>
        <w:rPr>
          <w:rFonts w:ascii="Book Antiqua" w:hAnsi="Book Antiqua"/>
          <w:b/>
        </w:rPr>
        <w:t xml:space="preserve"> in clinical trials</w:t>
      </w:r>
    </w:p>
    <w:tbl>
      <w:tblPr>
        <w:tblStyle w:val="14"/>
        <w:tblW w:w="12618"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851"/>
        <w:gridCol w:w="851"/>
        <w:gridCol w:w="851"/>
        <w:gridCol w:w="851"/>
        <w:gridCol w:w="851"/>
        <w:gridCol w:w="851"/>
        <w:gridCol w:w="851"/>
        <w:gridCol w:w="851"/>
        <w:gridCol w:w="851"/>
        <w:gridCol w:w="718"/>
        <w:gridCol w:w="915"/>
        <w:gridCol w:w="795"/>
        <w:gridCol w:w="840"/>
        <w:gridCol w:w="840"/>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000000" w:themeColor="text1"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val="0"/>
                <w:bCs w:val="0"/>
                <w:color w:val="auto"/>
                <w:u w:color="FFFFFF"/>
              </w:rPr>
            </w:pPr>
            <w:r>
              <w:rPr>
                <w:rFonts w:ascii="Book Antiqua" w:hAnsi="Book Antiqua" w:cs="Times New Roman"/>
                <w:b/>
                <w:bCs/>
                <w:color w:val="auto"/>
                <w:u w:color="FFFFFF"/>
              </w:rPr>
              <w:t>Ref.</w:t>
            </w:r>
          </w:p>
        </w:tc>
        <w:tc>
          <w:tcPr>
            <w:tcW w:w="1702" w:type="dxa"/>
            <w:gridSpan w:val="2"/>
            <w:tcBorders>
              <w:top w:val="single" w:color="000000" w:themeColor="text1"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val="0"/>
                <w:bCs w:val="0"/>
                <w:color w:val="auto"/>
                <w:u w:color="FFFFFF"/>
              </w:rPr>
            </w:pPr>
            <w:r>
              <w:rPr>
                <w:rFonts w:ascii="Book Antiqua" w:hAnsi="Book Antiqua"/>
                <w:b/>
                <w:bCs/>
                <w:color w:val="auto"/>
              </w:rPr>
              <w:t>IA</w:t>
            </w:r>
          </w:p>
        </w:tc>
        <w:tc>
          <w:tcPr>
            <w:tcW w:w="1702" w:type="dxa"/>
            <w:gridSpan w:val="2"/>
            <w:tcBorders>
              <w:top w:val="single" w:color="000000" w:themeColor="text1" w:sz="4" w:space="0"/>
              <w:left w:val="nil"/>
              <w:bottom w:val="single" w:color="000000" w:themeColor="text1" w:sz="4" w:space="0"/>
              <w:right w:val="nil"/>
              <w:insideV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both"/>
              <w:rPr>
                <w:rFonts w:ascii="Book Antiqua" w:hAnsi="Book Antiqua"/>
                <w:b/>
                <w:bCs/>
                <w:color w:val="auto"/>
              </w:rPr>
            </w:pPr>
            <w:r>
              <w:rPr>
                <w:rFonts w:ascii="Book Antiqua" w:hAnsi="Book Antiqua"/>
                <w:b/>
                <w:bCs/>
                <w:color w:val="auto"/>
              </w:rPr>
              <w:t>IB</w:t>
            </w:r>
          </w:p>
        </w:tc>
        <w:tc>
          <w:tcPr>
            <w:tcW w:w="1702" w:type="dxa"/>
            <w:gridSpan w:val="2"/>
            <w:tcBorders>
              <w:top w:val="single" w:color="000000" w:themeColor="text1"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bCs w:val="0"/>
                <w:color w:val="auto"/>
                <w:u w:color="FFFFFF"/>
              </w:rPr>
            </w:pPr>
            <w:r>
              <w:rPr>
                <w:rFonts w:ascii="Book Antiqua" w:hAnsi="Book Antiqua" w:cs="Times New Roman"/>
                <w:b/>
                <w:bCs w:val="0"/>
                <w:color w:val="auto"/>
                <w:u w:color="FFFFFF"/>
              </w:rPr>
              <w:t>IIA</w:t>
            </w:r>
          </w:p>
        </w:tc>
        <w:tc>
          <w:tcPr>
            <w:tcW w:w="1702" w:type="dxa"/>
            <w:gridSpan w:val="2"/>
            <w:tcBorders>
              <w:top w:val="single" w:color="000000" w:themeColor="text1" w:sz="4" w:space="0"/>
              <w:left w:val="nil"/>
              <w:bottom w:val="single" w:color="000000" w:themeColor="text1" w:sz="4" w:space="0"/>
              <w:right w:val="nil"/>
              <w:insideV w:val="nil"/>
            </w:tcBorders>
            <w:shd w:val="clear" w:color="auto" w:fill="auto"/>
          </w:tcPr>
          <w:p>
            <w:pPr>
              <w:pStyle w:val="13"/>
              <w:tabs>
                <w:tab w:val="left" w:pos="655"/>
              </w:tabs>
              <w:snapToGrid w:val="0"/>
              <w:spacing w:line="360" w:lineRule="auto"/>
              <w:jc w:val="both"/>
              <w:rPr>
                <w:rFonts w:ascii="Book Antiqua" w:hAnsi="Book Antiqua" w:cs="Times New Roman"/>
                <w:b/>
                <w:bCs w:val="0"/>
                <w:color w:val="auto"/>
                <w:u w:color="FFFFFF"/>
              </w:rPr>
            </w:pPr>
            <w:r>
              <w:rPr>
                <w:rFonts w:ascii="Book Antiqua" w:hAnsi="Book Antiqua" w:cs="Times New Roman"/>
                <w:b/>
                <w:bCs w:val="0"/>
                <w:color w:val="auto"/>
                <w:u w:color="FFFFFF"/>
              </w:rPr>
              <w:t xml:space="preserve"> IIB</w:t>
            </w:r>
          </w:p>
        </w:tc>
        <w:tc>
          <w:tcPr>
            <w:tcW w:w="1569" w:type="dxa"/>
            <w:gridSpan w:val="2"/>
            <w:tcBorders>
              <w:top w:val="single" w:color="000000" w:themeColor="text1"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bCs w:val="0"/>
                <w:color w:val="auto"/>
                <w:u w:color="FFFFFF"/>
              </w:rPr>
            </w:pPr>
            <w:r>
              <w:rPr>
                <w:rFonts w:ascii="Book Antiqua" w:hAnsi="Book Antiqua" w:cs="Times New Roman"/>
                <w:b/>
                <w:bCs w:val="0"/>
                <w:color w:val="auto"/>
                <w:u w:color="FFFFFF"/>
              </w:rPr>
              <w:t>III</w:t>
            </w:r>
          </w:p>
        </w:tc>
        <w:tc>
          <w:tcPr>
            <w:tcW w:w="1710" w:type="dxa"/>
            <w:gridSpan w:val="2"/>
            <w:tcBorders>
              <w:top w:val="single" w:color="000000" w:themeColor="text1"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bCs w:val="0"/>
                <w:color w:val="auto"/>
                <w:u w:color="FFFFFF"/>
              </w:rPr>
            </w:pPr>
            <w:r>
              <w:rPr>
                <w:rFonts w:ascii="Book Antiqua" w:hAnsi="Book Antiqua" w:cs="Times New Roman"/>
                <w:b/>
                <w:bCs w:val="0"/>
                <w:color w:val="auto"/>
                <w:u w:color="FFFFFF"/>
              </w:rPr>
              <w:t>Mixed</w:t>
            </w:r>
          </w:p>
        </w:tc>
        <w:tc>
          <w:tcPr>
            <w:tcW w:w="1680" w:type="dxa"/>
            <w:gridSpan w:val="2"/>
            <w:tcBorders>
              <w:top w:val="single" w:color="000000" w:themeColor="text1"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val="0"/>
                <w:bCs w:val="0"/>
                <w:color w:val="FFFFFF"/>
                <w:u w:color="FFFFFF"/>
              </w:rPr>
            </w:pP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000000" w:themeColor="text1" w:sz="4" w:space="0"/>
              <w:bottom w:val="single" w:color="000000" w:themeColor="text1" w:sz="4" w:space="0"/>
            </w:tcBorders>
            <w:shd w:val="clear" w:color="auto" w:fill="auto"/>
          </w:tcPr>
          <w:p>
            <w:pPr>
              <w:pStyle w:val="13"/>
              <w:snapToGrid w:val="0"/>
              <w:spacing w:line="360" w:lineRule="auto"/>
              <w:jc w:val="both"/>
              <w:rPr>
                <w:rFonts w:ascii="Book Antiqua" w:hAnsi="Book Antiqua" w:cs="Times New Roman"/>
                <w:b/>
                <w:bCs/>
              </w:rPr>
            </w:pPr>
          </w:p>
        </w:tc>
        <w:tc>
          <w:tcPr>
            <w:tcW w:w="851" w:type="dxa"/>
            <w:tcBorders>
              <w:top w:val="single" w:color="000000" w:themeColor="text1" w:sz="4" w:space="0"/>
              <w:bottom w:val="single" w:color="000000" w:themeColor="text1" w:sz="4" w:space="0"/>
            </w:tcBorders>
            <w:shd w:val="clear" w:color="auto" w:fill="auto"/>
          </w:tcPr>
          <w:p>
            <w:pPr>
              <w:pStyle w:val="13"/>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hint="eastAsia" w:ascii="Book Antiqua" w:hAnsi="Book Antiqua" w:eastAsia="宋体" w:cs="Times New Roman"/>
                <w:b/>
                <w:color w:val="1A1A1A"/>
                <w:u w:color="1A1A1A"/>
                <w:lang w:val="en-US" w:eastAsia="zh-CN"/>
              </w:rPr>
              <w:t xml:space="preserve"> </w:t>
            </w:r>
            <w:r>
              <w:rPr>
                <w:rFonts w:ascii="Book Antiqua" w:hAnsi="Book Antiqua" w:cs="Times New Roman"/>
                <w:b/>
                <w:color w:val="1A1A1A"/>
                <w:u w:color="1A1A1A"/>
              </w:rPr>
              <w:t>(Belatacept)</w:t>
            </w:r>
          </w:p>
        </w:tc>
        <w:tc>
          <w:tcPr>
            <w:tcW w:w="851" w:type="dxa"/>
            <w:tcBorders>
              <w:top w:val="single" w:color="000000" w:themeColor="text1" w:sz="4" w:space="0"/>
              <w:bottom w:val="single" w:color="000000" w:themeColor="text1" w:sz="4" w:space="0"/>
            </w:tcBorders>
            <w:shd w:val="clear" w:color="auto" w:fill="auto"/>
          </w:tcPr>
          <w:p>
            <w:pPr>
              <w:pStyle w:val="13"/>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hint="eastAsia" w:ascii="Book Antiqua" w:hAnsi="Book Antiqua" w:cs="Times New Roman" w:eastAsiaTheme="minorEastAsia"/>
                <w:b/>
                <w:color w:val="1A1A1A"/>
                <w:u w:color="1A1A1A"/>
                <w:lang w:val="en-US" w:eastAsia="zh-CN"/>
              </w:rPr>
              <w:t xml:space="preserve"> </w:t>
            </w:r>
            <w:r>
              <w:rPr>
                <w:rFonts w:ascii="Book Antiqua" w:hAnsi="Book Antiqua" w:cs="Times New Roman"/>
                <w:b/>
                <w:color w:val="1A1A1A"/>
                <w:u w:color="1A1A1A"/>
              </w:rPr>
              <w:t>(Tacrolimus)</w:t>
            </w:r>
          </w:p>
        </w:tc>
        <w:tc>
          <w:tcPr>
            <w:tcW w:w="851"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hint="eastAsia" w:ascii="Book Antiqua" w:hAnsi="Book Antiqua" w:cs="Times New Roman" w:eastAsiaTheme="minorEastAsia"/>
                <w:b/>
                <w:color w:val="1A1A1A"/>
                <w:u w:color="1A1A1A"/>
                <w:lang w:val="en-US" w:eastAsia="zh-CN"/>
              </w:rPr>
              <w:t xml:space="preserve"> </w:t>
            </w:r>
            <w:r>
              <w:rPr>
                <w:rFonts w:ascii="Book Antiqua" w:hAnsi="Book Antiqua" w:cs="Times New Roman"/>
                <w:b/>
                <w:color w:val="1A1A1A"/>
                <w:u w:color="1A1A1A"/>
              </w:rPr>
              <w:t>(Belatacept)</w:t>
            </w:r>
          </w:p>
        </w:tc>
        <w:tc>
          <w:tcPr>
            <w:tcW w:w="851"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hint="eastAsia" w:ascii="Book Antiqua" w:hAnsi="Book Antiqua" w:cs="Times New Roman" w:eastAsiaTheme="minorEastAsia"/>
                <w:b/>
                <w:color w:val="1A1A1A"/>
                <w:u w:color="1A1A1A"/>
                <w:lang w:val="en-US" w:eastAsia="zh-CN"/>
              </w:rPr>
              <w:t xml:space="preserve"> </w:t>
            </w:r>
            <w:r>
              <w:rPr>
                <w:rFonts w:ascii="Book Antiqua" w:hAnsi="Book Antiqua" w:cs="Times New Roman"/>
                <w:b/>
                <w:color w:val="1A1A1A"/>
                <w:u w:color="1A1A1A"/>
              </w:rPr>
              <w:t>(Tacrolimus)</w:t>
            </w:r>
          </w:p>
        </w:tc>
        <w:tc>
          <w:tcPr>
            <w:tcW w:w="851"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hint="eastAsia" w:ascii="Book Antiqua" w:hAnsi="Book Antiqua" w:cs="Times New Roman" w:eastAsiaTheme="minorEastAsia"/>
                <w:b/>
                <w:color w:val="1A1A1A"/>
                <w:u w:color="1A1A1A"/>
                <w:lang w:val="en-US" w:eastAsia="zh-CN"/>
              </w:rPr>
              <w:t xml:space="preserve"> </w:t>
            </w:r>
            <w:r>
              <w:rPr>
                <w:rFonts w:ascii="Book Antiqua" w:hAnsi="Book Antiqua" w:cs="Times New Roman"/>
                <w:b/>
                <w:color w:val="1A1A1A"/>
                <w:u w:color="1A1A1A"/>
              </w:rPr>
              <w:t>(Belatacept)</w:t>
            </w:r>
          </w:p>
        </w:tc>
        <w:tc>
          <w:tcPr>
            <w:tcW w:w="851"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hint="eastAsia" w:ascii="Book Antiqua" w:hAnsi="Book Antiqua" w:cs="Times New Roman" w:eastAsiaTheme="minorEastAsia"/>
                <w:b/>
                <w:color w:val="1A1A1A"/>
                <w:u w:color="1A1A1A"/>
                <w:lang w:val="en-US" w:eastAsia="zh-CN"/>
              </w:rPr>
              <w:t xml:space="preserve"> </w:t>
            </w:r>
            <w:r>
              <w:rPr>
                <w:rFonts w:ascii="Book Antiqua" w:hAnsi="Book Antiqua" w:cs="Times New Roman"/>
                <w:b/>
                <w:color w:val="1A1A1A"/>
                <w:u w:color="1A1A1A"/>
              </w:rPr>
              <w:t>(Tacrolimus)</w:t>
            </w:r>
          </w:p>
        </w:tc>
        <w:tc>
          <w:tcPr>
            <w:tcW w:w="851"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hint="eastAsia" w:ascii="Book Antiqua" w:hAnsi="Book Antiqua" w:cs="Times New Roman" w:eastAsiaTheme="minorEastAsia"/>
                <w:b/>
                <w:color w:val="1A1A1A"/>
                <w:u w:color="1A1A1A"/>
                <w:lang w:val="en-US" w:eastAsia="zh-CN"/>
              </w:rPr>
              <w:t xml:space="preserve"> </w:t>
            </w:r>
            <w:r>
              <w:rPr>
                <w:rFonts w:ascii="Book Antiqua" w:hAnsi="Book Antiqua" w:cs="Times New Roman"/>
                <w:b/>
                <w:color w:val="1A1A1A"/>
                <w:u w:color="1A1A1A"/>
              </w:rPr>
              <w:t>(Belatacept)</w:t>
            </w:r>
          </w:p>
        </w:tc>
        <w:tc>
          <w:tcPr>
            <w:tcW w:w="851"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hint="eastAsia" w:ascii="Book Antiqua" w:hAnsi="Book Antiqua" w:cs="Times New Roman" w:eastAsiaTheme="minorEastAsia"/>
                <w:b/>
                <w:color w:val="1A1A1A"/>
                <w:u w:color="1A1A1A"/>
                <w:lang w:val="en-US" w:eastAsia="zh-CN"/>
              </w:rPr>
              <w:t xml:space="preserve"> </w:t>
            </w:r>
            <w:r>
              <w:rPr>
                <w:rFonts w:ascii="Book Antiqua" w:hAnsi="Book Antiqua" w:cs="Times New Roman"/>
                <w:b/>
                <w:color w:val="1A1A1A"/>
                <w:u w:color="1A1A1A"/>
              </w:rPr>
              <w:t>(Tacrolimus)</w:t>
            </w:r>
          </w:p>
        </w:tc>
        <w:tc>
          <w:tcPr>
            <w:tcW w:w="851"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hint="eastAsia" w:ascii="Book Antiqua" w:hAnsi="Book Antiqua" w:cs="Times New Roman" w:eastAsiaTheme="minorEastAsia"/>
                <w:b/>
                <w:color w:val="1A1A1A"/>
                <w:u w:color="1A1A1A"/>
                <w:lang w:val="en-US" w:eastAsia="zh-CN"/>
              </w:rPr>
              <w:t xml:space="preserve"> </w:t>
            </w:r>
            <w:r>
              <w:rPr>
                <w:rFonts w:ascii="Book Antiqua" w:hAnsi="Book Antiqua" w:cs="Times New Roman"/>
                <w:b/>
                <w:color w:val="1A1A1A"/>
                <w:u w:color="1A1A1A"/>
              </w:rPr>
              <w:t>(Belatacept)</w:t>
            </w:r>
          </w:p>
        </w:tc>
        <w:tc>
          <w:tcPr>
            <w:tcW w:w="718" w:type="dxa"/>
            <w:tcBorders>
              <w:top w:val="single" w:color="000000" w:themeColor="text1" w:sz="4" w:space="0"/>
              <w:bottom w:val="single" w:color="000000" w:themeColor="text1" w:sz="4" w:space="0"/>
            </w:tcBorders>
            <w:shd w:val="clear" w:color="auto" w:fill="auto"/>
          </w:tcPr>
          <w:p>
            <w:pPr>
              <w:pStyle w:val="13"/>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hint="eastAsia" w:ascii="Book Antiqua" w:hAnsi="Book Antiqua" w:eastAsia="宋体" w:cs="Times New Roman"/>
                <w:b/>
                <w:color w:val="1A1A1A"/>
                <w:u w:color="1A1A1A"/>
                <w:lang w:val="en-US" w:eastAsia="zh-CN"/>
              </w:rPr>
              <w:t xml:space="preserve"> </w:t>
            </w:r>
            <w:r>
              <w:rPr>
                <w:rFonts w:ascii="Book Antiqua" w:hAnsi="Book Antiqua" w:cs="Times New Roman"/>
                <w:b/>
                <w:color w:val="1A1A1A"/>
                <w:u w:color="1A1A1A"/>
              </w:rPr>
              <w:t>(Tacrolimus)</w:t>
            </w:r>
          </w:p>
        </w:tc>
        <w:tc>
          <w:tcPr>
            <w:tcW w:w="915"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hint="eastAsia" w:ascii="Book Antiqua" w:hAnsi="Book Antiqua" w:cs="Times New Roman" w:eastAsiaTheme="minorEastAsia"/>
                <w:b/>
                <w:color w:val="1A1A1A"/>
                <w:u w:color="1A1A1A"/>
                <w:lang w:val="en-US" w:eastAsia="zh-CN"/>
              </w:rPr>
              <w:t xml:space="preserve"> </w:t>
            </w:r>
            <w:r>
              <w:rPr>
                <w:rFonts w:ascii="Book Antiqua" w:hAnsi="Book Antiqua" w:cs="Times New Roman"/>
                <w:b/>
                <w:color w:val="1A1A1A"/>
                <w:u w:color="1A1A1A"/>
              </w:rPr>
              <w:t>(Belatacept)</w:t>
            </w:r>
          </w:p>
        </w:tc>
        <w:tc>
          <w:tcPr>
            <w:tcW w:w="795"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hint="eastAsia" w:ascii="Book Antiqua" w:hAnsi="Book Antiqua" w:eastAsia="宋体" w:cs="Times New Roman"/>
                <w:b/>
                <w:color w:val="1A1A1A"/>
                <w:u w:color="1A1A1A"/>
                <w:lang w:val="en-US" w:eastAsia="zh-CN"/>
              </w:rPr>
              <w:t xml:space="preserve"> </w:t>
            </w:r>
            <w:r>
              <w:rPr>
                <w:rFonts w:ascii="Book Antiqua" w:hAnsi="Book Antiqua" w:cs="Times New Roman"/>
                <w:b/>
                <w:color w:val="1A1A1A"/>
                <w:u w:color="1A1A1A"/>
              </w:rPr>
              <w:t>(Tacrolimus)</w:t>
            </w:r>
          </w:p>
        </w:tc>
        <w:tc>
          <w:tcPr>
            <w:tcW w:w="840"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hint="eastAsia" w:ascii="Book Antiqua" w:hAnsi="Book Antiqua" w:eastAsia="宋体" w:cs="Times New Roman"/>
                <w:b/>
                <w:color w:val="1A1A1A"/>
                <w:u w:color="1A1A1A"/>
                <w:lang w:val="en-US" w:eastAsia="zh-CN"/>
              </w:rPr>
              <w:t xml:space="preserve"> </w:t>
            </w:r>
            <w:r>
              <w:rPr>
                <w:rFonts w:ascii="Book Antiqua" w:hAnsi="Book Antiqua" w:cs="Times New Roman"/>
                <w:b/>
                <w:color w:val="1A1A1A"/>
                <w:u w:color="1A1A1A"/>
              </w:rPr>
              <w:t>(Belatacept)</w:t>
            </w:r>
          </w:p>
        </w:tc>
        <w:tc>
          <w:tcPr>
            <w:tcW w:w="840" w:type="dxa"/>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hint="eastAsia" w:ascii="Book Antiqua" w:hAnsi="Book Antiqua" w:eastAsia="宋体" w:cs="Times New Roman"/>
                <w:b/>
                <w:color w:val="1A1A1A"/>
                <w:u w:color="1A1A1A"/>
                <w:lang w:val="en-US" w:eastAsia="zh-CN"/>
              </w:rPr>
              <w:t xml:space="preserve"> </w:t>
            </w:r>
            <w:r>
              <w:rPr>
                <w:rFonts w:ascii="Book Antiqua" w:hAnsi="Book Antiqua" w:cs="Times New Roman"/>
                <w:b/>
                <w:color w:val="1A1A1A"/>
                <w:u w:color="1A1A1A"/>
              </w:rPr>
              <w:t>(Tacrolimus)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000000" w:themeColor="text1" w:sz="4" w:space="0"/>
              <w:bottom w:val="nil"/>
            </w:tcBorders>
            <w:shd w:val="clear" w:color="auto" w:fill="auto"/>
          </w:tcPr>
          <w:p>
            <w:pPr>
              <w:pStyle w:val="13"/>
              <w:snapToGrid w:val="0"/>
              <w:spacing w:line="360" w:lineRule="auto"/>
              <w:jc w:val="both"/>
              <w:rPr>
                <w:rFonts w:ascii="Book Antiqua" w:hAnsi="Book Antiqua" w:cs="Times New Roman"/>
                <w:b w:val="0"/>
                <w:bCs/>
              </w:rPr>
            </w:pPr>
            <w:r>
              <w:rPr>
                <w:rFonts w:ascii="Book Antiqua" w:hAnsi="Book Antiqua" w:cs="Times New Roman"/>
                <w:b w:val="0"/>
                <w:bCs/>
                <w:color w:val="000000" w:themeColor="text1"/>
                <w14:textFill>
                  <w14:solidFill>
                    <w14:schemeClr w14:val="tx1"/>
                  </w14:solidFill>
                </w14:textFill>
              </w:rPr>
              <w:t xml:space="preserve">Ferguson </w:t>
            </w:r>
            <w:r>
              <w:rPr>
                <w:rFonts w:ascii="Book Antiqua" w:hAnsi="Book Antiqua" w:cs="Times New Roman"/>
                <w:b w:val="0"/>
                <w:bCs/>
                <w:i/>
                <w:color w:val="000000" w:themeColor="text1"/>
                <w14:textFill>
                  <w14:solidFill>
                    <w14:schemeClr w14:val="tx1"/>
                  </w14:solidFill>
                </w14:textFill>
              </w:rPr>
              <w:t>et al</w:t>
            </w:r>
            <w:r>
              <w:rPr>
                <w:rFonts w:ascii="Book Antiqua" w:hAnsi="Book Antiqua" w:cs="Times New Roman"/>
                <w:b w:val="0"/>
                <w:bCs/>
                <w:color w:val="000000" w:themeColor="text1"/>
                <w:vertAlign w:val="superscript"/>
                <w14:textFill>
                  <w14:solidFill>
                    <w14:schemeClr w14:val="tx1"/>
                  </w14:solidFill>
                </w14:textFill>
              </w:rPr>
              <w:t>[33]</w:t>
            </w:r>
            <w:r>
              <w:rPr>
                <w:rFonts w:ascii="Book Antiqua" w:hAnsi="Book Antiqua" w:cs="Times New Roman"/>
                <w:b w:val="0"/>
                <w:bCs/>
                <w:color w:val="000000" w:themeColor="text1"/>
                <w14:textFill>
                  <w14:solidFill>
                    <w14:schemeClr w14:val="tx1"/>
                  </w14:solidFill>
                </w14:textFill>
              </w:rPr>
              <w:t>, 2011</w:t>
            </w:r>
          </w:p>
        </w:tc>
        <w:tc>
          <w:tcPr>
            <w:tcW w:w="851" w:type="dxa"/>
            <w:tcBorders>
              <w:top w:val="single" w:color="000000" w:themeColor="text1" w:sz="4" w:space="0"/>
            </w:tcBorders>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color w:val="1A1A1A"/>
                <w:u w:color="1A1A1A"/>
              </w:rPr>
              <w:t>0</w:t>
            </w:r>
          </w:p>
        </w:tc>
        <w:tc>
          <w:tcPr>
            <w:tcW w:w="851" w:type="dxa"/>
            <w:tcBorders>
              <w:top w:val="single" w:color="000000" w:themeColor="text1" w:sz="4" w:space="0"/>
            </w:tcBorders>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color w:val="1A1A1A"/>
                <w:u w:color="1A1A1A"/>
              </w:rPr>
              <w:t>0</w:t>
            </w:r>
          </w:p>
        </w:tc>
        <w:tc>
          <w:tcPr>
            <w:tcW w:w="851"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3</w:t>
            </w:r>
          </w:p>
        </w:tc>
        <w:tc>
          <w:tcPr>
            <w:tcW w:w="851"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2</w:t>
            </w:r>
          </w:p>
        </w:tc>
        <w:tc>
          <w:tcPr>
            <w:tcW w:w="851"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851"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718"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915"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p>
        </w:tc>
        <w:tc>
          <w:tcPr>
            <w:tcW w:w="795"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p>
        </w:tc>
        <w:tc>
          <w:tcPr>
            <w:tcW w:w="840"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p>
        </w:tc>
        <w:tc>
          <w:tcPr>
            <w:tcW w:w="840" w:type="dxa"/>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Borders>
              <w:top w:val="nil"/>
            </w:tcBorders>
            <w:shd w:val="clear" w:color="auto" w:fill="auto"/>
          </w:tcPr>
          <w:p>
            <w:pPr>
              <w:pStyle w:val="13"/>
              <w:snapToGrid w:val="0"/>
              <w:spacing w:line="360" w:lineRule="auto"/>
              <w:jc w:val="both"/>
              <w:rPr>
                <w:rFonts w:ascii="Book Antiqua" w:hAnsi="Book Antiqua" w:cs="Times New Roman"/>
                <w:b w:val="0"/>
                <w:bCs/>
              </w:rPr>
            </w:pPr>
            <w:r>
              <w:rPr>
                <w:rFonts w:ascii="Book Antiqua" w:hAnsi="Book Antiqua"/>
                <w:b w:val="0"/>
                <w:bCs/>
                <w:color w:val="000000" w:themeColor="text1"/>
                <w14:textFill>
                  <w14:solidFill>
                    <w14:schemeClr w14:val="tx1"/>
                  </w14:solidFill>
                </w14:textFill>
              </w:rPr>
              <w:t xml:space="preserve">de Graav </w:t>
            </w:r>
            <w:r>
              <w:rPr>
                <w:rFonts w:ascii="Book Antiqua" w:hAnsi="Book Antiqua"/>
                <w:b w:val="0"/>
                <w:bCs/>
                <w:i/>
                <w:color w:val="000000" w:themeColor="text1"/>
                <w14:textFill>
                  <w14:solidFill>
                    <w14:schemeClr w14:val="tx1"/>
                  </w14:solidFill>
                </w14:textFill>
              </w:rPr>
              <w:t>et al</w:t>
            </w:r>
            <w:r>
              <w:rPr>
                <w:rFonts w:ascii="Book Antiqua" w:hAnsi="Book Antiqua"/>
                <w:b w:val="0"/>
                <w:bCs/>
                <w:color w:val="000000" w:themeColor="text1"/>
                <w:vertAlign w:val="superscript"/>
                <w14:textFill>
                  <w14:solidFill>
                    <w14:schemeClr w14:val="tx1"/>
                  </w14:solidFill>
                </w14:textFill>
              </w:rPr>
              <w:t>[34]</w:t>
            </w:r>
            <w:r>
              <w:rPr>
                <w:rFonts w:ascii="Book Antiqua" w:hAnsi="Book Antiqua"/>
                <w:b w:val="0"/>
                <w:bCs/>
                <w:color w:val="000000" w:themeColor="text1"/>
                <w14:textFill>
                  <w14:solidFill>
                    <w14:schemeClr w14:val="tx1"/>
                  </w14:solidFill>
                </w14:textFill>
              </w:rPr>
              <w:t>, 2017</w:t>
            </w:r>
          </w:p>
        </w:tc>
        <w:tc>
          <w:tcPr>
            <w:tcW w:w="851" w:type="dxa"/>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color w:val="1A1A1A"/>
                <w:u w:color="1A1A1A"/>
              </w:rPr>
              <w:t>0</w:t>
            </w:r>
          </w:p>
        </w:tc>
        <w:tc>
          <w:tcPr>
            <w:tcW w:w="851" w:type="dxa"/>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2</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6</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718"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915"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795"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40" w:type="dxa"/>
            <w:shd w:val="clear" w:color="auto" w:fill="auto"/>
          </w:tcPr>
          <w:p>
            <w:pPr>
              <w:pStyle w:val="13"/>
              <w:widowControl w:val="0"/>
              <w:snapToGrid w:val="0"/>
              <w:spacing w:line="360" w:lineRule="auto"/>
              <w:jc w:val="both"/>
              <w:rPr>
                <w:rFonts w:ascii="Book Antiqua" w:hAnsi="Book Antiqua" w:cs="Times New Roman"/>
                <w:color w:val="1A1A1A"/>
                <w:u w:color="1A1A1A"/>
              </w:rPr>
            </w:pPr>
          </w:p>
        </w:tc>
        <w:tc>
          <w:tcPr>
            <w:tcW w:w="840" w:type="dxa"/>
            <w:shd w:val="clear" w:color="auto" w:fill="auto"/>
          </w:tcPr>
          <w:p>
            <w:pPr>
              <w:pStyle w:val="13"/>
              <w:widowControl w:val="0"/>
              <w:snapToGrid w:val="0"/>
              <w:spacing w:line="360" w:lineRule="auto"/>
              <w:jc w:val="both"/>
              <w:rPr>
                <w:rFonts w:ascii="Book Antiqua" w:hAnsi="Book Antiqua" w:cs="Times New Roman"/>
                <w:color w:val="1A1A1A"/>
                <w:u w:color="1A1A1A"/>
              </w:rPr>
            </w:pP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shd w:val="clear" w:color="auto" w:fill="auto"/>
          </w:tcPr>
          <w:p>
            <w:pPr>
              <w:pStyle w:val="13"/>
              <w:snapToGrid w:val="0"/>
              <w:spacing w:line="360" w:lineRule="auto"/>
              <w:jc w:val="both"/>
              <w:rPr>
                <w:rFonts w:ascii="Book Antiqua" w:hAnsi="Book Antiqua" w:cs="Times New Roman"/>
                <w:b w:val="0"/>
                <w:bCs/>
              </w:rPr>
            </w:pPr>
            <w:r>
              <w:rPr>
                <w:rFonts w:ascii="Book Antiqua" w:hAnsi="Book Antiqua" w:cs="Times New Roman"/>
                <w:b w:val="0"/>
                <w:bCs/>
                <w:color w:val="000000" w:themeColor="text1"/>
                <w14:textFill>
                  <w14:solidFill>
                    <w14:schemeClr w14:val="tx1"/>
                  </w14:solidFill>
                </w14:textFill>
              </w:rPr>
              <w:t xml:space="preserve">Newell </w:t>
            </w:r>
            <w:r>
              <w:rPr>
                <w:rFonts w:ascii="Book Antiqua" w:hAnsi="Book Antiqua" w:cs="Times New Roman"/>
                <w:b w:val="0"/>
                <w:bCs/>
                <w:i/>
                <w:color w:val="000000" w:themeColor="text1"/>
                <w14:textFill>
                  <w14:solidFill>
                    <w14:schemeClr w14:val="tx1"/>
                  </w14:solidFill>
                </w14:textFill>
              </w:rPr>
              <w:t>et al</w:t>
            </w:r>
            <w:r>
              <w:rPr>
                <w:rFonts w:ascii="Book Antiqua" w:hAnsi="Book Antiqua" w:cs="Times New Roman"/>
                <w:b w:val="0"/>
                <w:bCs/>
                <w:color w:val="000000" w:themeColor="text1"/>
                <w:vertAlign w:val="superscript"/>
                <w14:textFill>
                  <w14:solidFill>
                    <w14:schemeClr w14:val="tx1"/>
                  </w14:solidFill>
                </w14:textFill>
              </w:rPr>
              <w:t>[35]</w:t>
            </w:r>
            <w:r>
              <w:rPr>
                <w:rFonts w:ascii="Book Antiqua" w:hAnsi="Book Antiqua" w:cs="Times New Roman"/>
                <w:b w:val="0"/>
                <w:bCs/>
                <w:color w:val="000000" w:themeColor="text1"/>
                <w14:textFill>
                  <w14:solidFill>
                    <w14:schemeClr w14:val="tx1"/>
                  </w14:solidFill>
                </w14:textFill>
              </w:rPr>
              <w:t>, 2017</w:t>
            </w:r>
          </w:p>
        </w:tc>
        <w:tc>
          <w:tcPr>
            <w:tcW w:w="851" w:type="dxa"/>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rPr>
              <w:t>1</w:t>
            </w:r>
          </w:p>
        </w:tc>
        <w:tc>
          <w:tcPr>
            <w:tcW w:w="851" w:type="dxa"/>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718"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915" w:type="dxa"/>
            <w:shd w:val="clear" w:color="auto" w:fill="auto"/>
          </w:tcPr>
          <w:p>
            <w:pPr>
              <w:pStyle w:val="13"/>
              <w:widowControl w:val="0"/>
              <w:snapToGrid w:val="0"/>
              <w:spacing w:line="360" w:lineRule="auto"/>
              <w:jc w:val="both"/>
              <w:rPr>
                <w:rFonts w:ascii="Book Antiqua" w:hAnsi="Book Antiqua" w:cs="Times New Roman"/>
                <w:color w:val="1A1A1A"/>
                <w:u w:color="1A1A1A"/>
              </w:rPr>
            </w:pPr>
          </w:p>
        </w:tc>
        <w:tc>
          <w:tcPr>
            <w:tcW w:w="795" w:type="dxa"/>
            <w:shd w:val="clear" w:color="auto" w:fill="auto"/>
          </w:tcPr>
          <w:p>
            <w:pPr>
              <w:pStyle w:val="13"/>
              <w:widowControl w:val="0"/>
              <w:snapToGrid w:val="0"/>
              <w:spacing w:line="360" w:lineRule="auto"/>
              <w:jc w:val="both"/>
              <w:rPr>
                <w:rFonts w:ascii="Book Antiqua" w:hAnsi="Book Antiqua" w:cs="Times New Roman"/>
                <w:color w:val="1A1A1A"/>
                <w:u w:color="1A1A1A"/>
              </w:rPr>
            </w:pPr>
          </w:p>
        </w:tc>
        <w:tc>
          <w:tcPr>
            <w:tcW w:w="840"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840"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shd w:val="clear" w:color="auto" w:fill="auto"/>
          </w:tcPr>
          <w:p>
            <w:pPr>
              <w:pStyle w:val="13"/>
              <w:snapToGrid w:val="0"/>
              <w:spacing w:line="360" w:lineRule="auto"/>
              <w:jc w:val="both"/>
              <w:rPr>
                <w:rFonts w:ascii="Book Antiqua" w:hAnsi="Book Antiqua" w:cs="Times New Roman"/>
                <w:b w:val="0"/>
                <w:bCs/>
              </w:rPr>
            </w:pPr>
            <w:r>
              <w:rPr>
                <w:rFonts w:ascii="Book Antiqua" w:hAnsi="Book Antiqua" w:cs="Times New Roman"/>
                <w:b w:val="0"/>
                <w:bCs/>
              </w:rPr>
              <w:t>Clinicaltrial.gov 1856257</w:t>
            </w:r>
            <w:r>
              <w:rPr>
                <w:rFonts w:ascii="Book Antiqua" w:hAnsi="Book Antiqua" w:cs="Times New Roman"/>
                <w:color w:val="000000" w:themeColor="text1"/>
                <w:vertAlign w:val="superscript"/>
                <w14:textFill>
                  <w14:solidFill>
                    <w14:schemeClr w14:val="tx1"/>
                  </w14:solidFill>
                </w14:textFill>
              </w:rPr>
              <w:t>[3</w:t>
            </w:r>
            <w:r>
              <w:rPr>
                <w:rFonts w:hint="eastAsia" w:ascii="Book Antiqua" w:hAnsi="Book Antiqua" w:eastAsia="宋体" w:cs="Times New Roman"/>
                <w:color w:val="000000" w:themeColor="text1"/>
                <w:vertAlign w:val="superscript"/>
                <w:lang w:val="en-US" w:eastAsia="zh-CN"/>
                <w14:textFill>
                  <w14:solidFill>
                    <w14:schemeClr w14:val="tx1"/>
                  </w14:solidFill>
                </w14:textFill>
              </w:rPr>
              <w:t>6</w:t>
            </w:r>
            <w:r>
              <w:rPr>
                <w:rFonts w:ascii="Book Antiqua" w:hAnsi="Book Antiqua" w:cs="Times New Roman"/>
                <w:color w:val="000000" w:themeColor="text1"/>
                <w:vertAlign w:val="superscript"/>
                <w14:textFill>
                  <w14:solidFill>
                    <w14:schemeClr w14:val="tx1"/>
                  </w14:solidFill>
                </w14:textFill>
              </w:rPr>
              <w:t>]</w:t>
            </w:r>
            <w:r>
              <w:rPr>
                <w:rFonts w:ascii="Book Antiqua" w:hAnsi="Book Antiqua" w:cs="Times New Roman" w:eastAsiaTheme="minorEastAsia"/>
                <w:b w:val="0"/>
                <w:bCs/>
                <w:lang w:eastAsia="zh-CN"/>
              </w:rPr>
              <w:t>,</w:t>
            </w:r>
            <w:r>
              <w:rPr>
                <w:rFonts w:hint="eastAsia" w:ascii="Book Antiqua" w:hAnsi="Book Antiqua" w:cs="Times New Roman" w:eastAsiaTheme="minorEastAsia"/>
                <w:b w:val="0"/>
                <w:bCs/>
                <w:lang w:val="en-US" w:eastAsia="zh-CN"/>
              </w:rPr>
              <w:t xml:space="preserve"> </w:t>
            </w:r>
            <w:r>
              <w:rPr>
                <w:rFonts w:ascii="Book Antiqua" w:hAnsi="Book Antiqua" w:cs="Times New Roman"/>
                <w:b w:val="0"/>
                <w:bCs/>
              </w:rPr>
              <w:t>2017</w:t>
            </w:r>
          </w:p>
        </w:tc>
        <w:tc>
          <w:tcPr>
            <w:tcW w:w="851" w:type="dxa"/>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rPr>
              <w:t>3</w:t>
            </w:r>
          </w:p>
        </w:tc>
        <w:tc>
          <w:tcPr>
            <w:tcW w:w="851" w:type="dxa"/>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4</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851"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2</w:t>
            </w:r>
          </w:p>
        </w:tc>
        <w:tc>
          <w:tcPr>
            <w:tcW w:w="718"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0</w:t>
            </w:r>
          </w:p>
        </w:tc>
        <w:tc>
          <w:tcPr>
            <w:tcW w:w="915" w:type="dxa"/>
            <w:shd w:val="clear" w:color="auto" w:fill="auto"/>
          </w:tcPr>
          <w:p>
            <w:pPr>
              <w:pStyle w:val="13"/>
              <w:widowControl w:val="0"/>
              <w:snapToGrid w:val="0"/>
              <w:spacing w:line="360" w:lineRule="auto"/>
              <w:jc w:val="both"/>
              <w:rPr>
                <w:rFonts w:ascii="Book Antiqua" w:hAnsi="Book Antiqua" w:cs="Times New Roman"/>
                <w:color w:val="1A1A1A"/>
                <w:u w:color="1A1A1A"/>
              </w:rPr>
            </w:pPr>
          </w:p>
        </w:tc>
        <w:tc>
          <w:tcPr>
            <w:tcW w:w="795" w:type="dxa"/>
            <w:shd w:val="clear" w:color="auto" w:fill="auto"/>
          </w:tcPr>
          <w:p>
            <w:pPr>
              <w:pStyle w:val="13"/>
              <w:widowControl w:val="0"/>
              <w:snapToGrid w:val="0"/>
              <w:spacing w:line="360" w:lineRule="auto"/>
              <w:jc w:val="both"/>
              <w:rPr>
                <w:rFonts w:ascii="Book Antiqua" w:hAnsi="Book Antiqua" w:cs="Times New Roman"/>
                <w:color w:val="1A1A1A"/>
                <w:u w:color="1A1A1A"/>
              </w:rPr>
            </w:pPr>
          </w:p>
        </w:tc>
        <w:tc>
          <w:tcPr>
            <w:tcW w:w="840"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c>
          <w:tcPr>
            <w:tcW w:w="840" w:type="dxa"/>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w:t>
            </w:r>
          </w:p>
        </w:tc>
      </w:tr>
    </w:tbl>
    <w:p>
      <w:pPr>
        <w:pStyle w:val="13"/>
        <w:snapToGrid w:val="0"/>
        <w:spacing w:line="360" w:lineRule="auto"/>
        <w:jc w:val="both"/>
        <w:rPr>
          <w:rFonts w:ascii="Book Antiqua" w:hAnsi="Book Antiqua"/>
        </w:rPr>
      </w:pPr>
      <w:r>
        <w:rPr>
          <w:rFonts w:ascii="Book Antiqua" w:hAnsi="Book Antiqua"/>
        </w:rPr>
        <w:t>BPAR: Biopsy proven acute rejection;</w:t>
      </w:r>
      <w:r>
        <w:rPr>
          <w:rFonts w:ascii="Book Antiqua" w:hAnsi="Book Antiqua" w:eastAsiaTheme="minorEastAsia"/>
          <w:lang w:eastAsia="zh-CN"/>
        </w:rPr>
        <w:t xml:space="preserve"> </w:t>
      </w:r>
      <w:r>
        <w:rPr>
          <w:rFonts w:ascii="Book Antiqua" w:hAnsi="Book Antiqua"/>
        </w:rPr>
        <w:t>Gp: Group;</w:t>
      </w:r>
      <w:r>
        <w:rPr>
          <w:rFonts w:ascii="Book Antiqua" w:hAnsi="Book Antiqua" w:eastAsiaTheme="minorEastAsia"/>
          <w:lang w:eastAsia="zh-CN"/>
        </w:rPr>
        <w:t xml:space="preserve"> </w:t>
      </w:r>
      <w:r>
        <w:rPr>
          <w:rFonts w:ascii="Book Antiqua" w:hAnsi="Book Antiqua"/>
        </w:rPr>
        <w:t>AMR: Antibody mediated rejection.</w:t>
      </w:r>
    </w:p>
    <w:p>
      <w:pPr>
        <w:snapToGrid w:val="0"/>
        <w:spacing w:line="360" w:lineRule="auto"/>
        <w:jc w:val="both"/>
        <w:rPr>
          <w:rFonts w:ascii="Book Antiqua" w:hAnsi="Book Antiqua"/>
          <w:b/>
        </w:rPr>
      </w:pPr>
      <w:r>
        <w:rPr>
          <w:rFonts w:ascii="Book Antiqua" w:hAnsi="Book Antiqua"/>
          <w:b/>
        </w:rPr>
        <w:br w:type="page"/>
      </w:r>
      <w:r>
        <w:rPr>
          <w:rFonts w:ascii="Book Antiqua" w:hAnsi="Book Antiqua"/>
          <w:b/>
        </w:rPr>
        <w:t>Table 5 Summary of metabolic outcomes in clinical trials</w:t>
      </w:r>
    </w:p>
    <w:tbl>
      <w:tblPr>
        <w:tblStyle w:val="14"/>
        <w:tblpPr w:leftFromText="180" w:rightFromText="180" w:vertAnchor="text" w:horzAnchor="page" w:tblpX="598" w:tblpY="105"/>
        <w:tblW w:w="5528" w:type="pct"/>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9"/>
        <w:gridCol w:w="1535"/>
        <w:gridCol w:w="1653"/>
        <w:gridCol w:w="1656"/>
        <w:gridCol w:w="1638"/>
        <w:gridCol w:w="1391"/>
        <w:gridCol w:w="1198"/>
        <w:gridCol w:w="1473"/>
        <w:gridCol w:w="1609"/>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588" w:type="pct"/>
            <w:tcBorders>
              <w:top w:val="single" w:color="auto"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bCs w:val="0"/>
                <w:color w:val="auto"/>
                <w:u w:color="FFFFFF"/>
              </w:rPr>
            </w:pPr>
            <w:r>
              <w:rPr>
                <w:rFonts w:ascii="Book Antiqua" w:hAnsi="Book Antiqua" w:cs="Times New Roman"/>
                <w:b/>
                <w:bCs/>
                <w:color w:val="auto"/>
                <w:u w:color="FFFFFF"/>
              </w:rPr>
              <w:t>Parameters</w:t>
            </w:r>
          </w:p>
        </w:tc>
        <w:tc>
          <w:tcPr>
            <w:tcW w:w="1157" w:type="pct"/>
            <w:gridSpan w:val="2"/>
            <w:tcBorders>
              <w:top w:val="single" w:color="auto"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bCs w:val="0"/>
                <w:color w:val="auto"/>
                <w:u w:color="FFFFFF"/>
              </w:rPr>
            </w:pPr>
            <w:r>
              <w:rPr>
                <w:rFonts w:ascii="Book Antiqua" w:hAnsi="Book Antiqua" w:cs="Times New Roman"/>
                <w:b/>
                <w:bCs/>
                <w:color w:val="000000" w:themeColor="text1"/>
                <w14:textFill>
                  <w14:solidFill>
                    <w14:schemeClr w14:val="tx1"/>
                  </w14:solidFill>
                </w14:textFill>
              </w:rPr>
              <w:t xml:space="preserve">Ferguson </w:t>
            </w:r>
            <w:r>
              <w:rPr>
                <w:rFonts w:ascii="Book Antiqua" w:hAnsi="Book Antiqua" w:cs="Times New Roman"/>
                <w:b/>
                <w:bCs/>
                <w:i/>
                <w:color w:val="000000" w:themeColor="text1"/>
                <w14:textFill>
                  <w14:solidFill>
                    <w14:schemeClr w14:val="tx1"/>
                  </w14:solidFill>
                </w14:textFill>
              </w:rPr>
              <w:t>et al</w:t>
            </w:r>
            <w:r>
              <w:rPr>
                <w:rFonts w:ascii="Book Antiqua" w:hAnsi="Book Antiqua" w:cs="Times New Roman"/>
                <w:b/>
                <w:bCs/>
                <w:color w:val="000000" w:themeColor="text1"/>
                <w:vertAlign w:val="superscript"/>
                <w14:textFill>
                  <w14:solidFill>
                    <w14:schemeClr w14:val="tx1"/>
                  </w14:solidFill>
                </w14:textFill>
              </w:rPr>
              <w:t>[33]</w:t>
            </w:r>
            <w:r>
              <w:rPr>
                <w:rFonts w:ascii="Book Antiqua" w:hAnsi="Book Antiqua" w:cs="Times New Roman"/>
                <w:b/>
                <w:bCs/>
                <w:color w:val="000000" w:themeColor="text1"/>
                <w14:textFill>
                  <w14:solidFill>
                    <w14:schemeClr w14:val="tx1"/>
                  </w14:solidFill>
                </w14:textFill>
              </w:rPr>
              <w:t>, 2011 (25)</w:t>
            </w:r>
          </w:p>
        </w:tc>
        <w:tc>
          <w:tcPr>
            <w:tcW w:w="1196" w:type="pct"/>
            <w:gridSpan w:val="2"/>
            <w:tcBorders>
              <w:top w:val="single" w:color="auto" w:sz="4" w:space="0"/>
              <w:left w:val="nil"/>
              <w:bottom w:val="single" w:color="000000" w:themeColor="text1" w:sz="4" w:space="0"/>
              <w:right w:val="nil"/>
              <w:insideV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both"/>
              <w:rPr>
                <w:rFonts w:ascii="Book Antiqua" w:hAnsi="Book Antiqua"/>
                <w:b/>
                <w:bCs/>
                <w:color w:val="auto"/>
              </w:rPr>
            </w:pPr>
            <w:r>
              <w:rPr>
                <w:rFonts w:ascii="Book Antiqua" w:hAnsi="Book Antiqua"/>
                <w:b/>
                <w:bCs/>
                <w:color w:val="000000" w:themeColor="text1"/>
                <w14:textFill>
                  <w14:solidFill>
                    <w14:schemeClr w14:val="tx1"/>
                  </w14:solidFill>
                </w14:textFill>
              </w:rPr>
              <w:t xml:space="preserve">de Graav </w:t>
            </w:r>
            <w:r>
              <w:rPr>
                <w:rFonts w:ascii="Book Antiqua" w:hAnsi="Book Antiqua"/>
                <w:b/>
                <w:bCs/>
                <w:i/>
                <w:color w:val="000000" w:themeColor="text1"/>
                <w14:textFill>
                  <w14:solidFill>
                    <w14:schemeClr w14:val="tx1"/>
                  </w14:solidFill>
                </w14:textFill>
              </w:rPr>
              <w:t>et al</w:t>
            </w:r>
            <w:r>
              <w:rPr>
                <w:rFonts w:ascii="Book Antiqua" w:hAnsi="Book Antiqua"/>
                <w:b/>
                <w:bCs/>
                <w:color w:val="000000" w:themeColor="text1"/>
                <w:vertAlign w:val="superscript"/>
                <w14:textFill>
                  <w14:solidFill>
                    <w14:schemeClr w14:val="tx1"/>
                  </w14:solidFill>
                </w14:textFill>
              </w:rPr>
              <w:t>[34]</w:t>
            </w:r>
            <w:r>
              <w:rPr>
                <w:rFonts w:ascii="Book Antiqua" w:hAnsi="Book Antiqua"/>
                <w:b/>
                <w:bCs/>
                <w:color w:val="000000" w:themeColor="text1"/>
                <w14:textFill>
                  <w14:solidFill>
                    <w14:schemeClr w14:val="tx1"/>
                  </w14:solidFill>
                </w14:textFill>
              </w:rPr>
              <w:t>, 2017</w:t>
            </w:r>
          </w:p>
        </w:tc>
        <w:tc>
          <w:tcPr>
            <w:tcW w:w="940" w:type="pct"/>
            <w:gridSpan w:val="2"/>
            <w:tcBorders>
              <w:top w:val="single" w:color="auto"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bCs w:val="0"/>
                <w:color w:val="auto"/>
                <w:u w:color="FFFFFF"/>
              </w:rPr>
            </w:pPr>
            <w:r>
              <w:rPr>
                <w:rFonts w:ascii="Book Antiqua" w:hAnsi="Book Antiqua" w:cs="Times New Roman"/>
                <w:b/>
                <w:bCs/>
                <w:color w:val="000000" w:themeColor="text1"/>
                <w14:textFill>
                  <w14:solidFill>
                    <w14:schemeClr w14:val="tx1"/>
                  </w14:solidFill>
                </w14:textFill>
              </w:rPr>
              <w:t xml:space="preserve">Newell </w:t>
            </w:r>
            <w:r>
              <w:rPr>
                <w:rFonts w:ascii="Book Antiqua" w:hAnsi="Book Antiqua" w:cs="Times New Roman"/>
                <w:b/>
                <w:bCs/>
                <w:i/>
                <w:color w:val="000000" w:themeColor="text1"/>
                <w14:textFill>
                  <w14:solidFill>
                    <w14:schemeClr w14:val="tx1"/>
                  </w14:solidFill>
                </w14:textFill>
              </w:rPr>
              <w:t>et al</w:t>
            </w:r>
            <w:r>
              <w:rPr>
                <w:rFonts w:ascii="Book Antiqua" w:hAnsi="Book Antiqua" w:cs="Times New Roman"/>
                <w:b/>
                <w:bCs/>
                <w:color w:val="000000" w:themeColor="text1"/>
                <w:vertAlign w:val="superscript"/>
                <w14:textFill>
                  <w14:solidFill>
                    <w14:schemeClr w14:val="tx1"/>
                  </w14:solidFill>
                </w14:textFill>
              </w:rPr>
              <w:t>[35]</w:t>
            </w:r>
            <w:r>
              <w:rPr>
                <w:rFonts w:ascii="Book Antiqua" w:hAnsi="Book Antiqua" w:cs="Times New Roman"/>
                <w:b/>
                <w:bCs/>
                <w:color w:val="000000" w:themeColor="text1"/>
                <w14:textFill>
                  <w14:solidFill>
                    <w14:schemeClr w14:val="tx1"/>
                  </w14:solidFill>
                </w14:textFill>
              </w:rPr>
              <w:t>, 2017 (27)</w:t>
            </w:r>
          </w:p>
        </w:tc>
        <w:tc>
          <w:tcPr>
            <w:tcW w:w="1119" w:type="pct"/>
            <w:gridSpan w:val="2"/>
            <w:tcBorders>
              <w:top w:val="single" w:color="auto" w:sz="4" w:space="0"/>
              <w:left w:val="nil"/>
              <w:bottom w:val="single" w:color="000000" w:themeColor="text1" w:sz="4" w:space="0"/>
              <w:right w:val="nil"/>
              <w:insideV w:val="nil"/>
            </w:tcBorders>
            <w:shd w:val="clear" w:color="auto" w:fill="auto"/>
          </w:tcPr>
          <w:p>
            <w:pPr>
              <w:pStyle w:val="13"/>
              <w:snapToGrid w:val="0"/>
              <w:spacing w:line="360" w:lineRule="auto"/>
              <w:jc w:val="both"/>
              <w:rPr>
                <w:rFonts w:ascii="Book Antiqua" w:hAnsi="Book Antiqua" w:cs="Times New Roman"/>
                <w:b/>
                <w:bCs/>
                <w:color w:val="auto"/>
              </w:rPr>
            </w:pPr>
            <w:r>
              <w:rPr>
                <w:rFonts w:ascii="Book Antiqua" w:hAnsi="Book Antiqua" w:cs="Times New Roman"/>
                <w:b/>
                <w:bCs/>
                <w:color w:val="auto"/>
              </w:rPr>
              <w:t>Clinicaltrial.gov</w:t>
            </w:r>
            <w:r>
              <w:rPr>
                <w:rFonts w:hint="eastAsia" w:ascii="Book Antiqua" w:hAnsi="Book Antiqua" w:eastAsia="宋体" w:cs="Times New Roman"/>
                <w:b/>
                <w:bCs/>
                <w:color w:val="auto"/>
                <w:lang w:val="en-US" w:eastAsia="zh-CN"/>
              </w:rPr>
              <w:t xml:space="preserve"> </w:t>
            </w:r>
            <w:r>
              <w:rPr>
                <w:rFonts w:ascii="Book Antiqua" w:hAnsi="Book Antiqua" w:cs="Times New Roman"/>
                <w:b/>
                <w:bCs/>
                <w:color w:val="auto"/>
              </w:rPr>
              <w:t>1856257,</w:t>
            </w:r>
            <w:r>
              <w:rPr>
                <w:rFonts w:ascii="Book Antiqua" w:hAnsi="Book Antiqua" w:cs="Times New Roman" w:eastAsiaTheme="minorEastAsia"/>
                <w:b/>
                <w:bCs/>
                <w:color w:val="auto"/>
                <w:lang w:eastAsia="zh-CN"/>
              </w:rPr>
              <w:t xml:space="preserve"> </w:t>
            </w:r>
            <w:r>
              <w:rPr>
                <w:rFonts w:ascii="Book Antiqua" w:hAnsi="Book Antiqua" w:cs="Times New Roman"/>
                <w:b/>
                <w:bCs/>
                <w:color w:val="auto"/>
              </w:rPr>
              <w:t>2017 (28)</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588" w:type="pct"/>
            <w:tcBorders>
              <w:top w:val="single" w:color="000000" w:themeColor="text1" w:sz="4" w:space="0"/>
              <w:bottom w:val="single" w:color="000000" w:themeColor="text1" w:sz="4" w:space="0"/>
            </w:tcBorders>
            <w:shd w:val="clear" w:color="auto" w:fill="auto"/>
          </w:tcPr>
          <w:p>
            <w:pPr>
              <w:pStyle w:val="13"/>
              <w:snapToGrid w:val="0"/>
              <w:spacing w:line="360" w:lineRule="auto"/>
              <w:jc w:val="both"/>
              <w:rPr>
                <w:rFonts w:ascii="Book Antiqua" w:hAnsi="Book Antiqua" w:cs="Times New Roman"/>
                <w:b/>
                <w:bCs/>
              </w:rPr>
            </w:pPr>
          </w:p>
        </w:tc>
        <w:tc>
          <w:tcPr>
            <w:tcW w:w="557" w:type="pct"/>
            <w:tcBorders>
              <w:top w:val="single" w:color="000000" w:themeColor="text1" w:sz="4" w:space="0"/>
              <w:bottom w:val="single" w:color="000000" w:themeColor="text1" w:sz="4" w:space="0"/>
            </w:tcBorders>
            <w:shd w:val="clear" w:color="auto" w:fill="auto"/>
          </w:tcPr>
          <w:p>
            <w:pPr>
              <w:pStyle w:val="13"/>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ascii="Book Antiqua" w:hAnsi="Book Antiqua" w:cs="Times New Roman" w:eastAsiaTheme="minorEastAsia"/>
                <w:b/>
                <w:color w:val="1A1A1A"/>
                <w:u w:color="1A1A1A"/>
                <w:lang w:eastAsia="zh-CN"/>
              </w:rPr>
              <w:t xml:space="preserve"> </w:t>
            </w:r>
            <w:r>
              <w:rPr>
                <w:rFonts w:ascii="Book Antiqua" w:hAnsi="Book Antiqua" w:cs="Times New Roman"/>
                <w:b/>
                <w:color w:val="1A1A1A"/>
                <w:u w:color="1A1A1A"/>
              </w:rPr>
              <w:t>(Belatacept)</w:t>
            </w:r>
          </w:p>
        </w:tc>
        <w:tc>
          <w:tcPr>
            <w:tcW w:w="600" w:type="pct"/>
            <w:tcBorders>
              <w:top w:val="single" w:color="000000" w:themeColor="text1" w:sz="4" w:space="0"/>
              <w:bottom w:val="single" w:color="000000" w:themeColor="text1" w:sz="4" w:space="0"/>
            </w:tcBorders>
            <w:shd w:val="clear" w:color="auto" w:fill="auto"/>
          </w:tcPr>
          <w:p>
            <w:pPr>
              <w:pStyle w:val="13"/>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ascii="Book Antiqua" w:hAnsi="Book Antiqua" w:cs="Times New Roman" w:eastAsiaTheme="minorEastAsia"/>
                <w:b/>
                <w:color w:val="1A1A1A"/>
                <w:u w:color="1A1A1A"/>
                <w:lang w:eastAsia="zh-CN"/>
              </w:rPr>
              <w:t xml:space="preserve"> </w:t>
            </w:r>
            <w:r>
              <w:rPr>
                <w:rFonts w:ascii="Book Antiqua" w:hAnsi="Book Antiqua" w:cs="Times New Roman"/>
                <w:b/>
                <w:color w:val="1A1A1A"/>
                <w:u w:color="1A1A1A"/>
              </w:rPr>
              <w:t>(Tacrolimus)</w:t>
            </w:r>
          </w:p>
        </w:tc>
        <w:tc>
          <w:tcPr>
            <w:tcW w:w="601" w:type="pct"/>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ascii="Book Antiqua" w:hAnsi="Book Antiqua" w:cs="Times New Roman" w:eastAsiaTheme="minorEastAsia"/>
                <w:b/>
                <w:color w:val="1A1A1A"/>
                <w:u w:color="1A1A1A"/>
                <w:lang w:eastAsia="zh-CN"/>
              </w:rPr>
              <w:t xml:space="preserve"> </w:t>
            </w:r>
            <w:r>
              <w:rPr>
                <w:rFonts w:ascii="Book Antiqua" w:hAnsi="Book Antiqua" w:cs="Times New Roman"/>
                <w:b/>
                <w:color w:val="1A1A1A"/>
                <w:u w:color="1A1A1A"/>
              </w:rPr>
              <w:t>(Belatacept)</w:t>
            </w:r>
          </w:p>
        </w:tc>
        <w:tc>
          <w:tcPr>
            <w:tcW w:w="595" w:type="pct"/>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ascii="Book Antiqua" w:hAnsi="Book Antiqua" w:cs="Times New Roman" w:eastAsiaTheme="minorEastAsia"/>
                <w:b/>
                <w:color w:val="1A1A1A"/>
                <w:u w:color="1A1A1A"/>
                <w:lang w:eastAsia="zh-CN"/>
              </w:rPr>
              <w:t xml:space="preserve"> </w:t>
            </w:r>
            <w:r>
              <w:rPr>
                <w:rFonts w:ascii="Book Antiqua" w:hAnsi="Book Antiqua" w:cs="Times New Roman"/>
                <w:b/>
                <w:color w:val="1A1A1A"/>
                <w:u w:color="1A1A1A"/>
              </w:rPr>
              <w:t>(Tacrolimus)</w:t>
            </w:r>
          </w:p>
        </w:tc>
        <w:tc>
          <w:tcPr>
            <w:tcW w:w="505" w:type="pct"/>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ascii="Book Antiqua" w:hAnsi="Book Antiqua" w:cs="Times New Roman" w:eastAsiaTheme="minorEastAsia"/>
                <w:b/>
                <w:color w:val="1A1A1A"/>
                <w:u w:color="1A1A1A"/>
                <w:lang w:eastAsia="zh-CN"/>
              </w:rPr>
              <w:t xml:space="preserve"> </w:t>
            </w:r>
            <w:r>
              <w:rPr>
                <w:rFonts w:ascii="Book Antiqua" w:hAnsi="Book Antiqua" w:cs="Times New Roman"/>
                <w:b/>
                <w:color w:val="1A1A1A"/>
                <w:u w:color="1A1A1A"/>
              </w:rPr>
              <w:t>(Belatacept)</w:t>
            </w:r>
          </w:p>
        </w:tc>
        <w:tc>
          <w:tcPr>
            <w:tcW w:w="435" w:type="pct"/>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ascii="Book Antiqua" w:hAnsi="Book Antiqua" w:cs="Times New Roman" w:eastAsiaTheme="minorEastAsia"/>
                <w:b/>
                <w:color w:val="1A1A1A"/>
                <w:u w:color="1A1A1A"/>
                <w:lang w:eastAsia="zh-CN"/>
              </w:rPr>
              <w:t xml:space="preserve"> </w:t>
            </w:r>
            <w:r>
              <w:rPr>
                <w:rFonts w:ascii="Book Antiqua" w:hAnsi="Book Antiqua" w:cs="Times New Roman"/>
                <w:b/>
                <w:color w:val="1A1A1A"/>
                <w:u w:color="1A1A1A"/>
              </w:rPr>
              <w:t>(Tacrolimus)</w:t>
            </w:r>
          </w:p>
        </w:tc>
        <w:tc>
          <w:tcPr>
            <w:tcW w:w="535" w:type="pct"/>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Gp1</w:t>
            </w:r>
            <w:r>
              <w:rPr>
                <w:rFonts w:ascii="Book Antiqua" w:hAnsi="Book Antiqua" w:cs="Times New Roman" w:eastAsiaTheme="minorEastAsia"/>
                <w:b/>
                <w:color w:val="1A1A1A"/>
                <w:u w:color="1A1A1A"/>
                <w:lang w:eastAsia="zh-CN"/>
              </w:rPr>
              <w:t xml:space="preserve"> </w:t>
            </w:r>
            <w:r>
              <w:rPr>
                <w:rFonts w:ascii="Book Antiqua" w:hAnsi="Book Antiqua" w:cs="Times New Roman"/>
                <w:b/>
                <w:color w:val="1A1A1A"/>
                <w:u w:color="1A1A1A"/>
              </w:rPr>
              <w:t>(Belatacept)</w:t>
            </w:r>
          </w:p>
        </w:tc>
        <w:tc>
          <w:tcPr>
            <w:tcW w:w="584" w:type="pct"/>
            <w:tcBorders>
              <w:top w:val="single" w:color="000000" w:themeColor="text1" w:sz="4" w:space="0"/>
              <w:bottom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b/>
                <w:color w:val="1A1A1A"/>
                <w:u w:color="1A1A1A"/>
              </w:rPr>
            </w:pPr>
            <w:r>
              <w:rPr>
                <w:rFonts w:ascii="Book Antiqua" w:hAnsi="Book Antiqua" w:cs="Times New Roman"/>
                <w:b/>
                <w:color w:val="1A1A1A"/>
                <w:u w:color="1A1A1A"/>
              </w:rPr>
              <w:t>Gp2</w:t>
            </w:r>
            <w:r>
              <w:rPr>
                <w:rFonts w:ascii="Book Antiqua" w:hAnsi="Book Antiqua" w:cs="Times New Roman" w:eastAsiaTheme="minorEastAsia"/>
                <w:b/>
                <w:color w:val="1A1A1A"/>
                <w:u w:color="1A1A1A"/>
                <w:lang w:eastAsia="zh-CN"/>
              </w:rPr>
              <w:t xml:space="preserve"> </w:t>
            </w:r>
            <w:r>
              <w:rPr>
                <w:rFonts w:ascii="Book Antiqua" w:hAnsi="Book Antiqua" w:cs="Times New Roman"/>
                <w:b/>
                <w:color w:val="1A1A1A"/>
                <w:u w:color="1A1A1A"/>
              </w:rPr>
              <w:t>(Tacrolimus)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588" w:type="pct"/>
            <w:tcBorders>
              <w:top w:val="single" w:color="000000" w:themeColor="text1" w:sz="4" w:space="0"/>
            </w:tcBorders>
            <w:shd w:val="clear" w:color="auto" w:fill="auto"/>
          </w:tcPr>
          <w:p>
            <w:pPr>
              <w:pStyle w:val="13"/>
              <w:snapToGrid w:val="0"/>
              <w:spacing w:line="360" w:lineRule="auto"/>
              <w:jc w:val="both"/>
              <w:rPr>
                <w:rFonts w:ascii="Book Antiqua" w:hAnsi="Book Antiqua" w:cs="Times New Roman"/>
                <w:b w:val="0"/>
                <w:bCs/>
              </w:rPr>
            </w:pPr>
            <w:r>
              <w:rPr>
                <w:rFonts w:ascii="Book Antiqua" w:hAnsi="Book Antiqua" w:cs="Times New Roman"/>
                <w:b w:val="0"/>
                <w:bCs/>
              </w:rPr>
              <w:t>Total CH,</w:t>
            </w:r>
            <w:r>
              <w:rPr>
                <w:rFonts w:ascii="Book Antiqua" w:hAnsi="Book Antiqua" w:cs="Times New Roman" w:eastAsiaTheme="minorEastAsia"/>
                <w:b w:val="0"/>
                <w:bCs/>
                <w:lang w:eastAsia="zh-CN"/>
              </w:rPr>
              <w:t xml:space="preserve"> </w:t>
            </w:r>
            <w:r>
              <w:rPr>
                <w:rFonts w:ascii="Book Antiqua" w:hAnsi="Book Antiqua" w:cs="Times New Roman"/>
                <w:b w:val="0"/>
                <w:bCs/>
              </w:rPr>
              <w:t>Mean (SD)</w:t>
            </w:r>
            <w:r>
              <w:rPr>
                <w:rFonts w:ascii="Book Antiqua" w:hAnsi="Book Antiqua" w:cs="Times New Roman" w:eastAsiaTheme="minorEastAsia"/>
                <w:b w:val="0"/>
                <w:bCs/>
                <w:lang w:eastAsia="zh-CN"/>
              </w:rPr>
              <w:t xml:space="preserve"> </w:t>
            </w:r>
            <w:r>
              <w:rPr>
                <w:rFonts w:ascii="Book Antiqua" w:hAnsi="Book Antiqua" w:cs="Times New Roman"/>
                <w:b w:val="0"/>
                <w:bCs/>
              </w:rPr>
              <w:t>(mg/dL)</w:t>
            </w:r>
          </w:p>
        </w:tc>
        <w:tc>
          <w:tcPr>
            <w:tcW w:w="557" w:type="pct"/>
            <w:tcBorders>
              <w:top w:val="single" w:color="000000" w:themeColor="text1" w:sz="4" w:space="0"/>
            </w:tcBorders>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color w:val="1A1A1A"/>
                <w:u w:color="1A1A1A"/>
              </w:rPr>
              <w:t>NA</w:t>
            </w:r>
          </w:p>
        </w:tc>
        <w:tc>
          <w:tcPr>
            <w:tcW w:w="600" w:type="pct"/>
            <w:tcBorders>
              <w:top w:val="single" w:color="000000" w:themeColor="text1" w:sz="4" w:space="0"/>
            </w:tcBorders>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color w:val="1A1A1A"/>
                <w:u w:color="1A1A1A"/>
              </w:rPr>
              <w:t>NA</w:t>
            </w:r>
          </w:p>
        </w:tc>
        <w:tc>
          <w:tcPr>
            <w:tcW w:w="601" w:type="pct"/>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193.34 ± 42.43</w:t>
            </w:r>
          </w:p>
        </w:tc>
        <w:tc>
          <w:tcPr>
            <w:tcW w:w="595" w:type="pct"/>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187.41 ± 42.28</w:t>
            </w:r>
          </w:p>
        </w:tc>
        <w:tc>
          <w:tcPr>
            <w:tcW w:w="505" w:type="pct"/>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187.0</w:t>
            </w:r>
          </w:p>
        </w:tc>
        <w:tc>
          <w:tcPr>
            <w:tcW w:w="435" w:type="pct"/>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156.0 ± 30.4</w:t>
            </w:r>
          </w:p>
        </w:tc>
        <w:tc>
          <w:tcPr>
            <w:tcW w:w="535" w:type="pct"/>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163.7 ± 38.8</w:t>
            </w:r>
          </w:p>
        </w:tc>
        <w:tc>
          <w:tcPr>
            <w:tcW w:w="584" w:type="pct"/>
            <w:tcBorders>
              <w:top w:val="single" w:color="000000" w:themeColor="text1" w:sz="4" w:space="0"/>
            </w:tcBorders>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177.1 ± 25.6</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2" w:hRule="atLeast"/>
        </w:trPr>
        <w:tc>
          <w:tcPr>
            <w:tcW w:w="588" w:type="pct"/>
            <w:shd w:val="clear" w:color="auto" w:fill="auto"/>
          </w:tcPr>
          <w:p>
            <w:pPr>
              <w:pStyle w:val="13"/>
              <w:snapToGrid w:val="0"/>
              <w:spacing w:line="360" w:lineRule="auto"/>
              <w:jc w:val="both"/>
              <w:rPr>
                <w:rFonts w:ascii="Book Antiqua" w:hAnsi="Book Antiqua" w:cs="Times New Roman"/>
                <w:b w:val="0"/>
                <w:bCs/>
              </w:rPr>
            </w:pPr>
            <w:r>
              <w:rPr>
                <w:rFonts w:ascii="Book Antiqua" w:hAnsi="Book Antiqua" w:cs="Times New Roman"/>
                <w:b w:val="0"/>
                <w:bCs/>
              </w:rPr>
              <w:t>Total TG,</w:t>
            </w:r>
            <w:r>
              <w:rPr>
                <w:rFonts w:ascii="Book Antiqua" w:hAnsi="Book Antiqua" w:cs="Times New Roman" w:eastAsiaTheme="minorEastAsia"/>
                <w:b w:val="0"/>
                <w:bCs/>
                <w:lang w:eastAsia="zh-CN"/>
              </w:rPr>
              <w:t xml:space="preserve"> </w:t>
            </w:r>
            <w:r>
              <w:rPr>
                <w:rFonts w:ascii="Book Antiqua" w:hAnsi="Book Antiqua" w:cs="Times New Roman"/>
                <w:b w:val="0"/>
                <w:bCs/>
              </w:rPr>
              <w:t>Mean (SD)</w:t>
            </w:r>
            <w:r>
              <w:rPr>
                <w:rFonts w:ascii="Book Antiqua" w:hAnsi="Book Antiqua" w:cs="Times New Roman" w:eastAsiaTheme="minorEastAsia"/>
                <w:b w:val="0"/>
                <w:bCs/>
                <w:lang w:eastAsia="zh-CN"/>
              </w:rPr>
              <w:t xml:space="preserve"> </w:t>
            </w:r>
            <w:r>
              <w:rPr>
                <w:rFonts w:ascii="Book Antiqua" w:hAnsi="Book Antiqua" w:cs="Times New Roman"/>
                <w:b w:val="0"/>
                <w:bCs/>
              </w:rPr>
              <w:t>(mg/dL)</w:t>
            </w:r>
          </w:p>
        </w:tc>
        <w:tc>
          <w:tcPr>
            <w:tcW w:w="557" w:type="pct"/>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rPr>
              <w:t>NA</w:t>
            </w:r>
          </w:p>
        </w:tc>
        <w:tc>
          <w:tcPr>
            <w:tcW w:w="600" w:type="pct"/>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color w:val="1A1A1A"/>
                <w:u w:color="1A1A1A"/>
              </w:rPr>
              <w:t>NA</w:t>
            </w:r>
          </w:p>
        </w:tc>
        <w:tc>
          <w:tcPr>
            <w:tcW w:w="601"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194.86 ± 51.14</w:t>
            </w:r>
          </w:p>
        </w:tc>
        <w:tc>
          <w:tcPr>
            <w:tcW w:w="59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221 ± 127.87</w:t>
            </w:r>
          </w:p>
        </w:tc>
        <w:tc>
          <w:tcPr>
            <w:tcW w:w="50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 xml:space="preserve">187.0 </w:t>
            </w:r>
          </w:p>
        </w:tc>
        <w:tc>
          <w:tcPr>
            <w:tcW w:w="43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319.3 ± 294.0</w:t>
            </w:r>
          </w:p>
        </w:tc>
        <w:tc>
          <w:tcPr>
            <w:tcW w:w="53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170.0 ± 118.6</w:t>
            </w:r>
          </w:p>
        </w:tc>
        <w:tc>
          <w:tcPr>
            <w:tcW w:w="584"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125.8 ± 93.0</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588" w:type="pct"/>
            <w:shd w:val="clear" w:color="auto" w:fill="auto"/>
          </w:tcPr>
          <w:p>
            <w:pPr>
              <w:pStyle w:val="13"/>
              <w:snapToGrid w:val="0"/>
              <w:spacing w:line="360" w:lineRule="auto"/>
              <w:jc w:val="both"/>
              <w:rPr>
                <w:rFonts w:ascii="Book Antiqua" w:hAnsi="Book Antiqua" w:cs="Times New Roman"/>
                <w:b w:val="0"/>
                <w:bCs/>
              </w:rPr>
            </w:pPr>
            <w:r>
              <w:rPr>
                <w:rFonts w:ascii="Book Antiqua" w:hAnsi="Book Antiqua" w:cs="Times New Roman"/>
                <w:b w:val="0"/>
                <w:bCs/>
              </w:rPr>
              <w:t>LDL,</w:t>
            </w:r>
            <w:r>
              <w:rPr>
                <w:rFonts w:ascii="Book Antiqua" w:hAnsi="Book Antiqua" w:cs="Times New Roman" w:eastAsiaTheme="minorEastAsia"/>
                <w:b w:val="0"/>
                <w:bCs/>
                <w:lang w:eastAsia="zh-CN"/>
              </w:rPr>
              <w:t xml:space="preserve"> </w:t>
            </w:r>
            <w:r>
              <w:rPr>
                <w:rFonts w:ascii="Book Antiqua" w:hAnsi="Book Antiqua" w:cs="Times New Roman"/>
                <w:b w:val="0"/>
                <w:bCs/>
              </w:rPr>
              <w:t>Mean (SD)</w:t>
            </w:r>
            <w:r>
              <w:rPr>
                <w:rFonts w:ascii="Book Antiqua" w:hAnsi="Book Antiqua" w:cs="Times New Roman" w:eastAsiaTheme="minorEastAsia"/>
                <w:b w:val="0"/>
                <w:bCs/>
                <w:lang w:eastAsia="zh-CN"/>
              </w:rPr>
              <w:t xml:space="preserve"> </w:t>
            </w:r>
            <w:r>
              <w:rPr>
                <w:rFonts w:ascii="Book Antiqua" w:hAnsi="Book Antiqua" w:cs="Times New Roman"/>
                <w:b w:val="0"/>
                <w:bCs/>
              </w:rPr>
              <w:t>(mg/dL)</w:t>
            </w:r>
          </w:p>
        </w:tc>
        <w:tc>
          <w:tcPr>
            <w:tcW w:w="557" w:type="pct"/>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rPr>
              <w:t>NA</w:t>
            </w:r>
          </w:p>
        </w:tc>
        <w:tc>
          <w:tcPr>
            <w:tcW w:w="600" w:type="pct"/>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rPr>
              <w:t>NA</w:t>
            </w:r>
          </w:p>
        </w:tc>
        <w:tc>
          <w:tcPr>
            <w:tcW w:w="601"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64.78 ± 30.20</w:t>
            </w:r>
          </w:p>
        </w:tc>
        <w:tc>
          <w:tcPr>
            <w:tcW w:w="59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96.67 ± 55.84</w:t>
            </w:r>
          </w:p>
        </w:tc>
        <w:tc>
          <w:tcPr>
            <w:tcW w:w="50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114.0</w:t>
            </w:r>
          </w:p>
        </w:tc>
        <w:tc>
          <w:tcPr>
            <w:tcW w:w="43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69.5 ± 38.0</w:t>
            </w:r>
          </w:p>
        </w:tc>
        <w:tc>
          <w:tcPr>
            <w:tcW w:w="53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86.3 ± 50.6</w:t>
            </w:r>
          </w:p>
        </w:tc>
        <w:tc>
          <w:tcPr>
            <w:tcW w:w="584"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102.9 ± 17.7</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588" w:type="pct"/>
            <w:shd w:val="clear" w:color="auto" w:fill="auto"/>
          </w:tcPr>
          <w:p>
            <w:pPr>
              <w:pStyle w:val="13"/>
              <w:snapToGrid w:val="0"/>
              <w:spacing w:line="360" w:lineRule="auto"/>
              <w:jc w:val="both"/>
              <w:rPr>
                <w:rFonts w:ascii="Book Antiqua" w:hAnsi="Book Antiqua" w:cs="Times New Roman"/>
                <w:b w:val="0"/>
                <w:bCs/>
              </w:rPr>
            </w:pPr>
            <w:r>
              <w:rPr>
                <w:rFonts w:ascii="Book Antiqua" w:hAnsi="Book Antiqua" w:cs="Times New Roman"/>
                <w:b w:val="0"/>
                <w:bCs/>
              </w:rPr>
              <w:t>BP mm/Hg</w:t>
            </w:r>
            <w:r>
              <w:rPr>
                <w:rFonts w:ascii="Book Antiqua" w:hAnsi="Book Antiqua" w:cs="Times New Roman" w:eastAsiaTheme="minorEastAsia"/>
                <w:b w:val="0"/>
                <w:bCs/>
                <w:lang w:eastAsia="zh-CN"/>
              </w:rPr>
              <w:t xml:space="preserve"> </w:t>
            </w:r>
            <w:r>
              <w:rPr>
                <w:rFonts w:ascii="Book Antiqua" w:hAnsi="Book Antiqua" w:cs="Times New Roman"/>
                <w:b w:val="0"/>
                <w:bCs/>
              </w:rPr>
              <w:t>(SBP/DBP)</w:t>
            </w:r>
            <w:r>
              <w:rPr>
                <w:rFonts w:ascii="Book Antiqua" w:hAnsi="Book Antiqua" w:cs="Times New Roman" w:eastAsiaTheme="minorEastAsia"/>
                <w:b w:val="0"/>
                <w:bCs/>
                <w:lang w:eastAsia="zh-CN"/>
              </w:rPr>
              <w:t xml:space="preserve"> </w:t>
            </w:r>
            <w:r>
              <w:rPr>
                <w:rFonts w:ascii="Book Antiqua" w:hAnsi="Book Antiqua" w:cs="Times New Roman"/>
                <w:b w:val="0"/>
                <w:bCs/>
              </w:rPr>
              <w:t>(12 mo)</w:t>
            </w:r>
          </w:p>
        </w:tc>
        <w:tc>
          <w:tcPr>
            <w:tcW w:w="557" w:type="pct"/>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rPr>
              <w:t>129.3 ± 19.24/73.3 ± 11.96</w:t>
            </w:r>
          </w:p>
        </w:tc>
        <w:tc>
          <w:tcPr>
            <w:tcW w:w="600" w:type="pct"/>
            <w:shd w:val="clear" w:color="auto" w:fill="auto"/>
          </w:tcPr>
          <w:p>
            <w:pPr>
              <w:pStyle w:val="13"/>
              <w:snapToGrid w:val="0"/>
              <w:spacing w:line="360" w:lineRule="auto"/>
              <w:jc w:val="both"/>
              <w:rPr>
                <w:rFonts w:ascii="Book Antiqua" w:hAnsi="Book Antiqua" w:cs="Times New Roman"/>
              </w:rPr>
            </w:pPr>
            <w:r>
              <w:rPr>
                <w:rFonts w:ascii="Book Antiqua" w:hAnsi="Book Antiqua" w:cs="Times New Roman"/>
              </w:rPr>
              <w:t>138.2 ± 19.50/77.6 ± 10.51</w:t>
            </w:r>
          </w:p>
        </w:tc>
        <w:tc>
          <w:tcPr>
            <w:tcW w:w="601"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141.25 ± 14.75/74 .25 ± 8.75</w:t>
            </w:r>
          </w:p>
        </w:tc>
        <w:tc>
          <w:tcPr>
            <w:tcW w:w="59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142.5 ± 17.31/78.0 ± 13.0</w:t>
            </w:r>
          </w:p>
        </w:tc>
        <w:tc>
          <w:tcPr>
            <w:tcW w:w="50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146.7 ± 5.1/92.7 ± 9.8</w:t>
            </w:r>
          </w:p>
        </w:tc>
        <w:tc>
          <w:tcPr>
            <w:tcW w:w="43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147.5 ± 18.7/80.8 ± 12.8</w:t>
            </w:r>
          </w:p>
        </w:tc>
        <w:tc>
          <w:tcPr>
            <w:tcW w:w="535"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133.7 ± 14.7/79.1 ± 10.2</w:t>
            </w:r>
          </w:p>
        </w:tc>
        <w:tc>
          <w:tcPr>
            <w:tcW w:w="584" w:type="pct"/>
            <w:shd w:val="clear" w:color="auto" w:fill="auto"/>
          </w:tcPr>
          <w:p>
            <w:pPr>
              <w:pStyle w:val="13"/>
              <w:widowControl w:val="0"/>
              <w:snapToGrid w:val="0"/>
              <w:spacing w:line="360" w:lineRule="auto"/>
              <w:jc w:val="both"/>
              <w:rPr>
                <w:rFonts w:ascii="Book Antiqua" w:hAnsi="Book Antiqua" w:cs="Times New Roman"/>
                <w:color w:val="1A1A1A"/>
                <w:u w:color="1A1A1A"/>
              </w:rPr>
            </w:pPr>
            <w:r>
              <w:rPr>
                <w:rFonts w:ascii="Book Antiqua" w:hAnsi="Book Antiqua" w:cs="Times New Roman"/>
                <w:color w:val="1A1A1A"/>
                <w:u w:color="1A1A1A"/>
              </w:rPr>
              <w:t>135.0 ± 18.9/77.7 ± 10.9</w:t>
            </w:r>
          </w:p>
        </w:tc>
      </w:tr>
    </w:tbl>
    <w:p>
      <w:pPr>
        <w:pStyle w:val="13"/>
        <w:snapToGrid w:val="0"/>
        <w:spacing w:line="360" w:lineRule="auto"/>
        <w:jc w:val="both"/>
        <w:rPr>
          <w:rFonts w:ascii="Book Antiqua" w:hAnsi="Book Antiqua"/>
          <w:bCs/>
        </w:rPr>
        <w:sectPr>
          <w:type w:val="continuous"/>
          <w:pgSz w:w="15840" w:h="12240" w:orient="landscape"/>
          <w:pgMar w:top="1440" w:right="1800" w:bottom="1440" w:left="1800" w:header="720" w:footer="720" w:gutter="0"/>
          <w:cols w:space="720" w:num="1"/>
          <w:docGrid w:linePitch="360" w:charSpace="0"/>
        </w:sectPr>
      </w:pPr>
      <w:r>
        <w:rPr>
          <w:rFonts w:ascii="Book Antiqua" w:hAnsi="Book Antiqua"/>
          <w:bCs/>
        </w:rPr>
        <w:t>Lipid parameters represented in mean change from baseline to month 12 post transplantation.</w:t>
      </w:r>
    </w:p>
    <w:p>
      <w:pPr>
        <w:widowControl w:val="0"/>
        <w:jc w:val="center"/>
        <w:rPr>
          <w:rFonts w:ascii="Book Antiqua" w:hAnsi="Book Antiqua" w:eastAsia="宋体"/>
          <w:kern w:val="2"/>
          <w:sz w:val="21"/>
          <w:szCs w:val="22"/>
          <w:lang w:eastAsia="zh-CN"/>
        </w:rPr>
      </w:pPr>
    </w:p>
    <w:p>
      <w:pPr>
        <w:widowControl w:val="0"/>
        <w:jc w:val="center"/>
        <w:rPr>
          <w:rFonts w:hint="eastAsia"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r>
        <w:rPr>
          <w:rFonts w:ascii="Book Antiqua" w:hAnsi="Book Antiqua" w:eastAsia="宋体"/>
          <w:kern w:val="2"/>
          <w:sz w:val="21"/>
          <w:szCs w:val="22"/>
          <w:lang w:eastAsia="zh-CN"/>
        </w:rPr>
        <w:drawing>
          <wp:inline distT="0" distB="0" distL="0" distR="0">
            <wp:extent cx="2499360" cy="1440180"/>
            <wp:effectExtent l="0" t="0" r="1524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widowControl w:val="0"/>
        <w:jc w:val="center"/>
        <w:rPr>
          <w:rFonts w:ascii="Book Antiqua" w:hAnsi="Book Antiqua" w:eastAsia="宋体"/>
          <w:kern w:val="2"/>
          <w:sz w:val="21"/>
          <w:szCs w:val="22"/>
          <w:lang w:eastAsia="zh-CN"/>
        </w:rPr>
      </w:pPr>
    </w:p>
    <w:p>
      <w:pPr>
        <w:widowControl w:val="0"/>
        <w:autoSpaceDE w:val="0"/>
        <w:autoSpaceDN w:val="0"/>
        <w:adjustRightInd w:val="0"/>
        <w:jc w:val="center"/>
        <w:rPr>
          <w:rFonts w:ascii="Book Antiqua" w:hAnsi="Book Antiqua" w:eastAsia="Garamond-Bold" w:cs="Garamond-Bold"/>
          <w:b/>
          <w:bCs/>
          <w:color w:val="000000"/>
          <w:kern w:val="2"/>
          <w:sz w:val="28"/>
          <w:szCs w:val="28"/>
          <w:lang w:eastAsia="zh-CN"/>
        </w:rPr>
      </w:pPr>
      <w:r>
        <w:rPr>
          <w:rFonts w:ascii="Book Antiqua" w:hAnsi="Book Antiqua" w:eastAsia="TimesNewRomanPSMT" w:cs="TimesNewRomanPSMT"/>
          <w:color w:val="000000"/>
          <w:kern w:val="2"/>
          <w:sz w:val="28"/>
          <w:szCs w:val="28"/>
          <w:lang w:eastAsia="zh-CN"/>
        </w:rPr>
        <w:t xml:space="preserve">Published by </w:t>
      </w:r>
      <w:r>
        <w:rPr>
          <w:rFonts w:ascii="Book Antiqua" w:hAnsi="Book Antiqua" w:eastAsia="Garamond-Bold" w:cs="Garamond-Bold"/>
          <w:b/>
          <w:bCs/>
          <w:color w:val="000000"/>
          <w:kern w:val="2"/>
          <w:sz w:val="28"/>
          <w:szCs w:val="28"/>
          <w:lang w:eastAsia="zh-CN"/>
        </w:rPr>
        <w:t>Baishideng Publishing Group Inc</w:t>
      </w:r>
    </w:p>
    <w:p>
      <w:pPr>
        <w:widowControl w:val="0"/>
        <w:autoSpaceDE w:val="0"/>
        <w:autoSpaceDN w:val="0"/>
        <w:adjustRightInd w:val="0"/>
        <w:jc w:val="center"/>
        <w:rPr>
          <w:rFonts w:ascii="Book Antiqua" w:hAnsi="Book Antiqua" w:eastAsia="TimesNewRomanPSMT" w:cs="Garamond"/>
          <w:color w:val="000000"/>
          <w:kern w:val="2"/>
          <w:sz w:val="28"/>
          <w:szCs w:val="28"/>
          <w:lang w:eastAsia="zh-CN"/>
        </w:rPr>
      </w:pPr>
      <w:r>
        <w:rPr>
          <w:rFonts w:ascii="Book Antiqua" w:hAnsi="Book Antiqua" w:eastAsia="TimesNewRomanPSMT" w:cs="Garamond"/>
          <w:color w:val="000000"/>
          <w:kern w:val="2"/>
          <w:sz w:val="28"/>
          <w:szCs w:val="28"/>
          <w:lang w:eastAsia="zh-CN"/>
        </w:rPr>
        <w:t>7041 Koll Center Parkway, Suite 160, Pleasanton, CA 94566, USA</w:t>
      </w:r>
    </w:p>
    <w:p>
      <w:pPr>
        <w:widowControl w:val="0"/>
        <w:autoSpaceDE w:val="0"/>
        <w:autoSpaceDN w:val="0"/>
        <w:adjustRightInd w:val="0"/>
        <w:jc w:val="center"/>
        <w:rPr>
          <w:rFonts w:ascii="Book Antiqua" w:hAnsi="Book Antiqua" w:eastAsia="TimesNewRomanPSMT" w:cs="Garamond"/>
          <w:color w:val="000000"/>
          <w:kern w:val="2"/>
          <w:sz w:val="28"/>
          <w:szCs w:val="28"/>
          <w:lang w:eastAsia="zh-CN"/>
        </w:rPr>
      </w:pPr>
      <w:r>
        <w:rPr>
          <w:rFonts w:ascii="Book Antiqua" w:hAnsi="Book Antiqua" w:eastAsia="Garamond-Bold" w:cs="Garamond-Bold"/>
          <w:b/>
          <w:bCs/>
          <w:color w:val="000000"/>
          <w:kern w:val="2"/>
          <w:sz w:val="28"/>
          <w:szCs w:val="28"/>
          <w:lang w:eastAsia="zh-CN"/>
        </w:rPr>
        <w:t xml:space="preserve">Telephone: </w:t>
      </w:r>
      <w:r>
        <w:rPr>
          <w:rFonts w:ascii="Book Antiqua" w:hAnsi="Book Antiqua" w:eastAsia="TimesNewRomanPSMT" w:cs="Garamond"/>
          <w:color w:val="000000"/>
          <w:kern w:val="2"/>
          <w:sz w:val="28"/>
          <w:szCs w:val="28"/>
          <w:lang w:eastAsia="zh-CN"/>
        </w:rPr>
        <w:t>+1-925-3991568</w:t>
      </w:r>
    </w:p>
    <w:p>
      <w:pPr>
        <w:widowControl w:val="0"/>
        <w:autoSpaceDE w:val="0"/>
        <w:autoSpaceDN w:val="0"/>
        <w:adjustRightInd w:val="0"/>
        <w:jc w:val="center"/>
        <w:rPr>
          <w:rFonts w:ascii="Book Antiqua" w:hAnsi="Book Antiqua" w:eastAsia="TimesNewRomanPSMT" w:cs="Garamond"/>
          <w:color w:val="D56400"/>
          <w:kern w:val="2"/>
          <w:sz w:val="28"/>
          <w:szCs w:val="28"/>
          <w:lang w:eastAsia="zh-CN"/>
        </w:rPr>
      </w:pPr>
      <w:r>
        <w:rPr>
          <w:rFonts w:ascii="Book Antiqua" w:hAnsi="Book Antiqua" w:eastAsia="Garamond-Bold" w:cs="Garamond-Bold"/>
          <w:b/>
          <w:bCs/>
          <w:color w:val="000000"/>
          <w:kern w:val="2"/>
          <w:sz w:val="28"/>
          <w:szCs w:val="28"/>
          <w:lang w:eastAsia="zh-CN"/>
        </w:rPr>
        <w:t xml:space="preserve">E-mail: </w:t>
      </w:r>
      <w:r>
        <w:rPr>
          <w:rFonts w:ascii="Book Antiqua" w:hAnsi="Book Antiqua" w:eastAsia="TimesNewRomanPSMT" w:cs="Garamond"/>
          <w:color w:val="D56400"/>
          <w:kern w:val="2"/>
          <w:sz w:val="28"/>
          <w:szCs w:val="28"/>
          <w:lang w:eastAsia="zh-CN"/>
        </w:rPr>
        <w:t>bpgoffice@wjgnet.com</w:t>
      </w:r>
    </w:p>
    <w:p>
      <w:pPr>
        <w:widowControl w:val="0"/>
        <w:autoSpaceDE w:val="0"/>
        <w:autoSpaceDN w:val="0"/>
        <w:adjustRightInd w:val="0"/>
        <w:jc w:val="center"/>
        <w:rPr>
          <w:rFonts w:ascii="Book Antiqua" w:hAnsi="Book Antiqua" w:eastAsia="TimesNewRomanPSMT" w:cs="Garamond"/>
          <w:color w:val="D56400"/>
          <w:kern w:val="2"/>
          <w:sz w:val="28"/>
          <w:szCs w:val="28"/>
          <w:lang w:eastAsia="zh-CN"/>
        </w:rPr>
      </w:pPr>
      <w:r>
        <w:rPr>
          <w:rFonts w:ascii="Book Antiqua" w:hAnsi="Book Antiqua" w:eastAsia="Garamond-Bold" w:cs="Garamond-Bold"/>
          <w:b/>
          <w:bCs/>
          <w:color w:val="000000"/>
          <w:kern w:val="2"/>
          <w:sz w:val="28"/>
          <w:szCs w:val="28"/>
          <w:lang w:eastAsia="zh-CN"/>
        </w:rPr>
        <w:t xml:space="preserve">Help Desk: </w:t>
      </w:r>
      <w:r>
        <w:rPr>
          <w:rFonts w:ascii="Book Antiqua" w:hAnsi="Book Antiqua" w:eastAsia="TimesNewRomanPSMT" w:cs="Garamond"/>
          <w:color w:val="D56400"/>
          <w:kern w:val="2"/>
          <w:sz w:val="28"/>
          <w:szCs w:val="28"/>
          <w:lang w:eastAsia="zh-CN"/>
        </w:rPr>
        <w:t>https://www.f6publishing.com/helpdesk</w:t>
      </w:r>
    </w:p>
    <w:p>
      <w:pPr>
        <w:widowControl w:val="0"/>
        <w:jc w:val="center"/>
        <w:rPr>
          <w:rFonts w:ascii="Book Antiqua" w:hAnsi="Book Antiqua" w:eastAsia="宋体"/>
          <w:kern w:val="2"/>
          <w:sz w:val="21"/>
          <w:szCs w:val="22"/>
          <w:lang w:eastAsia="zh-CN"/>
        </w:rPr>
      </w:pPr>
      <w:r>
        <w:rPr>
          <w:rFonts w:ascii="Book Antiqua" w:hAnsi="Book Antiqua" w:eastAsia="TimesNewRomanPSMT" w:cs="Garamond"/>
          <w:color w:val="D56400"/>
          <w:kern w:val="2"/>
          <w:sz w:val="28"/>
          <w:szCs w:val="28"/>
          <w:lang w:eastAsia="zh-CN"/>
        </w:rPr>
        <w:t>https://www.wjgnet.com</w:t>
      </w: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r>
        <w:rPr>
          <w:rFonts w:ascii="Book Antiqua" w:hAnsi="Book Antiqua" w:eastAsia="宋体"/>
          <w:kern w:val="2"/>
          <w:sz w:val="21"/>
          <w:szCs w:val="22"/>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right"/>
        <w:rPr>
          <w:rFonts w:ascii="Book Antiqua" w:hAnsi="Book Antiqua" w:eastAsia="宋体"/>
          <w:color w:val="000000"/>
          <w:kern w:val="2"/>
          <w:sz w:val="21"/>
          <w:szCs w:val="22"/>
          <w:lang w:eastAsia="zh-CN"/>
        </w:rPr>
      </w:pPr>
    </w:p>
    <w:p>
      <w:pPr>
        <w:widowControl w:val="0"/>
        <w:jc w:val="center"/>
        <w:rPr>
          <w:rFonts w:ascii="Book Antiqua" w:hAnsi="Book Antiqua" w:eastAsia="宋体"/>
          <w:color w:val="000000"/>
          <w:kern w:val="2"/>
          <w:sz w:val="21"/>
          <w:szCs w:val="22"/>
          <w:lang w:eastAsia="zh-CN"/>
        </w:rPr>
      </w:pPr>
      <w:r>
        <w:rPr>
          <w:rFonts w:ascii="Book Antiqua" w:hAnsi="Book Antiqua" w:eastAsia="BookAntiqua-Bold" w:cs="BookAntiqua-Bold"/>
          <w:b/>
          <w:bCs/>
          <w:color w:val="000000"/>
          <w:kern w:val="2"/>
          <w:sz w:val="21"/>
          <w:szCs w:val="22"/>
          <w:lang w:eastAsia="zh-CN"/>
        </w:rPr>
        <w:t>© 2021 Baishideng Publishing Group Inc. All rights reserved.</w:t>
      </w:r>
      <w:r>
        <w:rPr>
          <w:rFonts w:ascii="Book Antiqua" w:hAnsi="Book Antiqua" w:eastAsia="宋体"/>
          <w:color w:val="000000"/>
          <w:kern w:val="2"/>
          <w:sz w:val="21"/>
          <w:szCs w:val="22"/>
          <w:lang w:eastAsia="zh-CN"/>
        </w:rPr>
        <w:fldChar w:fldCharType="begin"/>
      </w:r>
      <w:r>
        <w:rPr>
          <w:rFonts w:ascii="Book Antiqua" w:hAnsi="Book Antiqua" w:eastAsia="宋体"/>
          <w:color w:val="000000"/>
          <w:kern w:val="2"/>
          <w:sz w:val="21"/>
          <w:szCs w:val="22"/>
          <w:lang w:eastAsia="zh-CN"/>
        </w:rPr>
        <w:instrText xml:space="preserve"> ADDIN EN.REFLIST </w:instrText>
      </w:r>
      <w:r>
        <w:rPr>
          <w:rFonts w:ascii="Book Antiqua" w:hAnsi="Book Antiqua" w:eastAsia="宋体"/>
          <w:color w:val="000000"/>
          <w:kern w:val="2"/>
          <w:sz w:val="21"/>
          <w:szCs w:val="22"/>
          <w:lang w:eastAsia="zh-CN"/>
        </w:rPr>
        <w:fldChar w:fldCharType="end"/>
      </w:r>
    </w:p>
    <w:p>
      <w:pPr>
        <w:widowControl w:val="0"/>
        <w:snapToGrid w:val="0"/>
        <w:spacing w:line="360" w:lineRule="auto"/>
        <w:jc w:val="both"/>
        <w:rPr>
          <w:rFonts w:ascii="宋体" w:hAnsi="宋体" w:eastAsia="宋体"/>
          <w:b/>
          <w:kern w:val="2"/>
          <w:sz w:val="24"/>
          <w:szCs w:val="24"/>
          <w:lang w:eastAsia="zh-CN"/>
        </w:rPr>
      </w:pPr>
    </w:p>
    <w:p>
      <w:pPr>
        <w:pStyle w:val="13"/>
        <w:snapToGrid w:val="0"/>
        <w:spacing w:line="360" w:lineRule="auto"/>
        <w:jc w:val="both"/>
        <w:rPr>
          <w:rFonts w:ascii="Book Antiqua" w:hAnsi="Book Antiqua"/>
          <w:bCs/>
        </w:rPr>
      </w:pPr>
    </w:p>
    <w:sectPr>
      <w:pgSz w:w="16839" w:h="23814"/>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
    <w:panose1 w:val="02020404030301010803"/>
    <w:charset w:val="00"/>
    <w:family w:val="roman"/>
    <w:pitch w:val="default"/>
    <w:sig w:usb0="00000287" w:usb1="00000000" w:usb2="00000000" w:usb3="00000000" w:csb0="0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BookAntiqua-Bold">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0902087"/>
      <w:docPartObj>
        <w:docPartGallery w:val="autotext"/>
      </w:docPartObj>
    </w:sdtPr>
    <w:sdtContent>
      <w:sdt>
        <w:sdtPr>
          <w:id w:val="-511457872"/>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34</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49</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4CF"/>
    <w:rsid w:val="00006A4E"/>
    <w:rsid w:val="00024DAD"/>
    <w:rsid w:val="000300FC"/>
    <w:rsid w:val="00040C2A"/>
    <w:rsid w:val="0004306A"/>
    <w:rsid w:val="00045B39"/>
    <w:rsid w:val="0009337A"/>
    <w:rsid w:val="00096892"/>
    <w:rsid w:val="000E3930"/>
    <w:rsid w:val="001A2271"/>
    <w:rsid w:val="001B5799"/>
    <w:rsid w:val="002369B3"/>
    <w:rsid w:val="002431BC"/>
    <w:rsid w:val="002556CB"/>
    <w:rsid w:val="002A2AA9"/>
    <w:rsid w:val="002F6BF0"/>
    <w:rsid w:val="00320E47"/>
    <w:rsid w:val="00350F27"/>
    <w:rsid w:val="003A2BF9"/>
    <w:rsid w:val="00407B96"/>
    <w:rsid w:val="004778B2"/>
    <w:rsid w:val="00482EA8"/>
    <w:rsid w:val="004A53B9"/>
    <w:rsid w:val="004B0E8D"/>
    <w:rsid w:val="004D65E4"/>
    <w:rsid w:val="00521801"/>
    <w:rsid w:val="005966A9"/>
    <w:rsid w:val="005A5169"/>
    <w:rsid w:val="005B530A"/>
    <w:rsid w:val="006120B4"/>
    <w:rsid w:val="0063621D"/>
    <w:rsid w:val="00694A41"/>
    <w:rsid w:val="00713397"/>
    <w:rsid w:val="007377C7"/>
    <w:rsid w:val="00776724"/>
    <w:rsid w:val="00791AD0"/>
    <w:rsid w:val="007A0418"/>
    <w:rsid w:val="007A226A"/>
    <w:rsid w:val="007C2F92"/>
    <w:rsid w:val="007C7B6C"/>
    <w:rsid w:val="00843CD5"/>
    <w:rsid w:val="00892AC4"/>
    <w:rsid w:val="00896036"/>
    <w:rsid w:val="00897A5A"/>
    <w:rsid w:val="008A3669"/>
    <w:rsid w:val="008D01D5"/>
    <w:rsid w:val="008D69F6"/>
    <w:rsid w:val="008E24E5"/>
    <w:rsid w:val="009054BC"/>
    <w:rsid w:val="00967D95"/>
    <w:rsid w:val="0099763B"/>
    <w:rsid w:val="009C0D22"/>
    <w:rsid w:val="009D07CC"/>
    <w:rsid w:val="00A1195F"/>
    <w:rsid w:val="00A11F17"/>
    <w:rsid w:val="00A46D42"/>
    <w:rsid w:val="00A65AA9"/>
    <w:rsid w:val="00A75B6D"/>
    <w:rsid w:val="00A77B3E"/>
    <w:rsid w:val="00A849DC"/>
    <w:rsid w:val="00A909A3"/>
    <w:rsid w:val="00A94367"/>
    <w:rsid w:val="00AA1FCC"/>
    <w:rsid w:val="00AD4EAB"/>
    <w:rsid w:val="00B00FBA"/>
    <w:rsid w:val="00B07180"/>
    <w:rsid w:val="00B17CE4"/>
    <w:rsid w:val="00B653E2"/>
    <w:rsid w:val="00B86095"/>
    <w:rsid w:val="00BA414C"/>
    <w:rsid w:val="00BA5154"/>
    <w:rsid w:val="00BB2E7B"/>
    <w:rsid w:val="00BE436F"/>
    <w:rsid w:val="00C05404"/>
    <w:rsid w:val="00C0631A"/>
    <w:rsid w:val="00C32F7B"/>
    <w:rsid w:val="00C36649"/>
    <w:rsid w:val="00C36706"/>
    <w:rsid w:val="00C5347A"/>
    <w:rsid w:val="00C83098"/>
    <w:rsid w:val="00CA2A55"/>
    <w:rsid w:val="00CA4837"/>
    <w:rsid w:val="00CA7E19"/>
    <w:rsid w:val="00D0674E"/>
    <w:rsid w:val="00D16DCB"/>
    <w:rsid w:val="00D21F03"/>
    <w:rsid w:val="00D279EF"/>
    <w:rsid w:val="00D50C24"/>
    <w:rsid w:val="00D66CF1"/>
    <w:rsid w:val="00D7288E"/>
    <w:rsid w:val="00D73CA2"/>
    <w:rsid w:val="00D91819"/>
    <w:rsid w:val="00D94FEC"/>
    <w:rsid w:val="00DB361E"/>
    <w:rsid w:val="00DE29DD"/>
    <w:rsid w:val="00DF5A58"/>
    <w:rsid w:val="00DF5F8C"/>
    <w:rsid w:val="00E02DFD"/>
    <w:rsid w:val="00E430C6"/>
    <w:rsid w:val="00E62B24"/>
    <w:rsid w:val="00E652B4"/>
    <w:rsid w:val="00EC09DD"/>
    <w:rsid w:val="00ED7EEC"/>
    <w:rsid w:val="00EE4B6B"/>
    <w:rsid w:val="00F6678D"/>
    <w:rsid w:val="00F75017"/>
    <w:rsid w:val="00F81778"/>
    <w:rsid w:val="00F856E0"/>
    <w:rsid w:val="00FA4473"/>
    <w:rsid w:val="00FB0023"/>
    <w:rsid w:val="00FC1579"/>
    <w:rsid w:val="00FC1FE4"/>
    <w:rsid w:val="078A61F4"/>
    <w:rsid w:val="086A211F"/>
    <w:rsid w:val="0EDE29C2"/>
    <w:rsid w:val="15925191"/>
    <w:rsid w:val="173B677D"/>
    <w:rsid w:val="1C596E32"/>
    <w:rsid w:val="232D1512"/>
    <w:rsid w:val="25CE2155"/>
    <w:rsid w:val="2C427C74"/>
    <w:rsid w:val="2E0817FE"/>
    <w:rsid w:val="2E186432"/>
    <w:rsid w:val="2E950209"/>
    <w:rsid w:val="2F953134"/>
    <w:rsid w:val="34A72AB5"/>
    <w:rsid w:val="3D101D89"/>
    <w:rsid w:val="49BF28DF"/>
    <w:rsid w:val="4B9773D5"/>
    <w:rsid w:val="4F8E3B4C"/>
    <w:rsid w:val="5820080F"/>
    <w:rsid w:val="5B747C19"/>
    <w:rsid w:val="669E66CF"/>
    <w:rsid w:val="695C5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7"/>
    <w:semiHidden/>
    <w:unhideWhenUsed/>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table" w:styleId="8">
    <w:name w:val="Table Grid"/>
    <w:basedOn w:val="7"/>
    <w:qFormat/>
    <w:uiPriority w:val="39"/>
    <w:rPr>
      <w:rFonts w:asciiTheme="minorHAnsi" w:hAnsiTheme="minorHAnsi" w:eastAsiaTheme="minorHAnsi"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Header Char"/>
    <w:basedOn w:val="9"/>
    <w:link w:val="5"/>
    <w:qFormat/>
    <w:uiPriority w:val="0"/>
    <w:rPr>
      <w:sz w:val="18"/>
      <w:szCs w:val="18"/>
    </w:rPr>
  </w:style>
  <w:style w:type="character" w:customStyle="1" w:styleId="12">
    <w:name w:val="Footer Char"/>
    <w:basedOn w:val="9"/>
    <w:link w:val="4"/>
    <w:qFormat/>
    <w:uiPriority w:val="99"/>
    <w:rPr>
      <w:sz w:val="18"/>
      <w:szCs w:val="18"/>
    </w:rPr>
  </w:style>
  <w:style w:type="paragraph" w:customStyle="1" w:styleId="13">
    <w:name w:val="Body A"/>
    <w:qFormat/>
    <w:uiPriority w:val="0"/>
    <w:pPr>
      <w:pBdr>
        <w:top w:val="none" w:color="auto" w:sz="0" w:space="0"/>
        <w:left w:val="none" w:color="auto" w:sz="0" w:space="0"/>
        <w:bottom w:val="none" w:color="auto" w:sz="0" w:space="0"/>
        <w:right w:val="none" w:color="auto" w:sz="0" w:space="0"/>
        <w:between w:val="none" w:color="auto" w:sz="0" w:space="0"/>
      </w:pBdr>
    </w:pPr>
    <w:rPr>
      <w:rFonts w:ascii="Calibri" w:hAnsi="Calibri" w:eastAsia="Calibri" w:cs="Calibri"/>
      <w:color w:val="000000"/>
      <w:sz w:val="24"/>
      <w:szCs w:val="24"/>
      <w:u w:color="000000"/>
      <w:lang w:val="en-US" w:eastAsia="en-US" w:bidi="ar-SA"/>
    </w:rPr>
  </w:style>
  <w:style w:type="table" w:customStyle="1" w:styleId="14">
    <w:name w:val="Grid Table 4 Accent 1"/>
    <w:basedOn w:val="7"/>
    <w:qFormat/>
    <w:uiPriority w:val="49"/>
    <w:pPr>
      <w:pBdr>
        <w:top w:val="none" w:color="auto" w:sz="0" w:space="0"/>
        <w:left w:val="none" w:color="auto" w:sz="0" w:space="0"/>
        <w:bottom w:val="none" w:color="auto" w:sz="0" w:space="0"/>
        <w:right w:val="none" w:color="auto" w:sz="0" w:space="0"/>
        <w:between w:val="none" w:color="auto" w:sz="0" w:space="0"/>
      </w:pBdr>
    </w:p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15">
    <w:name w:val="Comment Text Char"/>
    <w:basedOn w:val="9"/>
    <w:link w:val="2"/>
    <w:semiHidden/>
    <w:qFormat/>
    <w:uiPriority w:val="0"/>
    <w:rPr>
      <w:sz w:val="24"/>
      <w:szCs w:val="24"/>
    </w:rPr>
  </w:style>
  <w:style w:type="character" w:customStyle="1" w:styleId="16">
    <w:name w:val="Comment Subject Char"/>
    <w:basedOn w:val="15"/>
    <w:link w:val="6"/>
    <w:semiHidden/>
    <w:qFormat/>
    <w:uiPriority w:val="0"/>
    <w:rPr>
      <w:b/>
      <w:bCs/>
      <w:sz w:val="24"/>
      <w:szCs w:val="24"/>
    </w:rPr>
  </w:style>
  <w:style w:type="character" w:customStyle="1" w:styleId="17">
    <w:name w:val="Balloon Text Char"/>
    <w:basedOn w:val="9"/>
    <w:link w:val="3"/>
    <w:semiHidden/>
    <w:qFormat/>
    <w:uiPriority w:val="0"/>
    <w:rPr>
      <w:sz w:val="18"/>
      <w:szCs w:val="18"/>
    </w:rPr>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em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9313</Words>
  <Characters>53086</Characters>
  <Lines>442</Lines>
  <Paragraphs>124</Paragraphs>
  <TotalTime>1</TotalTime>
  <ScaleCrop>false</ScaleCrop>
  <LinksUpToDate>false</LinksUpToDate>
  <CharactersWithSpaces>62275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2021-02-12T18:12:00Z</dcterms:created>
  <dc:creator>holic</dc:creator>
  <cp:lastModifiedBy>千艺言</cp:lastModifiedBy>
  <dcterms:modified xsi:type="dcterms:W3CDTF">2021-03-24T10:02:01Z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A9E7D3EC9F43401A827058B2BFF3A1BD</vt:lpwstr>
  </property>
</Properties>
</file>