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3F0A"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Name of Journal: </w:t>
      </w:r>
      <w:r w:rsidRPr="00CE331D">
        <w:rPr>
          <w:rFonts w:ascii="Book Antiqua" w:eastAsia="Book Antiqua" w:hAnsi="Book Antiqua" w:cs="Book Antiqua"/>
          <w:i/>
          <w:color w:val="000000"/>
        </w:rPr>
        <w:t>World Journal of Gastroenterology</w:t>
      </w:r>
    </w:p>
    <w:p w14:paraId="6AB3152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Manuscript NO: </w:t>
      </w:r>
      <w:r w:rsidRPr="00CE331D">
        <w:rPr>
          <w:rFonts w:ascii="Book Antiqua" w:eastAsia="Book Antiqua" w:hAnsi="Book Antiqua" w:cs="Book Antiqua"/>
          <w:color w:val="000000"/>
        </w:rPr>
        <w:t>61139</w:t>
      </w:r>
    </w:p>
    <w:p w14:paraId="733EA386"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Manuscript Type: </w:t>
      </w:r>
      <w:r w:rsidRPr="00CE331D">
        <w:rPr>
          <w:rFonts w:ascii="Book Antiqua" w:eastAsia="Book Antiqua" w:hAnsi="Book Antiqua" w:cs="Book Antiqua"/>
          <w:color w:val="000000"/>
        </w:rPr>
        <w:t>ORIGINAL ARTICLE</w:t>
      </w:r>
    </w:p>
    <w:p w14:paraId="45143448" w14:textId="77777777" w:rsidR="00A77B3E" w:rsidRPr="00CE331D" w:rsidRDefault="00A77B3E" w:rsidP="00CE331D">
      <w:pPr>
        <w:spacing w:line="360" w:lineRule="auto"/>
        <w:jc w:val="both"/>
        <w:rPr>
          <w:rFonts w:ascii="Book Antiqua" w:hAnsi="Book Antiqua"/>
        </w:rPr>
      </w:pPr>
    </w:p>
    <w:p w14:paraId="33267783"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Retrospective Study</w:t>
      </w:r>
    </w:p>
    <w:p w14:paraId="65C3AFC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Washed microbiota transplantation reduces proton pump inhibitor dependency in nonerosive reflux disease</w:t>
      </w:r>
    </w:p>
    <w:p w14:paraId="1F3A9725" w14:textId="77777777" w:rsidR="00A77B3E" w:rsidRPr="00CE331D" w:rsidRDefault="00A77B3E" w:rsidP="00CE331D">
      <w:pPr>
        <w:spacing w:line="360" w:lineRule="auto"/>
        <w:jc w:val="both"/>
        <w:rPr>
          <w:rFonts w:ascii="Book Antiqua" w:hAnsi="Book Antiqua"/>
        </w:rPr>
      </w:pPr>
    </w:p>
    <w:p w14:paraId="25C52EF9" w14:textId="4553B535" w:rsidR="00A77B3E" w:rsidRPr="00CE331D" w:rsidRDefault="009D4300" w:rsidP="00CE331D">
      <w:pPr>
        <w:spacing w:line="360" w:lineRule="auto"/>
        <w:jc w:val="both"/>
        <w:rPr>
          <w:rFonts w:ascii="Book Antiqua" w:hAnsi="Book Antiqua"/>
        </w:rPr>
      </w:pPr>
      <w:r w:rsidRPr="00CE331D">
        <w:rPr>
          <w:rFonts w:ascii="Book Antiqua" w:eastAsia="Book Antiqua" w:hAnsi="Book Antiqua" w:cs="Book Antiqua"/>
          <w:color w:val="000000"/>
        </w:rPr>
        <w:t xml:space="preserve">Zheng YM </w:t>
      </w:r>
      <w:r w:rsidRPr="00CE331D">
        <w:rPr>
          <w:rFonts w:ascii="Book Antiqua" w:eastAsia="Book Antiqua" w:hAnsi="Book Antiqua" w:cs="Book Antiqua"/>
          <w:i/>
          <w:iCs/>
          <w:color w:val="000000"/>
        </w:rPr>
        <w:t>et al</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WMT reduces PPI dependency in NERD</w:t>
      </w:r>
    </w:p>
    <w:p w14:paraId="18A7D9B5" w14:textId="77777777" w:rsidR="00A77B3E" w:rsidRPr="00CE331D" w:rsidRDefault="00A77B3E" w:rsidP="00CE331D">
      <w:pPr>
        <w:spacing w:line="360" w:lineRule="auto"/>
        <w:jc w:val="both"/>
        <w:rPr>
          <w:rFonts w:ascii="Book Antiqua" w:hAnsi="Book Antiqua"/>
        </w:rPr>
      </w:pPr>
    </w:p>
    <w:p w14:paraId="7A57A0A9"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Ya-Mei Zheng, Xian-Yun Chen, Jie-Yi Cai, Yu Yuan, Wen-Rui Xie, Jia-Ting Xu, Harry Hua-Xiang Xia, Min Zhang, Xing-Xiang He, Li-Hao Wu</w:t>
      </w:r>
    </w:p>
    <w:p w14:paraId="0EBB5E2C" w14:textId="77777777" w:rsidR="00A77B3E" w:rsidRPr="00CE331D" w:rsidRDefault="00A77B3E" w:rsidP="00CE331D">
      <w:pPr>
        <w:spacing w:line="360" w:lineRule="auto"/>
        <w:jc w:val="both"/>
        <w:rPr>
          <w:rFonts w:ascii="Book Antiqua" w:hAnsi="Book Antiqua"/>
        </w:rPr>
      </w:pPr>
    </w:p>
    <w:p w14:paraId="45186B51" w14:textId="514FBCEA"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Ya-Mei Zheng, Xian-Yun Chen, Jie-Yi Cai, Yu Yuan, Wen-Rui Xie, Jia-Ting Xu, Xing-Xiang He, Li-Hao Wu, </w:t>
      </w:r>
      <w:r w:rsidR="00A5149C" w:rsidRPr="00CE331D">
        <w:rPr>
          <w:rFonts w:ascii="Book Antiqua" w:eastAsia="Book Antiqua" w:hAnsi="Book Antiqua" w:cs="Book Antiqua"/>
          <w:color w:val="000000"/>
        </w:rPr>
        <w:t xml:space="preserve">Department of </w:t>
      </w:r>
      <w:r w:rsidRPr="00CE331D">
        <w:rPr>
          <w:rFonts w:ascii="Book Antiqua" w:eastAsia="Book Antiqua" w:hAnsi="Book Antiqua" w:cs="Book Antiqua"/>
          <w:color w:val="000000"/>
        </w:rPr>
        <w:t>Gastroenterology, The First Affiliated Hospital of Guangdong Pharmaceutical University,</w:t>
      </w:r>
      <w:r w:rsidR="00A5149C"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Research Center for Engineering Techniques of Microbiota-Targeted Therapies of Guangdong Province, Guangzhou 510030, Guangdong</w:t>
      </w:r>
      <w:r w:rsidR="00A5149C" w:rsidRPr="00CE331D">
        <w:rPr>
          <w:rFonts w:ascii="Book Antiqua" w:eastAsia="Book Antiqua" w:hAnsi="Book Antiqua" w:cs="Book Antiqua"/>
          <w:color w:val="000000"/>
        </w:rPr>
        <w:t xml:space="preserve"> Province</w:t>
      </w:r>
      <w:r w:rsidRPr="00CE331D">
        <w:rPr>
          <w:rFonts w:ascii="Book Antiqua" w:eastAsia="Book Antiqua" w:hAnsi="Book Antiqua" w:cs="Book Antiqua"/>
          <w:color w:val="000000"/>
        </w:rPr>
        <w:t>, China</w:t>
      </w:r>
    </w:p>
    <w:p w14:paraId="54D9D825" w14:textId="77777777" w:rsidR="00A77B3E" w:rsidRPr="00CE331D" w:rsidRDefault="00A77B3E" w:rsidP="00CE331D">
      <w:pPr>
        <w:spacing w:line="360" w:lineRule="auto"/>
        <w:jc w:val="both"/>
        <w:rPr>
          <w:rFonts w:ascii="Book Antiqua" w:hAnsi="Book Antiqua"/>
        </w:rPr>
      </w:pPr>
    </w:p>
    <w:p w14:paraId="4445D57D" w14:textId="3147881E"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Harry Hua-Xiang Xia, </w:t>
      </w:r>
      <w:r w:rsidRPr="00CE331D">
        <w:rPr>
          <w:rFonts w:ascii="Book Antiqua" w:eastAsia="Book Antiqua" w:hAnsi="Book Antiqua" w:cs="Book Antiqua"/>
          <w:color w:val="000000"/>
        </w:rPr>
        <w:t xml:space="preserve">Department of </w:t>
      </w:r>
      <w:r w:rsidR="00860417" w:rsidRPr="00CE331D">
        <w:rPr>
          <w:rFonts w:ascii="Book Antiqua" w:eastAsia="Book Antiqua" w:hAnsi="Book Antiqua" w:cs="Book Antiqua"/>
          <w:color w:val="000000"/>
        </w:rPr>
        <w:t>S</w:t>
      </w:r>
      <w:r w:rsidRPr="00CE331D">
        <w:rPr>
          <w:rFonts w:ascii="Book Antiqua" w:eastAsia="Book Antiqua" w:hAnsi="Book Antiqua" w:cs="Book Antiqua"/>
          <w:color w:val="000000"/>
        </w:rPr>
        <w:t xml:space="preserve">cience and </w:t>
      </w:r>
      <w:r w:rsidR="00860417" w:rsidRPr="00CE331D">
        <w:rPr>
          <w:rFonts w:ascii="Book Antiqua" w:eastAsia="Book Antiqua" w:hAnsi="Book Antiqua" w:cs="Book Antiqua"/>
          <w:color w:val="000000"/>
        </w:rPr>
        <w:t>E</w:t>
      </w:r>
      <w:r w:rsidRPr="00CE331D">
        <w:rPr>
          <w:rFonts w:ascii="Book Antiqua" w:eastAsia="Book Antiqua" w:hAnsi="Book Antiqua" w:cs="Book Antiqua"/>
          <w:color w:val="000000"/>
        </w:rPr>
        <w:t xml:space="preserve">ducation, The First Affiliated Hospital of Guangdong Pharmaceutical University, </w:t>
      </w:r>
      <w:r w:rsidR="00A5149C" w:rsidRPr="00CE331D">
        <w:rPr>
          <w:rFonts w:ascii="Book Antiqua" w:eastAsia="Book Antiqua" w:hAnsi="Book Antiqua" w:cs="Book Antiqua"/>
          <w:color w:val="000000"/>
        </w:rPr>
        <w:t>Guangzhou</w:t>
      </w:r>
      <w:r w:rsidRPr="00CE331D">
        <w:rPr>
          <w:rFonts w:ascii="Book Antiqua" w:eastAsia="Book Antiqua" w:hAnsi="Book Antiqua" w:cs="Book Antiqua"/>
          <w:color w:val="000000"/>
        </w:rPr>
        <w:t xml:space="preserve"> 510030, Guangdong Province, China</w:t>
      </w:r>
    </w:p>
    <w:p w14:paraId="461BF247" w14:textId="77777777" w:rsidR="00A77B3E" w:rsidRPr="00CE331D" w:rsidRDefault="00A77B3E" w:rsidP="00CE331D">
      <w:pPr>
        <w:spacing w:line="360" w:lineRule="auto"/>
        <w:jc w:val="both"/>
        <w:rPr>
          <w:rFonts w:ascii="Book Antiqua" w:hAnsi="Book Antiqua"/>
        </w:rPr>
      </w:pPr>
    </w:p>
    <w:p w14:paraId="392A6DC7"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Min Zhang, </w:t>
      </w:r>
      <w:r w:rsidRPr="00CE331D">
        <w:rPr>
          <w:rFonts w:ascii="Book Antiqua" w:eastAsia="Book Antiqua" w:hAnsi="Book Antiqua" w:cs="Book Antiqua"/>
          <w:color w:val="000000"/>
        </w:rPr>
        <w:t>Department of Epidemiology and Health Statistics, Guangdong Pharmaceutical University, Guangzhou 510220, Guangdong Province, China</w:t>
      </w:r>
    </w:p>
    <w:p w14:paraId="2BC238EC" w14:textId="77777777" w:rsidR="00A77B3E" w:rsidRPr="00CE331D" w:rsidRDefault="00A77B3E" w:rsidP="00CE331D">
      <w:pPr>
        <w:spacing w:line="360" w:lineRule="auto"/>
        <w:jc w:val="both"/>
        <w:rPr>
          <w:rFonts w:ascii="Book Antiqua" w:hAnsi="Book Antiqua"/>
        </w:rPr>
      </w:pPr>
    </w:p>
    <w:p w14:paraId="550E701A" w14:textId="3B06A483"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Author contributions: </w:t>
      </w:r>
      <w:r w:rsidRPr="00CE331D">
        <w:rPr>
          <w:rFonts w:ascii="Book Antiqua" w:eastAsia="Book Antiqua" w:hAnsi="Book Antiqua" w:cs="Book Antiqua"/>
          <w:color w:val="000000"/>
        </w:rPr>
        <w:t>Zheng</w:t>
      </w:r>
      <w:r w:rsidR="000C3020" w:rsidRPr="00CE331D">
        <w:rPr>
          <w:rFonts w:ascii="Book Antiqua" w:eastAsia="Book Antiqua" w:hAnsi="Book Antiqua" w:cs="Book Antiqua"/>
          <w:color w:val="000000"/>
        </w:rPr>
        <w:t xml:space="preserve"> YM</w:t>
      </w:r>
      <w:r w:rsidRPr="00CE331D">
        <w:rPr>
          <w:rFonts w:ascii="Book Antiqua" w:eastAsia="Book Antiqua" w:hAnsi="Book Antiqua" w:cs="Book Antiqua"/>
          <w:color w:val="000000"/>
        </w:rPr>
        <w:t xml:space="preserve"> contributed to the study design, performed the experiments, and wrote the paper; Wu </w:t>
      </w:r>
      <w:r w:rsidR="000C3020" w:rsidRPr="00CE331D">
        <w:rPr>
          <w:rFonts w:ascii="Book Antiqua" w:eastAsia="Book Antiqua" w:hAnsi="Book Antiqua" w:cs="Book Antiqua"/>
          <w:color w:val="000000"/>
        </w:rPr>
        <w:t xml:space="preserve">LH </w:t>
      </w:r>
      <w:r w:rsidRPr="00CE331D">
        <w:rPr>
          <w:rFonts w:ascii="Book Antiqua" w:eastAsia="Book Antiqua" w:hAnsi="Book Antiqua" w:cs="Book Antiqua"/>
          <w:color w:val="000000"/>
        </w:rPr>
        <w:t xml:space="preserve">contributed to the study design, provided critical revision of the article for important intellectual content, and made final approval </w:t>
      </w:r>
      <w:r w:rsidRPr="00CE331D">
        <w:rPr>
          <w:rFonts w:ascii="Book Antiqua" w:eastAsia="Book Antiqua" w:hAnsi="Book Antiqua" w:cs="Book Antiqua"/>
          <w:color w:val="000000"/>
        </w:rPr>
        <w:lastRenderedPageBreak/>
        <w:t>of the article; Chen</w:t>
      </w:r>
      <w:r w:rsidR="000C3020" w:rsidRPr="00CE331D">
        <w:rPr>
          <w:rFonts w:ascii="Book Antiqua" w:eastAsia="Book Antiqua" w:hAnsi="Book Antiqua" w:cs="Book Antiqua"/>
          <w:color w:val="000000"/>
        </w:rPr>
        <w:t xml:space="preserve"> XY</w:t>
      </w:r>
      <w:r w:rsidRPr="00CE331D">
        <w:rPr>
          <w:rFonts w:ascii="Book Antiqua" w:eastAsia="Book Antiqua" w:hAnsi="Book Antiqua" w:cs="Book Antiqua"/>
          <w:color w:val="000000"/>
        </w:rPr>
        <w:t>, Cai</w:t>
      </w:r>
      <w:r w:rsidR="000C3020" w:rsidRPr="00CE331D">
        <w:rPr>
          <w:rFonts w:ascii="Book Antiqua" w:eastAsia="Book Antiqua" w:hAnsi="Book Antiqua" w:cs="Book Antiqua"/>
          <w:color w:val="000000"/>
        </w:rPr>
        <w:t xml:space="preserve"> JY</w:t>
      </w:r>
      <w:r w:rsidRPr="00CE331D">
        <w:rPr>
          <w:rFonts w:ascii="Book Antiqua" w:eastAsia="Book Antiqua" w:hAnsi="Book Antiqua" w:cs="Book Antiqua"/>
          <w:color w:val="000000"/>
        </w:rPr>
        <w:t xml:space="preserve">, Zhang </w:t>
      </w:r>
      <w:r w:rsidR="000C3020" w:rsidRPr="00CE331D">
        <w:rPr>
          <w:rFonts w:ascii="Book Antiqua" w:eastAsia="Book Antiqua" w:hAnsi="Book Antiqua" w:cs="Book Antiqua"/>
          <w:color w:val="000000"/>
        </w:rPr>
        <w:t>M</w:t>
      </w:r>
      <w:r w:rsidR="00BE06DE">
        <w:rPr>
          <w:rFonts w:ascii="Book Antiqua" w:eastAsia="Book Antiqua" w:hAnsi="Book Antiqua" w:cs="Book Antiqua"/>
          <w:color w:val="000000"/>
        </w:rPr>
        <w:t>,</w:t>
      </w:r>
      <w:r w:rsidR="000C3020"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and Xia</w:t>
      </w:r>
      <w:r w:rsidR="000C3020" w:rsidRPr="00CE331D">
        <w:rPr>
          <w:rFonts w:ascii="Book Antiqua" w:eastAsia="Book Antiqua" w:hAnsi="Book Antiqua" w:cs="Book Antiqua"/>
          <w:color w:val="000000"/>
        </w:rPr>
        <w:t xml:space="preserve"> HHX</w:t>
      </w:r>
      <w:r w:rsidRPr="00CE331D">
        <w:rPr>
          <w:rFonts w:ascii="Book Antiqua" w:eastAsia="Book Antiqua" w:hAnsi="Book Antiqua" w:cs="Book Antiqua"/>
          <w:color w:val="000000"/>
        </w:rPr>
        <w:t xml:space="preserve"> designed the study and contributed to the analysis and interpretation of the data; Yuan</w:t>
      </w:r>
      <w:r w:rsidR="000C3020" w:rsidRPr="00CE331D">
        <w:rPr>
          <w:rFonts w:ascii="Book Antiqua" w:eastAsia="Book Antiqua" w:hAnsi="Book Antiqua" w:cs="Book Antiqua"/>
          <w:color w:val="000000"/>
        </w:rPr>
        <w:t xml:space="preserve"> Y</w:t>
      </w:r>
      <w:r w:rsidRPr="00CE331D">
        <w:rPr>
          <w:rFonts w:ascii="Book Antiqua" w:eastAsia="Book Antiqua" w:hAnsi="Book Antiqua" w:cs="Book Antiqua"/>
          <w:color w:val="000000"/>
        </w:rPr>
        <w:t>, Xie</w:t>
      </w:r>
      <w:r w:rsidR="000C3020" w:rsidRPr="00CE331D">
        <w:rPr>
          <w:rFonts w:ascii="Book Antiqua" w:eastAsia="Book Antiqua" w:hAnsi="Book Antiqua" w:cs="Book Antiqua"/>
          <w:color w:val="000000"/>
        </w:rPr>
        <w:t xml:space="preserve"> WR</w:t>
      </w:r>
      <w:r w:rsidRPr="00CE331D">
        <w:rPr>
          <w:rFonts w:ascii="Book Antiqua" w:eastAsia="Book Antiqua" w:hAnsi="Book Antiqua" w:cs="Book Antiqua"/>
          <w:color w:val="000000"/>
        </w:rPr>
        <w:t>, He</w:t>
      </w:r>
      <w:r w:rsidR="000C3020" w:rsidRPr="00CE331D">
        <w:rPr>
          <w:rFonts w:ascii="Book Antiqua" w:eastAsia="Book Antiqua" w:hAnsi="Book Antiqua" w:cs="Book Antiqua"/>
          <w:color w:val="000000"/>
        </w:rPr>
        <w:t xml:space="preserve"> XX</w:t>
      </w:r>
      <w:r w:rsidRPr="00CE331D">
        <w:rPr>
          <w:rFonts w:ascii="Book Antiqua" w:eastAsia="Book Antiqua" w:hAnsi="Book Antiqua" w:cs="Book Antiqua"/>
          <w:color w:val="000000"/>
        </w:rPr>
        <w:t xml:space="preserve">, and Xu </w:t>
      </w:r>
      <w:r w:rsidR="000C3020" w:rsidRPr="00CE331D">
        <w:rPr>
          <w:rFonts w:ascii="Book Antiqua" w:eastAsia="Book Antiqua" w:hAnsi="Book Antiqua" w:cs="Book Antiqua"/>
          <w:color w:val="000000"/>
        </w:rPr>
        <w:t xml:space="preserve">JT </w:t>
      </w:r>
      <w:r w:rsidRPr="00CE331D">
        <w:rPr>
          <w:rFonts w:ascii="Book Antiqua" w:eastAsia="Book Antiqua" w:hAnsi="Book Antiqua" w:cs="Book Antiqua"/>
          <w:color w:val="000000"/>
        </w:rPr>
        <w:t>provided clinical advice and supervised the report.</w:t>
      </w:r>
    </w:p>
    <w:p w14:paraId="30964C50" w14:textId="77777777" w:rsidR="00A77B3E" w:rsidRPr="00CE331D" w:rsidRDefault="00A77B3E" w:rsidP="00CE331D">
      <w:pPr>
        <w:spacing w:line="360" w:lineRule="auto"/>
        <w:jc w:val="both"/>
        <w:rPr>
          <w:rFonts w:ascii="Book Antiqua" w:hAnsi="Book Antiqua"/>
        </w:rPr>
      </w:pPr>
    </w:p>
    <w:p w14:paraId="10FA53BC" w14:textId="7DBD1630"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Corresponding author: Li-Hao Wu, MD, Associate Professor, </w:t>
      </w:r>
      <w:r w:rsidR="000C3020" w:rsidRPr="00CE331D">
        <w:rPr>
          <w:rFonts w:ascii="Book Antiqua" w:eastAsia="Book Antiqua" w:hAnsi="Book Antiqua" w:cs="Book Antiqua"/>
          <w:color w:val="000000"/>
        </w:rPr>
        <w:t xml:space="preserve">Department of </w:t>
      </w:r>
      <w:r w:rsidRPr="00CE331D">
        <w:rPr>
          <w:rFonts w:ascii="Book Antiqua" w:eastAsia="Book Antiqua" w:hAnsi="Book Antiqua" w:cs="Book Antiqua"/>
          <w:color w:val="000000"/>
        </w:rPr>
        <w:t>Gastroenterology, The First Affiliated Hospital of Guangdong Pharmaceutical University,</w:t>
      </w:r>
      <w:r w:rsidR="000C3020"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Research Center for Engineering Techniques of Microbiota-Targeted Therapies of Guangdong Province, No.</w:t>
      </w:r>
      <w:r w:rsidR="000C3020"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19 Nonglinxia Road, Yuexiu District, Guangzhou 510030, Guangdong</w:t>
      </w:r>
      <w:r w:rsidR="00426B7F" w:rsidRPr="00CE331D">
        <w:rPr>
          <w:rFonts w:ascii="Book Antiqua" w:eastAsia="Book Antiqua" w:hAnsi="Book Antiqua" w:cs="Book Antiqua"/>
          <w:color w:val="000000"/>
        </w:rPr>
        <w:t xml:space="preserve"> Province</w:t>
      </w:r>
      <w:r w:rsidRPr="00CE331D">
        <w:rPr>
          <w:rFonts w:ascii="Book Antiqua" w:eastAsia="Book Antiqua" w:hAnsi="Book Antiqua" w:cs="Book Antiqua"/>
          <w:color w:val="000000"/>
        </w:rPr>
        <w:t>, China. wulihao888@126.com</w:t>
      </w:r>
    </w:p>
    <w:p w14:paraId="6E6B0F63" w14:textId="77777777" w:rsidR="00A77B3E" w:rsidRPr="00CE331D" w:rsidRDefault="00A77B3E" w:rsidP="00CE331D">
      <w:pPr>
        <w:spacing w:line="360" w:lineRule="auto"/>
        <w:jc w:val="both"/>
        <w:rPr>
          <w:rFonts w:ascii="Book Antiqua" w:hAnsi="Book Antiqua"/>
        </w:rPr>
      </w:pPr>
    </w:p>
    <w:p w14:paraId="1C3A3CBB"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Received: </w:t>
      </w:r>
      <w:r w:rsidRPr="00CE331D">
        <w:rPr>
          <w:rFonts w:ascii="Book Antiqua" w:eastAsia="Book Antiqua" w:hAnsi="Book Antiqua" w:cs="Book Antiqua"/>
          <w:color w:val="000000"/>
        </w:rPr>
        <w:t>November 29, 2020</w:t>
      </w:r>
    </w:p>
    <w:p w14:paraId="01389DD7" w14:textId="1527DAA1"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Revised: </w:t>
      </w:r>
      <w:r w:rsidR="00883933" w:rsidRPr="00CE331D">
        <w:rPr>
          <w:rFonts w:ascii="Book Antiqua" w:hAnsi="Book Antiqua"/>
          <w:color w:val="000000"/>
        </w:rPr>
        <w:t>December 20, 2020</w:t>
      </w:r>
    </w:p>
    <w:p w14:paraId="740BF4A7" w14:textId="3350527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Accepted: </w:t>
      </w:r>
      <w:r w:rsidR="000B2560" w:rsidRPr="000B2560">
        <w:rPr>
          <w:rFonts w:ascii="Book Antiqua" w:eastAsia="Book Antiqua" w:hAnsi="Book Antiqua" w:cs="Book Antiqua"/>
          <w:color w:val="000000"/>
        </w:rPr>
        <w:t>January 12, 2021</w:t>
      </w:r>
      <w:r w:rsidR="000B2560">
        <w:rPr>
          <w:rFonts w:ascii="Book Antiqua" w:eastAsia="Book Antiqua" w:hAnsi="Book Antiqua" w:cs="Book Antiqua"/>
          <w:b/>
          <w:bCs/>
          <w:color w:val="000000"/>
        </w:rPr>
        <w:t xml:space="preserve"> </w:t>
      </w:r>
    </w:p>
    <w:p w14:paraId="09B5A9AD" w14:textId="77AE669A" w:rsidR="00A77B3E" w:rsidRPr="00DF321B" w:rsidRDefault="00EF6257" w:rsidP="00CE331D">
      <w:pPr>
        <w:spacing w:line="360" w:lineRule="auto"/>
        <w:jc w:val="both"/>
        <w:rPr>
          <w:rFonts w:ascii="Book Antiqua" w:hAnsi="Book Antiqua"/>
          <w:lang w:eastAsia="zh-CN"/>
        </w:rPr>
      </w:pPr>
      <w:r w:rsidRPr="00CE331D">
        <w:rPr>
          <w:rFonts w:ascii="Book Antiqua" w:eastAsia="Book Antiqua" w:hAnsi="Book Antiqua" w:cs="Book Antiqua"/>
          <w:b/>
          <w:bCs/>
          <w:color w:val="000000"/>
        </w:rPr>
        <w:t xml:space="preserve">Published online: </w:t>
      </w:r>
      <w:r w:rsidR="00DF321B" w:rsidRPr="00DF321B">
        <w:rPr>
          <w:rFonts w:ascii="Book Antiqua" w:hAnsi="Book Antiqua" w:cs="Book Antiqua" w:hint="eastAsia"/>
          <w:bCs/>
          <w:color w:val="000000"/>
          <w:lang w:eastAsia="zh-CN"/>
        </w:rPr>
        <w:t>February 14, 2021</w:t>
      </w:r>
    </w:p>
    <w:p w14:paraId="193B0C5F" w14:textId="77777777" w:rsidR="00A77B3E" w:rsidRPr="00CE331D" w:rsidRDefault="00A77B3E" w:rsidP="00CE331D">
      <w:pPr>
        <w:spacing w:line="360" w:lineRule="auto"/>
        <w:jc w:val="both"/>
        <w:rPr>
          <w:rFonts w:ascii="Book Antiqua" w:hAnsi="Book Antiqua"/>
        </w:rPr>
        <w:sectPr w:rsidR="00A77B3E" w:rsidRPr="00CE331D">
          <w:footerReference w:type="default" r:id="rId9"/>
          <w:pgSz w:w="12240" w:h="15840"/>
          <w:pgMar w:top="1440" w:right="1440" w:bottom="1440" w:left="1440" w:header="720" w:footer="720" w:gutter="0"/>
          <w:cols w:space="720"/>
          <w:docGrid w:linePitch="360"/>
        </w:sectPr>
      </w:pPr>
    </w:p>
    <w:p w14:paraId="095646A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Abstract</w:t>
      </w:r>
    </w:p>
    <w:p w14:paraId="4DE1E3C3"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BACKGROUND</w:t>
      </w:r>
    </w:p>
    <w:p w14:paraId="6DEBA147" w14:textId="19D5CD7B" w:rsidR="00A77B3E" w:rsidRPr="00CE331D" w:rsidRDefault="00BE06DE" w:rsidP="00CE331D">
      <w:pPr>
        <w:spacing w:line="360" w:lineRule="auto"/>
        <w:jc w:val="both"/>
        <w:rPr>
          <w:rFonts w:ascii="Book Antiqua" w:hAnsi="Book Antiqua"/>
        </w:rPr>
      </w:pPr>
      <w:r>
        <w:rPr>
          <w:rFonts w:ascii="Book Antiqua" w:eastAsia="Book Antiqua" w:hAnsi="Book Antiqua" w:cs="Book Antiqua"/>
          <w:color w:val="000000"/>
        </w:rPr>
        <w:t>The</w:t>
      </w:r>
      <w:r w:rsidRPr="00BE06DE">
        <w:rPr>
          <w:rFonts w:ascii="Book Antiqua" w:eastAsia="Book Antiqua" w:hAnsi="Book Antiqua" w:cs="Book Antiqua"/>
          <w:color w:val="000000"/>
        </w:rPr>
        <w:t xml:space="preserve"> </w:t>
      </w:r>
      <w:r w:rsidRPr="00CE331D">
        <w:rPr>
          <w:rFonts w:ascii="Book Antiqua" w:eastAsia="Book Antiqua" w:hAnsi="Book Antiqua" w:cs="Book Antiqua"/>
          <w:color w:val="000000"/>
        </w:rPr>
        <w:t>pathogenesis</w:t>
      </w:r>
      <w:r>
        <w:rPr>
          <w:rFonts w:ascii="Book Antiqua" w:eastAsia="Book Antiqua" w:hAnsi="Book Antiqua" w:cs="Book Antiqua"/>
          <w:color w:val="000000"/>
        </w:rPr>
        <w:t xml:space="preserve"> of g</w:t>
      </w:r>
      <w:r w:rsidRPr="00CE331D">
        <w:rPr>
          <w:rFonts w:ascii="Book Antiqua" w:eastAsia="Book Antiqua" w:hAnsi="Book Antiqua" w:cs="Book Antiqua"/>
          <w:color w:val="000000"/>
        </w:rPr>
        <w:t xml:space="preserve">astroesophageal </w:t>
      </w:r>
      <w:r w:rsidR="00EF6257" w:rsidRPr="00CE331D">
        <w:rPr>
          <w:rFonts w:ascii="Book Antiqua" w:eastAsia="Book Antiqua" w:hAnsi="Book Antiqua" w:cs="Book Antiqua"/>
          <w:color w:val="000000"/>
        </w:rPr>
        <w:t>reflux disease (GERD)</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is closely associated with the intestinal bacteria composition and their metabolites.</w:t>
      </w:r>
    </w:p>
    <w:p w14:paraId="03972126" w14:textId="77777777" w:rsidR="00A77B3E" w:rsidRPr="00CE331D" w:rsidRDefault="00A77B3E" w:rsidP="00CE331D">
      <w:pPr>
        <w:spacing w:line="360" w:lineRule="auto"/>
        <w:jc w:val="both"/>
        <w:rPr>
          <w:rFonts w:ascii="Book Antiqua" w:hAnsi="Book Antiqua"/>
        </w:rPr>
      </w:pPr>
    </w:p>
    <w:p w14:paraId="57DF6820"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AIM</w:t>
      </w:r>
    </w:p>
    <w:p w14:paraId="30AA6BBE" w14:textId="38EC23A2"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To investigate whether washed microbiota transplantation (WMT) improves symptoms of nonerosive reflux disease (NERD) with proton pump inhibitor (PPI) dependency.</w:t>
      </w:r>
    </w:p>
    <w:p w14:paraId="14F422E1" w14:textId="77777777" w:rsidR="00A77B3E" w:rsidRPr="00CE331D" w:rsidRDefault="00A77B3E" w:rsidP="00CE331D">
      <w:pPr>
        <w:spacing w:line="360" w:lineRule="auto"/>
        <w:jc w:val="both"/>
        <w:rPr>
          <w:rFonts w:ascii="Book Antiqua" w:hAnsi="Book Antiqua"/>
        </w:rPr>
      </w:pPr>
    </w:p>
    <w:p w14:paraId="74EAD6D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METHODS</w:t>
      </w:r>
    </w:p>
    <w:p w14:paraId="70402242" w14:textId="3A38AC18"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Patients with recurrent NERD and PPI dependency at </w:t>
      </w:r>
      <w:r w:rsidR="00BE06DE">
        <w:rPr>
          <w:rFonts w:ascii="Book Antiqua" w:eastAsia="Book Antiqua" w:hAnsi="Book Antiqua" w:cs="Book Antiqua"/>
          <w:color w:val="000000"/>
        </w:rPr>
        <w:t xml:space="preserve">the </w:t>
      </w:r>
      <w:r w:rsidRPr="00CE331D">
        <w:rPr>
          <w:rFonts w:ascii="Book Antiqua" w:eastAsia="Book Antiqua" w:hAnsi="Book Antiqua" w:cs="Book Antiqua"/>
          <w:color w:val="000000"/>
        </w:rPr>
        <w:t xml:space="preserve">First Affiliated Hospital of Guangdong Pharmaceutical University from 2017 to 2018 were included and divided into </w:t>
      </w:r>
      <w:r w:rsidR="00BE06DE">
        <w:rPr>
          <w:rFonts w:ascii="Book Antiqua" w:eastAsia="Book Antiqua" w:hAnsi="Book Antiqua" w:cs="Book Antiqua"/>
          <w:color w:val="000000"/>
        </w:rPr>
        <w:t xml:space="preserve">a </w:t>
      </w:r>
      <w:r w:rsidRPr="00CE331D">
        <w:rPr>
          <w:rFonts w:ascii="Book Antiqua" w:eastAsia="Book Antiqua" w:hAnsi="Book Antiqua" w:cs="Book Antiqua"/>
          <w:color w:val="000000"/>
        </w:rPr>
        <w:t>WMT or PPI group treated with PPI with/without WMT. The endpoint was NERD symptom frequency evaluated 1 mo after WMT using reflux disease questionnaire (RDQ) and GERD questionnaire (GERDQ) scores, remission time, PPI dose, and the examination of intestinal mucosal barrier function.</w:t>
      </w:r>
    </w:p>
    <w:p w14:paraId="676F3470" w14:textId="77777777" w:rsidR="00A77B3E" w:rsidRPr="00CE331D" w:rsidRDefault="00A77B3E" w:rsidP="00CE331D">
      <w:pPr>
        <w:spacing w:line="360" w:lineRule="auto"/>
        <w:jc w:val="both"/>
        <w:rPr>
          <w:rFonts w:ascii="Book Antiqua" w:hAnsi="Book Antiqua"/>
        </w:rPr>
      </w:pPr>
    </w:p>
    <w:p w14:paraId="303B8D45"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RESULTS</w:t>
      </w:r>
    </w:p>
    <w:p w14:paraId="6D5D1207" w14:textId="1A969B91" w:rsidR="00A77B3E" w:rsidRPr="00CE331D" w:rsidRDefault="00BE06DE" w:rsidP="00CE331D">
      <w:pPr>
        <w:spacing w:line="360" w:lineRule="auto"/>
        <w:jc w:val="both"/>
        <w:rPr>
          <w:rFonts w:ascii="Book Antiqua" w:hAnsi="Book Antiqua"/>
        </w:rPr>
      </w:pPr>
      <w:r>
        <w:rPr>
          <w:rFonts w:ascii="Book Antiqua" w:hAnsi="Book Antiqua"/>
        </w:rPr>
        <w:t>In</w:t>
      </w:r>
      <w:r w:rsidRPr="00CE331D">
        <w:rPr>
          <w:rFonts w:ascii="Book Antiqua" w:hAnsi="Book Antiqua"/>
        </w:rPr>
        <w:t xml:space="preserve"> </w:t>
      </w:r>
      <w:r w:rsidR="0053155C" w:rsidRPr="00CE331D">
        <w:rPr>
          <w:rFonts w:ascii="Book Antiqua" w:hAnsi="Book Antiqua"/>
        </w:rPr>
        <w:t xml:space="preserve">the </w:t>
      </w:r>
      <w:bookmarkStart w:id="0" w:name="_Hlk51706326"/>
      <w:r w:rsidR="0053155C" w:rsidRPr="00CE331D">
        <w:rPr>
          <w:rFonts w:ascii="Book Antiqua" w:hAnsi="Book Antiqua"/>
        </w:rPr>
        <w:t>WMT (</w:t>
      </w:r>
      <w:r w:rsidR="0053155C" w:rsidRPr="00CE331D">
        <w:rPr>
          <w:rFonts w:ascii="Book Antiqua" w:hAnsi="Book Antiqua"/>
          <w:i/>
          <w:iCs/>
        </w:rPr>
        <w:t>n</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15) and PPI (</w:t>
      </w:r>
      <w:r w:rsidR="0053155C" w:rsidRPr="00CE331D">
        <w:rPr>
          <w:rFonts w:ascii="Book Antiqua" w:hAnsi="Book Antiqua"/>
          <w:i/>
          <w:iCs/>
        </w:rPr>
        <w:t>n</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12)</w:t>
      </w:r>
      <w:bookmarkEnd w:id="0"/>
      <w:r w:rsidR="0053155C" w:rsidRPr="00CE331D">
        <w:rPr>
          <w:rFonts w:ascii="Book Antiqua" w:hAnsi="Book Antiqua"/>
        </w:rPr>
        <w:t xml:space="preserve"> groups, the total remission rate at 1 mo after treatment was 93.3% </w:t>
      </w:r>
      <w:r w:rsidR="0053155C" w:rsidRPr="00CE331D">
        <w:rPr>
          <w:rFonts w:ascii="Book Antiqua" w:hAnsi="Book Antiqua"/>
          <w:i/>
          <w:iCs/>
        </w:rPr>
        <w:t>vs</w:t>
      </w:r>
      <w:r w:rsidR="0053155C" w:rsidRPr="00CE331D">
        <w:rPr>
          <w:rFonts w:ascii="Book Antiqua" w:hAnsi="Book Antiqua"/>
        </w:rPr>
        <w:t xml:space="preserve"> 41.7%. Compared with the PPI group, the WMT group showed better results in GERDQ (</w:t>
      </w:r>
      <w:r w:rsidR="00192F90" w:rsidRPr="00CE331D">
        <w:rPr>
          <w:rFonts w:ascii="Book Antiqua" w:hAnsi="Book Antiqua"/>
          <w:i/>
          <w:iCs/>
        </w:rPr>
        <w:t>P</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0.004) and RDQ (</w:t>
      </w:r>
      <w:r w:rsidR="00192F90" w:rsidRPr="00CE331D">
        <w:rPr>
          <w:rFonts w:ascii="Book Antiqua" w:hAnsi="Book Antiqua"/>
          <w:i/>
          <w:iCs/>
        </w:rPr>
        <w:t>P</w:t>
      </w:r>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 xml:space="preserve">0.003) and in remission months (8 </w:t>
      </w:r>
      <w:r w:rsidR="0053155C" w:rsidRPr="00CE331D">
        <w:rPr>
          <w:rFonts w:ascii="Book Antiqua" w:hAnsi="Book Antiqua"/>
          <w:i/>
          <w:iCs/>
        </w:rPr>
        <w:t>vs</w:t>
      </w:r>
      <w:r w:rsidR="0053155C" w:rsidRPr="00CE331D">
        <w:rPr>
          <w:rFonts w:ascii="Book Antiqua" w:hAnsi="Book Antiqua"/>
        </w:rPr>
        <w:t xml:space="preserve"> 2, </w:t>
      </w:r>
      <w:bookmarkStart w:id="1" w:name="OLE_LINK7"/>
      <w:r w:rsidR="00192F90" w:rsidRPr="00CE331D">
        <w:rPr>
          <w:rFonts w:ascii="Book Antiqua" w:hAnsi="Book Antiqua"/>
          <w:i/>
          <w:iCs/>
        </w:rPr>
        <w:t>P</w:t>
      </w:r>
      <w:bookmarkEnd w:id="1"/>
      <w:r w:rsidR="00192F90" w:rsidRPr="00CE331D">
        <w:rPr>
          <w:rFonts w:ascii="Book Antiqua" w:hAnsi="Book Antiqua"/>
        </w:rPr>
        <w:t xml:space="preserve"> </w:t>
      </w:r>
      <w:r w:rsidR="0053155C" w:rsidRPr="00CE331D">
        <w:rPr>
          <w:rFonts w:ascii="Book Antiqua" w:hAnsi="Book Antiqua"/>
        </w:rPr>
        <w:t>=</w:t>
      </w:r>
      <w:r w:rsidR="00192F90" w:rsidRPr="00CE331D">
        <w:rPr>
          <w:rFonts w:ascii="Book Antiqua" w:hAnsi="Book Antiqua"/>
        </w:rPr>
        <w:t xml:space="preserve"> </w:t>
      </w:r>
      <w:r w:rsidR="0053155C" w:rsidRPr="00CE331D">
        <w:rPr>
          <w:rFonts w:ascii="Book Antiqua" w:hAnsi="Book Antiqua"/>
        </w:rPr>
        <w:t xml:space="preserve">0.002). </w:t>
      </w:r>
      <w:bookmarkStart w:id="2" w:name="_Hlk59129711"/>
      <w:r w:rsidR="0053155C" w:rsidRPr="00CE331D">
        <w:rPr>
          <w:rFonts w:ascii="Book Antiqua" w:hAnsi="Book Antiqua"/>
        </w:rPr>
        <w:t>The PPI dose was reduced to some extent for 80% of patients in the WMT group</w:t>
      </w:r>
      <w:bookmarkEnd w:id="2"/>
      <w:r w:rsidR="0053155C" w:rsidRPr="00CE331D">
        <w:rPr>
          <w:rFonts w:ascii="Book Antiqua" w:hAnsi="Book Antiqua"/>
        </w:rPr>
        <w:t xml:space="preserve"> and 33.3%</w:t>
      </w:r>
      <w:r>
        <w:rPr>
          <w:rFonts w:ascii="Book Antiqua" w:hAnsi="Book Antiqua"/>
        </w:rPr>
        <w:t xml:space="preserve"> </w:t>
      </w:r>
      <w:r w:rsidR="0053155C" w:rsidRPr="00CE331D">
        <w:rPr>
          <w:rFonts w:ascii="Book Antiqua" w:hAnsi="Book Antiqua"/>
        </w:rPr>
        <w:t xml:space="preserve">in the PPI group. In 24 patients, intestinal mucosal barrier function was examined before treatment, and changes in the degree of damage were observed in 13 of these patients after treatment. Only </w:t>
      </w:r>
      <w:r>
        <w:rPr>
          <w:rFonts w:ascii="Book Antiqua" w:hAnsi="Book Antiqua"/>
        </w:rPr>
        <w:t>one</w:t>
      </w:r>
      <w:r w:rsidRPr="00CE331D">
        <w:rPr>
          <w:rFonts w:ascii="Book Antiqua" w:hAnsi="Book Antiqua"/>
        </w:rPr>
        <w:t xml:space="preserve"> </w:t>
      </w:r>
      <w:r w:rsidR="0053155C" w:rsidRPr="00CE331D">
        <w:rPr>
          <w:rFonts w:ascii="Book Antiqua" w:hAnsi="Book Antiqua"/>
        </w:rPr>
        <w:t>of the 15 patients had minor side effects, including a mushy stool two or three times a day, which resolved on their own after 1 wk.</w:t>
      </w:r>
    </w:p>
    <w:p w14:paraId="29CFE8CE" w14:textId="77777777" w:rsidR="0053155C" w:rsidRPr="00CE331D" w:rsidRDefault="0053155C" w:rsidP="00CE331D">
      <w:pPr>
        <w:spacing w:line="360" w:lineRule="auto"/>
        <w:jc w:val="both"/>
        <w:rPr>
          <w:rFonts w:ascii="Book Antiqua" w:hAnsi="Book Antiqua"/>
        </w:rPr>
      </w:pPr>
    </w:p>
    <w:p w14:paraId="26898690"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CONCLUSION</w:t>
      </w:r>
    </w:p>
    <w:p w14:paraId="04FC0B1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This study is the first to demonstrate that WMT may be safe and effective for relieving NERD symptoms and reducing PPI dependency and recurrence.</w:t>
      </w:r>
    </w:p>
    <w:p w14:paraId="54417353" w14:textId="77777777" w:rsidR="00A77B3E" w:rsidRPr="00CE331D" w:rsidRDefault="00A77B3E" w:rsidP="00CE331D">
      <w:pPr>
        <w:spacing w:line="360" w:lineRule="auto"/>
        <w:jc w:val="both"/>
        <w:rPr>
          <w:rFonts w:ascii="Book Antiqua" w:hAnsi="Book Antiqua"/>
        </w:rPr>
      </w:pPr>
    </w:p>
    <w:p w14:paraId="6DF2236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Key Words: </w:t>
      </w:r>
      <w:r w:rsidRPr="00CE331D">
        <w:rPr>
          <w:rFonts w:ascii="Book Antiqua" w:eastAsia="Book Antiqua" w:hAnsi="Book Antiqua" w:cs="Book Antiqua"/>
          <w:color w:val="000000"/>
        </w:rPr>
        <w:t>Nonerosive reflux disease; Washed microbiota transplantation; Proton pump inhibitor dependency; Intestinal bacteria; Lipopolysaccharide; Small intestinal bacterial overgrowth</w:t>
      </w:r>
    </w:p>
    <w:p w14:paraId="5AE52E8E" w14:textId="77777777" w:rsidR="00DF2F27" w:rsidRDefault="00DF2F27" w:rsidP="00DF2F27">
      <w:pPr>
        <w:spacing w:line="360" w:lineRule="auto"/>
        <w:jc w:val="both"/>
        <w:rPr>
          <w:lang w:eastAsia="zh-CN"/>
        </w:rPr>
      </w:pPr>
    </w:p>
    <w:p w14:paraId="2537E969" w14:textId="77777777" w:rsidR="00DF2F27" w:rsidRPr="00026CB8" w:rsidRDefault="00DF2F27" w:rsidP="00DF2F2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D45D221" w14:textId="77777777" w:rsidR="00A77B3E" w:rsidRPr="00CE331D" w:rsidRDefault="00A77B3E" w:rsidP="00CE331D">
      <w:pPr>
        <w:spacing w:line="360" w:lineRule="auto"/>
        <w:jc w:val="both"/>
        <w:rPr>
          <w:rFonts w:ascii="Book Antiqua" w:hAnsi="Book Antiqua"/>
        </w:rPr>
      </w:pPr>
    </w:p>
    <w:p w14:paraId="3F6CD559" w14:textId="5A09B91B" w:rsidR="0029027A" w:rsidRDefault="006545C1" w:rsidP="00CE331D">
      <w:pPr>
        <w:spacing w:line="360" w:lineRule="auto"/>
        <w:jc w:val="both"/>
        <w:rPr>
          <w:rFonts w:ascii="Book Antiqua" w:hAnsi="Book Antiqua" w:cs="Book Antiqua" w:hint="eastAsia"/>
          <w:color w:val="000000"/>
          <w:lang w:eastAsia="zh-CN"/>
        </w:rPr>
      </w:pPr>
      <w:r w:rsidRPr="006545C1">
        <w:rPr>
          <w:rFonts w:ascii="Book Antiqua" w:hAnsi="Book Antiqua" w:cs="Book Antiqua" w:hint="eastAsia"/>
          <w:b/>
          <w:color w:val="000000"/>
          <w:lang w:eastAsia="zh-CN"/>
        </w:rPr>
        <w:t xml:space="preserve">Citation: </w:t>
      </w:r>
      <w:r w:rsidR="00EF6257" w:rsidRPr="00CE331D">
        <w:rPr>
          <w:rFonts w:ascii="Book Antiqua" w:eastAsia="Book Antiqua" w:hAnsi="Book Antiqua" w:cs="Book Antiqua"/>
          <w:color w:val="000000"/>
        </w:rPr>
        <w:t xml:space="preserve">Zheng YM, Chen XY, Cai JY, Yuan Y, Xie WR, Xu JT, Xia HHX, Zhang M, He XX, Wu LH. Washed microbiota transplantation reduces proton pump inhibitor dependency in nonerosive reflux disease. </w:t>
      </w:r>
      <w:r w:rsidR="00EF6257" w:rsidRPr="00CE331D">
        <w:rPr>
          <w:rFonts w:ascii="Book Antiqua" w:eastAsia="Book Antiqua" w:hAnsi="Book Antiqua" w:cs="Book Antiqua"/>
          <w:i/>
          <w:iCs/>
          <w:color w:val="000000"/>
        </w:rPr>
        <w:t>World J Gastroenterol</w:t>
      </w:r>
      <w:bookmarkStart w:id="3" w:name="OLE_LINK228"/>
      <w:r w:rsidR="00EF6257" w:rsidRPr="00CE331D">
        <w:rPr>
          <w:rFonts w:ascii="Book Antiqua" w:eastAsia="Book Antiqua" w:hAnsi="Book Antiqua" w:cs="Book Antiqua"/>
          <w:color w:val="000000"/>
        </w:rPr>
        <w:t xml:space="preserve"> 202</w:t>
      </w:r>
      <w:r w:rsidR="00883933" w:rsidRPr="00CE331D">
        <w:rPr>
          <w:rFonts w:ascii="Book Antiqua" w:eastAsia="Book Antiqua" w:hAnsi="Book Antiqua" w:cs="Book Antiqua"/>
          <w:color w:val="000000"/>
        </w:rPr>
        <w:t>1</w:t>
      </w:r>
      <w:r w:rsidR="00EF6257" w:rsidRPr="00CE331D">
        <w:rPr>
          <w:rFonts w:ascii="Book Antiqua" w:eastAsia="Book Antiqua" w:hAnsi="Book Antiqua" w:cs="Book Antiqua"/>
          <w:color w:val="000000"/>
        </w:rPr>
        <w:t xml:space="preserve">; </w:t>
      </w:r>
      <w:r w:rsidR="00AD5965" w:rsidRPr="00AD5965">
        <w:rPr>
          <w:rFonts w:ascii="Book Antiqua" w:eastAsia="Book Antiqua" w:hAnsi="Book Antiqua" w:cs="Book Antiqua"/>
          <w:color w:val="000000"/>
        </w:rPr>
        <w:t xml:space="preserve">27(6): </w:t>
      </w:r>
      <w:r w:rsidR="009B0784" w:rsidRPr="009B0784">
        <w:rPr>
          <w:rFonts w:ascii="Book Antiqua" w:eastAsia="Book Antiqua" w:hAnsi="Book Antiqua" w:cs="Book Antiqua"/>
          <w:color w:val="000000"/>
        </w:rPr>
        <w:t>513-</w:t>
      </w:r>
      <w:bookmarkStart w:id="4" w:name="OLE_LINK229"/>
      <w:r w:rsidR="009B0784" w:rsidRPr="009B0784">
        <w:rPr>
          <w:rFonts w:ascii="Book Antiqua" w:eastAsia="Book Antiqua" w:hAnsi="Book Antiqua" w:cs="Book Antiqua"/>
          <w:color w:val="000000"/>
        </w:rPr>
        <w:t>522</w:t>
      </w:r>
      <w:bookmarkEnd w:id="4"/>
      <w:r w:rsidR="00AD5965" w:rsidRPr="00AD5965">
        <w:rPr>
          <w:rFonts w:ascii="Book Antiqua" w:eastAsia="Book Antiqua" w:hAnsi="Book Antiqua" w:cs="Book Antiqua"/>
          <w:color w:val="000000"/>
        </w:rPr>
        <w:t xml:space="preserve"> </w:t>
      </w:r>
      <w:bookmarkEnd w:id="3"/>
      <w:r w:rsidR="00AD5965" w:rsidRPr="00AD5965">
        <w:rPr>
          <w:rFonts w:ascii="Book Antiqua" w:eastAsia="Book Antiqua" w:hAnsi="Book Antiqua" w:cs="Book Antiqua"/>
          <w:color w:val="000000"/>
        </w:rPr>
        <w:t xml:space="preserve"> </w:t>
      </w:r>
    </w:p>
    <w:p w14:paraId="5F8E718C" w14:textId="77777777" w:rsidR="0029027A" w:rsidRDefault="00AD5965" w:rsidP="00CE331D">
      <w:pPr>
        <w:spacing w:line="360" w:lineRule="auto"/>
        <w:jc w:val="both"/>
        <w:rPr>
          <w:rFonts w:ascii="Book Antiqua" w:hAnsi="Book Antiqua" w:cs="Book Antiqua" w:hint="eastAsia"/>
          <w:color w:val="000000"/>
          <w:lang w:eastAsia="zh-CN"/>
        </w:rPr>
      </w:pPr>
      <w:r w:rsidRPr="006545C1">
        <w:rPr>
          <w:rFonts w:ascii="Book Antiqua" w:eastAsia="Book Antiqua" w:hAnsi="Book Antiqua" w:cs="Book Antiqua"/>
          <w:b/>
          <w:color w:val="000000"/>
        </w:rPr>
        <w:t>URL:</w:t>
      </w:r>
      <w:r w:rsidRPr="00AD5965">
        <w:rPr>
          <w:rFonts w:ascii="Book Antiqua" w:eastAsia="Book Antiqua" w:hAnsi="Book Antiqua" w:cs="Book Antiqua"/>
          <w:color w:val="000000"/>
        </w:rPr>
        <w:t xml:space="preserve"> https://www.wjgnet.com/1007-9327/full/v27/i6/</w:t>
      </w:r>
      <w:r w:rsidR="009B0784">
        <w:rPr>
          <w:rFonts w:ascii="Book Antiqua" w:hAnsi="Book Antiqua" w:cs="Book Antiqua" w:hint="eastAsia"/>
          <w:color w:val="000000"/>
          <w:lang w:eastAsia="zh-CN"/>
        </w:rPr>
        <w:t>513</w:t>
      </w:r>
      <w:r w:rsidRPr="00AD5965">
        <w:rPr>
          <w:rFonts w:ascii="Book Antiqua" w:eastAsia="Book Antiqua" w:hAnsi="Book Antiqua" w:cs="Book Antiqua"/>
          <w:color w:val="000000"/>
        </w:rPr>
        <w:t xml:space="preserve">.htm  </w:t>
      </w:r>
    </w:p>
    <w:p w14:paraId="7A9B2B67" w14:textId="76A6F3FA" w:rsidR="00A77B3E" w:rsidRPr="00AA0565" w:rsidRDefault="00AD5965" w:rsidP="00CE331D">
      <w:pPr>
        <w:spacing w:line="360" w:lineRule="auto"/>
        <w:jc w:val="both"/>
        <w:rPr>
          <w:rFonts w:ascii="Book Antiqua" w:hAnsi="Book Antiqua" w:hint="eastAsia"/>
          <w:lang w:eastAsia="zh-CN"/>
        </w:rPr>
      </w:pPr>
      <w:r w:rsidRPr="006545C1">
        <w:rPr>
          <w:rFonts w:ascii="Book Antiqua" w:eastAsia="Book Antiqua" w:hAnsi="Book Antiqua" w:cs="Book Antiqua"/>
          <w:b/>
          <w:color w:val="000000"/>
        </w:rPr>
        <w:t>DOI:</w:t>
      </w:r>
      <w:r w:rsidRPr="00AD5965">
        <w:rPr>
          <w:rFonts w:ascii="Book Antiqua" w:eastAsia="Book Antiqua" w:hAnsi="Book Antiqua" w:cs="Book Antiqua"/>
          <w:color w:val="000000"/>
        </w:rPr>
        <w:t xml:space="preserve"> https://dx.doi.org/10.3748/wjg.v27.i6.</w:t>
      </w:r>
      <w:r w:rsidR="00AA0565">
        <w:rPr>
          <w:rFonts w:ascii="Book Antiqua" w:hAnsi="Book Antiqua" w:cs="Book Antiqua" w:hint="eastAsia"/>
          <w:color w:val="000000"/>
          <w:lang w:eastAsia="zh-CN"/>
        </w:rPr>
        <w:t>513</w:t>
      </w:r>
    </w:p>
    <w:p w14:paraId="2DDD1285" w14:textId="77777777" w:rsidR="00A77B3E" w:rsidRPr="00CE331D" w:rsidRDefault="00A77B3E" w:rsidP="00CE331D">
      <w:pPr>
        <w:spacing w:line="360" w:lineRule="auto"/>
        <w:jc w:val="both"/>
        <w:rPr>
          <w:rFonts w:ascii="Book Antiqua" w:hAnsi="Book Antiqua"/>
        </w:rPr>
      </w:pPr>
    </w:p>
    <w:p w14:paraId="151C34C9" w14:textId="6CF44496"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Core Tip: </w:t>
      </w:r>
      <w:r w:rsidRPr="00CE331D">
        <w:rPr>
          <w:rFonts w:ascii="Book Antiqua" w:eastAsia="Book Antiqua" w:hAnsi="Book Antiqua" w:cs="Book Antiqua"/>
          <w:color w:val="000000"/>
        </w:rPr>
        <w:t>In this study, we</w:t>
      </w:r>
      <w:r w:rsidRPr="00CE331D">
        <w:rPr>
          <w:rFonts w:ascii="Book Antiqua" w:eastAsia="Book Antiqua" w:hAnsi="Book Antiqua" w:cs="Book Antiqua"/>
          <w:b/>
          <w:bCs/>
          <w:color w:val="000000"/>
        </w:rPr>
        <w:t xml:space="preserve"> </w:t>
      </w:r>
      <w:r w:rsidRPr="00CE331D">
        <w:rPr>
          <w:rFonts w:ascii="Book Antiqua" w:eastAsia="Book Antiqua" w:hAnsi="Book Antiqua" w:cs="Book Antiqua"/>
          <w:color w:val="000000"/>
        </w:rPr>
        <w:t>demonstrate</w:t>
      </w:r>
      <w:r w:rsidR="00BE06DE">
        <w:rPr>
          <w:rFonts w:ascii="Book Antiqua" w:eastAsia="Book Antiqua" w:hAnsi="Book Antiqua" w:cs="Book Antiqua"/>
          <w:color w:val="000000"/>
        </w:rPr>
        <w:t>d</w:t>
      </w:r>
      <w:r w:rsidRPr="00CE331D">
        <w:rPr>
          <w:rFonts w:ascii="Book Antiqua" w:eastAsia="Book Antiqua" w:hAnsi="Book Antiqua" w:cs="Book Antiqua"/>
          <w:color w:val="000000"/>
        </w:rPr>
        <w:t xml:space="preserve"> for the first time that washed microbiota transplantation (WMT) is safe and effective for treating patients with nonerosive reflux disease (NERD) and proton pump inhibitor (PPI) dependency compared with PPI treatment. WMT significantly relieved the symptoms of NERD in patients, reduced PPI dependency, prolonged the duration of symptom remission</w:t>
      </w:r>
      <w:r w:rsidR="00BE06DE">
        <w:rPr>
          <w:rFonts w:ascii="Book Antiqua" w:eastAsia="Book Antiqua" w:hAnsi="Book Antiqua" w:cs="Book Antiqua"/>
          <w:color w:val="000000"/>
        </w:rPr>
        <w:t>,</w:t>
      </w:r>
      <w:r w:rsidRPr="00CE331D">
        <w:rPr>
          <w:rFonts w:ascii="Book Antiqua" w:eastAsia="Book Antiqua" w:hAnsi="Book Antiqua" w:cs="Book Antiqua"/>
          <w:color w:val="000000"/>
        </w:rPr>
        <w:t xml:space="preserve"> and reduced symptom recurrence.</w:t>
      </w:r>
    </w:p>
    <w:p w14:paraId="7621CCE5" w14:textId="77777777" w:rsidR="00A77B3E" w:rsidRPr="00CE331D" w:rsidRDefault="00A77B3E" w:rsidP="00CE331D">
      <w:pPr>
        <w:spacing w:line="360" w:lineRule="auto"/>
        <w:jc w:val="both"/>
        <w:rPr>
          <w:rFonts w:ascii="Book Antiqua" w:hAnsi="Book Antiqua"/>
        </w:rPr>
      </w:pPr>
    </w:p>
    <w:p w14:paraId="09BE7125" w14:textId="00429A40" w:rsidR="00A77B3E" w:rsidRPr="00CE331D" w:rsidRDefault="009855DE"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br w:type="page"/>
      </w:r>
      <w:r w:rsidR="00EF6257" w:rsidRPr="00CE331D">
        <w:rPr>
          <w:rFonts w:ascii="Book Antiqua" w:eastAsia="Book Antiqua" w:hAnsi="Book Antiqua" w:cs="Book Antiqua"/>
          <w:b/>
          <w:caps/>
          <w:color w:val="000000"/>
          <w:u w:val="single"/>
        </w:rPr>
        <w:t>INTRODUCTION</w:t>
      </w:r>
    </w:p>
    <w:p w14:paraId="6A0746F8" w14:textId="01CD376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Gastroesophageal reflux disease (GERD) is divided into nonerosive reflux disease (NERD), </w:t>
      </w:r>
      <w:bookmarkStart w:id="5" w:name="OLE_LINK5"/>
      <w:bookmarkStart w:id="6" w:name="OLE_LINK6"/>
      <w:r w:rsidRPr="00CE331D">
        <w:rPr>
          <w:rFonts w:ascii="Book Antiqua" w:eastAsia="Book Antiqua" w:hAnsi="Book Antiqua" w:cs="Book Antiqua"/>
          <w:color w:val="000000"/>
        </w:rPr>
        <w:t>reflux esophagitis</w:t>
      </w:r>
      <w:bookmarkEnd w:id="5"/>
      <w:bookmarkEnd w:id="6"/>
      <w:r w:rsidRPr="00CE331D">
        <w:rPr>
          <w:rFonts w:ascii="Book Antiqua" w:eastAsia="Book Antiqua" w:hAnsi="Book Antiqua" w:cs="Book Antiqua"/>
          <w:color w:val="000000"/>
        </w:rPr>
        <w:t>, and Barrett's esophagus, and more than 70% of GERD cases are NERD</w:t>
      </w:r>
      <w:r w:rsidRPr="00CE331D">
        <w:rPr>
          <w:rFonts w:ascii="Book Antiqua" w:eastAsia="Book Antiqua" w:hAnsi="Book Antiqua" w:cs="Book Antiqua"/>
          <w:color w:val="000000"/>
          <w:vertAlign w:val="superscript"/>
        </w:rPr>
        <w:t>[1]</w:t>
      </w:r>
      <w:r w:rsidRPr="00CE331D">
        <w:rPr>
          <w:rFonts w:ascii="Book Antiqua" w:eastAsia="Book Antiqua" w:hAnsi="Book Antiqua" w:cs="Book Antiqua"/>
          <w:color w:val="000000"/>
        </w:rPr>
        <w:t>. The current treatment for GERD is proton pump inhibitors (PPIs)</w:t>
      </w:r>
      <w:r w:rsidRPr="00CE331D">
        <w:rPr>
          <w:rFonts w:ascii="Book Antiqua" w:eastAsia="Book Antiqua" w:hAnsi="Book Antiqua" w:cs="Book Antiqua"/>
          <w:color w:val="000000"/>
          <w:vertAlign w:val="superscript"/>
        </w:rPr>
        <w:t>[2]</w:t>
      </w:r>
      <w:r w:rsidRPr="00CE331D">
        <w:rPr>
          <w:rFonts w:ascii="Book Antiqua" w:eastAsia="Book Antiqua" w:hAnsi="Book Antiqua" w:cs="Book Antiqua"/>
          <w:color w:val="000000"/>
        </w:rPr>
        <w:t xml:space="preserve">. However, due to the chronic nature and recurrence of GERD, current PPI treatments for GERD do not provide satisfactory effects, especially in patients with NERD, who have a poorer response to PPIs than patients with </w:t>
      </w:r>
      <w:r w:rsidR="000769CC" w:rsidRPr="00CE331D">
        <w:rPr>
          <w:rFonts w:ascii="Book Antiqua" w:eastAsia="Book Antiqua" w:hAnsi="Book Antiqua" w:cs="Book Antiqua"/>
          <w:color w:val="000000"/>
        </w:rPr>
        <w:t>reflux esophagitis</w:t>
      </w:r>
      <w:r w:rsidRPr="00CE331D">
        <w:rPr>
          <w:rFonts w:ascii="Book Antiqua" w:eastAsia="Book Antiqua" w:hAnsi="Book Antiqua" w:cs="Book Antiqua"/>
          <w:color w:val="000000"/>
          <w:vertAlign w:val="superscript"/>
        </w:rPr>
        <w:t>[3-7]</w:t>
      </w:r>
      <w:r w:rsidRPr="00CE331D">
        <w:rPr>
          <w:rFonts w:ascii="Book Antiqua" w:eastAsia="Book Antiqua" w:hAnsi="Book Antiqua" w:cs="Book Antiqua"/>
          <w:color w:val="000000"/>
        </w:rPr>
        <w:t>. In addition, many patients need to take PPIs for a long time</w:t>
      </w:r>
      <w:r w:rsidRPr="00CE331D">
        <w:rPr>
          <w:rFonts w:ascii="Book Antiqua" w:eastAsia="Book Antiqua" w:hAnsi="Book Antiqua" w:cs="Book Antiqua"/>
          <w:color w:val="000000"/>
          <w:vertAlign w:val="superscript"/>
        </w:rPr>
        <w:t>[8]</w:t>
      </w:r>
      <w:r w:rsidRPr="00CE331D">
        <w:rPr>
          <w:rFonts w:ascii="Book Antiqua" w:eastAsia="Book Antiqua" w:hAnsi="Book Antiqua" w:cs="Book Antiqua"/>
          <w:color w:val="000000"/>
        </w:rPr>
        <w:t>, potentially leading to changes in their intestinal microbiota, such as increases in</w:t>
      </w:r>
      <w:r w:rsidRPr="00CE331D">
        <w:rPr>
          <w:rFonts w:ascii="Book Antiqua" w:eastAsia="Book Antiqua" w:hAnsi="Book Antiqua" w:cs="Book Antiqua"/>
          <w:i/>
          <w:iCs/>
          <w:color w:val="000000"/>
        </w:rPr>
        <w:t xml:space="preserve"> Enterococcus</w:t>
      </w:r>
      <w:r w:rsidRPr="00CE331D">
        <w:rPr>
          <w:rFonts w:ascii="Book Antiqua" w:eastAsia="Book Antiqua" w:hAnsi="Book Antiqua" w:cs="Book Antiqua"/>
          <w:color w:val="000000"/>
        </w:rPr>
        <w:t>,</w:t>
      </w:r>
      <w:r w:rsidRPr="00CE331D">
        <w:rPr>
          <w:rFonts w:ascii="Book Antiqua" w:eastAsia="Book Antiqua" w:hAnsi="Book Antiqua" w:cs="Book Antiqua"/>
          <w:i/>
          <w:iCs/>
          <w:color w:val="000000"/>
        </w:rPr>
        <w:t xml:space="preserve"> Streptococcus</w:t>
      </w:r>
      <w:r w:rsidRPr="00CE331D">
        <w:rPr>
          <w:rFonts w:ascii="Book Antiqua" w:eastAsia="Book Antiqua" w:hAnsi="Book Antiqua" w:cs="Book Antiqua"/>
          <w:color w:val="000000"/>
        </w:rPr>
        <w:t xml:space="preserve">, </w:t>
      </w:r>
      <w:r w:rsidR="00BE06DE" w:rsidRPr="00CE331D">
        <w:rPr>
          <w:rFonts w:ascii="Book Antiqua" w:eastAsia="Book Antiqua" w:hAnsi="Book Antiqua" w:cs="Book Antiqua"/>
          <w:i/>
          <w:iCs/>
          <w:color w:val="000000"/>
        </w:rPr>
        <w:t>Staphylococcus</w:t>
      </w:r>
      <w:r w:rsidR="00BE06DE">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and potentially pathogenic </w:t>
      </w:r>
      <w:r w:rsidRPr="00CE331D">
        <w:rPr>
          <w:rFonts w:ascii="Book Antiqua" w:eastAsia="Book Antiqua" w:hAnsi="Book Antiqua" w:cs="Book Antiqua"/>
          <w:i/>
          <w:iCs/>
          <w:color w:val="000000"/>
        </w:rPr>
        <w:t>Escherichia coli</w:t>
      </w:r>
      <w:r w:rsidRPr="00CE331D">
        <w:rPr>
          <w:rFonts w:ascii="Book Antiqua" w:eastAsia="Book Antiqua" w:hAnsi="Book Antiqua" w:cs="Book Antiqua"/>
          <w:color w:val="000000"/>
          <w:vertAlign w:val="superscript"/>
        </w:rPr>
        <w:t>[6,9]</w:t>
      </w:r>
      <w:r w:rsidRPr="00CE331D">
        <w:rPr>
          <w:rFonts w:ascii="Book Antiqua" w:eastAsia="Book Antiqua" w:hAnsi="Book Antiqua" w:cs="Book Antiqua"/>
          <w:color w:val="000000"/>
        </w:rPr>
        <w:t xml:space="preserve">. </w:t>
      </w:r>
      <w:r w:rsidRPr="00CE331D">
        <w:rPr>
          <w:rFonts w:ascii="Book Antiqua" w:eastAsia="Book Antiqua" w:hAnsi="Book Antiqua" w:cs="Book Antiqua"/>
          <w:i/>
          <w:iCs/>
          <w:color w:val="000000"/>
        </w:rPr>
        <w:t xml:space="preserve">Escherichia coli </w:t>
      </w:r>
      <w:r w:rsidRPr="00CE331D">
        <w:rPr>
          <w:rFonts w:ascii="Book Antiqua" w:eastAsia="Book Antiqua" w:hAnsi="Book Antiqua" w:cs="Book Antiqua"/>
          <w:color w:val="000000"/>
        </w:rPr>
        <w:t xml:space="preserve">is a </w:t>
      </w:r>
      <w:r w:rsidR="00BE06DE">
        <w:rPr>
          <w:rFonts w:ascii="Book Antiqua" w:eastAsia="Book Antiqua" w:hAnsi="Book Antiqua" w:cs="Book Antiqua"/>
          <w:color w:val="000000"/>
        </w:rPr>
        <w:t>G</w:t>
      </w:r>
      <w:r w:rsidR="00BE06DE" w:rsidRPr="00CE331D">
        <w:rPr>
          <w:rFonts w:ascii="Book Antiqua" w:eastAsia="Book Antiqua" w:hAnsi="Book Antiqua" w:cs="Book Antiqua"/>
          <w:color w:val="000000"/>
        </w:rPr>
        <w:t>ram</w:t>
      </w:r>
      <w:r w:rsidRPr="00CE331D">
        <w:rPr>
          <w:rFonts w:ascii="Book Antiqua" w:eastAsia="Book Antiqua" w:hAnsi="Book Antiqua" w:cs="Book Antiqua"/>
          <w:color w:val="000000"/>
        </w:rPr>
        <w:t>-negative bacterium, and a component of its cell wall, lipopolysaccharide, can cause lower esophageal sphincter (LES) relaxation and gastric empty-out delay and lead to the occurrence of GERD</w:t>
      </w:r>
      <w:r w:rsidRPr="00CE331D">
        <w:rPr>
          <w:rFonts w:ascii="Book Antiqua" w:eastAsia="Book Antiqua" w:hAnsi="Book Antiqua" w:cs="Book Antiqua"/>
          <w:color w:val="000000"/>
          <w:vertAlign w:val="superscript"/>
        </w:rPr>
        <w:t>[6]</w:t>
      </w:r>
      <w:r w:rsidRPr="00CE331D">
        <w:rPr>
          <w:rFonts w:ascii="Book Antiqua" w:eastAsia="Book Antiqua" w:hAnsi="Book Antiqua" w:cs="Book Antiqua"/>
          <w:color w:val="000000"/>
        </w:rPr>
        <w:t>. Many studies have also found that long-term use of PPIs can result in small intestinal bacterial overgrowth (SIBO)</w:t>
      </w:r>
      <w:r w:rsidRPr="00CE331D">
        <w:rPr>
          <w:rFonts w:ascii="Book Antiqua" w:eastAsia="Book Antiqua" w:hAnsi="Book Antiqua" w:cs="Book Antiqua"/>
          <w:color w:val="000000"/>
          <w:vertAlign w:val="superscript"/>
        </w:rPr>
        <w:t>[9-11]</w:t>
      </w:r>
      <w:r w:rsidRPr="00CE331D">
        <w:rPr>
          <w:rFonts w:ascii="Book Antiqua" w:eastAsia="Book Antiqua" w:hAnsi="Book Antiqua" w:cs="Book Antiqua"/>
          <w:color w:val="000000"/>
        </w:rPr>
        <w:t>, which can cause chronic inflammation; immune reactions may give rise to reduced reactivity of esophageal smooth muscle</w:t>
      </w:r>
      <w:r w:rsidRPr="00CE331D">
        <w:rPr>
          <w:rFonts w:ascii="Book Antiqua" w:eastAsia="Book Antiqua" w:hAnsi="Book Antiqua" w:cs="Book Antiqua"/>
          <w:color w:val="000000"/>
          <w:vertAlign w:val="superscript"/>
        </w:rPr>
        <w:t>[12]</w:t>
      </w:r>
      <w:r w:rsidRPr="00CE331D">
        <w:rPr>
          <w:rFonts w:ascii="Book Antiqua" w:eastAsia="Book Antiqua" w:hAnsi="Book Antiqua" w:cs="Book Antiqua"/>
          <w:color w:val="000000"/>
        </w:rPr>
        <w:t>. At the same time, SIBO leads to the production of excess amounts of methane gas by the intestinal bacteria, which inhibits contractile activity, slows intestinal transit, and, consequently, affects gastric emptying and induces gastroesophageal reflux</w:t>
      </w:r>
      <w:r w:rsidRPr="00CE331D">
        <w:rPr>
          <w:rFonts w:ascii="Book Antiqua" w:eastAsia="Book Antiqua" w:hAnsi="Book Antiqua" w:cs="Book Antiqua"/>
          <w:color w:val="000000"/>
          <w:vertAlign w:val="superscript"/>
        </w:rPr>
        <w:t>[13,14]</w:t>
      </w:r>
      <w:r w:rsidRPr="00CE331D">
        <w:rPr>
          <w:rFonts w:ascii="Book Antiqua" w:eastAsia="Book Antiqua" w:hAnsi="Book Antiqua" w:cs="Book Antiqua"/>
          <w:color w:val="000000"/>
        </w:rPr>
        <w:t>. These studies suggest that the recurrence of symptoms and long-term use of PPI in patients with GERD (including NERD) may be related to changes in the intestinal microbiota and SIBO induction after previous PPI use.</w:t>
      </w:r>
    </w:p>
    <w:p w14:paraId="343A9094" w14:textId="53848460"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In recent years, research on the application of fecal microbiota transplantation (FMT) in clinical diseases has developed rapidly. Good clinical effects of FMT have been observed for many diseases, including refractory </w:t>
      </w:r>
      <w:r w:rsidRPr="00CE331D">
        <w:rPr>
          <w:rFonts w:ascii="Book Antiqua" w:eastAsia="Book Antiqua" w:hAnsi="Book Antiqua" w:cs="Book Antiqua"/>
          <w:i/>
          <w:iCs/>
          <w:color w:val="000000"/>
        </w:rPr>
        <w:t>Clostridium difficile</w:t>
      </w:r>
      <w:r w:rsidRPr="00CE331D">
        <w:rPr>
          <w:rFonts w:ascii="Book Antiqua" w:eastAsia="Book Antiqua" w:hAnsi="Book Antiqua" w:cs="Book Antiqua"/>
          <w:color w:val="000000"/>
        </w:rPr>
        <w:t xml:space="preserve"> infection</w:t>
      </w:r>
      <w:r w:rsidRPr="00CE331D">
        <w:rPr>
          <w:rFonts w:ascii="Book Antiqua" w:eastAsia="Book Antiqua" w:hAnsi="Book Antiqua" w:cs="Book Antiqua"/>
          <w:color w:val="000000"/>
          <w:vertAlign w:val="superscript"/>
        </w:rPr>
        <w:t>[15]</w:t>
      </w:r>
      <w:r w:rsidRPr="00CE331D">
        <w:rPr>
          <w:rFonts w:ascii="Book Antiqua" w:eastAsia="Book Antiqua" w:hAnsi="Book Antiqua" w:cs="Book Antiqua"/>
          <w:color w:val="000000"/>
        </w:rPr>
        <w:t>, irritable bowel syndrome</w:t>
      </w:r>
      <w:r w:rsidRPr="00CE331D">
        <w:rPr>
          <w:rFonts w:ascii="Book Antiqua" w:eastAsia="Book Antiqua" w:hAnsi="Book Antiqua" w:cs="Book Antiqua"/>
          <w:color w:val="000000"/>
          <w:vertAlign w:val="superscript"/>
        </w:rPr>
        <w:t>[16]</w:t>
      </w:r>
      <w:r w:rsidRPr="00CE331D">
        <w:rPr>
          <w:rFonts w:ascii="Book Antiqua" w:eastAsia="Book Antiqua" w:hAnsi="Book Antiqua" w:cs="Book Antiqua"/>
          <w:color w:val="000000"/>
        </w:rPr>
        <w:t>, inflammatory bowel disease</w:t>
      </w:r>
      <w:r w:rsidRPr="00CE331D">
        <w:rPr>
          <w:rFonts w:ascii="Book Antiqua" w:eastAsia="Book Antiqua" w:hAnsi="Book Antiqua" w:cs="Book Antiqua"/>
          <w:color w:val="000000"/>
          <w:vertAlign w:val="superscript"/>
        </w:rPr>
        <w:t>[17]</w:t>
      </w:r>
      <w:r w:rsidRPr="00CE331D">
        <w:rPr>
          <w:rFonts w:ascii="Book Antiqua" w:eastAsia="Book Antiqua" w:hAnsi="Book Antiqua" w:cs="Book Antiqua"/>
          <w:color w:val="000000"/>
        </w:rPr>
        <w:t>, and constipation</w:t>
      </w:r>
      <w:r w:rsidRPr="00CE331D">
        <w:rPr>
          <w:rFonts w:ascii="Book Antiqua" w:eastAsia="Book Antiqua" w:hAnsi="Book Antiqua" w:cs="Book Antiqua"/>
          <w:color w:val="000000"/>
          <w:vertAlign w:val="superscript"/>
        </w:rPr>
        <w:t>[18]</w:t>
      </w:r>
      <w:r w:rsidRPr="00CE331D">
        <w:rPr>
          <w:rFonts w:ascii="Book Antiqua" w:eastAsia="Book Antiqua" w:hAnsi="Book Antiqua" w:cs="Book Antiqua"/>
          <w:color w:val="000000"/>
        </w:rPr>
        <w:t>. FMT reconstructs the balance of the intestinal flora in patients by using healthy donor feces, reducing the colonization of pathogenic bacteria</w:t>
      </w:r>
      <w:r w:rsidR="00BE06DE">
        <w:rPr>
          <w:rFonts w:ascii="Book Antiqua" w:eastAsia="Book Antiqua" w:hAnsi="Book Antiqua" w:cs="Book Antiqua"/>
          <w:color w:val="000000"/>
        </w:rPr>
        <w:t>,</w:t>
      </w:r>
      <w:r w:rsidRPr="00CE331D">
        <w:rPr>
          <w:rFonts w:ascii="Book Antiqua" w:eastAsia="Book Antiqua" w:hAnsi="Book Antiqua" w:cs="Book Antiqua"/>
          <w:color w:val="000000"/>
        </w:rPr>
        <w:t xml:space="preserve"> and leading to a treatment effect by regulating metabolism and immunity</w:t>
      </w:r>
      <w:r w:rsidRPr="00CE331D">
        <w:rPr>
          <w:rFonts w:ascii="Book Antiqua" w:eastAsia="Book Antiqua" w:hAnsi="Book Antiqua" w:cs="Book Antiqua"/>
          <w:color w:val="000000"/>
          <w:vertAlign w:val="superscript"/>
        </w:rPr>
        <w:t>[19]</w:t>
      </w:r>
      <w:r w:rsidRPr="00CE331D">
        <w:rPr>
          <w:rFonts w:ascii="Book Antiqua" w:eastAsia="Book Antiqua" w:hAnsi="Book Antiqua" w:cs="Book Antiqua"/>
          <w:color w:val="000000"/>
        </w:rPr>
        <w:t>. The latest study showed that the method of generating bacterial solutions through automatic purification systems is very popular among doctors and patients; therefore, FMT is also called washed microbiota transplantation (WMT)</w:t>
      </w:r>
      <w:r w:rsidRPr="00CE331D">
        <w:rPr>
          <w:rFonts w:ascii="Book Antiqua" w:eastAsia="Book Antiqua" w:hAnsi="Book Antiqua" w:cs="Book Antiqua"/>
          <w:color w:val="000000"/>
          <w:vertAlign w:val="superscript"/>
        </w:rPr>
        <w:t>[20]</w:t>
      </w:r>
      <w:r w:rsidRPr="00CE331D">
        <w:rPr>
          <w:rFonts w:ascii="Book Antiqua" w:eastAsia="Book Antiqua" w:hAnsi="Book Antiqua" w:cs="Book Antiqua"/>
          <w:color w:val="000000"/>
        </w:rPr>
        <w:t>.</w:t>
      </w:r>
    </w:p>
    <w:p w14:paraId="45C95A9A" w14:textId="38D2CF85"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Since our hospital launched WMT to treat diseases such as GERD, ulcerative colitis, irritable bowel syndrome, constipation, non-alcoholic fatty liver, and autism for two years and obtained good clinical results, more than 2500 patients have been treated. This study mainly </w:t>
      </w:r>
      <w:r w:rsidR="00BE06DE">
        <w:rPr>
          <w:rFonts w:ascii="Book Antiqua" w:eastAsia="Book Antiqua" w:hAnsi="Book Antiqua" w:cs="Book Antiqua"/>
          <w:color w:val="000000"/>
        </w:rPr>
        <w:t>assessed</w:t>
      </w:r>
      <w:r w:rsidR="00BE06DE"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the therapeutic effects of WMT in patients with PPI-dependent NERD.</w:t>
      </w:r>
    </w:p>
    <w:p w14:paraId="58A5A1CE" w14:textId="77777777" w:rsidR="00A77B3E" w:rsidRPr="00CE331D" w:rsidRDefault="00A77B3E" w:rsidP="00CE331D">
      <w:pPr>
        <w:spacing w:line="360" w:lineRule="auto"/>
        <w:ind w:firstLine="480"/>
        <w:jc w:val="both"/>
        <w:rPr>
          <w:rFonts w:ascii="Book Antiqua" w:hAnsi="Book Antiqua"/>
        </w:rPr>
      </w:pPr>
    </w:p>
    <w:p w14:paraId="653D5033"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MATERIALS AND METHODS</w:t>
      </w:r>
    </w:p>
    <w:p w14:paraId="7C3A91BC" w14:textId="7889CF50"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Subjects</w:t>
      </w:r>
    </w:p>
    <w:p w14:paraId="6DF5D800" w14:textId="0A6FF325" w:rsidR="00A77B3E" w:rsidRPr="00CE331D" w:rsidRDefault="00EF6257" w:rsidP="00CE331D">
      <w:pPr>
        <w:spacing w:line="360" w:lineRule="auto"/>
        <w:jc w:val="both"/>
        <w:rPr>
          <w:rFonts w:ascii="Book Antiqua" w:eastAsia="Book Antiqua" w:hAnsi="Book Antiqua" w:cs="Book Antiqua"/>
          <w:color w:val="000000"/>
        </w:rPr>
      </w:pPr>
      <w:r w:rsidRPr="00CE331D">
        <w:rPr>
          <w:rFonts w:ascii="Book Antiqua" w:eastAsia="Book Antiqua" w:hAnsi="Book Antiqua" w:cs="Book Antiqua"/>
          <w:color w:val="000000"/>
        </w:rPr>
        <w:t>Patients with a clear diagnosis of NERD and dependency on PPIs who were admitted to the Department of Gastroenterology of the First Affiliated Hospital of Guangdong Pharmaceutical University from January 1, 2017</w:t>
      </w:r>
      <w:r w:rsidR="00BE06DE">
        <w:rPr>
          <w:rFonts w:ascii="Book Antiqua" w:eastAsia="Book Antiqua" w:hAnsi="Book Antiqua" w:cs="Book Antiqua"/>
          <w:color w:val="000000"/>
        </w:rPr>
        <w:t xml:space="preserve"> </w:t>
      </w:r>
      <w:r w:rsidRPr="00CE331D">
        <w:rPr>
          <w:rFonts w:ascii="Book Antiqua" w:eastAsia="Book Antiqua" w:hAnsi="Book Antiqua" w:cs="Book Antiqua"/>
          <w:color w:val="000000"/>
        </w:rPr>
        <w:t>to November 30, 2018 and had poor curative effects and recurrent symptoms after PPI use were included and divided into WMT and PPI groups. Patients who received WMT treatment provided informed consent.</w:t>
      </w:r>
    </w:p>
    <w:p w14:paraId="7A5DE247" w14:textId="77777777" w:rsidR="00EF6257" w:rsidRPr="00CE331D" w:rsidRDefault="00EF6257" w:rsidP="00CE331D">
      <w:pPr>
        <w:spacing w:line="360" w:lineRule="auto"/>
        <w:jc w:val="both"/>
        <w:rPr>
          <w:rFonts w:ascii="Book Antiqua" w:hAnsi="Book Antiqua"/>
        </w:rPr>
      </w:pPr>
    </w:p>
    <w:p w14:paraId="0B6C57D6" w14:textId="7EBEC5B6"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Inclusion criteria</w:t>
      </w:r>
    </w:p>
    <w:p w14:paraId="56726C81" w14:textId="1A60787B" w:rsidR="00A77B3E" w:rsidRPr="00CE331D" w:rsidRDefault="00192F90" w:rsidP="00CE331D">
      <w:pPr>
        <w:spacing w:line="360" w:lineRule="auto"/>
        <w:jc w:val="both"/>
        <w:rPr>
          <w:rFonts w:ascii="Book Antiqua" w:eastAsia="Book Antiqua" w:hAnsi="Book Antiqua" w:cs="Book Antiqua"/>
          <w:color w:val="000000"/>
        </w:rPr>
      </w:pPr>
      <w:r w:rsidRPr="00CE331D">
        <w:rPr>
          <w:rFonts w:ascii="Book Antiqua" w:hAnsi="Book Antiqua"/>
        </w:rPr>
        <w:t xml:space="preserve">The age of the included patients was 18-85 years old. Consistent with the diagnosis of GERD, endoscopy excluded reflux esophagitis and Barrett's esophagus. The patients had a history of disease for more than </w:t>
      </w:r>
      <w:r w:rsidR="00BE06DE">
        <w:rPr>
          <w:rFonts w:ascii="Book Antiqua" w:hAnsi="Book Antiqua"/>
        </w:rPr>
        <w:t>6</w:t>
      </w:r>
      <w:r w:rsidR="00BE06DE" w:rsidRPr="00CE331D">
        <w:rPr>
          <w:rFonts w:ascii="Book Antiqua" w:hAnsi="Book Antiqua"/>
        </w:rPr>
        <w:t xml:space="preserve"> mo</w:t>
      </w:r>
      <w:r w:rsidR="00BE06DE">
        <w:rPr>
          <w:rFonts w:ascii="Book Antiqua" w:hAnsi="Book Antiqua"/>
        </w:rPr>
        <w:t xml:space="preserve"> </w:t>
      </w:r>
      <w:r w:rsidRPr="00CE331D">
        <w:rPr>
          <w:rFonts w:ascii="Book Antiqua" w:hAnsi="Book Antiqua"/>
        </w:rPr>
        <w:t xml:space="preserve">with PPI dependency. PPI dependency was defined </w:t>
      </w:r>
      <w:r w:rsidR="00F436E6" w:rsidRPr="00CE331D">
        <w:rPr>
          <w:rFonts w:ascii="Book Antiqua" w:hAnsi="Book Antiqua"/>
        </w:rPr>
        <w:t xml:space="preserve">that after standard PPI treatment, </w:t>
      </w:r>
      <w:r w:rsidRPr="00CE331D">
        <w:rPr>
          <w:rFonts w:ascii="Book Antiqua" w:hAnsi="Book Antiqua"/>
        </w:rPr>
        <w:t>complete remission of GERD symptoms</w:t>
      </w:r>
      <w:r w:rsidR="00F436E6" w:rsidRPr="00CE331D">
        <w:rPr>
          <w:rFonts w:ascii="Book Antiqua" w:hAnsi="Book Antiqua"/>
        </w:rPr>
        <w:t xml:space="preserve"> </w:t>
      </w:r>
      <w:r w:rsidR="0070150A">
        <w:rPr>
          <w:rFonts w:ascii="Book Antiqua" w:hAnsi="Book Antiqua"/>
        </w:rPr>
        <w:t xml:space="preserve">was not achieved </w:t>
      </w:r>
      <w:r w:rsidR="00F436E6" w:rsidRPr="00CE331D">
        <w:rPr>
          <w:rFonts w:ascii="Book Antiqua" w:hAnsi="Book Antiqua"/>
        </w:rPr>
        <w:t>or the symptoms recurred after the drug was stopped</w:t>
      </w:r>
      <w:r w:rsidRPr="00CE331D">
        <w:rPr>
          <w:rFonts w:ascii="Book Antiqua" w:hAnsi="Book Antiqua"/>
        </w:rPr>
        <w:t>.</w:t>
      </w:r>
      <w:bookmarkStart w:id="7" w:name="_Hlk60699912"/>
      <w:r w:rsidRPr="00CE331D">
        <w:rPr>
          <w:rFonts w:ascii="Book Antiqua" w:hAnsi="Book Antiqua"/>
        </w:rPr>
        <w:t xml:space="preserve"> The inclusion criteria of the WMT group were to meet both the above criteria and the following criteria: </w:t>
      </w:r>
      <w:r w:rsidR="00346B74" w:rsidRPr="00CE331D">
        <w:rPr>
          <w:rFonts w:ascii="Book Antiqua" w:hAnsi="Book Antiqua"/>
        </w:rPr>
        <w:t>P</w:t>
      </w:r>
      <w:r w:rsidRPr="00CE331D">
        <w:rPr>
          <w:rFonts w:ascii="Book Antiqua" w:hAnsi="Book Antiqua"/>
        </w:rPr>
        <w:t>atients had consented to WMT treatment, and no antibiotics were used 1 wk before treatment and during treatment</w:t>
      </w:r>
      <w:bookmarkEnd w:id="7"/>
      <w:r w:rsidR="00BE06DE">
        <w:rPr>
          <w:rFonts w:ascii="Book Antiqua" w:hAnsi="Book Antiqua"/>
        </w:rPr>
        <w:t xml:space="preserve"> i</w:t>
      </w:r>
      <w:r w:rsidR="00BE06DE" w:rsidRPr="00CE331D">
        <w:rPr>
          <w:rFonts w:ascii="Book Antiqua" w:hAnsi="Book Antiqua"/>
        </w:rPr>
        <w:t xml:space="preserve">f </w:t>
      </w:r>
      <w:r w:rsidRPr="00CE331D">
        <w:rPr>
          <w:rFonts w:ascii="Book Antiqua" w:hAnsi="Book Antiqua"/>
        </w:rPr>
        <w:t>they were not included in the PPI group.</w:t>
      </w:r>
    </w:p>
    <w:p w14:paraId="467857A5" w14:textId="77777777" w:rsidR="00EF6257" w:rsidRPr="00CE331D" w:rsidRDefault="00EF6257" w:rsidP="00CE331D">
      <w:pPr>
        <w:spacing w:line="360" w:lineRule="auto"/>
        <w:jc w:val="both"/>
        <w:rPr>
          <w:rFonts w:ascii="Book Antiqua" w:hAnsi="Book Antiqua"/>
        </w:rPr>
      </w:pPr>
    </w:p>
    <w:p w14:paraId="7EB980CD" w14:textId="11C72232"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Exclusion criteria</w:t>
      </w:r>
    </w:p>
    <w:p w14:paraId="2D8F46EA" w14:textId="42D5DF71" w:rsidR="00A77B3E" w:rsidRPr="00CE331D" w:rsidRDefault="00EF6257" w:rsidP="00CE331D">
      <w:pPr>
        <w:spacing w:line="360" w:lineRule="auto"/>
        <w:jc w:val="both"/>
        <w:rPr>
          <w:rFonts w:ascii="Book Antiqua" w:eastAsia="Book Antiqua" w:hAnsi="Book Antiqua" w:cs="Book Antiqua"/>
          <w:color w:val="000000"/>
        </w:rPr>
      </w:pPr>
      <w:r w:rsidRPr="00CE331D">
        <w:rPr>
          <w:rFonts w:ascii="Book Antiqua" w:eastAsia="Book Antiqua" w:hAnsi="Book Antiqua" w:cs="Book Antiqua"/>
          <w:color w:val="000000"/>
        </w:rPr>
        <w:t>Patients were excluded if they had severe heart and lung disease, liver and kidney failure, malignant tumors, pregnancy</w:t>
      </w:r>
      <w:r w:rsidR="00196741">
        <w:rPr>
          <w:rFonts w:ascii="Book Antiqua" w:eastAsia="Book Antiqua" w:hAnsi="Book Antiqua" w:cs="Book Antiqua"/>
          <w:color w:val="000000"/>
        </w:rPr>
        <w:t>,</w:t>
      </w:r>
      <w:r w:rsidRPr="00CE331D">
        <w:rPr>
          <w:rFonts w:ascii="Book Antiqua" w:eastAsia="Book Antiqua" w:hAnsi="Book Antiqua" w:cs="Book Antiqua"/>
          <w:color w:val="000000"/>
        </w:rPr>
        <w:t xml:space="preserve"> or other diseases that significantly affect quality of life</w:t>
      </w:r>
      <w:r w:rsidR="00196741">
        <w:rPr>
          <w:rFonts w:ascii="Book Antiqua" w:eastAsia="Book Antiqua" w:hAnsi="Book Antiqua" w:cs="Book Antiqua"/>
          <w:color w:val="000000"/>
        </w:rPr>
        <w:t>,</w:t>
      </w:r>
      <w:r w:rsidR="00196741" w:rsidRPr="00CE331D">
        <w:rPr>
          <w:rFonts w:ascii="Book Antiqua" w:eastAsia="Book Antiqua" w:hAnsi="Book Antiqua" w:cs="Book Antiqua"/>
          <w:color w:val="000000"/>
        </w:rPr>
        <w:t xml:space="preserve"> </w:t>
      </w:r>
      <w:r w:rsidR="00196741">
        <w:rPr>
          <w:rFonts w:ascii="Book Antiqua" w:eastAsia="Book Antiqua" w:hAnsi="Book Antiqua" w:cs="Book Antiqua"/>
          <w:color w:val="000000"/>
        </w:rPr>
        <w:t xml:space="preserve">or they </w:t>
      </w:r>
      <w:r w:rsidR="00F436E6" w:rsidRPr="00CE331D">
        <w:rPr>
          <w:rFonts w:ascii="Book Antiqua" w:eastAsia="Book Antiqua" w:hAnsi="Book Antiqua" w:cs="Book Antiqua"/>
          <w:color w:val="000000"/>
        </w:rPr>
        <w:t>refused or failed to</w:t>
      </w:r>
      <w:r w:rsidR="00196741">
        <w:rPr>
          <w:rFonts w:ascii="Book Antiqua" w:eastAsia="Book Antiqua" w:hAnsi="Book Antiqua" w:cs="Book Antiqua"/>
          <w:color w:val="000000"/>
        </w:rPr>
        <w:t xml:space="preserve"> complete</w:t>
      </w:r>
      <w:r w:rsidR="006437CA">
        <w:rPr>
          <w:rFonts w:ascii="Book Antiqua" w:eastAsia="Book Antiqua" w:hAnsi="Book Antiqua" w:cs="Book Antiqua"/>
          <w:color w:val="000000"/>
        </w:rPr>
        <w:t xml:space="preserve"> the</w:t>
      </w:r>
      <w:r w:rsidR="00F436E6" w:rsidRPr="00CE331D">
        <w:rPr>
          <w:rFonts w:ascii="Book Antiqua" w:eastAsia="Book Antiqua" w:hAnsi="Book Antiqua" w:cs="Book Antiqua"/>
          <w:color w:val="000000"/>
        </w:rPr>
        <w:t xml:space="preserve"> follow-up</w:t>
      </w:r>
      <w:r w:rsidR="006437CA">
        <w:rPr>
          <w:rFonts w:ascii="Book Antiqua" w:eastAsia="Book Antiqua" w:hAnsi="Book Antiqua" w:cs="Book Antiqua"/>
          <w:color w:val="000000"/>
        </w:rPr>
        <w:t>s</w:t>
      </w:r>
      <w:r w:rsidR="00F436E6" w:rsidRPr="00CE331D">
        <w:rPr>
          <w:rFonts w:ascii="Book Antiqua" w:eastAsia="Book Antiqua" w:hAnsi="Book Antiqua" w:cs="Book Antiqua"/>
          <w:color w:val="000000"/>
        </w:rPr>
        <w:t>.</w:t>
      </w:r>
    </w:p>
    <w:p w14:paraId="0FAEE1E8" w14:textId="77777777" w:rsidR="00192F90" w:rsidRPr="00CE331D" w:rsidRDefault="00192F90" w:rsidP="00CE331D">
      <w:pPr>
        <w:spacing w:line="360" w:lineRule="auto"/>
        <w:jc w:val="both"/>
        <w:rPr>
          <w:rFonts w:ascii="Book Antiqua" w:hAnsi="Book Antiqua"/>
        </w:rPr>
      </w:pPr>
    </w:p>
    <w:p w14:paraId="6CA03E05" w14:textId="1F77960F"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Treatment plan</w:t>
      </w:r>
    </w:p>
    <w:p w14:paraId="5A783CCD" w14:textId="66549B53" w:rsidR="00A77B3E" w:rsidRPr="00CE331D" w:rsidRDefault="00A657E8" w:rsidP="00CE331D">
      <w:pPr>
        <w:spacing w:line="360" w:lineRule="auto"/>
        <w:jc w:val="both"/>
        <w:rPr>
          <w:rFonts w:ascii="Book Antiqua" w:eastAsia="Book Antiqua" w:hAnsi="Book Antiqua" w:cs="Book Antiqua"/>
          <w:color w:val="000000"/>
        </w:rPr>
      </w:pPr>
      <w:r w:rsidRPr="00CE331D">
        <w:rPr>
          <w:rFonts w:ascii="Book Antiqua" w:hAnsi="Book Antiqua"/>
        </w:rPr>
        <w:t xml:space="preserve">The PPI group was treated with a previous treatment plan (mainly PPI treatment), while WMT treatment was added in the WMT group. The source of the bacterial suspension for WMT was mixed multidonor feces. </w:t>
      </w:r>
      <w:r w:rsidR="00196741">
        <w:rPr>
          <w:rFonts w:ascii="Book Antiqua" w:hAnsi="Book Antiqua"/>
        </w:rPr>
        <w:t>A</w:t>
      </w:r>
      <w:r w:rsidR="00196741" w:rsidRPr="00CE331D">
        <w:rPr>
          <w:rFonts w:ascii="Book Antiqua" w:hAnsi="Book Antiqua"/>
        </w:rPr>
        <w:t xml:space="preserve">ll </w:t>
      </w:r>
      <w:r w:rsidRPr="00CE331D">
        <w:rPr>
          <w:rFonts w:ascii="Book Antiqua" w:hAnsi="Book Antiqua"/>
        </w:rPr>
        <w:t>donors</w:t>
      </w:r>
      <w:r w:rsidR="00196741">
        <w:rPr>
          <w:rFonts w:ascii="Book Antiqua" w:hAnsi="Book Antiqua"/>
        </w:rPr>
        <w:t xml:space="preserve"> were h</w:t>
      </w:r>
      <w:r w:rsidR="00196741" w:rsidRPr="00CE331D">
        <w:rPr>
          <w:rFonts w:ascii="Book Antiqua" w:hAnsi="Book Antiqua"/>
        </w:rPr>
        <w:t xml:space="preserve">ealthy people aged </w:t>
      </w:r>
      <w:r w:rsidR="00196741" w:rsidRPr="00CE331D">
        <w:rPr>
          <w:rFonts w:ascii="Book Antiqua" w:hAnsi="Book Antiqua"/>
          <w:color w:val="000000" w:themeColor="text1"/>
        </w:rPr>
        <w:t xml:space="preserve">18 to 25 </w:t>
      </w:r>
      <w:r w:rsidR="00196741" w:rsidRPr="00CE331D">
        <w:rPr>
          <w:rFonts w:ascii="Book Antiqua" w:hAnsi="Book Antiqua"/>
        </w:rPr>
        <w:t>years</w:t>
      </w:r>
      <w:r w:rsidR="00196741">
        <w:rPr>
          <w:rFonts w:ascii="Book Antiqua" w:hAnsi="Book Antiqua"/>
        </w:rPr>
        <w:t>, and they</w:t>
      </w:r>
      <w:r w:rsidRPr="00CE331D">
        <w:rPr>
          <w:rFonts w:ascii="Book Antiqua" w:hAnsi="Book Antiqua"/>
        </w:rPr>
        <w:t xml:space="preserve"> were required to undergo health examinations to exclude digestive tract diseases, tumors, infectious diseases, metabolic diseases, genetic diseases</w:t>
      </w:r>
      <w:r w:rsidR="00196741">
        <w:rPr>
          <w:rFonts w:ascii="Book Antiqua" w:hAnsi="Book Antiqua"/>
        </w:rPr>
        <w:t>,</w:t>
      </w:r>
      <w:r w:rsidRPr="00CE331D">
        <w:rPr>
          <w:rFonts w:ascii="Book Antiqua" w:hAnsi="Book Antiqua"/>
        </w:rPr>
        <w:t xml:space="preserve"> and other related diseases and not to take antibiotics, as well as drugs that affect digestive tract dynamics and/or cause intestinal microecological disorders, for the last 3 mo. Two hundred milliliters of fresh fecal liquid was separated using an automatic purification system (GenFMTer; FMT Medical, Nanjing, China), and the prepared bacteria were injected into the patient's intestine </w:t>
      </w:r>
      <w:r w:rsidRPr="00CE331D">
        <w:rPr>
          <w:rFonts w:ascii="Book Antiqua" w:hAnsi="Book Antiqua"/>
          <w:i/>
          <w:iCs/>
        </w:rPr>
        <w:t>via</w:t>
      </w:r>
      <w:r w:rsidRPr="00CE331D">
        <w:rPr>
          <w:rFonts w:ascii="Book Antiqua" w:hAnsi="Book Antiqua"/>
        </w:rPr>
        <w:t xml:space="preserve"> the middle or lower digestive tract within half an hour. There were two transplantation routes. One was the middle-gut route: </w:t>
      </w:r>
      <w:bookmarkStart w:id="8" w:name="OLE_LINK69"/>
      <w:bookmarkStart w:id="9" w:name="OLE_LINK70"/>
      <w:r w:rsidRPr="00CE331D">
        <w:rPr>
          <w:rFonts w:ascii="Book Antiqua" w:hAnsi="Book Antiqua"/>
        </w:rPr>
        <w:t>Transendoscopic enteral tubing</w:t>
      </w:r>
      <w:bookmarkEnd w:id="8"/>
      <w:bookmarkEnd w:id="9"/>
      <w:r w:rsidRPr="00CE331D">
        <w:rPr>
          <w:rFonts w:ascii="Book Antiqua" w:hAnsi="Book Antiqua"/>
        </w:rPr>
        <w:t xml:space="preserve"> was placed in the jejunum under gastroscopy, and PPIs (such as lansoprazole 30 mg + normal saline 100 m</w:t>
      </w:r>
      <w:r w:rsidR="00190D7F" w:rsidRPr="00CE331D">
        <w:rPr>
          <w:rFonts w:ascii="Book Antiqua" w:hAnsi="Book Antiqua"/>
        </w:rPr>
        <w:t>L</w:t>
      </w:r>
      <w:r w:rsidRPr="00CE331D">
        <w:rPr>
          <w:rFonts w:ascii="Book Antiqua" w:hAnsi="Book Antiqua"/>
        </w:rPr>
        <w:t>) were administered intravenously 1 h before injection of bacteria (to reduce the inactivation of bacteria when moving through the stomach). Metoclopramide hydrochloride (10 mg) was injected intramuscularly (to reduce adverse reactions such as vomiting or abdominal distension caused by irritation of the gastrointestinal tract by the bacterial fluid). The patients were placed in a sitting position when injecting the bacterial solution. The injection process was slow, requiring an injection time of at least 30 min for 200 m</w:t>
      </w:r>
      <w:r w:rsidR="00190D7F" w:rsidRPr="00CE331D">
        <w:rPr>
          <w:rFonts w:ascii="Book Antiqua" w:hAnsi="Book Antiqua"/>
        </w:rPr>
        <w:t>L</w:t>
      </w:r>
      <w:r w:rsidRPr="00CE331D">
        <w:rPr>
          <w:rFonts w:ascii="Book Antiqua" w:hAnsi="Book Antiqua"/>
        </w:rPr>
        <w:t xml:space="preserve"> of bacterial solution. After the injection, the patient was asked to remain sitting or standing for at least 2 h. The other route was the lower gut route: Transendoscopic enteral tubing was placed into the caecum </w:t>
      </w:r>
      <w:r w:rsidRPr="00CE331D">
        <w:rPr>
          <w:rFonts w:ascii="Book Antiqua" w:hAnsi="Book Antiqua"/>
          <w:i/>
          <w:iCs/>
        </w:rPr>
        <w:t>via</w:t>
      </w:r>
      <w:r w:rsidRPr="00CE331D">
        <w:rPr>
          <w:rFonts w:ascii="Book Antiqua" w:hAnsi="Book Antiqua"/>
        </w:rPr>
        <w:t xml:space="preserve"> enteroscopy. When injecting the bacterial solution, the patient was in the right lateral position, and the time of injection was 30 min. After the injection was completed, the patient was instructed to rest in the right lateral position for at least 2 h.</w:t>
      </w:r>
      <w:bookmarkStart w:id="10" w:name="_Hlk59130104"/>
      <w:r w:rsidR="00196741">
        <w:rPr>
          <w:rFonts w:ascii="Book Antiqua" w:hAnsi="Book Antiqua"/>
        </w:rPr>
        <w:t xml:space="preserve"> </w:t>
      </w:r>
      <w:r w:rsidRPr="00CE331D">
        <w:rPr>
          <w:rFonts w:ascii="Book Antiqua" w:hAnsi="Book Antiqua"/>
        </w:rPr>
        <w:t xml:space="preserve">One course was administered once daily for 3 d. Four courses were administered, with </w:t>
      </w:r>
      <w:r w:rsidR="00196741">
        <w:rPr>
          <w:rFonts w:ascii="Book Antiqua" w:hAnsi="Book Antiqua"/>
        </w:rPr>
        <w:t>one</w:t>
      </w:r>
      <w:r w:rsidR="00196741" w:rsidRPr="00CE331D">
        <w:rPr>
          <w:rFonts w:ascii="Book Antiqua" w:hAnsi="Book Antiqua"/>
        </w:rPr>
        <w:t xml:space="preserve"> </w:t>
      </w:r>
      <w:r w:rsidRPr="00CE331D">
        <w:rPr>
          <w:rFonts w:ascii="Book Antiqua" w:hAnsi="Book Antiqua"/>
        </w:rPr>
        <w:t xml:space="preserve">course </w:t>
      </w:r>
      <w:r w:rsidRPr="00D72C2D">
        <w:rPr>
          <w:rFonts w:ascii="Book Antiqua" w:hAnsi="Book Antiqua"/>
          <w:iCs/>
        </w:rPr>
        <w:t>per</w:t>
      </w:r>
      <w:r w:rsidRPr="00CE331D">
        <w:rPr>
          <w:rFonts w:ascii="Book Antiqua" w:hAnsi="Book Antiqua"/>
          <w:i/>
          <w:iCs/>
        </w:rPr>
        <w:t xml:space="preserve"> </w:t>
      </w:r>
      <w:r w:rsidRPr="00CE331D">
        <w:rPr>
          <w:rFonts w:ascii="Book Antiqua" w:hAnsi="Book Antiqua"/>
        </w:rPr>
        <w:t>month given in the first month, second month, third month, and sixth month.</w:t>
      </w:r>
      <w:bookmarkEnd w:id="10"/>
    </w:p>
    <w:p w14:paraId="2692FFFB" w14:textId="77777777" w:rsidR="00EF6257" w:rsidRPr="00CE331D" w:rsidRDefault="00EF6257" w:rsidP="00CE331D">
      <w:pPr>
        <w:spacing w:line="360" w:lineRule="auto"/>
        <w:jc w:val="both"/>
        <w:rPr>
          <w:rFonts w:ascii="Book Antiqua" w:hAnsi="Book Antiqua"/>
        </w:rPr>
      </w:pPr>
    </w:p>
    <w:p w14:paraId="51C16F65" w14:textId="70730078"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Outcome measurement</w:t>
      </w:r>
    </w:p>
    <w:p w14:paraId="04DB5741" w14:textId="0FE790B3" w:rsidR="00A77B3E" w:rsidRPr="00CE331D" w:rsidRDefault="00196741" w:rsidP="00CE331D">
      <w:pPr>
        <w:spacing w:line="360" w:lineRule="auto"/>
        <w:jc w:val="both"/>
        <w:rPr>
          <w:rFonts w:ascii="Book Antiqua" w:hAnsi="Book Antiqua"/>
        </w:rPr>
      </w:pPr>
      <w:r>
        <w:rPr>
          <w:rFonts w:ascii="Book Antiqua" w:eastAsia="Book Antiqua" w:hAnsi="Book Antiqua" w:cs="Book Antiqua"/>
          <w:color w:val="000000"/>
        </w:rPr>
        <w:t>The m</w:t>
      </w:r>
      <w:r w:rsidRPr="00CE331D">
        <w:rPr>
          <w:rFonts w:ascii="Book Antiqua" w:eastAsia="Book Antiqua" w:hAnsi="Book Antiqua" w:cs="Book Antiqua"/>
          <w:color w:val="000000"/>
        </w:rPr>
        <w:t xml:space="preserve">ain </w:t>
      </w:r>
      <w:r w:rsidR="00EF6257" w:rsidRPr="00CE331D">
        <w:rPr>
          <w:rFonts w:ascii="Book Antiqua" w:eastAsia="Book Antiqua" w:hAnsi="Book Antiqua" w:cs="Book Antiqua"/>
          <w:color w:val="000000"/>
        </w:rPr>
        <w:t xml:space="preserve">outcome </w:t>
      </w:r>
      <w:r>
        <w:rPr>
          <w:rFonts w:ascii="Book Antiqua" w:eastAsia="Book Antiqua" w:hAnsi="Book Antiqua" w:cs="Book Antiqua"/>
          <w:color w:val="000000"/>
        </w:rPr>
        <w:t>measure was</w:t>
      </w:r>
      <w:r w:rsidR="00EF6257"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NERD symptom frequency evaluated 1 mo after WMT</w:t>
      </w:r>
      <w:r>
        <w:rPr>
          <w:rFonts w:ascii="Book Antiqua" w:eastAsia="Book Antiqua" w:hAnsi="Book Antiqua" w:cs="Book Antiqua"/>
          <w:color w:val="000000"/>
        </w:rPr>
        <w:t>.</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 xml:space="preserve">The reflux disease questionnaire (RDQ) and GERD questionnaire (GERDQ) were administered to the patient before and 1 mo after treatment and reviewed. The RDQ integrates the severity and frequency of heartburn, chest pain, acid regurgitation, and regurgitation over the past </w:t>
      </w:r>
      <w:r>
        <w:rPr>
          <w:rFonts w:ascii="Book Antiqua" w:eastAsia="Book Antiqua" w:hAnsi="Book Antiqua" w:cs="Book Antiqua"/>
          <w:color w:val="000000"/>
        </w:rPr>
        <w:t>4</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wk. The GERDQ measures the frequency of symptoms, such as reflux, heartburn, nausea, upper abdominal pain, sleep disturbance, additional antacids</w:t>
      </w:r>
      <w:r>
        <w:rPr>
          <w:rFonts w:ascii="Book Antiqua" w:eastAsia="Book Antiqua" w:hAnsi="Book Antiqua" w:cs="Book Antiqua"/>
          <w:color w:val="000000"/>
        </w:rPr>
        <w:t>,</w:t>
      </w:r>
      <w:r w:rsidR="00EF6257" w:rsidRPr="00CE331D">
        <w:rPr>
          <w:rFonts w:ascii="Book Antiqua" w:eastAsia="Book Antiqua" w:hAnsi="Book Antiqua" w:cs="Book Antiqua"/>
          <w:color w:val="000000"/>
        </w:rPr>
        <w:t xml:space="preserve"> and other symptoms</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 xml:space="preserve">during the past </w:t>
      </w:r>
      <w:r>
        <w:rPr>
          <w:rFonts w:ascii="Book Antiqua" w:eastAsia="Book Antiqua" w:hAnsi="Book Antiqua" w:cs="Book Antiqua"/>
          <w:color w:val="000000"/>
        </w:rPr>
        <w:t>7</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d.</w:t>
      </w:r>
    </w:p>
    <w:p w14:paraId="6DAEF8C1" w14:textId="287AD9BE" w:rsidR="00A77B3E" w:rsidRPr="00CE331D" w:rsidRDefault="00EF6257" w:rsidP="00CE331D">
      <w:pPr>
        <w:spacing w:line="360" w:lineRule="auto"/>
        <w:ind w:firstLine="480"/>
        <w:jc w:val="both"/>
        <w:rPr>
          <w:rFonts w:ascii="Book Antiqua" w:eastAsia="Book Antiqua" w:hAnsi="Book Antiqua" w:cs="Book Antiqua"/>
          <w:color w:val="000000"/>
        </w:rPr>
      </w:pPr>
      <w:r w:rsidRPr="00CE331D">
        <w:rPr>
          <w:rFonts w:ascii="Book Antiqua" w:eastAsia="Book Antiqua" w:hAnsi="Book Antiqua" w:cs="Book Antiqua"/>
          <w:color w:val="000000"/>
        </w:rPr>
        <w:t xml:space="preserve">Other </w:t>
      </w:r>
      <w:r w:rsidR="00196741">
        <w:rPr>
          <w:rFonts w:ascii="Book Antiqua" w:eastAsia="Book Antiqua" w:hAnsi="Book Antiqua" w:cs="Book Antiqua"/>
          <w:color w:val="000000"/>
        </w:rPr>
        <w:t>o</w:t>
      </w:r>
      <w:r w:rsidR="00196741" w:rsidRPr="00CE331D">
        <w:rPr>
          <w:rFonts w:ascii="Book Antiqua" w:eastAsia="Book Antiqua" w:hAnsi="Book Antiqua" w:cs="Book Antiqua"/>
          <w:color w:val="000000"/>
        </w:rPr>
        <w:t xml:space="preserve">utcome </w:t>
      </w:r>
      <w:r w:rsidR="00196741">
        <w:rPr>
          <w:rFonts w:ascii="Book Antiqua" w:eastAsia="Book Antiqua" w:hAnsi="Book Antiqua" w:cs="Book Antiqua"/>
          <w:color w:val="000000"/>
        </w:rPr>
        <w:t>m</w:t>
      </w:r>
      <w:r w:rsidR="00196741" w:rsidRPr="00CE331D">
        <w:rPr>
          <w:rFonts w:ascii="Book Antiqua" w:eastAsia="Book Antiqua" w:hAnsi="Book Antiqua" w:cs="Book Antiqua"/>
          <w:color w:val="000000"/>
        </w:rPr>
        <w:t>easures</w:t>
      </w:r>
      <w:r w:rsidR="00196741">
        <w:rPr>
          <w:rFonts w:ascii="Book Antiqua" w:eastAsia="Book Antiqua" w:hAnsi="Book Antiqua" w:cs="Book Antiqua"/>
          <w:color w:val="000000"/>
        </w:rPr>
        <w:t xml:space="preserve"> included</w:t>
      </w:r>
      <w:r w:rsidR="00196741" w:rsidRPr="00196741">
        <w:rPr>
          <w:rFonts w:ascii="Book Antiqua" w:eastAsia="Book Antiqua" w:hAnsi="Book Antiqua" w:cs="Book Antiqua"/>
          <w:color w:val="000000"/>
        </w:rPr>
        <w:t xml:space="preserve"> </w:t>
      </w:r>
      <w:r w:rsidR="00196741">
        <w:rPr>
          <w:rFonts w:ascii="Book Antiqua" w:eastAsia="Book Antiqua" w:hAnsi="Book Antiqua" w:cs="Book Antiqua"/>
          <w:color w:val="000000"/>
        </w:rPr>
        <w:t>r</w:t>
      </w:r>
      <w:r w:rsidR="00196741" w:rsidRPr="00CE331D">
        <w:rPr>
          <w:rFonts w:ascii="Book Antiqua" w:eastAsia="Book Antiqua" w:hAnsi="Book Antiqua" w:cs="Book Antiqua"/>
          <w:color w:val="000000"/>
        </w:rPr>
        <w:t>emission</w:t>
      </w:r>
      <w:r w:rsidR="00196741">
        <w:rPr>
          <w:rFonts w:ascii="Book Antiqua" w:eastAsia="Book Antiqua" w:hAnsi="Book Antiqua" w:cs="Book Antiqua"/>
          <w:color w:val="000000"/>
        </w:rPr>
        <w:t>, r</w:t>
      </w:r>
      <w:r w:rsidR="00196741" w:rsidRPr="00CE331D">
        <w:rPr>
          <w:rFonts w:ascii="Book Antiqua" w:eastAsia="Book Antiqua" w:hAnsi="Book Antiqua" w:cs="Book Antiqua"/>
          <w:color w:val="000000"/>
        </w:rPr>
        <w:t>elapse after remission</w:t>
      </w:r>
      <w:r w:rsidR="00196741">
        <w:rPr>
          <w:rFonts w:ascii="Book Antiqua" w:eastAsia="Book Antiqua" w:hAnsi="Book Antiqua" w:cs="Book Antiqua"/>
          <w:color w:val="000000"/>
        </w:rPr>
        <w:t>,</w:t>
      </w:r>
      <w:r w:rsidR="00196741" w:rsidRPr="00CE331D">
        <w:rPr>
          <w:rFonts w:ascii="Book Antiqua" w:eastAsia="Book Antiqua" w:hAnsi="Book Antiqua" w:cs="Book Antiqua"/>
          <w:color w:val="000000"/>
        </w:rPr>
        <w:t xml:space="preserve"> </w:t>
      </w:r>
      <w:r w:rsidR="00196741">
        <w:rPr>
          <w:rFonts w:ascii="Book Antiqua" w:eastAsia="Book Antiqua" w:hAnsi="Book Antiqua" w:cs="Book Antiqua"/>
          <w:color w:val="000000"/>
        </w:rPr>
        <w:t>m</w:t>
      </w:r>
      <w:r w:rsidR="00196741" w:rsidRPr="00CE331D">
        <w:rPr>
          <w:rFonts w:ascii="Book Antiqua" w:eastAsia="Book Antiqua" w:hAnsi="Book Antiqua" w:cs="Book Antiqua"/>
          <w:color w:val="000000"/>
        </w:rPr>
        <w:t>onosymptomatic remission</w:t>
      </w:r>
      <w:r w:rsidR="00196741">
        <w:rPr>
          <w:rFonts w:ascii="Book Antiqua" w:eastAsia="Book Antiqua" w:hAnsi="Book Antiqua" w:cs="Book Antiqua"/>
          <w:color w:val="000000"/>
        </w:rPr>
        <w:t>, and b</w:t>
      </w:r>
      <w:r w:rsidR="00196741" w:rsidRPr="00CE331D">
        <w:rPr>
          <w:rFonts w:ascii="Book Antiqua" w:eastAsia="Book Antiqua" w:hAnsi="Book Antiqua" w:cs="Book Antiqua"/>
          <w:color w:val="000000"/>
        </w:rPr>
        <w:t>iochemical coupling examination of intestinal barrier function</w:t>
      </w:r>
      <w:r w:rsidR="00196741">
        <w:rPr>
          <w:rFonts w:ascii="Book Antiqua" w:eastAsia="Book Antiqua" w:hAnsi="Book Antiqua" w:cs="Book Antiqua"/>
          <w:color w:val="000000"/>
        </w:rPr>
        <w:t>.</w:t>
      </w:r>
      <w:r w:rsidR="00196741"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Remission</w:t>
      </w:r>
      <w:r w:rsidR="00196741">
        <w:rPr>
          <w:rFonts w:ascii="Book Antiqua" w:eastAsia="Book Antiqua" w:hAnsi="Book Antiqua" w:cs="Book Antiqua"/>
          <w:color w:val="000000"/>
        </w:rPr>
        <w:t xml:space="preserve"> was defined as</w:t>
      </w:r>
      <w:r w:rsidR="00196741"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RDQ and GERDQ scores</w:t>
      </w:r>
      <w:r w:rsidR="00196741">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reduced by 30% at </w:t>
      </w:r>
      <w:r w:rsidR="00196741">
        <w:rPr>
          <w:rFonts w:ascii="Book Antiqua" w:eastAsia="Book Antiqua" w:hAnsi="Book Antiqua" w:cs="Book Antiqua"/>
          <w:color w:val="000000"/>
        </w:rPr>
        <w:t>1</w:t>
      </w:r>
      <w:r w:rsidR="00196741" w:rsidRPr="00CE331D">
        <w:rPr>
          <w:rFonts w:ascii="Book Antiqua" w:eastAsia="Book Antiqua" w:hAnsi="Book Antiqua" w:cs="Book Antiqua"/>
          <w:color w:val="000000"/>
        </w:rPr>
        <w:t xml:space="preserve"> mo</w:t>
      </w:r>
      <w:r w:rsidR="00196741">
        <w:rPr>
          <w:rFonts w:ascii="Book Antiqua" w:eastAsia="Book Antiqua" w:hAnsi="Book Antiqua" w:cs="Book Antiqua"/>
          <w:color w:val="000000"/>
        </w:rPr>
        <w:t xml:space="preserve"> </w:t>
      </w:r>
      <w:r w:rsidRPr="00CE331D">
        <w:rPr>
          <w:rFonts w:ascii="Book Antiqua" w:eastAsia="Book Antiqua" w:hAnsi="Book Antiqua" w:cs="Book Antiqua"/>
          <w:color w:val="000000"/>
        </w:rPr>
        <w:t>posttreatment. Relapse after remission</w:t>
      </w:r>
      <w:r w:rsidR="00222E85">
        <w:rPr>
          <w:rFonts w:ascii="Book Antiqua" w:eastAsia="Book Antiqua" w:hAnsi="Book Antiqua" w:cs="Book Antiqua"/>
          <w:color w:val="000000"/>
        </w:rPr>
        <w:t xml:space="preserve"> was defined as</w:t>
      </w:r>
      <w:r w:rsidRPr="00CE331D">
        <w:rPr>
          <w:rFonts w:ascii="Book Antiqua" w:eastAsia="Book Antiqua" w:hAnsi="Book Antiqua" w:cs="Book Antiqua"/>
          <w:color w:val="000000"/>
        </w:rPr>
        <w:t>: After WMT treatment, the patient's symptoms of NERD reached remission but then worsened to a level observed prior to WMT treatment; the RDQ and GERDQ scores increased by 30% from the previous period, and the duration of this increase exceeded 1 mo. Monosymptomatic remission</w:t>
      </w:r>
      <w:r w:rsidR="00222E85">
        <w:rPr>
          <w:rFonts w:ascii="Book Antiqua" w:eastAsia="Book Antiqua" w:hAnsi="Book Antiqua" w:cs="Book Antiqua"/>
          <w:color w:val="000000"/>
        </w:rPr>
        <w:t xml:space="preserve"> was defined when</w:t>
      </w:r>
      <w:r w:rsidR="00222E85" w:rsidRPr="00CE331D">
        <w:rPr>
          <w:rFonts w:ascii="Book Antiqua" w:eastAsia="Book Antiqua" w:hAnsi="Book Antiqua" w:cs="Book Antiqua"/>
          <w:color w:val="000000"/>
        </w:rPr>
        <w:t xml:space="preserve"> </w:t>
      </w:r>
      <w:r w:rsidR="00222E85">
        <w:rPr>
          <w:rFonts w:ascii="Book Antiqua" w:eastAsia="Book Antiqua" w:hAnsi="Book Antiqua" w:cs="Book Antiqua"/>
          <w:color w:val="000000"/>
        </w:rPr>
        <w:t>t</w:t>
      </w:r>
      <w:r w:rsidR="00222E85" w:rsidRPr="00CE331D">
        <w:rPr>
          <w:rFonts w:ascii="Book Antiqua" w:eastAsia="Book Antiqua" w:hAnsi="Book Antiqua" w:cs="Book Antiqua"/>
          <w:color w:val="000000"/>
        </w:rPr>
        <w:t xml:space="preserve">he </w:t>
      </w:r>
      <w:r w:rsidRPr="00CE331D">
        <w:rPr>
          <w:rFonts w:ascii="Book Antiqua" w:eastAsia="Book Antiqua" w:hAnsi="Book Antiqua" w:cs="Book Antiqua"/>
          <w:color w:val="000000"/>
        </w:rPr>
        <w:t>RDQ or GERDQ scores of heartburn, acid regurgitation, chest pain, regurgitation</w:t>
      </w:r>
      <w:r w:rsidR="00222E85">
        <w:rPr>
          <w:rFonts w:ascii="Book Antiqua" w:eastAsia="Book Antiqua" w:hAnsi="Book Antiqua" w:cs="Book Antiqua"/>
          <w:color w:val="000000"/>
        </w:rPr>
        <w:t>,</w:t>
      </w:r>
      <w:r w:rsidRPr="00CE331D">
        <w:rPr>
          <w:rFonts w:ascii="Book Antiqua" w:eastAsia="Book Antiqua" w:hAnsi="Book Antiqua" w:cs="Book Antiqua"/>
          <w:color w:val="000000"/>
        </w:rPr>
        <w:t xml:space="preserve"> and sleep disturbance declined posttreatment compared with pretreatment. Biochemical coupling examination of intestinal barrier function</w:t>
      </w:r>
      <w:r w:rsidRPr="00CE331D">
        <w:rPr>
          <w:rStyle w:val="src"/>
          <w:rFonts w:ascii="Book Antiqua" w:eastAsia="Book Antiqua" w:hAnsi="Book Antiqua" w:cs="Book Antiqua"/>
          <w:color w:val="000000"/>
        </w:rPr>
        <w:t xml:space="preserve"> was performed by determining serum levels of diamine oxidase (DAO), D-lactic acid (DLA), and </w:t>
      </w:r>
      <w:r w:rsidR="000769CC" w:rsidRPr="00CE331D">
        <w:rPr>
          <w:rFonts w:ascii="Book Antiqua" w:eastAsia="Book Antiqua" w:hAnsi="Book Antiqua" w:cs="Book Antiqua"/>
          <w:color w:val="000000"/>
        </w:rPr>
        <w:t>lipopolysaccharide</w:t>
      </w:r>
      <w:r w:rsidR="00DD5A81" w:rsidRPr="00CE331D">
        <w:rPr>
          <w:rFonts w:ascii="Book Antiqua" w:eastAsia="Book Antiqua" w:hAnsi="Book Antiqua" w:cs="Book Antiqua"/>
          <w:color w:val="000000"/>
          <w:vertAlign w:val="superscript"/>
        </w:rPr>
        <w:t>[21]</w:t>
      </w:r>
      <w:r w:rsidRPr="00CE331D">
        <w:rPr>
          <w:rStyle w:val="src"/>
          <w:rFonts w:ascii="Book Antiqua" w:eastAsia="Book Antiqua" w:hAnsi="Book Antiqua" w:cs="Book Antiqua"/>
          <w:color w:val="000000"/>
        </w:rPr>
        <w:t xml:space="preserve"> according to the test developed by the Institute of Biophysics, Chinese Academy of Sciences (Beijing, China), and the manufacturer’s protocol.</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DAO &gt;</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10 U/L indicated intestinal mucosal damage and increased intestinal permeability;</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DLA &gt;</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15 mg/L indicated abnormal intestinal permeability</w:t>
      </w:r>
      <w:r w:rsidR="00222E85">
        <w:rPr>
          <w:rStyle w:val="src"/>
          <w:rFonts w:ascii="Book Antiqua" w:eastAsia="Book Antiqua" w:hAnsi="Book Antiqua" w:cs="Book Antiqua"/>
          <w:color w:val="000000"/>
        </w:rPr>
        <w:t>;</w:t>
      </w:r>
      <w:r w:rsidR="00222E85" w:rsidRPr="00CE331D">
        <w:rPr>
          <w:rStyle w:val="src"/>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 xml:space="preserve">and </w:t>
      </w:r>
      <w:r w:rsidR="000769CC" w:rsidRPr="00CE331D">
        <w:rPr>
          <w:rFonts w:ascii="Book Antiqua" w:eastAsia="Book Antiqua" w:hAnsi="Book Antiqua" w:cs="Book Antiqua"/>
          <w:color w:val="000000"/>
        </w:rPr>
        <w:t>lipopolysaccharide</w:t>
      </w:r>
      <w:r w:rsidRPr="00CE331D">
        <w:rPr>
          <w:rStyle w:val="src"/>
          <w:rFonts w:ascii="Book Antiqua" w:eastAsia="Book Antiqua" w:hAnsi="Book Antiqua" w:cs="Book Antiqua"/>
          <w:color w:val="000000"/>
        </w:rPr>
        <w:t xml:space="preserve"> &gt;</w:t>
      </w:r>
      <w:r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20 U/L indicated intestinal bacterial translocation</w:t>
      </w:r>
      <w:r w:rsidR="00DD5A81" w:rsidRPr="00CE331D">
        <w:rPr>
          <w:rStyle w:val="src"/>
          <w:rFonts w:ascii="Book Antiqua" w:eastAsia="Book Antiqua" w:hAnsi="Book Antiqua" w:cs="Book Antiqua"/>
          <w:color w:val="000000"/>
          <w:vertAlign w:val="superscript"/>
        </w:rPr>
        <w:t>[22]</w:t>
      </w:r>
      <w:r w:rsidRPr="00CE331D">
        <w:rPr>
          <w:rStyle w:val="src"/>
          <w:rFonts w:ascii="Book Antiqua" w:eastAsia="Book Antiqua" w:hAnsi="Book Antiqua" w:cs="Book Antiqua"/>
          <w:color w:val="000000"/>
        </w:rPr>
        <w:t>.</w:t>
      </w:r>
      <w:r w:rsidR="004D6CE6" w:rsidRPr="00CE331D">
        <w:rPr>
          <w:rStyle w:val="apple-converted-space"/>
          <w:rFonts w:ascii="Book Antiqua" w:eastAsia="Book Antiqua" w:hAnsi="Book Antiqua" w:cs="Book Antiqua"/>
          <w:color w:val="000000"/>
        </w:rPr>
        <w:t xml:space="preserve"> </w:t>
      </w:r>
      <w:r w:rsidRPr="00CE331D">
        <w:rPr>
          <w:rStyle w:val="src"/>
          <w:rFonts w:ascii="Book Antiqua" w:eastAsia="Book Antiqua" w:hAnsi="Book Antiqua" w:cs="Book Antiqua"/>
          <w:color w:val="000000"/>
        </w:rPr>
        <w:t>Thus, abnormal levels of any of these indicators reflect intestinal mechanical barrier dysfunction.</w:t>
      </w:r>
      <w:r w:rsidRPr="00CE331D">
        <w:rPr>
          <w:rFonts w:ascii="Book Antiqua" w:eastAsia="Book Antiqua" w:hAnsi="Book Antiqua" w:cs="Book Antiqua"/>
          <w:color w:val="000000"/>
        </w:rPr>
        <w:t xml:space="preserve"> PPI medication status, side effects of WMT treatment, and WMT course were </w:t>
      </w:r>
      <w:r w:rsidR="00222E85">
        <w:rPr>
          <w:rFonts w:ascii="Book Antiqua" w:eastAsia="Book Antiqua" w:hAnsi="Book Antiqua" w:cs="Book Antiqua"/>
          <w:color w:val="000000"/>
        </w:rPr>
        <w:t xml:space="preserve">also </w:t>
      </w:r>
      <w:r w:rsidRPr="00CE331D">
        <w:rPr>
          <w:rFonts w:ascii="Book Antiqua" w:eastAsia="Book Antiqua" w:hAnsi="Book Antiqua" w:cs="Book Antiqua"/>
          <w:color w:val="000000"/>
        </w:rPr>
        <w:t>determined.</w:t>
      </w:r>
    </w:p>
    <w:p w14:paraId="013F7EF7" w14:textId="77777777" w:rsidR="004D6CE6" w:rsidRPr="00CE331D" w:rsidRDefault="004D6CE6" w:rsidP="00CE331D">
      <w:pPr>
        <w:spacing w:line="360" w:lineRule="auto"/>
        <w:ind w:firstLine="480"/>
        <w:jc w:val="both"/>
        <w:rPr>
          <w:rFonts w:ascii="Book Antiqua" w:hAnsi="Book Antiqua"/>
        </w:rPr>
      </w:pPr>
    </w:p>
    <w:p w14:paraId="6C8A0164" w14:textId="342FA3FE"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Statistical analysis</w:t>
      </w:r>
    </w:p>
    <w:p w14:paraId="05644E25" w14:textId="28CDC3EC" w:rsidR="00A77B3E" w:rsidRPr="00CE331D" w:rsidRDefault="00EF6257" w:rsidP="00CE331D">
      <w:pPr>
        <w:spacing w:line="360" w:lineRule="auto"/>
        <w:jc w:val="both"/>
        <w:rPr>
          <w:rFonts w:ascii="Book Antiqua" w:eastAsia="Book Antiqua" w:hAnsi="Book Antiqua" w:cs="Book Antiqua"/>
          <w:color w:val="000000"/>
        </w:rPr>
      </w:pPr>
      <w:r w:rsidRPr="00CE331D">
        <w:rPr>
          <w:rFonts w:ascii="Book Antiqua" w:eastAsia="Book Antiqua" w:hAnsi="Book Antiqua" w:cs="Book Antiqua"/>
          <w:color w:val="000000"/>
        </w:rPr>
        <w:t xml:space="preserve">SPSS version 20.0 or GraphPad Prism version 5.0 was used for data </w:t>
      </w:r>
      <w:r w:rsidR="00196741" w:rsidRPr="00CE331D">
        <w:rPr>
          <w:rFonts w:ascii="Book Antiqua" w:eastAsia="Book Antiqua" w:hAnsi="Book Antiqua" w:cs="Book Antiqua"/>
          <w:color w:val="000000"/>
        </w:rPr>
        <w:t>analys</w:t>
      </w:r>
      <w:r w:rsidR="00196741">
        <w:rPr>
          <w:rFonts w:ascii="Book Antiqua" w:eastAsia="Book Antiqua" w:hAnsi="Book Antiqua" w:cs="Book Antiqua"/>
          <w:color w:val="000000"/>
        </w:rPr>
        <w:t>e</w:t>
      </w:r>
      <w:r w:rsidR="00196741" w:rsidRPr="00CE331D">
        <w:rPr>
          <w:rFonts w:ascii="Book Antiqua" w:eastAsia="Book Antiqua" w:hAnsi="Book Antiqua" w:cs="Book Antiqua"/>
          <w:color w:val="000000"/>
        </w:rPr>
        <w:t>s</w:t>
      </w:r>
      <w:r w:rsidRPr="00CE331D">
        <w:rPr>
          <w:rFonts w:ascii="Book Antiqua" w:eastAsia="Book Antiqua" w:hAnsi="Book Antiqua" w:cs="Book Antiqua"/>
          <w:color w:val="000000"/>
        </w:rPr>
        <w:t>. The data are described as frequencies, percentages, medians</w:t>
      </w:r>
      <w:r w:rsidR="00196741">
        <w:rPr>
          <w:rFonts w:ascii="Book Antiqua" w:eastAsia="Book Antiqua" w:hAnsi="Book Antiqua" w:cs="Book Antiqua"/>
          <w:color w:val="000000"/>
        </w:rPr>
        <w:t>,</w:t>
      </w:r>
      <w:r w:rsidRPr="00CE331D">
        <w:rPr>
          <w:rFonts w:ascii="Book Antiqua" w:eastAsia="Book Antiqua" w:hAnsi="Book Antiqua" w:cs="Book Antiqua"/>
          <w:color w:val="000000"/>
        </w:rPr>
        <w:t xml:space="preserve"> and </w:t>
      </w:r>
      <w:r w:rsidR="00196741">
        <w:rPr>
          <w:rFonts w:ascii="Book Antiqua" w:eastAsia="Book Antiqua" w:hAnsi="Book Antiqua" w:cs="Book Antiqua"/>
          <w:color w:val="000000"/>
        </w:rPr>
        <w:t>inter</w:t>
      </w:r>
      <w:r w:rsidR="00196741" w:rsidRPr="00CE331D">
        <w:rPr>
          <w:rFonts w:ascii="Book Antiqua" w:eastAsia="Book Antiqua" w:hAnsi="Book Antiqua" w:cs="Book Antiqua"/>
          <w:color w:val="000000"/>
        </w:rPr>
        <w:t>qua</w:t>
      </w:r>
      <w:r w:rsidR="00196741">
        <w:rPr>
          <w:rFonts w:ascii="Book Antiqua" w:eastAsia="Book Antiqua" w:hAnsi="Book Antiqua" w:cs="Book Antiqua"/>
          <w:color w:val="000000"/>
        </w:rPr>
        <w:t>r</w:t>
      </w:r>
      <w:r w:rsidR="00196741" w:rsidRPr="00CE331D">
        <w:rPr>
          <w:rFonts w:ascii="Book Antiqua" w:eastAsia="Book Antiqua" w:hAnsi="Book Antiqua" w:cs="Book Antiqua"/>
          <w:color w:val="000000"/>
        </w:rPr>
        <w:t xml:space="preserve">tile </w:t>
      </w:r>
      <w:r w:rsidR="00196741">
        <w:rPr>
          <w:rFonts w:ascii="Book Antiqua" w:eastAsia="Book Antiqua" w:hAnsi="Book Antiqua" w:cs="Book Antiqua"/>
          <w:color w:val="000000"/>
        </w:rPr>
        <w:t>ranges</w:t>
      </w:r>
      <w:r w:rsidRPr="00CE331D">
        <w:rPr>
          <w:rFonts w:ascii="Book Antiqua" w:eastAsia="Book Antiqua" w:hAnsi="Book Antiqua" w:cs="Book Antiqua"/>
          <w:color w:val="000000"/>
        </w:rPr>
        <w:t xml:space="preserve">. Comparisons of </w:t>
      </w:r>
      <w:r w:rsidR="000769CC" w:rsidRPr="00CE331D">
        <w:rPr>
          <w:rFonts w:ascii="Book Antiqua" w:eastAsia="Book Antiqua" w:hAnsi="Book Antiqua" w:cs="Book Antiqua"/>
          <w:color w:val="000000"/>
        </w:rPr>
        <w:t>lipopolysaccharide</w:t>
      </w:r>
      <w:r w:rsidRPr="00CE331D">
        <w:rPr>
          <w:rFonts w:ascii="Book Antiqua" w:eastAsia="Book Antiqua" w:hAnsi="Book Antiqua" w:cs="Book Antiqua"/>
          <w:color w:val="000000"/>
        </w:rPr>
        <w:t xml:space="preserve"> values and scores of RDQ and GERDQ were performed by applying the non-parametric Wilcoxon signed-rank test or Mann-Whitney </w:t>
      </w:r>
      <w:r w:rsidR="00196741">
        <w:rPr>
          <w:rFonts w:ascii="Book Antiqua" w:eastAsia="Book Antiqua" w:hAnsi="Book Antiqua" w:cs="Book Antiqua"/>
          <w:color w:val="000000"/>
        </w:rPr>
        <w:t>t</w:t>
      </w:r>
      <w:r w:rsidR="00196741" w:rsidRPr="00CE331D">
        <w:rPr>
          <w:rFonts w:ascii="Book Antiqua" w:eastAsia="Book Antiqua" w:hAnsi="Book Antiqua" w:cs="Book Antiqua"/>
          <w:color w:val="000000"/>
        </w:rPr>
        <w:t>est</w:t>
      </w:r>
      <w:r w:rsidRPr="00CE331D">
        <w:rPr>
          <w:rFonts w:ascii="Book Antiqua" w:eastAsia="Book Antiqua" w:hAnsi="Book Antiqua" w:cs="Book Antiqua"/>
          <w:color w:val="000000"/>
        </w:rPr>
        <w:t xml:space="preserve">, and a two-tailed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value of &lt;</w:t>
      </w:r>
      <w:r w:rsidR="004D6CE6"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0.05 was considered statistically significant.</w:t>
      </w:r>
    </w:p>
    <w:p w14:paraId="651CE1F4" w14:textId="77777777" w:rsidR="004D6CE6" w:rsidRPr="00CE331D" w:rsidRDefault="004D6CE6" w:rsidP="00CE331D">
      <w:pPr>
        <w:spacing w:line="360" w:lineRule="auto"/>
        <w:jc w:val="both"/>
        <w:rPr>
          <w:rFonts w:ascii="Book Antiqua" w:hAnsi="Book Antiqua"/>
        </w:rPr>
      </w:pPr>
    </w:p>
    <w:p w14:paraId="74169BCF" w14:textId="20154AB3" w:rsidR="00A77B3E" w:rsidRPr="00CE331D" w:rsidRDefault="00EF6257" w:rsidP="00CE331D">
      <w:pPr>
        <w:spacing w:line="360" w:lineRule="auto"/>
        <w:jc w:val="both"/>
        <w:rPr>
          <w:rFonts w:ascii="Book Antiqua" w:hAnsi="Book Antiqua"/>
          <w:i/>
          <w:iCs/>
        </w:rPr>
      </w:pPr>
      <w:r w:rsidRPr="00CE331D">
        <w:rPr>
          <w:rFonts w:ascii="Book Antiqua" w:eastAsia="Book Antiqua" w:hAnsi="Book Antiqua" w:cs="Book Antiqua"/>
          <w:b/>
          <w:bCs/>
          <w:i/>
          <w:iCs/>
          <w:color w:val="000000"/>
        </w:rPr>
        <w:t>Ethics statement</w:t>
      </w:r>
    </w:p>
    <w:p w14:paraId="22644126" w14:textId="1EB6CF18"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This retrospective study was approved by the Ethics Committee of Guangdong Pharmaceutical University (Approval No. Yilun Shen</w:t>
      </w:r>
      <w:r w:rsidR="00FD406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[2019] No. 93 01).</w:t>
      </w:r>
    </w:p>
    <w:p w14:paraId="7B240679" w14:textId="77777777" w:rsidR="00A77B3E" w:rsidRPr="00CE331D" w:rsidRDefault="00A77B3E" w:rsidP="00CE331D">
      <w:pPr>
        <w:spacing w:line="360" w:lineRule="auto"/>
        <w:jc w:val="both"/>
        <w:rPr>
          <w:rFonts w:ascii="Book Antiqua" w:hAnsi="Book Antiqua"/>
        </w:rPr>
      </w:pPr>
    </w:p>
    <w:p w14:paraId="30194E96"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RESULTS</w:t>
      </w:r>
    </w:p>
    <w:p w14:paraId="55E8A96E" w14:textId="47A4981F" w:rsidR="00A77B3E" w:rsidRPr="00CE331D" w:rsidRDefault="00EF6257" w:rsidP="005A4869">
      <w:pPr>
        <w:spacing w:line="360" w:lineRule="auto"/>
        <w:jc w:val="both"/>
        <w:rPr>
          <w:rFonts w:ascii="Book Antiqua" w:hAnsi="Book Antiqua"/>
        </w:rPr>
      </w:pPr>
      <w:r w:rsidRPr="00CE331D">
        <w:rPr>
          <w:rFonts w:ascii="Book Antiqua" w:eastAsia="Book Antiqua" w:hAnsi="Book Antiqua" w:cs="Book Antiqua"/>
          <w:color w:val="000000"/>
        </w:rPr>
        <w:t>Of the 61 patients with NERD who were screened, 51</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were eligible according to the inclusion criteria, and 27 completed </w:t>
      </w:r>
      <w:r w:rsidR="006437CA">
        <w:rPr>
          <w:rFonts w:ascii="Book Antiqua" w:eastAsia="Book Antiqua" w:hAnsi="Book Antiqua" w:cs="Book Antiqua"/>
          <w:color w:val="000000"/>
        </w:rPr>
        <w:t xml:space="preserve">the </w:t>
      </w:r>
      <w:r w:rsidR="00CA5D9A" w:rsidRPr="00CE331D">
        <w:rPr>
          <w:rFonts w:ascii="Book Antiqua" w:eastAsia="Book Antiqua" w:hAnsi="Book Antiqua" w:cs="Book Antiqua"/>
          <w:color w:val="000000"/>
        </w:rPr>
        <w:t>follow-ups</w:t>
      </w:r>
      <w:r w:rsidRPr="00CE331D">
        <w:rPr>
          <w:rFonts w:ascii="Book Antiqua" w:eastAsia="Book Antiqua" w:hAnsi="Book Antiqua" w:cs="Book Antiqua"/>
          <w:color w:val="000000"/>
        </w:rPr>
        <w:t xml:space="preserve"> (Figure 1). The WMT group included </w:t>
      </w:r>
      <w:r w:rsidR="006437CA">
        <w:rPr>
          <w:rFonts w:ascii="Book Antiqua" w:eastAsia="Book Antiqua" w:hAnsi="Book Antiqua" w:cs="Book Antiqua"/>
          <w:color w:val="000000"/>
        </w:rPr>
        <w:t>15</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patients, and the PPI group comprised </w:t>
      </w:r>
      <w:r w:rsidR="006437CA">
        <w:rPr>
          <w:rFonts w:ascii="Book Antiqua" w:eastAsia="Book Antiqua" w:hAnsi="Book Antiqua" w:cs="Book Antiqua"/>
          <w:color w:val="000000"/>
        </w:rPr>
        <w:t>12</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patients. There were no significant differences in the characteristics of the two study groups at enrolment (Table 1).</w:t>
      </w:r>
    </w:p>
    <w:p w14:paraId="59B8D21A" w14:textId="1F58304D" w:rsidR="00A77B3E" w:rsidRPr="00CE331D" w:rsidRDefault="00EF6257" w:rsidP="005A4869">
      <w:pPr>
        <w:spacing w:line="360" w:lineRule="auto"/>
        <w:ind w:firstLineChars="200" w:firstLine="480"/>
        <w:jc w:val="both"/>
        <w:rPr>
          <w:rFonts w:ascii="Book Antiqua" w:hAnsi="Book Antiqua"/>
        </w:rPr>
      </w:pPr>
      <w:r w:rsidRPr="00CE331D">
        <w:rPr>
          <w:rFonts w:ascii="Book Antiqua" w:eastAsia="Book Antiqua" w:hAnsi="Book Antiqua" w:cs="Book Antiqua"/>
          <w:color w:val="000000"/>
        </w:rPr>
        <w:t xml:space="preserve">At 1 mo after treatment, the total remission rate </w:t>
      </w:r>
      <w:r w:rsidR="006437CA">
        <w:rPr>
          <w:rFonts w:ascii="Book Antiqua" w:eastAsia="Book Antiqua" w:hAnsi="Book Antiqua" w:cs="Book Antiqua"/>
          <w:color w:val="000000"/>
        </w:rPr>
        <w:t>in</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the WMT and PPI groups was 93.3% </w:t>
      </w:r>
      <w:r w:rsidR="004D6CE6"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41.7%. Compared with the PPI group, the WMT group showed better results in the GERDQ scores (7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11,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 0.004) and RDQ scores (8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20.5,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 0.003), as well as in the remission months </w:t>
      </w:r>
      <w:r w:rsidR="004D6CE6" w:rsidRPr="00CE331D">
        <w:rPr>
          <w:rFonts w:ascii="Book Antiqua" w:eastAsia="Book Antiqua" w:hAnsi="Book Antiqua" w:cs="Book Antiqua"/>
          <w:color w:val="000000"/>
        </w:rPr>
        <w:t>[</w:t>
      </w:r>
      <w:r w:rsidRPr="00CE331D">
        <w:rPr>
          <w:rFonts w:ascii="Book Antiqua" w:eastAsia="Book Antiqua" w:hAnsi="Book Antiqua" w:cs="Book Antiqua"/>
          <w:color w:val="000000"/>
        </w:rPr>
        <w:t>8 (3,</w:t>
      </w:r>
      <w:r w:rsidR="00FF1593">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17) </w:t>
      </w:r>
      <w:r w:rsidR="004D6CE6"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2 (0,</w:t>
      </w:r>
      <w:r w:rsidR="00FF1593">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4), </w:t>
      </w:r>
      <w:r w:rsidRPr="00CE331D">
        <w:rPr>
          <w:rFonts w:ascii="Book Antiqua" w:eastAsia="Book Antiqua" w:hAnsi="Book Antiqua" w:cs="Book Antiqua"/>
          <w:i/>
          <w:iCs/>
          <w:color w:val="000000"/>
        </w:rPr>
        <w:t>P</w:t>
      </w:r>
      <w:r w:rsidRPr="00CE331D">
        <w:rPr>
          <w:rFonts w:ascii="Book Antiqua" w:eastAsia="Book Antiqua" w:hAnsi="Book Antiqua" w:cs="Book Antiqua"/>
          <w:color w:val="000000"/>
        </w:rPr>
        <w:t xml:space="preserve"> = 0.002</w:t>
      </w:r>
      <w:r w:rsidR="004D6CE6" w:rsidRPr="00CE331D">
        <w:rPr>
          <w:rFonts w:ascii="Book Antiqua" w:eastAsia="Book Antiqua" w:hAnsi="Book Antiqua" w:cs="Book Antiqua"/>
          <w:color w:val="000000"/>
        </w:rPr>
        <w:t>]</w:t>
      </w:r>
      <w:r w:rsidRPr="00CE331D">
        <w:rPr>
          <w:rFonts w:ascii="Book Antiqua" w:eastAsia="Book Antiqua" w:hAnsi="Book Antiqua" w:cs="Book Antiqua"/>
          <w:color w:val="000000"/>
        </w:rPr>
        <w:t xml:space="preserve"> (Table 2)</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nine patients showed sustained remission for more than </w:t>
      </w:r>
      <w:r w:rsidR="006437CA">
        <w:rPr>
          <w:rFonts w:ascii="Book Antiqua" w:eastAsia="Book Antiqua" w:hAnsi="Book Antiqua" w:cs="Book Antiqua"/>
          <w:color w:val="000000"/>
        </w:rPr>
        <w:t>6</w:t>
      </w:r>
      <w:r w:rsidR="006437CA" w:rsidRPr="00CE331D">
        <w:rPr>
          <w:rFonts w:ascii="Book Antiqua" w:eastAsia="Book Antiqua" w:hAnsi="Book Antiqua" w:cs="Book Antiqua"/>
          <w:color w:val="000000"/>
        </w:rPr>
        <w:t xml:space="preserve"> mo</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in the WMT groups, </w:t>
      </w:r>
      <w:r w:rsidR="006437CA">
        <w:rPr>
          <w:rFonts w:ascii="Book Antiqua" w:eastAsia="Book Antiqua" w:hAnsi="Book Antiqua" w:cs="Book Antiqua"/>
          <w:color w:val="000000"/>
        </w:rPr>
        <w:t xml:space="preserve">while </w:t>
      </w:r>
      <w:r w:rsidRPr="00CE331D">
        <w:rPr>
          <w:rFonts w:ascii="Book Antiqua" w:eastAsia="Book Antiqua" w:hAnsi="Book Antiqua" w:cs="Book Antiqua"/>
          <w:color w:val="000000"/>
        </w:rPr>
        <w:t>there were only two in the PPI group. Furthermore, the</w:t>
      </w:r>
      <w:r w:rsidR="006437CA" w:rsidRPr="006437CA">
        <w:rPr>
          <w:rFonts w:ascii="Book Antiqua" w:eastAsia="Book Antiqua" w:hAnsi="Book Antiqua" w:cs="Book Antiqua"/>
          <w:color w:val="000000"/>
        </w:rPr>
        <w:t xml:space="preserve"> </w:t>
      </w:r>
      <w:r w:rsidR="006437CA" w:rsidRPr="00CE331D">
        <w:rPr>
          <w:rFonts w:ascii="Book Antiqua" w:eastAsia="Book Antiqua" w:hAnsi="Book Antiqua" w:cs="Book Antiqua"/>
          <w:color w:val="000000"/>
        </w:rPr>
        <w:t>patients</w:t>
      </w:r>
      <w:r w:rsidR="006437CA">
        <w:rPr>
          <w:rFonts w:ascii="Book Antiqua" w:eastAsia="Book Antiqua" w:hAnsi="Book Antiqua" w:cs="Book Antiqua"/>
          <w:color w:val="000000"/>
        </w:rPr>
        <w:t xml:space="preserve"> in the</w:t>
      </w:r>
      <w:r w:rsidRPr="00CE331D">
        <w:rPr>
          <w:rFonts w:ascii="Book Antiqua" w:eastAsia="Book Antiqua" w:hAnsi="Book Antiqua" w:cs="Book Antiqua"/>
          <w:color w:val="000000"/>
        </w:rPr>
        <w:t xml:space="preserve"> WMT group</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achieved better improvements in heartburn (9/10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7/11), acid regurgitation (12/14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7/11), chest pain (5/6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1/5), regurgitation (9/12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4/8), and sleep disturbance (9/11 </w:t>
      </w:r>
      <w:r w:rsidRPr="00CE331D">
        <w:rPr>
          <w:rFonts w:ascii="Book Antiqua" w:eastAsia="Book Antiqua" w:hAnsi="Book Antiqua" w:cs="Book Antiqua"/>
          <w:i/>
          <w:iCs/>
          <w:color w:val="000000"/>
        </w:rPr>
        <w:t>vs</w:t>
      </w:r>
      <w:r w:rsidRPr="00CE331D">
        <w:rPr>
          <w:rFonts w:ascii="Book Antiqua" w:eastAsia="Book Antiqua" w:hAnsi="Book Antiqua" w:cs="Book Antiqua"/>
          <w:color w:val="000000"/>
        </w:rPr>
        <w:t xml:space="preserve"> 5/5) than the PPI group. However, 13.3% (2/15) of</w:t>
      </w:r>
      <w:r w:rsidR="006437CA">
        <w:rPr>
          <w:rFonts w:ascii="Book Antiqua" w:eastAsia="Book Antiqua" w:hAnsi="Book Antiqua" w:cs="Book Antiqua"/>
          <w:color w:val="000000"/>
        </w:rPr>
        <w:t xml:space="preserve"> patients in</w:t>
      </w:r>
      <w:r w:rsidRPr="00CE331D">
        <w:rPr>
          <w:rFonts w:ascii="Book Antiqua" w:eastAsia="Book Antiqua" w:hAnsi="Book Antiqua" w:cs="Book Antiqua"/>
          <w:color w:val="000000"/>
        </w:rPr>
        <w:t xml:space="preserve"> the WMT group relapsed after remission (Table 3).</w:t>
      </w:r>
    </w:p>
    <w:p w14:paraId="226113ED" w14:textId="1711BF23" w:rsidR="00A77B3E" w:rsidRPr="00CE331D" w:rsidRDefault="00EF6257" w:rsidP="005A4869">
      <w:pPr>
        <w:spacing w:line="360" w:lineRule="auto"/>
        <w:ind w:firstLineChars="200" w:firstLine="480"/>
        <w:jc w:val="both"/>
        <w:rPr>
          <w:rFonts w:ascii="Book Antiqua" w:hAnsi="Book Antiqua"/>
        </w:rPr>
      </w:pPr>
      <w:r w:rsidRPr="00CE331D">
        <w:rPr>
          <w:rFonts w:ascii="Book Antiqua" w:eastAsia="Book Antiqua" w:hAnsi="Book Antiqua" w:cs="Book Antiqua"/>
          <w:color w:val="000000"/>
        </w:rPr>
        <w:t>The PPI dose was reduced to some extent in 80% (12/15) of the patients in the WMT group and 33.3% (4/12)</w:t>
      </w:r>
      <w:r w:rsidR="006437CA">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in the PPI group. After receiving the WMT treatment, 72.7% (8/11) of the patients who continued using PPIs reduced their PPI doses, and all </w:t>
      </w:r>
      <w:r w:rsidR="006437CA">
        <w:rPr>
          <w:rFonts w:ascii="Book Antiqua" w:eastAsia="Book Antiqua" w:hAnsi="Book Antiqua" w:cs="Book Antiqua"/>
          <w:color w:val="000000"/>
        </w:rPr>
        <w:t>four</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patients with on-demand PPI use were also reduced. In addition, 33.3% (5/15) of the patients maintained symptomatic relief and stopped taking PPIs in the WMT group, while </w:t>
      </w:r>
      <w:r w:rsidR="006437CA">
        <w:rPr>
          <w:rFonts w:ascii="Book Antiqua" w:eastAsia="Book Antiqua" w:hAnsi="Book Antiqua" w:cs="Book Antiqua"/>
          <w:color w:val="000000"/>
        </w:rPr>
        <w:t xml:space="preserve">the percentage was </w:t>
      </w:r>
      <w:r w:rsidRPr="00CE331D">
        <w:rPr>
          <w:rFonts w:ascii="Book Antiqua" w:eastAsia="Book Antiqua" w:hAnsi="Book Antiqua" w:cs="Book Antiqua"/>
          <w:color w:val="000000"/>
        </w:rPr>
        <w:t>16.7% (2/12) in the PPI group (Table 4).</w:t>
      </w:r>
    </w:p>
    <w:p w14:paraId="014634D5" w14:textId="058D9796" w:rsidR="00A77B3E" w:rsidRPr="00CE331D" w:rsidRDefault="006437CA" w:rsidP="00CE331D">
      <w:pPr>
        <w:spacing w:line="360" w:lineRule="auto"/>
        <w:ind w:firstLine="480"/>
        <w:jc w:val="both"/>
        <w:rPr>
          <w:rFonts w:ascii="Book Antiqua" w:hAnsi="Book Antiqua"/>
        </w:rPr>
      </w:pPr>
      <w:r>
        <w:rPr>
          <w:rFonts w:ascii="Book Antiqua" w:eastAsia="Book Antiqua" w:hAnsi="Book Antiqua" w:cs="Book Antiqua"/>
          <w:color w:val="000000"/>
        </w:rPr>
        <w:t>With regard to t</w:t>
      </w:r>
      <w:r w:rsidRPr="00CE331D">
        <w:rPr>
          <w:rFonts w:ascii="Book Antiqua" w:eastAsia="Book Antiqua" w:hAnsi="Book Antiqua" w:cs="Book Antiqua"/>
          <w:color w:val="000000"/>
        </w:rPr>
        <w:t xml:space="preserve">he </w:t>
      </w:r>
      <w:r w:rsidR="00EF6257" w:rsidRPr="00CE331D">
        <w:rPr>
          <w:rFonts w:ascii="Book Antiqua" w:eastAsia="Book Antiqua" w:hAnsi="Book Antiqua" w:cs="Book Antiqua"/>
          <w:color w:val="000000"/>
        </w:rPr>
        <w:t>relationship between courses of WMT and remission in patients with NERD symptoms (Figure 2</w:t>
      </w:r>
      <w:r w:rsidRPr="00CE331D">
        <w:rPr>
          <w:rFonts w:ascii="Book Antiqua" w:eastAsia="Book Antiqua" w:hAnsi="Book Antiqua" w:cs="Book Antiqua"/>
          <w:color w:val="000000"/>
        </w:rPr>
        <w:t>)</w:t>
      </w:r>
      <w:r>
        <w:rPr>
          <w:rFonts w:ascii="Book Antiqua" w:eastAsia="Book Antiqua" w:hAnsi="Book Antiqua" w:cs="Book Antiqua"/>
          <w:color w:val="000000"/>
        </w:rPr>
        <w:t>,</w:t>
      </w:r>
      <w:r w:rsidRPr="00CE331D">
        <w:rPr>
          <w:rFonts w:ascii="Book Antiqua" w:eastAsia="Book Antiqua" w:hAnsi="Book Antiqua" w:cs="Book Antiqua"/>
          <w:color w:val="000000"/>
        </w:rPr>
        <w:t xml:space="preserve"> </w:t>
      </w:r>
      <w:r>
        <w:rPr>
          <w:rFonts w:ascii="Book Antiqua" w:eastAsia="Book Antiqua" w:hAnsi="Book Antiqua" w:cs="Book Antiqua"/>
          <w:color w:val="000000"/>
        </w:rPr>
        <w:t>t</w:t>
      </w:r>
      <w:r w:rsidRPr="00CE331D">
        <w:rPr>
          <w:rFonts w:ascii="Book Antiqua" w:eastAsia="Book Antiqua" w:hAnsi="Book Antiqua" w:cs="Book Antiqua"/>
          <w:color w:val="000000"/>
        </w:rPr>
        <w:t xml:space="preserve">en </w:t>
      </w:r>
      <w:r w:rsidR="00EF6257" w:rsidRPr="00CE331D">
        <w:rPr>
          <w:rFonts w:ascii="Book Antiqua" w:eastAsia="Book Antiqua" w:hAnsi="Book Antiqua" w:cs="Book Antiqua"/>
          <w:color w:val="000000"/>
        </w:rPr>
        <w:t xml:space="preserve">people who completed </w:t>
      </w:r>
      <w:r>
        <w:rPr>
          <w:rFonts w:ascii="Book Antiqua" w:eastAsia="Book Antiqua" w:hAnsi="Book Antiqua" w:cs="Book Antiqua"/>
          <w:color w:val="000000"/>
        </w:rPr>
        <w:t>three</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or more WMT courses achieved an 80% symptom remission rate. With increasing courses of WMT treatment, the</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remission rate increased.</w:t>
      </w:r>
    </w:p>
    <w:p w14:paraId="7D6578A9" w14:textId="44FDBA22"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Twenty-four patients had the function of the intestinal mucosal barrier </w:t>
      </w:r>
      <w:r w:rsidR="006C36A4" w:rsidRPr="00CE331D">
        <w:rPr>
          <w:rFonts w:ascii="Book Antiqua" w:eastAsia="Book Antiqua" w:hAnsi="Book Antiqua" w:cs="Book Antiqua"/>
          <w:color w:val="000000"/>
        </w:rPr>
        <w:t xml:space="preserve">examined </w:t>
      </w:r>
      <w:r w:rsidRPr="00CE331D">
        <w:rPr>
          <w:rFonts w:ascii="Book Antiqua" w:eastAsia="Book Antiqua" w:hAnsi="Book Antiqua" w:cs="Book Antiqua"/>
          <w:color w:val="000000"/>
        </w:rPr>
        <w:t>before treatment, which showed that over half of the patients (13/24) had different degrees of intestinal mucosal barrier function damage</w:t>
      </w:r>
      <w:r w:rsidR="00CA5D9A" w:rsidRPr="00CE331D">
        <w:rPr>
          <w:rFonts w:ascii="Book Antiqua" w:eastAsia="Book Antiqua" w:hAnsi="Book Antiqua" w:cs="Book Antiqua"/>
          <w:color w:val="000000"/>
        </w:rPr>
        <w:t>,</w:t>
      </w:r>
      <w:r w:rsidR="00CA5D9A" w:rsidRPr="00CE331D">
        <w:rPr>
          <w:rFonts w:ascii="Book Antiqua" w:hAnsi="Book Antiqua"/>
        </w:rPr>
        <w:t xml:space="preserve"> such as the change of epithelial permeability (8/24), the damage of </w:t>
      </w:r>
      <w:r w:rsidR="006437CA">
        <w:rPr>
          <w:rFonts w:ascii="Book Antiqua" w:hAnsi="Book Antiqua"/>
        </w:rPr>
        <w:t>i</w:t>
      </w:r>
      <w:r w:rsidR="006437CA" w:rsidRPr="00CE331D">
        <w:rPr>
          <w:rFonts w:ascii="Book Antiqua" w:hAnsi="Book Antiqua"/>
        </w:rPr>
        <w:t xml:space="preserve">ntestinal </w:t>
      </w:r>
      <w:r w:rsidR="00CA5D9A" w:rsidRPr="00CE331D">
        <w:rPr>
          <w:rFonts w:ascii="Book Antiqua" w:hAnsi="Book Antiqua"/>
        </w:rPr>
        <w:t xml:space="preserve">epithelial cells (4/24), intestinal mucosal ischaemia (4/24), </w:t>
      </w:r>
      <w:r w:rsidR="006437CA">
        <w:rPr>
          <w:rFonts w:ascii="Book Antiqua" w:hAnsi="Book Antiqua"/>
        </w:rPr>
        <w:t xml:space="preserve">and </w:t>
      </w:r>
      <w:r w:rsidR="00CA5D9A" w:rsidRPr="00CE331D">
        <w:rPr>
          <w:rFonts w:ascii="Book Antiqua" w:hAnsi="Book Antiqua"/>
        </w:rPr>
        <w:t>intestinal bacterial translocation (2/24)</w:t>
      </w:r>
      <w:r w:rsidRPr="00CE331D">
        <w:rPr>
          <w:rFonts w:ascii="Book Antiqua" w:eastAsia="Book Antiqua" w:hAnsi="Book Antiqua" w:cs="Book Antiqua"/>
          <w:color w:val="000000"/>
        </w:rPr>
        <w:t xml:space="preserve">. However, in the WMT group, eight samples were analyzed, and the function of the intestinal mucosal barrier observed as being worse in the post-treatment </w:t>
      </w:r>
      <w:r w:rsidR="00296B13">
        <w:rPr>
          <w:rFonts w:ascii="Book Antiqua" w:eastAsia="Book Antiqua" w:hAnsi="Book Antiqua" w:cs="Book Antiqua"/>
          <w:color w:val="000000"/>
        </w:rPr>
        <w:t>than pre-treatment</w:t>
      </w:r>
      <w:r w:rsidRPr="00CE331D">
        <w:rPr>
          <w:rFonts w:ascii="Book Antiqua" w:eastAsia="Book Antiqua" w:hAnsi="Book Antiqua" w:cs="Book Antiqua"/>
          <w:color w:val="000000"/>
        </w:rPr>
        <w:t xml:space="preserve">, </w:t>
      </w:r>
      <w:r w:rsidR="00CA5D9A" w:rsidRPr="00CE331D">
        <w:rPr>
          <w:rFonts w:ascii="Book Antiqua" w:hAnsi="Book Antiqua"/>
        </w:rPr>
        <w:t xml:space="preserve">two patients </w:t>
      </w:r>
      <w:r w:rsidR="00296B13">
        <w:rPr>
          <w:rFonts w:ascii="Book Antiqua" w:hAnsi="Book Antiqua"/>
        </w:rPr>
        <w:t xml:space="preserve">before treatment </w:t>
      </w:r>
      <w:r w:rsidR="00CA5D9A" w:rsidRPr="00CE331D">
        <w:rPr>
          <w:rFonts w:ascii="Book Antiqua" w:hAnsi="Book Antiqua"/>
        </w:rPr>
        <w:t xml:space="preserve">with intestinal mucosal damage were positive to negative, while six patients with intestinal mucosal barrier damage were negative to positive. </w:t>
      </w:r>
      <w:r w:rsidR="006C36A4" w:rsidRPr="00CE331D">
        <w:rPr>
          <w:rFonts w:ascii="Book Antiqua" w:eastAsia="Book Antiqua" w:hAnsi="Book Antiqua" w:cs="Book Antiqua"/>
          <w:color w:val="000000"/>
        </w:rPr>
        <w:t>Wilcoxon signed-rank test</w:t>
      </w:r>
      <w:r w:rsidR="006C36A4" w:rsidRPr="00CE331D" w:rsidDel="006C36A4">
        <w:rPr>
          <w:rFonts w:ascii="Book Antiqua" w:eastAsia="Book Antiqua" w:hAnsi="Book Antiqua" w:cs="Book Antiqua"/>
          <w:color w:val="000000"/>
        </w:rPr>
        <w:t xml:space="preserve"> </w:t>
      </w:r>
      <w:r w:rsidR="006C36A4">
        <w:rPr>
          <w:rFonts w:ascii="Book Antiqua" w:eastAsia="Book Antiqua" w:hAnsi="Book Antiqua" w:cs="Book Antiqua"/>
          <w:color w:val="000000"/>
        </w:rPr>
        <w:t xml:space="preserve">showed that </w:t>
      </w:r>
      <w:r w:rsidRPr="00CE331D">
        <w:rPr>
          <w:rFonts w:ascii="Book Antiqua" w:eastAsia="Book Antiqua" w:hAnsi="Book Antiqua" w:cs="Book Antiqua"/>
          <w:color w:val="000000"/>
        </w:rPr>
        <w:t xml:space="preserve">the numeric values of </w:t>
      </w:r>
      <w:r w:rsidR="000769CC" w:rsidRPr="00CE331D">
        <w:rPr>
          <w:rFonts w:ascii="Book Antiqua" w:eastAsia="Book Antiqua" w:hAnsi="Book Antiqua" w:cs="Book Antiqua"/>
          <w:color w:val="000000"/>
        </w:rPr>
        <w:t>lipopolysaccharide</w:t>
      </w:r>
      <w:r w:rsidRPr="00CE331D">
        <w:rPr>
          <w:rFonts w:ascii="Book Antiqua" w:eastAsia="Book Antiqua" w:hAnsi="Book Antiqua" w:cs="Book Antiqua"/>
          <w:color w:val="000000"/>
        </w:rPr>
        <w:t>, diamine oxidase, and D-lactate</w:t>
      </w:r>
      <w:r w:rsidR="006C36A4">
        <w:rPr>
          <w:rFonts w:ascii="Book Antiqua" w:eastAsia="Book Antiqua" w:hAnsi="Book Antiqua" w:cs="Book Antiqua"/>
          <w:color w:val="000000"/>
        </w:rPr>
        <w:t xml:space="preserve"> had no significant</w:t>
      </w:r>
      <w:r w:rsidRPr="00CE331D">
        <w:rPr>
          <w:rFonts w:ascii="Book Antiqua" w:eastAsia="Book Antiqua" w:hAnsi="Book Antiqua" w:cs="Book Antiqua"/>
          <w:color w:val="000000"/>
        </w:rPr>
        <w:t xml:space="preserve"> difference </w:t>
      </w:r>
      <w:r w:rsidR="006C36A4">
        <w:rPr>
          <w:rFonts w:ascii="Book Antiqua" w:eastAsia="Book Antiqua" w:hAnsi="Book Antiqua" w:cs="Book Antiqua"/>
          <w:color w:val="000000"/>
        </w:rPr>
        <w:t>between</w:t>
      </w:r>
      <w:r w:rsidR="00296B13">
        <w:rPr>
          <w:rFonts w:ascii="Book Antiqua" w:eastAsia="Book Antiqua" w:hAnsi="Book Antiqua" w:cs="Book Antiqua"/>
          <w:color w:val="000000"/>
        </w:rPr>
        <w:t xml:space="preserve"> before and after WMT treatment</w:t>
      </w:r>
      <w:r w:rsidR="006C36A4">
        <w:rPr>
          <w:rFonts w:ascii="Book Antiqua" w:eastAsia="Book Antiqua" w:hAnsi="Book Antiqua" w:cs="Book Antiqua"/>
          <w:color w:val="000000"/>
        </w:rPr>
        <w:t xml:space="preserve"> </w:t>
      </w:r>
      <w:r w:rsidRPr="00CE331D">
        <w:rPr>
          <w:rFonts w:ascii="Book Antiqua" w:eastAsia="Book Antiqua" w:hAnsi="Book Antiqua" w:cs="Book Antiqua"/>
          <w:color w:val="000000"/>
        </w:rPr>
        <w:t xml:space="preserve">(Table </w:t>
      </w:r>
      <w:r w:rsidR="00192F90" w:rsidRPr="00CE331D">
        <w:rPr>
          <w:rFonts w:ascii="Book Antiqua" w:eastAsia="Book Antiqua" w:hAnsi="Book Antiqua" w:cs="Book Antiqua"/>
          <w:color w:val="000000"/>
        </w:rPr>
        <w:t>5</w:t>
      </w:r>
      <w:r w:rsidRPr="00CE331D">
        <w:rPr>
          <w:rFonts w:ascii="Book Antiqua" w:eastAsia="Book Antiqua" w:hAnsi="Book Antiqua" w:cs="Book Antiqua"/>
          <w:color w:val="000000"/>
        </w:rPr>
        <w:t>).</w:t>
      </w:r>
    </w:p>
    <w:p w14:paraId="38D2EED2" w14:textId="5FB1CA97" w:rsidR="00A77B3E" w:rsidRPr="00CE331D" w:rsidRDefault="00EF6257" w:rsidP="00CE331D">
      <w:pPr>
        <w:spacing w:line="360" w:lineRule="auto"/>
        <w:ind w:firstLine="480"/>
        <w:jc w:val="both"/>
        <w:rPr>
          <w:rFonts w:ascii="Book Antiqua" w:hAnsi="Book Antiqua"/>
        </w:rPr>
      </w:pPr>
      <w:r w:rsidRPr="00CE331D">
        <w:rPr>
          <w:rFonts w:ascii="Book Antiqua" w:eastAsia="Book Antiqua" w:hAnsi="Book Antiqua" w:cs="Book Antiqua"/>
          <w:color w:val="000000"/>
        </w:rPr>
        <w:t xml:space="preserve">Only </w:t>
      </w:r>
      <w:r w:rsidR="006437CA">
        <w:rPr>
          <w:rFonts w:ascii="Book Antiqua" w:eastAsia="Book Antiqua" w:hAnsi="Book Antiqua" w:cs="Book Antiqua"/>
          <w:color w:val="000000"/>
        </w:rPr>
        <w:t>one</w:t>
      </w:r>
      <w:r w:rsidR="006437CA" w:rsidRPr="00CE331D">
        <w:rPr>
          <w:rFonts w:ascii="Book Antiqua" w:eastAsia="Book Antiqua" w:hAnsi="Book Antiqua" w:cs="Book Antiqua"/>
          <w:color w:val="000000"/>
        </w:rPr>
        <w:t xml:space="preserve"> </w:t>
      </w:r>
      <w:r w:rsidRPr="00CE331D">
        <w:rPr>
          <w:rFonts w:ascii="Book Antiqua" w:eastAsia="Book Antiqua" w:hAnsi="Book Antiqua" w:cs="Book Antiqua"/>
          <w:color w:val="000000"/>
        </w:rPr>
        <w:t>of the 15 patients had minor side effects, including a mushy stool two or three times a day, which resolved on their own after 1 wk, but no abdominal pain, black stool, fever, or serious WMT-related side effects were observed.</w:t>
      </w:r>
    </w:p>
    <w:p w14:paraId="0F20C43C" w14:textId="77777777" w:rsidR="00A77B3E" w:rsidRPr="00CE331D" w:rsidRDefault="00A77B3E" w:rsidP="00CE331D">
      <w:pPr>
        <w:spacing w:line="360" w:lineRule="auto"/>
        <w:ind w:firstLine="480"/>
        <w:jc w:val="both"/>
        <w:rPr>
          <w:rFonts w:ascii="Book Antiqua" w:hAnsi="Book Antiqua"/>
        </w:rPr>
      </w:pPr>
    </w:p>
    <w:p w14:paraId="7714F26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DISCUSSION</w:t>
      </w:r>
    </w:p>
    <w:p w14:paraId="36288965" w14:textId="176EBB44" w:rsidR="00A657E8" w:rsidRPr="00CE331D" w:rsidRDefault="00A657E8" w:rsidP="00CE331D">
      <w:pPr>
        <w:spacing w:line="360" w:lineRule="auto"/>
        <w:jc w:val="both"/>
        <w:rPr>
          <w:rFonts w:ascii="Book Antiqua" w:hAnsi="Book Antiqua"/>
        </w:rPr>
      </w:pPr>
      <w:r w:rsidRPr="00CE331D">
        <w:rPr>
          <w:rFonts w:ascii="Book Antiqua" w:hAnsi="Book Antiqua"/>
        </w:rPr>
        <w:t>PPIs are currently the first-line treatment for GERD. NERD, which accounts for most GERD cases, ruins patients' quality of life and is more difficult to treat than reflux esophagitis</w:t>
      </w:r>
      <w:r w:rsidRPr="00CE331D">
        <w:rPr>
          <w:rFonts w:ascii="Book Antiqua" w:hAnsi="Book Antiqua"/>
          <w:noProof/>
          <w:vertAlign w:val="superscript"/>
        </w:rPr>
        <w:t>[23]</w:t>
      </w:r>
      <w:r w:rsidRPr="00CE331D">
        <w:rPr>
          <w:rFonts w:ascii="Book Antiqua" w:hAnsi="Book Antiqua"/>
        </w:rPr>
        <w:t xml:space="preserve">. However, not all patients with NERD </w:t>
      </w:r>
      <w:r w:rsidR="006C36A4">
        <w:rPr>
          <w:rFonts w:ascii="Book Antiqua" w:hAnsi="Book Antiqua"/>
        </w:rPr>
        <w:t>can</w:t>
      </w:r>
      <w:r w:rsidR="006C36A4" w:rsidRPr="00CE331D">
        <w:rPr>
          <w:rFonts w:ascii="Book Antiqua" w:hAnsi="Book Antiqua"/>
        </w:rPr>
        <w:t xml:space="preserve"> </w:t>
      </w:r>
      <w:r w:rsidRPr="00CE331D">
        <w:rPr>
          <w:rFonts w:ascii="Book Antiqua" w:hAnsi="Book Antiqua"/>
        </w:rPr>
        <w:t xml:space="preserve">achieve good treatment effects because PPIs are less effective in patients with NERD than in </w:t>
      </w:r>
      <w:r w:rsidR="006C36A4">
        <w:rPr>
          <w:rFonts w:ascii="Book Antiqua" w:hAnsi="Book Antiqua"/>
        </w:rPr>
        <w:t xml:space="preserve">those with </w:t>
      </w:r>
      <w:r w:rsidRPr="00CE331D">
        <w:rPr>
          <w:rFonts w:ascii="Book Antiqua" w:hAnsi="Book Antiqua"/>
        </w:rPr>
        <w:t xml:space="preserve">reflux esophagitis, and </w:t>
      </w:r>
      <w:r w:rsidR="006C36A4">
        <w:rPr>
          <w:rFonts w:ascii="Book Antiqua" w:hAnsi="Book Antiqua"/>
        </w:rPr>
        <w:t>its</w:t>
      </w:r>
      <w:r w:rsidR="006C36A4" w:rsidRPr="00CE331D">
        <w:rPr>
          <w:rFonts w:ascii="Book Antiqua" w:hAnsi="Book Antiqua"/>
        </w:rPr>
        <w:t xml:space="preserve"> </w:t>
      </w:r>
      <w:r w:rsidRPr="00CE331D">
        <w:rPr>
          <w:rFonts w:ascii="Book Antiqua" w:hAnsi="Book Antiqua"/>
        </w:rPr>
        <w:t>chronic and recurrent nature means that some patients need to take PPIs for a long time. In addition, potential side effects of long-term use of PPIs are gradually being revealed, including SIBO, lack of micronutrients, and dementia</w:t>
      </w:r>
      <w:r w:rsidRPr="00CE331D">
        <w:rPr>
          <w:rFonts w:ascii="Book Antiqua" w:hAnsi="Book Antiqua"/>
          <w:noProof/>
          <w:vertAlign w:val="superscript"/>
        </w:rPr>
        <w:t>[9,11,24]</w:t>
      </w:r>
      <w:r w:rsidRPr="00CE331D">
        <w:rPr>
          <w:rFonts w:ascii="Book Antiqua" w:hAnsi="Book Antiqua"/>
        </w:rPr>
        <w:t>. A study with population-based follow-up for 10 years in Hong Kong, China</w:t>
      </w:r>
      <w:r w:rsidR="006C36A4">
        <w:rPr>
          <w:rFonts w:ascii="Book Antiqua" w:hAnsi="Book Antiqua"/>
        </w:rPr>
        <w:t xml:space="preserve"> </w:t>
      </w:r>
      <w:r w:rsidRPr="00CE331D">
        <w:rPr>
          <w:rFonts w:ascii="Book Antiqua" w:hAnsi="Book Antiqua"/>
        </w:rPr>
        <w:t>in 2018 showed that long-term PPI use could increase the risk of gastric cancer</w:t>
      </w:r>
      <w:r w:rsidRPr="00CE331D">
        <w:rPr>
          <w:rFonts w:ascii="Book Antiqua" w:hAnsi="Book Antiqua"/>
          <w:noProof/>
          <w:vertAlign w:val="superscript"/>
        </w:rPr>
        <w:t>[25]</w:t>
      </w:r>
      <w:r w:rsidRPr="00CE331D">
        <w:rPr>
          <w:rFonts w:ascii="Book Antiqua" w:hAnsi="Book Antiqua"/>
        </w:rPr>
        <w:t xml:space="preserve">. Therefore, new challenges are arising for NERD treatment, and the results of our study show that WMT can solve this problem. This study confirmed that WMT </w:t>
      </w:r>
      <w:r w:rsidR="006C36A4" w:rsidRPr="00CE331D">
        <w:rPr>
          <w:rFonts w:ascii="Book Antiqua" w:hAnsi="Book Antiqua"/>
        </w:rPr>
        <w:t>ha</w:t>
      </w:r>
      <w:r w:rsidR="006C36A4">
        <w:rPr>
          <w:rFonts w:ascii="Book Antiqua" w:hAnsi="Book Antiqua"/>
        </w:rPr>
        <w:t>d</w:t>
      </w:r>
      <w:r w:rsidR="006C36A4" w:rsidRPr="00CE331D">
        <w:rPr>
          <w:rFonts w:ascii="Book Antiqua" w:hAnsi="Book Antiqua"/>
        </w:rPr>
        <w:t xml:space="preserve"> </w:t>
      </w:r>
      <w:r w:rsidRPr="00CE331D">
        <w:rPr>
          <w:rFonts w:ascii="Book Antiqua" w:hAnsi="Book Antiqua"/>
        </w:rPr>
        <w:t xml:space="preserve">a significant clinical effect on NERD in patients with PPI dependency compared to PPI alone. It can reduce the PPI dose and the NERD recurrence rate. Our results showed that WMT, combined with PPI treatment, resulted in remission in 93.3% (14/15) of the patients, and 80% (12/15) of the patients reduced the PPI dose, which was far better than </w:t>
      </w:r>
      <w:r w:rsidR="006C36A4">
        <w:rPr>
          <w:rFonts w:ascii="Book Antiqua" w:hAnsi="Book Antiqua"/>
        </w:rPr>
        <w:t xml:space="preserve">that of </w:t>
      </w:r>
      <w:r w:rsidRPr="00CE331D">
        <w:rPr>
          <w:rFonts w:ascii="Book Antiqua" w:hAnsi="Book Antiqua"/>
        </w:rPr>
        <w:t xml:space="preserve">the PPI group </w:t>
      </w:r>
      <w:r w:rsidR="006C36A4">
        <w:rPr>
          <w:rFonts w:ascii="Book Antiqua" w:hAnsi="Book Antiqua"/>
        </w:rPr>
        <w:t>(</w:t>
      </w:r>
      <w:r w:rsidRPr="00CE331D">
        <w:rPr>
          <w:rFonts w:ascii="Book Antiqua" w:hAnsi="Book Antiqua"/>
        </w:rPr>
        <w:t>33.3%</w:t>
      </w:r>
      <w:r w:rsidR="006C36A4">
        <w:rPr>
          <w:rFonts w:ascii="Book Antiqua" w:hAnsi="Book Antiqua"/>
        </w:rPr>
        <w:t>)</w:t>
      </w:r>
      <w:r w:rsidRPr="00CE331D">
        <w:rPr>
          <w:rFonts w:ascii="Book Antiqua" w:hAnsi="Book Antiqua"/>
        </w:rPr>
        <w:t>. Compared with the PPI group, the WMT group showed better results in the GERDQ scores and RDQ scores as well as in the remission months, which had obvious statistical significance.</w:t>
      </w:r>
    </w:p>
    <w:p w14:paraId="4C2BA847" w14:textId="42C144D9" w:rsidR="00A657E8" w:rsidRPr="00CE331D" w:rsidRDefault="00A657E8" w:rsidP="00CE331D">
      <w:pPr>
        <w:spacing w:line="360" w:lineRule="auto"/>
        <w:ind w:firstLineChars="200" w:firstLine="480"/>
        <w:jc w:val="both"/>
        <w:rPr>
          <w:rFonts w:ascii="Book Antiqua" w:hAnsi="Book Antiqua"/>
        </w:rPr>
      </w:pPr>
      <w:r w:rsidRPr="00CE331D">
        <w:rPr>
          <w:rFonts w:ascii="Book Antiqua" w:hAnsi="Book Antiqua"/>
        </w:rPr>
        <w:t>It is widely believed that GERD usually occurs through the following four mechanisms</w:t>
      </w:r>
      <w:r w:rsidRPr="00CE331D">
        <w:rPr>
          <w:rFonts w:ascii="Book Antiqua" w:hAnsi="Book Antiqua"/>
          <w:noProof/>
          <w:vertAlign w:val="superscript"/>
        </w:rPr>
        <w:t>[26]</w:t>
      </w:r>
      <w:r w:rsidRPr="00CE331D">
        <w:rPr>
          <w:rFonts w:ascii="Book Antiqua" w:hAnsi="Book Antiqua"/>
        </w:rPr>
        <w:t xml:space="preserve">: </w:t>
      </w:r>
      <w:r w:rsidR="00190D7F" w:rsidRPr="00CE331D">
        <w:rPr>
          <w:rFonts w:ascii="Book Antiqua" w:hAnsi="Book Antiqua"/>
        </w:rPr>
        <w:t>T</w:t>
      </w:r>
      <w:r w:rsidRPr="00CE331D">
        <w:rPr>
          <w:rFonts w:ascii="Book Antiqua" w:hAnsi="Book Antiqua"/>
        </w:rPr>
        <w:t xml:space="preserve">ransient LES relaxation, low LES pressure, swallowing-associated LES relaxation, and straining during periods with low LES pressure. Recently, new findings related to the pathogenesis of GERD showed that </w:t>
      </w:r>
      <w:bookmarkStart w:id="11" w:name="OLE_LINK12"/>
      <w:r w:rsidRPr="00CE331D">
        <w:rPr>
          <w:rFonts w:ascii="Book Antiqua" w:hAnsi="Book Antiqua"/>
        </w:rPr>
        <w:t>lipopolysaccharide</w:t>
      </w:r>
      <w:bookmarkEnd w:id="11"/>
      <w:r w:rsidRPr="00CE331D">
        <w:rPr>
          <w:rFonts w:ascii="Book Antiqua" w:hAnsi="Book Antiqua"/>
        </w:rPr>
        <w:t xml:space="preserve">, a component of </w:t>
      </w:r>
      <w:r w:rsidR="006C36A4">
        <w:rPr>
          <w:rFonts w:ascii="Book Antiqua" w:hAnsi="Book Antiqua"/>
        </w:rPr>
        <w:t>G</w:t>
      </w:r>
      <w:r w:rsidR="006C36A4" w:rsidRPr="00CE331D">
        <w:rPr>
          <w:rFonts w:ascii="Book Antiqua" w:hAnsi="Book Antiqua"/>
        </w:rPr>
        <w:t>ram</w:t>
      </w:r>
      <w:r w:rsidRPr="00CE331D">
        <w:rPr>
          <w:rFonts w:ascii="Book Antiqua" w:hAnsi="Book Antiqua"/>
        </w:rPr>
        <w:t xml:space="preserve">-negative cell walls, is involved in the mechanism of GERD. Research has shown that the state of esophageal diseases (oesophagitis, Barrett's esophagus, </w:t>
      </w:r>
      <w:r w:rsidRPr="00D72C2D">
        <w:rPr>
          <w:rFonts w:ascii="Book Antiqua" w:hAnsi="Book Antiqua"/>
          <w:i/>
        </w:rPr>
        <w:t>etc</w:t>
      </w:r>
      <w:r w:rsidRPr="00CE331D">
        <w:rPr>
          <w:rFonts w:ascii="Book Antiqua" w:hAnsi="Book Antiqua"/>
        </w:rPr>
        <w:t xml:space="preserve">.) is mainly dominated by type II </w:t>
      </w:r>
      <w:r w:rsidR="006C36A4">
        <w:rPr>
          <w:rFonts w:ascii="Book Antiqua" w:hAnsi="Book Antiqua"/>
        </w:rPr>
        <w:t>G</w:t>
      </w:r>
      <w:r w:rsidR="006C36A4" w:rsidRPr="00CE331D">
        <w:rPr>
          <w:rFonts w:ascii="Book Antiqua" w:hAnsi="Book Antiqua"/>
        </w:rPr>
        <w:t>ram</w:t>
      </w:r>
      <w:r w:rsidRPr="00CE331D">
        <w:rPr>
          <w:rFonts w:ascii="Book Antiqua" w:hAnsi="Book Antiqua"/>
        </w:rPr>
        <w:t xml:space="preserve">-negative bacteria. We know that lipopolysaccharide is the main structure of the outer membrane in </w:t>
      </w:r>
      <w:r w:rsidR="006C36A4">
        <w:rPr>
          <w:rFonts w:ascii="Book Antiqua" w:hAnsi="Book Antiqua"/>
        </w:rPr>
        <w:t>G</w:t>
      </w:r>
      <w:r w:rsidR="006C36A4" w:rsidRPr="00CE331D">
        <w:rPr>
          <w:rFonts w:ascii="Book Antiqua" w:hAnsi="Book Antiqua"/>
        </w:rPr>
        <w:t>ram</w:t>
      </w:r>
      <w:r w:rsidRPr="00CE331D">
        <w:rPr>
          <w:rFonts w:ascii="Book Antiqua" w:hAnsi="Book Antiqua"/>
        </w:rPr>
        <w:t xml:space="preserve">-negative bacteria; it can activate Toll-like receptor 4 and the downstream </w:t>
      </w:r>
      <w:r w:rsidR="00190D7F" w:rsidRPr="00CE331D">
        <w:rPr>
          <w:rFonts w:ascii="Book Antiqua" w:hAnsi="Book Antiqua"/>
        </w:rPr>
        <w:t>nuclear factor kB</w:t>
      </w:r>
      <w:r w:rsidRPr="00CE331D">
        <w:rPr>
          <w:rFonts w:ascii="Book Antiqua" w:hAnsi="Book Antiqua"/>
        </w:rPr>
        <w:t xml:space="preserve"> pathway to induce an inflammatory response and upregulate the expression of inducible nitrous oxide synthase, which relaxes the LES, and COX-2, which delays gastric emptying</w:t>
      </w:r>
      <w:r w:rsidRPr="00CE331D">
        <w:rPr>
          <w:rFonts w:ascii="Book Antiqua" w:hAnsi="Book Antiqua"/>
          <w:noProof/>
          <w:vertAlign w:val="superscript"/>
        </w:rPr>
        <w:t>[27]</w:t>
      </w:r>
      <w:r w:rsidRPr="00CE331D">
        <w:rPr>
          <w:rFonts w:ascii="Book Antiqua" w:hAnsi="Book Antiqua"/>
        </w:rPr>
        <w:t>. In this retrospective study, 24 patients had</w:t>
      </w:r>
      <w:r w:rsidR="006C36A4">
        <w:rPr>
          <w:rFonts w:ascii="Book Antiqua" w:hAnsi="Book Antiqua"/>
        </w:rPr>
        <w:t xml:space="preserve"> </w:t>
      </w:r>
      <w:r w:rsidRPr="00CE331D">
        <w:rPr>
          <w:rFonts w:ascii="Book Antiqua" w:hAnsi="Book Antiqua"/>
        </w:rPr>
        <w:t>the function of the intestinal mucosal barrier</w:t>
      </w:r>
      <w:r w:rsidR="006C36A4" w:rsidRPr="006C36A4">
        <w:rPr>
          <w:rFonts w:ascii="Book Antiqua" w:hAnsi="Book Antiqua"/>
        </w:rPr>
        <w:t xml:space="preserve"> </w:t>
      </w:r>
      <w:r w:rsidR="006C36A4" w:rsidRPr="00CE331D">
        <w:rPr>
          <w:rFonts w:ascii="Book Antiqua" w:hAnsi="Book Antiqua"/>
        </w:rPr>
        <w:t>examined</w:t>
      </w:r>
      <w:r w:rsidRPr="00CE331D">
        <w:rPr>
          <w:rFonts w:ascii="Book Antiqua" w:hAnsi="Book Antiqua"/>
        </w:rPr>
        <w:t xml:space="preserve"> before treatment, which showed that over half of the patients (13/24) had different degrees of intestinal mucosal barrier function damage, which may be involved in the pathogenesis of GERD. </w:t>
      </w:r>
      <w:r w:rsidR="006C36A4">
        <w:rPr>
          <w:rFonts w:ascii="Book Antiqua" w:hAnsi="Book Antiqua"/>
        </w:rPr>
        <w:t>W</w:t>
      </w:r>
      <w:r w:rsidRPr="00CE331D">
        <w:rPr>
          <w:rFonts w:ascii="Book Antiqua" w:hAnsi="Book Antiqua"/>
        </w:rPr>
        <w:t xml:space="preserve">e </w:t>
      </w:r>
      <w:r w:rsidR="006C36A4">
        <w:rPr>
          <w:rFonts w:ascii="Book Antiqua" w:hAnsi="Book Antiqua"/>
        </w:rPr>
        <w:t xml:space="preserve">also </w:t>
      </w:r>
      <w:r w:rsidRPr="00CE331D">
        <w:rPr>
          <w:rFonts w:ascii="Book Antiqua" w:hAnsi="Book Antiqua"/>
        </w:rPr>
        <w:t>analyzed the values of lipopolysaccharide, diamine oxidase, and D-lactate before and after WMT treatment for 8 patients. The results showed that the median</w:t>
      </w:r>
      <w:r w:rsidR="006C36A4">
        <w:rPr>
          <w:rFonts w:ascii="Book Antiqua" w:hAnsi="Book Antiqua"/>
        </w:rPr>
        <w:t>s</w:t>
      </w:r>
      <w:r w:rsidRPr="00CE331D">
        <w:rPr>
          <w:rFonts w:ascii="Book Antiqua" w:hAnsi="Book Antiqua"/>
        </w:rPr>
        <w:t xml:space="preserve"> </w:t>
      </w:r>
      <w:r w:rsidR="006C36A4" w:rsidRPr="00CE331D">
        <w:rPr>
          <w:rFonts w:ascii="Book Antiqua" w:hAnsi="Book Antiqua"/>
        </w:rPr>
        <w:t>w</w:t>
      </w:r>
      <w:r w:rsidR="006C36A4">
        <w:rPr>
          <w:rFonts w:ascii="Book Antiqua" w:hAnsi="Book Antiqua"/>
        </w:rPr>
        <w:t>ere</w:t>
      </w:r>
      <w:r w:rsidR="006C36A4" w:rsidRPr="00CE331D">
        <w:rPr>
          <w:rFonts w:ascii="Book Antiqua" w:hAnsi="Book Antiqua"/>
        </w:rPr>
        <w:t xml:space="preserve"> </w:t>
      </w:r>
      <w:r w:rsidRPr="00CE331D">
        <w:rPr>
          <w:rFonts w:ascii="Book Antiqua" w:hAnsi="Book Antiqua"/>
        </w:rPr>
        <w:t xml:space="preserve">increased after treatment compared with </w:t>
      </w:r>
      <w:r w:rsidR="006C36A4" w:rsidRPr="00CE331D">
        <w:rPr>
          <w:rFonts w:ascii="Book Antiqua" w:hAnsi="Book Antiqua"/>
        </w:rPr>
        <w:t>th</w:t>
      </w:r>
      <w:r w:rsidR="006C36A4">
        <w:rPr>
          <w:rFonts w:ascii="Book Antiqua" w:hAnsi="Book Antiqua"/>
        </w:rPr>
        <w:t>ose</w:t>
      </w:r>
      <w:r w:rsidR="006C36A4" w:rsidRPr="00CE331D">
        <w:rPr>
          <w:rFonts w:ascii="Book Antiqua" w:hAnsi="Book Antiqua"/>
        </w:rPr>
        <w:t xml:space="preserve"> </w:t>
      </w:r>
      <w:r w:rsidRPr="00CE331D">
        <w:rPr>
          <w:rFonts w:ascii="Book Antiqua" w:hAnsi="Book Antiqua"/>
        </w:rPr>
        <w:t>before treatment</w:t>
      </w:r>
      <w:r w:rsidR="006C36A4">
        <w:rPr>
          <w:rFonts w:ascii="Book Antiqua" w:hAnsi="Book Antiqua"/>
        </w:rPr>
        <w:t>,</w:t>
      </w:r>
      <w:r w:rsidRPr="00CE331D">
        <w:rPr>
          <w:rFonts w:ascii="Book Antiqua" w:hAnsi="Book Antiqua"/>
        </w:rPr>
        <w:t xml:space="preserve"> </w:t>
      </w:r>
      <w:r w:rsidR="006C36A4">
        <w:rPr>
          <w:rFonts w:ascii="Book Antiqua" w:hAnsi="Book Antiqua"/>
        </w:rPr>
        <w:t>but there</w:t>
      </w:r>
      <w:r w:rsidR="006C36A4" w:rsidRPr="00CE331D">
        <w:rPr>
          <w:rFonts w:ascii="Book Antiqua" w:hAnsi="Book Antiqua"/>
        </w:rPr>
        <w:t xml:space="preserve"> </w:t>
      </w:r>
      <w:r w:rsidRPr="00CE331D">
        <w:rPr>
          <w:rFonts w:ascii="Book Antiqua" w:hAnsi="Book Antiqua"/>
        </w:rPr>
        <w:t>was no</w:t>
      </w:r>
      <w:r w:rsidR="006C36A4">
        <w:rPr>
          <w:rFonts w:ascii="Book Antiqua" w:hAnsi="Book Antiqua"/>
        </w:rPr>
        <w:t xml:space="preserve"> </w:t>
      </w:r>
      <w:r w:rsidRPr="00CE331D">
        <w:rPr>
          <w:rFonts w:ascii="Book Antiqua" w:hAnsi="Book Antiqua"/>
        </w:rPr>
        <w:t>significant</w:t>
      </w:r>
      <w:r w:rsidR="006C36A4">
        <w:rPr>
          <w:rFonts w:ascii="Book Antiqua" w:hAnsi="Book Antiqua"/>
        </w:rPr>
        <w:t xml:space="preserve"> difference</w:t>
      </w:r>
      <w:r w:rsidRPr="00CE331D">
        <w:rPr>
          <w:rFonts w:ascii="Book Antiqua" w:hAnsi="Book Antiqua"/>
        </w:rPr>
        <w:t>. This seems to be contrary to evidence from a previous study. However, this may be due to the small number of samples, and the test was not performed at the same time. This result gives us good inspiration to focus on researching this aspect in the future.</w:t>
      </w:r>
    </w:p>
    <w:p w14:paraId="41E39BA9" w14:textId="0F4336A9" w:rsidR="00A657E8" w:rsidRPr="00CE331D" w:rsidRDefault="00A657E8" w:rsidP="00CE331D">
      <w:pPr>
        <w:spacing w:line="360" w:lineRule="auto"/>
        <w:ind w:firstLineChars="200" w:firstLine="480"/>
        <w:jc w:val="both"/>
        <w:rPr>
          <w:rFonts w:ascii="Book Antiqua" w:hAnsi="Book Antiqua"/>
        </w:rPr>
      </w:pPr>
      <w:r w:rsidRPr="00CE331D">
        <w:rPr>
          <w:rFonts w:ascii="Book Antiqua" w:hAnsi="Book Antiqua"/>
        </w:rPr>
        <w:t xml:space="preserve">The results of this trial indicate that as the number of courses of WMT treatment increases, the remission rate increases. The response rate of patients who completed more than </w:t>
      </w:r>
      <w:r w:rsidR="006C36A4">
        <w:rPr>
          <w:rFonts w:ascii="Book Antiqua" w:hAnsi="Book Antiqua"/>
        </w:rPr>
        <w:t>four</w:t>
      </w:r>
      <w:r w:rsidR="006C36A4" w:rsidRPr="00CE331D">
        <w:rPr>
          <w:rFonts w:ascii="Book Antiqua" w:hAnsi="Book Antiqua"/>
        </w:rPr>
        <w:t xml:space="preserve"> </w:t>
      </w:r>
      <w:r w:rsidRPr="00CE331D">
        <w:rPr>
          <w:rFonts w:ascii="Book Antiqua" w:hAnsi="Book Antiqua"/>
        </w:rPr>
        <w:t>courses of WMT reached 83.3%, but the results may have some limitations due to the small sample size in this study. Although WMT is increasingly used in clinical treatment, there is no uniform treatment course or dosage. According to previous reports, multiple fresh fecal transplants can improve clinical efficacy</w:t>
      </w:r>
      <w:r w:rsidRPr="00CE331D">
        <w:rPr>
          <w:rFonts w:ascii="Book Antiqua" w:hAnsi="Book Antiqua"/>
          <w:noProof/>
          <w:vertAlign w:val="superscript"/>
        </w:rPr>
        <w:t>[28]</w:t>
      </w:r>
      <w:r w:rsidRPr="00CE331D">
        <w:rPr>
          <w:rFonts w:ascii="Book Antiqua" w:hAnsi="Book Antiqua"/>
        </w:rPr>
        <w:t xml:space="preserve">. We recommend that WMT for GERD be administered in </w:t>
      </w:r>
      <w:r w:rsidR="006C36A4">
        <w:rPr>
          <w:rFonts w:ascii="Book Antiqua" w:hAnsi="Book Antiqua"/>
        </w:rPr>
        <w:t>four</w:t>
      </w:r>
      <w:r w:rsidR="006C36A4" w:rsidRPr="00CE331D">
        <w:rPr>
          <w:rFonts w:ascii="Book Antiqua" w:hAnsi="Book Antiqua"/>
        </w:rPr>
        <w:t xml:space="preserve"> </w:t>
      </w:r>
      <w:r w:rsidRPr="00CE331D">
        <w:rPr>
          <w:rFonts w:ascii="Book Antiqua" w:hAnsi="Book Antiqua"/>
        </w:rPr>
        <w:t>courses at 1, 2, 3, and 6 mo (1 course is a continuous fecal treatment for 3 d, with 200 m</w:t>
      </w:r>
      <w:r w:rsidR="00190D7F" w:rsidRPr="00CE331D">
        <w:rPr>
          <w:rFonts w:ascii="Book Antiqua" w:hAnsi="Book Antiqua"/>
        </w:rPr>
        <w:t>L</w:t>
      </w:r>
      <w:r w:rsidRPr="00CE331D">
        <w:rPr>
          <w:rFonts w:ascii="Book Antiqua" w:hAnsi="Book Antiqua"/>
        </w:rPr>
        <w:t xml:space="preserve"> of fecal separated solution injected into the jejunum or caecum </w:t>
      </w:r>
      <w:r w:rsidRPr="00CE331D">
        <w:rPr>
          <w:rFonts w:ascii="Book Antiqua" w:hAnsi="Book Antiqua"/>
          <w:i/>
          <w:iCs/>
        </w:rPr>
        <w:t>via</w:t>
      </w:r>
      <w:r w:rsidRPr="00CE331D">
        <w:rPr>
          <w:rFonts w:ascii="Book Antiqua" w:hAnsi="Book Antiqua"/>
        </w:rPr>
        <w:t xml:space="preserve"> the middle or lower digestive tract </w:t>
      </w:r>
      <w:r w:rsidRPr="00D72C2D">
        <w:rPr>
          <w:rFonts w:ascii="Book Antiqua" w:hAnsi="Book Antiqua"/>
          <w:iCs/>
        </w:rPr>
        <w:t>per</w:t>
      </w:r>
      <w:r w:rsidRPr="00CE331D">
        <w:rPr>
          <w:rFonts w:ascii="Book Antiqua" w:hAnsi="Book Antiqua"/>
        </w:rPr>
        <w:t xml:space="preserve"> day). The </w:t>
      </w:r>
      <w:r w:rsidR="006C36A4">
        <w:rPr>
          <w:rFonts w:ascii="Book Antiqua" w:hAnsi="Book Antiqua"/>
        </w:rPr>
        <w:t>four</w:t>
      </w:r>
      <w:r w:rsidR="006C36A4" w:rsidRPr="00CE331D">
        <w:rPr>
          <w:rFonts w:ascii="Book Antiqua" w:hAnsi="Book Antiqua"/>
        </w:rPr>
        <w:t xml:space="preserve"> </w:t>
      </w:r>
      <w:r w:rsidRPr="00CE331D">
        <w:rPr>
          <w:rFonts w:ascii="Book Antiqua" w:hAnsi="Book Antiqua"/>
        </w:rPr>
        <w:t>courses of treatment recommended in this study are feasible, and it seems that increasing the treatment course can increase the rate of remission. The poor WMT responses observed in this study may be related to the existence of organic lesions that cause GERD, such as hiatal hernia, in some patients, and some may be related to failure to complete the recommended courses.</w:t>
      </w:r>
    </w:p>
    <w:p w14:paraId="7F221587" w14:textId="5B56634B" w:rsidR="00A77B3E" w:rsidRPr="00CE331D" w:rsidRDefault="00A657E8" w:rsidP="00CE331D">
      <w:pPr>
        <w:spacing w:line="360" w:lineRule="auto"/>
        <w:ind w:firstLine="480"/>
        <w:jc w:val="both"/>
        <w:rPr>
          <w:rFonts w:ascii="Book Antiqua" w:hAnsi="Book Antiqua"/>
        </w:rPr>
      </w:pPr>
      <w:r w:rsidRPr="00CE331D">
        <w:rPr>
          <w:rFonts w:ascii="Book Antiqua" w:hAnsi="Book Antiqua"/>
        </w:rPr>
        <w:t xml:space="preserve">Because this is a retrospective study, its limitations </w:t>
      </w:r>
      <w:r w:rsidR="006C36A4">
        <w:rPr>
          <w:rFonts w:ascii="Book Antiqua" w:hAnsi="Book Antiqua"/>
        </w:rPr>
        <w:t>are</w:t>
      </w:r>
      <w:r w:rsidR="006C36A4" w:rsidRPr="00CE331D">
        <w:rPr>
          <w:rFonts w:ascii="Book Antiqua" w:hAnsi="Book Antiqua"/>
        </w:rPr>
        <w:t xml:space="preserve"> </w:t>
      </w:r>
      <w:r w:rsidRPr="00CE331D">
        <w:rPr>
          <w:rFonts w:ascii="Book Antiqua" w:hAnsi="Book Antiqua"/>
        </w:rPr>
        <w:t>that the accuracy and completion of the relevant data and questionnaires could not be improved during follow-up. Memory bias may have affected the questionnaires. The analysis of related test items had a small sample size, which affects the analysis of the experimental results.</w:t>
      </w:r>
    </w:p>
    <w:p w14:paraId="6ED7B916" w14:textId="77777777" w:rsidR="00A657E8" w:rsidRPr="00CE331D" w:rsidRDefault="00A657E8" w:rsidP="00CE331D">
      <w:pPr>
        <w:spacing w:line="360" w:lineRule="auto"/>
        <w:ind w:firstLine="480"/>
        <w:jc w:val="both"/>
        <w:rPr>
          <w:rFonts w:ascii="Book Antiqua" w:hAnsi="Book Antiqua"/>
        </w:rPr>
      </w:pPr>
    </w:p>
    <w:p w14:paraId="59A0CEA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CONCLUSION</w:t>
      </w:r>
    </w:p>
    <w:p w14:paraId="0925E61F" w14:textId="60701BCF"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In conclusion, this study </w:t>
      </w:r>
      <w:r w:rsidR="006C36A4">
        <w:rPr>
          <w:rFonts w:ascii="Book Antiqua" w:eastAsia="Book Antiqua" w:hAnsi="Book Antiqua" w:cs="Book Antiqua"/>
          <w:color w:val="000000"/>
        </w:rPr>
        <w:t xml:space="preserve">for the </w:t>
      </w:r>
      <w:r w:rsidRPr="00CE331D">
        <w:rPr>
          <w:rFonts w:ascii="Book Antiqua" w:eastAsia="Book Antiqua" w:hAnsi="Book Antiqua" w:cs="Book Antiqua"/>
          <w:color w:val="000000"/>
        </w:rPr>
        <w:t xml:space="preserve">first </w:t>
      </w:r>
      <w:r w:rsidR="006C36A4">
        <w:rPr>
          <w:rFonts w:ascii="Book Antiqua" w:eastAsia="Book Antiqua" w:hAnsi="Book Antiqua" w:cs="Book Antiqua"/>
          <w:color w:val="000000"/>
        </w:rPr>
        <w:t xml:space="preserve">time </w:t>
      </w:r>
      <w:r w:rsidRPr="00CE331D">
        <w:rPr>
          <w:rFonts w:ascii="Book Antiqua" w:eastAsia="Book Antiqua" w:hAnsi="Book Antiqua" w:cs="Book Antiqua"/>
          <w:color w:val="000000"/>
        </w:rPr>
        <w:t xml:space="preserve">demonstrated that WMT </w:t>
      </w:r>
      <w:r w:rsidR="006C36A4">
        <w:rPr>
          <w:rFonts w:ascii="Book Antiqua" w:eastAsia="Book Antiqua" w:hAnsi="Book Antiqua" w:cs="Book Antiqua"/>
          <w:color w:val="000000"/>
        </w:rPr>
        <w:t>i</w:t>
      </w:r>
      <w:r w:rsidR="006C36A4" w:rsidRPr="00CE331D">
        <w:rPr>
          <w:rFonts w:ascii="Book Antiqua" w:eastAsia="Book Antiqua" w:hAnsi="Book Antiqua" w:cs="Book Antiqua"/>
          <w:color w:val="000000"/>
        </w:rPr>
        <w:t xml:space="preserve">s </w:t>
      </w:r>
      <w:r w:rsidRPr="00CE331D">
        <w:rPr>
          <w:rFonts w:ascii="Book Antiqua" w:eastAsia="Book Antiqua" w:hAnsi="Book Antiqua" w:cs="Book Antiqua"/>
          <w:color w:val="000000"/>
        </w:rPr>
        <w:t>safe and effective in treating patients with NERD and PPI dependency. Compared to the PPI group, it can significantly relieve the symptoms of NERD patients, reduce PPI dependency, prolong the duration of remission in symptoms</w:t>
      </w:r>
      <w:r w:rsidR="006C36A4">
        <w:rPr>
          <w:rFonts w:ascii="Book Antiqua" w:eastAsia="Book Antiqua" w:hAnsi="Book Antiqua" w:cs="Book Antiqua"/>
          <w:color w:val="000000"/>
        </w:rPr>
        <w:t>,</w:t>
      </w:r>
      <w:r w:rsidRPr="00CE331D">
        <w:rPr>
          <w:rFonts w:ascii="Book Antiqua" w:eastAsia="Book Antiqua" w:hAnsi="Book Antiqua" w:cs="Book Antiqua"/>
          <w:color w:val="000000"/>
        </w:rPr>
        <w:t xml:space="preserve"> and reduce recurrence. It can also increase the diversity and evenness of the bacterial community. The next step is to expand the sample size and perform further studies to confirm the role of WMT in the treatment of NERD and elucidate its mechanism.</w:t>
      </w:r>
    </w:p>
    <w:p w14:paraId="0DF9DEE0" w14:textId="77777777" w:rsidR="00A77B3E" w:rsidRPr="00CE331D" w:rsidRDefault="00A77B3E" w:rsidP="00CE331D">
      <w:pPr>
        <w:spacing w:line="360" w:lineRule="auto"/>
        <w:jc w:val="both"/>
        <w:rPr>
          <w:rFonts w:ascii="Book Antiqua" w:hAnsi="Book Antiqua"/>
        </w:rPr>
      </w:pPr>
    </w:p>
    <w:p w14:paraId="45E7DFE9"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ARTICLE HIGHLIGHTS</w:t>
      </w:r>
    </w:p>
    <w:p w14:paraId="6B85D1B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background</w:t>
      </w:r>
    </w:p>
    <w:p w14:paraId="07CC8001" w14:textId="2264F542" w:rsidR="00A77B3E" w:rsidRPr="00CE331D" w:rsidRDefault="006C36A4" w:rsidP="00CE331D">
      <w:pPr>
        <w:spacing w:line="360" w:lineRule="auto"/>
        <w:jc w:val="both"/>
        <w:rPr>
          <w:rFonts w:ascii="Book Antiqua" w:hAnsi="Book Antiqua"/>
        </w:rPr>
      </w:pPr>
      <w:r>
        <w:rPr>
          <w:rFonts w:ascii="Book Antiqua" w:eastAsia="Book Antiqua" w:hAnsi="Book Antiqua" w:cs="Book Antiqua"/>
          <w:color w:val="000000"/>
        </w:rPr>
        <w:t>The pathogenesis of g</w:t>
      </w:r>
      <w:r w:rsidRPr="00CE331D">
        <w:rPr>
          <w:rFonts w:ascii="Book Antiqua" w:eastAsia="Book Antiqua" w:hAnsi="Book Antiqua" w:cs="Book Antiqua"/>
          <w:color w:val="000000"/>
        </w:rPr>
        <w:t xml:space="preserve">astroesophageal </w:t>
      </w:r>
      <w:r w:rsidR="00EF6257" w:rsidRPr="00CE331D">
        <w:rPr>
          <w:rFonts w:ascii="Book Antiqua" w:eastAsia="Book Antiqua" w:hAnsi="Book Antiqua" w:cs="Book Antiqua"/>
          <w:color w:val="000000"/>
        </w:rPr>
        <w:t>reflux disease (GERD) is closely associated with the intestinal bacteria composition and their metabolites.</w:t>
      </w:r>
    </w:p>
    <w:p w14:paraId="4B576454" w14:textId="77777777" w:rsidR="00A77B3E" w:rsidRPr="00CE331D" w:rsidRDefault="00A77B3E" w:rsidP="00CE331D">
      <w:pPr>
        <w:spacing w:line="360" w:lineRule="auto"/>
        <w:jc w:val="both"/>
        <w:rPr>
          <w:rFonts w:ascii="Book Antiqua" w:hAnsi="Book Antiqua"/>
        </w:rPr>
      </w:pPr>
    </w:p>
    <w:p w14:paraId="72B0CCAB"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motivation</w:t>
      </w:r>
    </w:p>
    <w:p w14:paraId="03A8BA61" w14:textId="22BE37F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At present, the treatment of GERD has not achieved satisfactory clinical results.</w:t>
      </w:r>
    </w:p>
    <w:p w14:paraId="7B02D142" w14:textId="77777777" w:rsidR="00A77B3E" w:rsidRPr="00CE331D" w:rsidRDefault="00A77B3E" w:rsidP="00CE331D">
      <w:pPr>
        <w:spacing w:line="360" w:lineRule="auto"/>
        <w:jc w:val="both"/>
        <w:rPr>
          <w:rFonts w:ascii="Book Antiqua" w:hAnsi="Book Antiqua"/>
        </w:rPr>
      </w:pPr>
    </w:p>
    <w:p w14:paraId="3622CFC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objectives</w:t>
      </w:r>
    </w:p>
    <w:p w14:paraId="708905D6" w14:textId="76758924"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To investigate whether washed microbiota transplantation (WMT) improves symptoms of nonerosive reflux disease (NERD) with proton pump inhibitor (PPI) dependency.</w:t>
      </w:r>
    </w:p>
    <w:p w14:paraId="53B1E411" w14:textId="77777777" w:rsidR="00A77B3E" w:rsidRPr="00CE331D" w:rsidRDefault="00A77B3E" w:rsidP="00CE331D">
      <w:pPr>
        <w:spacing w:line="360" w:lineRule="auto"/>
        <w:jc w:val="both"/>
        <w:rPr>
          <w:rFonts w:ascii="Book Antiqua" w:hAnsi="Book Antiqua"/>
        </w:rPr>
      </w:pPr>
    </w:p>
    <w:p w14:paraId="6A874DCB"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methods</w:t>
      </w:r>
    </w:p>
    <w:p w14:paraId="63C05AFB" w14:textId="5A0A910E"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Patients with recurrent NERD and PPI dependency at </w:t>
      </w:r>
      <w:r w:rsidR="006C36A4">
        <w:rPr>
          <w:rFonts w:ascii="Book Antiqua" w:eastAsia="Book Antiqua" w:hAnsi="Book Antiqua" w:cs="Book Antiqua"/>
          <w:color w:val="000000"/>
        </w:rPr>
        <w:t xml:space="preserve">the </w:t>
      </w:r>
      <w:r w:rsidRPr="00CE331D">
        <w:rPr>
          <w:rFonts w:ascii="Book Antiqua" w:eastAsia="Book Antiqua" w:hAnsi="Book Antiqua" w:cs="Book Antiqua"/>
          <w:color w:val="000000"/>
        </w:rPr>
        <w:t xml:space="preserve">First Affiliated Hospital of Guangdong Pharmaceutical University from 2017 to 2018 were included and divided into </w:t>
      </w:r>
      <w:r w:rsidR="006C36A4">
        <w:rPr>
          <w:rFonts w:ascii="Book Antiqua" w:eastAsia="Book Antiqua" w:hAnsi="Book Antiqua" w:cs="Book Antiqua"/>
          <w:color w:val="000000"/>
        </w:rPr>
        <w:t xml:space="preserve">a </w:t>
      </w:r>
      <w:r w:rsidRPr="00CE331D">
        <w:rPr>
          <w:rFonts w:ascii="Book Antiqua" w:eastAsia="Book Antiqua" w:hAnsi="Book Antiqua" w:cs="Book Antiqua"/>
          <w:color w:val="000000"/>
        </w:rPr>
        <w:t xml:space="preserve">WMT or PPI group treated with PPI with/without WMT. The endpoint was NERD symptom frequency evaluated 1 </w:t>
      </w:r>
      <w:r w:rsidR="006C36A4" w:rsidRPr="00CE331D">
        <w:rPr>
          <w:rFonts w:ascii="Book Antiqua" w:eastAsia="Book Antiqua" w:hAnsi="Book Antiqua" w:cs="Book Antiqua"/>
          <w:color w:val="000000"/>
        </w:rPr>
        <w:t>mo</w:t>
      </w:r>
      <w:r w:rsidR="006C36A4">
        <w:rPr>
          <w:rFonts w:ascii="Book Antiqua" w:eastAsia="Book Antiqua" w:hAnsi="Book Antiqua" w:cs="Book Antiqua"/>
          <w:color w:val="000000"/>
        </w:rPr>
        <w:t xml:space="preserve"> </w:t>
      </w:r>
      <w:r w:rsidRPr="00CE331D">
        <w:rPr>
          <w:rFonts w:ascii="Book Antiqua" w:eastAsia="Book Antiqua" w:hAnsi="Book Antiqua" w:cs="Book Antiqua"/>
          <w:color w:val="000000"/>
        </w:rPr>
        <w:t>after WMT using reflux disease questionnaire (RDQ) and GERD questionnaire (GERDQ) scores, remission time, PPI dose, and the examination of intestinal mucosal barrier function.</w:t>
      </w:r>
    </w:p>
    <w:p w14:paraId="656F4126" w14:textId="77777777" w:rsidR="00A77B3E" w:rsidRPr="00CE331D" w:rsidRDefault="00A77B3E" w:rsidP="00CE331D">
      <w:pPr>
        <w:spacing w:line="360" w:lineRule="auto"/>
        <w:jc w:val="both"/>
        <w:rPr>
          <w:rFonts w:ascii="Book Antiqua" w:hAnsi="Book Antiqua"/>
        </w:rPr>
      </w:pPr>
    </w:p>
    <w:p w14:paraId="78233335"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results</w:t>
      </w:r>
    </w:p>
    <w:p w14:paraId="79706160" w14:textId="2D810C79" w:rsidR="00A77B3E" w:rsidRPr="00CE331D" w:rsidRDefault="006C36A4" w:rsidP="00CE331D">
      <w:pPr>
        <w:spacing w:line="360" w:lineRule="auto"/>
        <w:jc w:val="both"/>
        <w:rPr>
          <w:rFonts w:ascii="Book Antiqua" w:hAnsi="Book Antiqua"/>
        </w:rPr>
      </w:pPr>
      <w:r>
        <w:rPr>
          <w:rFonts w:ascii="Book Antiqua" w:eastAsia="Book Antiqua" w:hAnsi="Book Antiqua" w:cs="Book Antiqua"/>
          <w:color w:val="000000"/>
        </w:rPr>
        <w:t>In</w:t>
      </w:r>
      <w:r w:rsidRPr="00CE331D">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the WMT (</w:t>
      </w:r>
      <w:r w:rsidR="00EF6257" w:rsidRPr="00CE331D">
        <w:rPr>
          <w:rFonts w:ascii="Book Antiqua" w:eastAsia="Book Antiqua" w:hAnsi="Book Antiqua" w:cs="Book Antiqua"/>
          <w:i/>
          <w:iCs/>
          <w:color w:val="000000"/>
        </w:rPr>
        <w:t>n</w:t>
      </w:r>
      <w:r w:rsidR="00EF6257" w:rsidRPr="00CE331D">
        <w:rPr>
          <w:rFonts w:ascii="Book Antiqua" w:eastAsia="Book Antiqua" w:hAnsi="Book Antiqua" w:cs="Book Antiqua"/>
          <w:color w:val="000000"/>
        </w:rPr>
        <w:t xml:space="preserve"> = 15) and PPI (</w:t>
      </w:r>
      <w:r w:rsidR="00EF6257" w:rsidRPr="00CE331D">
        <w:rPr>
          <w:rFonts w:ascii="Book Antiqua" w:eastAsia="Book Antiqua" w:hAnsi="Book Antiqua" w:cs="Book Antiqua"/>
          <w:i/>
          <w:iCs/>
          <w:color w:val="000000"/>
        </w:rPr>
        <w:t>n</w:t>
      </w:r>
      <w:r w:rsidR="00EF6257" w:rsidRPr="00CE331D">
        <w:rPr>
          <w:rFonts w:ascii="Book Antiqua" w:eastAsia="Book Antiqua" w:hAnsi="Book Antiqua" w:cs="Book Antiqua"/>
          <w:color w:val="000000"/>
        </w:rPr>
        <w:t xml:space="preserve"> = 12) groups, the total remission rate at 1 mo after treatment was 93.3% </w:t>
      </w:r>
      <w:r w:rsidR="00EF6257" w:rsidRPr="00CE331D">
        <w:rPr>
          <w:rFonts w:ascii="Book Antiqua" w:eastAsia="Book Antiqua" w:hAnsi="Book Antiqua" w:cs="Book Antiqua"/>
          <w:i/>
          <w:iCs/>
          <w:color w:val="000000"/>
        </w:rPr>
        <w:t>vs</w:t>
      </w:r>
      <w:r w:rsidR="00EF6257" w:rsidRPr="00CE331D">
        <w:rPr>
          <w:rFonts w:ascii="Book Antiqua" w:eastAsia="Book Antiqua" w:hAnsi="Book Antiqua" w:cs="Book Antiqua"/>
          <w:color w:val="000000"/>
        </w:rPr>
        <w:t xml:space="preserve"> 41.7%. Compared with the PPI group, the WMT group showed better results in GERDQ (</w:t>
      </w:r>
      <w:r w:rsidR="00EF6257" w:rsidRPr="00CE331D">
        <w:rPr>
          <w:rFonts w:ascii="Book Antiqua" w:eastAsia="Book Antiqua" w:hAnsi="Book Antiqua" w:cs="Book Antiqua"/>
          <w:i/>
          <w:iCs/>
          <w:color w:val="000000"/>
        </w:rPr>
        <w:t>P</w:t>
      </w:r>
      <w:r w:rsidR="00EF6257" w:rsidRPr="00CE331D">
        <w:rPr>
          <w:rFonts w:ascii="Book Antiqua" w:eastAsia="Book Antiqua" w:hAnsi="Book Antiqua" w:cs="Book Antiqua"/>
          <w:color w:val="000000"/>
        </w:rPr>
        <w:t xml:space="preserve"> = 0.004) and RDQ (</w:t>
      </w:r>
      <w:r w:rsidR="00EF6257" w:rsidRPr="00CE331D">
        <w:rPr>
          <w:rFonts w:ascii="Book Antiqua" w:eastAsia="Book Antiqua" w:hAnsi="Book Antiqua" w:cs="Book Antiqua"/>
          <w:i/>
          <w:iCs/>
          <w:color w:val="000000"/>
        </w:rPr>
        <w:t>P</w:t>
      </w:r>
      <w:r w:rsidR="00EF6257" w:rsidRPr="00CE331D">
        <w:rPr>
          <w:rFonts w:ascii="Book Antiqua" w:eastAsia="Book Antiqua" w:hAnsi="Book Antiqua" w:cs="Book Antiqua"/>
          <w:color w:val="000000"/>
        </w:rPr>
        <w:t xml:space="preserve"> = 0.003) and in remission months (8 </w:t>
      </w:r>
      <w:r w:rsidR="00EF6257" w:rsidRPr="00CE331D">
        <w:rPr>
          <w:rFonts w:ascii="Book Antiqua" w:eastAsia="Book Antiqua" w:hAnsi="Book Antiqua" w:cs="Book Antiqua"/>
          <w:i/>
          <w:iCs/>
          <w:color w:val="000000"/>
        </w:rPr>
        <w:t>vs</w:t>
      </w:r>
      <w:r w:rsidR="00EF6257" w:rsidRPr="00CE331D">
        <w:rPr>
          <w:rFonts w:ascii="Book Antiqua" w:eastAsia="Book Antiqua" w:hAnsi="Book Antiqua" w:cs="Book Antiqua"/>
          <w:color w:val="000000"/>
        </w:rPr>
        <w:t xml:space="preserve"> 2, </w:t>
      </w:r>
      <w:r w:rsidR="00EF6257" w:rsidRPr="00CE331D">
        <w:rPr>
          <w:rFonts w:ascii="Book Antiqua" w:eastAsia="Book Antiqua" w:hAnsi="Book Antiqua" w:cs="Book Antiqua"/>
          <w:i/>
          <w:iCs/>
          <w:color w:val="000000"/>
        </w:rPr>
        <w:t>P</w:t>
      </w:r>
      <w:r w:rsidR="00EF6257" w:rsidRPr="00CE331D">
        <w:rPr>
          <w:rFonts w:ascii="Book Antiqua" w:eastAsia="Book Antiqua" w:hAnsi="Book Antiqua" w:cs="Book Antiqua"/>
          <w:color w:val="000000"/>
        </w:rPr>
        <w:t xml:space="preserve"> = 0.002). The PPI dose was reduced to some extent for 80% of patients in the WMT group and 33.3%</w:t>
      </w:r>
      <w:r>
        <w:rPr>
          <w:rFonts w:ascii="Book Antiqua" w:eastAsia="Book Antiqua" w:hAnsi="Book Antiqua" w:cs="Book Antiqua"/>
          <w:color w:val="000000"/>
        </w:rPr>
        <w:t xml:space="preserve"> </w:t>
      </w:r>
      <w:r w:rsidR="00EF6257" w:rsidRPr="00CE331D">
        <w:rPr>
          <w:rFonts w:ascii="Book Antiqua" w:eastAsia="Book Antiqua" w:hAnsi="Book Antiqua" w:cs="Book Antiqua"/>
          <w:color w:val="000000"/>
        </w:rPr>
        <w:t>in the PPI group. In 24 patients, intestinal mucosal barrier function was examined before treatment, and changes in the degree of damage were observed in 13 of these patients after treatment.</w:t>
      </w:r>
      <w:r w:rsidR="00CA5D9A" w:rsidRPr="00CE331D">
        <w:rPr>
          <w:rFonts w:ascii="Book Antiqua" w:hAnsi="Book Antiqua"/>
        </w:rPr>
        <w:t xml:space="preserve"> Only </w:t>
      </w:r>
      <w:r>
        <w:rPr>
          <w:rFonts w:ascii="Book Antiqua" w:hAnsi="Book Antiqua"/>
        </w:rPr>
        <w:t>one</w:t>
      </w:r>
      <w:r w:rsidRPr="00CE331D">
        <w:rPr>
          <w:rFonts w:ascii="Book Antiqua" w:hAnsi="Book Antiqua"/>
        </w:rPr>
        <w:t xml:space="preserve"> </w:t>
      </w:r>
      <w:r w:rsidR="00CA5D9A" w:rsidRPr="00CE331D">
        <w:rPr>
          <w:rFonts w:ascii="Book Antiqua" w:hAnsi="Book Antiqua"/>
        </w:rPr>
        <w:t>of the 15 patients had minor side effects, including a mushy stool two or three times a day, which resolved on their own after 1 wk.</w:t>
      </w:r>
    </w:p>
    <w:p w14:paraId="67549A15" w14:textId="77777777" w:rsidR="00A77B3E" w:rsidRPr="00CE331D" w:rsidRDefault="00A77B3E" w:rsidP="00CE331D">
      <w:pPr>
        <w:spacing w:line="360" w:lineRule="auto"/>
        <w:jc w:val="both"/>
        <w:rPr>
          <w:rFonts w:ascii="Book Antiqua" w:hAnsi="Book Antiqua"/>
        </w:rPr>
      </w:pPr>
    </w:p>
    <w:p w14:paraId="33A7FB5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conclusions</w:t>
      </w:r>
    </w:p>
    <w:p w14:paraId="4E62C93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This study is the first to demonstrate that WMT may be safe and effective for relieving NERD symptoms and reducing PPI dependency and recurrence.</w:t>
      </w:r>
    </w:p>
    <w:p w14:paraId="3ECD55A9" w14:textId="77777777" w:rsidR="00A77B3E" w:rsidRPr="00CE331D" w:rsidRDefault="00A77B3E" w:rsidP="00CE331D">
      <w:pPr>
        <w:spacing w:line="360" w:lineRule="auto"/>
        <w:jc w:val="both"/>
        <w:rPr>
          <w:rFonts w:ascii="Book Antiqua" w:hAnsi="Book Antiqua"/>
        </w:rPr>
      </w:pPr>
    </w:p>
    <w:p w14:paraId="665C0DB5"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i/>
          <w:color w:val="000000"/>
        </w:rPr>
        <w:t>Research perspectives</w:t>
      </w:r>
    </w:p>
    <w:p w14:paraId="7486C65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WMT could be a new treatment for NERD.</w:t>
      </w:r>
    </w:p>
    <w:p w14:paraId="717520BF" w14:textId="77777777" w:rsidR="00A77B3E" w:rsidRPr="00CE331D" w:rsidRDefault="00A77B3E" w:rsidP="00CE331D">
      <w:pPr>
        <w:spacing w:line="360" w:lineRule="auto"/>
        <w:jc w:val="both"/>
        <w:rPr>
          <w:rFonts w:ascii="Book Antiqua" w:hAnsi="Book Antiqua"/>
        </w:rPr>
      </w:pPr>
    </w:p>
    <w:p w14:paraId="35763181"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aps/>
          <w:color w:val="000000"/>
          <w:u w:val="single"/>
        </w:rPr>
        <w:t>ACKNOWLEDGEMENTS</w:t>
      </w:r>
    </w:p>
    <w:p w14:paraId="1255EDEB" w14:textId="4AC85B8B"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We acknowledge Professor Fa</w:t>
      </w:r>
      <w:r w:rsidR="00E6723B">
        <w:rPr>
          <w:rFonts w:ascii="Book Antiqua" w:eastAsia="Book Antiqua" w:hAnsi="Book Antiqua" w:cs="Book Antiqua"/>
          <w:color w:val="000000"/>
        </w:rPr>
        <w:t>-M</w:t>
      </w:r>
      <w:r w:rsidR="00E6723B" w:rsidRPr="00CE331D">
        <w:rPr>
          <w:rFonts w:ascii="Book Antiqua" w:eastAsia="Book Antiqua" w:hAnsi="Book Antiqua" w:cs="Book Antiqua"/>
          <w:color w:val="000000"/>
        </w:rPr>
        <w:t xml:space="preserve">ing </w:t>
      </w:r>
      <w:r w:rsidRPr="00CE331D">
        <w:rPr>
          <w:rFonts w:ascii="Book Antiqua" w:eastAsia="Book Antiqua" w:hAnsi="Book Antiqua" w:cs="Book Antiqua"/>
          <w:color w:val="000000"/>
        </w:rPr>
        <w:t>Zhang and his team at the Second Affiliated Hospital of Nanjing Medical University of China for technical guidance on washed microbiota transplantation. We also acknowledge the patients and donors for their participation in this study.</w:t>
      </w:r>
    </w:p>
    <w:p w14:paraId="059511DD" w14:textId="77777777" w:rsidR="00A77B3E" w:rsidRPr="00CE331D" w:rsidRDefault="00A77B3E" w:rsidP="00CE331D">
      <w:pPr>
        <w:spacing w:line="360" w:lineRule="auto"/>
        <w:jc w:val="both"/>
        <w:rPr>
          <w:rFonts w:ascii="Book Antiqua" w:hAnsi="Book Antiqua"/>
        </w:rPr>
      </w:pPr>
    </w:p>
    <w:p w14:paraId="42DAF552" w14:textId="77777777" w:rsidR="00A77B3E" w:rsidRPr="00CE331D" w:rsidRDefault="00EF6257" w:rsidP="00CE331D">
      <w:pPr>
        <w:spacing w:line="360" w:lineRule="auto"/>
        <w:jc w:val="both"/>
        <w:rPr>
          <w:rFonts w:ascii="Book Antiqua" w:hAnsi="Book Antiqua"/>
          <w:lang w:val="pt-BR"/>
        </w:rPr>
      </w:pPr>
      <w:r w:rsidRPr="00CE331D">
        <w:rPr>
          <w:rFonts w:ascii="Book Antiqua" w:eastAsia="Book Antiqua" w:hAnsi="Book Antiqua" w:cs="Book Antiqua"/>
          <w:b/>
          <w:color w:val="000000"/>
          <w:lang w:val="pt-BR"/>
        </w:rPr>
        <w:t>REFERENCES</w:t>
      </w:r>
    </w:p>
    <w:p w14:paraId="1B09D757" w14:textId="77777777" w:rsidR="00B73C14" w:rsidRPr="00CE331D" w:rsidRDefault="00B73C14" w:rsidP="00CE331D">
      <w:pPr>
        <w:spacing w:line="360" w:lineRule="auto"/>
        <w:jc w:val="both"/>
        <w:rPr>
          <w:rFonts w:ascii="Book Antiqua" w:hAnsi="Book Antiqua"/>
          <w:lang w:val="pt-BR"/>
        </w:rPr>
      </w:pPr>
      <w:bookmarkStart w:id="12" w:name="OLE_LINK8"/>
      <w:bookmarkStart w:id="13" w:name="OLE_LINK9"/>
      <w:r w:rsidRPr="00CE331D">
        <w:rPr>
          <w:rFonts w:ascii="Book Antiqua" w:hAnsi="Book Antiqua"/>
          <w:lang w:val="pt-BR"/>
        </w:rPr>
        <w:t xml:space="preserve">1 </w:t>
      </w:r>
      <w:r w:rsidRPr="00CE331D">
        <w:rPr>
          <w:rFonts w:ascii="Book Antiqua" w:hAnsi="Book Antiqua"/>
          <w:b/>
          <w:bCs/>
          <w:lang w:val="pt-BR"/>
        </w:rPr>
        <w:t>Savarino E</w:t>
      </w:r>
      <w:r w:rsidRPr="00CE331D">
        <w:rPr>
          <w:rFonts w:ascii="Book Antiqua" w:hAnsi="Book Antiqua"/>
          <w:lang w:val="pt-BR"/>
        </w:rPr>
        <w:t xml:space="preserve">, de Bortoli N, De Cassan C, Della Coletta M, Bartolo O, Furnari M, Ottonello A, Marabotto E, Bodini G, Savarino V. The natural history of gastro-esophageal reflux disease: a comprehensive review. </w:t>
      </w:r>
      <w:r w:rsidRPr="00CE331D">
        <w:rPr>
          <w:rFonts w:ascii="Book Antiqua" w:hAnsi="Book Antiqua"/>
          <w:i/>
          <w:iCs/>
          <w:lang w:val="pt-BR"/>
        </w:rPr>
        <w:t>Dis Esophagus</w:t>
      </w:r>
      <w:r w:rsidRPr="00CE331D">
        <w:rPr>
          <w:rFonts w:ascii="Book Antiqua" w:hAnsi="Book Antiqua"/>
          <w:lang w:val="pt-BR"/>
        </w:rPr>
        <w:t xml:space="preserve"> 2017; </w:t>
      </w:r>
      <w:r w:rsidRPr="00CE331D">
        <w:rPr>
          <w:rFonts w:ascii="Book Antiqua" w:hAnsi="Book Antiqua"/>
          <w:b/>
          <w:bCs/>
          <w:lang w:val="pt-BR"/>
        </w:rPr>
        <w:t>30</w:t>
      </w:r>
      <w:r w:rsidRPr="00CE331D">
        <w:rPr>
          <w:rFonts w:ascii="Book Antiqua" w:hAnsi="Book Antiqua"/>
          <w:lang w:val="pt-BR"/>
        </w:rPr>
        <w:t>: 1-9 [PMID: 27862680 DOI: 10.1111/dote.12511]</w:t>
      </w:r>
    </w:p>
    <w:p w14:paraId="6396F4ED" w14:textId="77777777" w:rsidR="00B73C14" w:rsidRPr="00CE331D" w:rsidRDefault="00B73C14" w:rsidP="00CE331D">
      <w:pPr>
        <w:spacing w:line="360" w:lineRule="auto"/>
        <w:jc w:val="both"/>
        <w:rPr>
          <w:rFonts w:ascii="Book Antiqua" w:hAnsi="Book Antiqua"/>
        </w:rPr>
      </w:pPr>
      <w:r w:rsidRPr="00CE331D">
        <w:rPr>
          <w:rFonts w:ascii="Book Antiqua" w:hAnsi="Book Antiqua"/>
          <w:lang w:val="pt-BR"/>
        </w:rPr>
        <w:t xml:space="preserve">2 </w:t>
      </w:r>
      <w:r w:rsidRPr="00CE331D">
        <w:rPr>
          <w:rFonts w:ascii="Book Antiqua" w:hAnsi="Book Antiqua"/>
          <w:b/>
          <w:bCs/>
          <w:lang w:val="pt-BR"/>
        </w:rPr>
        <w:t>Hunt R</w:t>
      </w:r>
      <w:r w:rsidRPr="00CE331D">
        <w:rPr>
          <w:rFonts w:ascii="Book Antiqua" w:hAnsi="Book Antiqua"/>
          <w:lang w:val="pt-BR"/>
        </w:rPr>
        <w:t xml:space="preserve">, Armstrong D, Katelaris P, Afihene M, Bane A, Bhatia S, Chen MH, Choi MG, Melo AC, Fock KM, Ford A, Hongo M, Khan A, Lazebnik L, Lindberg G, Lizarzabal M, Myint T, Moraes-Filho JP, Salis G, Lin JT, Vaidya R, Abdo A, LeMair A; Review Team:. </w:t>
      </w:r>
      <w:r w:rsidRPr="00CE331D">
        <w:rPr>
          <w:rFonts w:ascii="Book Antiqua" w:hAnsi="Book Antiqua"/>
        </w:rPr>
        <w:t xml:space="preserve">World Gastroenterology Organisation Global Guidelines: GERD Global Perspective on Gastroesophageal Reflux Disease. </w:t>
      </w:r>
      <w:r w:rsidRPr="00CE331D">
        <w:rPr>
          <w:rFonts w:ascii="Book Antiqua" w:hAnsi="Book Antiqua"/>
          <w:i/>
          <w:iCs/>
        </w:rPr>
        <w:t>J Clin Gastroenterol</w:t>
      </w:r>
      <w:r w:rsidRPr="00CE331D">
        <w:rPr>
          <w:rFonts w:ascii="Book Antiqua" w:hAnsi="Book Antiqua"/>
        </w:rPr>
        <w:t xml:space="preserve"> 2017; </w:t>
      </w:r>
      <w:r w:rsidRPr="00CE331D">
        <w:rPr>
          <w:rFonts w:ascii="Book Antiqua" w:hAnsi="Book Antiqua"/>
          <w:b/>
          <w:bCs/>
        </w:rPr>
        <w:t>51</w:t>
      </w:r>
      <w:r w:rsidRPr="00CE331D">
        <w:rPr>
          <w:rFonts w:ascii="Book Antiqua" w:hAnsi="Book Antiqua"/>
        </w:rPr>
        <w:t>: 467-478 [PMID: 28591069 DOI: 10.1097/MCG.0000000000000854]</w:t>
      </w:r>
    </w:p>
    <w:p w14:paraId="313F1D83"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3 </w:t>
      </w:r>
      <w:r w:rsidRPr="00CE331D">
        <w:rPr>
          <w:rFonts w:ascii="Book Antiqua" w:hAnsi="Book Antiqua"/>
          <w:b/>
          <w:bCs/>
        </w:rPr>
        <w:t>Kinoshita Y</w:t>
      </w:r>
      <w:r w:rsidRPr="00CE331D">
        <w:rPr>
          <w:rFonts w:ascii="Book Antiqua" w:hAnsi="Book Antiqua"/>
        </w:rPr>
        <w:t xml:space="preserve">, Ashida K, Hongo M; Japan Rabeprazole Study Group for NERD. Randomised clinical trial: a multicentre, double-blind, placebo-controlled study on the efficacy and safety of rabeprazole 5 mg or 10 mg once daily in patients with non-erosive reflux disease. </w:t>
      </w:r>
      <w:r w:rsidRPr="00CE331D">
        <w:rPr>
          <w:rFonts w:ascii="Book Antiqua" w:hAnsi="Book Antiqua"/>
          <w:i/>
          <w:iCs/>
        </w:rPr>
        <w:t>Aliment Pharmacol Ther</w:t>
      </w:r>
      <w:r w:rsidRPr="00CE331D">
        <w:rPr>
          <w:rFonts w:ascii="Book Antiqua" w:hAnsi="Book Antiqua"/>
        </w:rPr>
        <w:t xml:space="preserve"> 2011; </w:t>
      </w:r>
      <w:r w:rsidRPr="00CE331D">
        <w:rPr>
          <w:rFonts w:ascii="Book Antiqua" w:hAnsi="Book Antiqua"/>
          <w:b/>
          <w:bCs/>
        </w:rPr>
        <w:t>33</w:t>
      </w:r>
      <w:r w:rsidRPr="00CE331D">
        <w:rPr>
          <w:rFonts w:ascii="Book Antiqua" w:hAnsi="Book Antiqua"/>
        </w:rPr>
        <w:t>: 213-224 [PMID: 21083596 DOI: 10.1111/j.1365-2036.2010.04508.x]</w:t>
      </w:r>
    </w:p>
    <w:p w14:paraId="5D5BF64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4 </w:t>
      </w:r>
      <w:r w:rsidRPr="00CE331D">
        <w:rPr>
          <w:rFonts w:ascii="Book Antiqua" w:hAnsi="Book Antiqua"/>
          <w:b/>
          <w:bCs/>
        </w:rPr>
        <w:t>Labenz J</w:t>
      </w:r>
      <w:r w:rsidRPr="00CE331D">
        <w:rPr>
          <w:rFonts w:ascii="Book Antiqua" w:hAnsi="Book Antiqua"/>
        </w:rPr>
        <w:t xml:space="preserve">, Labenz G, Stephan D, Willeke F; LOPA-Studiengruppe. [Insufficient symptom control under long-term treatment with PPI in GERD - fact or fiction?]. </w:t>
      </w:r>
      <w:r w:rsidRPr="00CE331D">
        <w:rPr>
          <w:rFonts w:ascii="Book Antiqua" w:hAnsi="Book Antiqua"/>
          <w:i/>
          <w:iCs/>
        </w:rPr>
        <w:t>MMW Fortschr Med</w:t>
      </w:r>
      <w:r w:rsidRPr="00CE331D">
        <w:rPr>
          <w:rFonts w:ascii="Book Antiqua" w:hAnsi="Book Antiqua"/>
        </w:rPr>
        <w:t xml:space="preserve"> 2016; </w:t>
      </w:r>
      <w:r w:rsidRPr="00CE331D">
        <w:rPr>
          <w:rFonts w:ascii="Book Antiqua" w:hAnsi="Book Antiqua"/>
          <w:b/>
          <w:bCs/>
        </w:rPr>
        <w:t>158 Suppl 4</w:t>
      </w:r>
      <w:r w:rsidRPr="00CE331D">
        <w:rPr>
          <w:rFonts w:ascii="Book Antiqua" w:hAnsi="Book Antiqua"/>
        </w:rPr>
        <w:t>: 7-11 [PMID: 27221555 DOI: 10.1007/s15006-016-8303-0]</w:t>
      </w:r>
    </w:p>
    <w:p w14:paraId="2C037A1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5 </w:t>
      </w:r>
      <w:r w:rsidRPr="00CE331D">
        <w:rPr>
          <w:rFonts w:ascii="Book Antiqua" w:hAnsi="Book Antiqua"/>
          <w:b/>
          <w:bCs/>
        </w:rPr>
        <w:t>Jovov B</w:t>
      </w:r>
      <w:r w:rsidRPr="00CE331D">
        <w:rPr>
          <w:rFonts w:ascii="Book Antiqua" w:hAnsi="Book Antiqua"/>
        </w:rPr>
        <w:t xml:space="preserve">, Que J, Tobey NA, Djukic Z, Hogan BL, Orlando RC. Role of E-cadherin in the pathogenesis of gastroesophageal reflux disease. </w:t>
      </w:r>
      <w:r w:rsidRPr="00CE331D">
        <w:rPr>
          <w:rFonts w:ascii="Book Antiqua" w:hAnsi="Book Antiqua"/>
          <w:i/>
          <w:iCs/>
        </w:rPr>
        <w:t>Am J Gastroenterol</w:t>
      </w:r>
      <w:r w:rsidRPr="00CE331D">
        <w:rPr>
          <w:rFonts w:ascii="Book Antiqua" w:hAnsi="Book Antiqua"/>
        </w:rPr>
        <w:t xml:space="preserve"> 2011; </w:t>
      </w:r>
      <w:r w:rsidRPr="00CE331D">
        <w:rPr>
          <w:rFonts w:ascii="Book Antiqua" w:hAnsi="Book Antiqua"/>
          <w:b/>
          <w:bCs/>
        </w:rPr>
        <w:t>106</w:t>
      </w:r>
      <w:r w:rsidRPr="00CE331D">
        <w:rPr>
          <w:rFonts w:ascii="Book Antiqua" w:hAnsi="Book Antiqua"/>
        </w:rPr>
        <w:t>: 1039-1047 [PMID: 21448147 DOI: 10.1038/ajg.2011.102]</w:t>
      </w:r>
    </w:p>
    <w:p w14:paraId="1C6F0FE8"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6 </w:t>
      </w:r>
      <w:r w:rsidRPr="00CE331D">
        <w:rPr>
          <w:rFonts w:ascii="Book Antiqua" w:hAnsi="Book Antiqua"/>
          <w:b/>
          <w:bCs/>
        </w:rPr>
        <w:t>Imhann F</w:t>
      </w:r>
      <w:r w:rsidRPr="00CE331D">
        <w:rPr>
          <w:rFonts w:ascii="Book Antiqua" w:hAnsi="Book Antiqua"/>
        </w:rPr>
        <w:t xml:space="preserve">, Bonder MJ, Vich Vila A, Fu J, Mujagic Z, Vork L, Tigchelaar EF, Jankipersadsing SA, Cenit MC, Harmsen HJ, Dijkstra G, Franke L, Xavier RJ, Jonkers D, Wijmenga C, Weersma RK, Zhernakova A. Proton pump inhibitors affect the gut microbiome. </w:t>
      </w:r>
      <w:r w:rsidRPr="00CE331D">
        <w:rPr>
          <w:rFonts w:ascii="Book Antiqua" w:hAnsi="Book Antiqua"/>
          <w:i/>
          <w:iCs/>
        </w:rPr>
        <w:t>Gut</w:t>
      </w:r>
      <w:r w:rsidRPr="00CE331D">
        <w:rPr>
          <w:rFonts w:ascii="Book Antiqua" w:hAnsi="Book Antiqua"/>
        </w:rPr>
        <w:t xml:space="preserve"> 2016; </w:t>
      </w:r>
      <w:r w:rsidRPr="00CE331D">
        <w:rPr>
          <w:rFonts w:ascii="Book Antiqua" w:hAnsi="Book Antiqua"/>
          <w:b/>
          <w:bCs/>
        </w:rPr>
        <w:t>65</w:t>
      </w:r>
      <w:r w:rsidRPr="00CE331D">
        <w:rPr>
          <w:rFonts w:ascii="Book Antiqua" w:hAnsi="Book Antiqua"/>
        </w:rPr>
        <w:t>: 740-748 [PMID: 26657899 DOI: 10.1136/gutjnl-2015-310376]</w:t>
      </w:r>
    </w:p>
    <w:p w14:paraId="6BC20B6C"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7 </w:t>
      </w:r>
      <w:r w:rsidRPr="00CE331D">
        <w:rPr>
          <w:rFonts w:ascii="Book Antiqua" w:hAnsi="Book Antiqua"/>
          <w:b/>
          <w:bCs/>
        </w:rPr>
        <w:t>Khan Z</w:t>
      </w:r>
      <w:r w:rsidRPr="00CE331D">
        <w:rPr>
          <w:rFonts w:ascii="Book Antiqua" w:hAnsi="Book Antiqua"/>
        </w:rPr>
        <w:t xml:space="preserve">, Alastal Y, Khan MA, Khan MS, Khalil B, Shrestha S, Kamal F, Nawras A, Howden CW. On-Demand Therapy with Proton Pump Inhibitors for Maintenance Treatment of Nonerosive Reflux Disease or Mild Erosive Esophagitis: A Systematic Review and Meta-Analysis. </w:t>
      </w:r>
      <w:r w:rsidRPr="00CE331D">
        <w:rPr>
          <w:rFonts w:ascii="Book Antiqua" w:hAnsi="Book Antiqua"/>
          <w:i/>
          <w:iCs/>
        </w:rPr>
        <w:t>Gastroenterol Res Pract</w:t>
      </w:r>
      <w:r w:rsidRPr="00CE331D">
        <w:rPr>
          <w:rFonts w:ascii="Book Antiqua" w:hAnsi="Book Antiqua"/>
        </w:rPr>
        <w:t xml:space="preserve"> 2018; </w:t>
      </w:r>
      <w:r w:rsidRPr="00CE331D">
        <w:rPr>
          <w:rFonts w:ascii="Book Antiqua" w:hAnsi="Book Antiqua"/>
          <w:b/>
          <w:bCs/>
        </w:rPr>
        <w:t>2018</w:t>
      </w:r>
      <w:r w:rsidRPr="00CE331D">
        <w:rPr>
          <w:rFonts w:ascii="Book Antiqua" w:hAnsi="Book Antiqua"/>
        </w:rPr>
        <w:t>: 6417526 [PMID: 30158966 DOI: 10.1155/2018/6417526]</w:t>
      </w:r>
    </w:p>
    <w:p w14:paraId="0E3D2DC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8 </w:t>
      </w:r>
      <w:r w:rsidRPr="00CE331D">
        <w:rPr>
          <w:rFonts w:ascii="Book Antiqua" w:hAnsi="Book Antiqua"/>
          <w:b/>
          <w:bCs/>
        </w:rPr>
        <w:t>Yadlapati R</w:t>
      </w:r>
      <w:r w:rsidRPr="00CE331D">
        <w:rPr>
          <w:rFonts w:ascii="Book Antiqua" w:hAnsi="Book Antiqua"/>
        </w:rPr>
        <w:t xml:space="preserve">, DeLay K. Proton Pump Inhibitor-Refractory Gastroesophageal Reflux Disease. </w:t>
      </w:r>
      <w:r w:rsidRPr="00CE331D">
        <w:rPr>
          <w:rFonts w:ascii="Book Antiqua" w:hAnsi="Book Antiqua"/>
          <w:i/>
          <w:iCs/>
        </w:rPr>
        <w:t>Med Clin North Am</w:t>
      </w:r>
      <w:r w:rsidRPr="00CE331D">
        <w:rPr>
          <w:rFonts w:ascii="Book Antiqua" w:hAnsi="Book Antiqua"/>
        </w:rPr>
        <w:t xml:space="preserve"> 2019; </w:t>
      </w:r>
      <w:r w:rsidRPr="00CE331D">
        <w:rPr>
          <w:rFonts w:ascii="Book Antiqua" w:hAnsi="Book Antiqua"/>
          <w:b/>
          <w:bCs/>
        </w:rPr>
        <w:t>103</w:t>
      </w:r>
      <w:r w:rsidRPr="00CE331D">
        <w:rPr>
          <w:rFonts w:ascii="Book Antiqua" w:hAnsi="Book Antiqua"/>
        </w:rPr>
        <w:t>: 15-27 [PMID: 30466671 DOI: 10.1016/j.mcna.2018.08.002]</w:t>
      </w:r>
    </w:p>
    <w:p w14:paraId="5C1171AC"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9 </w:t>
      </w:r>
      <w:r w:rsidRPr="00CE331D">
        <w:rPr>
          <w:rFonts w:ascii="Book Antiqua" w:hAnsi="Book Antiqua"/>
          <w:b/>
          <w:bCs/>
        </w:rPr>
        <w:t>Jackson MA</w:t>
      </w:r>
      <w:r w:rsidRPr="00CE331D">
        <w:rPr>
          <w:rFonts w:ascii="Book Antiqua" w:hAnsi="Book Antiqua"/>
        </w:rPr>
        <w:t xml:space="preserve">, Goodrich JK, Maxan ME, Freedberg DE, Abrams JA, Poole AC, Sutter JL, Welter D, Ley RE, Bell JT, Spector TD, Steves CJ. Proton pump inhibitors alter the composition of the gut microbiota. </w:t>
      </w:r>
      <w:r w:rsidRPr="00CE331D">
        <w:rPr>
          <w:rFonts w:ascii="Book Antiqua" w:hAnsi="Book Antiqua"/>
          <w:i/>
          <w:iCs/>
        </w:rPr>
        <w:t>Gut</w:t>
      </w:r>
      <w:r w:rsidRPr="00CE331D">
        <w:rPr>
          <w:rFonts w:ascii="Book Antiqua" w:hAnsi="Book Antiqua"/>
        </w:rPr>
        <w:t xml:space="preserve"> 2016; </w:t>
      </w:r>
      <w:r w:rsidRPr="00CE331D">
        <w:rPr>
          <w:rFonts w:ascii="Book Antiqua" w:hAnsi="Book Antiqua"/>
          <w:b/>
          <w:bCs/>
        </w:rPr>
        <w:t>65</w:t>
      </w:r>
      <w:r w:rsidRPr="00CE331D">
        <w:rPr>
          <w:rFonts w:ascii="Book Antiqua" w:hAnsi="Book Antiqua"/>
        </w:rPr>
        <w:t>: 749-756 [PMID: 26719299 DOI: 10.1136/gutjnl-2015-310861]</w:t>
      </w:r>
    </w:p>
    <w:p w14:paraId="2442B98A"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10 </w:t>
      </w:r>
      <w:r w:rsidRPr="00CE331D">
        <w:rPr>
          <w:rFonts w:ascii="Book Antiqua" w:hAnsi="Book Antiqua"/>
          <w:b/>
          <w:bCs/>
        </w:rPr>
        <w:t>Freedberg DE</w:t>
      </w:r>
      <w:r w:rsidRPr="00CE331D">
        <w:rPr>
          <w:rFonts w:ascii="Book Antiqua" w:hAnsi="Book Antiqua"/>
        </w:rPr>
        <w:t xml:space="preserve">, Kim LS, Yang YX. The Risks and Benefits of Long-term Use of Proton Pump Inhibitors: Expert Review and Best Practice Advice From the American Gastroenterological Association. </w:t>
      </w:r>
      <w:r w:rsidRPr="00CE331D">
        <w:rPr>
          <w:rFonts w:ascii="Book Antiqua" w:hAnsi="Book Antiqua"/>
          <w:i/>
          <w:iCs/>
        </w:rPr>
        <w:t>Gastroenterology</w:t>
      </w:r>
      <w:r w:rsidRPr="00CE331D">
        <w:rPr>
          <w:rFonts w:ascii="Book Antiqua" w:hAnsi="Book Antiqua"/>
        </w:rPr>
        <w:t xml:space="preserve"> 2017; </w:t>
      </w:r>
      <w:r w:rsidRPr="00CE331D">
        <w:rPr>
          <w:rFonts w:ascii="Book Antiqua" w:hAnsi="Book Antiqua"/>
          <w:b/>
          <w:bCs/>
        </w:rPr>
        <w:t>152</w:t>
      </w:r>
      <w:r w:rsidRPr="00CE331D">
        <w:rPr>
          <w:rFonts w:ascii="Book Antiqua" w:hAnsi="Book Antiqua"/>
        </w:rPr>
        <w:t>: 706-715 [PMID: 28257716 DOI: 10.1053/j.gastro.2017.01.031]</w:t>
      </w:r>
    </w:p>
    <w:p w14:paraId="2ED4A5BF"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11 </w:t>
      </w:r>
      <w:r w:rsidRPr="00CE331D">
        <w:rPr>
          <w:rFonts w:ascii="Book Antiqua" w:hAnsi="Book Antiqua"/>
          <w:b/>
          <w:bCs/>
        </w:rPr>
        <w:t>Naito Y</w:t>
      </w:r>
      <w:r w:rsidRPr="00CE331D">
        <w:rPr>
          <w:rFonts w:ascii="Book Antiqua" w:hAnsi="Book Antiqua"/>
        </w:rPr>
        <w:t xml:space="preserve">, Kashiwagi K, Takagi T, Andoh A, Inoue R. Intestinal Dysbiosis Secondary to Proton-Pump Inhibitor Use. </w:t>
      </w:r>
      <w:r w:rsidRPr="00CE331D">
        <w:rPr>
          <w:rFonts w:ascii="Book Antiqua" w:hAnsi="Book Antiqua"/>
          <w:i/>
          <w:iCs/>
        </w:rPr>
        <w:t>Digestion</w:t>
      </w:r>
      <w:r w:rsidRPr="00CE331D">
        <w:rPr>
          <w:rFonts w:ascii="Book Antiqua" w:hAnsi="Book Antiqua"/>
        </w:rPr>
        <w:t xml:space="preserve"> 2018; </w:t>
      </w:r>
      <w:r w:rsidRPr="00CE331D">
        <w:rPr>
          <w:rFonts w:ascii="Book Antiqua" w:hAnsi="Book Antiqua"/>
          <w:b/>
          <w:bCs/>
        </w:rPr>
        <w:t>97</w:t>
      </w:r>
      <w:r w:rsidRPr="00CE331D">
        <w:rPr>
          <w:rFonts w:ascii="Book Antiqua" w:hAnsi="Book Antiqua"/>
        </w:rPr>
        <w:t>: 195-204 [PMID: 29316555 DOI: 10.1159/000481813]</w:t>
      </w:r>
    </w:p>
    <w:p w14:paraId="2EE75639"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12 </w:t>
      </w:r>
      <w:r w:rsidRPr="00CE331D">
        <w:rPr>
          <w:rFonts w:ascii="Book Antiqua" w:hAnsi="Book Antiqua"/>
          <w:b/>
          <w:bCs/>
        </w:rPr>
        <w:t>Tugtepe H</w:t>
      </w:r>
      <w:r w:rsidRPr="00CE331D">
        <w:rPr>
          <w:rFonts w:ascii="Book Antiqua" w:hAnsi="Book Antiqua"/>
        </w:rPr>
        <w:t xml:space="preserve">, Tugay M, Bozkurt S, Yildiz F, Utkan T, Yegen BC, Dagli TE. Esophageal smooth muscle reactivity is impaired in chronic reflux esophagitis by both receptor- and nonreceptor-mediated mechanisms. </w:t>
      </w:r>
      <w:r w:rsidRPr="00CE331D">
        <w:rPr>
          <w:rFonts w:ascii="Book Antiqua" w:hAnsi="Book Antiqua"/>
          <w:i/>
          <w:iCs/>
        </w:rPr>
        <w:t>J Pediatr Surg</w:t>
      </w:r>
      <w:r w:rsidRPr="00CE331D">
        <w:rPr>
          <w:rFonts w:ascii="Book Antiqua" w:hAnsi="Book Antiqua"/>
        </w:rPr>
        <w:t xml:space="preserve"> 2007; </w:t>
      </w:r>
      <w:r w:rsidRPr="00CE331D">
        <w:rPr>
          <w:rFonts w:ascii="Book Antiqua" w:hAnsi="Book Antiqua"/>
          <w:b/>
          <w:bCs/>
        </w:rPr>
        <w:t>42</w:t>
      </w:r>
      <w:r w:rsidRPr="00CE331D">
        <w:rPr>
          <w:rFonts w:ascii="Book Antiqua" w:hAnsi="Book Antiqua"/>
        </w:rPr>
        <w:t>: 641-646 [PMID: 17448759 DOI: 10.1016/j.jpedsurg.2006.12.048]</w:t>
      </w:r>
    </w:p>
    <w:p w14:paraId="7BE38745"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13 </w:t>
      </w:r>
      <w:r w:rsidRPr="00CE331D">
        <w:rPr>
          <w:rFonts w:ascii="Book Antiqua" w:hAnsi="Book Antiqua"/>
          <w:b/>
          <w:bCs/>
        </w:rPr>
        <w:t>Suri J</w:t>
      </w:r>
      <w:r w:rsidRPr="00CE331D">
        <w:rPr>
          <w:rFonts w:ascii="Book Antiqua" w:hAnsi="Book Antiqua"/>
        </w:rPr>
        <w:t xml:space="preserve">, Kataria R, Malik Z, Parkman HP, Schey R. Elevated methane levels in small intestinal bacterial overgrowth suggests delayed small bowel and colonic transit. </w:t>
      </w:r>
      <w:r w:rsidRPr="00CE331D">
        <w:rPr>
          <w:rFonts w:ascii="Book Antiqua" w:hAnsi="Book Antiqua"/>
          <w:i/>
          <w:iCs/>
        </w:rPr>
        <w:t>Medicine (Baltimore)</w:t>
      </w:r>
      <w:r w:rsidRPr="00CE331D">
        <w:rPr>
          <w:rFonts w:ascii="Book Antiqua" w:hAnsi="Book Antiqua"/>
        </w:rPr>
        <w:t xml:space="preserve"> 2018; </w:t>
      </w:r>
      <w:r w:rsidRPr="00CE331D">
        <w:rPr>
          <w:rFonts w:ascii="Book Antiqua" w:hAnsi="Book Antiqua"/>
          <w:b/>
          <w:bCs/>
        </w:rPr>
        <w:t>97</w:t>
      </w:r>
      <w:r w:rsidRPr="00CE331D">
        <w:rPr>
          <w:rFonts w:ascii="Book Antiqua" w:hAnsi="Book Antiqua"/>
        </w:rPr>
        <w:t>: e10554 [PMID: 29794732 DOI: 10.1097/MD.0000000000010554]</w:t>
      </w:r>
    </w:p>
    <w:p w14:paraId="62C9559B"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14 </w:t>
      </w:r>
      <w:r w:rsidRPr="00CE331D">
        <w:rPr>
          <w:rFonts w:ascii="Book Antiqua" w:hAnsi="Book Antiqua"/>
          <w:b/>
          <w:bCs/>
        </w:rPr>
        <w:t>Pimentel M</w:t>
      </w:r>
      <w:r w:rsidRPr="00CE331D">
        <w:rPr>
          <w:rFonts w:ascii="Book Antiqua" w:hAnsi="Book Antiqua"/>
        </w:rPr>
        <w:t xml:space="preserve">, Lin HC, Enayati P, van den Burg B, Lee HR, Chen JH, Park S, Kong Y, Conklin J. Methane, a gas produced by enteric bacteria, slows intestinal transit and augments small intestinal contractile activity. </w:t>
      </w:r>
      <w:r w:rsidRPr="00CE331D">
        <w:rPr>
          <w:rFonts w:ascii="Book Antiqua" w:hAnsi="Book Antiqua"/>
          <w:i/>
          <w:iCs/>
        </w:rPr>
        <w:t>Am J Physiol Gastrointest Liver Physiol</w:t>
      </w:r>
      <w:r w:rsidRPr="00CE331D">
        <w:rPr>
          <w:rFonts w:ascii="Book Antiqua" w:hAnsi="Book Antiqua"/>
        </w:rPr>
        <w:t xml:space="preserve"> 2006; </w:t>
      </w:r>
      <w:r w:rsidRPr="00CE331D">
        <w:rPr>
          <w:rFonts w:ascii="Book Antiqua" w:hAnsi="Book Antiqua"/>
          <w:b/>
          <w:bCs/>
        </w:rPr>
        <w:t>290</w:t>
      </w:r>
      <w:r w:rsidRPr="00CE331D">
        <w:rPr>
          <w:rFonts w:ascii="Book Antiqua" w:hAnsi="Book Antiqua"/>
        </w:rPr>
        <w:t>: G1089-G1095 [PMID: 16293652 DOI: 10.1152/ajpgi.00574.2004]</w:t>
      </w:r>
    </w:p>
    <w:p w14:paraId="60E5F8BE"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15 </w:t>
      </w:r>
      <w:r w:rsidRPr="00CE331D">
        <w:rPr>
          <w:rFonts w:ascii="Book Antiqua" w:hAnsi="Book Antiqua"/>
          <w:b/>
          <w:bCs/>
        </w:rPr>
        <w:t>Mullish BH</w:t>
      </w:r>
      <w:r w:rsidRPr="00CE331D">
        <w:rPr>
          <w:rFonts w:ascii="Book Antiqua" w:hAnsi="Book Antiqua"/>
        </w:rPr>
        <w:t xml:space="preserve">, Quraishi MN, Segal JP, McCune VL, Baxter M, Marsden GL, Moore D, Colville A, Bhala N, Iqbal TH, Settle C, Kontkowski G, Hart AL, Hawkey PM, Williams HR, Goldenberg SD. The use of faecal microbiota transplant as treatment for recurrent or refractory Clostridium difficile infection and other potential indications: joint British Society of Gastroenterology (BSG) and Healthcare Infection Society (HIS) guidelines. </w:t>
      </w:r>
      <w:r w:rsidRPr="00CE331D">
        <w:rPr>
          <w:rFonts w:ascii="Book Antiqua" w:hAnsi="Book Antiqua"/>
          <w:i/>
          <w:iCs/>
        </w:rPr>
        <w:t>J Hosp Infect</w:t>
      </w:r>
      <w:r w:rsidRPr="00CE331D">
        <w:rPr>
          <w:rFonts w:ascii="Book Antiqua" w:hAnsi="Book Antiqua"/>
        </w:rPr>
        <w:t xml:space="preserve"> 2018; </w:t>
      </w:r>
      <w:r w:rsidRPr="00CE331D">
        <w:rPr>
          <w:rFonts w:ascii="Book Antiqua" w:hAnsi="Book Antiqua"/>
          <w:b/>
          <w:bCs/>
        </w:rPr>
        <w:t>100 Suppl 1</w:t>
      </w:r>
      <w:r w:rsidRPr="00CE331D">
        <w:rPr>
          <w:rFonts w:ascii="Book Antiqua" w:hAnsi="Book Antiqua"/>
        </w:rPr>
        <w:t>: S1-S31 [PMID: 30173851 DOI: 10.1016/j.jhin.2018.07.037]</w:t>
      </w:r>
    </w:p>
    <w:p w14:paraId="71847E44"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16 </w:t>
      </w:r>
      <w:r w:rsidRPr="00CE331D">
        <w:rPr>
          <w:rFonts w:ascii="Book Antiqua" w:hAnsi="Book Antiqua"/>
          <w:b/>
          <w:bCs/>
        </w:rPr>
        <w:t>Wen W</w:t>
      </w:r>
      <w:r w:rsidRPr="00CE331D">
        <w:rPr>
          <w:rFonts w:ascii="Book Antiqua" w:hAnsi="Book Antiqua"/>
        </w:rPr>
        <w:t xml:space="preserve">, Zhang H, Shen J, Wei L, Shen S. Fecal microbiota transplantation for patients with irritable bowel syndrome: A meta-analysis protocol. </w:t>
      </w:r>
      <w:r w:rsidRPr="00CE331D">
        <w:rPr>
          <w:rFonts w:ascii="Book Antiqua" w:hAnsi="Book Antiqua"/>
          <w:i/>
          <w:iCs/>
        </w:rPr>
        <w:t>Medicine (Baltimore)</w:t>
      </w:r>
      <w:r w:rsidRPr="00CE331D">
        <w:rPr>
          <w:rFonts w:ascii="Book Antiqua" w:hAnsi="Book Antiqua"/>
        </w:rPr>
        <w:t xml:space="preserve"> 2018; </w:t>
      </w:r>
      <w:r w:rsidRPr="00CE331D">
        <w:rPr>
          <w:rFonts w:ascii="Book Antiqua" w:hAnsi="Book Antiqua"/>
          <w:b/>
          <w:bCs/>
        </w:rPr>
        <w:t>97</w:t>
      </w:r>
      <w:r w:rsidRPr="00CE331D">
        <w:rPr>
          <w:rFonts w:ascii="Book Antiqua" w:hAnsi="Book Antiqua"/>
        </w:rPr>
        <w:t>: e12661 [PMID: 30290648 DOI: 10.1097/MD.0000000000012661]</w:t>
      </w:r>
    </w:p>
    <w:p w14:paraId="02ECF077"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17 </w:t>
      </w:r>
      <w:r w:rsidRPr="00CE331D">
        <w:rPr>
          <w:rFonts w:ascii="Book Antiqua" w:hAnsi="Book Antiqua"/>
          <w:b/>
          <w:bCs/>
        </w:rPr>
        <w:t>Ianiro G</w:t>
      </w:r>
      <w:r w:rsidRPr="00CE331D">
        <w:rPr>
          <w:rFonts w:ascii="Book Antiqua" w:hAnsi="Book Antiqua"/>
        </w:rPr>
        <w:t xml:space="preserve">, Bibbò S, Scaldaferri F, Gasbarrini A, Cammarota G. Fecal microbiota transplantation in inflammatory bowel disease: beyond the excitement. </w:t>
      </w:r>
      <w:r w:rsidRPr="00CE331D">
        <w:rPr>
          <w:rFonts w:ascii="Book Antiqua" w:hAnsi="Book Antiqua"/>
          <w:i/>
          <w:iCs/>
        </w:rPr>
        <w:t>Medicine (Baltimore)</w:t>
      </w:r>
      <w:r w:rsidRPr="00CE331D">
        <w:rPr>
          <w:rFonts w:ascii="Book Antiqua" w:hAnsi="Book Antiqua"/>
        </w:rPr>
        <w:t xml:space="preserve"> 2014; </w:t>
      </w:r>
      <w:r w:rsidRPr="00CE331D">
        <w:rPr>
          <w:rFonts w:ascii="Book Antiqua" w:hAnsi="Book Antiqua"/>
          <w:b/>
          <w:bCs/>
        </w:rPr>
        <w:t>93</w:t>
      </w:r>
      <w:r w:rsidRPr="00CE331D">
        <w:rPr>
          <w:rFonts w:ascii="Book Antiqua" w:hAnsi="Book Antiqua"/>
        </w:rPr>
        <w:t>: e97 [PMID: 25340496 DOI: 10.1097/MD.0000000000000097]</w:t>
      </w:r>
    </w:p>
    <w:p w14:paraId="56D1BF26"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18 </w:t>
      </w:r>
      <w:r w:rsidRPr="00CE331D">
        <w:rPr>
          <w:rFonts w:ascii="Book Antiqua" w:hAnsi="Book Antiqua"/>
          <w:b/>
          <w:bCs/>
        </w:rPr>
        <w:t>Ding C</w:t>
      </w:r>
      <w:r w:rsidRPr="00CE331D">
        <w:rPr>
          <w:rFonts w:ascii="Book Antiqua" w:hAnsi="Book Antiqua"/>
        </w:rPr>
        <w:t xml:space="preserve">, Fan W, Gu L, Tian H, Ge X, Gong J, Nie Y, Li N. Outcomes and prognostic factors of fecal microbiota transplantation in patients with slow transit constipation: results from a prospective study with long-term follow-up. </w:t>
      </w:r>
      <w:r w:rsidRPr="00CE331D">
        <w:rPr>
          <w:rFonts w:ascii="Book Antiqua" w:hAnsi="Book Antiqua"/>
          <w:i/>
          <w:iCs/>
        </w:rPr>
        <w:t>Gastroenterol Rep (Oxf)</w:t>
      </w:r>
      <w:r w:rsidRPr="00CE331D">
        <w:rPr>
          <w:rFonts w:ascii="Book Antiqua" w:hAnsi="Book Antiqua"/>
        </w:rPr>
        <w:t xml:space="preserve"> 2018; </w:t>
      </w:r>
      <w:r w:rsidRPr="00CE331D">
        <w:rPr>
          <w:rFonts w:ascii="Book Antiqua" w:hAnsi="Book Antiqua"/>
          <w:b/>
          <w:bCs/>
        </w:rPr>
        <w:t>6</w:t>
      </w:r>
      <w:r w:rsidRPr="00CE331D">
        <w:rPr>
          <w:rFonts w:ascii="Book Antiqua" w:hAnsi="Book Antiqua"/>
        </w:rPr>
        <w:t>: 101-107 [PMID: 29780597 DOI: 10.1093/gastro/gox036]</w:t>
      </w:r>
    </w:p>
    <w:p w14:paraId="479EFE4E"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19 </w:t>
      </w:r>
      <w:r w:rsidRPr="00CE331D">
        <w:rPr>
          <w:rFonts w:ascii="Book Antiqua" w:hAnsi="Book Antiqua"/>
          <w:b/>
          <w:bCs/>
        </w:rPr>
        <w:t>Zhang F</w:t>
      </w:r>
      <w:r w:rsidRPr="00CE331D">
        <w:rPr>
          <w:rFonts w:ascii="Book Antiqua" w:hAnsi="Book Antiqua"/>
        </w:rPr>
        <w:t xml:space="preserve">, Cui B, He X, Nie Y, Wu K, Fan D; FMT-standardization Study Group. Microbiota transplantation: concept, methodology and strategy for its modernization. </w:t>
      </w:r>
      <w:r w:rsidRPr="00CE331D">
        <w:rPr>
          <w:rFonts w:ascii="Book Antiqua" w:hAnsi="Book Antiqua"/>
          <w:i/>
          <w:iCs/>
        </w:rPr>
        <w:t>Protein Cell</w:t>
      </w:r>
      <w:r w:rsidRPr="00CE331D">
        <w:rPr>
          <w:rFonts w:ascii="Book Antiqua" w:hAnsi="Book Antiqua"/>
        </w:rPr>
        <w:t xml:space="preserve"> 2018; </w:t>
      </w:r>
      <w:r w:rsidRPr="00CE331D">
        <w:rPr>
          <w:rFonts w:ascii="Book Antiqua" w:hAnsi="Book Antiqua"/>
          <w:b/>
          <w:bCs/>
        </w:rPr>
        <w:t>9</w:t>
      </w:r>
      <w:r w:rsidRPr="00CE331D">
        <w:rPr>
          <w:rFonts w:ascii="Book Antiqua" w:hAnsi="Book Antiqua"/>
        </w:rPr>
        <w:t>: 462-473 [PMID: 29691757 DOI: 10.1007/s13238-018-0541-8]</w:t>
      </w:r>
    </w:p>
    <w:p w14:paraId="398EDD96"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20 </w:t>
      </w:r>
      <w:r w:rsidRPr="00CE331D">
        <w:rPr>
          <w:rFonts w:ascii="Book Antiqua" w:hAnsi="Book Antiqua"/>
          <w:b/>
          <w:bCs/>
        </w:rPr>
        <w:t>Zhang T</w:t>
      </w:r>
      <w:r w:rsidRPr="00CE331D">
        <w:rPr>
          <w:rFonts w:ascii="Book Antiqua" w:hAnsi="Book Antiqua"/>
        </w:rPr>
        <w:t xml:space="preserve">, Lu G, Zhao Z, Liu Y, Shen Q, Li P, Chen Y, Yin H, Wang H, Marcella C, Cui B, Cheng L, Ji G, Zhang F. Washed microbiota transplantation vs. manual fecal microbiota transplantation: clinical findings, animal studies and in vitro screening. </w:t>
      </w:r>
      <w:r w:rsidRPr="00CE331D">
        <w:rPr>
          <w:rFonts w:ascii="Book Antiqua" w:hAnsi="Book Antiqua"/>
          <w:i/>
          <w:iCs/>
        </w:rPr>
        <w:t>Protein Cell</w:t>
      </w:r>
      <w:r w:rsidRPr="00CE331D">
        <w:rPr>
          <w:rFonts w:ascii="Book Antiqua" w:hAnsi="Book Antiqua"/>
        </w:rPr>
        <w:t xml:space="preserve"> 2020; </w:t>
      </w:r>
      <w:r w:rsidRPr="00CE331D">
        <w:rPr>
          <w:rFonts w:ascii="Book Antiqua" w:hAnsi="Book Antiqua"/>
          <w:b/>
          <w:bCs/>
        </w:rPr>
        <w:t>11</w:t>
      </w:r>
      <w:r w:rsidRPr="00CE331D">
        <w:rPr>
          <w:rFonts w:ascii="Book Antiqua" w:hAnsi="Book Antiqua"/>
        </w:rPr>
        <w:t>: 251-266 [PMID: 31919742 DOI: 10.1007/s13238-019-00684-8]</w:t>
      </w:r>
    </w:p>
    <w:p w14:paraId="38D7A8DF"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21 </w:t>
      </w:r>
      <w:r w:rsidRPr="00CE331D">
        <w:rPr>
          <w:rFonts w:ascii="Book Antiqua" w:hAnsi="Book Antiqua"/>
          <w:b/>
          <w:bCs/>
        </w:rPr>
        <w:t>Li HC</w:t>
      </w:r>
      <w:r w:rsidRPr="00CE331D">
        <w:rPr>
          <w:rFonts w:ascii="Book Antiqua" w:hAnsi="Book Antiqua"/>
        </w:rPr>
        <w:t xml:space="preserve">, Fan XJ, Chen YF, Tu JM, Pan LY, Chen T, Yin PH, Peng W, Feng DX. Early prediction of intestinal mucosal barrier function impairment by elevated serum procalcitonin in rats with severe acute pancreatitis. </w:t>
      </w:r>
      <w:r w:rsidRPr="00CE331D">
        <w:rPr>
          <w:rFonts w:ascii="Book Antiqua" w:hAnsi="Book Antiqua"/>
          <w:i/>
          <w:iCs/>
        </w:rPr>
        <w:t>Pancreatology</w:t>
      </w:r>
      <w:r w:rsidRPr="00CE331D">
        <w:rPr>
          <w:rFonts w:ascii="Book Antiqua" w:hAnsi="Book Antiqua"/>
        </w:rPr>
        <w:t xml:space="preserve"> 2016; </w:t>
      </w:r>
      <w:r w:rsidRPr="00CE331D">
        <w:rPr>
          <w:rFonts w:ascii="Book Antiqua" w:hAnsi="Book Antiqua"/>
          <w:b/>
          <w:bCs/>
        </w:rPr>
        <w:t>16</w:t>
      </w:r>
      <w:r w:rsidRPr="00CE331D">
        <w:rPr>
          <w:rFonts w:ascii="Book Antiqua" w:hAnsi="Book Antiqua"/>
        </w:rPr>
        <w:t>: 211-217 [PMID: 26804005 DOI: 10.1016/j.pan.2015.12.177]</w:t>
      </w:r>
    </w:p>
    <w:p w14:paraId="447643A2"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22 </w:t>
      </w:r>
      <w:r w:rsidRPr="00CE331D">
        <w:rPr>
          <w:rFonts w:ascii="Book Antiqua" w:hAnsi="Book Antiqua"/>
          <w:b/>
          <w:bCs/>
        </w:rPr>
        <w:t>Shen S</w:t>
      </w:r>
      <w:r w:rsidRPr="00CE331D">
        <w:rPr>
          <w:rFonts w:ascii="Book Antiqua" w:hAnsi="Book Antiqua"/>
        </w:rPr>
        <w:t xml:space="preserve">, Zhao J, Dai Y, Chen F, Zhang Z, Yu J, Wang K. Methamphetamine-induced alterations in intestinal mucosal barrier function occur via the microRNA-181c/ TNF-α/tight junction axis. </w:t>
      </w:r>
      <w:r w:rsidRPr="00CE331D">
        <w:rPr>
          <w:rFonts w:ascii="Book Antiqua" w:hAnsi="Book Antiqua"/>
          <w:i/>
          <w:iCs/>
        </w:rPr>
        <w:t>Toxicol Lett</w:t>
      </w:r>
      <w:r w:rsidRPr="00CE331D">
        <w:rPr>
          <w:rFonts w:ascii="Book Antiqua" w:hAnsi="Book Antiqua"/>
        </w:rPr>
        <w:t xml:space="preserve"> 2020; </w:t>
      </w:r>
      <w:r w:rsidRPr="00CE331D">
        <w:rPr>
          <w:rFonts w:ascii="Book Antiqua" w:hAnsi="Book Antiqua"/>
          <w:b/>
          <w:bCs/>
        </w:rPr>
        <w:t>321</w:t>
      </w:r>
      <w:r w:rsidRPr="00CE331D">
        <w:rPr>
          <w:rFonts w:ascii="Book Antiqua" w:hAnsi="Book Antiqua"/>
        </w:rPr>
        <w:t>: 73-82 [PMID: 31862507 DOI: 10.1016/j.toxlet.2019.12.020]</w:t>
      </w:r>
    </w:p>
    <w:p w14:paraId="080D88C7" w14:textId="5AE25F12" w:rsidR="00B73C14" w:rsidRPr="00CE331D" w:rsidRDefault="00B73C14" w:rsidP="00CE331D">
      <w:pPr>
        <w:spacing w:line="360" w:lineRule="auto"/>
        <w:jc w:val="both"/>
        <w:rPr>
          <w:rFonts w:ascii="Book Antiqua" w:hAnsi="Book Antiqua"/>
        </w:rPr>
      </w:pPr>
      <w:r w:rsidRPr="00CE331D">
        <w:rPr>
          <w:rFonts w:ascii="Book Antiqua" w:hAnsi="Book Antiqua"/>
        </w:rPr>
        <w:t xml:space="preserve">23 </w:t>
      </w:r>
      <w:r w:rsidR="001A4947" w:rsidRPr="00CE331D">
        <w:rPr>
          <w:rFonts w:ascii="Book Antiqua" w:hAnsi="Book Antiqua"/>
          <w:b/>
          <w:bCs/>
        </w:rPr>
        <w:t>Savarino E,</w:t>
      </w:r>
      <w:r w:rsidR="001A4947" w:rsidRPr="00CE331D">
        <w:rPr>
          <w:rFonts w:ascii="Book Antiqua" w:hAnsi="Book Antiqua"/>
        </w:rPr>
        <w:t xml:space="preserve"> Marabotto E, Bodini G, Pellegatta G, Coppo C, Giambruno E, Brunacci M, Zentilin P, Savarino V. Epidemiology and natural history of gastroesophageal reflux disease. </w:t>
      </w:r>
      <w:r w:rsidR="001A4947" w:rsidRPr="00CE331D">
        <w:rPr>
          <w:rFonts w:ascii="Book Antiqua" w:hAnsi="Book Antiqua"/>
          <w:i/>
          <w:iCs/>
        </w:rPr>
        <w:t>Minerva Gastroenterol Dietol</w:t>
      </w:r>
      <w:r w:rsidR="001A4947" w:rsidRPr="00CE331D">
        <w:rPr>
          <w:rFonts w:ascii="Book Antiqua" w:hAnsi="Book Antiqua"/>
        </w:rPr>
        <w:t xml:space="preserve"> 2017; </w:t>
      </w:r>
      <w:r w:rsidR="001A4947" w:rsidRPr="00CE331D">
        <w:rPr>
          <w:rFonts w:ascii="Book Antiqua" w:hAnsi="Book Antiqua"/>
          <w:b/>
          <w:bCs/>
        </w:rPr>
        <w:t>63:</w:t>
      </w:r>
      <w:r w:rsidR="001A4947" w:rsidRPr="00CE331D">
        <w:rPr>
          <w:rFonts w:ascii="Book Antiqua" w:hAnsi="Book Antiqua"/>
        </w:rPr>
        <w:t xml:space="preserve"> 175-183 [PMID: 28215067 DOI: 10.23736/S1121-421X.17.02383-2]</w:t>
      </w:r>
    </w:p>
    <w:p w14:paraId="0A44F57D" w14:textId="50CDE823" w:rsidR="00B73C14" w:rsidRPr="00CE331D" w:rsidRDefault="00B73C14" w:rsidP="00CE331D">
      <w:pPr>
        <w:spacing w:line="360" w:lineRule="auto"/>
        <w:jc w:val="both"/>
        <w:rPr>
          <w:rFonts w:ascii="Book Antiqua" w:hAnsi="Book Antiqua"/>
        </w:rPr>
      </w:pPr>
      <w:r w:rsidRPr="00CE331D">
        <w:rPr>
          <w:rFonts w:ascii="Book Antiqua" w:hAnsi="Book Antiqua"/>
        </w:rPr>
        <w:t xml:space="preserve">24 </w:t>
      </w:r>
      <w:r w:rsidR="00DD5A81" w:rsidRPr="00CE331D">
        <w:rPr>
          <w:rFonts w:ascii="Book Antiqua" w:hAnsi="Book Antiqua"/>
          <w:b/>
          <w:bCs/>
        </w:rPr>
        <w:t>Vaezi MF,</w:t>
      </w:r>
      <w:r w:rsidR="00DD5A81" w:rsidRPr="00CE331D">
        <w:rPr>
          <w:rFonts w:ascii="Book Antiqua" w:hAnsi="Book Antiqua"/>
        </w:rPr>
        <w:t xml:space="preserve"> Katzka D, Zerbib F. Extraesophageal Symptoms and Diseases Attributed to GERD: Where is the Pendulum Swinging Now? </w:t>
      </w:r>
      <w:r w:rsidR="00DD5A81" w:rsidRPr="00CE331D">
        <w:rPr>
          <w:rFonts w:ascii="Book Antiqua" w:hAnsi="Book Antiqua"/>
          <w:i/>
          <w:iCs/>
        </w:rPr>
        <w:t>Clin Gastroenterol Hepatol</w:t>
      </w:r>
      <w:r w:rsidR="00DD5A81" w:rsidRPr="00CE331D">
        <w:rPr>
          <w:rFonts w:ascii="Book Antiqua" w:hAnsi="Book Antiqua"/>
        </w:rPr>
        <w:t xml:space="preserve"> 2018; </w:t>
      </w:r>
      <w:r w:rsidR="00DD5A81" w:rsidRPr="00CE331D">
        <w:rPr>
          <w:rFonts w:ascii="Book Antiqua" w:hAnsi="Book Antiqua"/>
          <w:b/>
          <w:bCs/>
        </w:rPr>
        <w:t>16:</w:t>
      </w:r>
      <w:r w:rsidR="00DD5A81" w:rsidRPr="00CE331D">
        <w:rPr>
          <w:rFonts w:ascii="Book Antiqua" w:hAnsi="Book Antiqua"/>
        </w:rPr>
        <w:t xml:space="preserve"> 1018-1029 [PMID: 29427733 DOI: 10.1016/j.cgh.2018.02.001]</w:t>
      </w:r>
    </w:p>
    <w:p w14:paraId="128A82EC"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25 </w:t>
      </w:r>
      <w:r w:rsidRPr="00CE331D">
        <w:rPr>
          <w:rFonts w:ascii="Book Antiqua" w:hAnsi="Book Antiqua"/>
          <w:b/>
          <w:bCs/>
        </w:rPr>
        <w:t>Cheung KS</w:t>
      </w:r>
      <w:r w:rsidRPr="00CE331D">
        <w:rPr>
          <w:rFonts w:ascii="Book Antiqua" w:hAnsi="Book Antiqua"/>
        </w:rPr>
        <w:t xml:space="preserve">, Chan EW, Wong AYS, Chen L, Wong ICK, Leung WK. Long-term proton pump inhibitors and risk of gastric cancer development after treatment for </w:t>
      </w:r>
      <w:r w:rsidRPr="00CE331D">
        <w:rPr>
          <w:rFonts w:ascii="Book Antiqua" w:hAnsi="Book Antiqua"/>
          <w:i/>
          <w:iCs/>
        </w:rPr>
        <w:t>Helicobacter pylori</w:t>
      </w:r>
      <w:r w:rsidRPr="00CE331D">
        <w:rPr>
          <w:rFonts w:ascii="Book Antiqua" w:hAnsi="Book Antiqua"/>
        </w:rPr>
        <w:t xml:space="preserve">: a population-based study. </w:t>
      </w:r>
      <w:r w:rsidRPr="00CE331D">
        <w:rPr>
          <w:rFonts w:ascii="Book Antiqua" w:hAnsi="Book Antiqua"/>
          <w:i/>
          <w:iCs/>
        </w:rPr>
        <w:t>Gut</w:t>
      </w:r>
      <w:r w:rsidRPr="00CE331D">
        <w:rPr>
          <w:rFonts w:ascii="Book Antiqua" w:hAnsi="Book Antiqua"/>
        </w:rPr>
        <w:t xml:space="preserve"> 2018; </w:t>
      </w:r>
      <w:r w:rsidRPr="00CE331D">
        <w:rPr>
          <w:rFonts w:ascii="Book Antiqua" w:hAnsi="Book Antiqua"/>
          <w:b/>
          <w:bCs/>
        </w:rPr>
        <w:t>67</w:t>
      </w:r>
      <w:r w:rsidRPr="00CE331D">
        <w:rPr>
          <w:rFonts w:ascii="Book Antiqua" w:hAnsi="Book Antiqua"/>
        </w:rPr>
        <w:t>: 28-35 [PMID: 29089382 DOI: 10.1136/gutjnl-2017-314605]</w:t>
      </w:r>
    </w:p>
    <w:p w14:paraId="66CD4849"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26 </w:t>
      </w:r>
      <w:r w:rsidRPr="00CE331D">
        <w:rPr>
          <w:rFonts w:ascii="Book Antiqua" w:hAnsi="Book Antiqua"/>
          <w:b/>
          <w:bCs/>
        </w:rPr>
        <w:t>Tack J</w:t>
      </w:r>
      <w:r w:rsidRPr="00CE331D">
        <w:rPr>
          <w:rFonts w:ascii="Book Antiqua" w:hAnsi="Book Antiqua"/>
        </w:rPr>
        <w:t xml:space="preserve">, Pandolfino JE. Pathophysiology of Gastroesophageal Reflux Disease. </w:t>
      </w:r>
      <w:r w:rsidRPr="00CE331D">
        <w:rPr>
          <w:rFonts w:ascii="Book Antiqua" w:hAnsi="Book Antiqua"/>
          <w:i/>
          <w:iCs/>
        </w:rPr>
        <w:t>Gastroenterology</w:t>
      </w:r>
      <w:r w:rsidRPr="00CE331D">
        <w:rPr>
          <w:rFonts w:ascii="Book Antiqua" w:hAnsi="Book Antiqua"/>
        </w:rPr>
        <w:t xml:space="preserve"> 2018; </w:t>
      </w:r>
      <w:r w:rsidRPr="00CE331D">
        <w:rPr>
          <w:rFonts w:ascii="Book Antiqua" w:hAnsi="Book Antiqua"/>
          <w:b/>
          <w:bCs/>
        </w:rPr>
        <w:t>154</w:t>
      </w:r>
      <w:r w:rsidRPr="00CE331D">
        <w:rPr>
          <w:rFonts w:ascii="Book Antiqua" w:hAnsi="Book Antiqua"/>
        </w:rPr>
        <w:t>: 277-288 [PMID: 29037470 DOI: 10.1053/j.gastro.2017.09.047]</w:t>
      </w:r>
    </w:p>
    <w:p w14:paraId="6C5B0D55"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27 </w:t>
      </w:r>
      <w:r w:rsidRPr="00CE331D">
        <w:rPr>
          <w:rFonts w:ascii="Book Antiqua" w:hAnsi="Book Antiqua"/>
          <w:b/>
          <w:bCs/>
        </w:rPr>
        <w:t>Yang L</w:t>
      </w:r>
      <w:r w:rsidRPr="00CE331D">
        <w:rPr>
          <w:rFonts w:ascii="Book Antiqua" w:hAnsi="Book Antiqua"/>
        </w:rPr>
        <w:t xml:space="preserve">, Francois F, Pei Z. Molecular pathways: pathogenesis and clinical implications of microbiome alteration in esophagitis and Barrett esophagus. </w:t>
      </w:r>
      <w:r w:rsidRPr="00CE331D">
        <w:rPr>
          <w:rFonts w:ascii="Book Antiqua" w:hAnsi="Book Antiqua"/>
          <w:i/>
          <w:iCs/>
        </w:rPr>
        <w:t>Clin Cancer Res</w:t>
      </w:r>
      <w:r w:rsidRPr="00CE331D">
        <w:rPr>
          <w:rFonts w:ascii="Book Antiqua" w:hAnsi="Book Antiqua"/>
        </w:rPr>
        <w:t xml:space="preserve"> 2012; </w:t>
      </w:r>
      <w:r w:rsidRPr="00CE331D">
        <w:rPr>
          <w:rFonts w:ascii="Book Antiqua" w:hAnsi="Book Antiqua"/>
          <w:b/>
          <w:bCs/>
        </w:rPr>
        <w:t>18</w:t>
      </w:r>
      <w:r w:rsidRPr="00CE331D">
        <w:rPr>
          <w:rFonts w:ascii="Book Antiqua" w:hAnsi="Book Antiqua"/>
        </w:rPr>
        <w:t>: 2138-2144 [PMID: 22344232 DOI: 10.1158/1078-0432.CCR-11-0934]</w:t>
      </w:r>
    </w:p>
    <w:p w14:paraId="7C1B5688" w14:textId="77777777" w:rsidR="00B73C14" w:rsidRPr="00CE331D" w:rsidRDefault="00B73C14" w:rsidP="00CE331D">
      <w:pPr>
        <w:spacing w:line="360" w:lineRule="auto"/>
        <w:jc w:val="both"/>
        <w:rPr>
          <w:rFonts w:ascii="Book Antiqua" w:hAnsi="Book Antiqua"/>
        </w:rPr>
      </w:pPr>
      <w:r w:rsidRPr="00CE331D">
        <w:rPr>
          <w:rFonts w:ascii="Book Antiqua" w:hAnsi="Book Antiqua"/>
        </w:rPr>
        <w:t xml:space="preserve">28 </w:t>
      </w:r>
      <w:r w:rsidRPr="00CE331D">
        <w:rPr>
          <w:rFonts w:ascii="Book Antiqua" w:hAnsi="Book Antiqua"/>
          <w:b/>
          <w:bCs/>
        </w:rPr>
        <w:t>He Z</w:t>
      </w:r>
      <w:r w:rsidRPr="00CE331D">
        <w:rPr>
          <w:rFonts w:ascii="Book Antiqua" w:hAnsi="Book Antiqua"/>
        </w:rPr>
        <w:t xml:space="preserve">, Li P, Zhu J, Cui B, Xu L, Xiang J, Zhang T, Long C, Huang G, Ji G, Nie Y, Wu K, Fan D, Zhang F. Multiple fresh fecal microbiota transplants induces and maintains clinical remission in Crohn's disease complicated with inflammatory mass. </w:t>
      </w:r>
      <w:r w:rsidRPr="00CE331D">
        <w:rPr>
          <w:rFonts w:ascii="Book Antiqua" w:hAnsi="Book Antiqua"/>
          <w:i/>
          <w:iCs/>
        </w:rPr>
        <w:t>Sci Rep</w:t>
      </w:r>
      <w:r w:rsidRPr="00CE331D">
        <w:rPr>
          <w:rFonts w:ascii="Book Antiqua" w:hAnsi="Book Antiqua"/>
        </w:rPr>
        <w:t xml:space="preserve"> 2017; </w:t>
      </w:r>
      <w:r w:rsidRPr="00CE331D">
        <w:rPr>
          <w:rFonts w:ascii="Book Antiqua" w:hAnsi="Book Antiqua"/>
          <w:b/>
          <w:bCs/>
        </w:rPr>
        <w:t>7</w:t>
      </w:r>
      <w:r w:rsidRPr="00CE331D">
        <w:rPr>
          <w:rFonts w:ascii="Book Antiqua" w:hAnsi="Book Antiqua"/>
        </w:rPr>
        <w:t>: 4753 [PMID: 28684845 DOI: 10.1038/s41598-017-04984-z]</w:t>
      </w:r>
    </w:p>
    <w:bookmarkEnd w:id="12"/>
    <w:bookmarkEnd w:id="13"/>
    <w:p w14:paraId="766759D3" w14:textId="77777777" w:rsidR="00A77B3E" w:rsidRPr="00CE331D" w:rsidRDefault="00A77B3E" w:rsidP="00CE331D">
      <w:pPr>
        <w:spacing w:line="360" w:lineRule="auto"/>
        <w:jc w:val="both"/>
        <w:rPr>
          <w:rFonts w:ascii="Book Antiqua" w:hAnsi="Book Antiqua"/>
        </w:rPr>
        <w:sectPr w:rsidR="00A77B3E" w:rsidRPr="00CE331D">
          <w:pgSz w:w="12240" w:h="15840"/>
          <w:pgMar w:top="1440" w:right="1440" w:bottom="1440" w:left="1440" w:header="720" w:footer="720" w:gutter="0"/>
          <w:cols w:space="720"/>
          <w:docGrid w:linePitch="360"/>
        </w:sectPr>
      </w:pPr>
    </w:p>
    <w:p w14:paraId="75EDF3B4"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Footnotes</w:t>
      </w:r>
    </w:p>
    <w:p w14:paraId="44AB2A90" w14:textId="1202F680"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Institutional review board statement: </w:t>
      </w:r>
      <w:r w:rsidRPr="00CE331D">
        <w:rPr>
          <w:rFonts w:ascii="Book Antiqua" w:eastAsia="Book Antiqua" w:hAnsi="Book Antiqua" w:cs="Book Antiqua"/>
          <w:color w:val="000000"/>
        </w:rPr>
        <w:t>This retrospective study was approved by the Ethics Committee of Guangdong Pharmaceutical University (Approval No. Yilun Shen</w:t>
      </w:r>
      <w:r w:rsidRPr="00383668">
        <w:rPr>
          <w:rFonts w:ascii="Book Antiqua" w:eastAsia="Book Antiqua" w:hAnsi="Book Antiqua" w:cs="Book Antiqua"/>
          <w:color w:val="000000"/>
          <w:vertAlign w:val="superscript"/>
        </w:rPr>
        <w:t>[2019]</w:t>
      </w:r>
      <w:r w:rsidR="004E344D">
        <w:rPr>
          <w:rFonts w:ascii="Book Antiqua" w:hAnsi="Book Antiqua" w:cs="Book Antiqua" w:hint="eastAsia"/>
          <w:color w:val="000000"/>
          <w:lang w:eastAsia="zh-CN"/>
        </w:rPr>
        <w:t xml:space="preserve"> </w:t>
      </w:r>
      <w:r w:rsidRPr="00CE331D">
        <w:rPr>
          <w:rFonts w:ascii="Book Antiqua" w:eastAsia="Book Antiqua" w:hAnsi="Book Antiqua" w:cs="Book Antiqua"/>
          <w:color w:val="000000"/>
        </w:rPr>
        <w:t>No. 93</w:t>
      </w:r>
      <w:r w:rsidR="00383668">
        <w:rPr>
          <w:rFonts w:ascii="Book Antiqua" w:hAnsi="Book Antiqua" w:cs="Book Antiqua" w:hint="eastAsia"/>
          <w:color w:val="000000"/>
          <w:lang w:eastAsia="zh-CN"/>
        </w:rPr>
        <w:t xml:space="preserve"> </w:t>
      </w:r>
      <w:r w:rsidRPr="00CE331D">
        <w:rPr>
          <w:rFonts w:ascii="Book Antiqua" w:eastAsia="Book Antiqua" w:hAnsi="Book Antiqua" w:cs="Book Antiqua"/>
          <w:color w:val="000000"/>
        </w:rPr>
        <w:t>01).</w:t>
      </w:r>
    </w:p>
    <w:p w14:paraId="758CBEFC" w14:textId="77777777" w:rsidR="00A77B3E" w:rsidRPr="00CE331D" w:rsidRDefault="00A77B3E" w:rsidP="00CE331D">
      <w:pPr>
        <w:spacing w:line="360" w:lineRule="auto"/>
        <w:jc w:val="both"/>
        <w:rPr>
          <w:rFonts w:ascii="Book Antiqua" w:hAnsi="Book Antiqua"/>
        </w:rPr>
      </w:pPr>
    </w:p>
    <w:p w14:paraId="3387C03C"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Conflict-of-interest statement: </w:t>
      </w:r>
      <w:r w:rsidRPr="00CE331D">
        <w:rPr>
          <w:rFonts w:ascii="Book Antiqua" w:eastAsia="Book Antiqua" w:hAnsi="Book Antiqua" w:cs="Book Antiqua"/>
          <w:color w:val="000000"/>
        </w:rPr>
        <w:t>The authors have no conflicts of interest to declare.</w:t>
      </w:r>
    </w:p>
    <w:p w14:paraId="13D662C0" w14:textId="77777777" w:rsidR="00A77B3E" w:rsidRDefault="00A77B3E" w:rsidP="00CE331D">
      <w:pPr>
        <w:spacing w:line="360" w:lineRule="auto"/>
        <w:jc w:val="both"/>
        <w:rPr>
          <w:rFonts w:ascii="Book Antiqua" w:hAnsi="Book Antiqua"/>
        </w:rPr>
      </w:pPr>
    </w:p>
    <w:p w14:paraId="71EC7945" w14:textId="77777777" w:rsidR="00AE23A4" w:rsidRPr="00082519" w:rsidRDefault="00AE23A4" w:rsidP="00AE23A4">
      <w:pPr>
        <w:spacing w:line="360" w:lineRule="auto"/>
        <w:jc w:val="both"/>
      </w:pPr>
      <w:r>
        <w:rPr>
          <w:rFonts w:ascii="Book Antiqua" w:eastAsia="Book Antiqua" w:hAnsi="Book Antiqua" w:cs="Book Antiqua"/>
          <w:b/>
          <w:bCs/>
          <w:color w:val="000000"/>
        </w:rPr>
        <w:t xml:space="preserve">Data sharing statement: </w:t>
      </w:r>
      <w:r w:rsidRPr="00FB687C">
        <w:rPr>
          <w:rFonts w:ascii="Book Antiqua" w:eastAsia="Book Antiqua" w:hAnsi="Book Antiqua" w:cs="Book Antiqua"/>
          <w:bCs/>
          <w:color w:val="000000"/>
        </w:rPr>
        <w:t>No additional data are available.</w:t>
      </w:r>
    </w:p>
    <w:p w14:paraId="647993C7" w14:textId="77777777" w:rsidR="00AE23A4" w:rsidRPr="00CE331D" w:rsidRDefault="00AE23A4" w:rsidP="00CE331D">
      <w:pPr>
        <w:spacing w:line="360" w:lineRule="auto"/>
        <w:jc w:val="both"/>
        <w:rPr>
          <w:rFonts w:ascii="Book Antiqua" w:hAnsi="Book Antiqua"/>
        </w:rPr>
      </w:pPr>
    </w:p>
    <w:p w14:paraId="22972C54"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bCs/>
          <w:color w:val="000000"/>
        </w:rPr>
        <w:t xml:space="preserve">Open-Access: </w:t>
      </w:r>
      <w:r w:rsidRPr="00CE331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8C5E6C" w14:textId="77777777" w:rsidR="00A77B3E" w:rsidRPr="00CE331D" w:rsidRDefault="00A77B3E" w:rsidP="00CE331D">
      <w:pPr>
        <w:spacing w:line="360" w:lineRule="auto"/>
        <w:jc w:val="both"/>
        <w:rPr>
          <w:rFonts w:ascii="Book Antiqua" w:hAnsi="Book Antiqua"/>
        </w:rPr>
      </w:pPr>
    </w:p>
    <w:p w14:paraId="500F08C9" w14:textId="3BF61B85"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Manuscript source: </w:t>
      </w:r>
      <w:r w:rsidRPr="00CE331D">
        <w:rPr>
          <w:rFonts w:ascii="Book Antiqua" w:eastAsia="Book Antiqua" w:hAnsi="Book Antiqua" w:cs="Book Antiqua"/>
          <w:color w:val="000000"/>
        </w:rPr>
        <w:t xml:space="preserve">Unsolicited </w:t>
      </w:r>
      <w:r w:rsidR="00831242" w:rsidRPr="00CE331D">
        <w:rPr>
          <w:rFonts w:ascii="Book Antiqua" w:eastAsia="Book Antiqua" w:hAnsi="Book Antiqua" w:cs="Book Antiqua"/>
          <w:color w:val="000000"/>
        </w:rPr>
        <w:t>m</w:t>
      </w:r>
      <w:r w:rsidRPr="00CE331D">
        <w:rPr>
          <w:rFonts w:ascii="Book Antiqua" w:eastAsia="Book Antiqua" w:hAnsi="Book Antiqua" w:cs="Book Antiqua"/>
          <w:color w:val="000000"/>
        </w:rPr>
        <w:t>anuscript</w:t>
      </w:r>
    </w:p>
    <w:p w14:paraId="6BD0DFA8" w14:textId="77777777" w:rsidR="00A77B3E" w:rsidRPr="00CE331D" w:rsidRDefault="00A77B3E" w:rsidP="00CE331D">
      <w:pPr>
        <w:spacing w:line="360" w:lineRule="auto"/>
        <w:jc w:val="both"/>
        <w:rPr>
          <w:rFonts w:ascii="Book Antiqua" w:hAnsi="Book Antiqua"/>
        </w:rPr>
      </w:pPr>
    </w:p>
    <w:p w14:paraId="47212BAA"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Peer-review started: </w:t>
      </w:r>
      <w:r w:rsidRPr="00CE331D">
        <w:rPr>
          <w:rFonts w:ascii="Book Antiqua" w:eastAsia="Book Antiqua" w:hAnsi="Book Antiqua" w:cs="Book Antiqua"/>
          <w:color w:val="000000"/>
        </w:rPr>
        <w:t>November 29, 2020</w:t>
      </w:r>
    </w:p>
    <w:p w14:paraId="5E94E782"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First decision: </w:t>
      </w:r>
      <w:r w:rsidRPr="00CE331D">
        <w:rPr>
          <w:rFonts w:ascii="Book Antiqua" w:eastAsia="Book Antiqua" w:hAnsi="Book Antiqua" w:cs="Book Antiqua"/>
          <w:color w:val="000000"/>
        </w:rPr>
        <w:t>December 8, 2020</w:t>
      </w:r>
    </w:p>
    <w:p w14:paraId="11823C66" w14:textId="41A22134"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Article in press: </w:t>
      </w:r>
      <w:r w:rsidR="00DF321B" w:rsidRPr="000B2560">
        <w:rPr>
          <w:rFonts w:ascii="Book Antiqua" w:eastAsia="Book Antiqua" w:hAnsi="Book Antiqua" w:cs="Book Antiqua"/>
          <w:color w:val="000000"/>
        </w:rPr>
        <w:t>January 12, 2021</w:t>
      </w:r>
    </w:p>
    <w:p w14:paraId="4C53C42F" w14:textId="77777777" w:rsidR="00A77B3E" w:rsidRPr="00CE331D" w:rsidRDefault="00A77B3E" w:rsidP="00CE331D">
      <w:pPr>
        <w:spacing w:line="360" w:lineRule="auto"/>
        <w:jc w:val="both"/>
        <w:rPr>
          <w:rFonts w:ascii="Book Antiqua" w:hAnsi="Book Antiqua"/>
        </w:rPr>
      </w:pPr>
    </w:p>
    <w:p w14:paraId="449A2294" w14:textId="403FDAE9"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Specialty type: </w:t>
      </w:r>
      <w:r w:rsidRPr="00CE331D">
        <w:rPr>
          <w:rFonts w:ascii="Book Antiqua" w:eastAsia="Book Antiqua" w:hAnsi="Book Antiqua" w:cs="Book Antiqua"/>
          <w:color w:val="000000"/>
        </w:rPr>
        <w:t xml:space="preserve">Gastroenterology and </w:t>
      </w:r>
      <w:r w:rsidR="00831242" w:rsidRPr="00CE331D">
        <w:rPr>
          <w:rFonts w:ascii="Book Antiqua" w:eastAsia="Book Antiqua" w:hAnsi="Book Antiqua" w:cs="Book Antiqua"/>
          <w:color w:val="000000"/>
        </w:rPr>
        <w:t>h</w:t>
      </w:r>
      <w:r w:rsidRPr="00CE331D">
        <w:rPr>
          <w:rFonts w:ascii="Book Antiqua" w:eastAsia="Book Antiqua" w:hAnsi="Book Antiqua" w:cs="Book Antiqua"/>
          <w:color w:val="000000"/>
        </w:rPr>
        <w:t>epatology</w:t>
      </w:r>
    </w:p>
    <w:p w14:paraId="682D69F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 xml:space="preserve">Country/Territory of origin: </w:t>
      </w:r>
      <w:r w:rsidRPr="00CE331D">
        <w:rPr>
          <w:rFonts w:ascii="Book Antiqua" w:eastAsia="Book Antiqua" w:hAnsi="Book Antiqua" w:cs="Book Antiqua"/>
          <w:color w:val="000000"/>
        </w:rPr>
        <w:t>China</w:t>
      </w:r>
    </w:p>
    <w:p w14:paraId="31483A7F"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b/>
          <w:color w:val="000000"/>
        </w:rPr>
        <w:t>Peer-review report’s scientific quality classification</w:t>
      </w:r>
    </w:p>
    <w:p w14:paraId="3AF8F254"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Grade A (Excellent): 0</w:t>
      </w:r>
    </w:p>
    <w:p w14:paraId="7B755256" w14:textId="6B1E1E6F"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 xml:space="preserve">Grade B (Very good): </w:t>
      </w:r>
      <w:r w:rsidR="0075306A" w:rsidRPr="00CE331D">
        <w:rPr>
          <w:rFonts w:ascii="Book Antiqua" w:eastAsia="Book Antiqua" w:hAnsi="Book Antiqua" w:cs="Book Antiqua"/>
          <w:color w:val="000000"/>
        </w:rPr>
        <w:t>B</w:t>
      </w:r>
    </w:p>
    <w:p w14:paraId="5EE49491"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Grade C (Good): C</w:t>
      </w:r>
    </w:p>
    <w:p w14:paraId="02246B1A"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Grade D (Fair): 0</w:t>
      </w:r>
    </w:p>
    <w:p w14:paraId="4A2D718D" w14:textId="77777777" w:rsidR="00A77B3E" w:rsidRPr="00CE331D" w:rsidRDefault="00EF6257" w:rsidP="00CE331D">
      <w:pPr>
        <w:spacing w:line="360" w:lineRule="auto"/>
        <w:jc w:val="both"/>
        <w:rPr>
          <w:rFonts w:ascii="Book Antiqua" w:hAnsi="Book Antiqua"/>
        </w:rPr>
      </w:pPr>
      <w:r w:rsidRPr="00CE331D">
        <w:rPr>
          <w:rFonts w:ascii="Book Antiqua" w:eastAsia="Book Antiqua" w:hAnsi="Book Antiqua" w:cs="Book Antiqua"/>
          <w:color w:val="000000"/>
        </w:rPr>
        <w:t>Grade E (Poor): 0</w:t>
      </w:r>
    </w:p>
    <w:p w14:paraId="4C6A1567" w14:textId="77777777" w:rsidR="00A77B3E" w:rsidRPr="00CE331D" w:rsidRDefault="00A77B3E" w:rsidP="00CE331D">
      <w:pPr>
        <w:spacing w:line="360" w:lineRule="auto"/>
        <w:jc w:val="both"/>
        <w:rPr>
          <w:rFonts w:ascii="Book Antiqua" w:hAnsi="Book Antiqua"/>
        </w:rPr>
      </w:pPr>
    </w:p>
    <w:p w14:paraId="1CC3DF78" w14:textId="2CD4D5B0" w:rsidR="00A77B3E" w:rsidRPr="00DF321B" w:rsidRDefault="00EF6257" w:rsidP="00CE331D">
      <w:pPr>
        <w:spacing w:line="360" w:lineRule="auto"/>
        <w:jc w:val="both"/>
        <w:rPr>
          <w:rFonts w:ascii="Book Antiqua" w:hAnsi="Book Antiqua" w:cs="Book Antiqua"/>
          <w:color w:val="000000"/>
          <w:lang w:eastAsia="zh-CN"/>
        </w:rPr>
      </w:pPr>
      <w:r w:rsidRPr="00CE331D">
        <w:rPr>
          <w:rFonts w:ascii="Book Antiqua" w:eastAsia="Book Antiqua" w:hAnsi="Book Antiqua" w:cs="Book Antiqua"/>
          <w:b/>
          <w:color w:val="000000"/>
        </w:rPr>
        <w:t xml:space="preserve">P-Reviewer: </w:t>
      </w:r>
      <w:r w:rsidRPr="00CE331D">
        <w:rPr>
          <w:rFonts w:ascii="Book Antiqua" w:eastAsia="Book Antiqua" w:hAnsi="Book Antiqua" w:cs="Book Antiqua"/>
          <w:color w:val="000000"/>
        </w:rPr>
        <w:t>Maslennikov R</w:t>
      </w:r>
      <w:r w:rsidRPr="00CE331D">
        <w:rPr>
          <w:rFonts w:ascii="Book Antiqua" w:eastAsia="Book Antiqua" w:hAnsi="Book Antiqua" w:cs="Book Antiqua"/>
          <w:b/>
          <w:color w:val="000000"/>
        </w:rPr>
        <w:t xml:space="preserve"> S-Editor: </w:t>
      </w:r>
      <w:r w:rsidR="00752F0C" w:rsidRPr="00CE331D">
        <w:rPr>
          <w:rFonts w:ascii="Book Antiqua" w:eastAsia="Book Antiqua" w:hAnsi="Book Antiqua" w:cs="Book Antiqua"/>
          <w:color w:val="000000"/>
        </w:rPr>
        <w:t>F</w:t>
      </w:r>
      <w:r w:rsidRPr="00CE331D">
        <w:rPr>
          <w:rFonts w:ascii="Book Antiqua" w:eastAsia="Book Antiqua" w:hAnsi="Book Antiqua" w:cs="Book Antiqua"/>
          <w:color w:val="000000"/>
        </w:rPr>
        <w:t>a</w:t>
      </w:r>
      <w:r w:rsidR="00752F0C" w:rsidRPr="00CE331D">
        <w:rPr>
          <w:rFonts w:ascii="Book Antiqua" w:eastAsia="Book Antiqua" w:hAnsi="Book Antiqua" w:cs="Book Antiqua"/>
          <w:color w:val="000000"/>
        </w:rPr>
        <w:t>n</w:t>
      </w:r>
      <w:r w:rsidRPr="00CE331D">
        <w:rPr>
          <w:rFonts w:ascii="Book Antiqua" w:eastAsia="Book Antiqua" w:hAnsi="Book Antiqua" w:cs="Book Antiqua"/>
          <w:color w:val="000000"/>
        </w:rPr>
        <w:t xml:space="preserve"> J</w:t>
      </w:r>
      <w:r w:rsidR="00752F0C" w:rsidRPr="00CE331D">
        <w:rPr>
          <w:rFonts w:ascii="Book Antiqua" w:eastAsia="Book Antiqua" w:hAnsi="Book Antiqua" w:cs="Book Antiqua"/>
          <w:color w:val="000000"/>
        </w:rPr>
        <w:t>R</w:t>
      </w:r>
      <w:r w:rsidRPr="00CE331D">
        <w:rPr>
          <w:rFonts w:ascii="Book Antiqua" w:eastAsia="Book Antiqua" w:hAnsi="Book Antiqua" w:cs="Book Antiqua"/>
          <w:b/>
          <w:color w:val="000000"/>
        </w:rPr>
        <w:t xml:space="preserve"> L-Editor: </w:t>
      </w:r>
      <w:r w:rsidR="00E6723B" w:rsidRPr="00D72C2D">
        <w:rPr>
          <w:rFonts w:ascii="Book Antiqua" w:eastAsia="Book Antiqua" w:hAnsi="Book Antiqua" w:cs="Book Antiqua"/>
          <w:color w:val="000000"/>
        </w:rPr>
        <w:t>Wang TQ</w:t>
      </w:r>
      <w:r w:rsidRPr="00CE331D">
        <w:rPr>
          <w:rFonts w:ascii="Book Antiqua" w:eastAsia="Book Antiqua" w:hAnsi="Book Antiqua" w:cs="Book Antiqua"/>
          <w:b/>
          <w:color w:val="000000"/>
        </w:rPr>
        <w:t xml:space="preserve"> P-Editor: </w:t>
      </w:r>
      <w:r w:rsidR="00DF321B" w:rsidRPr="00DF321B">
        <w:rPr>
          <w:rFonts w:ascii="Book Antiqua" w:hAnsi="Book Antiqua" w:cs="Book Antiqua" w:hint="eastAsia"/>
          <w:color w:val="000000"/>
          <w:lang w:eastAsia="zh-CN"/>
        </w:rPr>
        <w:t>Li JH</w:t>
      </w:r>
    </w:p>
    <w:p w14:paraId="6306DE5F" w14:textId="6475F3B4" w:rsidR="00BA54C2" w:rsidRPr="00CE331D" w:rsidRDefault="00BA54C2" w:rsidP="00CE331D">
      <w:pPr>
        <w:spacing w:line="360" w:lineRule="auto"/>
        <w:jc w:val="both"/>
        <w:rPr>
          <w:rFonts w:ascii="Book Antiqua" w:eastAsia="Book Antiqua" w:hAnsi="Book Antiqua" w:cs="Book Antiqua"/>
          <w:b/>
          <w:color w:val="000000"/>
        </w:rPr>
      </w:pPr>
      <w:r w:rsidRPr="00CE331D">
        <w:rPr>
          <w:rFonts w:ascii="Book Antiqua" w:eastAsia="Book Antiqua" w:hAnsi="Book Antiqua" w:cs="Book Antiqua"/>
          <w:b/>
          <w:color w:val="000000"/>
        </w:rPr>
        <w:br w:type="page"/>
        <w:t>Figure Legends</w:t>
      </w:r>
    </w:p>
    <w:p w14:paraId="1C13241F" w14:textId="2F12FBD8" w:rsidR="00BA54C2" w:rsidRPr="00CE331D" w:rsidRDefault="005443B0" w:rsidP="00CE331D">
      <w:pPr>
        <w:spacing w:line="360" w:lineRule="auto"/>
        <w:jc w:val="both"/>
        <w:rPr>
          <w:rFonts w:ascii="Book Antiqua" w:hAnsi="Book Antiqua"/>
        </w:rPr>
      </w:pPr>
      <w:r w:rsidRPr="00CE331D">
        <w:rPr>
          <w:rFonts w:ascii="Book Antiqua" w:hAnsi="Book Antiqua"/>
          <w:noProof/>
          <w:lang w:eastAsia="zh-CN"/>
        </w:rPr>
        <w:drawing>
          <wp:inline distT="0" distB="0" distL="0" distR="0" wp14:anchorId="3B692AD4" wp14:editId="7452FF24">
            <wp:extent cx="5943600" cy="3353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53435"/>
                    </a:xfrm>
                    <a:prstGeom prst="rect">
                      <a:avLst/>
                    </a:prstGeom>
                  </pic:spPr>
                </pic:pic>
              </a:graphicData>
            </a:graphic>
          </wp:inline>
        </w:drawing>
      </w:r>
    </w:p>
    <w:p w14:paraId="0276CEF4" w14:textId="24B015F8" w:rsidR="00676073" w:rsidRDefault="005443B0" w:rsidP="00D72C2D">
      <w:pPr>
        <w:spacing w:line="360" w:lineRule="auto"/>
        <w:rPr>
          <w:rFonts w:ascii="Book Antiqua" w:hAnsi="Book Antiqua"/>
        </w:rPr>
      </w:pPr>
      <w:r w:rsidRPr="00CE331D">
        <w:rPr>
          <w:rFonts w:ascii="Book Antiqua" w:hAnsi="Book Antiqua"/>
          <w:b/>
          <w:bCs/>
        </w:rPr>
        <w:t>Figure 1 Flow chart for the inclusion of patients.</w:t>
      </w:r>
      <w:r w:rsidRPr="00CE331D">
        <w:rPr>
          <w:rFonts w:ascii="Book Antiqua" w:hAnsi="Book Antiqua"/>
        </w:rPr>
        <w:t xml:space="preserve"> NERD: Nonerosive reflux disease; WMT: Washed microbiota transplantation; PPI: Pr</w:t>
      </w:r>
      <w:r w:rsidR="00676073">
        <w:rPr>
          <w:rFonts w:ascii="Book Antiqua" w:hAnsi="Book Antiqua"/>
        </w:rPr>
        <w:t>oton pump inhibitor dependency.</w:t>
      </w:r>
    </w:p>
    <w:p w14:paraId="4ED87EE5" w14:textId="77777777" w:rsidR="00AB4533" w:rsidRDefault="00AB4533" w:rsidP="00CE331D">
      <w:pPr>
        <w:spacing w:line="360" w:lineRule="auto"/>
        <w:jc w:val="both"/>
        <w:rPr>
          <w:rFonts w:ascii="Book Antiqua" w:hAnsi="Book Antiqua"/>
          <w:lang w:eastAsia="zh-CN"/>
        </w:rPr>
      </w:pPr>
    </w:p>
    <w:p w14:paraId="62890004" w14:textId="77777777" w:rsidR="00AB4533" w:rsidRDefault="00AB4533" w:rsidP="00CE331D">
      <w:pPr>
        <w:spacing w:line="360" w:lineRule="auto"/>
        <w:jc w:val="both"/>
        <w:rPr>
          <w:rFonts w:ascii="Book Antiqua" w:hAnsi="Book Antiqua"/>
          <w:lang w:eastAsia="zh-CN"/>
        </w:rPr>
      </w:pPr>
    </w:p>
    <w:p w14:paraId="3CD277B7" w14:textId="77777777" w:rsidR="00AB4533" w:rsidRDefault="00AB4533" w:rsidP="00CE331D">
      <w:pPr>
        <w:spacing w:line="360" w:lineRule="auto"/>
        <w:jc w:val="both"/>
        <w:rPr>
          <w:rFonts w:ascii="Book Antiqua" w:hAnsi="Book Antiqua"/>
          <w:lang w:eastAsia="zh-CN"/>
        </w:rPr>
      </w:pPr>
    </w:p>
    <w:p w14:paraId="71476E49" w14:textId="77777777" w:rsidR="00AB4533" w:rsidRDefault="00AB4533" w:rsidP="00CE331D">
      <w:pPr>
        <w:spacing w:line="360" w:lineRule="auto"/>
        <w:jc w:val="both"/>
        <w:rPr>
          <w:rFonts w:ascii="Book Antiqua" w:hAnsi="Book Antiqua"/>
          <w:lang w:eastAsia="zh-CN"/>
        </w:rPr>
      </w:pPr>
    </w:p>
    <w:p w14:paraId="5C5ED94F" w14:textId="77777777" w:rsidR="00AB4533" w:rsidRDefault="00AB4533" w:rsidP="00CE331D">
      <w:pPr>
        <w:spacing w:line="360" w:lineRule="auto"/>
        <w:jc w:val="both"/>
        <w:rPr>
          <w:rFonts w:ascii="Book Antiqua" w:hAnsi="Book Antiqua"/>
          <w:lang w:eastAsia="zh-CN"/>
        </w:rPr>
      </w:pPr>
    </w:p>
    <w:p w14:paraId="3DC39007" w14:textId="77777777" w:rsidR="00AB4533" w:rsidRDefault="00AB4533" w:rsidP="00CE331D">
      <w:pPr>
        <w:spacing w:line="360" w:lineRule="auto"/>
        <w:jc w:val="both"/>
        <w:rPr>
          <w:rFonts w:ascii="Book Antiqua" w:hAnsi="Book Antiqua"/>
          <w:lang w:eastAsia="zh-CN"/>
        </w:rPr>
      </w:pPr>
    </w:p>
    <w:p w14:paraId="12793EB4" w14:textId="77777777" w:rsidR="00AB4533" w:rsidRDefault="00AB4533" w:rsidP="00CE331D">
      <w:pPr>
        <w:spacing w:line="360" w:lineRule="auto"/>
        <w:jc w:val="both"/>
        <w:rPr>
          <w:rFonts w:ascii="Book Antiqua" w:hAnsi="Book Antiqua"/>
          <w:lang w:eastAsia="zh-CN"/>
        </w:rPr>
      </w:pPr>
    </w:p>
    <w:p w14:paraId="506730EB" w14:textId="77777777" w:rsidR="00AB4533" w:rsidRDefault="00AB4533" w:rsidP="00CE331D">
      <w:pPr>
        <w:spacing w:line="360" w:lineRule="auto"/>
        <w:jc w:val="both"/>
        <w:rPr>
          <w:rFonts w:ascii="Book Antiqua" w:hAnsi="Book Antiqua"/>
          <w:lang w:eastAsia="zh-CN"/>
        </w:rPr>
      </w:pPr>
    </w:p>
    <w:p w14:paraId="21CC83AF" w14:textId="77777777" w:rsidR="00AB4533" w:rsidRDefault="00AB4533" w:rsidP="00CE331D">
      <w:pPr>
        <w:spacing w:line="360" w:lineRule="auto"/>
        <w:jc w:val="both"/>
        <w:rPr>
          <w:rFonts w:ascii="Book Antiqua" w:hAnsi="Book Antiqua"/>
          <w:lang w:eastAsia="zh-CN"/>
        </w:rPr>
      </w:pPr>
    </w:p>
    <w:p w14:paraId="3DE4A206" w14:textId="77777777" w:rsidR="00AB4533" w:rsidRDefault="00AB4533" w:rsidP="00CE331D">
      <w:pPr>
        <w:spacing w:line="360" w:lineRule="auto"/>
        <w:jc w:val="both"/>
        <w:rPr>
          <w:rFonts w:ascii="Book Antiqua" w:hAnsi="Book Antiqua"/>
          <w:lang w:eastAsia="zh-CN"/>
        </w:rPr>
      </w:pPr>
    </w:p>
    <w:p w14:paraId="072884AB" w14:textId="77777777" w:rsidR="00AB4533" w:rsidRDefault="00AB4533" w:rsidP="00CE331D">
      <w:pPr>
        <w:spacing w:line="360" w:lineRule="auto"/>
        <w:jc w:val="both"/>
        <w:rPr>
          <w:rFonts w:ascii="Book Antiqua" w:hAnsi="Book Antiqua"/>
          <w:lang w:eastAsia="zh-CN"/>
        </w:rPr>
      </w:pPr>
    </w:p>
    <w:p w14:paraId="20D1E094" w14:textId="6C4FDCDA" w:rsidR="005443B0" w:rsidRPr="00CE331D" w:rsidRDefault="001255E9" w:rsidP="00CE331D">
      <w:pPr>
        <w:spacing w:line="360" w:lineRule="auto"/>
        <w:jc w:val="both"/>
        <w:rPr>
          <w:rFonts w:ascii="Book Antiqua" w:hAnsi="Book Antiqua"/>
        </w:rPr>
      </w:pPr>
      <w:r>
        <w:rPr>
          <w:noProof/>
          <w:lang w:eastAsia="zh-CN"/>
        </w:rPr>
        <w:drawing>
          <wp:inline distT="0" distB="0" distL="0" distR="0" wp14:anchorId="6826076D" wp14:editId="5297326A">
            <wp:extent cx="4723075" cy="2645628"/>
            <wp:effectExtent l="0" t="0" r="190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6065" cy="2647303"/>
                    </a:xfrm>
                    <a:prstGeom prst="rect">
                      <a:avLst/>
                    </a:prstGeom>
                  </pic:spPr>
                </pic:pic>
              </a:graphicData>
            </a:graphic>
          </wp:inline>
        </w:drawing>
      </w:r>
    </w:p>
    <w:p w14:paraId="0E8EA8F3" w14:textId="77777777" w:rsidR="00AB4533" w:rsidRDefault="005443B0" w:rsidP="00CE331D">
      <w:pPr>
        <w:autoSpaceDE w:val="0"/>
        <w:autoSpaceDN w:val="0"/>
        <w:adjustRightInd w:val="0"/>
        <w:spacing w:line="360" w:lineRule="auto"/>
        <w:jc w:val="both"/>
        <w:rPr>
          <w:rFonts w:ascii="Book Antiqua" w:hAnsi="Book Antiqua"/>
          <w:lang w:eastAsia="zh-CN"/>
        </w:rPr>
      </w:pPr>
      <w:r w:rsidRPr="00CE331D">
        <w:rPr>
          <w:rFonts w:ascii="Book Antiqua" w:hAnsi="Book Antiqua"/>
          <w:b/>
          <w:bCs/>
        </w:rPr>
        <w:t>Figure 2 Relationship between courses of washed microbiota transplantation and remission of nonerosive reflux disease.</w:t>
      </w:r>
      <w:r w:rsidRPr="00CE331D">
        <w:rPr>
          <w:rFonts w:ascii="Book Antiqua" w:hAnsi="Book Antiqua"/>
        </w:rPr>
        <w:t xml:space="preserve"> WMT</w:t>
      </w:r>
      <w:r w:rsidR="00CC0F00" w:rsidRPr="00CE331D">
        <w:rPr>
          <w:rFonts w:ascii="Book Antiqua" w:hAnsi="Book Antiqua"/>
        </w:rPr>
        <w:t>:</w:t>
      </w:r>
      <w:r w:rsidRPr="00CE331D">
        <w:rPr>
          <w:rFonts w:ascii="Book Antiqua" w:hAnsi="Book Antiqua"/>
        </w:rPr>
        <w:t xml:space="preserve"> </w:t>
      </w:r>
      <w:r w:rsidR="00CC0F00" w:rsidRPr="00CE331D">
        <w:rPr>
          <w:rFonts w:ascii="Book Antiqua" w:hAnsi="Book Antiqua"/>
        </w:rPr>
        <w:t>W</w:t>
      </w:r>
      <w:r w:rsidRPr="00CE331D">
        <w:rPr>
          <w:rFonts w:ascii="Book Antiqua" w:hAnsi="Book Antiqua"/>
        </w:rPr>
        <w:t>ashed microbiota transplantation.</w:t>
      </w:r>
      <w:r w:rsidRPr="00CE331D">
        <w:rPr>
          <w:rFonts w:ascii="Book Antiqua" w:hAnsi="Book Antiqua"/>
        </w:rPr>
        <w:cr/>
      </w:r>
      <w:bookmarkStart w:id="14" w:name="_Hlk32264875"/>
    </w:p>
    <w:p w14:paraId="5C5985CE" w14:textId="77777777" w:rsidR="00AB4533" w:rsidRDefault="00AB4533" w:rsidP="00CE331D">
      <w:pPr>
        <w:autoSpaceDE w:val="0"/>
        <w:autoSpaceDN w:val="0"/>
        <w:adjustRightInd w:val="0"/>
        <w:spacing w:line="360" w:lineRule="auto"/>
        <w:jc w:val="both"/>
        <w:rPr>
          <w:rFonts w:ascii="Book Antiqua" w:hAnsi="Book Antiqua"/>
          <w:lang w:eastAsia="zh-CN"/>
        </w:rPr>
      </w:pPr>
    </w:p>
    <w:p w14:paraId="716F0DDE" w14:textId="77777777" w:rsidR="00AB4533" w:rsidRDefault="00AB4533" w:rsidP="00CE331D">
      <w:pPr>
        <w:autoSpaceDE w:val="0"/>
        <w:autoSpaceDN w:val="0"/>
        <w:adjustRightInd w:val="0"/>
        <w:spacing w:line="360" w:lineRule="auto"/>
        <w:jc w:val="both"/>
        <w:rPr>
          <w:rFonts w:ascii="Book Antiqua" w:hAnsi="Book Antiqua"/>
          <w:lang w:eastAsia="zh-CN"/>
        </w:rPr>
      </w:pPr>
    </w:p>
    <w:p w14:paraId="4C73FC47" w14:textId="77777777" w:rsidR="00AB4533" w:rsidRDefault="00AB4533" w:rsidP="00CE331D">
      <w:pPr>
        <w:autoSpaceDE w:val="0"/>
        <w:autoSpaceDN w:val="0"/>
        <w:adjustRightInd w:val="0"/>
        <w:spacing w:line="360" w:lineRule="auto"/>
        <w:jc w:val="both"/>
        <w:rPr>
          <w:rFonts w:ascii="Book Antiqua" w:hAnsi="Book Antiqua"/>
          <w:lang w:eastAsia="zh-CN"/>
        </w:rPr>
      </w:pPr>
    </w:p>
    <w:p w14:paraId="18A20896" w14:textId="77777777" w:rsidR="00AB4533" w:rsidRDefault="00AB4533" w:rsidP="00CE331D">
      <w:pPr>
        <w:autoSpaceDE w:val="0"/>
        <w:autoSpaceDN w:val="0"/>
        <w:adjustRightInd w:val="0"/>
        <w:spacing w:line="360" w:lineRule="auto"/>
        <w:jc w:val="both"/>
        <w:rPr>
          <w:rFonts w:ascii="Book Antiqua" w:hAnsi="Book Antiqua"/>
          <w:lang w:eastAsia="zh-CN"/>
        </w:rPr>
      </w:pPr>
    </w:p>
    <w:p w14:paraId="1B301F56" w14:textId="77777777" w:rsidR="00AB4533" w:rsidRDefault="00AB4533" w:rsidP="00CE331D">
      <w:pPr>
        <w:autoSpaceDE w:val="0"/>
        <w:autoSpaceDN w:val="0"/>
        <w:adjustRightInd w:val="0"/>
        <w:spacing w:line="360" w:lineRule="auto"/>
        <w:jc w:val="both"/>
        <w:rPr>
          <w:rFonts w:ascii="Book Antiqua" w:hAnsi="Book Antiqua"/>
          <w:lang w:eastAsia="zh-CN"/>
        </w:rPr>
      </w:pPr>
    </w:p>
    <w:p w14:paraId="202EEC9A" w14:textId="77777777" w:rsidR="00AB4533" w:rsidRDefault="00AB4533" w:rsidP="00CE331D">
      <w:pPr>
        <w:autoSpaceDE w:val="0"/>
        <w:autoSpaceDN w:val="0"/>
        <w:adjustRightInd w:val="0"/>
        <w:spacing w:line="360" w:lineRule="auto"/>
        <w:jc w:val="both"/>
        <w:rPr>
          <w:rFonts w:ascii="Book Antiqua" w:hAnsi="Book Antiqua"/>
          <w:lang w:eastAsia="zh-CN"/>
        </w:rPr>
      </w:pPr>
    </w:p>
    <w:p w14:paraId="433798ED" w14:textId="77777777" w:rsidR="00AB4533" w:rsidRDefault="00AB4533" w:rsidP="00CE331D">
      <w:pPr>
        <w:autoSpaceDE w:val="0"/>
        <w:autoSpaceDN w:val="0"/>
        <w:adjustRightInd w:val="0"/>
        <w:spacing w:line="360" w:lineRule="auto"/>
        <w:jc w:val="both"/>
        <w:rPr>
          <w:rFonts w:ascii="Book Antiqua" w:hAnsi="Book Antiqua"/>
          <w:lang w:eastAsia="zh-CN"/>
        </w:rPr>
      </w:pPr>
    </w:p>
    <w:p w14:paraId="46F292CA" w14:textId="77777777" w:rsidR="00AB4533" w:rsidRDefault="00AB4533" w:rsidP="00CE331D">
      <w:pPr>
        <w:autoSpaceDE w:val="0"/>
        <w:autoSpaceDN w:val="0"/>
        <w:adjustRightInd w:val="0"/>
        <w:spacing w:line="360" w:lineRule="auto"/>
        <w:jc w:val="both"/>
        <w:rPr>
          <w:rFonts w:ascii="Book Antiqua" w:hAnsi="Book Antiqua"/>
          <w:lang w:eastAsia="zh-CN"/>
        </w:rPr>
      </w:pPr>
    </w:p>
    <w:p w14:paraId="62F62F4A" w14:textId="77777777" w:rsidR="00AB4533" w:rsidRDefault="00AB4533" w:rsidP="00CE331D">
      <w:pPr>
        <w:autoSpaceDE w:val="0"/>
        <w:autoSpaceDN w:val="0"/>
        <w:adjustRightInd w:val="0"/>
        <w:spacing w:line="360" w:lineRule="auto"/>
        <w:jc w:val="both"/>
        <w:rPr>
          <w:rFonts w:ascii="Book Antiqua" w:hAnsi="Book Antiqua"/>
          <w:lang w:eastAsia="zh-CN"/>
        </w:rPr>
      </w:pPr>
    </w:p>
    <w:p w14:paraId="198116E8" w14:textId="77777777" w:rsidR="00AB4533" w:rsidRDefault="00AB4533" w:rsidP="00CE331D">
      <w:pPr>
        <w:autoSpaceDE w:val="0"/>
        <w:autoSpaceDN w:val="0"/>
        <w:adjustRightInd w:val="0"/>
        <w:spacing w:line="360" w:lineRule="auto"/>
        <w:jc w:val="both"/>
        <w:rPr>
          <w:rFonts w:ascii="Book Antiqua" w:hAnsi="Book Antiqua"/>
          <w:lang w:eastAsia="zh-CN"/>
        </w:rPr>
      </w:pPr>
    </w:p>
    <w:p w14:paraId="085880C6" w14:textId="77777777" w:rsidR="00AB4533" w:rsidRDefault="00AB4533" w:rsidP="00CE331D">
      <w:pPr>
        <w:autoSpaceDE w:val="0"/>
        <w:autoSpaceDN w:val="0"/>
        <w:adjustRightInd w:val="0"/>
        <w:spacing w:line="360" w:lineRule="auto"/>
        <w:jc w:val="both"/>
        <w:rPr>
          <w:rFonts w:ascii="Book Antiqua" w:hAnsi="Book Antiqua"/>
          <w:lang w:eastAsia="zh-CN"/>
        </w:rPr>
      </w:pPr>
    </w:p>
    <w:p w14:paraId="38764859" w14:textId="77777777" w:rsidR="00AB4533" w:rsidRDefault="00AB4533" w:rsidP="00CE331D">
      <w:pPr>
        <w:autoSpaceDE w:val="0"/>
        <w:autoSpaceDN w:val="0"/>
        <w:adjustRightInd w:val="0"/>
        <w:spacing w:line="360" w:lineRule="auto"/>
        <w:jc w:val="both"/>
        <w:rPr>
          <w:rFonts w:ascii="Book Antiqua" w:hAnsi="Book Antiqua"/>
          <w:lang w:eastAsia="zh-CN"/>
        </w:rPr>
      </w:pPr>
    </w:p>
    <w:p w14:paraId="2CC248F6" w14:textId="77777777" w:rsidR="00AB4533" w:rsidRDefault="00AB4533" w:rsidP="00CE331D">
      <w:pPr>
        <w:autoSpaceDE w:val="0"/>
        <w:autoSpaceDN w:val="0"/>
        <w:adjustRightInd w:val="0"/>
        <w:spacing w:line="360" w:lineRule="auto"/>
        <w:jc w:val="both"/>
        <w:rPr>
          <w:rFonts w:ascii="Book Antiqua" w:hAnsi="Book Antiqua"/>
          <w:lang w:eastAsia="zh-CN"/>
        </w:rPr>
      </w:pPr>
    </w:p>
    <w:p w14:paraId="3475DBE9" w14:textId="77777777" w:rsidR="00AB4533" w:rsidRDefault="00AB4533" w:rsidP="00CE331D">
      <w:pPr>
        <w:autoSpaceDE w:val="0"/>
        <w:autoSpaceDN w:val="0"/>
        <w:adjustRightInd w:val="0"/>
        <w:spacing w:line="360" w:lineRule="auto"/>
        <w:jc w:val="both"/>
        <w:rPr>
          <w:rFonts w:ascii="Book Antiqua" w:hAnsi="Book Antiqua"/>
          <w:lang w:eastAsia="zh-CN"/>
        </w:rPr>
      </w:pPr>
    </w:p>
    <w:p w14:paraId="28824B9E" w14:textId="77777777" w:rsidR="00AB4533" w:rsidRDefault="00AB4533" w:rsidP="00CE331D">
      <w:pPr>
        <w:autoSpaceDE w:val="0"/>
        <w:autoSpaceDN w:val="0"/>
        <w:adjustRightInd w:val="0"/>
        <w:spacing w:line="360" w:lineRule="auto"/>
        <w:jc w:val="both"/>
        <w:rPr>
          <w:rFonts w:ascii="Book Antiqua" w:hAnsi="Book Antiqua"/>
          <w:lang w:eastAsia="zh-CN"/>
        </w:rPr>
      </w:pPr>
    </w:p>
    <w:p w14:paraId="566D36B6" w14:textId="77777777" w:rsidR="00AB4533" w:rsidRDefault="00AB4533" w:rsidP="00CE331D">
      <w:pPr>
        <w:autoSpaceDE w:val="0"/>
        <w:autoSpaceDN w:val="0"/>
        <w:adjustRightInd w:val="0"/>
        <w:spacing w:line="360" w:lineRule="auto"/>
        <w:jc w:val="both"/>
        <w:rPr>
          <w:rFonts w:ascii="Book Antiqua" w:hAnsi="Book Antiqua"/>
          <w:lang w:eastAsia="zh-CN"/>
        </w:rPr>
      </w:pPr>
    </w:p>
    <w:p w14:paraId="45BC0240" w14:textId="11F4186B" w:rsidR="00655F4A" w:rsidRPr="00CE331D" w:rsidRDefault="00655F4A" w:rsidP="00CE331D">
      <w:pPr>
        <w:autoSpaceDE w:val="0"/>
        <w:autoSpaceDN w:val="0"/>
        <w:adjustRightInd w:val="0"/>
        <w:spacing w:line="360" w:lineRule="auto"/>
        <w:jc w:val="both"/>
        <w:rPr>
          <w:rFonts w:ascii="Book Antiqua" w:hAnsi="Book Antiqua"/>
        </w:rPr>
      </w:pPr>
      <w:r w:rsidRPr="00CE331D">
        <w:rPr>
          <w:rFonts w:ascii="Book Antiqua" w:eastAsia="等线" w:hAnsi="Book Antiqua"/>
          <w:b/>
          <w:bCs/>
        </w:rPr>
        <w:t xml:space="preserve">Table 1 Basic information of patients with </w:t>
      </w:r>
      <w:r w:rsidRPr="00CE331D">
        <w:rPr>
          <w:rFonts w:ascii="Book Antiqua" w:hAnsi="Book Antiqua"/>
          <w:b/>
          <w:bCs/>
        </w:rPr>
        <w:t>nonerosive reflux disease</w:t>
      </w:r>
      <w:r w:rsidRPr="00CE331D">
        <w:rPr>
          <w:rFonts w:ascii="Book Antiqua" w:eastAsia="等线" w:hAnsi="Book Antiqua"/>
          <w:b/>
          <w:bCs/>
        </w:rPr>
        <w:t xml:space="preserve"> </w:t>
      </w:r>
      <w:bookmarkEnd w:id="14"/>
    </w:p>
    <w:tbl>
      <w:tblPr>
        <w:tblW w:w="9371" w:type="dxa"/>
        <w:tblInd w:w="93" w:type="dxa"/>
        <w:tblLook w:val="04A0" w:firstRow="1" w:lastRow="0" w:firstColumn="1" w:lastColumn="0" w:noHBand="0" w:noVBand="1"/>
      </w:tblPr>
      <w:tblGrid>
        <w:gridCol w:w="3417"/>
        <w:gridCol w:w="2268"/>
        <w:gridCol w:w="2268"/>
        <w:gridCol w:w="1418"/>
      </w:tblGrid>
      <w:tr w:rsidR="00F80CD4" w:rsidRPr="00F80CD4" w14:paraId="560C487B" w14:textId="77777777" w:rsidTr="00F80CD4">
        <w:trPr>
          <w:trHeight w:val="345"/>
        </w:trPr>
        <w:tc>
          <w:tcPr>
            <w:tcW w:w="3417" w:type="dxa"/>
            <w:tcBorders>
              <w:top w:val="single" w:sz="4" w:space="0" w:color="auto"/>
              <w:left w:val="nil"/>
              <w:bottom w:val="single" w:sz="4" w:space="0" w:color="auto"/>
              <w:right w:val="nil"/>
            </w:tcBorders>
            <w:shd w:val="clear" w:color="auto" w:fill="auto"/>
            <w:vAlign w:val="center"/>
            <w:hideMark/>
          </w:tcPr>
          <w:p w14:paraId="22372365" w14:textId="77777777" w:rsidR="00F80CD4" w:rsidRPr="00F80CD4" w:rsidRDefault="00F80CD4" w:rsidP="00F80CD4">
            <w:pPr>
              <w:jc w:val="both"/>
              <w:rPr>
                <w:rFonts w:ascii="Book Antiqua" w:eastAsia="等线" w:hAnsi="Book Antiqua" w:cs="宋体"/>
                <w:b/>
                <w:bCs/>
                <w:color w:val="000000"/>
                <w:lang w:eastAsia="zh-CN"/>
              </w:rPr>
            </w:pPr>
            <w:r w:rsidRPr="00F80CD4">
              <w:rPr>
                <w:rFonts w:ascii="Book Antiqua" w:eastAsia="等线" w:hAnsi="Book Antiqua" w:cs="宋体"/>
                <w:b/>
                <w:bCs/>
                <w:color w:val="000000"/>
                <w:lang w:eastAsia="zh-CN"/>
              </w:rPr>
              <w:t>Item</w:t>
            </w:r>
          </w:p>
        </w:tc>
        <w:tc>
          <w:tcPr>
            <w:tcW w:w="2268" w:type="dxa"/>
            <w:tcBorders>
              <w:top w:val="single" w:sz="4" w:space="0" w:color="auto"/>
              <w:left w:val="nil"/>
              <w:bottom w:val="single" w:sz="4" w:space="0" w:color="auto"/>
              <w:right w:val="nil"/>
            </w:tcBorders>
            <w:shd w:val="clear" w:color="auto" w:fill="auto"/>
            <w:vAlign w:val="center"/>
            <w:hideMark/>
          </w:tcPr>
          <w:p w14:paraId="38558E4B" w14:textId="77777777" w:rsidR="00F80CD4" w:rsidRPr="00F80CD4" w:rsidRDefault="00F80CD4" w:rsidP="00F80CD4">
            <w:pPr>
              <w:jc w:val="both"/>
              <w:rPr>
                <w:rFonts w:ascii="Book Antiqua" w:eastAsia="等线" w:hAnsi="Book Antiqua" w:cs="宋体"/>
                <w:b/>
                <w:bCs/>
                <w:color w:val="000000"/>
                <w:lang w:eastAsia="zh-CN"/>
              </w:rPr>
            </w:pPr>
            <w:r w:rsidRPr="00F80CD4">
              <w:rPr>
                <w:rFonts w:ascii="Book Antiqua" w:eastAsia="等线" w:hAnsi="Book Antiqua" w:cs="宋体"/>
                <w:b/>
                <w:bCs/>
                <w:color w:val="000000"/>
                <w:lang w:eastAsia="zh-CN"/>
              </w:rPr>
              <w:t>PPI</w:t>
            </w:r>
          </w:p>
        </w:tc>
        <w:tc>
          <w:tcPr>
            <w:tcW w:w="2268" w:type="dxa"/>
            <w:tcBorders>
              <w:top w:val="single" w:sz="4" w:space="0" w:color="auto"/>
              <w:left w:val="nil"/>
              <w:bottom w:val="single" w:sz="4" w:space="0" w:color="auto"/>
              <w:right w:val="nil"/>
            </w:tcBorders>
            <w:shd w:val="clear" w:color="auto" w:fill="auto"/>
            <w:vAlign w:val="center"/>
            <w:hideMark/>
          </w:tcPr>
          <w:p w14:paraId="45409A5A" w14:textId="77777777" w:rsidR="00F80CD4" w:rsidRPr="00F80CD4" w:rsidRDefault="00F80CD4" w:rsidP="00F80CD4">
            <w:pPr>
              <w:jc w:val="both"/>
              <w:rPr>
                <w:rFonts w:ascii="Book Antiqua" w:eastAsia="等线" w:hAnsi="Book Antiqua" w:cs="宋体"/>
                <w:b/>
                <w:bCs/>
                <w:color w:val="000000"/>
                <w:lang w:eastAsia="zh-CN"/>
              </w:rPr>
            </w:pPr>
            <w:r w:rsidRPr="00F80CD4">
              <w:rPr>
                <w:rFonts w:ascii="Book Antiqua" w:eastAsia="等线" w:hAnsi="Book Antiqua" w:cs="宋体"/>
                <w:b/>
                <w:bCs/>
                <w:color w:val="000000"/>
                <w:lang w:eastAsia="zh-CN"/>
              </w:rPr>
              <w:t>WMT</w:t>
            </w:r>
          </w:p>
        </w:tc>
        <w:tc>
          <w:tcPr>
            <w:tcW w:w="1418" w:type="dxa"/>
            <w:tcBorders>
              <w:top w:val="single" w:sz="4" w:space="0" w:color="auto"/>
              <w:left w:val="nil"/>
              <w:bottom w:val="single" w:sz="4" w:space="0" w:color="auto"/>
              <w:right w:val="nil"/>
            </w:tcBorders>
            <w:shd w:val="clear" w:color="auto" w:fill="auto"/>
            <w:vAlign w:val="center"/>
            <w:hideMark/>
          </w:tcPr>
          <w:p w14:paraId="5A6E56FF" w14:textId="77777777" w:rsidR="00F80CD4" w:rsidRPr="00F80CD4" w:rsidRDefault="00F80CD4" w:rsidP="00F80CD4">
            <w:pPr>
              <w:jc w:val="both"/>
              <w:rPr>
                <w:rFonts w:ascii="Book Antiqua" w:eastAsia="等线" w:hAnsi="Book Antiqua" w:cs="宋体"/>
                <w:b/>
                <w:bCs/>
                <w:i/>
                <w:iCs/>
                <w:color w:val="000000"/>
                <w:lang w:eastAsia="zh-CN"/>
              </w:rPr>
            </w:pPr>
            <w:r w:rsidRPr="00F80CD4">
              <w:rPr>
                <w:rFonts w:ascii="Book Antiqua" w:eastAsia="等线" w:hAnsi="Book Antiqua" w:cs="宋体"/>
                <w:b/>
                <w:bCs/>
                <w:i/>
                <w:iCs/>
                <w:color w:val="000000"/>
                <w:lang w:eastAsia="zh-CN"/>
              </w:rPr>
              <w:t>P</w:t>
            </w:r>
            <w:r w:rsidRPr="00F80CD4">
              <w:rPr>
                <w:rFonts w:ascii="Book Antiqua" w:eastAsia="等线" w:hAnsi="Book Antiqua" w:cs="宋体"/>
                <w:b/>
                <w:bCs/>
                <w:color w:val="000000"/>
                <w:lang w:eastAsia="zh-CN"/>
              </w:rPr>
              <w:t xml:space="preserve"> value</w:t>
            </w:r>
          </w:p>
        </w:tc>
      </w:tr>
      <w:tr w:rsidR="00F80CD4" w:rsidRPr="00F80CD4" w14:paraId="41594B70" w14:textId="77777777" w:rsidTr="00F80CD4">
        <w:trPr>
          <w:trHeight w:val="315"/>
        </w:trPr>
        <w:tc>
          <w:tcPr>
            <w:tcW w:w="3417" w:type="dxa"/>
            <w:tcBorders>
              <w:top w:val="single" w:sz="4" w:space="0" w:color="auto"/>
              <w:left w:val="nil"/>
              <w:bottom w:val="nil"/>
              <w:right w:val="nil"/>
            </w:tcBorders>
            <w:shd w:val="clear" w:color="auto" w:fill="auto"/>
            <w:vAlign w:val="center"/>
            <w:hideMark/>
          </w:tcPr>
          <w:p w14:paraId="30457A57"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Female</w:t>
            </w:r>
          </w:p>
        </w:tc>
        <w:tc>
          <w:tcPr>
            <w:tcW w:w="2268" w:type="dxa"/>
            <w:tcBorders>
              <w:top w:val="single" w:sz="4" w:space="0" w:color="auto"/>
              <w:left w:val="nil"/>
              <w:bottom w:val="nil"/>
              <w:right w:val="nil"/>
            </w:tcBorders>
            <w:shd w:val="clear" w:color="auto" w:fill="auto"/>
            <w:vAlign w:val="center"/>
            <w:hideMark/>
          </w:tcPr>
          <w:p w14:paraId="74732568"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6</w:t>
            </w:r>
          </w:p>
        </w:tc>
        <w:tc>
          <w:tcPr>
            <w:tcW w:w="2268" w:type="dxa"/>
            <w:tcBorders>
              <w:top w:val="single" w:sz="4" w:space="0" w:color="auto"/>
              <w:left w:val="nil"/>
              <w:bottom w:val="nil"/>
              <w:right w:val="nil"/>
            </w:tcBorders>
            <w:shd w:val="clear" w:color="auto" w:fill="auto"/>
            <w:vAlign w:val="center"/>
            <w:hideMark/>
          </w:tcPr>
          <w:p w14:paraId="006F03C4"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8</w:t>
            </w:r>
          </w:p>
        </w:tc>
        <w:tc>
          <w:tcPr>
            <w:tcW w:w="1418" w:type="dxa"/>
            <w:tcBorders>
              <w:top w:val="single" w:sz="4" w:space="0" w:color="auto"/>
              <w:left w:val="nil"/>
              <w:bottom w:val="nil"/>
              <w:right w:val="nil"/>
            </w:tcBorders>
            <w:shd w:val="clear" w:color="auto" w:fill="auto"/>
            <w:vAlign w:val="center"/>
            <w:hideMark/>
          </w:tcPr>
          <w:p w14:paraId="3DF028C8" w14:textId="77777777" w:rsidR="00F80CD4" w:rsidRPr="00F80CD4" w:rsidRDefault="00F80CD4" w:rsidP="00F80CD4">
            <w:pPr>
              <w:jc w:val="both"/>
              <w:rPr>
                <w:rFonts w:ascii="Book Antiqua" w:eastAsia="等线" w:hAnsi="Book Antiqua" w:cs="宋体"/>
                <w:color w:val="000000"/>
                <w:lang w:eastAsia="zh-CN"/>
              </w:rPr>
            </w:pPr>
          </w:p>
        </w:tc>
      </w:tr>
      <w:tr w:rsidR="00F80CD4" w:rsidRPr="00F80CD4" w14:paraId="5AB22FD7" w14:textId="77777777" w:rsidTr="00F80CD4">
        <w:trPr>
          <w:trHeight w:val="583"/>
        </w:trPr>
        <w:tc>
          <w:tcPr>
            <w:tcW w:w="3417" w:type="dxa"/>
            <w:tcBorders>
              <w:top w:val="nil"/>
              <w:left w:val="nil"/>
              <w:bottom w:val="nil"/>
              <w:right w:val="nil"/>
            </w:tcBorders>
            <w:shd w:val="clear" w:color="auto" w:fill="auto"/>
            <w:vAlign w:val="center"/>
            <w:hideMark/>
          </w:tcPr>
          <w:p w14:paraId="19AFD145"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Age (median; IQR, yr</w:t>
            </w:r>
            <w:r w:rsidRPr="00F80CD4">
              <w:rPr>
                <w:rFonts w:ascii="等线" w:eastAsia="等线" w:hAnsi="等线" w:cs="宋体" w:hint="eastAsia"/>
                <w:color w:val="000000"/>
                <w:lang w:eastAsia="zh-CN"/>
              </w:rPr>
              <w:t>）</w:t>
            </w:r>
          </w:p>
        </w:tc>
        <w:tc>
          <w:tcPr>
            <w:tcW w:w="2268" w:type="dxa"/>
            <w:tcBorders>
              <w:top w:val="nil"/>
              <w:left w:val="nil"/>
              <w:bottom w:val="nil"/>
              <w:right w:val="nil"/>
            </w:tcBorders>
            <w:shd w:val="clear" w:color="auto" w:fill="auto"/>
            <w:vAlign w:val="center"/>
            <w:hideMark/>
          </w:tcPr>
          <w:p w14:paraId="08FC05C8"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58.5 (53, 67.25)</w:t>
            </w:r>
          </w:p>
        </w:tc>
        <w:tc>
          <w:tcPr>
            <w:tcW w:w="2268" w:type="dxa"/>
            <w:tcBorders>
              <w:top w:val="nil"/>
              <w:left w:val="nil"/>
              <w:bottom w:val="nil"/>
              <w:right w:val="nil"/>
            </w:tcBorders>
            <w:shd w:val="clear" w:color="auto" w:fill="auto"/>
            <w:vAlign w:val="center"/>
            <w:hideMark/>
          </w:tcPr>
          <w:p w14:paraId="47768899"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62 (55, 67)</w:t>
            </w:r>
          </w:p>
        </w:tc>
        <w:tc>
          <w:tcPr>
            <w:tcW w:w="1418" w:type="dxa"/>
            <w:tcBorders>
              <w:top w:val="nil"/>
              <w:left w:val="nil"/>
              <w:bottom w:val="nil"/>
              <w:right w:val="nil"/>
            </w:tcBorders>
            <w:shd w:val="clear" w:color="auto" w:fill="auto"/>
            <w:vAlign w:val="center"/>
            <w:hideMark/>
          </w:tcPr>
          <w:p w14:paraId="29631F3D"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0.526</w:t>
            </w:r>
          </w:p>
        </w:tc>
      </w:tr>
      <w:tr w:rsidR="00F80CD4" w:rsidRPr="00F80CD4" w14:paraId="285C14B8" w14:textId="77777777" w:rsidTr="00F80CD4">
        <w:trPr>
          <w:trHeight w:val="421"/>
        </w:trPr>
        <w:tc>
          <w:tcPr>
            <w:tcW w:w="3417" w:type="dxa"/>
            <w:tcBorders>
              <w:top w:val="nil"/>
              <w:left w:val="nil"/>
              <w:right w:val="nil"/>
            </w:tcBorders>
            <w:shd w:val="clear" w:color="auto" w:fill="auto"/>
            <w:vAlign w:val="center"/>
            <w:hideMark/>
          </w:tcPr>
          <w:p w14:paraId="00E22C4B"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Duration (median; IQR, mo)</w:t>
            </w:r>
          </w:p>
        </w:tc>
        <w:tc>
          <w:tcPr>
            <w:tcW w:w="2268" w:type="dxa"/>
            <w:tcBorders>
              <w:top w:val="nil"/>
              <w:left w:val="nil"/>
              <w:right w:val="nil"/>
            </w:tcBorders>
            <w:shd w:val="clear" w:color="auto" w:fill="auto"/>
            <w:vAlign w:val="center"/>
            <w:hideMark/>
          </w:tcPr>
          <w:p w14:paraId="7FC9DCE9"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48 (15, 144)</w:t>
            </w:r>
          </w:p>
        </w:tc>
        <w:tc>
          <w:tcPr>
            <w:tcW w:w="2268" w:type="dxa"/>
            <w:tcBorders>
              <w:top w:val="nil"/>
              <w:left w:val="nil"/>
              <w:right w:val="nil"/>
            </w:tcBorders>
            <w:shd w:val="clear" w:color="auto" w:fill="auto"/>
            <w:vAlign w:val="center"/>
            <w:hideMark/>
          </w:tcPr>
          <w:p w14:paraId="7E2CC22A"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24 (6, 60)</w:t>
            </w:r>
          </w:p>
        </w:tc>
        <w:tc>
          <w:tcPr>
            <w:tcW w:w="1418" w:type="dxa"/>
            <w:tcBorders>
              <w:top w:val="nil"/>
              <w:left w:val="nil"/>
              <w:right w:val="nil"/>
            </w:tcBorders>
            <w:shd w:val="clear" w:color="auto" w:fill="auto"/>
            <w:vAlign w:val="center"/>
            <w:hideMark/>
          </w:tcPr>
          <w:p w14:paraId="1621C3AA"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0.218</w:t>
            </w:r>
          </w:p>
        </w:tc>
      </w:tr>
      <w:tr w:rsidR="00F80CD4" w:rsidRPr="00F80CD4" w14:paraId="1097D9DD" w14:textId="77777777" w:rsidTr="00F80CD4">
        <w:trPr>
          <w:trHeight w:val="569"/>
        </w:trPr>
        <w:tc>
          <w:tcPr>
            <w:tcW w:w="3417" w:type="dxa"/>
            <w:tcBorders>
              <w:top w:val="nil"/>
              <w:left w:val="nil"/>
              <w:bottom w:val="single" w:sz="4" w:space="0" w:color="auto"/>
              <w:right w:val="nil"/>
            </w:tcBorders>
            <w:shd w:val="clear" w:color="auto" w:fill="auto"/>
            <w:vAlign w:val="center"/>
            <w:hideMark/>
          </w:tcPr>
          <w:p w14:paraId="6F93A704"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BMI (median; IQR, kg/m</w:t>
            </w:r>
            <w:r w:rsidRPr="00F80CD4">
              <w:rPr>
                <w:rFonts w:ascii="Book Antiqua" w:eastAsia="等线" w:hAnsi="Book Antiqua" w:cs="宋体"/>
                <w:color w:val="000000"/>
                <w:vertAlign w:val="superscript"/>
                <w:lang w:eastAsia="zh-CN"/>
              </w:rPr>
              <w:t>2</w:t>
            </w:r>
            <w:r w:rsidRPr="00F80CD4">
              <w:rPr>
                <w:rFonts w:ascii="Book Antiqua" w:eastAsia="等线" w:hAnsi="Book Antiqua" w:cs="宋体"/>
                <w:color w:val="000000"/>
                <w:lang w:eastAsia="zh-CN"/>
              </w:rPr>
              <w:t>)</w:t>
            </w:r>
          </w:p>
        </w:tc>
        <w:tc>
          <w:tcPr>
            <w:tcW w:w="2268" w:type="dxa"/>
            <w:tcBorders>
              <w:top w:val="nil"/>
              <w:left w:val="nil"/>
              <w:bottom w:val="single" w:sz="4" w:space="0" w:color="auto"/>
              <w:right w:val="nil"/>
            </w:tcBorders>
            <w:shd w:val="clear" w:color="auto" w:fill="auto"/>
            <w:vAlign w:val="center"/>
            <w:hideMark/>
          </w:tcPr>
          <w:p w14:paraId="0E7B2BEF"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21.63 (19.13, 24.38)</w:t>
            </w:r>
          </w:p>
        </w:tc>
        <w:tc>
          <w:tcPr>
            <w:tcW w:w="2268" w:type="dxa"/>
            <w:tcBorders>
              <w:top w:val="nil"/>
              <w:left w:val="nil"/>
              <w:bottom w:val="single" w:sz="4" w:space="0" w:color="auto"/>
              <w:right w:val="nil"/>
            </w:tcBorders>
            <w:shd w:val="clear" w:color="auto" w:fill="auto"/>
            <w:vAlign w:val="center"/>
            <w:hideMark/>
          </w:tcPr>
          <w:p w14:paraId="26511D75"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24.24 (22.58, 25.43)</w:t>
            </w:r>
          </w:p>
        </w:tc>
        <w:tc>
          <w:tcPr>
            <w:tcW w:w="1418" w:type="dxa"/>
            <w:tcBorders>
              <w:top w:val="nil"/>
              <w:left w:val="nil"/>
              <w:bottom w:val="single" w:sz="4" w:space="0" w:color="auto"/>
              <w:right w:val="nil"/>
            </w:tcBorders>
            <w:shd w:val="clear" w:color="auto" w:fill="auto"/>
            <w:vAlign w:val="center"/>
            <w:hideMark/>
          </w:tcPr>
          <w:p w14:paraId="10E3DCBC" w14:textId="77777777" w:rsidR="00F80CD4" w:rsidRPr="00F80CD4" w:rsidRDefault="00F80CD4" w:rsidP="00F80CD4">
            <w:pPr>
              <w:jc w:val="both"/>
              <w:rPr>
                <w:rFonts w:ascii="Book Antiqua" w:eastAsia="等线" w:hAnsi="Book Antiqua" w:cs="宋体"/>
                <w:color w:val="000000"/>
                <w:lang w:eastAsia="zh-CN"/>
              </w:rPr>
            </w:pPr>
            <w:r w:rsidRPr="00F80CD4">
              <w:rPr>
                <w:rFonts w:ascii="Book Antiqua" w:eastAsia="等线" w:hAnsi="Book Antiqua" w:cs="宋体"/>
                <w:color w:val="000000"/>
                <w:lang w:eastAsia="zh-CN"/>
              </w:rPr>
              <w:t>0.079</w:t>
            </w:r>
          </w:p>
        </w:tc>
      </w:tr>
    </w:tbl>
    <w:p w14:paraId="66C3D554" w14:textId="03270E51" w:rsidR="00B80E7C" w:rsidRDefault="00655F4A" w:rsidP="00A738B2">
      <w:pPr>
        <w:spacing w:line="360" w:lineRule="auto"/>
        <w:jc w:val="both"/>
        <w:rPr>
          <w:rFonts w:ascii="Book Antiqua" w:hAnsi="Book Antiqua"/>
          <w:color w:val="333333"/>
          <w:shd w:val="clear" w:color="auto" w:fill="FFFFFF"/>
          <w:lang w:eastAsia="zh-CN"/>
        </w:rPr>
      </w:pPr>
      <w:r w:rsidRPr="00CE331D">
        <w:rPr>
          <w:rFonts w:ascii="Book Antiqua" w:hAnsi="Book Antiqua"/>
        </w:rPr>
        <w:t>WMT</w:t>
      </w:r>
      <w:r w:rsidR="000F1FE3" w:rsidRPr="00CE331D">
        <w:rPr>
          <w:rFonts w:ascii="Book Antiqua" w:hAnsi="Book Antiqua"/>
        </w:rPr>
        <w:t>:</w:t>
      </w:r>
      <w:r w:rsidRPr="00CE331D">
        <w:rPr>
          <w:rFonts w:ascii="Book Antiqua" w:hAnsi="Book Antiqua"/>
        </w:rPr>
        <w:t xml:space="preserve"> </w:t>
      </w:r>
      <w:r w:rsidR="000F1FE3" w:rsidRPr="00CE331D">
        <w:rPr>
          <w:rFonts w:ascii="Book Antiqua" w:hAnsi="Book Antiqua"/>
        </w:rPr>
        <w:t>W</w:t>
      </w:r>
      <w:r w:rsidRPr="00CE331D">
        <w:rPr>
          <w:rFonts w:ascii="Book Antiqua" w:hAnsi="Book Antiqua"/>
        </w:rPr>
        <w:t>ashed microbiota transplantation; PPI</w:t>
      </w:r>
      <w:r w:rsidR="000F1FE3" w:rsidRPr="00CE331D">
        <w:rPr>
          <w:rFonts w:ascii="Book Antiqua" w:hAnsi="Book Antiqua"/>
        </w:rPr>
        <w:t>:</w:t>
      </w:r>
      <w:r w:rsidRPr="00CE331D">
        <w:rPr>
          <w:rFonts w:ascii="Book Antiqua" w:hAnsi="Book Antiqua"/>
        </w:rPr>
        <w:t xml:space="preserve"> </w:t>
      </w:r>
      <w:r w:rsidR="000F1FE3" w:rsidRPr="00CE331D">
        <w:rPr>
          <w:rFonts w:ascii="Book Antiqua" w:hAnsi="Book Antiqua"/>
        </w:rPr>
        <w:t>P</w:t>
      </w:r>
      <w:r w:rsidRPr="00CE331D">
        <w:rPr>
          <w:rFonts w:ascii="Book Antiqua" w:hAnsi="Book Antiqua"/>
        </w:rPr>
        <w:t xml:space="preserve">roton pump inhibitors; BMI: </w:t>
      </w:r>
      <w:r w:rsidR="000F1FE3" w:rsidRPr="00CE331D">
        <w:rPr>
          <w:rFonts w:ascii="Book Antiqua" w:hAnsi="Book Antiqua"/>
        </w:rPr>
        <w:t>B</w:t>
      </w:r>
      <w:r w:rsidRPr="00CE331D">
        <w:rPr>
          <w:rFonts w:ascii="Book Antiqua" w:hAnsi="Book Antiqua"/>
        </w:rPr>
        <w:t>ody mass index;</w:t>
      </w:r>
      <w:r w:rsidRPr="00CE331D">
        <w:rPr>
          <w:rFonts w:ascii="Book Antiqua" w:hAnsi="Book Antiqua"/>
          <w:color w:val="333333"/>
          <w:shd w:val="clear" w:color="auto" w:fill="FFFFFF"/>
        </w:rPr>
        <w:t xml:space="preserve"> IQR: </w:t>
      </w:r>
      <w:r w:rsidR="000F1FE3" w:rsidRPr="00CE331D">
        <w:rPr>
          <w:rFonts w:ascii="Book Antiqua" w:hAnsi="Book Antiqua"/>
          <w:color w:val="333333"/>
          <w:shd w:val="clear" w:color="auto" w:fill="FFFFFF"/>
        </w:rPr>
        <w:t>I</w:t>
      </w:r>
      <w:r w:rsidRPr="00CE331D">
        <w:rPr>
          <w:rFonts w:ascii="Book Antiqua" w:hAnsi="Book Antiqua"/>
          <w:color w:val="333333"/>
          <w:shd w:val="clear" w:color="auto" w:fill="FFFFFF"/>
        </w:rPr>
        <w:t>nterquartile range.</w:t>
      </w:r>
    </w:p>
    <w:p w14:paraId="08C7F9F1" w14:textId="77777777" w:rsidR="00AB4533" w:rsidRDefault="00AB4533" w:rsidP="00A738B2">
      <w:pPr>
        <w:spacing w:line="360" w:lineRule="auto"/>
        <w:jc w:val="both"/>
        <w:rPr>
          <w:rFonts w:ascii="Book Antiqua" w:hAnsi="Book Antiqua"/>
          <w:color w:val="333333"/>
          <w:shd w:val="clear" w:color="auto" w:fill="FFFFFF"/>
          <w:lang w:eastAsia="zh-CN"/>
        </w:rPr>
      </w:pPr>
    </w:p>
    <w:p w14:paraId="7ACC3FD7" w14:textId="77777777" w:rsidR="00AB4533" w:rsidRDefault="00AB4533" w:rsidP="00A738B2">
      <w:pPr>
        <w:spacing w:line="360" w:lineRule="auto"/>
        <w:jc w:val="both"/>
        <w:rPr>
          <w:rFonts w:ascii="Book Antiqua" w:hAnsi="Book Antiqua"/>
          <w:color w:val="333333"/>
          <w:shd w:val="clear" w:color="auto" w:fill="FFFFFF"/>
          <w:lang w:eastAsia="zh-CN"/>
        </w:rPr>
      </w:pPr>
    </w:p>
    <w:p w14:paraId="08BA26E3" w14:textId="77777777" w:rsidR="00AB4533" w:rsidRDefault="00AB4533" w:rsidP="00A738B2">
      <w:pPr>
        <w:spacing w:line="360" w:lineRule="auto"/>
        <w:jc w:val="both"/>
        <w:rPr>
          <w:rFonts w:ascii="Book Antiqua" w:hAnsi="Book Antiqua"/>
          <w:color w:val="333333"/>
          <w:shd w:val="clear" w:color="auto" w:fill="FFFFFF"/>
          <w:lang w:eastAsia="zh-CN"/>
        </w:rPr>
      </w:pPr>
    </w:p>
    <w:p w14:paraId="36D8D7BC" w14:textId="77777777" w:rsidR="00AB4533" w:rsidRDefault="00AB4533" w:rsidP="00A738B2">
      <w:pPr>
        <w:spacing w:line="360" w:lineRule="auto"/>
        <w:jc w:val="both"/>
        <w:rPr>
          <w:rFonts w:ascii="Book Antiqua" w:hAnsi="Book Antiqua"/>
          <w:color w:val="333333"/>
          <w:shd w:val="clear" w:color="auto" w:fill="FFFFFF"/>
          <w:lang w:eastAsia="zh-CN"/>
        </w:rPr>
      </w:pPr>
    </w:p>
    <w:p w14:paraId="37D90530" w14:textId="77777777" w:rsidR="00AB4533" w:rsidRDefault="00AB4533" w:rsidP="00A738B2">
      <w:pPr>
        <w:spacing w:line="360" w:lineRule="auto"/>
        <w:jc w:val="both"/>
        <w:rPr>
          <w:rFonts w:ascii="Book Antiqua" w:hAnsi="Book Antiqua"/>
          <w:color w:val="333333"/>
          <w:shd w:val="clear" w:color="auto" w:fill="FFFFFF"/>
          <w:lang w:eastAsia="zh-CN"/>
        </w:rPr>
      </w:pPr>
    </w:p>
    <w:p w14:paraId="1BA8DDA1" w14:textId="77777777" w:rsidR="00AB4533" w:rsidRDefault="00AB4533" w:rsidP="00A738B2">
      <w:pPr>
        <w:spacing w:line="360" w:lineRule="auto"/>
        <w:jc w:val="both"/>
        <w:rPr>
          <w:rFonts w:ascii="Book Antiqua" w:hAnsi="Book Antiqua"/>
          <w:color w:val="333333"/>
          <w:shd w:val="clear" w:color="auto" w:fill="FFFFFF"/>
          <w:lang w:eastAsia="zh-CN"/>
        </w:rPr>
      </w:pPr>
    </w:p>
    <w:p w14:paraId="384B1F23" w14:textId="77777777" w:rsidR="00AB4533" w:rsidRDefault="00AB4533" w:rsidP="00A738B2">
      <w:pPr>
        <w:spacing w:line="360" w:lineRule="auto"/>
        <w:jc w:val="both"/>
        <w:rPr>
          <w:rFonts w:ascii="Book Antiqua" w:hAnsi="Book Antiqua"/>
          <w:color w:val="333333"/>
          <w:shd w:val="clear" w:color="auto" w:fill="FFFFFF"/>
          <w:lang w:eastAsia="zh-CN"/>
        </w:rPr>
      </w:pPr>
    </w:p>
    <w:p w14:paraId="34F65DA7" w14:textId="77777777" w:rsidR="00AB4533" w:rsidRDefault="00AB4533" w:rsidP="00A738B2">
      <w:pPr>
        <w:spacing w:line="360" w:lineRule="auto"/>
        <w:jc w:val="both"/>
        <w:rPr>
          <w:rFonts w:ascii="Book Antiqua" w:hAnsi="Book Antiqua"/>
          <w:color w:val="333333"/>
          <w:shd w:val="clear" w:color="auto" w:fill="FFFFFF"/>
          <w:lang w:eastAsia="zh-CN"/>
        </w:rPr>
      </w:pPr>
    </w:p>
    <w:p w14:paraId="6A73A4A2" w14:textId="77777777" w:rsidR="00AB4533" w:rsidRDefault="00AB4533" w:rsidP="00A738B2">
      <w:pPr>
        <w:spacing w:line="360" w:lineRule="auto"/>
        <w:jc w:val="both"/>
        <w:rPr>
          <w:rFonts w:ascii="Book Antiqua" w:hAnsi="Book Antiqua"/>
          <w:color w:val="333333"/>
          <w:shd w:val="clear" w:color="auto" w:fill="FFFFFF"/>
          <w:lang w:eastAsia="zh-CN"/>
        </w:rPr>
      </w:pPr>
    </w:p>
    <w:p w14:paraId="717FDA4D" w14:textId="77777777" w:rsidR="00AB4533" w:rsidRDefault="00AB4533" w:rsidP="00A738B2">
      <w:pPr>
        <w:spacing w:line="360" w:lineRule="auto"/>
        <w:jc w:val="both"/>
        <w:rPr>
          <w:rFonts w:ascii="Book Antiqua" w:hAnsi="Book Antiqua"/>
          <w:color w:val="333333"/>
          <w:shd w:val="clear" w:color="auto" w:fill="FFFFFF"/>
          <w:lang w:eastAsia="zh-CN"/>
        </w:rPr>
      </w:pPr>
    </w:p>
    <w:p w14:paraId="50E6BB0D" w14:textId="77777777" w:rsidR="00AB4533" w:rsidRDefault="00AB4533" w:rsidP="00A738B2">
      <w:pPr>
        <w:spacing w:line="360" w:lineRule="auto"/>
        <w:jc w:val="both"/>
        <w:rPr>
          <w:rFonts w:ascii="Book Antiqua" w:hAnsi="Book Antiqua"/>
          <w:color w:val="333333"/>
          <w:shd w:val="clear" w:color="auto" w:fill="FFFFFF"/>
          <w:lang w:eastAsia="zh-CN"/>
        </w:rPr>
      </w:pPr>
    </w:p>
    <w:p w14:paraId="3EA2BDF6" w14:textId="77777777" w:rsidR="00AB4533" w:rsidRDefault="00AB4533" w:rsidP="00A738B2">
      <w:pPr>
        <w:spacing w:line="360" w:lineRule="auto"/>
        <w:jc w:val="both"/>
        <w:rPr>
          <w:rFonts w:ascii="Book Antiqua" w:hAnsi="Book Antiqua"/>
          <w:color w:val="333333"/>
          <w:shd w:val="clear" w:color="auto" w:fill="FFFFFF"/>
          <w:lang w:eastAsia="zh-CN"/>
        </w:rPr>
      </w:pPr>
    </w:p>
    <w:p w14:paraId="045E50DA" w14:textId="77777777" w:rsidR="00AB4533" w:rsidRDefault="00AB4533" w:rsidP="00A738B2">
      <w:pPr>
        <w:spacing w:line="360" w:lineRule="auto"/>
        <w:jc w:val="both"/>
        <w:rPr>
          <w:rFonts w:ascii="Book Antiqua" w:hAnsi="Book Antiqua"/>
          <w:color w:val="333333"/>
          <w:shd w:val="clear" w:color="auto" w:fill="FFFFFF"/>
          <w:lang w:eastAsia="zh-CN"/>
        </w:rPr>
      </w:pPr>
    </w:p>
    <w:p w14:paraId="31505D70" w14:textId="77777777" w:rsidR="00AB4533" w:rsidRDefault="00AB4533" w:rsidP="00A738B2">
      <w:pPr>
        <w:spacing w:line="360" w:lineRule="auto"/>
        <w:jc w:val="both"/>
        <w:rPr>
          <w:rFonts w:ascii="Book Antiqua" w:hAnsi="Book Antiqua"/>
          <w:color w:val="333333"/>
          <w:shd w:val="clear" w:color="auto" w:fill="FFFFFF"/>
          <w:lang w:eastAsia="zh-CN"/>
        </w:rPr>
      </w:pPr>
    </w:p>
    <w:p w14:paraId="731D6BE6" w14:textId="77777777" w:rsidR="00AB4533" w:rsidRDefault="00AB4533" w:rsidP="00A738B2">
      <w:pPr>
        <w:spacing w:line="360" w:lineRule="auto"/>
        <w:jc w:val="both"/>
        <w:rPr>
          <w:rFonts w:ascii="Book Antiqua" w:hAnsi="Book Antiqua"/>
          <w:color w:val="333333"/>
          <w:shd w:val="clear" w:color="auto" w:fill="FFFFFF"/>
          <w:lang w:eastAsia="zh-CN"/>
        </w:rPr>
      </w:pPr>
    </w:p>
    <w:p w14:paraId="4AC14B11" w14:textId="77777777" w:rsidR="00AB4533" w:rsidRDefault="00AB4533" w:rsidP="00A738B2">
      <w:pPr>
        <w:spacing w:line="360" w:lineRule="auto"/>
        <w:jc w:val="both"/>
        <w:rPr>
          <w:rFonts w:ascii="Book Antiqua" w:hAnsi="Book Antiqua"/>
          <w:color w:val="333333"/>
          <w:shd w:val="clear" w:color="auto" w:fill="FFFFFF"/>
          <w:lang w:eastAsia="zh-CN"/>
        </w:rPr>
      </w:pPr>
    </w:p>
    <w:p w14:paraId="7469B665" w14:textId="77777777" w:rsidR="00AB4533" w:rsidRDefault="00AB4533" w:rsidP="00A738B2">
      <w:pPr>
        <w:spacing w:line="360" w:lineRule="auto"/>
        <w:jc w:val="both"/>
        <w:rPr>
          <w:rFonts w:ascii="Book Antiqua" w:hAnsi="Book Antiqua"/>
          <w:color w:val="333333"/>
          <w:shd w:val="clear" w:color="auto" w:fill="FFFFFF"/>
          <w:lang w:eastAsia="zh-CN"/>
        </w:rPr>
      </w:pPr>
    </w:p>
    <w:p w14:paraId="16873E20" w14:textId="77777777" w:rsidR="00AB4533" w:rsidRDefault="00AB4533" w:rsidP="00A738B2">
      <w:pPr>
        <w:spacing w:line="360" w:lineRule="auto"/>
        <w:jc w:val="both"/>
        <w:rPr>
          <w:rFonts w:ascii="Book Antiqua" w:hAnsi="Book Antiqua"/>
          <w:color w:val="333333"/>
          <w:shd w:val="clear" w:color="auto" w:fill="FFFFFF"/>
          <w:lang w:eastAsia="zh-CN"/>
        </w:rPr>
      </w:pPr>
    </w:p>
    <w:p w14:paraId="5D6707A6" w14:textId="77777777" w:rsidR="00AB4533" w:rsidRDefault="00AB4533" w:rsidP="00A738B2">
      <w:pPr>
        <w:spacing w:line="360" w:lineRule="auto"/>
        <w:jc w:val="both"/>
        <w:rPr>
          <w:rFonts w:ascii="Book Antiqua" w:hAnsi="Book Antiqua"/>
          <w:color w:val="333333"/>
          <w:shd w:val="clear" w:color="auto" w:fill="FFFFFF"/>
          <w:lang w:eastAsia="zh-CN"/>
        </w:rPr>
      </w:pPr>
    </w:p>
    <w:p w14:paraId="549D43B8" w14:textId="77777777" w:rsidR="00AB4533" w:rsidRDefault="00AB4533" w:rsidP="00A738B2">
      <w:pPr>
        <w:spacing w:line="360" w:lineRule="auto"/>
        <w:jc w:val="both"/>
        <w:rPr>
          <w:rFonts w:ascii="Book Antiqua" w:hAnsi="Book Antiqua"/>
          <w:color w:val="333333"/>
          <w:shd w:val="clear" w:color="auto" w:fill="FFFFFF"/>
          <w:lang w:eastAsia="zh-CN"/>
        </w:rPr>
      </w:pPr>
    </w:p>
    <w:p w14:paraId="303BD092" w14:textId="77777777" w:rsidR="00AB4533" w:rsidRPr="00A738B2" w:rsidRDefault="00AB4533" w:rsidP="00A738B2">
      <w:pPr>
        <w:spacing w:line="360" w:lineRule="auto"/>
        <w:jc w:val="both"/>
        <w:rPr>
          <w:rFonts w:ascii="Book Antiqua" w:hAnsi="Book Antiqua"/>
          <w:color w:val="333333"/>
          <w:shd w:val="clear" w:color="auto" w:fill="FFFFFF"/>
          <w:lang w:eastAsia="zh-CN"/>
        </w:rPr>
      </w:pPr>
    </w:p>
    <w:p w14:paraId="57EC0FE1" w14:textId="039BBDAB" w:rsidR="00655F4A" w:rsidRPr="00CE331D" w:rsidRDefault="00655F4A" w:rsidP="00CE331D">
      <w:pPr>
        <w:spacing w:line="360" w:lineRule="auto"/>
        <w:jc w:val="both"/>
        <w:rPr>
          <w:rFonts w:ascii="Book Antiqua" w:eastAsia="等线" w:hAnsi="Book Antiqua"/>
          <w:b/>
          <w:bCs/>
        </w:rPr>
      </w:pPr>
      <w:r w:rsidRPr="00CE331D">
        <w:rPr>
          <w:rFonts w:ascii="Book Antiqua" w:eastAsia="等线" w:hAnsi="Book Antiqua"/>
          <w:b/>
          <w:bCs/>
        </w:rPr>
        <w:t>Table 2 Symptom scores and remission time before and after treatment in the two groups</w:t>
      </w:r>
    </w:p>
    <w:tbl>
      <w:tblPr>
        <w:tblStyle w:val="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2061"/>
        <w:gridCol w:w="2042"/>
        <w:gridCol w:w="1412"/>
      </w:tblGrid>
      <w:tr w:rsidR="000769CC" w:rsidRPr="00CE331D" w14:paraId="362904AA" w14:textId="77777777" w:rsidTr="00A420BA">
        <w:trPr>
          <w:trHeight w:val="389"/>
        </w:trPr>
        <w:tc>
          <w:tcPr>
            <w:tcW w:w="2120" w:type="pct"/>
            <w:tcBorders>
              <w:top w:val="single" w:sz="4" w:space="0" w:color="auto"/>
              <w:bottom w:val="single" w:sz="4" w:space="0" w:color="auto"/>
            </w:tcBorders>
            <w:hideMark/>
          </w:tcPr>
          <w:p w14:paraId="162A0C13" w14:textId="77777777"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rPr>
              <w:t>Group</w:t>
            </w:r>
          </w:p>
        </w:tc>
        <w:tc>
          <w:tcPr>
            <w:tcW w:w="1076" w:type="pct"/>
            <w:tcBorders>
              <w:top w:val="single" w:sz="4" w:space="0" w:color="auto"/>
              <w:bottom w:val="single" w:sz="4" w:space="0" w:color="auto"/>
            </w:tcBorders>
            <w:hideMark/>
          </w:tcPr>
          <w:p w14:paraId="661DE681" w14:textId="2703CEC3"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rPr>
              <w:t>PPI (</w:t>
            </w:r>
            <w:r w:rsidRPr="00CE331D">
              <w:rPr>
                <w:rFonts w:ascii="Book Antiqua" w:eastAsia="宋体" w:hAnsi="Book Antiqua"/>
                <w:b/>
                <w:bCs/>
                <w:i/>
                <w:iCs/>
              </w:rPr>
              <w:t>n</w:t>
            </w:r>
            <w:r w:rsidRPr="00CE331D">
              <w:rPr>
                <w:rFonts w:ascii="Book Antiqua" w:eastAsia="宋体" w:hAnsi="Book Antiqua"/>
                <w:b/>
                <w:bCs/>
              </w:rPr>
              <w:t xml:space="preserve"> = 12)</w:t>
            </w:r>
          </w:p>
        </w:tc>
        <w:tc>
          <w:tcPr>
            <w:tcW w:w="1066" w:type="pct"/>
            <w:tcBorders>
              <w:top w:val="single" w:sz="4" w:space="0" w:color="auto"/>
              <w:bottom w:val="single" w:sz="4" w:space="0" w:color="auto"/>
            </w:tcBorders>
            <w:hideMark/>
          </w:tcPr>
          <w:p w14:paraId="2420C625" w14:textId="4B774F9D"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rPr>
              <w:t>WMT (</w:t>
            </w:r>
            <w:r w:rsidRPr="00CE331D">
              <w:rPr>
                <w:rFonts w:ascii="Book Antiqua" w:eastAsia="宋体" w:hAnsi="Book Antiqua"/>
                <w:b/>
                <w:bCs/>
                <w:i/>
                <w:iCs/>
              </w:rPr>
              <w:t>n</w:t>
            </w:r>
            <w:r w:rsidRPr="00CE331D">
              <w:rPr>
                <w:rFonts w:ascii="Book Antiqua" w:eastAsia="宋体" w:hAnsi="Book Antiqua"/>
                <w:b/>
                <w:bCs/>
              </w:rPr>
              <w:t xml:space="preserve"> = 15)</w:t>
            </w:r>
          </w:p>
        </w:tc>
        <w:tc>
          <w:tcPr>
            <w:tcW w:w="737" w:type="pct"/>
            <w:tcBorders>
              <w:top w:val="single" w:sz="4" w:space="0" w:color="auto"/>
              <w:bottom w:val="single" w:sz="4" w:space="0" w:color="auto"/>
            </w:tcBorders>
            <w:hideMark/>
          </w:tcPr>
          <w:p w14:paraId="73CDB86C" w14:textId="3D1B1845"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b/>
                <w:bCs/>
                <w:i/>
                <w:iCs/>
              </w:rPr>
              <w:t>P</w:t>
            </w:r>
            <w:r w:rsidRPr="00CE331D">
              <w:rPr>
                <w:rFonts w:ascii="Book Antiqua" w:eastAsia="宋体" w:hAnsi="Book Antiqua"/>
                <w:b/>
                <w:bCs/>
              </w:rPr>
              <w:t xml:space="preserve"> value</w:t>
            </w:r>
            <w:r w:rsidR="00B80E7C" w:rsidRPr="00CE331D">
              <w:rPr>
                <w:rFonts w:ascii="Book Antiqua" w:eastAsia="宋体" w:hAnsi="Book Antiqua"/>
                <w:b/>
                <w:bCs/>
                <w:vertAlign w:val="superscript"/>
              </w:rPr>
              <w:t>1</w:t>
            </w:r>
          </w:p>
        </w:tc>
      </w:tr>
      <w:tr w:rsidR="000769CC" w:rsidRPr="00CE331D" w14:paraId="3CCB2BF3" w14:textId="77777777" w:rsidTr="00A420BA">
        <w:trPr>
          <w:trHeight w:val="519"/>
        </w:trPr>
        <w:tc>
          <w:tcPr>
            <w:tcW w:w="2120" w:type="pct"/>
            <w:tcBorders>
              <w:top w:val="single" w:sz="4" w:space="0" w:color="auto"/>
            </w:tcBorders>
            <w:hideMark/>
          </w:tcPr>
          <w:p w14:paraId="72F18598" w14:textId="0DA7937B"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Pre-GERDQ </w:t>
            </w:r>
            <w:r w:rsidRPr="00CE331D">
              <w:rPr>
                <w:rFonts w:ascii="Book Antiqua" w:hAnsi="Book Antiqua"/>
              </w:rPr>
              <w:t>(median; IQR)</w:t>
            </w:r>
          </w:p>
        </w:tc>
        <w:tc>
          <w:tcPr>
            <w:tcW w:w="1076" w:type="pct"/>
            <w:tcBorders>
              <w:top w:val="single" w:sz="4" w:space="0" w:color="auto"/>
            </w:tcBorders>
            <w:hideMark/>
          </w:tcPr>
          <w:p w14:paraId="369F1D11" w14:textId="3CE11BA0"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12 (9, 13.75)</w:t>
            </w:r>
          </w:p>
        </w:tc>
        <w:tc>
          <w:tcPr>
            <w:tcW w:w="1066" w:type="pct"/>
            <w:tcBorders>
              <w:top w:val="single" w:sz="4" w:space="0" w:color="auto"/>
            </w:tcBorders>
            <w:hideMark/>
          </w:tcPr>
          <w:p w14:paraId="112AF0F7" w14:textId="22EDA943"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12 (10, 12)</w:t>
            </w:r>
          </w:p>
        </w:tc>
        <w:tc>
          <w:tcPr>
            <w:tcW w:w="737" w:type="pct"/>
            <w:tcBorders>
              <w:top w:val="single" w:sz="4" w:space="0" w:color="auto"/>
            </w:tcBorders>
            <w:hideMark/>
          </w:tcPr>
          <w:p w14:paraId="1E22EC2D"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0.746</w:t>
            </w:r>
          </w:p>
        </w:tc>
      </w:tr>
      <w:tr w:rsidR="000769CC" w:rsidRPr="00CE331D" w14:paraId="69B729A3" w14:textId="77777777" w:rsidTr="00A420BA">
        <w:trPr>
          <w:trHeight w:val="397"/>
        </w:trPr>
        <w:tc>
          <w:tcPr>
            <w:tcW w:w="2120" w:type="pct"/>
            <w:hideMark/>
          </w:tcPr>
          <w:p w14:paraId="1CBCF747" w14:textId="326DB139"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Post-GERDQ </w:t>
            </w:r>
            <w:r w:rsidRPr="00CE331D">
              <w:rPr>
                <w:rFonts w:ascii="Book Antiqua" w:hAnsi="Book Antiqua"/>
              </w:rPr>
              <w:t>(median; IQR)</w:t>
            </w:r>
          </w:p>
        </w:tc>
        <w:tc>
          <w:tcPr>
            <w:tcW w:w="1076" w:type="pct"/>
            <w:hideMark/>
          </w:tcPr>
          <w:p w14:paraId="186723A8" w14:textId="1C351E88"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11 (8.25, 13.5)</w:t>
            </w:r>
          </w:p>
        </w:tc>
        <w:tc>
          <w:tcPr>
            <w:tcW w:w="1066" w:type="pct"/>
            <w:hideMark/>
          </w:tcPr>
          <w:p w14:paraId="47CF94BC" w14:textId="4CF98A22"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7 (7, 8)</w:t>
            </w:r>
          </w:p>
        </w:tc>
        <w:tc>
          <w:tcPr>
            <w:tcW w:w="737" w:type="pct"/>
            <w:hideMark/>
          </w:tcPr>
          <w:p w14:paraId="1E7E2DFE"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0.004</w:t>
            </w:r>
          </w:p>
        </w:tc>
      </w:tr>
      <w:tr w:rsidR="000769CC" w:rsidRPr="00CE331D" w14:paraId="6CF46270" w14:textId="77777777" w:rsidTr="00A420BA">
        <w:trPr>
          <w:trHeight w:val="137"/>
        </w:trPr>
        <w:tc>
          <w:tcPr>
            <w:tcW w:w="2120" w:type="pct"/>
            <w:hideMark/>
          </w:tcPr>
          <w:p w14:paraId="531C40EE" w14:textId="537EF0EC"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Intra-group, </w:t>
            </w:r>
            <w:r w:rsidRPr="00CE331D">
              <w:rPr>
                <w:rFonts w:ascii="Book Antiqua" w:eastAsia="宋体" w:hAnsi="Book Antiqua"/>
                <w:i/>
                <w:iCs/>
              </w:rPr>
              <w:t>P</w:t>
            </w:r>
            <w:r w:rsidRPr="00CE331D">
              <w:rPr>
                <w:rFonts w:ascii="Book Antiqua" w:eastAsia="宋体" w:hAnsi="Book Antiqua"/>
              </w:rPr>
              <w:t xml:space="preserve"> value</w:t>
            </w:r>
            <w:r w:rsidR="00B80E7C" w:rsidRPr="00CE331D">
              <w:rPr>
                <w:rFonts w:ascii="Book Antiqua" w:eastAsia="宋体" w:hAnsi="Book Antiqua"/>
                <w:vertAlign w:val="superscript"/>
              </w:rPr>
              <w:t>2</w:t>
            </w:r>
          </w:p>
        </w:tc>
        <w:tc>
          <w:tcPr>
            <w:tcW w:w="1076" w:type="pct"/>
            <w:hideMark/>
          </w:tcPr>
          <w:p w14:paraId="0A939D19" w14:textId="36495A2C"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0.477</w:t>
            </w:r>
          </w:p>
        </w:tc>
        <w:tc>
          <w:tcPr>
            <w:tcW w:w="1066" w:type="pct"/>
            <w:hideMark/>
          </w:tcPr>
          <w:p w14:paraId="4DC863C2" w14:textId="425C7831"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0.003</w:t>
            </w:r>
          </w:p>
        </w:tc>
        <w:tc>
          <w:tcPr>
            <w:tcW w:w="737" w:type="pct"/>
          </w:tcPr>
          <w:p w14:paraId="1294AE6E" w14:textId="77777777" w:rsidR="000769CC" w:rsidRPr="00CE331D" w:rsidRDefault="000769CC" w:rsidP="00CE331D">
            <w:pPr>
              <w:spacing w:line="360" w:lineRule="auto"/>
              <w:jc w:val="both"/>
              <w:rPr>
                <w:rFonts w:ascii="Book Antiqua" w:eastAsia="宋体" w:hAnsi="Book Antiqua"/>
              </w:rPr>
            </w:pPr>
          </w:p>
        </w:tc>
      </w:tr>
      <w:tr w:rsidR="000769CC" w:rsidRPr="00CE331D" w14:paraId="6C690342" w14:textId="77777777" w:rsidTr="00A420BA">
        <w:trPr>
          <w:trHeight w:val="393"/>
        </w:trPr>
        <w:tc>
          <w:tcPr>
            <w:tcW w:w="2120" w:type="pct"/>
            <w:hideMark/>
          </w:tcPr>
          <w:p w14:paraId="742B5655" w14:textId="64EE0FA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Pre-RDQ </w:t>
            </w:r>
            <w:r w:rsidRPr="00CE331D">
              <w:rPr>
                <w:rFonts w:ascii="Book Antiqua" w:hAnsi="Book Antiqua"/>
              </w:rPr>
              <w:t>(median, IQR)</w:t>
            </w:r>
          </w:p>
        </w:tc>
        <w:tc>
          <w:tcPr>
            <w:tcW w:w="1076" w:type="pct"/>
          </w:tcPr>
          <w:p w14:paraId="22193C1B" w14:textId="7DA20DD4"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26 (18, 33)</w:t>
            </w:r>
          </w:p>
        </w:tc>
        <w:tc>
          <w:tcPr>
            <w:tcW w:w="1066" w:type="pct"/>
          </w:tcPr>
          <w:p w14:paraId="18E252D7" w14:textId="7FB4CDC0"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23 (16, 25)</w:t>
            </w:r>
          </w:p>
        </w:tc>
        <w:tc>
          <w:tcPr>
            <w:tcW w:w="737" w:type="pct"/>
          </w:tcPr>
          <w:p w14:paraId="2A82865A"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0.203</w:t>
            </w:r>
          </w:p>
        </w:tc>
      </w:tr>
      <w:tr w:rsidR="000769CC" w:rsidRPr="00CE331D" w14:paraId="27BFFB55" w14:textId="77777777" w:rsidTr="00A420BA">
        <w:trPr>
          <w:trHeight w:val="68"/>
        </w:trPr>
        <w:tc>
          <w:tcPr>
            <w:tcW w:w="2120" w:type="pct"/>
            <w:hideMark/>
          </w:tcPr>
          <w:p w14:paraId="392C3960" w14:textId="31A85C3D"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Post-RDQ </w:t>
            </w:r>
            <w:r w:rsidRPr="00CE331D">
              <w:rPr>
                <w:rFonts w:ascii="Book Antiqua" w:hAnsi="Book Antiqua"/>
              </w:rPr>
              <w:t>(median, IQR)</w:t>
            </w:r>
          </w:p>
        </w:tc>
        <w:tc>
          <w:tcPr>
            <w:tcW w:w="1076" w:type="pct"/>
          </w:tcPr>
          <w:p w14:paraId="0E1C3E2B" w14:textId="02D34245"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20.5 (12.75, 26)</w:t>
            </w:r>
          </w:p>
        </w:tc>
        <w:tc>
          <w:tcPr>
            <w:tcW w:w="1066" w:type="pct"/>
          </w:tcPr>
          <w:p w14:paraId="7733BE3C" w14:textId="72248FFD" w:rsidR="000769CC" w:rsidRPr="00CE331D" w:rsidRDefault="000769CC" w:rsidP="00CE331D">
            <w:pPr>
              <w:spacing w:line="360" w:lineRule="auto"/>
              <w:jc w:val="both"/>
              <w:rPr>
                <w:rFonts w:ascii="Book Antiqua" w:eastAsia="宋体" w:hAnsi="Book Antiqua"/>
                <w:b/>
                <w:bCs/>
              </w:rPr>
            </w:pPr>
            <w:r w:rsidRPr="00CE331D">
              <w:rPr>
                <w:rFonts w:ascii="Book Antiqua" w:eastAsia="宋体" w:hAnsi="Book Antiqua"/>
              </w:rPr>
              <w:t>8 (6, 12)</w:t>
            </w:r>
          </w:p>
        </w:tc>
        <w:tc>
          <w:tcPr>
            <w:tcW w:w="737" w:type="pct"/>
          </w:tcPr>
          <w:p w14:paraId="5E957BEC" w14:textId="77777777"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0.003</w:t>
            </w:r>
          </w:p>
        </w:tc>
      </w:tr>
      <w:tr w:rsidR="000769CC" w:rsidRPr="00CE331D" w14:paraId="1CCB35F2" w14:textId="77777777" w:rsidTr="00A420BA">
        <w:trPr>
          <w:trHeight w:val="159"/>
        </w:trPr>
        <w:tc>
          <w:tcPr>
            <w:tcW w:w="2120" w:type="pct"/>
            <w:hideMark/>
          </w:tcPr>
          <w:p w14:paraId="7198B101" w14:textId="33A6B625"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 xml:space="preserve">Intra-group, </w:t>
            </w:r>
            <w:r w:rsidRPr="00CE331D">
              <w:rPr>
                <w:rFonts w:ascii="Book Antiqua" w:eastAsia="宋体" w:hAnsi="Book Antiqua"/>
                <w:i/>
                <w:iCs/>
              </w:rPr>
              <w:t>P</w:t>
            </w:r>
            <w:r w:rsidRPr="00CE331D">
              <w:rPr>
                <w:rFonts w:ascii="Book Antiqua" w:eastAsia="宋体" w:hAnsi="Book Antiqua"/>
              </w:rPr>
              <w:t xml:space="preserve"> value</w:t>
            </w:r>
          </w:p>
        </w:tc>
        <w:tc>
          <w:tcPr>
            <w:tcW w:w="1076" w:type="pct"/>
            <w:hideMark/>
          </w:tcPr>
          <w:p w14:paraId="59ADBAFF" w14:textId="1DA66769"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0.005</w:t>
            </w:r>
          </w:p>
        </w:tc>
        <w:tc>
          <w:tcPr>
            <w:tcW w:w="1066" w:type="pct"/>
            <w:hideMark/>
          </w:tcPr>
          <w:p w14:paraId="03015148" w14:textId="1797FEEA" w:rsidR="000769CC" w:rsidRPr="00CE331D" w:rsidRDefault="000769CC" w:rsidP="00CE331D">
            <w:pPr>
              <w:spacing w:line="360" w:lineRule="auto"/>
              <w:jc w:val="both"/>
              <w:rPr>
                <w:rFonts w:ascii="Book Antiqua" w:eastAsia="宋体" w:hAnsi="Book Antiqua"/>
              </w:rPr>
            </w:pPr>
            <w:r w:rsidRPr="00CE331D">
              <w:rPr>
                <w:rFonts w:ascii="Book Antiqua" w:eastAsia="宋体" w:hAnsi="Book Antiqua"/>
              </w:rPr>
              <w:t>0.002</w:t>
            </w:r>
          </w:p>
        </w:tc>
        <w:tc>
          <w:tcPr>
            <w:tcW w:w="737" w:type="pct"/>
          </w:tcPr>
          <w:p w14:paraId="318A2C1E" w14:textId="77777777" w:rsidR="000769CC" w:rsidRPr="00CE331D" w:rsidRDefault="000769CC" w:rsidP="00CE331D">
            <w:pPr>
              <w:spacing w:line="360" w:lineRule="auto"/>
              <w:jc w:val="both"/>
              <w:rPr>
                <w:rFonts w:ascii="Book Antiqua" w:eastAsia="宋体" w:hAnsi="Book Antiqua"/>
              </w:rPr>
            </w:pPr>
          </w:p>
        </w:tc>
      </w:tr>
      <w:tr w:rsidR="000769CC" w:rsidRPr="00CE331D" w14:paraId="779DA944" w14:textId="77777777" w:rsidTr="00A420BA">
        <w:trPr>
          <w:trHeight w:val="557"/>
        </w:trPr>
        <w:tc>
          <w:tcPr>
            <w:tcW w:w="2120" w:type="pct"/>
            <w:hideMark/>
          </w:tcPr>
          <w:p w14:paraId="6E009D34" w14:textId="3B008E79" w:rsidR="000769CC" w:rsidRPr="00CE331D" w:rsidRDefault="000769CC" w:rsidP="00A420BA">
            <w:pPr>
              <w:spacing w:line="360" w:lineRule="auto"/>
              <w:jc w:val="both"/>
              <w:rPr>
                <w:rFonts w:ascii="Book Antiqua" w:hAnsi="Book Antiqua"/>
              </w:rPr>
            </w:pPr>
            <w:bookmarkStart w:id="15" w:name="_Hlk50838977"/>
            <w:r w:rsidRPr="00CE331D">
              <w:rPr>
                <w:rFonts w:ascii="Book Antiqua" w:hAnsi="Book Antiqua"/>
              </w:rPr>
              <w:t>Remission time (median, IQR; mo)</w:t>
            </w:r>
          </w:p>
        </w:tc>
        <w:tc>
          <w:tcPr>
            <w:tcW w:w="1076" w:type="pct"/>
          </w:tcPr>
          <w:p w14:paraId="7B52C36A" w14:textId="72AD70F4" w:rsidR="000769CC" w:rsidRPr="00CE331D" w:rsidRDefault="000769CC" w:rsidP="00CE331D">
            <w:pPr>
              <w:spacing w:line="360" w:lineRule="auto"/>
              <w:jc w:val="both"/>
              <w:rPr>
                <w:rFonts w:ascii="Book Antiqua" w:hAnsi="Book Antiqua"/>
              </w:rPr>
            </w:pPr>
            <w:r w:rsidRPr="00CE331D">
              <w:rPr>
                <w:rFonts w:ascii="Book Antiqua" w:hAnsi="Book Antiqua"/>
              </w:rPr>
              <w:t>2 (0, 4)</w:t>
            </w:r>
          </w:p>
        </w:tc>
        <w:tc>
          <w:tcPr>
            <w:tcW w:w="1066" w:type="pct"/>
          </w:tcPr>
          <w:p w14:paraId="26AEC91D" w14:textId="5F7DA4B5" w:rsidR="000769CC" w:rsidRPr="00CE331D" w:rsidRDefault="000769CC" w:rsidP="00CE331D">
            <w:pPr>
              <w:spacing w:line="360" w:lineRule="auto"/>
              <w:jc w:val="both"/>
              <w:rPr>
                <w:rFonts w:ascii="Book Antiqua" w:eastAsia="宋体" w:hAnsi="Book Antiqua"/>
              </w:rPr>
            </w:pPr>
            <w:r w:rsidRPr="00CE331D">
              <w:rPr>
                <w:rFonts w:ascii="Book Antiqua" w:hAnsi="Book Antiqua"/>
              </w:rPr>
              <w:t>8 (3, 17)</w:t>
            </w:r>
          </w:p>
        </w:tc>
        <w:tc>
          <w:tcPr>
            <w:tcW w:w="737" w:type="pct"/>
          </w:tcPr>
          <w:p w14:paraId="24554DFD" w14:textId="77777777" w:rsidR="000769CC" w:rsidRPr="00CE331D" w:rsidRDefault="000769CC" w:rsidP="00CE331D">
            <w:pPr>
              <w:spacing w:line="360" w:lineRule="auto"/>
              <w:jc w:val="both"/>
              <w:rPr>
                <w:rFonts w:ascii="Book Antiqua" w:hAnsi="Book Antiqua"/>
              </w:rPr>
            </w:pPr>
            <w:r w:rsidRPr="00CE331D">
              <w:rPr>
                <w:rFonts w:ascii="Book Antiqua" w:hAnsi="Book Antiqua"/>
              </w:rPr>
              <w:t>0.002</w:t>
            </w:r>
          </w:p>
        </w:tc>
      </w:tr>
    </w:tbl>
    <w:bookmarkEnd w:id="15"/>
    <w:p w14:paraId="3DBD398D" w14:textId="77777777" w:rsidR="00A738B2" w:rsidRDefault="00B80E7C" w:rsidP="00CE331D">
      <w:pPr>
        <w:spacing w:line="360" w:lineRule="auto"/>
        <w:jc w:val="both"/>
        <w:rPr>
          <w:rFonts w:ascii="Book Antiqua" w:hAnsi="Book Antiqua"/>
          <w:lang w:eastAsia="zh-CN"/>
        </w:rPr>
      </w:pPr>
      <w:r w:rsidRPr="00CE331D">
        <w:rPr>
          <w:rFonts w:ascii="Book Antiqua" w:hAnsi="Book Antiqua"/>
          <w:vertAlign w:val="superscript"/>
        </w:rPr>
        <w:t>1</w:t>
      </w:r>
      <w:r w:rsidRPr="00CE331D">
        <w:rPr>
          <w:rFonts w:ascii="Book Antiqua" w:hAnsi="Book Antiqua"/>
        </w:rPr>
        <w:t xml:space="preserve">The RDQ and GERDQ scores between two groups </w:t>
      </w:r>
      <w:bookmarkStart w:id="16" w:name="_Hlk50932001"/>
      <w:r w:rsidRPr="00CE331D">
        <w:rPr>
          <w:rFonts w:ascii="Book Antiqua" w:hAnsi="Book Antiqua"/>
        </w:rPr>
        <w:t>were analyzed by non-parametric</w:t>
      </w:r>
      <w:bookmarkEnd w:id="16"/>
      <w:r w:rsidRPr="00CE331D">
        <w:rPr>
          <w:rFonts w:ascii="Book Antiqua" w:hAnsi="Book Antiqua"/>
        </w:rPr>
        <w:t xml:space="preserve"> Mann-Whitney </w:t>
      </w:r>
      <w:r w:rsidR="00E6723B">
        <w:rPr>
          <w:rFonts w:ascii="Book Antiqua" w:hAnsi="Book Antiqua"/>
        </w:rPr>
        <w:t>t</w:t>
      </w:r>
      <w:r w:rsidR="00E6723B" w:rsidRPr="00CE331D">
        <w:rPr>
          <w:rFonts w:ascii="Book Antiqua" w:hAnsi="Book Antiqua"/>
        </w:rPr>
        <w:t>est</w:t>
      </w:r>
      <w:r w:rsidR="00A738B2">
        <w:rPr>
          <w:rFonts w:ascii="Book Antiqua" w:hAnsi="Book Antiqua" w:hint="eastAsia"/>
          <w:lang w:eastAsia="zh-CN"/>
        </w:rPr>
        <w:t>.</w:t>
      </w:r>
    </w:p>
    <w:p w14:paraId="34FFAB1B" w14:textId="77777777" w:rsidR="00A738B2" w:rsidRDefault="00B80E7C" w:rsidP="00CE331D">
      <w:pPr>
        <w:spacing w:line="360" w:lineRule="auto"/>
        <w:jc w:val="both"/>
        <w:rPr>
          <w:rFonts w:ascii="Book Antiqua" w:hAnsi="Book Antiqua"/>
          <w:lang w:eastAsia="zh-CN"/>
        </w:rPr>
      </w:pPr>
      <w:r w:rsidRPr="00CE331D">
        <w:rPr>
          <w:rFonts w:ascii="Book Antiqua" w:hAnsi="Book Antiqua"/>
          <w:vertAlign w:val="superscript"/>
        </w:rPr>
        <w:t>2</w:t>
      </w:r>
      <w:r w:rsidRPr="00CE331D">
        <w:rPr>
          <w:rFonts w:ascii="Book Antiqua" w:hAnsi="Book Antiqua"/>
        </w:rPr>
        <w:t xml:space="preserve">The </w:t>
      </w:r>
      <w:r w:rsidR="00E6723B" w:rsidRPr="00CE331D">
        <w:rPr>
          <w:rFonts w:ascii="Book Antiqua" w:hAnsi="Book Antiqua"/>
        </w:rPr>
        <w:t xml:space="preserve">intra-group </w:t>
      </w:r>
      <w:r w:rsidRPr="00CE331D">
        <w:rPr>
          <w:rFonts w:ascii="Book Antiqua" w:hAnsi="Book Antiqua"/>
        </w:rPr>
        <w:t>RDQ and GERDQ scores</w:t>
      </w:r>
      <w:r w:rsidR="00E6723B">
        <w:rPr>
          <w:rFonts w:ascii="Book Antiqua" w:hAnsi="Book Antiqua"/>
        </w:rPr>
        <w:t xml:space="preserve"> </w:t>
      </w:r>
      <w:r w:rsidRPr="00CE331D">
        <w:rPr>
          <w:rFonts w:ascii="Book Antiqua" w:hAnsi="Book Antiqua"/>
        </w:rPr>
        <w:t xml:space="preserve">were analyzed by non-parametric Wilcoxon signed-rank test. </w:t>
      </w:r>
    </w:p>
    <w:p w14:paraId="48C3F433" w14:textId="4F54047F" w:rsidR="00655F4A" w:rsidRPr="00CE331D" w:rsidRDefault="00655F4A" w:rsidP="00CE331D">
      <w:pPr>
        <w:spacing w:line="360" w:lineRule="auto"/>
        <w:jc w:val="both"/>
        <w:rPr>
          <w:rFonts w:ascii="Book Antiqua" w:hAnsi="Book Antiqua"/>
        </w:rPr>
      </w:pPr>
      <w:r w:rsidRPr="00CE331D">
        <w:rPr>
          <w:rFonts w:ascii="Book Antiqua" w:hAnsi="Book Antiqua"/>
          <w:color w:val="000000" w:themeColor="text1"/>
        </w:rPr>
        <w:t>WMT</w:t>
      </w:r>
      <w:r w:rsidR="00705D3C" w:rsidRPr="00CE331D">
        <w:rPr>
          <w:rFonts w:ascii="Book Antiqua" w:hAnsi="Book Antiqua"/>
          <w:color w:val="000000" w:themeColor="text1"/>
        </w:rPr>
        <w:t>:</w:t>
      </w:r>
      <w:r w:rsidRPr="00CE331D">
        <w:rPr>
          <w:rFonts w:ascii="Book Antiqua" w:hAnsi="Book Antiqua"/>
          <w:color w:val="000000" w:themeColor="text1"/>
        </w:rPr>
        <w:t xml:space="preserve"> </w:t>
      </w:r>
      <w:r w:rsidR="00954464" w:rsidRPr="00CE331D">
        <w:rPr>
          <w:rFonts w:ascii="Book Antiqua" w:hAnsi="Book Antiqua"/>
          <w:color w:val="000000" w:themeColor="text1"/>
        </w:rPr>
        <w:t>W</w:t>
      </w:r>
      <w:r w:rsidRPr="00CE331D">
        <w:rPr>
          <w:rFonts w:ascii="Book Antiqua" w:hAnsi="Book Antiqua"/>
          <w:color w:val="000000" w:themeColor="text1"/>
        </w:rPr>
        <w:t>ashed microbiota transplantation; PPI</w:t>
      </w:r>
      <w:r w:rsidR="00705D3C" w:rsidRPr="00CE331D">
        <w:rPr>
          <w:rFonts w:ascii="Book Antiqua" w:hAnsi="Book Antiqua"/>
          <w:color w:val="000000" w:themeColor="text1"/>
        </w:rPr>
        <w:t>:</w:t>
      </w:r>
      <w:r w:rsidRPr="00CE331D">
        <w:rPr>
          <w:rFonts w:ascii="Book Antiqua" w:hAnsi="Book Antiqua"/>
          <w:color w:val="000000" w:themeColor="text1"/>
        </w:rPr>
        <w:t xml:space="preserve"> </w:t>
      </w:r>
      <w:r w:rsidR="00954464" w:rsidRPr="00CE331D">
        <w:rPr>
          <w:rFonts w:ascii="Book Antiqua" w:hAnsi="Book Antiqua"/>
          <w:color w:val="000000" w:themeColor="text1"/>
        </w:rPr>
        <w:t>P</w:t>
      </w:r>
      <w:r w:rsidRPr="00CE331D">
        <w:rPr>
          <w:rFonts w:ascii="Book Antiqua" w:hAnsi="Book Antiqua"/>
          <w:color w:val="000000" w:themeColor="text1"/>
        </w:rPr>
        <w:t>roton pump inhibitors; RDQ</w:t>
      </w:r>
      <w:r w:rsidR="00705D3C" w:rsidRPr="00CE331D">
        <w:rPr>
          <w:rFonts w:ascii="Book Antiqua" w:hAnsi="Book Antiqua"/>
          <w:color w:val="000000" w:themeColor="text1"/>
        </w:rPr>
        <w:t>:</w:t>
      </w:r>
      <w:r w:rsidRPr="00CE331D">
        <w:rPr>
          <w:rFonts w:ascii="Book Antiqua" w:hAnsi="Book Antiqua"/>
          <w:color w:val="000000" w:themeColor="text1"/>
        </w:rPr>
        <w:t xml:space="preserve"> </w:t>
      </w:r>
      <w:r w:rsidR="00954464" w:rsidRPr="00CE331D">
        <w:rPr>
          <w:rFonts w:ascii="Book Antiqua" w:hAnsi="Book Antiqua"/>
          <w:color w:val="000000" w:themeColor="text1"/>
        </w:rPr>
        <w:t>R</w:t>
      </w:r>
      <w:r w:rsidRPr="00CE331D">
        <w:rPr>
          <w:rFonts w:ascii="Book Antiqua" w:hAnsi="Book Antiqua"/>
          <w:color w:val="000000" w:themeColor="text1"/>
        </w:rPr>
        <w:t>eflux disease questionnaire; GERDQ</w:t>
      </w:r>
      <w:r w:rsidR="00705D3C" w:rsidRPr="00CE331D">
        <w:rPr>
          <w:rFonts w:ascii="Book Antiqua" w:hAnsi="Book Antiqua"/>
          <w:color w:val="000000" w:themeColor="text1"/>
        </w:rPr>
        <w:t>:</w:t>
      </w:r>
      <w:r w:rsidRPr="00CE331D">
        <w:rPr>
          <w:rFonts w:ascii="Book Antiqua" w:hAnsi="Book Antiqua"/>
          <w:color w:val="000000" w:themeColor="text1"/>
        </w:rPr>
        <w:t xml:space="preserve"> </w:t>
      </w:r>
      <w:r w:rsidR="00954464" w:rsidRPr="00CE331D">
        <w:rPr>
          <w:rFonts w:ascii="Book Antiqua" w:hAnsi="Book Antiqua"/>
          <w:color w:val="000000" w:themeColor="text1"/>
        </w:rPr>
        <w:t>G</w:t>
      </w:r>
      <w:r w:rsidRPr="00CE331D">
        <w:rPr>
          <w:rFonts w:ascii="Book Antiqua" w:hAnsi="Book Antiqua"/>
          <w:color w:val="000000" w:themeColor="text1"/>
        </w:rPr>
        <w:t xml:space="preserve">astroesophageal reflux disease questionnaire; </w:t>
      </w:r>
      <w:r w:rsidRPr="00CE331D">
        <w:rPr>
          <w:rFonts w:ascii="Book Antiqua" w:hAnsi="Book Antiqua"/>
          <w:color w:val="000000" w:themeColor="text1"/>
          <w:shd w:val="clear" w:color="auto" w:fill="FFFFFF"/>
        </w:rPr>
        <w:t xml:space="preserve">IQR: </w:t>
      </w:r>
      <w:r w:rsidR="00954464" w:rsidRPr="00CE331D">
        <w:rPr>
          <w:rFonts w:ascii="Book Antiqua" w:hAnsi="Book Antiqua"/>
          <w:color w:val="000000" w:themeColor="text1"/>
          <w:shd w:val="clear" w:color="auto" w:fill="FFFFFF"/>
        </w:rPr>
        <w:t>I</w:t>
      </w:r>
      <w:r w:rsidRPr="00CE331D">
        <w:rPr>
          <w:rFonts w:ascii="Book Antiqua" w:hAnsi="Book Antiqua"/>
          <w:color w:val="000000" w:themeColor="text1"/>
          <w:shd w:val="clear" w:color="auto" w:fill="FFFFFF"/>
        </w:rPr>
        <w:t>nterquartile range.</w:t>
      </w:r>
      <w:r w:rsidRPr="00CE331D">
        <w:rPr>
          <w:rFonts w:ascii="Book Antiqua" w:hAnsi="Book Antiqua"/>
        </w:rPr>
        <w:t xml:space="preserve"> </w:t>
      </w:r>
    </w:p>
    <w:p w14:paraId="56198978" w14:textId="77777777" w:rsidR="00AB4533" w:rsidRDefault="00AB4533" w:rsidP="00CE331D">
      <w:pPr>
        <w:tabs>
          <w:tab w:val="left" w:pos="1750"/>
        </w:tabs>
        <w:spacing w:line="360" w:lineRule="auto"/>
        <w:jc w:val="both"/>
        <w:rPr>
          <w:rFonts w:ascii="Book Antiqua" w:hAnsi="Book Antiqua"/>
          <w:lang w:eastAsia="zh-CN"/>
        </w:rPr>
      </w:pPr>
      <w:bookmarkStart w:id="17" w:name="_Hlk41680359"/>
      <w:bookmarkStart w:id="18" w:name="_Hlk32265180"/>
    </w:p>
    <w:p w14:paraId="2CBBA8E6" w14:textId="77777777" w:rsidR="00AB4533" w:rsidRDefault="00AB4533" w:rsidP="00CE331D">
      <w:pPr>
        <w:tabs>
          <w:tab w:val="left" w:pos="1750"/>
        </w:tabs>
        <w:spacing w:line="360" w:lineRule="auto"/>
        <w:jc w:val="both"/>
        <w:rPr>
          <w:rFonts w:ascii="Book Antiqua" w:hAnsi="Book Antiqua"/>
          <w:lang w:eastAsia="zh-CN"/>
        </w:rPr>
      </w:pPr>
    </w:p>
    <w:p w14:paraId="364B440A" w14:textId="77777777" w:rsidR="00AB4533" w:rsidRDefault="00AB4533" w:rsidP="00CE331D">
      <w:pPr>
        <w:tabs>
          <w:tab w:val="left" w:pos="1750"/>
        </w:tabs>
        <w:spacing w:line="360" w:lineRule="auto"/>
        <w:jc w:val="both"/>
        <w:rPr>
          <w:rFonts w:ascii="Book Antiqua" w:hAnsi="Book Antiqua"/>
          <w:lang w:eastAsia="zh-CN"/>
        </w:rPr>
      </w:pPr>
    </w:p>
    <w:p w14:paraId="007E0E3A" w14:textId="77777777" w:rsidR="00AB4533" w:rsidRDefault="00AB4533" w:rsidP="00CE331D">
      <w:pPr>
        <w:tabs>
          <w:tab w:val="left" w:pos="1750"/>
        </w:tabs>
        <w:spacing w:line="360" w:lineRule="auto"/>
        <w:jc w:val="both"/>
        <w:rPr>
          <w:rFonts w:ascii="Book Antiqua" w:hAnsi="Book Antiqua"/>
          <w:lang w:eastAsia="zh-CN"/>
        </w:rPr>
      </w:pPr>
    </w:p>
    <w:p w14:paraId="7EF46B55" w14:textId="77777777" w:rsidR="00AB4533" w:rsidRDefault="00AB4533" w:rsidP="00CE331D">
      <w:pPr>
        <w:tabs>
          <w:tab w:val="left" w:pos="1750"/>
        </w:tabs>
        <w:spacing w:line="360" w:lineRule="auto"/>
        <w:jc w:val="both"/>
        <w:rPr>
          <w:rFonts w:ascii="Book Antiqua" w:hAnsi="Book Antiqua"/>
          <w:lang w:eastAsia="zh-CN"/>
        </w:rPr>
      </w:pPr>
    </w:p>
    <w:p w14:paraId="01C698CA" w14:textId="77777777" w:rsidR="00AB4533" w:rsidRDefault="00AB4533" w:rsidP="00CE331D">
      <w:pPr>
        <w:tabs>
          <w:tab w:val="left" w:pos="1750"/>
        </w:tabs>
        <w:spacing w:line="360" w:lineRule="auto"/>
        <w:jc w:val="both"/>
        <w:rPr>
          <w:rFonts w:ascii="Book Antiqua" w:hAnsi="Book Antiqua"/>
          <w:lang w:eastAsia="zh-CN"/>
        </w:rPr>
      </w:pPr>
    </w:p>
    <w:p w14:paraId="3AE03475" w14:textId="77777777" w:rsidR="00AB4533" w:rsidRDefault="00AB4533" w:rsidP="00CE331D">
      <w:pPr>
        <w:tabs>
          <w:tab w:val="left" w:pos="1750"/>
        </w:tabs>
        <w:spacing w:line="360" w:lineRule="auto"/>
        <w:jc w:val="both"/>
        <w:rPr>
          <w:rFonts w:ascii="Book Antiqua" w:hAnsi="Book Antiqua"/>
          <w:lang w:eastAsia="zh-CN"/>
        </w:rPr>
      </w:pPr>
    </w:p>
    <w:p w14:paraId="46493363" w14:textId="77777777" w:rsidR="00AB4533" w:rsidRDefault="00AB4533" w:rsidP="00CE331D">
      <w:pPr>
        <w:tabs>
          <w:tab w:val="left" w:pos="1750"/>
        </w:tabs>
        <w:spacing w:line="360" w:lineRule="auto"/>
        <w:jc w:val="both"/>
        <w:rPr>
          <w:rFonts w:ascii="Book Antiqua" w:hAnsi="Book Antiqua"/>
          <w:lang w:eastAsia="zh-CN"/>
        </w:rPr>
      </w:pPr>
    </w:p>
    <w:p w14:paraId="0145475E" w14:textId="77777777" w:rsidR="00AB4533" w:rsidRDefault="00AB4533" w:rsidP="00CE331D">
      <w:pPr>
        <w:tabs>
          <w:tab w:val="left" w:pos="1750"/>
        </w:tabs>
        <w:spacing w:line="360" w:lineRule="auto"/>
        <w:jc w:val="both"/>
        <w:rPr>
          <w:rFonts w:ascii="Book Antiqua" w:hAnsi="Book Antiqua"/>
          <w:lang w:eastAsia="zh-CN"/>
        </w:rPr>
      </w:pPr>
    </w:p>
    <w:p w14:paraId="59CF91ED" w14:textId="77777777" w:rsidR="00AB4533" w:rsidRDefault="00AB4533" w:rsidP="00CE331D">
      <w:pPr>
        <w:tabs>
          <w:tab w:val="left" w:pos="1750"/>
        </w:tabs>
        <w:spacing w:line="360" w:lineRule="auto"/>
        <w:jc w:val="both"/>
        <w:rPr>
          <w:rFonts w:ascii="Book Antiqua" w:hAnsi="Book Antiqua"/>
          <w:lang w:eastAsia="zh-CN"/>
        </w:rPr>
      </w:pPr>
    </w:p>
    <w:p w14:paraId="280C82FB" w14:textId="01BD4C02" w:rsidR="00655F4A" w:rsidRPr="00CE331D" w:rsidRDefault="00655F4A" w:rsidP="00CE331D">
      <w:pPr>
        <w:tabs>
          <w:tab w:val="left" w:pos="1750"/>
        </w:tabs>
        <w:spacing w:line="360" w:lineRule="auto"/>
        <w:jc w:val="both"/>
        <w:rPr>
          <w:rFonts w:ascii="Book Antiqua" w:hAnsi="Book Antiqua"/>
        </w:rPr>
      </w:pPr>
      <w:r w:rsidRPr="00CE331D">
        <w:rPr>
          <w:rFonts w:ascii="Book Antiqua" w:eastAsia="等线" w:hAnsi="Book Antiqua"/>
          <w:b/>
          <w:bCs/>
        </w:rPr>
        <w:t xml:space="preserve">Table 3 Clinical responses to washed microbiota transplantation in patients with </w:t>
      </w:r>
      <w:r w:rsidRPr="00CE331D">
        <w:rPr>
          <w:rFonts w:ascii="Book Antiqua" w:eastAsia="宋体" w:hAnsi="Book Antiqua"/>
          <w:b/>
          <w:bCs/>
        </w:rPr>
        <w:t>nonerosive reflux disease</w:t>
      </w:r>
      <w:bookmarkEnd w:id="17"/>
      <w:bookmarkEnd w:id="18"/>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30"/>
        <w:gridCol w:w="2034"/>
      </w:tblGrid>
      <w:tr w:rsidR="001735B3" w:rsidRPr="00CE331D" w14:paraId="25D8044C" w14:textId="77777777" w:rsidTr="001735B3">
        <w:trPr>
          <w:trHeight w:val="435"/>
        </w:trPr>
        <w:tc>
          <w:tcPr>
            <w:tcW w:w="3609" w:type="pct"/>
            <w:tcBorders>
              <w:top w:val="single" w:sz="4" w:space="0" w:color="auto"/>
              <w:bottom w:val="single" w:sz="4" w:space="0" w:color="auto"/>
            </w:tcBorders>
          </w:tcPr>
          <w:p w14:paraId="03BECA4C" w14:textId="77777777" w:rsidR="001735B3" w:rsidRPr="00CE331D" w:rsidRDefault="001735B3" w:rsidP="00CE331D">
            <w:pPr>
              <w:spacing w:line="360" w:lineRule="auto"/>
              <w:jc w:val="both"/>
              <w:rPr>
                <w:rFonts w:ascii="Book Antiqua" w:hAnsi="Book Antiqua"/>
                <w:b/>
                <w:bCs/>
              </w:rPr>
            </w:pPr>
            <w:r w:rsidRPr="00CE331D">
              <w:rPr>
                <w:rFonts w:ascii="Book Antiqua" w:eastAsia="等线" w:hAnsi="Book Antiqua"/>
                <w:b/>
                <w:bCs/>
              </w:rPr>
              <w:t>Item</w:t>
            </w:r>
          </w:p>
        </w:tc>
        <w:tc>
          <w:tcPr>
            <w:tcW w:w="329" w:type="pct"/>
            <w:tcBorders>
              <w:top w:val="single" w:sz="4" w:space="0" w:color="auto"/>
              <w:bottom w:val="single" w:sz="4" w:space="0" w:color="auto"/>
            </w:tcBorders>
          </w:tcPr>
          <w:p w14:paraId="03099B4C" w14:textId="0B66D9D0" w:rsidR="001735B3" w:rsidRPr="00CE331D" w:rsidRDefault="001735B3" w:rsidP="00CE331D">
            <w:pPr>
              <w:spacing w:line="360" w:lineRule="auto"/>
              <w:jc w:val="both"/>
              <w:rPr>
                <w:rFonts w:ascii="Book Antiqua" w:hAnsi="Book Antiqua"/>
                <w:b/>
                <w:bCs/>
              </w:rPr>
            </w:pPr>
          </w:p>
        </w:tc>
        <w:tc>
          <w:tcPr>
            <w:tcW w:w="1062" w:type="pct"/>
            <w:tcBorders>
              <w:top w:val="single" w:sz="4" w:space="0" w:color="auto"/>
              <w:bottom w:val="single" w:sz="4" w:space="0" w:color="auto"/>
            </w:tcBorders>
          </w:tcPr>
          <w:p w14:paraId="22976A5C" w14:textId="0E54A6E5" w:rsidR="001735B3" w:rsidRPr="00CE331D" w:rsidRDefault="001735B3" w:rsidP="00CE331D">
            <w:pPr>
              <w:spacing w:line="360" w:lineRule="auto"/>
              <w:jc w:val="both"/>
              <w:rPr>
                <w:rFonts w:ascii="Book Antiqua" w:hAnsi="Book Antiqua"/>
                <w:b/>
                <w:bCs/>
              </w:rPr>
            </w:pPr>
            <w:r w:rsidRPr="00CE331D">
              <w:rPr>
                <w:rFonts w:ascii="Book Antiqua" w:eastAsia="宋体" w:hAnsi="Book Antiqua"/>
                <w:b/>
                <w:bCs/>
              </w:rPr>
              <w:t xml:space="preserve">WMT, </w:t>
            </w:r>
            <w:r w:rsidRPr="00CE331D">
              <w:rPr>
                <w:rFonts w:ascii="Book Antiqua" w:eastAsia="宋体" w:hAnsi="Book Antiqua"/>
                <w:b/>
                <w:bCs/>
                <w:i/>
                <w:iCs/>
              </w:rPr>
              <w:t>n</w:t>
            </w:r>
            <w:r w:rsidRPr="00CE331D">
              <w:rPr>
                <w:rFonts w:ascii="Book Antiqua" w:eastAsia="宋体" w:hAnsi="Book Antiqua"/>
                <w:b/>
                <w:bCs/>
              </w:rPr>
              <w:t xml:space="preserve"> = 15</w:t>
            </w:r>
          </w:p>
        </w:tc>
      </w:tr>
      <w:tr w:rsidR="002635BD" w:rsidRPr="00CE331D" w14:paraId="5E027120" w14:textId="77777777" w:rsidTr="001735B3">
        <w:trPr>
          <w:trHeight w:val="435"/>
        </w:trPr>
        <w:tc>
          <w:tcPr>
            <w:tcW w:w="3609" w:type="pct"/>
            <w:tcBorders>
              <w:top w:val="single" w:sz="4" w:space="0" w:color="auto"/>
            </w:tcBorders>
          </w:tcPr>
          <w:p w14:paraId="0E4C8623"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Remission</w:t>
            </w:r>
            <w:r w:rsidRPr="00CE331D">
              <w:rPr>
                <w:rFonts w:ascii="Book Antiqua" w:eastAsia="等线" w:hAnsi="Book Antiqua"/>
                <w:vertAlign w:val="superscript"/>
              </w:rPr>
              <w:t>1</w:t>
            </w:r>
            <w:r w:rsidRPr="00CE331D">
              <w:rPr>
                <w:rFonts w:ascii="Book Antiqua" w:eastAsia="等线" w:hAnsi="Book Antiqua"/>
              </w:rPr>
              <w:t xml:space="preserve">, </w:t>
            </w:r>
            <w:r w:rsidRPr="00CE331D">
              <w:rPr>
                <w:rFonts w:ascii="Book Antiqua" w:eastAsia="等线" w:hAnsi="Book Antiqua"/>
                <w:i/>
                <w:iCs/>
              </w:rPr>
              <w:t>n</w:t>
            </w:r>
          </w:p>
        </w:tc>
        <w:tc>
          <w:tcPr>
            <w:tcW w:w="329" w:type="pct"/>
            <w:tcBorders>
              <w:top w:val="single" w:sz="4" w:space="0" w:color="auto"/>
            </w:tcBorders>
          </w:tcPr>
          <w:p w14:paraId="6B299CEA" w14:textId="7E2937BF" w:rsidR="002635BD" w:rsidRPr="00CE331D" w:rsidRDefault="002635BD" w:rsidP="00CE331D">
            <w:pPr>
              <w:autoSpaceDE w:val="0"/>
              <w:autoSpaceDN w:val="0"/>
              <w:adjustRightInd w:val="0"/>
              <w:spacing w:line="360" w:lineRule="auto"/>
              <w:jc w:val="both"/>
              <w:rPr>
                <w:rFonts w:ascii="Book Antiqua" w:eastAsia="等线" w:hAnsi="Book Antiqua"/>
              </w:rPr>
            </w:pPr>
          </w:p>
        </w:tc>
        <w:tc>
          <w:tcPr>
            <w:tcW w:w="1062" w:type="pct"/>
            <w:tcBorders>
              <w:top w:val="single" w:sz="4" w:space="0" w:color="auto"/>
            </w:tcBorders>
          </w:tcPr>
          <w:p w14:paraId="3675BDE3"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14 (93.3)</w:t>
            </w:r>
          </w:p>
        </w:tc>
      </w:tr>
      <w:tr w:rsidR="002635BD" w:rsidRPr="00CE331D" w14:paraId="02FC141C" w14:textId="77777777" w:rsidTr="001735B3">
        <w:trPr>
          <w:trHeight w:val="448"/>
        </w:trPr>
        <w:tc>
          <w:tcPr>
            <w:tcW w:w="3609" w:type="pct"/>
          </w:tcPr>
          <w:p w14:paraId="323AE6D3"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 xml:space="preserve">Remission after the first course of WMT, </w:t>
            </w:r>
            <w:r w:rsidRPr="00CE331D">
              <w:rPr>
                <w:rFonts w:ascii="Book Antiqua" w:eastAsia="等线" w:hAnsi="Book Antiqua"/>
                <w:i/>
                <w:iCs/>
              </w:rPr>
              <w:t>n</w:t>
            </w:r>
          </w:p>
        </w:tc>
        <w:tc>
          <w:tcPr>
            <w:tcW w:w="329" w:type="pct"/>
          </w:tcPr>
          <w:p w14:paraId="1EBAB34A" w14:textId="10629D58" w:rsidR="002635BD" w:rsidRPr="00CE331D" w:rsidRDefault="002635BD" w:rsidP="00CE331D">
            <w:pPr>
              <w:autoSpaceDE w:val="0"/>
              <w:autoSpaceDN w:val="0"/>
              <w:adjustRightInd w:val="0"/>
              <w:spacing w:line="360" w:lineRule="auto"/>
              <w:jc w:val="both"/>
              <w:rPr>
                <w:rFonts w:ascii="Book Antiqua" w:eastAsia="等线" w:hAnsi="Book Antiqua"/>
              </w:rPr>
            </w:pPr>
          </w:p>
        </w:tc>
        <w:tc>
          <w:tcPr>
            <w:tcW w:w="1062" w:type="pct"/>
          </w:tcPr>
          <w:p w14:paraId="7B7CEF7A"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13 (86.7)</w:t>
            </w:r>
          </w:p>
        </w:tc>
      </w:tr>
      <w:tr w:rsidR="002635BD" w:rsidRPr="00CE331D" w14:paraId="0B898826" w14:textId="77777777" w:rsidTr="001735B3">
        <w:trPr>
          <w:trHeight w:val="187"/>
        </w:trPr>
        <w:tc>
          <w:tcPr>
            <w:tcW w:w="3609" w:type="pct"/>
          </w:tcPr>
          <w:p w14:paraId="13D673CC" w14:textId="77777777" w:rsidR="002635BD" w:rsidRPr="00CE331D" w:rsidRDefault="002635BD" w:rsidP="00CE331D">
            <w:pPr>
              <w:spacing w:line="360" w:lineRule="auto"/>
              <w:jc w:val="both"/>
              <w:rPr>
                <w:rFonts w:ascii="Book Antiqua" w:eastAsia="等线" w:hAnsi="Book Antiqua"/>
              </w:rPr>
            </w:pPr>
            <w:r w:rsidRPr="00CE331D">
              <w:rPr>
                <w:rFonts w:ascii="Book Antiqua" w:eastAsia="等线" w:hAnsi="Book Antiqua"/>
              </w:rPr>
              <w:t xml:space="preserve">Remission after the first course of FMT until the end of the study, </w:t>
            </w:r>
            <w:r w:rsidRPr="00CE331D">
              <w:rPr>
                <w:rFonts w:ascii="Book Antiqua" w:eastAsia="等线" w:hAnsi="Book Antiqua"/>
                <w:i/>
                <w:iCs/>
              </w:rPr>
              <w:t>n</w:t>
            </w:r>
          </w:p>
        </w:tc>
        <w:tc>
          <w:tcPr>
            <w:tcW w:w="329" w:type="pct"/>
          </w:tcPr>
          <w:p w14:paraId="1B9C2228" w14:textId="1512F890" w:rsidR="002635BD" w:rsidRPr="00CE331D" w:rsidRDefault="002635BD" w:rsidP="00CE331D">
            <w:pPr>
              <w:spacing w:line="360" w:lineRule="auto"/>
              <w:jc w:val="both"/>
              <w:rPr>
                <w:rFonts w:ascii="Book Antiqua" w:eastAsia="等线" w:hAnsi="Book Antiqua"/>
              </w:rPr>
            </w:pPr>
          </w:p>
        </w:tc>
        <w:tc>
          <w:tcPr>
            <w:tcW w:w="1062" w:type="pct"/>
          </w:tcPr>
          <w:p w14:paraId="4FD723E9"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10 (66.7)</w:t>
            </w:r>
          </w:p>
        </w:tc>
      </w:tr>
      <w:tr w:rsidR="002635BD" w:rsidRPr="00CE331D" w14:paraId="3CEA774A" w14:textId="77777777" w:rsidTr="001735B3">
        <w:trPr>
          <w:trHeight w:val="448"/>
        </w:trPr>
        <w:tc>
          <w:tcPr>
            <w:tcW w:w="3609" w:type="pct"/>
          </w:tcPr>
          <w:p w14:paraId="642CEC36"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 xml:space="preserve">No remission after the first course of WMT, </w:t>
            </w:r>
            <w:r w:rsidRPr="00CE331D">
              <w:rPr>
                <w:rFonts w:ascii="Book Antiqua" w:eastAsia="等线" w:hAnsi="Book Antiqua"/>
                <w:i/>
                <w:iCs/>
              </w:rPr>
              <w:t>n</w:t>
            </w:r>
          </w:p>
        </w:tc>
        <w:tc>
          <w:tcPr>
            <w:tcW w:w="329" w:type="pct"/>
          </w:tcPr>
          <w:p w14:paraId="3638DFDD" w14:textId="111EC309" w:rsidR="002635BD" w:rsidRPr="00CE331D" w:rsidRDefault="002635BD" w:rsidP="00CE331D">
            <w:pPr>
              <w:autoSpaceDE w:val="0"/>
              <w:autoSpaceDN w:val="0"/>
              <w:adjustRightInd w:val="0"/>
              <w:spacing w:line="360" w:lineRule="auto"/>
              <w:jc w:val="both"/>
              <w:rPr>
                <w:rFonts w:ascii="Book Antiqua" w:eastAsia="等线" w:hAnsi="Book Antiqua"/>
              </w:rPr>
            </w:pPr>
          </w:p>
        </w:tc>
        <w:tc>
          <w:tcPr>
            <w:tcW w:w="1062" w:type="pct"/>
          </w:tcPr>
          <w:p w14:paraId="3EF0F4C1"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2 (13.3)</w:t>
            </w:r>
          </w:p>
        </w:tc>
      </w:tr>
      <w:tr w:rsidR="002635BD" w:rsidRPr="00CE331D" w14:paraId="38B3B175" w14:textId="77777777" w:rsidTr="001735B3">
        <w:trPr>
          <w:trHeight w:val="448"/>
        </w:trPr>
        <w:tc>
          <w:tcPr>
            <w:tcW w:w="3609" w:type="pct"/>
          </w:tcPr>
          <w:p w14:paraId="35ED911D"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 xml:space="preserve">Recurrence after remission, </w:t>
            </w:r>
            <w:r w:rsidRPr="00CE331D">
              <w:rPr>
                <w:rFonts w:ascii="Book Antiqua" w:eastAsia="等线" w:hAnsi="Book Antiqua"/>
                <w:i/>
                <w:iCs/>
              </w:rPr>
              <w:t>n</w:t>
            </w:r>
          </w:p>
        </w:tc>
        <w:tc>
          <w:tcPr>
            <w:tcW w:w="329" w:type="pct"/>
          </w:tcPr>
          <w:p w14:paraId="09EF304C" w14:textId="52237934" w:rsidR="002635BD" w:rsidRPr="00CE331D" w:rsidRDefault="002635BD" w:rsidP="00CE331D">
            <w:pPr>
              <w:autoSpaceDE w:val="0"/>
              <w:autoSpaceDN w:val="0"/>
              <w:adjustRightInd w:val="0"/>
              <w:spacing w:line="360" w:lineRule="auto"/>
              <w:jc w:val="both"/>
              <w:rPr>
                <w:rFonts w:ascii="Book Antiqua" w:eastAsia="等线" w:hAnsi="Book Antiqua"/>
              </w:rPr>
            </w:pPr>
          </w:p>
        </w:tc>
        <w:tc>
          <w:tcPr>
            <w:tcW w:w="1062" w:type="pct"/>
          </w:tcPr>
          <w:p w14:paraId="381C81FE" w14:textId="77777777" w:rsidR="002635BD" w:rsidRPr="00CE331D" w:rsidRDefault="002635BD"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2 (13.3)</w:t>
            </w:r>
          </w:p>
        </w:tc>
      </w:tr>
      <w:tr w:rsidR="00655F4A" w:rsidRPr="00CE331D" w14:paraId="59490EE4" w14:textId="77777777" w:rsidTr="001735B3">
        <w:trPr>
          <w:trHeight w:val="404"/>
        </w:trPr>
        <w:tc>
          <w:tcPr>
            <w:tcW w:w="3609" w:type="pct"/>
            <w:vMerge w:val="restart"/>
          </w:tcPr>
          <w:p w14:paraId="3721C13E" w14:textId="1FF0834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Side effects of WMT treatment</w:t>
            </w:r>
            <w:r w:rsidR="000E5285" w:rsidRPr="00CE331D">
              <w:rPr>
                <w:rFonts w:ascii="Book Antiqua" w:eastAsia="等线" w:hAnsi="Book Antiqua"/>
                <w:vertAlign w:val="superscript"/>
              </w:rPr>
              <w:t>2</w:t>
            </w:r>
            <w:r w:rsidRPr="00CE331D">
              <w:rPr>
                <w:rFonts w:ascii="Book Antiqua" w:eastAsia="等线" w:hAnsi="Book Antiqua"/>
              </w:rPr>
              <w:t xml:space="preserve">, </w:t>
            </w:r>
            <w:r w:rsidRPr="00CE331D">
              <w:rPr>
                <w:rFonts w:ascii="Book Antiqua" w:eastAsia="等线" w:hAnsi="Book Antiqua"/>
                <w:i/>
                <w:iCs/>
              </w:rPr>
              <w:t>n</w:t>
            </w:r>
          </w:p>
        </w:tc>
        <w:tc>
          <w:tcPr>
            <w:tcW w:w="329" w:type="pct"/>
          </w:tcPr>
          <w:p w14:paraId="24FF3C92" w14:textId="6D63904E" w:rsidR="00655F4A" w:rsidRPr="00CE331D" w:rsidRDefault="00655F4A" w:rsidP="00CE331D">
            <w:pPr>
              <w:spacing w:line="360" w:lineRule="auto"/>
              <w:jc w:val="both"/>
              <w:rPr>
                <w:rFonts w:ascii="Book Antiqua" w:hAnsi="Book Antiqua"/>
              </w:rPr>
            </w:pPr>
            <w:r w:rsidRPr="00CE331D">
              <w:rPr>
                <w:rFonts w:ascii="Book Antiqua" w:eastAsia="等线" w:hAnsi="Book Antiqua"/>
              </w:rPr>
              <w:t xml:space="preserve">No </w:t>
            </w:r>
          </w:p>
        </w:tc>
        <w:tc>
          <w:tcPr>
            <w:tcW w:w="1062" w:type="pct"/>
          </w:tcPr>
          <w:p w14:paraId="6EC366BB" w14:textId="77777777" w:rsidR="00655F4A" w:rsidRPr="00CE331D" w:rsidRDefault="00655F4A" w:rsidP="00CE331D">
            <w:pPr>
              <w:autoSpaceDE w:val="0"/>
              <w:autoSpaceDN w:val="0"/>
              <w:adjustRightInd w:val="0"/>
              <w:spacing w:line="360" w:lineRule="auto"/>
              <w:jc w:val="both"/>
              <w:rPr>
                <w:rFonts w:ascii="Book Antiqua" w:eastAsia="等线" w:hAnsi="Book Antiqua"/>
              </w:rPr>
            </w:pPr>
            <w:r w:rsidRPr="00CE331D">
              <w:rPr>
                <w:rFonts w:ascii="Book Antiqua" w:eastAsia="等线" w:hAnsi="Book Antiqua"/>
              </w:rPr>
              <w:t>14 (93.3)</w:t>
            </w:r>
          </w:p>
        </w:tc>
      </w:tr>
      <w:tr w:rsidR="00655F4A" w:rsidRPr="00CE331D" w14:paraId="7D4940B7" w14:textId="77777777" w:rsidTr="001735B3">
        <w:trPr>
          <w:trHeight w:val="403"/>
        </w:trPr>
        <w:tc>
          <w:tcPr>
            <w:tcW w:w="3609" w:type="pct"/>
            <w:vMerge/>
          </w:tcPr>
          <w:p w14:paraId="62CD1D83" w14:textId="77777777" w:rsidR="00655F4A" w:rsidRPr="00CE331D" w:rsidRDefault="00655F4A" w:rsidP="00CE331D">
            <w:pPr>
              <w:autoSpaceDE w:val="0"/>
              <w:autoSpaceDN w:val="0"/>
              <w:adjustRightInd w:val="0"/>
              <w:spacing w:line="360" w:lineRule="auto"/>
              <w:jc w:val="both"/>
              <w:rPr>
                <w:rFonts w:ascii="Book Antiqua" w:eastAsia="等线" w:hAnsi="Book Antiqua"/>
              </w:rPr>
            </w:pPr>
          </w:p>
        </w:tc>
        <w:tc>
          <w:tcPr>
            <w:tcW w:w="329" w:type="pct"/>
          </w:tcPr>
          <w:p w14:paraId="71F21EE0" w14:textId="77777777" w:rsidR="00655F4A" w:rsidRPr="00CE331D" w:rsidRDefault="00655F4A" w:rsidP="00CE331D">
            <w:pPr>
              <w:spacing w:line="360" w:lineRule="auto"/>
              <w:jc w:val="both"/>
              <w:rPr>
                <w:rFonts w:ascii="Book Antiqua" w:eastAsia="等线" w:hAnsi="Book Antiqua"/>
              </w:rPr>
            </w:pPr>
            <w:r w:rsidRPr="00CE331D">
              <w:rPr>
                <w:rFonts w:ascii="Book Antiqua" w:eastAsia="等线" w:hAnsi="Book Antiqua"/>
              </w:rPr>
              <w:t>Yes</w:t>
            </w:r>
          </w:p>
        </w:tc>
        <w:tc>
          <w:tcPr>
            <w:tcW w:w="1062" w:type="pct"/>
          </w:tcPr>
          <w:p w14:paraId="709773FA" w14:textId="77777777" w:rsidR="00655F4A" w:rsidRPr="00CE331D" w:rsidRDefault="00655F4A" w:rsidP="00CE331D">
            <w:pPr>
              <w:spacing w:line="360" w:lineRule="auto"/>
              <w:jc w:val="both"/>
              <w:rPr>
                <w:rFonts w:ascii="Book Antiqua" w:hAnsi="Book Antiqua"/>
              </w:rPr>
            </w:pPr>
            <w:r w:rsidRPr="00CE331D">
              <w:rPr>
                <w:rFonts w:ascii="Book Antiqua" w:eastAsia="等线" w:hAnsi="Book Antiqua"/>
              </w:rPr>
              <w:t>1 (6.70)</w:t>
            </w:r>
          </w:p>
        </w:tc>
      </w:tr>
    </w:tbl>
    <w:p w14:paraId="56ABACA6" w14:textId="77777777" w:rsidR="00C73477" w:rsidRDefault="0032738E" w:rsidP="00CE331D">
      <w:pPr>
        <w:spacing w:line="360" w:lineRule="auto"/>
        <w:jc w:val="both"/>
        <w:rPr>
          <w:rFonts w:ascii="Book Antiqua" w:hAnsi="Book Antiqua"/>
          <w:lang w:eastAsia="zh-CN"/>
        </w:rPr>
      </w:pPr>
      <w:r w:rsidRPr="00CE331D">
        <w:rPr>
          <w:rFonts w:ascii="Book Antiqua" w:hAnsi="Book Antiqua"/>
          <w:vertAlign w:val="superscript"/>
        </w:rPr>
        <w:t>1</w:t>
      </w:r>
      <w:r w:rsidRPr="00CE331D">
        <w:rPr>
          <w:rFonts w:ascii="Book Antiqua" w:hAnsi="Book Antiqua"/>
        </w:rPr>
        <w:t>T</w:t>
      </w:r>
      <w:r w:rsidR="00655F4A" w:rsidRPr="00CE331D">
        <w:rPr>
          <w:rFonts w:ascii="Book Antiqua" w:hAnsi="Book Antiqua"/>
        </w:rPr>
        <w:t>he scores of</w:t>
      </w:r>
      <w:r w:rsidR="00655F4A" w:rsidRPr="00CE331D">
        <w:rPr>
          <w:rFonts w:ascii="Book Antiqua" w:eastAsia="等线" w:hAnsi="Book Antiqua"/>
        </w:rPr>
        <w:t xml:space="preserve"> the</w:t>
      </w:r>
      <w:r w:rsidR="00655F4A" w:rsidRPr="00CE331D">
        <w:rPr>
          <w:rFonts w:ascii="Book Antiqua" w:hAnsi="Book Antiqua"/>
        </w:rPr>
        <w:t xml:space="preserve"> reflux disease questionnaire or </w:t>
      </w:r>
      <w:r w:rsidR="00655F4A" w:rsidRPr="00CE331D">
        <w:rPr>
          <w:rFonts w:ascii="Book Antiqua" w:eastAsia="等线" w:hAnsi="Book Antiqua"/>
        </w:rPr>
        <w:t>gastroesophageal</w:t>
      </w:r>
      <w:r w:rsidR="00655F4A" w:rsidRPr="00CE331D">
        <w:rPr>
          <w:rFonts w:ascii="Book Antiqua" w:hAnsi="Book Antiqua"/>
        </w:rPr>
        <w:t xml:space="preserve"> reflux disease questionnaire at 1</w:t>
      </w:r>
      <w:r w:rsidR="00655F4A" w:rsidRPr="00CE331D">
        <w:rPr>
          <w:rFonts w:ascii="Book Antiqua" w:eastAsia="等线" w:hAnsi="Book Antiqua"/>
        </w:rPr>
        <w:t xml:space="preserve"> </w:t>
      </w:r>
      <w:r w:rsidR="00655F4A" w:rsidRPr="00CE331D">
        <w:rPr>
          <w:rFonts w:ascii="Book Antiqua" w:hAnsi="Book Antiqua"/>
        </w:rPr>
        <w:t>mo post-</w:t>
      </w:r>
      <w:r w:rsidR="00F14CD7" w:rsidRPr="00CE331D">
        <w:rPr>
          <w:rFonts w:ascii="Book Antiqua" w:hAnsi="Book Antiqua"/>
        </w:rPr>
        <w:t>washed microbiota transplantation (</w:t>
      </w:r>
      <w:r w:rsidR="00655F4A" w:rsidRPr="00CE331D">
        <w:rPr>
          <w:rFonts w:ascii="Book Antiqua" w:hAnsi="Book Antiqua"/>
        </w:rPr>
        <w:t>WMT</w:t>
      </w:r>
      <w:r w:rsidR="00F14CD7" w:rsidRPr="00CE331D">
        <w:rPr>
          <w:rFonts w:ascii="Book Antiqua" w:hAnsi="Book Antiqua"/>
        </w:rPr>
        <w:t>)</w:t>
      </w:r>
      <w:r w:rsidR="00655F4A" w:rsidRPr="00CE331D">
        <w:rPr>
          <w:rFonts w:ascii="Book Antiqua" w:hAnsi="Book Antiqua"/>
        </w:rPr>
        <w:t xml:space="preserve"> were reduced by 30%</w:t>
      </w:r>
      <w:r w:rsidR="00C73477">
        <w:rPr>
          <w:rFonts w:ascii="Book Antiqua" w:hAnsi="Book Antiqua" w:hint="eastAsia"/>
          <w:lang w:eastAsia="zh-CN"/>
        </w:rPr>
        <w:t>.</w:t>
      </w:r>
    </w:p>
    <w:p w14:paraId="30D8533A" w14:textId="77777777" w:rsidR="00C73477" w:rsidRDefault="0032738E" w:rsidP="00CE331D">
      <w:pPr>
        <w:spacing w:line="360" w:lineRule="auto"/>
        <w:jc w:val="both"/>
        <w:rPr>
          <w:rFonts w:ascii="Book Antiqua" w:hAnsi="Book Antiqua"/>
          <w:lang w:eastAsia="zh-CN"/>
        </w:rPr>
      </w:pPr>
      <w:r w:rsidRPr="00CE331D">
        <w:rPr>
          <w:rFonts w:ascii="Book Antiqua" w:hAnsi="Book Antiqua"/>
          <w:vertAlign w:val="superscript"/>
        </w:rPr>
        <w:t>2</w:t>
      </w:r>
      <w:r w:rsidR="00655F4A" w:rsidRPr="00CE331D">
        <w:rPr>
          <w:rFonts w:ascii="Book Antiqua" w:eastAsia="等线" w:hAnsi="Book Antiqua"/>
        </w:rPr>
        <w:t>Only</w:t>
      </w:r>
      <w:r w:rsidR="00655F4A" w:rsidRPr="00CE331D">
        <w:rPr>
          <w:rFonts w:ascii="Book Antiqua" w:hAnsi="Book Antiqua"/>
        </w:rPr>
        <w:t xml:space="preserve"> </w:t>
      </w:r>
      <w:r w:rsidR="00E6723B">
        <w:rPr>
          <w:rFonts w:ascii="Book Antiqua" w:hAnsi="Book Antiqua"/>
        </w:rPr>
        <w:t>one</w:t>
      </w:r>
      <w:r w:rsidR="00E6723B" w:rsidRPr="00CE331D">
        <w:rPr>
          <w:rFonts w:ascii="Book Antiqua" w:hAnsi="Book Antiqua"/>
        </w:rPr>
        <w:t xml:space="preserve"> </w:t>
      </w:r>
      <w:r w:rsidR="00655F4A" w:rsidRPr="00CE331D">
        <w:rPr>
          <w:rFonts w:ascii="Book Antiqua" w:hAnsi="Book Antiqua"/>
        </w:rPr>
        <w:t xml:space="preserve">of the 15 patients had minor side </w:t>
      </w:r>
      <w:r w:rsidR="00655F4A" w:rsidRPr="00CE331D">
        <w:rPr>
          <w:rFonts w:ascii="Book Antiqua" w:eastAsia="等线" w:hAnsi="Book Antiqua"/>
        </w:rPr>
        <w:t>effects, with</w:t>
      </w:r>
      <w:r w:rsidR="00E6723B">
        <w:rPr>
          <w:rFonts w:ascii="Book Antiqua" w:eastAsia="等线" w:hAnsi="Book Antiqua"/>
        </w:rPr>
        <w:t xml:space="preserve"> a</w:t>
      </w:r>
      <w:r w:rsidR="00655F4A" w:rsidRPr="00CE331D">
        <w:rPr>
          <w:rFonts w:ascii="Book Antiqua" w:hAnsi="Book Antiqua"/>
        </w:rPr>
        <w:t xml:space="preserve"> mushy stool two or three times a day, which resolved on their own after 1 wk, but no abdominal pain, black stool, fever, </w:t>
      </w:r>
      <w:r w:rsidR="00655F4A" w:rsidRPr="00CE331D">
        <w:rPr>
          <w:rFonts w:ascii="Book Antiqua" w:eastAsia="等线" w:hAnsi="Book Antiqua"/>
        </w:rPr>
        <w:t>or</w:t>
      </w:r>
      <w:r w:rsidR="00655F4A" w:rsidRPr="00CE331D">
        <w:rPr>
          <w:rFonts w:ascii="Book Antiqua" w:hAnsi="Book Antiqua"/>
        </w:rPr>
        <w:t xml:space="preserve"> serious WMT-related side effects were observed.</w:t>
      </w:r>
      <w:r w:rsidRPr="00CE331D">
        <w:rPr>
          <w:rFonts w:ascii="Book Antiqua" w:hAnsi="Book Antiqua"/>
        </w:rPr>
        <w:t xml:space="preserve"> </w:t>
      </w:r>
    </w:p>
    <w:p w14:paraId="7E44B944" w14:textId="75FD9C41" w:rsidR="00655F4A" w:rsidRPr="00CE331D" w:rsidRDefault="0032738E" w:rsidP="00CE331D">
      <w:pPr>
        <w:spacing w:line="360" w:lineRule="auto"/>
        <w:jc w:val="both"/>
        <w:rPr>
          <w:rFonts w:ascii="Book Antiqua" w:hAnsi="Book Antiqua"/>
        </w:rPr>
      </w:pPr>
      <w:r w:rsidRPr="00CE331D">
        <w:rPr>
          <w:rFonts w:ascii="Book Antiqua" w:hAnsi="Book Antiqua"/>
        </w:rPr>
        <w:t xml:space="preserve">WMT: Washed microbiota transplantation; FMT: </w:t>
      </w:r>
      <w:r w:rsidR="0034408A" w:rsidRPr="00CE331D">
        <w:rPr>
          <w:rFonts w:ascii="Book Antiqua" w:eastAsia="Book Antiqua" w:hAnsi="Book Antiqua" w:cs="Book Antiqua"/>
          <w:color w:val="000000"/>
        </w:rPr>
        <w:t>Fecal microbiota transplantation.</w:t>
      </w:r>
    </w:p>
    <w:p w14:paraId="1C0385E7" w14:textId="77777777" w:rsidR="00AB4533" w:rsidRDefault="00AB4533" w:rsidP="00CE331D">
      <w:pPr>
        <w:autoSpaceDE w:val="0"/>
        <w:autoSpaceDN w:val="0"/>
        <w:adjustRightInd w:val="0"/>
        <w:spacing w:line="360" w:lineRule="auto"/>
        <w:jc w:val="both"/>
        <w:rPr>
          <w:rFonts w:ascii="Book Antiqua" w:hAnsi="Book Antiqua"/>
          <w:lang w:eastAsia="zh-CN"/>
        </w:rPr>
      </w:pPr>
    </w:p>
    <w:p w14:paraId="4E34A7A3" w14:textId="77777777" w:rsidR="00AB4533" w:rsidRDefault="00AB4533" w:rsidP="00CE331D">
      <w:pPr>
        <w:autoSpaceDE w:val="0"/>
        <w:autoSpaceDN w:val="0"/>
        <w:adjustRightInd w:val="0"/>
        <w:spacing w:line="360" w:lineRule="auto"/>
        <w:jc w:val="both"/>
        <w:rPr>
          <w:rFonts w:ascii="Book Antiqua" w:hAnsi="Book Antiqua"/>
          <w:lang w:eastAsia="zh-CN"/>
        </w:rPr>
      </w:pPr>
    </w:p>
    <w:p w14:paraId="5510054F" w14:textId="77777777" w:rsidR="00AB4533" w:rsidRDefault="00AB4533" w:rsidP="00CE331D">
      <w:pPr>
        <w:autoSpaceDE w:val="0"/>
        <w:autoSpaceDN w:val="0"/>
        <w:adjustRightInd w:val="0"/>
        <w:spacing w:line="360" w:lineRule="auto"/>
        <w:jc w:val="both"/>
        <w:rPr>
          <w:rFonts w:ascii="Book Antiqua" w:hAnsi="Book Antiqua"/>
          <w:lang w:eastAsia="zh-CN"/>
        </w:rPr>
      </w:pPr>
    </w:p>
    <w:p w14:paraId="62A89385" w14:textId="77777777" w:rsidR="00AB4533" w:rsidRDefault="00AB4533" w:rsidP="00CE331D">
      <w:pPr>
        <w:autoSpaceDE w:val="0"/>
        <w:autoSpaceDN w:val="0"/>
        <w:adjustRightInd w:val="0"/>
        <w:spacing w:line="360" w:lineRule="auto"/>
        <w:jc w:val="both"/>
        <w:rPr>
          <w:rFonts w:ascii="Book Antiqua" w:hAnsi="Book Antiqua"/>
          <w:lang w:eastAsia="zh-CN"/>
        </w:rPr>
      </w:pPr>
    </w:p>
    <w:p w14:paraId="78303DC3" w14:textId="77777777" w:rsidR="00AB4533" w:rsidRDefault="00AB4533" w:rsidP="00CE331D">
      <w:pPr>
        <w:autoSpaceDE w:val="0"/>
        <w:autoSpaceDN w:val="0"/>
        <w:adjustRightInd w:val="0"/>
        <w:spacing w:line="360" w:lineRule="auto"/>
        <w:jc w:val="both"/>
        <w:rPr>
          <w:rFonts w:ascii="Book Antiqua" w:hAnsi="Book Antiqua"/>
          <w:lang w:eastAsia="zh-CN"/>
        </w:rPr>
      </w:pPr>
    </w:p>
    <w:p w14:paraId="6DBE69FB" w14:textId="77777777" w:rsidR="00AB4533" w:rsidRDefault="00AB4533" w:rsidP="00CE331D">
      <w:pPr>
        <w:autoSpaceDE w:val="0"/>
        <w:autoSpaceDN w:val="0"/>
        <w:adjustRightInd w:val="0"/>
        <w:spacing w:line="360" w:lineRule="auto"/>
        <w:jc w:val="both"/>
        <w:rPr>
          <w:rFonts w:ascii="Book Antiqua" w:hAnsi="Book Antiqua"/>
          <w:lang w:eastAsia="zh-CN"/>
        </w:rPr>
      </w:pPr>
    </w:p>
    <w:p w14:paraId="3CF4C409" w14:textId="77777777" w:rsidR="00AB4533" w:rsidRDefault="00AB4533" w:rsidP="00CE331D">
      <w:pPr>
        <w:autoSpaceDE w:val="0"/>
        <w:autoSpaceDN w:val="0"/>
        <w:adjustRightInd w:val="0"/>
        <w:spacing w:line="360" w:lineRule="auto"/>
        <w:jc w:val="both"/>
        <w:rPr>
          <w:rFonts w:ascii="Book Antiqua" w:hAnsi="Book Antiqua"/>
          <w:lang w:eastAsia="zh-CN"/>
        </w:rPr>
      </w:pPr>
    </w:p>
    <w:p w14:paraId="15115EDF" w14:textId="77777777" w:rsidR="00AB4533" w:rsidRDefault="00AB4533" w:rsidP="00CE331D">
      <w:pPr>
        <w:autoSpaceDE w:val="0"/>
        <w:autoSpaceDN w:val="0"/>
        <w:adjustRightInd w:val="0"/>
        <w:spacing w:line="360" w:lineRule="auto"/>
        <w:jc w:val="both"/>
        <w:rPr>
          <w:rFonts w:ascii="Book Antiqua" w:hAnsi="Book Antiqua"/>
          <w:lang w:eastAsia="zh-CN"/>
        </w:rPr>
      </w:pPr>
    </w:p>
    <w:p w14:paraId="56713D12" w14:textId="77777777" w:rsidR="00AB4533" w:rsidRDefault="00AB4533" w:rsidP="00CE331D">
      <w:pPr>
        <w:autoSpaceDE w:val="0"/>
        <w:autoSpaceDN w:val="0"/>
        <w:adjustRightInd w:val="0"/>
        <w:spacing w:line="360" w:lineRule="auto"/>
        <w:jc w:val="both"/>
        <w:rPr>
          <w:rFonts w:ascii="Book Antiqua" w:hAnsi="Book Antiqua"/>
          <w:lang w:eastAsia="zh-CN"/>
        </w:rPr>
      </w:pPr>
    </w:p>
    <w:p w14:paraId="5140ADE2" w14:textId="77777777" w:rsidR="00AB4533" w:rsidRDefault="00AB4533" w:rsidP="00CE331D">
      <w:pPr>
        <w:autoSpaceDE w:val="0"/>
        <w:autoSpaceDN w:val="0"/>
        <w:adjustRightInd w:val="0"/>
        <w:spacing w:line="360" w:lineRule="auto"/>
        <w:jc w:val="both"/>
        <w:rPr>
          <w:rFonts w:ascii="Book Antiqua" w:hAnsi="Book Antiqua"/>
          <w:lang w:eastAsia="zh-CN"/>
        </w:rPr>
      </w:pPr>
    </w:p>
    <w:p w14:paraId="395BA8D8" w14:textId="77777777" w:rsidR="00AB4533" w:rsidRDefault="00AB4533" w:rsidP="00CE331D">
      <w:pPr>
        <w:autoSpaceDE w:val="0"/>
        <w:autoSpaceDN w:val="0"/>
        <w:adjustRightInd w:val="0"/>
        <w:spacing w:line="360" w:lineRule="auto"/>
        <w:jc w:val="both"/>
        <w:rPr>
          <w:rFonts w:ascii="Book Antiqua" w:hAnsi="Book Antiqua"/>
          <w:lang w:eastAsia="zh-CN"/>
        </w:rPr>
      </w:pPr>
    </w:p>
    <w:p w14:paraId="582EB489" w14:textId="0B1E1475" w:rsidR="00655F4A" w:rsidRPr="00CE331D" w:rsidRDefault="00655F4A" w:rsidP="00CE331D">
      <w:pPr>
        <w:autoSpaceDE w:val="0"/>
        <w:autoSpaceDN w:val="0"/>
        <w:adjustRightInd w:val="0"/>
        <w:spacing w:line="360" w:lineRule="auto"/>
        <w:jc w:val="both"/>
        <w:rPr>
          <w:rFonts w:ascii="Book Antiqua" w:hAnsi="Book Antiqua"/>
          <w:b/>
          <w:bCs/>
        </w:rPr>
      </w:pPr>
      <w:r w:rsidRPr="00CE331D">
        <w:rPr>
          <w:rFonts w:ascii="Book Antiqua" w:hAnsi="Book Antiqua"/>
          <w:b/>
          <w:bCs/>
        </w:rPr>
        <w:t xml:space="preserve">Table 4 </w:t>
      </w:r>
      <w:r w:rsidR="00E6723B">
        <w:rPr>
          <w:rFonts w:ascii="Book Antiqua" w:hAnsi="Book Antiqua"/>
          <w:b/>
          <w:bCs/>
        </w:rPr>
        <w:t>U</w:t>
      </w:r>
      <w:r w:rsidRPr="00CE331D">
        <w:rPr>
          <w:rFonts w:ascii="Book Antiqua" w:hAnsi="Book Antiqua"/>
          <w:b/>
          <w:bCs/>
        </w:rPr>
        <w:t xml:space="preserve">se of proton pump inhibitors in </w:t>
      </w:r>
      <w:r w:rsidRPr="00CE331D">
        <w:rPr>
          <w:rFonts w:ascii="Book Antiqua" w:eastAsia="宋体" w:hAnsi="Book Antiqua"/>
          <w:b/>
          <w:bCs/>
        </w:rPr>
        <w:t>nonerosive reflux disease</w:t>
      </w:r>
      <w:r w:rsidRPr="00CE331D">
        <w:rPr>
          <w:rFonts w:ascii="Book Antiqua" w:hAnsi="Book Antiqua"/>
          <w:b/>
          <w:bCs/>
        </w:rPr>
        <w:t xml:space="preserve"> patients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014"/>
        <w:gridCol w:w="1149"/>
        <w:gridCol w:w="1157"/>
      </w:tblGrid>
      <w:tr w:rsidR="00655F4A" w:rsidRPr="00CE331D" w14:paraId="1D9B389C" w14:textId="77777777" w:rsidTr="001A7CA4">
        <w:tc>
          <w:tcPr>
            <w:tcW w:w="3796" w:type="pct"/>
            <w:gridSpan w:val="2"/>
            <w:tcBorders>
              <w:top w:val="single" w:sz="4" w:space="0" w:color="auto"/>
              <w:bottom w:val="single" w:sz="4" w:space="0" w:color="auto"/>
            </w:tcBorders>
            <w:hideMark/>
          </w:tcPr>
          <w:p w14:paraId="12D0DD97"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Items</w:t>
            </w:r>
          </w:p>
        </w:tc>
        <w:tc>
          <w:tcPr>
            <w:tcW w:w="600" w:type="pct"/>
            <w:tcBorders>
              <w:top w:val="single" w:sz="4" w:space="0" w:color="auto"/>
              <w:bottom w:val="single" w:sz="4" w:space="0" w:color="auto"/>
            </w:tcBorders>
            <w:hideMark/>
          </w:tcPr>
          <w:p w14:paraId="71D199F5"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PPI</w:t>
            </w:r>
          </w:p>
        </w:tc>
        <w:tc>
          <w:tcPr>
            <w:tcW w:w="604" w:type="pct"/>
            <w:tcBorders>
              <w:top w:val="single" w:sz="4" w:space="0" w:color="auto"/>
              <w:bottom w:val="single" w:sz="4" w:space="0" w:color="auto"/>
            </w:tcBorders>
            <w:hideMark/>
          </w:tcPr>
          <w:p w14:paraId="110C3D6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WMT</w:t>
            </w:r>
          </w:p>
        </w:tc>
      </w:tr>
      <w:tr w:rsidR="00655F4A" w:rsidRPr="00CE331D" w14:paraId="3DD9ED90" w14:textId="77777777" w:rsidTr="001A7CA4">
        <w:trPr>
          <w:trHeight w:val="211"/>
        </w:trPr>
        <w:tc>
          <w:tcPr>
            <w:tcW w:w="1700" w:type="pct"/>
            <w:vMerge w:val="restart"/>
            <w:tcBorders>
              <w:top w:val="single" w:sz="4" w:space="0" w:color="auto"/>
            </w:tcBorders>
            <w:hideMark/>
          </w:tcPr>
          <w:p w14:paraId="66D77D01" w14:textId="77777777" w:rsidR="00655F4A" w:rsidRPr="00CE331D" w:rsidRDefault="00655F4A" w:rsidP="00CE331D">
            <w:pPr>
              <w:spacing w:line="360" w:lineRule="auto"/>
              <w:jc w:val="both"/>
              <w:rPr>
                <w:rFonts w:ascii="Book Antiqua" w:hAnsi="Book Antiqua"/>
                <w:b/>
                <w:bCs/>
              </w:rPr>
            </w:pPr>
            <w:bookmarkStart w:id="19" w:name="_Hlk50278319"/>
            <w:r w:rsidRPr="00CE331D">
              <w:rPr>
                <w:rFonts w:ascii="Book Antiqua" w:hAnsi="Book Antiqua"/>
              </w:rPr>
              <w:t>Continuous use before treatment (</w:t>
            </w:r>
            <w:r w:rsidRPr="00CE331D">
              <w:rPr>
                <w:rFonts w:ascii="Book Antiqua" w:hAnsi="Book Antiqua"/>
                <w:i/>
                <w:iCs/>
              </w:rPr>
              <w:t>n</w:t>
            </w:r>
            <w:r w:rsidRPr="00CE331D">
              <w:rPr>
                <w:rFonts w:ascii="Book Antiqua" w:hAnsi="Book Antiqua"/>
              </w:rPr>
              <w:t>)</w:t>
            </w:r>
          </w:p>
        </w:tc>
        <w:tc>
          <w:tcPr>
            <w:tcW w:w="2096" w:type="pct"/>
            <w:tcBorders>
              <w:top w:val="single" w:sz="4" w:space="0" w:color="auto"/>
            </w:tcBorders>
            <w:hideMark/>
          </w:tcPr>
          <w:p w14:paraId="73E3826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No reduction after treatment</w:t>
            </w:r>
          </w:p>
        </w:tc>
        <w:tc>
          <w:tcPr>
            <w:tcW w:w="600" w:type="pct"/>
            <w:tcBorders>
              <w:top w:val="single" w:sz="4" w:space="0" w:color="auto"/>
            </w:tcBorders>
            <w:hideMark/>
          </w:tcPr>
          <w:p w14:paraId="7A0D961B"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3</w:t>
            </w:r>
          </w:p>
        </w:tc>
        <w:tc>
          <w:tcPr>
            <w:tcW w:w="604" w:type="pct"/>
            <w:tcBorders>
              <w:top w:val="single" w:sz="4" w:space="0" w:color="auto"/>
            </w:tcBorders>
            <w:hideMark/>
          </w:tcPr>
          <w:p w14:paraId="7644861D"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4</w:t>
            </w:r>
          </w:p>
        </w:tc>
      </w:tr>
      <w:tr w:rsidR="00655F4A" w:rsidRPr="00CE331D" w14:paraId="2B92D891" w14:textId="77777777" w:rsidTr="001A7CA4">
        <w:trPr>
          <w:trHeight w:val="211"/>
        </w:trPr>
        <w:tc>
          <w:tcPr>
            <w:tcW w:w="1700" w:type="pct"/>
            <w:vMerge/>
            <w:vAlign w:val="center"/>
            <w:hideMark/>
          </w:tcPr>
          <w:p w14:paraId="6C7B7DDC" w14:textId="77777777" w:rsidR="00655F4A" w:rsidRPr="00CE331D" w:rsidRDefault="00655F4A" w:rsidP="00CE331D">
            <w:pPr>
              <w:spacing w:line="360" w:lineRule="auto"/>
              <w:jc w:val="both"/>
              <w:rPr>
                <w:rFonts w:ascii="Book Antiqua" w:hAnsi="Book Antiqua"/>
                <w:b/>
                <w:bCs/>
              </w:rPr>
            </w:pPr>
          </w:p>
        </w:tc>
        <w:tc>
          <w:tcPr>
            <w:tcW w:w="2096" w:type="pct"/>
            <w:hideMark/>
          </w:tcPr>
          <w:p w14:paraId="589844E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Reduction after treatment</w:t>
            </w:r>
          </w:p>
        </w:tc>
        <w:tc>
          <w:tcPr>
            <w:tcW w:w="600" w:type="pct"/>
            <w:hideMark/>
          </w:tcPr>
          <w:p w14:paraId="64972B33"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5</w:t>
            </w:r>
          </w:p>
        </w:tc>
        <w:tc>
          <w:tcPr>
            <w:tcW w:w="604" w:type="pct"/>
            <w:hideMark/>
          </w:tcPr>
          <w:p w14:paraId="16613DF7"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0</w:t>
            </w:r>
          </w:p>
        </w:tc>
        <w:bookmarkEnd w:id="19"/>
      </w:tr>
      <w:tr w:rsidR="00655F4A" w:rsidRPr="00CE331D" w14:paraId="1143C99E" w14:textId="77777777" w:rsidTr="007C6C6D">
        <w:trPr>
          <w:trHeight w:val="492"/>
        </w:trPr>
        <w:tc>
          <w:tcPr>
            <w:tcW w:w="1700" w:type="pct"/>
            <w:vMerge/>
            <w:vAlign w:val="center"/>
            <w:hideMark/>
          </w:tcPr>
          <w:p w14:paraId="3B8AF01E" w14:textId="77777777" w:rsidR="00655F4A" w:rsidRPr="00CE331D" w:rsidRDefault="00655F4A" w:rsidP="00CE331D">
            <w:pPr>
              <w:spacing w:line="360" w:lineRule="auto"/>
              <w:jc w:val="both"/>
              <w:rPr>
                <w:rFonts w:ascii="Book Antiqua" w:hAnsi="Book Antiqua"/>
                <w:b/>
                <w:bCs/>
              </w:rPr>
            </w:pPr>
          </w:p>
        </w:tc>
        <w:tc>
          <w:tcPr>
            <w:tcW w:w="2096" w:type="pct"/>
            <w:hideMark/>
          </w:tcPr>
          <w:p w14:paraId="5C2A86A3"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Withdrawal after treatment</w:t>
            </w:r>
          </w:p>
        </w:tc>
        <w:tc>
          <w:tcPr>
            <w:tcW w:w="600" w:type="pct"/>
            <w:hideMark/>
          </w:tcPr>
          <w:p w14:paraId="667C0FF3"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3</w:t>
            </w:r>
          </w:p>
        </w:tc>
        <w:tc>
          <w:tcPr>
            <w:tcW w:w="604" w:type="pct"/>
            <w:hideMark/>
          </w:tcPr>
          <w:p w14:paraId="407CDD55"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0</w:t>
            </w:r>
          </w:p>
        </w:tc>
      </w:tr>
      <w:tr w:rsidR="00655F4A" w:rsidRPr="00CE331D" w14:paraId="0A5253E4" w14:textId="77777777" w:rsidTr="001A7CA4">
        <w:tc>
          <w:tcPr>
            <w:tcW w:w="1700" w:type="pct"/>
            <w:vMerge w:val="restart"/>
          </w:tcPr>
          <w:p w14:paraId="709A6DAA" w14:textId="77777777" w:rsidR="00655F4A" w:rsidRPr="00CE331D" w:rsidRDefault="00655F4A" w:rsidP="00CE331D">
            <w:pPr>
              <w:spacing w:line="360" w:lineRule="auto"/>
              <w:jc w:val="both"/>
              <w:rPr>
                <w:rFonts w:ascii="Book Antiqua" w:hAnsi="Book Antiqua"/>
              </w:rPr>
            </w:pPr>
            <w:r w:rsidRPr="00CE331D">
              <w:rPr>
                <w:rFonts w:ascii="Book Antiqua" w:hAnsi="Book Antiqua"/>
              </w:rPr>
              <w:t>Usage as needed before treatment (</w:t>
            </w:r>
            <w:r w:rsidRPr="00CE331D">
              <w:rPr>
                <w:rFonts w:ascii="Book Antiqua" w:hAnsi="Book Antiqua"/>
                <w:i/>
                <w:iCs/>
              </w:rPr>
              <w:t>n</w:t>
            </w:r>
            <w:r w:rsidRPr="00CE331D">
              <w:rPr>
                <w:rFonts w:ascii="Book Antiqua" w:hAnsi="Book Antiqua"/>
              </w:rPr>
              <w:t>)</w:t>
            </w:r>
          </w:p>
          <w:p w14:paraId="6AFFEE86" w14:textId="77777777" w:rsidR="00655F4A" w:rsidRPr="00CE331D" w:rsidRDefault="00655F4A" w:rsidP="00CE331D">
            <w:pPr>
              <w:spacing w:line="360" w:lineRule="auto"/>
              <w:jc w:val="both"/>
              <w:rPr>
                <w:rFonts w:ascii="Book Antiqua" w:hAnsi="Book Antiqua"/>
                <w:b/>
                <w:bCs/>
              </w:rPr>
            </w:pPr>
          </w:p>
        </w:tc>
        <w:tc>
          <w:tcPr>
            <w:tcW w:w="2096" w:type="pct"/>
            <w:hideMark/>
          </w:tcPr>
          <w:p w14:paraId="776E8DE0"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No reduction after treatment</w:t>
            </w:r>
          </w:p>
        </w:tc>
        <w:tc>
          <w:tcPr>
            <w:tcW w:w="600" w:type="pct"/>
            <w:hideMark/>
          </w:tcPr>
          <w:p w14:paraId="6745CCAC"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0</w:t>
            </w:r>
          </w:p>
        </w:tc>
        <w:tc>
          <w:tcPr>
            <w:tcW w:w="604" w:type="pct"/>
            <w:hideMark/>
          </w:tcPr>
          <w:p w14:paraId="7BC9DDE3"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4</w:t>
            </w:r>
          </w:p>
        </w:tc>
      </w:tr>
      <w:tr w:rsidR="00655F4A" w:rsidRPr="00CE331D" w14:paraId="183AD04A" w14:textId="77777777" w:rsidTr="001A7CA4">
        <w:tc>
          <w:tcPr>
            <w:tcW w:w="1700" w:type="pct"/>
            <w:vMerge/>
            <w:vAlign w:val="center"/>
            <w:hideMark/>
          </w:tcPr>
          <w:p w14:paraId="13690036" w14:textId="77777777" w:rsidR="00655F4A" w:rsidRPr="00CE331D" w:rsidRDefault="00655F4A" w:rsidP="00CE331D">
            <w:pPr>
              <w:spacing w:line="360" w:lineRule="auto"/>
              <w:jc w:val="both"/>
              <w:rPr>
                <w:rFonts w:ascii="Book Antiqua" w:hAnsi="Book Antiqua"/>
                <w:b/>
                <w:bCs/>
              </w:rPr>
            </w:pPr>
          </w:p>
        </w:tc>
        <w:tc>
          <w:tcPr>
            <w:tcW w:w="2096" w:type="pct"/>
            <w:hideMark/>
          </w:tcPr>
          <w:p w14:paraId="3E39DBCD"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Reduction after treatment</w:t>
            </w:r>
          </w:p>
        </w:tc>
        <w:tc>
          <w:tcPr>
            <w:tcW w:w="600" w:type="pct"/>
            <w:hideMark/>
          </w:tcPr>
          <w:p w14:paraId="4CB22C8D"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2</w:t>
            </w:r>
          </w:p>
        </w:tc>
        <w:tc>
          <w:tcPr>
            <w:tcW w:w="604" w:type="pct"/>
            <w:hideMark/>
          </w:tcPr>
          <w:p w14:paraId="6A63F855"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2</w:t>
            </w:r>
          </w:p>
        </w:tc>
      </w:tr>
      <w:tr w:rsidR="00655F4A" w:rsidRPr="00CE331D" w14:paraId="1003EB70" w14:textId="77777777" w:rsidTr="001A7CA4">
        <w:trPr>
          <w:trHeight w:val="298"/>
        </w:trPr>
        <w:tc>
          <w:tcPr>
            <w:tcW w:w="1700" w:type="pct"/>
            <w:vMerge/>
            <w:vAlign w:val="center"/>
            <w:hideMark/>
          </w:tcPr>
          <w:p w14:paraId="23556094" w14:textId="77777777" w:rsidR="00655F4A" w:rsidRPr="00CE331D" w:rsidRDefault="00655F4A" w:rsidP="00CE331D">
            <w:pPr>
              <w:spacing w:line="360" w:lineRule="auto"/>
              <w:jc w:val="both"/>
              <w:rPr>
                <w:rFonts w:ascii="Book Antiqua" w:hAnsi="Book Antiqua"/>
                <w:b/>
                <w:bCs/>
              </w:rPr>
            </w:pPr>
          </w:p>
        </w:tc>
        <w:tc>
          <w:tcPr>
            <w:tcW w:w="2096" w:type="pct"/>
            <w:hideMark/>
          </w:tcPr>
          <w:p w14:paraId="1D66E25D" w14:textId="77777777" w:rsidR="00655F4A" w:rsidRPr="00CE331D" w:rsidRDefault="00655F4A" w:rsidP="00CE331D">
            <w:pPr>
              <w:spacing w:line="360" w:lineRule="auto"/>
              <w:jc w:val="both"/>
              <w:rPr>
                <w:rFonts w:ascii="Book Antiqua" w:hAnsi="Book Antiqua"/>
              </w:rPr>
            </w:pPr>
            <w:r w:rsidRPr="00CE331D">
              <w:rPr>
                <w:rFonts w:ascii="Book Antiqua" w:hAnsi="Book Antiqua"/>
              </w:rPr>
              <w:t>Withdrawal after treatment</w:t>
            </w:r>
          </w:p>
        </w:tc>
        <w:tc>
          <w:tcPr>
            <w:tcW w:w="600" w:type="pct"/>
            <w:hideMark/>
          </w:tcPr>
          <w:p w14:paraId="0F06C009" w14:textId="77777777" w:rsidR="00655F4A" w:rsidRPr="00CE331D" w:rsidRDefault="00655F4A" w:rsidP="00CE331D">
            <w:pPr>
              <w:spacing w:line="360" w:lineRule="auto"/>
              <w:ind w:firstLineChars="50" w:firstLine="120"/>
              <w:jc w:val="both"/>
              <w:rPr>
                <w:rFonts w:ascii="Book Antiqua" w:hAnsi="Book Antiqua"/>
              </w:rPr>
            </w:pPr>
            <w:r w:rsidRPr="00CE331D">
              <w:rPr>
                <w:rFonts w:ascii="Book Antiqua" w:hAnsi="Book Antiqua"/>
              </w:rPr>
              <w:t>2</w:t>
            </w:r>
          </w:p>
        </w:tc>
        <w:tc>
          <w:tcPr>
            <w:tcW w:w="604" w:type="pct"/>
          </w:tcPr>
          <w:p w14:paraId="1101E03B" w14:textId="77777777" w:rsidR="00655F4A" w:rsidRPr="00CE331D" w:rsidRDefault="00655F4A" w:rsidP="00CE331D">
            <w:pPr>
              <w:spacing w:line="360" w:lineRule="auto"/>
              <w:ind w:firstLineChars="100" w:firstLine="240"/>
              <w:jc w:val="both"/>
              <w:rPr>
                <w:rFonts w:ascii="Book Antiqua" w:hAnsi="Book Antiqua"/>
              </w:rPr>
            </w:pPr>
            <w:r w:rsidRPr="00CE331D">
              <w:rPr>
                <w:rFonts w:ascii="Book Antiqua" w:hAnsi="Book Antiqua"/>
              </w:rPr>
              <w:t>2</w:t>
            </w:r>
          </w:p>
        </w:tc>
      </w:tr>
    </w:tbl>
    <w:p w14:paraId="016BDD6A" w14:textId="223E0C7C" w:rsidR="00655F4A" w:rsidRPr="00CE331D" w:rsidRDefault="00655F4A" w:rsidP="00CE331D">
      <w:pPr>
        <w:spacing w:line="360" w:lineRule="auto"/>
        <w:jc w:val="both"/>
        <w:rPr>
          <w:rFonts w:ascii="Book Antiqua" w:hAnsi="Book Antiqua"/>
        </w:rPr>
      </w:pPr>
      <w:r w:rsidRPr="00CE331D">
        <w:rPr>
          <w:rFonts w:ascii="Book Antiqua" w:hAnsi="Book Antiqua"/>
        </w:rPr>
        <w:t>WMT</w:t>
      </w:r>
      <w:r w:rsidR="00BD081E" w:rsidRPr="00CE331D">
        <w:rPr>
          <w:rFonts w:ascii="Book Antiqua" w:hAnsi="Book Antiqua"/>
        </w:rPr>
        <w:t>:</w:t>
      </w:r>
      <w:r w:rsidRPr="00CE331D">
        <w:rPr>
          <w:rFonts w:ascii="Book Antiqua" w:hAnsi="Book Antiqua"/>
        </w:rPr>
        <w:t xml:space="preserve"> </w:t>
      </w:r>
      <w:r w:rsidR="00BD081E" w:rsidRPr="00CE331D">
        <w:rPr>
          <w:rFonts w:ascii="Book Antiqua" w:hAnsi="Book Antiqua"/>
        </w:rPr>
        <w:t>W</w:t>
      </w:r>
      <w:r w:rsidRPr="00CE331D">
        <w:rPr>
          <w:rFonts w:ascii="Book Antiqua" w:hAnsi="Book Antiqua"/>
        </w:rPr>
        <w:t>ashed microbiota transplantation; PPI</w:t>
      </w:r>
      <w:r w:rsidR="00BD081E" w:rsidRPr="00CE331D">
        <w:rPr>
          <w:rFonts w:ascii="Book Antiqua" w:hAnsi="Book Antiqua"/>
        </w:rPr>
        <w:t>:</w:t>
      </w:r>
      <w:r w:rsidRPr="00CE331D">
        <w:rPr>
          <w:rFonts w:ascii="Book Antiqua" w:hAnsi="Book Antiqua"/>
        </w:rPr>
        <w:t xml:space="preserve"> </w:t>
      </w:r>
      <w:r w:rsidR="00BD081E" w:rsidRPr="00CE331D">
        <w:rPr>
          <w:rFonts w:ascii="Book Antiqua" w:hAnsi="Book Antiqua"/>
        </w:rPr>
        <w:t>P</w:t>
      </w:r>
      <w:r w:rsidRPr="00CE331D">
        <w:rPr>
          <w:rFonts w:ascii="Book Antiqua" w:hAnsi="Book Antiqua"/>
        </w:rPr>
        <w:t>roton pump inhibitors.</w:t>
      </w:r>
    </w:p>
    <w:p w14:paraId="3B483A38" w14:textId="77777777" w:rsidR="00AB4533" w:rsidRDefault="00AB4533" w:rsidP="00CE331D">
      <w:pPr>
        <w:spacing w:line="360" w:lineRule="auto"/>
        <w:jc w:val="both"/>
        <w:rPr>
          <w:rFonts w:ascii="Book Antiqua" w:hAnsi="Book Antiqua"/>
          <w:lang w:eastAsia="zh-CN"/>
        </w:rPr>
      </w:pPr>
    </w:p>
    <w:p w14:paraId="5CEE48FD" w14:textId="77777777" w:rsidR="00AB4533" w:rsidRDefault="00AB4533" w:rsidP="00CE331D">
      <w:pPr>
        <w:spacing w:line="360" w:lineRule="auto"/>
        <w:jc w:val="both"/>
        <w:rPr>
          <w:rFonts w:ascii="Book Antiqua" w:hAnsi="Book Antiqua"/>
          <w:lang w:eastAsia="zh-CN"/>
        </w:rPr>
      </w:pPr>
    </w:p>
    <w:p w14:paraId="3C72F929" w14:textId="77777777" w:rsidR="00AB4533" w:rsidRDefault="00AB4533" w:rsidP="00CE331D">
      <w:pPr>
        <w:spacing w:line="360" w:lineRule="auto"/>
        <w:jc w:val="both"/>
        <w:rPr>
          <w:rFonts w:ascii="Book Antiqua" w:hAnsi="Book Antiqua"/>
          <w:lang w:eastAsia="zh-CN"/>
        </w:rPr>
      </w:pPr>
    </w:p>
    <w:p w14:paraId="21CD7F46" w14:textId="77777777" w:rsidR="00AB4533" w:rsidRDefault="00AB4533" w:rsidP="00CE331D">
      <w:pPr>
        <w:spacing w:line="360" w:lineRule="auto"/>
        <w:jc w:val="both"/>
        <w:rPr>
          <w:rFonts w:ascii="Book Antiqua" w:hAnsi="Book Antiqua"/>
          <w:lang w:eastAsia="zh-CN"/>
        </w:rPr>
      </w:pPr>
    </w:p>
    <w:p w14:paraId="6398710D" w14:textId="77777777" w:rsidR="00AB4533" w:rsidRDefault="00AB4533" w:rsidP="00CE331D">
      <w:pPr>
        <w:spacing w:line="360" w:lineRule="auto"/>
        <w:jc w:val="both"/>
        <w:rPr>
          <w:rFonts w:ascii="Book Antiqua" w:hAnsi="Book Antiqua"/>
          <w:lang w:eastAsia="zh-CN"/>
        </w:rPr>
      </w:pPr>
    </w:p>
    <w:p w14:paraId="6A35EAA5" w14:textId="77777777" w:rsidR="00AB4533" w:rsidRDefault="00AB4533" w:rsidP="00CE331D">
      <w:pPr>
        <w:spacing w:line="360" w:lineRule="auto"/>
        <w:jc w:val="both"/>
        <w:rPr>
          <w:rFonts w:ascii="Book Antiqua" w:hAnsi="Book Antiqua"/>
          <w:lang w:eastAsia="zh-CN"/>
        </w:rPr>
      </w:pPr>
    </w:p>
    <w:p w14:paraId="31779D80" w14:textId="77777777" w:rsidR="00AB4533" w:rsidRDefault="00AB4533" w:rsidP="00CE331D">
      <w:pPr>
        <w:spacing w:line="360" w:lineRule="auto"/>
        <w:jc w:val="both"/>
        <w:rPr>
          <w:rFonts w:ascii="Book Antiqua" w:hAnsi="Book Antiqua"/>
          <w:lang w:eastAsia="zh-CN"/>
        </w:rPr>
      </w:pPr>
    </w:p>
    <w:p w14:paraId="54E1FE02" w14:textId="77777777" w:rsidR="00AB4533" w:rsidRDefault="00AB4533" w:rsidP="00CE331D">
      <w:pPr>
        <w:spacing w:line="360" w:lineRule="auto"/>
        <w:jc w:val="both"/>
        <w:rPr>
          <w:rFonts w:ascii="Book Antiqua" w:hAnsi="Book Antiqua"/>
          <w:lang w:eastAsia="zh-CN"/>
        </w:rPr>
      </w:pPr>
    </w:p>
    <w:p w14:paraId="7CDA69A4" w14:textId="77777777" w:rsidR="00AB4533" w:rsidRDefault="00AB4533" w:rsidP="00CE331D">
      <w:pPr>
        <w:spacing w:line="360" w:lineRule="auto"/>
        <w:jc w:val="both"/>
        <w:rPr>
          <w:rFonts w:ascii="Book Antiqua" w:hAnsi="Book Antiqua"/>
          <w:lang w:eastAsia="zh-CN"/>
        </w:rPr>
      </w:pPr>
    </w:p>
    <w:p w14:paraId="6213AD64" w14:textId="77777777" w:rsidR="00AB4533" w:rsidRDefault="00AB4533" w:rsidP="00CE331D">
      <w:pPr>
        <w:spacing w:line="360" w:lineRule="auto"/>
        <w:jc w:val="both"/>
        <w:rPr>
          <w:rFonts w:ascii="Book Antiqua" w:hAnsi="Book Antiqua"/>
          <w:lang w:eastAsia="zh-CN"/>
        </w:rPr>
      </w:pPr>
    </w:p>
    <w:p w14:paraId="27EFB610" w14:textId="77777777" w:rsidR="00AB4533" w:rsidRDefault="00AB4533" w:rsidP="00CE331D">
      <w:pPr>
        <w:spacing w:line="360" w:lineRule="auto"/>
        <w:jc w:val="both"/>
        <w:rPr>
          <w:rFonts w:ascii="Book Antiqua" w:hAnsi="Book Antiqua"/>
          <w:lang w:eastAsia="zh-CN"/>
        </w:rPr>
      </w:pPr>
    </w:p>
    <w:p w14:paraId="32284A65" w14:textId="77777777" w:rsidR="00AB4533" w:rsidRDefault="00AB4533" w:rsidP="00CE331D">
      <w:pPr>
        <w:spacing w:line="360" w:lineRule="auto"/>
        <w:jc w:val="both"/>
        <w:rPr>
          <w:rFonts w:ascii="Book Antiqua" w:hAnsi="Book Antiqua"/>
          <w:lang w:eastAsia="zh-CN"/>
        </w:rPr>
      </w:pPr>
    </w:p>
    <w:p w14:paraId="4EBAE293" w14:textId="77777777" w:rsidR="00AB4533" w:rsidRDefault="00AB4533" w:rsidP="00CE331D">
      <w:pPr>
        <w:spacing w:line="360" w:lineRule="auto"/>
        <w:jc w:val="both"/>
        <w:rPr>
          <w:rFonts w:ascii="Book Antiqua" w:hAnsi="Book Antiqua"/>
          <w:lang w:eastAsia="zh-CN"/>
        </w:rPr>
      </w:pPr>
    </w:p>
    <w:p w14:paraId="72931217" w14:textId="77777777" w:rsidR="00AB4533" w:rsidRDefault="00AB4533" w:rsidP="00CE331D">
      <w:pPr>
        <w:spacing w:line="360" w:lineRule="auto"/>
        <w:jc w:val="both"/>
        <w:rPr>
          <w:rFonts w:ascii="Book Antiqua" w:hAnsi="Book Antiqua"/>
          <w:lang w:eastAsia="zh-CN"/>
        </w:rPr>
      </w:pPr>
    </w:p>
    <w:p w14:paraId="0F2A03C1" w14:textId="77777777" w:rsidR="00AB4533" w:rsidRDefault="00AB4533" w:rsidP="00CE331D">
      <w:pPr>
        <w:spacing w:line="360" w:lineRule="auto"/>
        <w:jc w:val="both"/>
        <w:rPr>
          <w:rFonts w:ascii="Book Antiqua" w:hAnsi="Book Antiqua"/>
          <w:lang w:eastAsia="zh-CN"/>
        </w:rPr>
      </w:pPr>
    </w:p>
    <w:p w14:paraId="59DEBF48" w14:textId="77777777" w:rsidR="00AB4533" w:rsidRDefault="00AB4533" w:rsidP="00CE331D">
      <w:pPr>
        <w:spacing w:line="360" w:lineRule="auto"/>
        <w:jc w:val="both"/>
        <w:rPr>
          <w:rFonts w:ascii="Book Antiqua" w:hAnsi="Book Antiqua"/>
          <w:lang w:eastAsia="zh-CN"/>
        </w:rPr>
      </w:pPr>
    </w:p>
    <w:p w14:paraId="515D0186" w14:textId="77777777" w:rsidR="00AB4533" w:rsidRDefault="00AB4533" w:rsidP="00CE331D">
      <w:pPr>
        <w:spacing w:line="360" w:lineRule="auto"/>
        <w:jc w:val="both"/>
        <w:rPr>
          <w:rFonts w:ascii="Book Antiqua" w:hAnsi="Book Antiqua"/>
          <w:lang w:eastAsia="zh-CN"/>
        </w:rPr>
      </w:pPr>
    </w:p>
    <w:p w14:paraId="78105FBF" w14:textId="77777777" w:rsidR="00AB4533" w:rsidRDefault="00AB4533" w:rsidP="00CE331D">
      <w:pPr>
        <w:spacing w:line="360" w:lineRule="auto"/>
        <w:jc w:val="both"/>
        <w:rPr>
          <w:rFonts w:ascii="Book Antiqua" w:hAnsi="Book Antiqua"/>
          <w:lang w:eastAsia="zh-CN"/>
        </w:rPr>
      </w:pPr>
    </w:p>
    <w:p w14:paraId="27361C12" w14:textId="77777777" w:rsidR="00AB4533" w:rsidRDefault="00AB4533" w:rsidP="00CE331D">
      <w:pPr>
        <w:spacing w:line="360" w:lineRule="auto"/>
        <w:jc w:val="both"/>
        <w:rPr>
          <w:rFonts w:ascii="Book Antiqua" w:hAnsi="Book Antiqua"/>
          <w:lang w:eastAsia="zh-CN"/>
        </w:rPr>
      </w:pPr>
    </w:p>
    <w:p w14:paraId="61DFB7C7" w14:textId="77777777" w:rsidR="00AB4533" w:rsidRDefault="00AB4533" w:rsidP="00CE331D">
      <w:pPr>
        <w:spacing w:line="360" w:lineRule="auto"/>
        <w:jc w:val="both"/>
        <w:rPr>
          <w:rFonts w:ascii="Book Antiqua" w:hAnsi="Book Antiqua"/>
          <w:lang w:eastAsia="zh-CN"/>
        </w:rPr>
      </w:pPr>
    </w:p>
    <w:p w14:paraId="0B93F020" w14:textId="0C6935F9" w:rsidR="00655F4A" w:rsidRPr="00CE331D" w:rsidRDefault="00655F4A" w:rsidP="00CE331D">
      <w:pPr>
        <w:spacing w:line="360" w:lineRule="auto"/>
        <w:jc w:val="both"/>
        <w:rPr>
          <w:rFonts w:ascii="Book Antiqua" w:hAnsi="Book Antiqua"/>
          <w:b/>
          <w:bCs/>
        </w:rPr>
      </w:pPr>
      <w:r w:rsidRPr="00CE331D">
        <w:rPr>
          <w:rFonts w:ascii="Book Antiqua" w:hAnsi="Book Antiqua"/>
          <w:b/>
          <w:bCs/>
        </w:rPr>
        <w:t xml:space="preserve">Table </w:t>
      </w:r>
      <w:r w:rsidR="00192F90" w:rsidRPr="00CE331D">
        <w:rPr>
          <w:rFonts w:ascii="Book Antiqua" w:hAnsi="Book Antiqua"/>
          <w:b/>
          <w:bCs/>
        </w:rPr>
        <w:t>5</w:t>
      </w:r>
      <w:r w:rsidRPr="00CE331D">
        <w:rPr>
          <w:rFonts w:ascii="Book Antiqua" w:hAnsi="Book Antiqua"/>
          <w:b/>
          <w:bCs/>
        </w:rPr>
        <w:t xml:space="preserve"> </w:t>
      </w:r>
      <w:r w:rsidR="00E6723B">
        <w:rPr>
          <w:rFonts w:ascii="Book Antiqua" w:hAnsi="Book Antiqua"/>
          <w:b/>
          <w:bCs/>
        </w:rPr>
        <w:t>R</w:t>
      </w:r>
      <w:r w:rsidRPr="00CE331D">
        <w:rPr>
          <w:rFonts w:ascii="Book Antiqua" w:hAnsi="Book Antiqua"/>
          <w:b/>
          <w:bCs/>
        </w:rPr>
        <w:t xml:space="preserve">esults of </w:t>
      </w:r>
      <w:r w:rsidRPr="00CE331D">
        <w:rPr>
          <w:rFonts w:ascii="Book Antiqua" w:eastAsia="等线" w:hAnsi="Book Antiqua"/>
          <w:b/>
          <w:bCs/>
        </w:rPr>
        <w:t>examining</w:t>
      </w:r>
      <w:r w:rsidRPr="00CE331D">
        <w:rPr>
          <w:rFonts w:ascii="Book Antiqua" w:hAnsi="Book Antiqua"/>
          <w:b/>
          <w:bCs/>
        </w:rPr>
        <w:t xml:space="preserve"> the function of </w:t>
      </w:r>
      <w:r w:rsidRPr="00CE331D">
        <w:rPr>
          <w:rFonts w:ascii="Book Antiqua" w:eastAsia="等线" w:hAnsi="Book Antiqua"/>
          <w:b/>
          <w:bCs/>
        </w:rPr>
        <w:t xml:space="preserve">the </w:t>
      </w:r>
      <w:r w:rsidRPr="00CE331D">
        <w:rPr>
          <w:rFonts w:ascii="Book Antiqua" w:hAnsi="Book Antiqua"/>
          <w:b/>
          <w:bCs/>
        </w:rPr>
        <w:t xml:space="preserve">intestinal mucosal barrier in </w:t>
      </w:r>
      <w:r w:rsidRPr="00CE331D">
        <w:rPr>
          <w:rFonts w:ascii="Book Antiqua" w:eastAsia="等线" w:hAnsi="Book Antiqua"/>
          <w:b/>
          <w:bCs/>
        </w:rPr>
        <w:t xml:space="preserve">the </w:t>
      </w:r>
      <w:r w:rsidR="00CA4AEE" w:rsidRPr="00CE331D">
        <w:rPr>
          <w:rFonts w:ascii="Book Antiqua" w:hAnsi="Book Antiqua"/>
          <w:b/>
          <w:bCs/>
        </w:rPr>
        <w:t>washed microbiota transplantation</w:t>
      </w:r>
      <w:r w:rsidRPr="00CE331D">
        <w:rPr>
          <w:rFonts w:ascii="Book Antiqua" w:hAnsi="Book Antiqua"/>
          <w:b/>
          <w:bCs/>
        </w:rPr>
        <w:t xml:space="preserve"> group</w:t>
      </w:r>
    </w:p>
    <w:tbl>
      <w:tblPr>
        <w:tblStyle w:val="a5"/>
        <w:tblW w:w="5149" w:type="pct"/>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2505"/>
        <w:gridCol w:w="2134"/>
        <w:gridCol w:w="1741"/>
      </w:tblGrid>
      <w:tr w:rsidR="000B3E78" w:rsidRPr="00CE331D" w14:paraId="0704BDA8" w14:textId="77777777" w:rsidTr="0057286D">
        <w:trPr>
          <w:trHeight w:val="403"/>
        </w:trPr>
        <w:tc>
          <w:tcPr>
            <w:tcW w:w="1765" w:type="pct"/>
            <w:tcBorders>
              <w:top w:val="single" w:sz="4" w:space="0" w:color="auto"/>
              <w:bottom w:val="single" w:sz="4" w:space="0" w:color="auto"/>
            </w:tcBorders>
          </w:tcPr>
          <w:p w14:paraId="456FBBD7" w14:textId="0970AC5B" w:rsidR="00655F4A" w:rsidRPr="00CE331D" w:rsidRDefault="00655F4A" w:rsidP="00CE331D">
            <w:pPr>
              <w:spacing w:line="360" w:lineRule="auto"/>
              <w:jc w:val="both"/>
              <w:rPr>
                <w:rFonts w:ascii="Book Antiqua" w:hAnsi="Book Antiqua"/>
                <w:b/>
                <w:bCs/>
              </w:rPr>
            </w:pPr>
            <w:r w:rsidRPr="00CE331D">
              <w:rPr>
                <w:rFonts w:ascii="Book Antiqua" w:hAnsi="Book Antiqua"/>
                <w:b/>
                <w:bCs/>
              </w:rPr>
              <w:t>Item</w:t>
            </w:r>
          </w:p>
        </w:tc>
        <w:tc>
          <w:tcPr>
            <w:tcW w:w="1270" w:type="pct"/>
            <w:tcBorders>
              <w:top w:val="single" w:sz="4" w:space="0" w:color="auto"/>
              <w:bottom w:val="single" w:sz="4" w:space="0" w:color="auto"/>
            </w:tcBorders>
          </w:tcPr>
          <w:p w14:paraId="6A85F421" w14:textId="12014A84" w:rsidR="00655F4A" w:rsidRPr="00CE331D" w:rsidRDefault="00AD11D0" w:rsidP="00CE331D">
            <w:pPr>
              <w:spacing w:line="360" w:lineRule="auto"/>
              <w:jc w:val="both"/>
              <w:rPr>
                <w:rFonts w:ascii="Book Antiqua" w:hAnsi="Book Antiqua"/>
                <w:b/>
                <w:bCs/>
              </w:rPr>
            </w:pPr>
            <w:r w:rsidRPr="00CE331D">
              <w:rPr>
                <w:rFonts w:ascii="Book Antiqua" w:hAnsi="Book Antiqua"/>
                <w:b/>
                <w:bCs/>
              </w:rPr>
              <w:t>Lipopolysaccharide</w:t>
            </w:r>
          </w:p>
        </w:tc>
        <w:tc>
          <w:tcPr>
            <w:tcW w:w="1082" w:type="pct"/>
            <w:tcBorders>
              <w:top w:val="single" w:sz="4" w:space="0" w:color="auto"/>
              <w:bottom w:val="single" w:sz="4" w:space="0" w:color="auto"/>
            </w:tcBorders>
          </w:tcPr>
          <w:p w14:paraId="2FF38BB4"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Diamine oxidase</w:t>
            </w:r>
          </w:p>
        </w:tc>
        <w:tc>
          <w:tcPr>
            <w:tcW w:w="883" w:type="pct"/>
            <w:tcBorders>
              <w:top w:val="single" w:sz="4" w:space="0" w:color="auto"/>
              <w:bottom w:val="single" w:sz="4" w:space="0" w:color="auto"/>
            </w:tcBorders>
          </w:tcPr>
          <w:p w14:paraId="2D433994" w14:textId="77777777" w:rsidR="00655F4A" w:rsidRPr="00CE331D" w:rsidRDefault="00655F4A" w:rsidP="00CE331D">
            <w:pPr>
              <w:spacing w:line="360" w:lineRule="auto"/>
              <w:jc w:val="both"/>
              <w:rPr>
                <w:rFonts w:ascii="Book Antiqua" w:hAnsi="Book Antiqua"/>
                <w:b/>
                <w:bCs/>
              </w:rPr>
            </w:pPr>
            <w:r w:rsidRPr="00CE331D">
              <w:rPr>
                <w:rFonts w:ascii="Book Antiqua" w:hAnsi="Book Antiqua"/>
                <w:b/>
                <w:bCs/>
              </w:rPr>
              <w:t>D-lactate</w:t>
            </w:r>
          </w:p>
        </w:tc>
      </w:tr>
      <w:tr w:rsidR="000B3E78" w:rsidRPr="00CE331D" w14:paraId="59320D31" w14:textId="77777777" w:rsidTr="0057286D">
        <w:trPr>
          <w:trHeight w:val="392"/>
        </w:trPr>
        <w:tc>
          <w:tcPr>
            <w:tcW w:w="1765" w:type="pct"/>
            <w:tcBorders>
              <w:top w:val="single" w:sz="4" w:space="0" w:color="auto"/>
            </w:tcBorders>
          </w:tcPr>
          <w:p w14:paraId="5BEC962B"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Pre-treatment (median, IQR)</w:t>
            </w:r>
          </w:p>
        </w:tc>
        <w:tc>
          <w:tcPr>
            <w:tcW w:w="1270" w:type="pct"/>
            <w:tcBorders>
              <w:top w:val="single" w:sz="4" w:space="0" w:color="auto"/>
            </w:tcBorders>
          </w:tcPr>
          <w:p w14:paraId="1E49DC0B" w14:textId="5F677321" w:rsidR="00655F4A" w:rsidRPr="00CE331D" w:rsidRDefault="00655F4A" w:rsidP="00CE331D">
            <w:pPr>
              <w:spacing w:line="360" w:lineRule="auto"/>
              <w:jc w:val="both"/>
              <w:rPr>
                <w:rFonts w:ascii="Book Antiqua" w:hAnsi="Book Antiqua"/>
                <w:b/>
                <w:bCs/>
              </w:rPr>
            </w:pPr>
            <w:r w:rsidRPr="00CE331D">
              <w:rPr>
                <w:rFonts w:ascii="Book Antiqua" w:hAnsi="Book Antiqua"/>
              </w:rPr>
              <w:t>7.5</w:t>
            </w:r>
            <w:r w:rsidR="00945A02" w:rsidRPr="00CE331D">
              <w:rPr>
                <w:rFonts w:ascii="Book Antiqua" w:hAnsi="Book Antiqua"/>
              </w:rPr>
              <w:t xml:space="preserve"> </w:t>
            </w:r>
            <w:r w:rsidRPr="00CE331D">
              <w:rPr>
                <w:rFonts w:ascii="Book Antiqua" w:hAnsi="Book Antiqua"/>
              </w:rPr>
              <w:t>(3.6,</w:t>
            </w:r>
            <w:r w:rsidR="003E75C5" w:rsidRPr="00CE331D">
              <w:rPr>
                <w:rFonts w:ascii="Book Antiqua" w:hAnsi="Book Antiqua"/>
              </w:rPr>
              <w:t xml:space="preserve"> </w:t>
            </w:r>
            <w:r w:rsidRPr="00CE331D">
              <w:rPr>
                <w:rFonts w:ascii="Book Antiqua" w:hAnsi="Book Antiqua"/>
              </w:rPr>
              <w:t>10.4)</w:t>
            </w:r>
          </w:p>
        </w:tc>
        <w:tc>
          <w:tcPr>
            <w:tcW w:w="1082" w:type="pct"/>
            <w:tcBorders>
              <w:top w:val="single" w:sz="4" w:space="0" w:color="auto"/>
            </w:tcBorders>
          </w:tcPr>
          <w:p w14:paraId="128B6578" w14:textId="73BE1CE5" w:rsidR="00655F4A" w:rsidRPr="00CE331D" w:rsidRDefault="00655F4A" w:rsidP="00CE331D">
            <w:pPr>
              <w:spacing w:line="360" w:lineRule="auto"/>
              <w:jc w:val="both"/>
              <w:rPr>
                <w:rFonts w:ascii="Book Antiqua" w:hAnsi="Book Antiqua"/>
                <w:b/>
                <w:bCs/>
              </w:rPr>
            </w:pPr>
            <w:r w:rsidRPr="00CE331D">
              <w:rPr>
                <w:rFonts w:ascii="Book Antiqua" w:hAnsi="Book Antiqua"/>
              </w:rPr>
              <w:t>4.1</w:t>
            </w:r>
            <w:r w:rsidR="00945A02" w:rsidRPr="00CE331D">
              <w:rPr>
                <w:rFonts w:ascii="Book Antiqua" w:hAnsi="Book Antiqua"/>
              </w:rPr>
              <w:t xml:space="preserve"> </w:t>
            </w:r>
            <w:r w:rsidRPr="00CE331D">
              <w:rPr>
                <w:rFonts w:ascii="Book Antiqua" w:hAnsi="Book Antiqua"/>
              </w:rPr>
              <w:t>(3.2,</w:t>
            </w:r>
            <w:r w:rsidR="003E75C5" w:rsidRPr="00CE331D">
              <w:rPr>
                <w:rFonts w:ascii="Book Antiqua" w:hAnsi="Book Antiqua"/>
              </w:rPr>
              <w:t xml:space="preserve"> </w:t>
            </w:r>
            <w:r w:rsidRPr="00CE331D">
              <w:rPr>
                <w:rFonts w:ascii="Book Antiqua" w:hAnsi="Book Antiqua"/>
              </w:rPr>
              <w:t>6.5)</w:t>
            </w:r>
          </w:p>
        </w:tc>
        <w:tc>
          <w:tcPr>
            <w:tcW w:w="883" w:type="pct"/>
            <w:tcBorders>
              <w:top w:val="single" w:sz="4" w:space="0" w:color="auto"/>
            </w:tcBorders>
          </w:tcPr>
          <w:p w14:paraId="08C06D69" w14:textId="295BA6E6" w:rsidR="00655F4A" w:rsidRPr="00CE331D" w:rsidRDefault="00655F4A" w:rsidP="00CE331D">
            <w:pPr>
              <w:spacing w:line="360" w:lineRule="auto"/>
              <w:jc w:val="both"/>
              <w:rPr>
                <w:rFonts w:ascii="Book Antiqua" w:hAnsi="Book Antiqua"/>
                <w:b/>
                <w:bCs/>
              </w:rPr>
            </w:pPr>
            <w:r w:rsidRPr="00CE331D">
              <w:rPr>
                <w:rFonts w:ascii="Book Antiqua" w:hAnsi="Book Antiqua"/>
              </w:rPr>
              <w:t>8.9</w:t>
            </w:r>
            <w:r w:rsidR="00945A02" w:rsidRPr="00CE331D">
              <w:rPr>
                <w:rFonts w:ascii="Book Antiqua" w:hAnsi="Book Antiqua"/>
              </w:rPr>
              <w:t xml:space="preserve"> </w:t>
            </w:r>
            <w:r w:rsidRPr="00CE331D">
              <w:rPr>
                <w:rFonts w:ascii="Book Antiqua" w:hAnsi="Book Antiqua"/>
              </w:rPr>
              <w:t>(7.6,</w:t>
            </w:r>
            <w:r w:rsidR="003E75C5" w:rsidRPr="00CE331D">
              <w:rPr>
                <w:rFonts w:ascii="Book Antiqua" w:hAnsi="Book Antiqua"/>
              </w:rPr>
              <w:t xml:space="preserve"> </w:t>
            </w:r>
            <w:r w:rsidRPr="00CE331D">
              <w:rPr>
                <w:rFonts w:ascii="Book Antiqua" w:hAnsi="Book Antiqua"/>
              </w:rPr>
              <w:t>11.8)</w:t>
            </w:r>
          </w:p>
        </w:tc>
      </w:tr>
      <w:tr w:rsidR="000B3E78" w:rsidRPr="00CE331D" w14:paraId="06FF7949" w14:textId="77777777" w:rsidTr="0057286D">
        <w:trPr>
          <w:trHeight w:val="507"/>
        </w:trPr>
        <w:tc>
          <w:tcPr>
            <w:tcW w:w="1765" w:type="pct"/>
          </w:tcPr>
          <w:p w14:paraId="7030E58B" w14:textId="77777777" w:rsidR="00655F4A" w:rsidRPr="00CE331D" w:rsidRDefault="00655F4A" w:rsidP="00CE331D">
            <w:pPr>
              <w:spacing w:line="360" w:lineRule="auto"/>
              <w:jc w:val="both"/>
              <w:rPr>
                <w:rFonts w:ascii="Book Antiqua" w:hAnsi="Book Antiqua"/>
                <w:b/>
                <w:bCs/>
              </w:rPr>
            </w:pPr>
            <w:r w:rsidRPr="00CE331D">
              <w:rPr>
                <w:rFonts w:ascii="Book Antiqua" w:hAnsi="Book Antiqua"/>
              </w:rPr>
              <w:t>Post-treatment (median, IQR)</w:t>
            </w:r>
          </w:p>
        </w:tc>
        <w:tc>
          <w:tcPr>
            <w:tcW w:w="1270" w:type="pct"/>
          </w:tcPr>
          <w:p w14:paraId="1EE2F00C" w14:textId="1EB88F3C" w:rsidR="00655F4A" w:rsidRPr="00CE331D" w:rsidRDefault="00655F4A" w:rsidP="00CE331D">
            <w:pPr>
              <w:spacing w:line="360" w:lineRule="auto"/>
              <w:jc w:val="both"/>
              <w:rPr>
                <w:rFonts w:ascii="Book Antiqua" w:hAnsi="Book Antiqua"/>
                <w:b/>
                <w:bCs/>
              </w:rPr>
            </w:pPr>
            <w:r w:rsidRPr="00CE331D">
              <w:rPr>
                <w:rFonts w:ascii="Book Antiqua" w:hAnsi="Book Antiqua"/>
              </w:rPr>
              <w:t>10.1</w:t>
            </w:r>
            <w:r w:rsidR="00945A02" w:rsidRPr="00CE331D">
              <w:rPr>
                <w:rFonts w:ascii="Book Antiqua" w:hAnsi="Book Antiqua"/>
              </w:rPr>
              <w:t xml:space="preserve"> </w:t>
            </w:r>
            <w:r w:rsidRPr="00CE331D">
              <w:rPr>
                <w:rFonts w:ascii="Book Antiqua" w:hAnsi="Book Antiqua"/>
              </w:rPr>
              <w:t>(1.0,</w:t>
            </w:r>
            <w:r w:rsidR="003E75C5" w:rsidRPr="00CE331D">
              <w:rPr>
                <w:rFonts w:ascii="Book Antiqua" w:hAnsi="Book Antiqua"/>
              </w:rPr>
              <w:t xml:space="preserve"> </w:t>
            </w:r>
            <w:r w:rsidRPr="00CE331D">
              <w:rPr>
                <w:rFonts w:ascii="Book Antiqua" w:hAnsi="Book Antiqua"/>
              </w:rPr>
              <w:t>23.6)</w:t>
            </w:r>
          </w:p>
        </w:tc>
        <w:tc>
          <w:tcPr>
            <w:tcW w:w="1082" w:type="pct"/>
          </w:tcPr>
          <w:p w14:paraId="031FBB3A" w14:textId="5D21C637" w:rsidR="00655F4A" w:rsidRPr="00CE331D" w:rsidRDefault="00655F4A" w:rsidP="00CE331D">
            <w:pPr>
              <w:spacing w:line="360" w:lineRule="auto"/>
              <w:jc w:val="both"/>
              <w:rPr>
                <w:rFonts w:ascii="Book Antiqua" w:hAnsi="Book Antiqua"/>
                <w:b/>
                <w:bCs/>
              </w:rPr>
            </w:pPr>
            <w:r w:rsidRPr="00CE331D">
              <w:rPr>
                <w:rFonts w:ascii="Book Antiqua" w:hAnsi="Book Antiqua"/>
              </w:rPr>
              <w:t>7.7</w:t>
            </w:r>
            <w:r w:rsidR="00945A02" w:rsidRPr="00CE331D">
              <w:rPr>
                <w:rFonts w:ascii="Book Antiqua" w:hAnsi="Book Antiqua"/>
              </w:rPr>
              <w:t xml:space="preserve"> </w:t>
            </w:r>
            <w:r w:rsidRPr="00CE331D">
              <w:rPr>
                <w:rFonts w:ascii="Book Antiqua" w:hAnsi="Book Antiqua"/>
              </w:rPr>
              <w:t>(2.3,</w:t>
            </w:r>
            <w:r w:rsidR="003E75C5" w:rsidRPr="00CE331D">
              <w:rPr>
                <w:rFonts w:ascii="Book Antiqua" w:hAnsi="Book Antiqua"/>
              </w:rPr>
              <w:t xml:space="preserve"> </w:t>
            </w:r>
            <w:r w:rsidRPr="00CE331D">
              <w:rPr>
                <w:rFonts w:ascii="Book Antiqua" w:hAnsi="Book Antiqua"/>
              </w:rPr>
              <w:t>13.54)</w:t>
            </w:r>
          </w:p>
        </w:tc>
        <w:tc>
          <w:tcPr>
            <w:tcW w:w="883" w:type="pct"/>
          </w:tcPr>
          <w:p w14:paraId="735E62C1" w14:textId="3C1E7E93" w:rsidR="00655F4A" w:rsidRPr="00CE331D" w:rsidRDefault="00655F4A" w:rsidP="00CE331D">
            <w:pPr>
              <w:spacing w:line="360" w:lineRule="auto"/>
              <w:jc w:val="both"/>
              <w:rPr>
                <w:rFonts w:ascii="Book Antiqua" w:hAnsi="Book Antiqua"/>
                <w:b/>
                <w:bCs/>
              </w:rPr>
            </w:pPr>
            <w:r w:rsidRPr="00CE331D">
              <w:rPr>
                <w:rFonts w:ascii="Book Antiqua" w:hAnsi="Book Antiqua"/>
              </w:rPr>
              <w:t>16.3</w:t>
            </w:r>
            <w:r w:rsidR="00945A02" w:rsidRPr="00CE331D">
              <w:rPr>
                <w:rFonts w:ascii="Book Antiqua" w:hAnsi="Book Antiqua"/>
              </w:rPr>
              <w:t xml:space="preserve"> </w:t>
            </w:r>
            <w:r w:rsidRPr="00CE331D">
              <w:rPr>
                <w:rFonts w:ascii="Book Antiqua" w:hAnsi="Book Antiqua"/>
              </w:rPr>
              <w:t>(7.7,</w:t>
            </w:r>
            <w:r w:rsidR="003E75C5" w:rsidRPr="00CE331D">
              <w:rPr>
                <w:rFonts w:ascii="Book Antiqua" w:hAnsi="Book Antiqua"/>
              </w:rPr>
              <w:t xml:space="preserve"> </w:t>
            </w:r>
            <w:r w:rsidRPr="00CE331D">
              <w:rPr>
                <w:rFonts w:ascii="Book Antiqua" w:hAnsi="Book Antiqua"/>
              </w:rPr>
              <w:t>18.3)</w:t>
            </w:r>
          </w:p>
        </w:tc>
      </w:tr>
      <w:tr w:rsidR="000B3E78" w:rsidRPr="00CE331D" w14:paraId="17FD968F" w14:textId="77777777" w:rsidTr="0057286D">
        <w:trPr>
          <w:trHeight w:val="414"/>
        </w:trPr>
        <w:tc>
          <w:tcPr>
            <w:tcW w:w="1765" w:type="pct"/>
          </w:tcPr>
          <w:p w14:paraId="11DC909B" w14:textId="23B5F5E3" w:rsidR="00655F4A" w:rsidRPr="00CE331D" w:rsidRDefault="00B80E7C" w:rsidP="00CE331D">
            <w:pPr>
              <w:spacing w:line="360" w:lineRule="auto"/>
              <w:jc w:val="both"/>
              <w:rPr>
                <w:rFonts w:ascii="Book Antiqua" w:hAnsi="Book Antiqua"/>
                <w:b/>
                <w:bCs/>
              </w:rPr>
            </w:pPr>
            <w:r w:rsidRPr="00CE331D">
              <w:rPr>
                <w:rFonts w:ascii="Book Antiqua" w:hAnsi="Book Antiqua"/>
                <w:i/>
                <w:iCs/>
              </w:rPr>
              <w:t>P</w:t>
            </w:r>
            <w:r w:rsidRPr="00CE331D">
              <w:rPr>
                <w:rFonts w:ascii="Book Antiqua" w:hAnsi="Book Antiqua"/>
              </w:rPr>
              <w:t xml:space="preserve"> value</w:t>
            </w:r>
            <w:r w:rsidR="00945A02" w:rsidRPr="00CE331D">
              <w:rPr>
                <w:rFonts w:ascii="Book Antiqua" w:hAnsi="Book Antiqua"/>
                <w:vertAlign w:val="superscript"/>
              </w:rPr>
              <w:t>1</w:t>
            </w:r>
          </w:p>
        </w:tc>
        <w:tc>
          <w:tcPr>
            <w:tcW w:w="1270" w:type="pct"/>
          </w:tcPr>
          <w:p w14:paraId="55A44ECB" w14:textId="2C13AF9D" w:rsidR="00655F4A" w:rsidRPr="00CE331D" w:rsidRDefault="00B80E7C" w:rsidP="00CE331D">
            <w:pPr>
              <w:spacing w:line="360" w:lineRule="auto"/>
              <w:jc w:val="both"/>
              <w:rPr>
                <w:rFonts w:ascii="Book Antiqua" w:hAnsi="Book Antiqua"/>
                <w:b/>
                <w:bCs/>
              </w:rPr>
            </w:pPr>
            <w:r w:rsidRPr="00CE331D">
              <w:rPr>
                <w:rFonts w:ascii="Book Antiqua" w:hAnsi="Book Antiqua"/>
              </w:rPr>
              <w:t>0.401</w:t>
            </w:r>
          </w:p>
        </w:tc>
        <w:tc>
          <w:tcPr>
            <w:tcW w:w="1082" w:type="pct"/>
          </w:tcPr>
          <w:p w14:paraId="1B6F9C56" w14:textId="0006D496" w:rsidR="00655F4A" w:rsidRPr="00CE331D" w:rsidRDefault="00B80E7C" w:rsidP="00CE331D">
            <w:pPr>
              <w:spacing w:line="360" w:lineRule="auto"/>
              <w:jc w:val="both"/>
              <w:rPr>
                <w:rFonts w:ascii="Book Antiqua" w:hAnsi="Book Antiqua"/>
                <w:lang w:eastAsia="zh-CN"/>
              </w:rPr>
            </w:pPr>
            <w:r w:rsidRPr="00CE331D">
              <w:rPr>
                <w:rFonts w:ascii="Book Antiqua" w:hAnsi="Book Antiqua"/>
                <w:lang w:eastAsia="zh-CN"/>
              </w:rPr>
              <w:t>0.263</w:t>
            </w:r>
          </w:p>
        </w:tc>
        <w:tc>
          <w:tcPr>
            <w:tcW w:w="883" w:type="pct"/>
          </w:tcPr>
          <w:p w14:paraId="23CD59DF" w14:textId="00271199" w:rsidR="00655F4A" w:rsidRPr="00CE331D" w:rsidRDefault="00B80E7C" w:rsidP="00CE331D">
            <w:pPr>
              <w:spacing w:line="360" w:lineRule="auto"/>
              <w:jc w:val="both"/>
              <w:rPr>
                <w:rFonts w:ascii="Book Antiqua" w:hAnsi="Book Antiqua"/>
                <w:b/>
                <w:bCs/>
              </w:rPr>
            </w:pPr>
            <w:r w:rsidRPr="00CE331D">
              <w:rPr>
                <w:rFonts w:ascii="Book Antiqua" w:hAnsi="Book Antiqua"/>
              </w:rPr>
              <w:t>0.208</w:t>
            </w:r>
          </w:p>
        </w:tc>
      </w:tr>
    </w:tbl>
    <w:p w14:paraId="5D5A5BE2" w14:textId="77777777" w:rsidR="00E469BE" w:rsidRDefault="00945A02" w:rsidP="00CE331D">
      <w:pPr>
        <w:spacing w:line="360" w:lineRule="auto"/>
        <w:jc w:val="both"/>
        <w:rPr>
          <w:rFonts w:ascii="Book Antiqua" w:hAnsi="Book Antiqua"/>
          <w:color w:val="000000" w:themeColor="text1"/>
          <w:shd w:val="clear" w:color="auto" w:fill="FFFFFF"/>
          <w:lang w:eastAsia="zh-CN"/>
        </w:rPr>
      </w:pPr>
      <w:r w:rsidRPr="00CE331D">
        <w:rPr>
          <w:rFonts w:ascii="Book Antiqua" w:hAnsi="Book Antiqua"/>
          <w:color w:val="000000" w:themeColor="text1"/>
          <w:shd w:val="clear" w:color="auto" w:fill="FFFFFF"/>
          <w:vertAlign w:val="superscript"/>
        </w:rPr>
        <w:t>1</w:t>
      </w:r>
      <w:r w:rsidR="00CE0D8A" w:rsidRPr="00CE331D">
        <w:rPr>
          <w:rFonts w:ascii="Book Antiqua" w:hAnsi="Book Antiqua"/>
          <w:color w:val="000000" w:themeColor="text1"/>
          <w:shd w:val="clear" w:color="auto" w:fill="FFFFFF"/>
        </w:rPr>
        <w:t>T</w:t>
      </w:r>
      <w:r w:rsidRPr="00CE331D">
        <w:rPr>
          <w:rFonts w:ascii="Book Antiqua" w:hAnsi="Book Antiqua"/>
          <w:color w:val="000000" w:themeColor="text1"/>
          <w:shd w:val="clear" w:color="auto" w:fill="FFFFFF"/>
        </w:rPr>
        <w:t xml:space="preserve">he results </w:t>
      </w:r>
      <w:r w:rsidR="00E6723B">
        <w:rPr>
          <w:rFonts w:ascii="Book Antiqua" w:hAnsi="Book Antiqua"/>
          <w:color w:val="000000" w:themeColor="text1"/>
          <w:shd w:val="clear" w:color="auto" w:fill="FFFFFF"/>
        </w:rPr>
        <w:t xml:space="preserve">were </w:t>
      </w:r>
      <w:r w:rsidRPr="00CE331D">
        <w:rPr>
          <w:rFonts w:ascii="Book Antiqua" w:hAnsi="Book Antiqua"/>
          <w:color w:val="000000" w:themeColor="text1"/>
          <w:shd w:val="clear" w:color="auto" w:fill="FFFFFF"/>
        </w:rPr>
        <w:t xml:space="preserve">analyzed </w:t>
      </w:r>
      <w:r w:rsidR="00E6723B">
        <w:rPr>
          <w:rFonts w:ascii="Book Antiqua" w:hAnsi="Book Antiqua"/>
          <w:color w:val="000000" w:themeColor="text1"/>
          <w:shd w:val="clear" w:color="auto" w:fill="FFFFFF"/>
        </w:rPr>
        <w:t>by</w:t>
      </w:r>
      <w:r w:rsidR="00E6723B" w:rsidRPr="00CE331D">
        <w:rPr>
          <w:rFonts w:ascii="Book Antiqua" w:hAnsi="Book Antiqua"/>
          <w:color w:val="000000" w:themeColor="text1"/>
          <w:shd w:val="clear" w:color="auto" w:fill="FFFFFF"/>
        </w:rPr>
        <w:t xml:space="preserve"> </w:t>
      </w:r>
      <w:r w:rsidRPr="00CE331D">
        <w:rPr>
          <w:rFonts w:ascii="Book Antiqua" w:eastAsia="等线" w:hAnsi="Book Antiqua"/>
          <w:color w:val="000000" w:themeColor="text1"/>
        </w:rPr>
        <w:t>nonparametric</w:t>
      </w:r>
      <w:r w:rsidRPr="00CE331D">
        <w:rPr>
          <w:rFonts w:ascii="Book Antiqua" w:hAnsi="Book Antiqua"/>
          <w:color w:val="000000" w:themeColor="text1"/>
          <w:shd w:val="clear" w:color="auto" w:fill="FFFFFF"/>
        </w:rPr>
        <w:t xml:space="preserve"> Wilcoxon signed-rank test. </w:t>
      </w:r>
    </w:p>
    <w:p w14:paraId="30A4E773" w14:textId="73CEA617" w:rsidR="00637FD2" w:rsidRDefault="00655F4A" w:rsidP="00CE331D">
      <w:pPr>
        <w:spacing w:line="360" w:lineRule="auto"/>
        <w:jc w:val="both"/>
        <w:rPr>
          <w:rFonts w:ascii="Book Antiqua" w:hAnsi="Book Antiqua"/>
          <w:color w:val="000000" w:themeColor="text1"/>
          <w:shd w:val="clear" w:color="auto" w:fill="FFFFFF"/>
        </w:rPr>
      </w:pPr>
      <w:r w:rsidRPr="00CE331D">
        <w:rPr>
          <w:rFonts w:ascii="Book Antiqua" w:hAnsi="Book Antiqua"/>
          <w:color w:val="000000" w:themeColor="text1"/>
          <w:shd w:val="clear" w:color="auto" w:fill="FFFFFF"/>
        </w:rPr>
        <w:t xml:space="preserve">IQR: </w:t>
      </w:r>
      <w:r w:rsidR="00945A02" w:rsidRPr="00CE331D">
        <w:rPr>
          <w:rFonts w:ascii="Book Antiqua" w:hAnsi="Book Antiqua"/>
          <w:color w:val="000000" w:themeColor="text1"/>
          <w:shd w:val="clear" w:color="auto" w:fill="FFFFFF"/>
        </w:rPr>
        <w:t>I</w:t>
      </w:r>
      <w:r w:rsidRPr="00CE331D">
        <w:rPr>
          <w:rFonts w:ascii="Book Antiqua" w:hAnsi="Book Antiqua"/>
          <w:color w:val="000000" w:themeColor="text1"/>
          <w:shd w:val="clear" w:color="auto" w:fill="FFFFFF"/>
        </w:rPr>
        <w:t>nterquartile range.</w:t>
      </w:r>
    </w:p>
    <w:p w14:paraId="59C6C414" w14:textId="77777777" w:rsidR="00637FD2" w:rsidRDefault="00637FD2">
      <w:pPr>
        <w:rPr>
          <w:rFonts w:ascii="Book Antiqua" w:hAnsi="Book Antiqua"/>
          <w:color w:val="000000" w:themeColor="text1"/>
          <w:shd w:val="clear" w:color="auto" w:fill="FFFFFF"/>
        </w:rPr>
      </w:pPr>
      <w:r>
        <w:rPr>
          <w:rFonts w:ascii="Book Antiqua" w:hAnsi="Book Antiqua"/>
          <w:color w:val="000000" w:themeColor="text1"/>
          <w:shd w:val="clear" w:color="auto" w:fill="FFFFFF"/>
        </w:rPr>
        <w:br w:type="page"/>
      </w:r>
    </w:p>
    <w:p w14:paraId="2A8CE2A6" w14:textId="77777777" w:rsidR="00637FD2" w:rsidRDefault="00637FD2" w:rsidP="00637FD2">
      <w:pPr>
        <w:jc w:val="center"/>
        <w:rPr>
          <w:rFonts w:ascii="Book Antiqua" w:hAnsi="Book Antiqua"/>
          <w:lang w:eastAsia="zh-CN"/>
        </w:rPr>
      </w:pPr>
    </w:p>
    <w:p w14:paraId="79DFD0EB" w14:textId="77777777" w:rsidR="00637FD2" w:rsidRDefault="00637FD2" w:rsidP="00637FD2">
      <w:pPr>
        <w:jc w:val="center"/>
        <w:rPr>
          <w:rFonts w:ascii="Book Antiqua" w:hAnsi="Book Antiqua"/>
          <w:lang w:eastAsia="zh-CN"/>
        </w:rPr>
      </w:pPr>
    </w:p>
    <w:p w14:paraId="1A5EC6AD" w14:textId="77777777" w:rsidR="00637FD2" w:rsidRDefault="00637FD2" w:rsidP="00637FD2">
      <w:pPr>
        <w:jc w:val="center"/>
        <w:rPr>
          <w:rFonts w:ascii="Book Antiqua" w:hAnsi="Book Antiqua"/>
          <w:lang w:eastAsia="zh-CN"/>
        </w:rPr>
      </w:pPr>
    </w:p>
    <w:p w14:paraId="40F8A5B4" w14:textId="77777777" w:rsidR="00637FD2" w:rsidRDefault="00637FD2" w:rsidP="00637FD2">
      <w:pPr>
        <w:jc w:val="center"/>
        <w:rPr>
          <w:rFonts w:ascii="Book Antiqua" w:hAnsi="Book Antiqua"/>
          <w:lang w:eastAsia="zh-CN"/>
        </w:rPr>
      </w:pPr>
    </w:p>
    <w:p w14:paraId="1DF9AF7A" w14:textId="77777777" w:rsidR="00637FD2" w:rsidRDefault="00637FD2" w:rsidP="00637FD2">
      <w:pPr>
        <w:jc w:val="center"/>
        <w:rPr>
          <w:rFonts w:ascii="Book Antiqua" w:hAnsi="Book Antiqua"/>
          <w:lang w:eastAsia="zh-CN"/>
        </w:rPr>
      </w:pPr>
    </w:p>
    <w:p w14:paraId="0ECDA0EF" w14:textId="77777777" w:rsidR="00637FD2" w:rsidRDefault="00637FD2" w:rsidP="00637FD2">
      <w:pPr>
        <w:jc w:val="center"/>
        <w:rPr>
          <w:rFonts w:ascii="Book Antiqua" w:hAnsi="Book Antiqua"/>
          <w:lang w:eastAsia="zh-CN"/>
        </w:rPr>
      </w:pPr>
      <w:r>
        <w:rPr>
          <w:rFonts w:ascii="Book Antiqua" w:hAnsi="Book Antiqua"/>
          <w:noProof/>
          <w:lang w:eastAsia="zh-CN"/>
        </w:rPr>
        <w:drawing>
          <wp:inline distT="0" distB="0" distL="0" distR="0" wp14:anchorId="543EE632" wp14:editId="0C11DC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A39A7D" w14:textId="77777777" w:rsidR="00637FD2" w:rsidRDefault="00637FD2" w:rsidP="00637FD2">
      <w:pPr>
        <w:jc w:val="center"/>
        <w:rPr>
          <w:rFonts w:ascii="Book Antiqua" w:hAnsi="Book Antiqua"/>
          <w:lang w:eastAsia="zh-CN"/>
        </w:rPr>
      </w:pPr>
    </w:p>
    <w:p w14:paraId="7C6A6095" w14:textId="77777777" w:rsidR="00637FD2" w:rsidRPr="00763D22" w:rsidRDefault="00637FD2" w:rsidP="00637FD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0836A8" w14:textId="77777777" w:rsidR="00637FD2" w:rsidRPr="00763D22" w:rsidRDefault="00637FD2" w:rsidP="00637F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259A15" w14:textId="77777777" w:rsidR="00637FD2" w:rsidRPr="00763D22" w:rsidRDefault="00637FD2" w:rsidP="00637F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94E34E" w14:textId="77777777" w:rsidR="00637FD2" w:rsidRPr="00763D22" w:rsidRDefault="00637FD2" w:rsidP="00637F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E112B6" w14:textId="77777777" w:rsidR="00637FD2" w:rsidRPr="00763D22" w:rsidRDefault="00637FD2" w:rsidP="00637F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978EC3" w14:textId="77777777" w:rsidR="00637FD2" w:rsidRPr="00763D22" w:rsidRDefault="00637FD2" w:rsidP="00637FD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B4C7CA0" w14:textId="77777777" w:rsidR="00637FD2" w:rsidRDefault="00637FD2" w:rsidP="00637FD2">
      <w:pPr>
        <w:jc w:val="center"/>
        <w:rPr>
          <w:rFonts w:ascii="Book Antiqua" w:hAnsi="Book Antiqua"/>
          <w:lang w:eastAsia="zh-CN"/>
        </w:rPr>
      </w:pPr>
    </w:p>
    <w:p w14:paraId="1055B8EF" w14:textId="77777777" w:rsidR="00637FD2" w:rsidRDefault="00637FD2" w:rsidP="00637FD2">
      <w:pPr>
        <w:jc w:val="center"/>
        <w:rPr>
          <w:rFonts w:ascii="Book Antiqua" w:hAnsi="Book Antiqua"/>
          <w:lang w:eastAsia="zh-CN"/>
        </w:rPr>
      </w:pPr>
    </w:p>
    <w:p w14:paraId="43A452C6" w14:textId="77777777" w:rsidR="00637FD2" w:rsidRDefault="00637FD2" w:rsidP="00637FD2">
      <w:pPr>
        <w:jc w:val="center"/>
        <w:rPr>
          <w:rFonts w:ascii="Book Antiqua" w:hAnsi="Book Antiqua"/>
          <w:lang w:eastAsia="zh-CN"/>
        </w:rPr>
      </w:pPr>
    </w:p>
    <w:p w14:paraId="12085C19" w14:textId="77777777" w:rsidR="00637FD2" w:rsidRDefault="00637FD2" w:rsidP="00637FD2">
      <w:pPr>
        <w:jc w:val="center"/>
        <w:rPr>
          <w:rFonts w:ascii="Book Antiqua" w:hAnsi="Book Antiqua"/>
          <w:lang w:eastAsia="zh-CN"/>
        </w:rPr>
      </w:pPr>
      <w:r>
        <w:rPr>
          <w:rFonts w:ascii="Book Antiqua" w:hAnsi="Book Antiqua"/>
          <w:noProof/>
          <w:lang w:eastAsia="zh-CN"/>
        </w:rPr>
        <w:drawing>
          <wp:inline distT="0" distB="0" distL="0" distR="0" wp14:anchorId="2455B5B0" wp14:editId="0727D3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C1E500" w14:textId="77777777" w:rsidR="00637FD2" w:rsidRDefault="00637FD2" w:rsidP="00637FD2">
      <w:pPr>
        <w:jc w:val="center"/>
        <w:rPr>
          <w:rFonts w:ascii="Book Antiqua" w:hAnsi="Book Antiqua"/>
          <w:lang w:eastAsia="zh-CN"/>
        </w:rPr>
      </w:pPr>
    </w:p>
    <w:p w14:paraId="5A7B1A7F" w14:textId="77777777" w:rsidR="00637FD2" w:rsidRDefault="00637FD2" w:rsidP="00637FD2">
      <w:pPr>
        <w:jc w:val="center"/>
        <w:rPr>
          <w:rFonts w:ascii="Book Antiqua" w:hAnsi="Book Antiqua"/>
          <w:lang w:eastAsia="zh-CN"/>
        </w:rPr>
      </w:pPr>
    </w:p>
    <w:p w14:paraId="3FB470C0" w14:textId="77777777" w:rsidR="00637FD2" w:rsidRDefault="00637FD2" w:rsidP="00637FD2">
      <w:pPr>
        <w:jc w:val="center"/>
        <w:rPr>
          <w:rFonts w:ascii="Book Antiqua" w:hAnsi="Book Antiqua"/>
          <w:lang w:eastAsia="zh-CN"/>
        </w:rPr>
      </w:pPr>
    </w:p>
    <w:p w14:paraId="08563DD6" w14:textId="77777777" w:rsidR="00637FD2" w:rsidRDefault="00637FD2" w:rsidP="00637FD2">
      <w:pPr>
        <w:jc w:val="center"/>
        <w:rPr>
          <w:rFonts w:ascii="Book Antiqua" w:hAnsi="Book Antiqua"/>
          <w:lang w:eastAsia="zh-CN"/>
        </w:rPr>
      </w:pPr>
    </w:p>
    <w:p w14:paraId="6F8EE42D" w14:textId="77777777" w:rsidR="00637FD2" w:rsidRDefault="00637FD2" w:rsidP="00637FD2">
      <w:pPr>
        <w:jc w:val="center"/>
        <w:rPr>
          <w:rFonts w:ascii="Book Antiqua" w:hAnsi="Book Antiqua"/>
          <w:lang w:eastAsia="zh-CN"/>
        </w:rPr>
      </w:pPr>
    </w:p>
    <w:p w14:paraId="57D47D58" w14:textId="77777777" w:rsidR="00637FD2" w:rsidRDefault="00637FD2" w:rsidP="00637FD2">
      <w:pPr>
        <w:jc w:val="center"/>
        <w:rPr>
          <w:rFonts w:ascii="Book Antiqua" w:hAnsi="Book Antiqua"/>
          <w:lang w:eastAsia="zh-CN"/>
        </w:rPr>
      </w:pPr>
    </w:p>
    <w:p w14:paraId="0DD9817F" w14:textId="77777777" w:rsidR="00637FD2" w:rsidRDefault="00637FD2" w:rsidP="00637FD2">
      <w:pPr>
        <w:jc w:val="center"/>
        <w:rPr>
          <w:rFonts w:ascii="Book Antiqua" w:hAnsi="Book Antiqua"/>
          <w:lang w:eastAsia="zh-CN"/>
        </w:rPr>
      </w:pPr>
    </w:p>
    <w:p w14:paraId="6C49A785" w14:textId="77777777" w:rsidR="00637FD2" w:rsidRDefault="00637FD2" w:rsidP="00637FD2">
      <w:pPr>
        <w:jc w:val="center"/>
        <w:rPr>
          <w:rFonts w:ascii="Book Antiqua" w:hAnsi="Book Antiqua"/>
          <w:lang w:eastAsia="zh-CN"/>
        </w:rPr>
      </w:pPr>
    </w:p>
    <w:p w14:paraId="60AC96F8" w14:textId="77777777" w:rsidR="00637FD2" w:rsidRDefault="00637FD2" w:rsidP="00637FD2">
      <w:pPr>
        <w:jc w:val="center"/>
        <w:rPr>
          <w:rFonts w:ascii="Book Antiqua" w:hAnsi="Book Antiqua"/>
          <w:lang w:eastAsia="zh-CN"/>
        </w:rPr>
      </w:pPr>
    </w:p>
    <w:p w14:paraId="58289976" w14:textId="77777777" w:rsidR="00637FD2" w:rsidRPr="00763D22" w:rsidRDefault="00637FD2" w:rsidP="00637FD2">
      <w:pPr>
        <w:jc w:val="right"/>
        <w:rPr>
          <w:rFonts w:ascii="Book Antiqua" w:hAnsi="Book Antiqua"/>
          <w:color w:val="000000" w:themeColor="text1"/>
          <w:lang w:eastAsia="zh-CN"/>
        </w:rPr>
      </w:pPr>
    </w:p>
    <w:p w14:paraId="289416E4" w14:textId="77777777" w:rsidR="00637FD2" w:rsidRPr="00763D22" w:rsidRDefault="00637FD2" w:rsidP="00637FD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7C68D6" w14:textId="77777777" w:rsidR="005443B0" w:rsidRPr="00CE331D" w:rsidRDefault="005443B0" w:rsidP="00CE331D">
      <w:pPr>
        <w:spacing w:line="360" w:lineRule="auto"/>
        <w:jc w:val="both"/>
        <w:rPr>
          <w:rFonts w:ascii="Book Antiqua" w:hAnsi="Book Antiqua"/>
          <w:color w:val="000000" w:themeColor="text1"/>
          <w:shd w:val="clear" w:color="auto" w:fill="FFFFFF"/>
        </w:rPr>
      </w:pPr>
      <w:bookmarkStart w:id="20" w:name="_GoBack"/>
      <w:bookmarkEnd w:id="20"/>
    </w:p>
    <w:sectPr w:rsidR="005443B0" w:rsidRPr="00CE3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B5C7" w14:textId="77777777" w:rsidR="007930CD" w:rsidRDefault="007930CD" w:rsidP="00BA54C2">
      <w:r>
        <w:separator/>
      </w:r>
    </w:p>
  </w:endnote>
  <w:endnote w:type="continuationSeparator" w:id="0">
    <w:p w14:paraId="5AA9DF62" w14:textId="77777777" w:rsidR="007930CD" w:rsidRDefault="007930CD" w:rsidP="00BA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080C" w14:textId="77777777" w:rsidR="006C36A4" w:rsidRPr="00655F4A" w:rsidRDefault="006C36A4" w:rsidP="00655F4A">
    <w:pPr>
      <w:pStyle w:val="a4"/>
      <w:jc w:val="right"/>
      <w:rPr>
        <w:rFonts w:ascii="Book Antiqua" w:hAnsi="Book Antiqua"/>
        <w:color w:val="000000" w:themeColor="text1"/>
        <w:sz w:val="24"/>
        <w:szCs w:val="24"/>
      </w:rPr>
    </w:pPr>
    <w:r w:rsidRPr="00655F4A">
      <w:rPr>
        <w:rFonts w:ascii="Book Antiqua" w:hAnsi="Book Antiqua"/>
        <w:color w:val="000000" w:themeColor="text1"/>
        <w:sz w:val="24"/>
        <w:szCs w:val="24"/>
        <w:lang w:val="zh-CN" w:eastAsia="zh-CN"/>
      </w:rPr>
      <w:t xml:space="preserve"> </w:t>
    </w:r>
    <w:r w:rsidRPr="00655F4A">
      <w:rPr>
        <w:rFonts w:ascii="Book Antiqua" w:hAnsi="Book Antiqua"/>
        <w:color w:val="000000" w:themeColor="text1"/>
        <w:sz w:val="24"/>
        <w:szCs w:val="24"/>
      </w:rPr>
      <w:fldChar w:fldCharType="begin"/>
    </w:r>
    <w:r w:rsidRPr="00655F4A">
      <w:rPr>
        <w:rFonts w:ascii="Book Antiqua" w:hAnsi="Book Antiqua"/>
        <w:color w:val="000000" w:themeColor="text1"/>
        <w:sz w:val="24"/>
        <w:szCs w:val="24"/>
      </w:rPr>
      <w:instrText>PAGE  \* Arabic  \* MERGEFORMAT</w:instrText>
    </w:r>
    <w:r w:rsidRPr="00655F4A">
      <w:rPr>
        <w:rFonts w:ascii="Book Antiqua" w:hAnsi="Book Antiqua"/>
        <w:color w:val="000000" w:themeColor="text1"/>
        <w:sz w:val="24"/>
        <w:szCs w:val="24"/>
      </w:rPr>
      <w:fldChar w:fldCharType="separate"/>
    </w:r>
    <w:r w:rsidR="007930CD" w:rsidRPr="007930CD">
      <w:rPr>
        <w:rFonts w:ascii="Book Antiqua" w:hAnsi="Book Antiqua"/>
        <w:noProof/>
        <w:color w:val="000000" w:themeColor="text1"/>
        <w:sz w:val="24"/>
        <w:szCs w:val="24"/>
        <w:lang w:val="zh-CN" w:eastAsia="zh-CN"/>
      </w:rPr>
      <w:t>1</w:t>
    </w:r>
    <w:r w:rsidRPr="00655F4A">
      <w:rPr>
        <w:rFonts w:ascii="Book Antiqua" w:hAnsi="Book Antiqua"/>
        <w:color w:val="000000" w:themeColor="text1"/>
        <w:sz w:val="24"/>
        <w:szCs w:val="24"/>
      </w:rPr>
      <w:fldChar w:fldCharType="end"/>
    </w:r>
    <w:r w:rsidRPr="00655F4A">
      <w:rPr>
        <w:rFonts w:ascii="Book Antiqua" w:hAnsi="Book Antiqua"/>
        <w:color w:val="000000" w:themeColor="text1"/>
        <w:sz w:val="24"/>
        <w:szCs w:val="24"/>
        <w:lang w:val="zh-CN" w:eastAsia="zh-CN"/>
      </w:rPr>
      <w:t xml:space="preserve"> / </w:t>
    </w:r>
    <w:r w:rsidRPr="00655F4A">
      <w:rPr>
        <w:rFonts w:ascii="Book Antiqua" w:hAnsi="Book Antiqua"/>
        <w:color w:val="000000" w:themeColor="text1"/>
        <w:sz w:val="24"/>
        <w:szCs w:val="24"/>
      </w:rPr>
      <w:fldChar w:fldCharType="begin"/>
    </w:r>
    <w:r w:rsidRPr="00655F4A">
      <w:rPr>
        <w:rFonts w:ascii="Book Antiqua" w:hAnsi="Book Antiqua"/>
        <w:color w:val="000000" w:themeColor="text1"/>
        <w:sz w:val="24"/>
        <w:szCs w:val="24"/>
      </w:rPr>
      <w:instrText>NUMPAGES  \* Arabic  \* MERGEFORMAT</w:instrText>
    </w:r>
    <w:r w:rsidRPr="00655F4A">
      <w:rPr>
        <w:rFonts w:ascii="Book Antiqua" w:hAnsi="Book Antiqua"/>
        <w:color w:val="000000" w:themeColor="text1"/>
        <w:sz w:val="24"/>
        <w:szCs w:val="24"/>
      </w:rPr>
      <w:fldChar w:fldCharType="separate"/>
    </w:r>
    <w:r w:rsidR="007930CD" w:rsidRPr="007930CD">
      <w:rPr>
        <w:rFonts w:ascii="Book Antiqua" w:hAnsi="Book Antiqua"/>
        <w:noProof/>
        <w:color w:val="000000" w:themeColor="text1"/>
        <w:sz w:val="24"/>
        <w:szCs w:val="24"/>
        <w:lang w:val="zh-CN" w:eastAsia="zh-CN"/>
      </w:rPr>
      <w:t>1</w:t>
    </w:r>
    <w:r w:rsidRPr="00655F4A">
      <w:rPr>
        <w:rFonts w:ascii="Book Antiqua" w:hAnsi="Book Antiqua"/>
        <w:color w:val="000000" w:themeColor="text1"/>
        <w:sz w:val="24"/>
        <w:szCs w:val="24"/>
      </w:rPr>
      <w:fldChar w:fldCharType="end"/>
    </w:r>
  </w:p>
  <w:p w14:paraId="555C1101" w14:textId="77777777" w:rsidR="006C36A4" w:rsidRPr="00655F4A" w:rsidRDefault="006C36A4" w:rsidP="00655F4A">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3ACA2" w14:textId="77777777" w:rsidR="007930CD" w:rsidRDefault="007930CD" w:rsidP="00BA54C2">
      <w:r>
        <w:separator/>
      </w:r>
    </w:p>
  </w:footnote>
  <w:footnote w:type="continuationSeparator" w:id="0">
    <w:p w14:paraId="1263F054" w14:textId="77777777" w:rsidR="007930CD" w:rsidRDefault="007930CD" w:rsidP="00BA5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57916"/>
    <w:multiLevelType w:val="multilevel"/>
    <w:tmpl w:val="457A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9CC"/>
    <w:rsid w:val="00084E86"/>
    <w:rsid w:val="000B2560"/>
    <w:rsid w:val="000B3E78"/>
    <w:rsid w:val="000B45E8"/>
    <w:rsid w:val="000C3020"/>
    <w:rsid w:val="000D6E6B"/>
    <w:rsid w:val="000E5285"/>
    <w:rsid w:val="000F1FE3"/>
    <w:rsid w:val="000F570C"/>
    <w:rsid w:val="00102755"/>
    <w:rsid w:val="001255E9"/>
    <w:rsid w:val="0013610B"/>
    <w:rsid w:val="00142DEA"/>
    <w:rsid w:val="00171A68"/>
    <w:rsid w:val="001735B3"/>
    <w:rsid w:val="001903FD"/>
    <w:rsid w:val="00190D7F"/>
    <w:rsid w:val="00192F90"/>
    <w:rsid w:val="00196741"/>
    <w:rsid w:val="001A17EA"/>
    <w:rsid w:val="001A1DFA"/>
    <w:rsid w:val="001A4947"/>
    <w:rsid w:val="001A79AD"/>
    <w:rsid w:val="001A7CA4"/>
    <w:rsid w:val="001B53C5"/>
    <w:rsid w:val="00222E85"/>
    <w:rsid w:val="002635BD"/>
    <w:rsid w:val="0028161C"/>
    <w:rsid w:val="0029027A"/>
    <w:rsid w:val="002941BA"/>
    <w:rsid w:val="00296B13"/>
    <w:rsid w:val="002B55C7"/>
    <w:rsid w:val="0032738E"/>
    <w:rsid w:val="003428F0"/>
    <w:rsid w:val="0034408A"/>
    <w:rsid w:val="00346B74"/>
    <w:rsid w:val="00360002"/>
    <w:rsid w:val="00361B48"/>
    <w:rsid w:val="00383668"/>
    <w:rsid w:val="003D2AA6"/>
    <w:rsid w:val="003D5CC9"/>
    <w:rsid w:val="003E269E"/>
    <w:rsid w:val="003E75C5"/>
    <w:rsid w:val="00415AF0"/>
    <w:rsid w:val="00426B7F"/>
    <w:rsid w:val="004958F8"/>
    <w:rsid w:val="004A2A0F"/>
    <w:rsid w:val="004D6CE6"/>
    <w:rsid w:val="004E344D"/>
    <w:rsid w:val="0053155C"/>
    <w:rsid w:val="005443B0"/>
    <w:rsid w:val="00566849"/>
    <w:rsid w:val="0057286D"/>
    <w:rsid w:val="005913D4"/>
    <w:rsid w:val="005A4869"/>
    <w:rsid w:val="005B3777"/>
    <w:rsid w:val="005C6328"/>
    <w:rsid w:val="005C701E"/>
    <w:rsid w:val="005F31D6"/>
    <w:rsid w:val="0061526C"/>
    <w:rsid w:val="006214C3"/>
    <w:rsid w:val="00630C04"/>
    <w:rsid w:val="00637FD2"/>
    <w:rsid w:val="006437CA"/>
    <w:rsid w:val="006545C1"/>
    <w:rsid w:val="00655F4A"/>
    <w:rsid w:val="00676073"/>
    <w:rsid w:val="006A1593"/>
    <w:rsid w:val="006C36A4"/>
    <w:rsid w:val="006D1127"/>
    <w:rsid w:val="006F3BF6"/>
    <w:rsid w:val="006F54C4"/>
    <w:rsid w:val="0070150A"/>
    <w:rsid w:val="00705D3C"/>
    <w:rsid w:val="007222A8"/>
    <w:rsid w:val="00747067"/>
    <w:rsid w:val="00752F0C"/>
    <w:rsid w:val="0075306A"/>
    <w:rsid w:val="007930CD"/>
    <w:rsid w:val="007C6C6D"/>
    <w:rsid w:val="007C6D41"/>
    <w:rsid w:val="007D1DD0"/>
    <w:rsid w:val="0081394C"/>
    <w:rsid w:val="00831242"/>
    <w:rsid w:val="008465E1"/>
    <w:rsid w:val="00860417"/>
    <w:rsid w:val="00865310"/>
    <w:rsid w:val="00883933"/>
    <w:rsid w:val="008A2CA7"/>
    <w:rsid w:val="008F08AA"/>
    <w:rsid w:val="008F47FF"/>
    <w:rsid w:val="009079B4"/>
    <w:rsid w:val="00922582"/>
    <w:rsid w:val="00933DD4"/>
    <w:rsid w:val="00945A02"/>
    <w:rsid w:val="0095176B"/>
    <w:rsid w:val="00954464"/>
    <w:rsid w:val="009855DE"/>
    <w:rsid w:val="009A7ED4"/>
    <w:rsid w:val="009B0784"/>
    <w:rsid w:val="009B3E3C"/>
    <w:rsid w:val="009C25B5"/>
    <w:rsid w:val="009D4300"/>
    <w:rsid w:val="009E7562"/>
    <w:rsid w:val="00A15EBE"/>
    <w:rsid w:val="00A420BA"/>
    <w:rsid w:val="00A5149C"/>
    <w:rsid w:val="00A657E8"/>
    <w:rsid w:val="00A738B2"/>
    <w:rsid w:val="00A77B3E"/>
    <w:rsid w:val="00AA0565"/>
    <w:rsid w:val="00AB4533"/>
    <w:rsid w:val="00AD11D0"/>
    <w:rsid w:val="00AD5965"/>
    <w:rsid w:val="00AE23A4"/>
    <w:rsid w:val="00AF58F1"/>
    <w:rsid w:val="00B1656B"/>
    <w:rsid w:val="00B73C14"/>
    <w:rsid w:val="00B80E7C"/>
    <w:rsid w:val="00B92596"/>
    <w:rsid w:val="00BA54C2"/>
    <w:rsid w:val="00BD081E"/>
    <w:rsid w:val="00BE06DE"/>
    <w:rsid w:val="00C14E07"/>
    <w:rsid w:val="00C551AC"/>
    <w:rsid w:val="00C60EC5"/>
    <w:rsid w:val="00C73477"/>
    <w:rsid w:val="00CA2A55"/>
    <w:rsid w:val="00CA4AEE"/>
    <w:rsid w:val="00CA5D9A"/>
    <w:rsid w:val="00CB78D8"/>
    <w:rsid w:val="00CC0F00"/>
    <w:rsid w:val="00CC5367"/>
    <w:rsid w:val="00CD693C"/>
    <w:rsid w:val="00CE0D8A"/>
    <w:rsid w:val="00CE331D"/>
    <w:rsid w:val="00CE4606"/>
    <w:rsid w:val="00D72C2D"/>
    <w:rsid w:val="00DD5A81"/>
    <w:rsid w:val="00DF2F27"/>
    <w:rsid w:val="00DF321B"/>
    <w:rsid w:val="00E469BE"/>
    <w:rsid w:val="00E534A1"/>
    <w:rsid w:val="00E6723B"/>
    <w:rsid w:val="00E73AED"/>
    <w:rsid w:val="00E92B6D"/>
    <w:rsid w:val="00EC2649"/>
    <w:rsid w:val="00ED31F4"/>
    <w:rsid w:val="00ED357C"/>
    <w:rsid w:val="00EF09ED"/>
    <w:rsid w:val="00EF6257"/>
    <w:rsid w:val="00F038AF"/>
    <w:rsid w:val="00F0468D"/>
    <w:rsid w:val="00F14CD7"/>
    <w:rsid w:val="00F436E6"/>
    <w:rsid w:val="00F80CD4"/>
    <w:rsid w:val="00F93AB8"/>
    <w:rsid w:val="00FB21C5"/>
    <w:rsid w:val="00FD406A"/>
    <w:rsid w:val="00FF1593"/>
    <w:rsid w:val="00FF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customStyle="1" w:styleId="apple-converted-space">
    <w:name w:val="apple-converted-space"/>
    <w:basedOn w:val="a0"/>
  </w:style>
  <w:style w:type="paragraph" w:styleId="a3">
    <w:name w:val="header"/>
    <w:basedOn w:val="a"/>
    <w:link w:val="Char"/>
    <w:unhideWhenUsed/>
    <w:rsid w:val="00BA5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54C2"/>
    <w:rPr>
      <w:sz w:val="18"/>
      <w:szCs w:val="18"/>
    </w:rPr>
  </w:style>
  <w:style w:type="paragraph" w:styleId="a4">
    <w:name w:val="footer"/>
    <w:basedOn w:val="a"/>
    <w:link w:val="Char0"/>
    <w:uiPriority w:val="99"/>
    <w:unhideWhenUsed/>
    <w:rsid w:val="00BA54C2"/>
    <w:pPr>
      <w:tabs>
        <w:tab w:val="center" w:pos="4153"/>
        <w:tab w:val="right" w:pos="8306"/>
      </w:tabs>
      <w:snapToGrid w:val="0"/>
    </w:pPr>
    <w:rPr>
      <w:sz w:val="18"/>
      <w:szCs w:val="18"/>
    </w:rPr>
  </w:style>
  <w:style w:type="character" w:customStyle="1" w:styleId="Char0">
    <w:name w:val="页脚 Char"/>
    <w:basedOn w:val="a0"/>
    <w:link w:val="a4"/>
    <w:uiPriority w:val="99"/>
    <w:rsid w:val="00BA54C2"/>
    <w:rPr>
      <w:sz w:val="18"/>
      <w:szCs w:val="18"/>
    </w:rPr>
  </w:style>
  <w:style w:type="table" w:customStyle="1" w:styleId="2">
    <w:name w:val="网格型2"/>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65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B80E7C"/>
    <w:rPr>
      <w:sz w:val="18"/>
      <w:szCs w:val="18"/>
    </w:rPr>
  </w:style>
  <w:style w:type="character" w:customStyle="1" w:styleId="Char1">
    <w:name w:val="批注框文本 Char"/>
    <w:basedOn w:val="a0"/>
    <w:link w:val="a6"/>
    <w:rsid w:val="00B80E7C"/>
    <w:rPr>
      <w:sz w:val="18"/>
      <w:szCs w:val="18"/>
    </w:rPr>
  </w:style>
  <w:style w:type="character" w:styleId="a7">
    <w:name w:val="annotation reference"/>
    <w:basedOn w:val="a0"/>
    <w:semiHidden/>
    <w:unhideWhenUsed/>
    <w:rsid w:val="006C36A4"/>
    <w:rPr>
      <w:sz w:val="21"/>
      <w:szCs w:val="21"/>
    </w:rPr>
  </w:style>
  <w:style w:type="paragraph" w:styleId="a8">
    <w:name w:val="annotation text"/>
    <w:basedOn w:val="a"/>
    <w:link w:val="Char2"/>
    <w:semiHidden/>
    <w:unhideWhenUsed/>
    <w:rsid w:val="006C36A4"/>
  </w:style>
  <w:style w:type="character" w:customStyle="1" w:styleId="Char2">
    <w:name w:val="批注文字 Char"/>
    <w:basedOn w:val="a0"/>
    <w:link w:val="a8"/>
    <w:semiHidden/>
    <w:rsid w:val="006C36A4"/>
    <w:rPr>
      <w:sz w:val="24"/>
      <w:szCs w:val="24"/>
    </w:rPr>
  </w:style>
  <w:style w:type="paragraph" w:styleId="a9">
    <w:name w:val="annotation subject"/>
    <w:basedOn w:val="a8"/>
    <w:next w:val="a8"/>
    <w:link w:val="Char3"/>
    <w:semiHidden/>
    <w:unhideWhenUsed/>
    <w:rsid w:val="006C36A4"/>
    <w:rPr>
      <w:b/>
      <w:bCs/>
    </w:rPr>
  </w:style>
  <w:style w:type="character" w:customStyle="1" w:styleId="Char3">
    <w:name w:val="批注主题 Char"/>
    <w:basedOn w:val="Char2"/>
    <w:link w:val="a9"/>
    <w:semiHidden/>
    <w:rsid w:val="006C36A4"/>
    <w:rPr>
      <w:b/>
      <w:bCs/>
      <w:sz w:val="24"/>
      <w:szCs w:val="24"/>
    </w:rPr>
  </w:style>
  <w:style w:type="paragraph" w:styleId="aa">
    <w:name w:val="Revision"/>
    <w:hidden/>
    <w:uiPriority w:val="99"/>
    <w:semiHidden/>
    <w:rsid w:val="006C36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customStyle="1" w:styleId="apple-converted-space">
    <w:name w:val="apple-converted-space"/>
    <w:basedOn w:val="a0"/>
  </w:style>
  <w:style w:type="paragraph" w:styleId="a3">
    <w:name w:val="header"/>
    <w:basedOn w:val="a"/>
    <w:link w:val="Char"/>
    <w:unhideWhenUsed/>
    <w:rsid w:val="00BA5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54C2"/>
    <w:rPr>
      <w:sz w:val="18"/>
      <w:szCs w:val="18"/>
    </w:rPr>
  </w:style>
  <w:style w:type="paragraph" w:styleId="a4">
    <w:name w:val="footer"/>
    <w:basedOn w:val="a"/>
    <w:link w:val="Char0"/>
    <w:uiPriority w:val="99"/>
    <w:unhideWhenUsed/>
    <w:rsid w:val="00BA54C2"/>
    <w:pPr>
      <w:tabs>
        <w:tab w:val="center" w:pos="4153"/>
        <w:tab w:val="right" w:pos="8306"/>
      </w:tabs>
      <w:snapToGrid w:val="0"/>
    </w:pPr>
    <w:rPr>
      <w:sz w:val="18"/>
      <w:szCs w:val="18"/>
    </w:rPr>
  </w:style>
  <w:style w:type="character" w:customStyle="1" w:styleId="Char0">
    <w:name w:val="页脚 Char"/>
    <w:basedOn w:val="a0"/>
    <w:link w:val="a4"/>
    <w:uiPriority w:val="99"/>
    <w:rsid w:val="00BA54C2"/>
    <w:rPr>
      <w:sz w:val="18"/>
      <w:szCs w:val="18"/>
    </w:rPr>
  </w:style>
  <w:style w:type="table" w:customStyle="1" w:styleId="2">
    <w:name w:val="网格型2"/>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65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5"/>
    <w:uiPriority w:val="39"/>
    <w:rsid w:val="00655F4A"/>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B80E7C"/>
    <w:rPr>
      <w:sz w:val="18"/>
      <w:szCs w:val="18"/>
    </w:rPr>
  </w:style>
  <w:style w:type="character" w:customStyle="1" w:styleId="Char1">
    <w:name w:val="批注框文本 Char"/>
    <w:basedOn w:val="a0"/>
    <w:link w:val="a6"/>
    <w:rsid w:val="00B80E7C"/>
    <w:rPr>
      <w:sz w:val="18"/>
      <w:szCs w:val="18"/>
    </w:rPr>
  </w:style>
  <w:style w:type="character" w:styleId="a7">
    <w:name w:val="annotation reference"/>
    <w:basedOn w:val="a0"/>
    <w:semiHidden/>
    <w:unhideWhenUsed/>
    <w:rsid w:val="006C36A4"/>
    <w:rPr>
      <w:sz w:val="21"/>
      <w:szCs w:val="21"/>
    </w:rPr>
  </w:style>
  <w:style w:type="paragraph" w:styleId="a8">
    <w:name w:val="annotation text"/>
    <w:basedOn w:val="a"/>
    <w:link w:val="Char2"/>
    <w:semiHidden/>
    <w:unhideWhenUsed/>
    <w:rsid w:val="006C36A4"/>
  </w:style>
  <w:style w:type="character" w:customStyle="1" w:styleId="Char2">
    <w:name w:val="批注文字 Char"/>
    <w:basedOn w:val="a0"/>
    <w:link w:val="a8"/>
    <w:semiHidden/>
    <w:rsid w:val="006C36A4"/>
    <w:rPr>
      <w:sz w:val="24"/>
      <w:szCs w:val="24"/>
    </w:rPr>
  </w:style>
  <w:style w:type="paragraph" w:styleId="a9">
    <w:name w:val="annotation subject"/>
    <w:basedOn w:val="a8"/>
    <w:next w:val="a8"/>
    <w:link w:val="Char3"/>
    <w:semiHidden/>
    <w:unhideWhenUsed/>
    <w:rsid w:val="006C36A4"/>
    <w:rPr>
      <w:b/>
      <w:bCs/>
    </w:rPr>
  </w:style>
  <w:style w:type="character" w:customStyle="1" w:styleId="Char3">
    <w:name w:val="批注主题 Char"/>
    <w:basedOn w:val="Char2"/>
    <w:link w:val="a9"/>
    <w:semiHidden/>
    <w:rsid w:val="006C36A4"/>
    <w:rPr>
      <w:b/>
      <w:bCs/>
      <w:sz w:val="24"/>
      <w:szCs w:val="24"/>
    </w:rPr>
  </w:style>
  <w:style w:type="paragraph" w:styleId="aa">
    <w:name w:val="Revision"/>
    <w:hidden/>
    <w:uiPriority w:val="99"/>
    <w:semiHidden/>
    <w:rsid w:val="006C3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277">
      <w:bodyDiv w:val="1"/>
      <w:marLeft w:val="0"/>
      <w:marRight w:val="0"/>
      <w:marTop w:val="0"/>
      <w:marBottom w:val="0"/>
      <w:divBdr>
        <w:top w:val="none" w:sz="0" w:space="0" w:color="auto"/>
        <w:left w:val="none" w:sz="0" w:space="0" w:color="auto"/>
        <w:bottom w:val="none" w:sz="0" w:space="0" w:color="auto"/>
        <w:right w:val="none" w:sz="0" w:space="0" w:color="auto"/>
      </w:divBdr>
    </w:div>
    <w:div w:id="640767816">
      <w:bodyDiv w:val="1"/>
      <w:marLeft w:val="0"/>
      <w:marRight w:val="0"/>
      <w:marTop w:val="0"/>
      <w:marBottom w:val="0"/>
      <w:divBdr>
        <w:top w:val="none" w:sz="0" w:space="0" w:color="auto"/>
        <w:left w:val="none" w:sz="0" w:space="0" w:color="auto"/>
        <w:bottom w:val="none" w:sz="0" w:space="0" w:color="auto"/>
        <w:right w:val="none" w:sz="0" w:space="0" w:color="auto"/>
      </w:divBdr>
    </w:div>
    <w:div w:id="189288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4F93-6006-4A11-AF76-C743EFF0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35</cp:revision>
  <dcterms:created xsi:type="dcterms:W3CDTF">2021-01-24T08:03:00Z</dcterms:created>
  <dcterms:modified xsi:type="dcterms:W3CDTF">2021-02-03T11:45:00Z</dcterms:modified>
</cp:coreProperties>
</file>