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7AAA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Name of Journal: </w:t>
      </w:r>
      <w:r w:rsidRPr="00C94ABE">
        <w:rPr>
          <w:rFonts w:ascii="Book Antiqua" w:eastAsia="Book Antiqua" w:hAnsi="Book Antiqua" w:cs="Book Antiqua"/>
          <w:i/>
          <w:color w:val="000000"/>
        </w:rPr>
        <w:t>World Journal of Clinical Cases</w:t>
      </w:r>
    </w:p>
    <w:p w14:paraId="723A1EDB"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Manuscript NO: </w:t>
      </w:r>
      <w:r w:rsidRPr="00C94ABE">
        <w:rPr>
          <w:rFonts w:ascii="Book Antiqua" w:eastAsia="Book Antiqua" w:hAnsi="Book Antiqua" w:cs="Book Antiqua"/>
          <w:color w:val="000000"/>
        </w:rPr>
        <w:t>61351</w:t>
      </w:r>
    </w:p>
    <w:p w14:paraId="3ABEAA2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Manuscript Type: </w:t>
      </w:r>
      <w:r w:rsidRPr="00C94ABE">
        <w:rPr>
          <w:rFonts w:ascii="Book Antiqua" w:eastAsia="Book Antiqua" w:hAnsi="Book Antiqua" w:cs="Book Antiqua"/>
          <w:color w:val="000000"/>
        </w:rPr>
        <w:t>CASE REPORT</w:t>
      </w:r>
    </w:p>
    <w:p w14:paraId="3F915D20" w14:textId="77777777" w:rsidR="008D3C42" w:rsidRPr="00C94ABE" w:rsidRDefault="008D3C42" w:rsidP="00AD467B">
      <w:pPr>
        <w:adjustRightInd w:val="0"/>
        <w:snapToGrid w:val="0"/>
        <w:spacing w:line="360" w:lineRule="auto"/>
        <w:jc w:val="both"/>
        <w:rPr>
          <w:rFonts w:ascii="Book Antiqua" w:hAnsi="Book Antiqua"/>
        </w:rPr>
      </w:pPr>
    </w:p>
    <w:p w14:paraId="46AE63C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Laparoscopic cholecystectomy for gangrenous cholecystitis in around nineties: Two case reports</w:t>
      </w:r>
    </w:p>
    <w:p w14:paraId="2B358F66" w14:textId="77777777" w:rsidR="008D3C42" w:rsidRPr="00C94ABE" w:rsidRDefault="008D3C42" w:rsidP="00AD467B">
      <w:pPr>
        <w:adjustRightInd w:val="0"/>
        <w:snapToGrid w:val="0"/>
        <w:spacing w:line="360" w:lineRule="auto"/>
        <w:jc w:val="both"/>
        <w:rPr>
          <w:rFonts w:ascii="Book Antiqua" w:hAnsi="Book Antiqua"/>
        </w:rPr>
      </w:pPr>
    </w:p>
    <w:p w14:paraId="40CAFCF1" w14:textId="77777777" w:rsidR="008D3C42" w:rsidRPr="00C94ABE" w:rsidRDefault="00C94ABE" w:rsidP="00AD467B">
      <w:pPr>
        <w:adjustRightInd w:val="0"/>
        <w:snapToGrid w:val="0"/>
        <w:spacing w:line="360" w:lineRule="auto"/>
        <w:jc w:val="both"/>
        <w:rPr>
          <w:rFonts w:ascii="Book Antiqua" w:hAnsi="Book Antiqua"/>
        </w:rPr>
      </w:pPr>
      <w:bookmarkStart w:id="0" w:name="_Hlk65079409"/>
      <w:r w:rsidRPr="00C94ABE">
        <w:rPr>
          <w:rFonts w:ascii="Book Antiqua" w:eastAsia="Book Antiqua" w:hAnsi="Book Antiqua" w:cs="Book Antiqua"/>
          <w:color w:val="000000"/>
        </w:rPr>
        <w:t xml:space="preserve">Inoue H </w:t>
      </w:r>
      <w:r w:rsidRPr="00C94ABE">
        <w:rPr>
          <w:rFonts w:ascii="Book Antiqua" w:eastAsia="Book Antiqua" w:hAnsi="Book Antiqua" w:cs="Book Antiqua"/>
          <w:i/>
          <w:iCs/>
          <w:color w:val="000000"/>
        </w:rPr>
        <w:t>et al.</w:t>
      </w:r>
      <w:r w:rsidRPr="00C94ABE">
        <w:rPr>
          <w:rFonts w:ascii="Book Antiqua" w:eastAsia="Book Antiqua" w:hAnsi="Book Antiqua" w:cs="Book Antiqua"/>
          <w:color w:val="000000"/>
        </w:rPr>
        <w:t xml:space="preserve"> Gangrenous cholecystitis in elderly people</w:t>
      </w:r>
    </w:p>
    <w:p w14:paraId="46568EEE" w14:textId="77777777" w:rsidR="008D3C42" w:rsidRPr="00C94ABE" w:rsidRDefault="008D3C42" w:rsidP="00AD467B">
      <w:pPr>
        <w:adjustRightInd w:val="0"/>
        <w:snapToGrid w:val="0"/>
        <w:spacing w:line="360" w:lineRule="auto"/>
        <w:jc w:val="both"/>
        <w:rPr>
          <w:rFonts w:ascii="Book Antiqua" w:hAnsi="Book Antiqua"/>
        </w:rPr>
      </w:pPr>
    </w:p>
    <w:p w14:paraId="01B6111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Hiroyuki Inoue, Toshiya Ochiai, Hidemasa Kubo, Yusuke Yamamoto, Ryo Morimura, Hisashi Ikoma, Eigo Otsuji</w:t>
      </w:r>
    </w:p>
    <w:bookmarkEnd w:id="0"/>
    <w:p w14:paraId="40BA3D8D" w14:textId="77777777" w:rsidR="008D3C42" w:rsidRPr="00C94ABE" w:rsidRDefault="008D3C42" w:rsidP="00AD467B">
      <w:pPr>
        <w:adjustRightInd w:val="0"/>
        <w:snapToGrid w:val="0"/>
        <w:spacing w:line="360" w:lineRule="auto"/>
        <w:jc w:val="both"/>
        <w:rPr>
          <w:rFonts w:ascii="Book Antiqua" w:hAnsi="Book Antiqua"/>
        </w:rPr>
      </w:pPr>
    </w:p>
    <w:p w14:paraId="43D82BC8"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Hiroyuki Inoue, </w:t>
      </w:r>
      <w:r w:rsidRPr="00C94ABE">
        <w:rPr>
          <w:rFonts w:ascii="Book Antiqua" w:eastAsia="Book Antiqua" w:hAnsi="Book Antiqua" w:cs="Book Antiqua"/>
          <w:color w:val="000000"/>
        </w:rPr>
        <w:t>Division of Digestive Surgery, Department of Surgery, Kyoto Prefectual University of Medicine, Kyoto 6028566, Japan</w:t>
      </w:r>
    </w:p>
    <w:p w14:paraId="5714752A" w14:textId="77777777" w:rsidR="008D3C42" w:rsidRPr="00C94ABE" w:rsidRDefault="008D3C42" w:rsidP="00AD467B">
      <w:pPr>
        <w:adjustRightInd w:val="0"/>
        <w:snapToGrid w:val="0"/>
        <w:spacing w:line="360" w:lineRule="auto"/>
        <w:jc w:val="both"/>
        <w:rPr>
          <w:rFonts w:ascii="Book Antiqua" w:hAnsi="Book Antiqua"/>
        </w:rPr>
      </w:pPr>
    </w:p>
    <w:p w14:paraId="46DFC07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Toshiya Ochiai, </w:t>
      </w:r>
      <w:r w:rsidRPr="00C94ABE">
        <w:rPr>
          <w:rFonts w:ascii="Book Antiqua" w:eastAsia="Book Antiqua" w:hAnsi="Book Antiqua" w:cs="Book Antiqua"/>
          <w:color w:val="000000"/>
        </w:rPr>
        <w:t>Department of Surgery, North Medical Center Kyoto Prefectural University of Medicine, Kyoto 6292261, Japan</w:t>
      </w:r>
    </w:p>
    <w:p w14:paraId="10E7B13C" w14:textId="77777777" w:rsidR="008D3C42" w:rsidRPr="00C94ABE" w:rsidRDefault="008D3C42" w:rsidP="00AD467B">
      <w:pPr>
        <w:adjustRightInd w:val="0"/>
        <w:snapToGrid w:val="0"/>
        <w:spacing w:line="360" w:lineRule="auto"/>
        <w:jc w:val="both"/>
        <w:rPr>
          <w:rFonts w:ascii="Book Antiqua" w:hAnsi="Book Antiqua"/>
        </w:rPr>
      </w:pPr>
    </w:p>
    <w:p w14:paraId="2387050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Hidemasa Kubo, Yusuke Yamamoto, Ryo Morimura, Hisashi Ikoma, Eigo Otsuji, </w:t>
      </w:r>
      <w:r w:rsidRPr="00C94ABE">
        <w:rPr>
          <w:rFonts w:ascii="Book Antiqua" w:eastAsia="Book Antiqua" w:hAnsi="Book Antiqua" w:cs="Book Antiqua"/>
          <w:color w:val="000000"/>
        </w:rPr>
        <w:t>Division of Digestive Surgery, Department of Surgery, Kyoto Prefectural University of Medicine, Kyoto 6028566, Japan</w:t>
      </w:r>
    </w:p>
    <w:p w14:paraId="0DD84977" w14:textId="77777777" w:rsidR="008D3C42" w:rsidRPr="00C94ABE" w:rsidRDefault="008D3C42" w:rsidP="00AD467B">
      <w:pPr>
        <w:adjustRightInd w:val="0"/>
        <w:snapToGrid w:val="0"/>
        <w:spacing w:line="360" w:lineRule="auto"/>
        <w:jc w:val="both"/>
        <w:rPr>
          <w:rFonts w:ascii="Book Antiqua" w:hAnsi="Book Antiqua"/>
        </w:rPr>
      </w:pPr>
    </w:p>
    <w:p w14:paraId="3D8719FF" w14:textId="3927E093"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Author contributions: </w:t>
      </w:r>
      <w:r w:rsidRPr="00C94ABE">
        <w:rPr>
          <w:rFonts w:ascii="Book Antiqua" w:eastAsia="Book Antiqua" w:hAnsi="Book Antiqua" w:cs="Book Antiqua"/>
          <w:color w:val="000000"/>
        </w:rPr>
        <w:t>Inoue</w:t>
      </w:r>
      <w:r w:rsidRPr="00C94ABE">
        <w:rPr>
          <w:rFonts w:ascii="Book Antiqua" w:eastAsia="MS Mincho" w:hAnsi="Book Antiqua" w:cs="Book Antiqua"/>
          <w:color w:val="000000"/>
          <w:lang w:eastAsia="ja-JP"/>
        </w:rPr>
        <w:t xml:space="preserve"> H</w:t>
      </w:r>
      <w:r w:rsidRPr="00C94ABE">
        <w:rPr>
          <w:rFonts w:ascii="Book Antiqua" w:eastAsia="Book Antiqua" w:hAnsi="Book Antiqua" w:cs="Book Antiqua"/>
          <w:color w:val="000000"/>
        </w:rPr>
        <w:t xml:space="preserve"> wrote the manuscript and got the figures</w:t>
      </w:r>
      <w:r w:rsidRPr="00C94ABE">
        <w:rPr>
          <w:rFonts w:ascii="Book Antiqua" w:eastAsia="宋体" w:hAnsi="Book Antiqua" w:cs="宋体"/>
          <w:color w:val="000000"/>
          <w:lang w:eastAsia="zh-CN"/>
        </w:rPr>
        <w:t>;</w:t>
      </w:r>
      <w:r w:rsidRPr="00C94ABE">
        <w:rPr>
          <w:rFonts w:ascii="Book Antiqua" w:eastAsia="Book Antiqua" w:hAnsi="Book Antiqua" w:cs="Book Antiqua"/>
          <w:color w:val="000000"/>
        </w:rPr>
        <w:t xml:space="preserve"> Inoue H and Ochiai T contributed to the discussion and interpretation of this manuscript; Otsuji E made the critical revision; </w:t>
      </w:r>
      <w:r w:rsidR="00D230D9" w:rsidRPr="00C94ABE">
        <w:rPr>
          <w:rFonts w:ascii="Book Antiqua" w:eastAsia="Book Antiqua" w:hAnsi="Book Antiqua" w:cs="Book Antiqua"/>
          <w:color w:val="000000"/>
        </w:rPr>
        <w:t>a</w:t>
      </w:r>
      <w:r w:rsidRPr="00C94ABE">
        <w:rPr>
          <w:rFonts w:ascii="Book Antiqua" w:eastAsia="Book Antiqua" w:hAnsi="Book Antiqua" w:cs="Book Antiqua"/>
          <w:color w:val="000000"/>
        </w:rPr>
        <w:t>ll authors have read and approved the manuscript.</w:t>
      </w:r>
    </w:p>
    <w:p w14:paraId="02FD1538" w14:textId="77777777" w:rsidR="008D3C42" w:rsidRPr="00C94ABE" w:rsidRDefault="008D3C42" w:rsidP="00AD467B">
      <w:pPr>
        <w:adjustRightInd w:val="0"/>
        <w:snapToGrid w:val="0"/>
        <w:spacing w:line="360" w:lineRule="auto"/>
        <w:jc w:val="both"/>
        <w:rPr>
          <w:rFonts w:ascii="Book Antiqua" w:hAnsi="Book Antiqua"/>
        </w:rPr>
      </w:pPr>
    </w:p>
    <w:p w14:paraId="4223C70E"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Corresponding author: Toshiya Ochiai, MD, PhD, Assistant Professor, </w:t>
      </w:r>
      <w:r w:rsidRPr="00C94ABE">
        <w:rPr>
          <w:rFonts w:ascii="Book Antiqua" w:eastAsia="Book Antiqua" w:hAnsi="Book Antiqua" w:cs="Book Antiqua"/>
          <w:color w:val="000000"/>
        </w:rPr>
        <w:t>Department of Surgery, North Medical Center Kyoto Prefectural University of Medicine, Kyoto 6292261, Japan. tochiai@koto.kpu-m.ac.jp</w:t>
      </w:r>
    </w:p>
    <w:p w14:paraId="71984963" w14:textId="77777777" w:rsidR="008D3C42" w:rsidRPr="00C94ABE" w:rsidRDefault="008D3C42" w:rsidP="00AD467B">
      <w:pPr>
        <w:adjustRightInd w:val="0"/>
        <w:snapToGrid w:val="0"/>
        <w:spacing w:line="360" w:lineRule="auto"/>
        <w:jc w:val="both"/>
        <w:rPr>
          <w:rFonts w:ascii="Book Antiqua" w:hAnsi="Book Antiqua"/>
        </w:rPr>
      </w:pPr>
    </w:p>
    <w:p w14:paraId="7A4461FB"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Received: </w:t>
      </w:r>
      <w:r w:rsidRPr="00C94ABE">
        <w:rPr>
          <w:rFonts w:ascii="Book Antiqua" w:eastAsia="Book Antiqua" w:hAnsi="Book Antiqua" w:cs="Book Antiqua"/>
          <w:color w:val="000000"/>
        </w:rPr>
        <w:t>December 31, 2020</w:t>
      </w:r>
    </w:p>
    <w:p w14:paraId="2C6FE6AD" w14:textId="33A39E26"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Revised: </w:t>
      </w:r>
      <w:r w:rsidR="00C43E97" w:rsidRPr="00C43E97">
        <w:rPr>
          <w:rFonts w:ascii="Book Antiqua" w:eastAsia="Book Antiqua" w:hAnsi="Book Antiqua" w:cs="Book Antiqua"/>
          <w:color w:val="000000"/>
        </w:rPr>
        <w:t>February 5, 2021</w:t>
      </w:r>
    </w:p>
    <w:p w14:paraId="5BF14480" w14:textId="46EEC49E"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Accepted: </w:t>
      </w:r>
      <w:r w:rsidR="00C43E97" w:rsidRPr="00C43E97">
        <w:rPr>
          <w:rFonts w:ascii="Book Antiqua" w:eastAsia="Book Antiqua" w:hAnsi="Book Antiqua" w:cs="Book Antiqua"/>
          <w:color w:val="000000"/>
        </w:rPr>
        <w:t>March 17, 2021</w:t>
      </w:r>
    </w:p>
    <w:p w14:paraId="51DDD18B" w14:textId="4366B502"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Published online: </w:t>
      </w:r>
      <w:r w:rsidR="00D40B78" w:rsidRPr="00D40B78">
        <w:rPr>
          <w:rFonts w:ascii="Book Antiqua" w:eastAsia="Book Antiqua" w:hAnsi="Book Antiqua" w:cs="Book Antiqua"/>
          <w:bCs/>
          <w:color w:val="000000"/>
        </w:rPr>
        <w:t>May 16, 2021</w:t>
      </w:r>
    </w:p>
    <w:p w14:paraId="45BCA2AE" w14:textId="77777777" w:rsidR="008D3C42" w:rsidRPr="00C94ABE" w:rsidRDefault="008D3C42" w:rsidP="00AD467B">
      <w:pPr>
        <w:adjustRightInd w:val="0"/>
        <w:snapToGrid w:val="0"/>
        <w:spacing w:line="360" w:lineRule="auto"/>
        <w:jc w:val="both"/>
        <w:rPr>
          <w:rFonts w:ascii="Book Antiqua" w:hAnsi="Book Antiqua"/>
        </w:rPr>
        <w:sectPr w:rsidR="008D3C42" w:rsidRPr="00C94ABE">
          <w:footerReference w:type="default" r:id="rId7"/>
          <w:pgSz w:w="12240" w:h="15840"/>
          <w:pgMar w:top="1440" w:right="1440" w:bottom="1440" w:left="1440" w:header="720" w:footer="720" w:gutter="0"/>
          <w:cols w:space="720"/>
          <w:docGrid w:linePitch="360"/>
        </w:sectPr>
      </w:pPr>
    </w:p>
    <w:p w14:paraId="70B9B73D"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lastRenderedPageBreak/>
        <w:t>Abstract</w:t>
      </w:r>
    </w:p>
    <w:p w14:paraId="1FB78AAF"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BACKGROUND</w:t>
      </w:r>
    </w:p>
    <w:p w14:paraId="5F50283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Gangrenous cholecystitis is a form of acute cholecystitis which involves gangrenous alterations in the gallbladder wall and it often follows an acute and serious course. We herein report on two cases of very elderly people diagnosed early with gangrenous cholecystitis, who safely underwent laparoscopic cholecystectomy (LC) and both demonstrated a good outcome.</w:t>
      </w:r>
    </w:p>
    <w:p w14:paraId="21240BF1" w14:textId="77777777" w:rsidR="008D3C42" w:rsidRPr="00C94ABE" w:rsidRDefault="008D3C42" w:rsidP="00AD467B">
      <w:pPr>
        <w:adjustRightInd w:val="0"/>
        <w:snapToGrid w:val="0"/>
        <w:spacing w:line="360" w:lineRule="auto"/>
        <w:jc w:val="both"/>
        <w:rPr>
          <w:rFonts w:ascii="Book Antiqua" w:hAnsi="Book Antiqua"/>
        </w:rPr>
      </w:pPr>
    </w:p>
    <w:p w14:paraId="7EEAF25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CASE SUMMARY</w:t>
      </w:r>
    </w:p>
    <w:p w14:paraId="79F97F4A" w14:textId="47B89FB3" w:rsidR="008D3C42" w:rsidRPr="00C94ABE" w:rsidRDefault="00C94ABE" w:rsidP="003901C1">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Case 1</w:t>
      </w:r>
      <w:r w:rsidRPr="00C94ABE">
        <w:rPr>
          <w:rFonts w:ascii="Book Antiqua" w:hAnsi="Book Antiqua" w:cs="Book Antiqua"/>
          <w:color w:val="000000"/>
          <w:lang w:eastAsia="zh-CN"/>
        </w:rPr>
        <w:t>:</w:t>
      </w:r>
      <w:r w:rsidRPr="00C94ABE">
        <w:rPr>
          <w:rFonts w:ascii="Book Antiqua" w:eastAsia="Book Antiqua" w:hAnsi="Book Antiqua" w:cs="Book Antiqua"/>
          <w:color w:val="000000"/>
        </w:rPr>
        <w:t xml:space="preserve"> An 89-year-old female. She underwent abdominal contrast-enhanced computed tomography (CECT) due to abdominal pain and diarrhea. Her gallbladder wall indicated the absence of contrast enhancement, thus leading to diagnosis of gangrenous cholecystitis and she therefore underwent LC. Although her gallbladder demonstrated diffuse necrosis and it was also partly perforated, she was able to be discharged without any serious complications.</w:t>
      </w:r>
      <w:r w:rsidR="003901C1">
        <w:rPr>
          <w:rFonts w:ascii="Book Antiqua" w:hAnsi="Book Antiqua" w:hint="eastAsia"/>
          <w:lang w:eastAsia="zh-CN"/>
        </w:rPr>
        <w:t xml:space="preserve"> </w:t>
      </w:r>
      <w:r w:rsidRPr="00C94ABE">
        <w:rPr>
          <w:rFonts w:ascii="Book Antiqua" w:eastAsia="Book Antiqua" w:hAnsi="Book Antiqua" w:cs="Book Antiqua"/>
          <w:color w:val="000000"/>
        </w:rPr>
        <w:t>Case 2</w:t>
      </w:r>
      <w:r w:rsidRPr="00C94ABE">
        <w:rPr>
          <w:rFonts w:ascii="Book Antiqua" w:hAnsi="Book Antiqua" w:cs="Book Antiqua"/>
          <w:color w:val="000000"/>
          <w:lang w:eastAsia="zh-CN"/>
        </w:rPr>
        <w:t xml:space="preserve">: </w:t>
      </w:r>
      <w:r w:rsidRPr="00C94ABE">
        <w:rPr>
          <w:rFonts w:ascii="Book Antiqua" w:eastAsia="Book Antiqua" w:hAnsi="Book Antiqua" w:cs="Book Antiqua"/>
          <w:color w:val="000000"/>
        </w:rPr>
        <w:t>A 91-year-old female. She made an emergency visit with a chief complaint of abdominal pain. Abdominal CECT revealed swelling of the gallbladder and an ambiguous continuity of the gallbladder wall. She was diagnosed with gangrenous cholecystitis and underwent LC. Her gallbladder had swelling and diffuse necrosis. Although her preoperative blood culture was positive, she showed a good outcome following surgery.</w:t>
      </w:r>
    </w:p>
    <w:p w14:paraId="7395409A" w14:textId="77777777" w:rsidR="008D3C42" w:rsidRPr="00C94ABE" w:rsidRDefault="008D3C42" w:rsidP="00AD467B">
      <w:pPr>
        <w:adjustRightInd w:val="0"/>
        <w:snapToGrid w:val="0"/>
        <w:spacing w:line="360" w:lineRule="auto"/>
        <w:jc w:val="both"/>
        <w:rPr>
          <w:rFonts w:ascii="Book Antiqua" w:hAnsi="Book Antiqua"/>
        </w:rPr>
      </w:pPr>
    </w:p>
    <w:p w14:paraId="3FDC449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CONCLUSION</w:t>
      </w:r>
    </w:p>
    <w:p w14:paraId="003F227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Although a definite diagnosis of gangrenous cholecystitis is difficult to make prior to surgery, if an early diagnosis can be made and appropriate treatment can be carried out, then even very elderly individuals may be discharged without major complications.</w:t>
      </w:r>
    </w:p>
    <w:p w14:paraId="11198353" w14:textId="77777777" w:rsidR="008D3C42" w:rsidRPr="00C94ABE" w:rsidRDefault="008D3C42" w:rsidP="00AD467B">
      <w:pPr>
        <w:adjustRightInd w:val="0"/>
        <w:snapToGrid w:val="0"/>
        <w:spacing w:line="360" w:lineRule="auto"/>
        <w:jc w:val="both"/>
        <w:rPr>
          <w:rFonts w:ascii="Book Antiqua" w:hAnsi="Book Antiqua"/>
        </w:rPr>
      </w:pPr>
    </w:p>
    <w:p w14:paraId="1ACFD01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Key Words: </w:t>
      </w:r>
      <w:r w:rsidRPr="00C94ABE">
        <w:rPr>
          <w:rFonts w:ascii="Book Antiqua" w:eastAsia="Book Antiqua" w:hAnsi="Book Antiqua" w:cs="Book Antiqua"/>
          <w:color w:val="000000"/>
        </w:rPr>
        <w:t>Gangrenous cholecystitis; Laparoscopic cholecystectomy; Elderly people; Critical view of safety; Tokyo guidelines 2018; Case report</w:t>
      </w:r>
    </w:p>
    <w:p w14:paraId="6A9DFCAA" w14:textId="77777777" w:rsidR="00873D4F" w:rsidRDefault="00873D4F" w:rsidP="00873D4F">
      <w:pPr>
        <w:spacing w:line="360" w:lineRule="auto"/>
        <w:jc w:val="both"/>
        <w:rPr>
          <w:lang w:eastAsia="zh-CN"/>
        </w:rPr>
      </w:pPr>
    </w:p>
    <w:p w14:paraId="49F2F6E6" w14:textId="77777777" w:rsidR="00873D4F" w:rsidRDefault="00873D4F" w:rsidP="00873D4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08F6BA0A" w14:textId="77777777" w:rsidR="00873D4F" w:rsidRDefault="00873D4F" w:rsidP="00873D4F">
      <w:pPr>
        <w:spacing w:line="360" w:lineRule="auto"/>
        <w:jc w:val="both"/>
        <w:rPr>
          <w:lang w:eastAsia="zh-CN"/>
        </w:rPr>
      </w:pPr>
    </w:p>
    <w:p w14:paraId="4532E7FC" w14:textId="486B11F0" w:rsidR="00873D4F" w:rsidRDefault="00873D4F" w:rsidP="00873D4F">
      <w:pPr>
        <w:adjustRightInd w:val="0"/>
        <w:snapToGrid w:val="0"/>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C94ABE" w:rsidRPr="00C94ABE">
        <w:rPr>
          <w:rFonts w:ascii="Book Antiqua" w:eastAsia="Book Antiqua" w:hAnsi="Book Antiqua" w:cs="Book Antiqua"/>
          <w:color w:val="000000"/>
        </w:rPr>
        <w:t xml:space="preserve">Inoue H, Ochiai T, Kubo H, Yamamoto Y, Morimura R, Ikoma H, Otsuji E. Laparoscopic cholecystectomy for gangrenous cholecystitis in around nineties: Two case reports. </w:t>
      </w:r>
      <w:r w:rsidR="00C94ABE" w:rsidRPr="00C94ABE">
        <w:rPr>
          <w:rFonts w:ascii="Book Antiqua" w:eastAsia="Book Antiqua" w:hAnsi="Book Antiqua" w:cs="Book Antiqua"/>
          <w:i/>
          <w:iCs/>
          <w:color w:val="000000"/>
        </w:rPr>
        <w:t>World J Clin Cases</w:t>
      </w:r>
      <w:r w:rsidR="00C94ABE" w:rsidRPr="00C94ABE">
        <w:rPr>
          <w:rFonts w:ascii="Book Antiqua" w:eastAsia="Book Antiqua" w:hAnsi="Book Antiqua" w:cs="Book Antiqua"/>
          <w:color w:val="000000"/>
        </w:rPr>
        <w:t xml:space="preserve"> 2021;</w:t>
      </w:r>
      <w:r w:rsidR="00D40B78" w:rsidRPr="00D40B78">
        <w:rPr>
          <w:rFonts w:ascii="Book Antiqua" w:eastAsia="Book Antiqua" w:hAnsi="Book Antiqua" w:cs="Book Antiqua"/>
          <w:color w:val="000000"/>
        </w:rPr>
        <w:t xml:space="preserve"> 9(14): </w:t>
      </w:r>
      <w:r w:rsidR="007E2A0B" w:rsidRPr="007E2A0B">
        <w:rPr>
          <w:rFonts w:ascii="Book Antiqua" w:eastAsia="Book Antiqua" w:hAnsi="Book Antiqua" w:cs="Book Antiqua"/>
          <w:color w:val="000000"/>
        </w:rPr>
        <w:t>3424-3431</w:t>
      </w:r>
      <w:r w:rsidR="00D40B78" w:rsidRPr="00D40B78">
        <w:rPr>
          <w:rFonts w:ascii="Book Antiqua" w:eastAsia="Book Antiqua" w:hAnsi="Book Antiqua" w:cs="Book Antiqua"/>
          <w:color w:val="000000"/>
        </w:rPr>
        <w:t xml:space="preserve">  </w:t>
      </w:r>
    </w:p>
    <w:p w14:paraId="42718E16" w14:textId="776C123B" w:rsidR="00873D4F" w:rsidRDefault="00D40B78" w:rsidP="00873D4F">
      <w:pPr>
        <w:adjustRightInd w:val="0"/>
        <w:snapToGrid w:val="0"/>
        <w:spacing w:line="360" w:lineRule="auto"/>
        <w:jc w:val="both"/>
        <w:rPr>
          <w:rFonts w:ascii="Book Antiqua" w:eastAsia="Book Antiqua" w:hAnsi="Book Antiqua" w:cs="Book Antiqua"/>
          <w:color w:val="000000"/>
        </w:rPr>
      </w:pPr>
      <w:r w:rsidRPr="00D40B78">
        <w:rPr>
          <w:rFonts w:ascii="Book Antiqua" w:eastAsia="Book Antiqua" w:hAnsi="Book Antiqua" w:cs="Book Antiqua"/>
          <w:color w:val="000000"/>
        </w:rPr>
        <w:t>URL: https://www.wjgnet.com/2307-8960/full/v9/i14/</w:t>
      </w:r>
      <w:r w:rsidR="007E2A0B" w:rsidRPr="007E2A0B">
        <w:rPr>
          <w:rFonts w:ascii="Book Antiqua" w:eastAsia="Book Antiqua" w:hAnsi="Book Antiqua" w:cs="Book Antiqua"/>
          <w:color w:val="000000"/>
        </w:rPr>
        <w:t>3424</w:t>
      </w:r>
      <w:r w:rsidRPr="00D40B78">
        <w:rPr>
          <w:rFonts w:ascii="Book Antiqua" w:eastAsia="Book Antiqua" w:hAnsi="Book Antiqua" w:cs="Book Antiqua"/>
          <w:color w:val="000000"/>
        </w:rPr>
        <w:t xml:space="preserve">.htm  </w:t>
      </w:r>
    </w:p>
    <w:p w14:paraId="57A76E3C" w14:textId="45971966" w:rsidR="008D3C42" w:rsidRPr="00C94ABE" w:rsidRDefault="00D40B78" w:rsidP="00873D4F">
      <w:pPr>
        <w:adjustRightInd w:val="0"/>
        <w:snapToGrid w:val="0"/>
        <w:spacing w:line="360" w:lineRule="auto"/>
        <w:jc w:val="both"/>
        <w:rPr>
          <w:rFonts w:ascii="Book Antiqua" w:hAnsi="Book Antiqua"/>
        </w:rPr>
      </w:pPr>
      <w:r w:rsidRPr="00D40B78">
        <w:rPr>
          <w:rFonts w:ascii="Book Antiqua" w:eastAsia="Book Antiqua" w:hAnsi="Book Antiqua" w:cs="Book Antiqua"/>
          <w:color w:val="000000"/>
        </w:rPr>
        <w:t>DOI: https://dx.doi.org/10.12998/wjcc.v9.i14.</w:t>
      </w:r>
      <w:r w:rsidR="007E2A0B" w:rsidRPr="007E2A0B">
        <w:rPr>
          <w:rFonts w:ascii="Book Antiqua" w:eastAsia="Book Antiqua" w:hAnsi="Book Antiqua" w:cs="Book Antiqua"/>
          <w:color w:val="000000"/>
        </w:rPr>
        <w:t>3424</w:t>
      </w:r>
    </w:p>
    <w:p w14:paraId="4D3CCB3D" w14:textId="77777777" w:rsidR="008D3C42" w:rsidRPr="00C94ABE" w:rsidRDefault="008D3C42" w:rsidP="00AD467B">
      <w:pPr>
        <w:adjustRightInd w:val="0"/>
        <w:snapToGrid w:val="0"/>
        <w:spacing w:line="360" w:lineRule="auto"/>
        <w:jc w:val="both"/>
        <w:rPr>
          <w:rFonts w:ascii="Book Antiqua" w:hAnsi="Book Antiqua"/>
        </w:rPr>
      </w:pPr>
    </w:p>
    <w:p w14:paraId="304DBC0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Core Tip: </w:t>
      </w:r>
      <w:r w:rsidRPr="00C94ABE">
        <w:rPr>
          <w:rFonts w:ascii="Book Antiqua" w:eastAsia="Book Antiqua" w:hAnsi="Book Antiqua" w:cs="Book Antiqua"/>
          <w:color w:val="000000"/>
        </w:rPr>
        <w:t>Gangrenous cholecystitis is a form of acute cholecystitis which involves gangrenous alteration in the gallbladder wall and often follows acute and serious course. We report on two cases of very elderly people diagnosed with gangrenous cholecystitis, who safely underwent laparoscopic cholecystectomy and made good progress. If early diagnosis of gangrenous cholecystitis and an appropriate treatment method can be carried out, even very elderly individuals may be discharged without major complications. Our paper will be very informative and useful to the readers of World Journal of Clinical Cases in today's aging society, and will be frequently cited.</w:t>
      </w:r>
    </w:p>
    <w:p w14:paraId="31331C5B" w14:textId="77777777" w:rsidR="008D3C42" w:rsidRPr="00C94ABE" w:rsidRDefault="008D3C42" w:rsidP="00AD467B">
      <w:pPr>
        <w:adjustRightInd w:val="0"/>
        <w:snapToGrid w:val="0"/>
        <w:spacing w:line="360" w:lineRule="auto"/>
        <w:jc w:val="both"/>
        <w:rPr>
          <w:rFonts w:ascii="Book Antiqua" w:hAnsi="Book Antiqua"/>
        </w:rPr>
      </w:pPr>
    </w:p>
    <w:p w14:paraId="10D3914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INTRODUCTION</w:t>
      </w:r>
    </w:p>
    <w:p w14:paraId="1F79D9F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Gangrenous cholecystitis is defined as cholecystitis involving necrosis and the bleeding of tissues after edematous alterations. The necrosis of tissues is said to be caused by adiemorrhysis of the arterial branches resulting from the oppression of the gallbladder wall due to an elevated biliary internal pressure. Early and appropriate treatment is desirable; however, making a preoperative diagnosis is often difficult. We herein report on two cases of very elderly people diagnosed early with gangrenous cholecystitis, who safely underwent LC and thereafter showed a good outcome.</w:t>
      </w:r>
    </w:p>
    <w:p w14:paraId="20ABABE7" w14:textId="77777777" w:rsidR="008D3C42" w:rsidRPr="00C94ABE" w:rsidRDefault="008D3C42" w:rsidP="00AD467B">
      <w:pPr>
        <w:adjustRightInd w:val="0"/>
        <w:snapToGrid w:val="0"/>
        <w:spacing w:line="360" w:lineRule="auto"/>
        <w:jc w:val="both"/>
        <w:rPr>
          <w:rFonts w:ascii="Book Antiqua" w:hAnsi="Book Antiqua"/>
        </w:rPr>
      </w:pPr>
    </w:p>
    <w:p w14:paraId="74EE8838"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CASE PRESENTATION</w:t>
      </w:r>
    </w:p>
    <w:p w14:paraId="7DECBB3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Chief complaints</w:t>
      </w:r>
    </w:p>
    <w:p w14:paraId="5EAEF620" w14:textId="2BB84FC7"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lastRenderedPageBreak/>
        <w:t xml:space="preserve">Case 1: </w:t>
      </w:r>
      <w:r w:rsidRPr="00C94ABE">
        <w:rPr>
          <w:rFonts w:ascii="Book Antiqua" w:eastAsia="Book Antiqua" w:hAnsi="Book Antiqua" w:cs="Book Antiqua"/>
          <w:color w:val="000000"/>
        </w:rPr>
        <w:t>The subject was an 89-year-old female with a chief complaint of abdominal pain and diarrhea.</w:t>
      </w:r>
    </w:p>
    <w:p w14:paraId="58D94C2D" w14:textId="77777777" w:rsidR="00AD467B" w:rsidRPr="00C94ABE" w:rsidRDefault="00AD467B" w:rsidP="00AD467B">
      <w:pPr>
        <w:adjustRightInd w:val="0"/>
        <w:snapToGrid w:val="0"/>
        <w:spacing w:line="360" w:lineRule="auto"/>
        <w:jc w:val="both"/>
        <w:rPr>
          <w:rFonts w:ascii="Book Antiqua" w:eastAsia="Book Antiqua" w:hAnsi="Book Antiqua" w:cs="Book Antiqua"/>
          <w:color w:val="000000"/>
        </w:rPr>
      </w:pPr>
    </w:p>
    <w:p w14:paraId="79251B7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Case 2: </w:t>
      </w:r>
      <w:r w:rsidRPr="00C94ABE">
        <w:rPr>
          <w:rFonts w:ascii="Book Antiqua" w:eastAsia="Book Antiqua" w:hAnsi="Book Antiqua" w:cs="Book Antiqua"/>
          <w:color w:val="000000"/>
        </w:rPr>
        <w:t>The subject was a 91-year-old female with a chief complaint of right abdominal pain.</w:t>
      </w:r>
    </w:p>
    <w:p w14:paraId="1F9A9485" w14:textId="77777777" w:rsidR="008D3C42" w:rsidRPr="00C94ABE" w:rsidRDefault="008D3C42" w:rsidP="00AD467B">
      <w:pPr>
        <w:adjustRightInd w:val="0"/>
        <w:snapToGrid w:val="0"/>
        <w:spacing w:line="360" w:lineRule="auto"/>
        <w:jc w:val="both"/>
        <w:rPr>
          <w:rFonts w:ascii="Book Antiqua" w:hAnsi="Book Antiqua"/>
        </w:rPr>
      </w:pPr>
    </w:p>
    <w:p w14:paraId="08407D7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History of present illness</w:t>
      </w:r>
    </w:p>
    <w:p w14:paraId="63EB0DB5" w14:textId="68DFDC3C"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Case 1:</w:t>
      </w:r>
      <w:r w:rsidRPr="00C94ABE">
        <w:rPr>
          <w:rFonts w:ascii="Book Antiqua" w:eastAsia="Book Antiqua" w:hAnsi="Book Antiqua" w:cs="Book Antiqua"/>
          <w:color w:val="000000"/>
        </w:rPr>
        <w:t xml:space="preserve"> While hospitalized for a left trochanteric fracture, she suddenly complained of abdominal pain and diarrhea.</w:t>
      </w:r>
    </w:p>
    <w:p w14:paraId="6F10D338" w14:textId="77777777" w:rsidR="00AD467B" w:rsidRPr="00C94ABE" w:rsidRDefault="00AD467B" w:rsidP="00AD467B">
      <w:pPr>
        <w:adjustRightInd w:val="0"/>
        <w:snapToGrid w:val="0"/>
        <w:spacing w:line="360" w:lineRule="auto"/>
        <w:jc w:val="both"/>
        <w:rPr>
          <w:rFonts w:ascii="Book Antiqua" w:eastAsia="Book Antiqua" w:hAnsi="Book Antiqua" w:cs="Book Antiqua"/>
          <w:color w:val="000000"/>
        </w:rPr>
      </w:pPr>
    </w:p>
    <w:p w14:paraId="4B79D0A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Case 2:</w:t>
      </w:r>
      <w:r w:rsidRPr="00C94ABE">
        <w:rPr>
          <w:rFonts w:ascii="Book Antiqua" w:eastAsia="Book Antiqua" w:hAnsi="Book Antiqua" w:cs="Book Antiqua"/>
          <w:color w:val="000000"/>
        </w:rPr>
        <w:t xml:space="preserve"> She visited a local doctor with a chief complaint of right abdominal pain. An abdominal ultrasound revealed swelling of the gallbladder at a local clinic and therefore she was referred to our hospital.</w:t>
      </w:r>
    </w:p>
    <w:p w14:paraId="1B45EF09" w14:textId="77777777" w:rsidR="008D3C42" w:rsidRPr="00C94ABE" w:rsidRDefault="008D3C42" w:rsidP="00AD467B">
      <w:pPr>
        <w:adjustRightInd w:val="0"/>
        <w:snapToGrid w:val="0"/>
        <w:spacing w:line="360" w:lineRule="auto"/>
        <w:jc w:val="both"/>
        <w:rPr>
          <w:rFonts w:ascii="Book Antiqua" w:hAnsi="Book Antiqua"/>
        </w:rPr>
      </w:pPr>
    </w:p>
    <w:p w14:paraId="64EFDC5F"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History of past illness</w:t>
      </w:r>
    </w:p>
    <w:p w14:paraId="60E619E0" w14:textId="77777777"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Case 1:</w:t>
      </w:r>
      <w:r w:rsidRPr="00C94ABE">
        <w:rPr>
          <w:rFonts w:ascii="Book Antiqua" w:eastAsia="Book Antiqua" w:hAnsi="Book Antiqua" w:cs="Book Antiqua"/>
          <w:color w:val="000000"/>
        </w:rPr>
        <w:t xml:space="preserve"> She had a past history of Alzheimer's dementia and trochanteric fracture.</w:t>
      </w:r>
    </w:p>
    <w:p w14:paraId="767B9FC1" w14:textId="77777777" w:rsidR="008D3C42" w:rsidRPr="00C94ABE" w:rsidRDefault="008D3C42" w:rsidP="00AD467B">
      <w:pPr>
        <w:adjustRightInd w:val="0"/>
        <w:snapToGrid w:val="0"/>
        <w:spacing w:line="360" w:lineRule="auto"/>
        <w:jc w:val="both"/>
        <w:rPr>
          <w:rFonts w:ascii="Book Antiqua" w:hAnsi="Book Antiqua"/>
        </w:rPr>
      </w:pPr>
    </w:p>
    <w:p w14:paraId="7FACB93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Case 2:</w:t>
      </w:r>
      <w:r w:rsidRPr="00C94ABE">
        <w:rPr>
          <w:rFonts w:ascii="Book Antiqua" w:eastAsia="Book Antiqua" w:hAnsi="Book Antiqua" w:cs="Book Antiqua"/>
          <w:color w:val="000000"/>
        </w:rPr>
        <w:t xml:space="preserve"> She had a past history of hypertension, angina, and hyperlipidemia.</w:t>
      </w:r>
    </w:p>
    <w:p w14:paraId="2049F71B" w14:textId="77777777" w:rsidR="008D3C42" w:rsidRPr="00C94ABE" w:rsidRDefault="008D3C42" w:rsidP="00AD467B">
      <w:pPr>
        <w:adjustRightInd w:val="0"/>
        <w:snapToGrid w:val="0"/>
        <w:spacing w:line="360" w:lineRule="auto"/>
        <w:jc w:val="both"/>
        <w:rPr>
          <w:rFonts w:ascii="Book Antiqua" w:hAnsi="Book Antiqua"/>
        </w:rPr>
      </w:pPr>
    </w:p>
    <w:p w14:paraId="509979F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Personal and family history</w:t>
      </w:r>
    </w:p>
    <w:p w14:paraId="2AE994B6"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Their family histories have nothing notable in both Case 1 and Case 2.</w:t>
      </w:r>
    </w:p>
    <w:p w14:paraId="5DFACDA0" w14:textId="77777777" w:rsidR="008D3C42" w:rsidRPr="00C94ABE" w:rsidRDefault="008D3C42" w:rsidP="00AD467B">
      <w:pPr>
        <w:adjustRightInd w:val="0"/>
        <w:snapToGrid w:val="0"/>
        <w:spacing w:line="360" w:lineRule="auto"/>
        <w:jc w:val="both"/>
        <w:rPr>
          <w:rFonts w:ascii="Book Antiqua" w:hAnsi="Book Antiqua"/>
        </w:rPr>
      </w:pPr>
    </w:p>
    <w:p w14:paraId="79AF6636"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Physical examination</w:t>
      </w:r>
    </w:p>
    <w:p w14:paraId="58F125D1"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Case 1: </w:t>
      </w:r>
      <w:r w:rsidRPr="00C94ABE">
        <w:rPr>
          <w:rFonts w:ascii="Book Antiqua" w:eastAsia="Book Antiqua" w:hAnsi="Book Antiqua" w:cs="Book Antiqua"/>
          <w:color w:val="000000"/>
        </w:rPr>
        <w:t>Although there were no problems with her vital signs and her abdominal region was flat and soft, she experienced localized pressure pain in her right hypochondrium. She had no obvious rebound tenderness. The Case 2 was the same as the Case 1.</w:t>
      </w:r>
    </w:p>
    <w:p w14:paraId="3644BB09" w14:textId="77777777" w:rsidR="008D3C42" w:rsidRPr="00C94ABE" w:rsidRDefault="008D3C42" w:rsidP="00AD467B">
      <w:pPr>
        <w:adjustRightInd w:val="0"/>
        <w:snapToGrid w:val="0"/>
        <w:spacing w:line="360" w:lineRule="auto"/>
        <w:jc w:val="both"/>
        <w:rPr>
          <w:rFonts w:ascii="Book Antiqua" w:hAnsi="Book Antiqua"/>
        </w:rPr>
      </w:pPr>
    </w:p>
    <w:p w14:paraId="05C828A2"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Laboratory examinations</w:t>
      </w:r>
    </w:p>
    <w:p w14:paraId="6ACB7297" w14:textId="7238354B"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lastRenderedPageBreak/>
        <w:t xml:space="preserve">Case 1: </w:t>
      </w:r>
      <w:r w:rsidRPr="00C94ABE">
        <w:rPr>
          <w:rFonts w:ascii="Book Antiqua" w:eastAsia="Book Antiqua" w:hAnsi="Book Antiqua" w:cs="Book Antiqua"/>
          <w:color w:val="000000"/>
        </w:rPr>
        <w:t>Blood biochemistry testing revealed substantial inflammation and elevated hepatic and biliary enzyme levels [C-reactive protein (CRP) 23.5</w:t>
      </w:r>
      <w:r w:rsidR="00AD467B" w:rsidRPr="00C94ABE">
        <w:rPr>
          <w:rFonts w:ascii="Book Antiqua" w:eastAsia="Book Antiqua" w:hAnsi="Book Antiqua" w:cs="Book Antiqua"/>
          <w:color w:val="000000"/>
        </w:rPr>
        <w:t xml:space="preserve"> </w:t>
      </w:r>
      <w:r w:rsidRPr="00C94ABE">
        <w:rPr>
          <w:rFonts w:ascii="Book Antiqua" w:eastAsia="Book Antiqua" w:hAnsi="Book Antiqua" w:cs="Book Antiqua"/>
          <w:color w:val="000000"/>
        </w:rPr>
        <w:t>mg/dL, white blood cell (WBC) 11700/μL, neutrophils (Neut) 81.9%, alkaline phosphatase 535 IU/L].</w:t>
      </w:r>
    </w:p>
    <w:p w14:paraId="19F7FD59" w14:textId="77777777" w:rsidR="008D3C42" w:rsidRPr="00C94ABE" w:rsidRDefault="008D3C42" w:rsidP="00AD467B">
      <w:pPr>
        <w:adjustRightInd w:val="0"/>
        <w:snapToGrid w:val="0"/>
        <w:spacing w:line="360" w:lineRule="auto"/>
        <w:jc w:val="both"/>
        <w:rPr>
          <w:rFonts w:ascii="Book Antiqua" w:hAnsi="Book Antiqua"/>
        </w:rPr>
      </w:pPr>
    </w:p>
    <w:p w14:paraId="59BF07C9" w14:textId="2F013483"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Case 2:</w:t>
      </w:r>
      <w:r w:rsidRPr="00C94ABE">
        <w:rPr>
          <w:rFonts w:ascii="Book Antiqua" w:eastAsia="Book Antiqua" w:hAnsi="Book Antiqua" w:cs="Book Antiqua"/>
          <w:color w:val="000000"/>
        </w:rPr>
        <w:t xml:space="preserve"> Blood biochemistry testing revealed substantial inflammation and elevated hepatic and biliary enzymes </w:t>
      </w:r>
      <w:r w:rsidR="00AD467B" w:rsidRPr="00C94ABE">
        <w:rPr>
          <w:rFonts w:ascii="Book Antiqua" w:eastAsia="Book Antiqua" w:hAnsi="Book Antiqua" w:cs="Book Antiqua"/>
          <w:color w:val="000000"/>
        </w:rPr>
        <w:t>(</w:t>
      </w:r>
      <w:r w:rsidRPr="00C94ABE">
        <w:rPr>
          <w:rFonts w:ascii="Book Antiqua" w:eastAsia="Book Antiqua" w:hAnsi="Book Antiqua" w:cs="Book Antiqua"/>
          <w:color w:val="000000"/>
        </w:rPr>
        <w:t>CRP 15.9</w:t>
      </w:r>
      <w:r w:rsidR="00AD467B" w:rsidRPr="00C94ABE">
        <w:rPr>
          <w:rFonts w:ascii="Book Antiqua" w:eastAsia="Book Antiqua" w:hAnsi="Book Antiqua" w:cs="Book Antiqua"/>
          <w:color w:val="000000"/>
        </w:rPr>
        <w:t xml:space="preserve"> </w:t>
      </w:r>
      <w:r w:rsidRPr="00C94ABE">
        <w:rPr>
          <w:rFonts w:ascii="Book Antiqua" w:eastAsia="Book Antiqua" w:hAnsi="Book Antiqua" w:cs="Book Antiqua"/>
          <w:color w:val="000000"/>
        </w:rPr>
        <w:t>mg/dL, WBC 8800/μl, Neut 87.5%, aspartate aminotransferase 117</w:t>
      </w:r>
      <w:r w:rsidRPr="00C94ABE">
        <w:rPr>
          <w:rFonts w:ascii="Book Antiqua" w:eastAsia="宋体" w:hAnsi="Book Antiqua" w:cs="Book Antiqua"/>
          <w:color w:val="000000"/>
          <w:lang w:eastAsia="zh-CN"/>
        </w:rPr>
        <w:t xml:space="preserve"> </w:t>
      </w:r>
      <w:r w:rsidRPr="00C94ABE">
        <w:rPr>
          <w:rFonts w:ascii="Book Antiqua" w:eastAsia="Book Antiqua" w:hAnsi="Book Antiqua" w:cs="Book Antiqua"/>
          <w:color w:val="000000"/>
        </w:rPr>
        <w:t>IU/L, alanine aminotransferase 101 IU/</w:t>
      </w:r>
      <w:r w:rsidR="00AD467B" w:rsidRPr="00C94ABE">
        <w:rPr>
          <w:rFonts w:ascii="Book Antiqua" w:eastAsia="Book Antiqua" w:hAnsi="Book Antiqua" w:cs="Book Antiqua"/>
          <w:color w:val="000000"/>
        </w:rPr>
        <w:t>L)</w:t>
      </w:r>
      <w:r w:rsidRPr="00C94ABE">
        <w:rPr>
          <w:rFonts w:ascii="Book Antiqua" w:eastAsia="Book Antiqua" w:hAnsi="Book Antiqua" w:cs="Book Antiqua"/>
          <w:color w:val="000000"/>
        </w:rPr>
        <w:t>.</w:t>
      </w:r>
    </w:p>
    <w:p w14:paraId="109A9CAA" w14:textId="77777777" w:rsidR="008D3C42" w:rsidRPr="00C94ABE" w:rsidRDefault="008D3C42" w:rsidP="00AD467B">
      <w:pPr>
        <w:adjustRightInd w:val="0"/>
        <w:snapToGrid w:val="0"/>
        <w:spacing w:line="360" w:lineRule="auto"/>
        <w:jc w:val="both"/>
        <w:rPr>
          <w:rFonts w:ascii="Book Antiqua" w:hAnsi="Book Antiqua"/>
        </w:rPr>
      </w:pPr>
    </w:p>
    <w:p w14:paraId="1678D5CA"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Imaging examinations</w:t>
      </w:r>
    </w:p>
    <w:p w14:paraId="34AE6A6B" w14:textId="77777777"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Case 1:</w:t>
      </w:r>
      <w:r w:rsidRPr="00C94ABE">
        <w:rPr>
          <w:rFonts w:ascii="Book Antiqua" w:eastAsia="Book Antiqua" w:hAnsi="Book Antiqua" w:cs="Book Antiqua"/>
          <w:color w:val="000000"/>
        </w:rPr>
        <w:t xml:space="preserve"> An abdominal contrast-enhanced computed tomography (CECT) revealed significant swelling of her gallbladder and asymmetrical wall thickening (Figure 1). The gallbladder wall indicated parts with either poor or no contrast enhancement, with a partial failure of continuity of the mucosa.</w:t>
      </w:r>
    </w:p>
    <w:p w14:paraId="22356204" w14:textId="77777777" w:rsidR="008D3C42" w:rsidRPr="00C94ABE" w:rsidRDefault="008D3C42" w:rsidP="00AD467B">
      <w:pPr>
        <w:adjustRightInd w:val="0"/>
        <w:snapToGrid w:val="0"/>
        <w:spacing w:line="360" w:lineRule="auto"/>
        <w:jc w:val="both"/>
        <w:rPr>
          <w:rFonts w:ascii="Book Antiqua" w:hAnsi="Book Antiqua"/>
        </w:rPr>
      </w:pPr>
    </w:p>
    <w:p w14:paraId="74FDF071"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Case 2: </w:t>
      </w:r>
      <w:r w:rsidRPr="00C94ABE">
        <w:rPr>
          <w:rFonts w:ascii="Book Antiqua" w:eastAsia="Book Antiqua" w:hAnsi="Book Antiqua" w:cs="Book Antiqua"/>
          <w:color w:val="000000"/>
        </w:rPr>
        <w:t>An abdominal CECT (Figure 2) revealed significant swelling of her gallbladder and ascites around her liver. There was asymmetrical gallbladder wall thickening and the continuity of part of the wall was ambiguous.</w:t>
      </w:r>
    </w:p>
    <w:p w14:paraId="4CFE19B5" w14:textId="77777777" w:rsidR="008D3C42" w:rsidRPr="00C94ABE" w:rsidRDefault="008D3C42" w:rsidP="00AD467B">
      <w:pPr>
        <w:adjustRightInd w:val="0"/>
        <w:snapToGrid w:val="0"/>
        <w:spacing w:line="360" w:lineRule="auto"/>
        <w:jc w:val="both"/>
        <w:rPr>
          <w:rFonts w:ascii="Book Antiqua" w:hAnsi="Book Antiqua"/>
        </w:rPr>
      </w:pPr>
    </w:p>
    <w:p w14:paraId="4B2D1BEE"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FINAL DIAGNOSIS</w:t>
      </w:r>
    </w:p>
    <w:p w14:paraId="1C9557E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From the above, they were diagnosed with gangrenous cholecystitis and therefore underwent emergency surgery in both Case 1 and Case 2.</w:t>
      </w:r>
    </w:p>
    <w:p w14:paraId="2858DAC2" w14:textId="77777777" w:rsidR="008D3C42" w:rsidRPr="00C94ABE" w:rsidRDefault="008D3C42" w:rsidP="00AD467B">
      <w:pPr>
        <w:adjustRightInd w:val="0"/>
        <w:snapToGrid w:val="0"/>
        <w:spacing w:line="360" w:lineRule="auto"/>
        <w:jc w:val="both"/>
        <w:rPr>
          <w:rFonts w:ascii="Book Antiqua" w:hAnsi="Book Antiqua"/>
        </w:rPr>
      </w:pPr>
    </w:p>
    <w:p w14:paraId="73CD08A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TREATMENT</w:t>
      </w:r>
    </w:p>
    <w:p w14:paraId="1BD2207A" w14:textId="19BA42AF"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 xml:space="preserve">Case 1: </w:t>
      </w:r>
      <w:r w:rsidRPr="00C94ABE">
        <w:rPr>
          <w:rFonts w:ascii="Book Antiqua" w:eastAsia="Book Antiqua" w:hAnsi="Book Antiqua" w:cs="Book Antiqua"/>
          <w:color w:val="000000"/>
        </w:rPr>
        <w:t>The surgery was carried out under laparoscopy using four ports. Inside the abdominal lumen, the omentum was attached around the gallbladder and a part of gallbladder wall was found to demonstrate necrosis. Fragile parts of the gallbladder wall had partially ruptured, thus causi</w:t>
      </w:r>
      <w:r w:rsidR="004535F9">
        <w:rPr>
          <w:rFonts w:ascii="Book Antiqua" w:eastAsia="Book Antiqua" w:hAnsi="Book Antiqua" w:cs="Book Antiqua"/>
          <w:color w:val="000000"/>
        </w:rPr>
        <w:t xml:space="preserve">ng bile to leak (Figure 3A and </w:t>
      </w:r>
      <w:r w:rsidRPr="00C94ABE">
        <w:rPr>
          <w:rFonts w:ascii="Book Antiqua" w:eastAsia="Book Antiqua" w:hAnsi="Book Antiqua" w:cs="Book Antiqua"/>
          <w:color w:val="000000"/>
        </w:rPr>
        <w:t xml:space="preserve">B). First, we took an approach from the gallbladder neck to identify the critical view of safety (CVS). Since inflammation was substantial and the overall gallbladder was thickened with a </w:t>
      </w:r>
      <w:r w:rsidRPr="00C94ABE">
        <w:rPr>
          <w:rFonts w:ascii="Book Antiqua" w:eastAsia="Book Antiqua" w:hAnsi="Book Antiqua" w:cs="Book Antiqua"/>
          <w:color w:val="000000"/>
        </w:rPr>
        <w:lastRenderedPageBreak/>
        <w:t xml:space="preserve">finding of necrosis, we believed that this approach was difficult. Therefore, we switched to subtotal cholecystectomy using the fundus first technique. Upon exfoliation from the base to the neck, we cut off the parts without necrosis using an autosuture to extract the specimen (Figure 3C-E). </w:t>
      </w:r>
    </w:p>
    <w:p w14:paraId="67349D25" w14:textId="77777777" w:rsidR="008D3C42" w:rsidRPr="00C94ABE" w:rsidRDefault="008D3C42" w:rsidP="00AD467B">
      <w:pPr>
        <w:adjustRightInd w:val="0"/>
        <w:snapToGrid w:val="0"/>
        <w:spacing w:line="360" w:lineRule="auto"/>
        <w:jc w:val="both"/>
        <w:rPr>
          <w:rFonts w:ascii="Book Antiqua" w:hAnsi="Book Antiqua"/>
        </w:rPr>
      </w:pPr>
    </w:p>
    <w:p w14:paraId="687D707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Case 2:</w:t>
      </w:r>
      <w:r w:rsidRPr="00C94ABE">
        <w:rPr>
          <w:rFonts w:ascii="Book Antiqua" w:eastAsia="Book Antiqua" w:hAnsi="Book Antiqua" w:cs="Book Antiqua"/>
          <w:color w:val="000000"/>
        </w:rPr>
        <w:t xml:space="preserve"> The laparoscopic surgery was performed as in Case 1. Inside the abdominal lumen, the gallbladder was very tense with diffuse necrosis, while the gallbladder wall was maintained without leaking bile (Figure 4A). We took an approach from the gallbladder neck, identified CVS and treated the biliary artery (Figure 4B). We then attempted to treat the cystic duct. Since bleeding was substantial and it was difficult to develop the view field, and the duct had thickened substantially due to inflammation, in the end, we chose to use the fundus first technique. Upon exfoliation from the base to the neck, we identified the cystic duct again, however, we deemed that it was difficult to treat it using an autosuture due to the substantial thickness of the duct. We performed double ligature/treatment using a looped absorbable monofilament suture, carried out subtotal cholecystectomy, and extracted the specimen (Figure 4C-E).</w:t>
      </w:r>
    </w:p>
    <w:p w14:paraId="2F4FEE14" w14:textId="77777777" w:rsidR="008D3C42" w:rsidRPr="00C94ABE" w:rsidRDefault="008D3C42" w:rsidP="00AD467B">
      <w:pPr>
        <w:adjustRightInd w:val="0"/>
        <w:snapToGrid w:val="0"/>
        <w:spacing w:line="360" w:lineRule="auto"/>
        <w:ind w:firstLine="210"/>
        <w:jc w:val="both"/>
        <w:rPr>
          <w:rFonts w:ascii="Book Antiqua" w:hAnsi="Book Antiqua"/>
        </w:rPr>
      </w:pPr>
    </w:p>
    <w:p w14:paraId="286D4A3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OUTCOME AND FOLLOW-UP</w:t>
      </w:r>
    </w:p>
    <w:p w14:paraId="03C5B8E4" w14:textId="77777777"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Case 1:</w:t>
      </w:r>
      <w:r w:rsidRPr="00C94ABE">
        <w:rPr>
          <w:rFonts w:ascii="Book Antiqua" w:eastAsia="Book Antiqua" w:hAnsi="Book Antiqua" w:cs="Book Antiqua"/>
          <w:color w:val="000000"/>
        </w:rPr>
        <w:t xml:space="preserve"> The patient made good progress following surgery without any major complications and she was discharged home on the 10</w:t>
      </w:r>
      <w:r w:rsidRPr="00C94ABE">
        <w:rPr>
          <w:rFonts w:ascii="Book Antiqua" w:eastAsia="Book Antiqua" w:hAnsi="Book Antiqua" w:cs="Book Antiqua"/>
          <w:color w:val="000000"/>
          <w:vertAlign w:val="superscript"/>
        </w:rPr>
        <w:t>th</w:t>
      </w:r>
      <w:r w:rsidRPr="00C94ABE">
        <w:rPr>
          <w:rFonts w:ascii="Book Antiqua" w:eastAsia="Book Antiqua" w:hAnsi="Book Antiqua" w:cs="Book Antiqua"/>
          <w:color w:val="000000"/>
        </w:rPr>
        <w:t xml:space="preserve"> disease day. A histopathological examination revealed gangrenous alterations indicating necrosis of all layers and involving neutrophilic infiltration, bleeding, and the genesis of granulation tissue on the serosal side.</w:t>
      </w:r>
    </w:p>
    <w:p w14:paraId="5352B52E" w14:textId="77777777" w:rsidR="008D3C42" w:rsidRPr="00C94ABE" w:rsidRDefault="008D3C42" w:rsidP="00AD467B">
      <w:pPr>
        <w:adjustRightInd w:val="0"/>
        <w:snapToGrid w:val="0"/>
        <w:spacing w:line="360" w:lineRule="auto"/>
        <w:jc w:val="both"/>
        <w:rPr>
          <w:rFonts w:ascii="Book Antiqua" w:hAnsi="Book Antiqua"/>
        </w:rPr>
      </w:pPr>
    </w:p>
    <w:p w14:paraId="26FD81F3"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Case 2:</w:t>
      </w:r>
      <w:r w:rsidRPr="00C94ABE">
        <w:rPr>
          <w:rFonts w:ascii="Book Antiqua" w:eastAsia="Book Antiqua" w:hAnsi="Book Antiqua" w:cs="Book Antiqua"/>
          <w:color w:val="000000"/>
        </w:rPr>
        <w:t xml:space="preserve"> She made good progress following surgery and was discharged home on the 10</w:t>
      </w:r>
      <w:r w:rsidRPr="00C94ABE">
        <w:rPr>
          <w:rFonts w:ascii="Book Antiqua" w:eastAsia="Book Antiqua" w:hAnsi="Book Antiqua" w:cs="Book Antiqua"/>
          <w:color w:val="000000"/>
          <w:vertAlign w:val="superscript"/>
        </w:rPr>
        <w:t>th</w:t>
      </w:r>
      <w:r w:rsidRPr="00C94ABE">
        <w:rPr>
          <w:rFonts w:ascii="Book Antiqua" w:eastAsia="Book Antiqua" w:hAnsi="Book Antiqua" w:cs="Book Antiqua"/>
          <w:color w:val="000000"/>
        </w:rPr>
        <w:t xml:space="preserve"> disease day. A histopathological examination indicated necrosis of all layers with a background of edema and acute inflammatory cellular infiltration.</w:t>
      </w:r>
    </w:p>
    <w:p w14:paraId="666F11C1" w14:textId="77777777" w:rsidR="008D3C42" w:rsidRPr="00C94ABE" w:rsidRDefault="008D3C42" w:rsidP="00AD467B">
      <w:pPr>
        <w:adjustRightInd w:val="0"/>
        <w:snapToGrid w:val="0"/>
        <w:spacing w:line="360" w:lineRule="auto"/>
        <w:ind w:firstLine="210"/>
        <w:jc w:val="both"/>
        <w:rPr>
          <w:rFonts w:ascii="Book Antiqua" w:hAnsi="Book Antiqua"/>
        </w:rPr>
      </w:pPr>
    </w:p>
    <w:p w14:paraId="4E09081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DISCUSSION</w:t>
      </w:r>
    </w:p>
    <w:p w14:paraId="4B87E7D8" w14:textId="5084669A"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lastRenderedPageBreak/>
        <w:t>Ninety percent or more of acute cholecystitis cases are caused by gallstones in the gallbladder</w:t>
      </w:r>
      <w:r w:rsidRPr="00C94ABE">
        <w:rPr>
          <w:rFonts w:ascii="Book Antiqua" w:eastAsia="Book Antiqua" w:hAnsi="Book Antiqua" w:cs="Book Antiqua"/>
          <w:color w:val="000000"/>
          <w:vertAlign w:val="superscript"/>
        </w:rPr>
        <w:t>[1]</w:t>
      </w:r>
      <w:r w:rsidRPr="00C94ABE">
        <w:rPr>
          <w:rFonts w:ascii="Book Antiqua" w:eastAsia="Book Antiqua" w:hAnsi="Book Antiqua" w:cs="Book Antiqua"/>
          <w:color w:val="000000"/>
        </w:rPr>
        <w:t xml:space="preserve">. The mechanism of gallstone cholecystitis is as follows: </w:t>
      </w:r>
      <w:r w:rsidR="00AD467B" w:rsidRPr="00C94ABE">
        <w:rPr>
          <w:rFonts w:ascii="Book Antiqua" w:eastAsia="Book Antiqua" w:hAnsi="Book Antiqua" w:cs="Book Antiqua"/>
          <w:color w:val="000000"/>
        </w:rPr>
        <w:t>I</w:t>
      </w:r>
      <w:r w:rsidRPr="00C94ABE">
        <w:rPr>
          <w:rFonts w:ascii="Book Antiqua" w:eastAsia="Book Antiqua" w:hAnsi="Book Antiqua" w:cs="Book Antiqua"/>
          <w:color w:val="000000"/>
        </w:rPr>
        <w:t>ncarceration and occlusion of the gallstones in the cystic duct causes cholestasis in the gallbladder, leading to damage to the biliary mucosa and activation of inflammatory mediators</w:t>
      </w:r>
      <w:r w:rsidRPr="00C94ABE">
        <w:rPr>
          <w:rFonts w:ascii="Book Antiqua" w:eastAsia="Book Antiqua" w:hAnsi="Book Antiqua" w:cs="Book Antiqua"/>
          <w:color w:val="000000"/>
          <w:vertAlign w:val="superscript"/>
        </w:rPr>
        <w:t>[2]</w:t>
      </w:r>
      <w:r w:rsidRPr="00C94ABE">
        <w:rPr>
          <w:rFonts w:ascii="Book Antiqua" w:eastAsia="Book Antiqua" w:hAnsi="Book Antiqua" w:cs="Book Antiqua"/>
          <w:color w:val="000000"/>
        </w:rPr>
        <w:t>. On the other hand, cholecystitis sine concrement is caused by either: (1) Cholestasis in the gallbladder; or (2) Blood circulation disorder in the gallbladder wall due to biliary ischemia resulting from atherothrombosis and hyperlipidemia due to arteriosclerosis</w:t>
      </w:r>
      <w:r w:rsidRPr="00C94ABE">
        <w:rPr>
          <w:rFonts w:ascii="Book Antiqua" w:eastAsia="Book Antiqua" w:hAnsi="Book Antiqua" w:cs="Book Antiqua"/>
          <w:color w:val="000000"/>
          <w:vertAlign w:val="superscript"/>
        </w:rPr>
        <w:t>[3]</w:t>
      </w:r>
      <w:r w:rsidRPr="00C94ABE">
        <w:rPr>
          <w:rFonts w:ascii="Book Antiqua" w:eastAsia="Book Antiqua" w:hAnsi="Book Antiqua" w:cs="Book Antiqua"/>
          <w:color w:val="000000"/>
        </w:rPr>
        <w:t>. The advancement of acute cholecystitis resulting from these causes may lead to gangrenous cholecystitis. The gangrenous cholecystitis of Case 1 was thought to be attributed to the incarceration of the gallstone. Case 2 had a past history of diseases that can be a risk for atherothrombosis, such as hypertension and angina, and thus it has a very high risk of developing cholecystitis sine concrement.</w:t>
      </w:r>
    </w:p>
    <w:p w14:paraId="37D6179F" w14:textId="77777777" w:rsidR="008D3C42" w:rsidRPr="00C94ABE" w:rsidRDefault="00C94ABE" w:rsidP="00AD467B">
      <w:pPr>
        <w:adjustRightInd w:val="0"/>
        <w:snapToGrid w:val="0"/>
        <w:spacing w:line="360" w:lineRule="auto"/>
        <w:ind w:firstLine="210"/>
        <w:jc w:val="both"/>
        <w:rPr>
          <w:rFonts w:ascii="Book Antiqua" w:hAnsi="Book Antiqua"/>
        </w:rPr>
      </w:pPr>
      <w:r w:rsidRPr="00C94ABE">
        <w:rPr>
          <w:rFonts w:ascii="Book Antiqua" w:eastAsia="Book Antiqua" w:hAnsi="Book Antiqua" w:cs="Book Antiqua"/>
          <w:color w:val="000000"/>
        </w:rPr>
        <w:t>The Tokyo guidelines are thought to be useful for the diagnosis and treatment of acute cholecystitis. According to the Tokyo guidelines 2018 (TG18), abdominal ultrasonography is useful for diagnosing acute cholecystitis and defined as the first-choice imaging examination. Moreover, if a blood examination and abdominal ultrasonography cannot lead to a definite diagnosis, then abdominal CECT or abdominal MRI/MRCP is useful. On the other hand, abdominal CECT or abdominal MRI/MRCP is recommended for the diagnosis of gangrenous cholecystitis</w:t>
      </w:r>
      <w:r w:rsidRPr="00C94ABE">
        <w:rPr>
          <w:rFonts w:ascii="Book Antiqua" w:eastAsia="Book Antiqua" w:hAnsi="Book Antiqua" w:cs="Book Antiqua"/>
          <w:color w:val="000000"/>
          <w:vertAlign w:val="superscript"/>
        </w:rPr>
        <w:t>[4]</w:t>
      </w:r>
      <w:r w:rsidRPr="00C94ABE">
        <w:rPr>
          <w:rFonts w:ascii="Book Antiqua" w:eastAsia="Book Antiqua" w:hAnsi="Book Antiqua" w:cs="Book Antiqua"/>
          <w:color w:val="000000"/>
        </w:rPr>
        <w:t>. Since they have better a diagnostic capability than abdominal ultrasonography, they should be performed if gangrenous cholecystitis is suspected. Gangrenous cholecystitis is characterized by the rarefaction of the gallbladder wall, poor enhancement of the gallbladder wall, elevated concentration of adipose tissue around the gallbladder, and the existence of gas in the gallbladder and gallbladder wall. This case also recognized rarefaction of the gallbladder wall, the poor enhancement of the gallbladder wall, and an elevated concentration of adipose tissue around the gallbladder.</w:t>
      </w:r>
    </w:p>
    <w:p w14:paraId="2B54F38C" w14:textId="7D670581" w:rsidR="008D3C42" w:rsidRPr="00C94ABE" w:rsidRDefault="00C94ABE" w:rsidP="00AD467B">
      <w:pPr>
        <w:adjustRightInd w:val="0"/>
        <w:snapToGrid w:val="0"/>
        <w:spacing w:line="360" w:lineRule="auto"/>
        <w:ind w:firstLine="210"/>
        <w:jc w:val="both"/>
        <w:rPr>
          <w:rFonts w:ascii="Book Antiqua" w:hAnsi="Book Antiqua"/>
        </w:rPr>
      </w:pPr>
      <w:r w:rsidRPr="00C94ABE">
        <w:rPr>
          <w:rFonts w:ascii="Book Antiqua" w:eastAsia="Book Antiqua" w:hAnsi="Book Antiqua" w:cs="Book Antiqua"/>
          <w:color w:val="000000"/>
        </w:rPr>
        <w:t>In TG18, the treatment strategy is determined based on the treatment flow chart according to the severity classification as well as the underlying diseases and normal condition of the patient</w:t>
      </w:r>
      <w:r w:rsidRPr="00C94ABE">
        <w:rPr>
          <w:rFonts w:ascii="Book Antiqua" w:eastAsia="Book Antiqua" w:hAnsi="Book Antiqua" w:cs="Book Antiqua"/>
          <w:color w:val="000000"/>
          <w:vertAlign w:val="superscript"/>
        </w:rPr>
        <w:t>[5]</w:t>
      </w:r>
      <w:r w:rsidRPr="00C94ABE">
        <w:rPr>
          <w:rFonts w:ascii="Book Antiqua" w:eastAsia="Book Antiqua" w:hAnsi="Book Antiqua" w:cs="Book Antiqua"/>
          <w:color w:val="000000"/>
        </w:rPr>
        <w:t xml:space="preserve">. In other words, the Charlson comorbidity index (CCI) and </w:t>
      </w:r>
      <w:r w:rsidRPr="00C94ABE">
        <w:rPr>
          <w:rFonts w:ascii="Book Antiqua" w:hAnsi="Book Antiqua" w:cs="Arial"/>
          <w:color w:val="000000"/>
          <w:shd w:val="clear" w:color="auto" w:fill="FFFFFF"/>
        </w:rPr>
        <w:lastRenderedPageBreak/>
        <w:t>American Society of Anesthesiologists physical status</w:t>
      </w:r>
      <w:r w:rsidR="00AD467B" w:rsidRPr="00C94ABE">
        <w:rPr>
          <w:rFonts w:ascii="Book Antiqua" w:hAnsi="Book Antiqua" w:cs="Arial"/>
          <w:color w:val="000000"/>
          <w:shd w:val="clear" w:color="auto" w:fill="FFFFFF"/>
        </w:rPr>
        <w:t xml:space="preserve"> </w:t>
      </w:r>
      <w:r w:rsidRPr="00C94ABE">
        <w:rPr>
          <w:rFonts w:ascii="Book Antiqua" w:hAnsi="Book Antiqua" w:cs="Arial"/>
          <w:color w:val="000000"/>
          <w:shd w:val="clear" w:color="auto" w:fill="FFFFFF"/>
        </w:rPr>
        <w:t>(</w:t>
      </w:r>
      <w:r w:rsidRPr="00C94ABE">
        <w:rPr>
          <w:rFonts w:ascii="Book Antiqua" w:eastAsia="Book Antiqua" w:hAnsi="Book Antiqua" w:cs="Book Antiqua"/>
          <w:color w:val="000000"/>
        </w:rPr>
        <w:t>ASA-PS) and other predictors are taken into consideration when determining the indications for surgery. Based on these guidelines, biliary drainage may be performed other than surgery for patients with high risk from surgery. We believe the guidelines allowed us to make a more suitable determination that in actual clinical practice. Both cases in this study had Grade II cholecystitis based on the severity criteria and had CCI one point and ASA-PS two points. Therefore, we chose surgery.</w:t>
      </w:r>
    </w:p>
    <w:p w14:paraId="751011F4" w14:textId="2C63CC22" w:rsidR="008D3C42" w:rsidRPr="00C94ABE" w:rsidRDefault="00C94ABE" w:rsidP="00AD467B">
      <w:pPr>
        <w:adjustRightInd w:val="0"/>
        <w:snapToGrid w:val="0"/>
        <w:spacing w:line="360" w:lineRule="auto"/>
        <w:ind w:firstLineChars="100" w:firstLine="240"/>
        <w:jc w:val="both"/>
        <w:rPr>
          <w:rFonts w:ascii="Book Antiqua" w:hAnsi="Book Antiqua"/>
        </w:rPr>
      </w:pPr>
      <w:r w:rsidRPr="00C94ABE">
        <w:rPr>
          <w:rFonts w:ascii="Book Antiqua" w:eastAsia="Book Antiqua" w:hAnsi="Book Antiqua" w:cs="Book Antiqua"/>
          <w:color w:val="000000"/>
        </w:rPr>
        <w:t>The first choice of surgery for acute cholecystitis is LC except if cancer is suspected</w:t>
      </w:r>
      <w:r w:rsidRPr="00C94ABE">
        <w:rPr>
          <w:rFonts w:ascii="Book Antiqua" w:eastAsia="Book Antiqua" w:hAnsi="Book Antiqua" w:cs="Book Antiqua"/>
          <w:color w:val="000000"/>
          <w:vertAlign w:val="superscript"/>
        </w:rPr>
        <w:t>[6]</w:t>
      </w:r>
      <w:r w:rsidRPr="00C94ABE">
        <w:rPr>
          <w:rFonts w:ascii="Book Antiqua" w:eastAsia="Book Antiqua" w:hAnsi="Book Antiqua" w:cs="Book Antiqua"/>
          <w:color w:val="000000"/>
        </w:rPr>
        <w:t xml:space="preserve">. It has been reported in </w:t>
      </w:r>
      <w:r w:rsidR="00AD467B" w:rsidRPr="00C94ABE">
        <w:rPr>
          <w:rFonts w:ascii="Book Antiqua" w:hAnsi="Book Antiqua" w:cs="Arial"/>
          <w:bCs/>
          <w:color w:val="000000"/>
          <w:shd w:val="clear" w:color="auto" w:fill="FFFFFF"/>
        </w:rPr>
        <w:t>randomized controlled tri</w:t>
      </w:r>
      <w:r w:rsidRPr="00C94ABE">
        <w:rPr>
          <w:rFonts w:ascii="Book Antiqua" w:hAnsi="Book Antiqua" w:cs="Arial"/>
          <w:bCs/>
          <w:color w:val="000000"/>
          <w:shd w:val="clear" w:color="auto" w:fill="FFFFFF"/>
        </w:rPr>
        <w:t>al</w:t>
      </w:r>
      <w:r w:rsidRPr="00C94ABE">
        <w:rPr>
          <w:rFonts w:ascii="Book Antiqua" w:eastAsia="Book Antiqua" w:hAnsi="Book Antiqua" w:cs="Book Antiqua"/>
          <w:color w:val="000000"/>
        </w:rPr>
        <w:t xml:space="preserve"> and </w:t>
      </w:r>
      <w:r w:rsidR="00AD467B" w:rsidRPr="00C94ABE">
        <w:rPr>
          <w:rFonts w:ascii="Book Antiqua" w:eastAsia="Book Antiqua" w:hAnsi="Book Antiqua" w:cs="Book Antiqua"/>
          <w:color w:val="000000"/>
        </w:rPr>
        <w:t>m</w:t>
      </w:r>
      <w:r w:rsidRPr="00C94ABE">
        <w:rPr>
          <w:rFonts w:ascii="Book Antiqua" w:eastAsia="Book Antiqua" w:hAnsi="Book Antiqua" w:cs="Book Antiqua"/>
          <w:color w:val="000000"/>
        </w:rPr>
        <w:t>eta-analysis that LC has an equivalent treatment outcome with open cholecystectomy along with a "shorter postoperative admission duration,” "lower incidence of complications," and "superiority in mortality and mobidity"</w:t>
      </w:r>
      <w:r w:rsidRPr="00C94ABE">
        <w:rPr>
          <w:rFonts w:ascii="Book Antiqua" w:eastAsia="Book Antiqua" w:hAnsi="Book Antiqua" w:cs="Book Antiqua"/>
          <w:color w:val="000000"/>
          <w:vertAlign w:val="superscript"/>
        </w:rPr>
        <w:t>[7-12]</w:t>
      </w:r>
      <w:r w:rsidRPr="00C94ABE">
        <w:rPr>
          <w:rFonts w:ascii="Book Antiqua" w:eastAsia="Book Antiqua" w:hAnsi="Book Antiqua" w:cs="Book Antiqua"/>
          <w:color w:val="000000"/>
        </w:rPr>
        <w:t>. On the other hand, it is said to cause more biliary tract damage due to anatomical misidentification compared to laparotomy, which is a problem associated with its introduction</w:t>
      </w:r>
      <w:r w:rsidRPr="00C94ABE">
        <w:rPr>
          <w:rFonts w:ascii="Book Antiqua" w:eastAsia="Book Antiqua" w:hAnsi="Book Antiqua" w:cs="Book Antiqua"/>
          <w:color w:val="000000"/>
          <w:vertAlign w:val="superscript"/>
        </w:rPr>
        <w:t>[13]</w:t>
      </w:r>
      <w:r w:rsidRPr="00C94ABE">
        <w:rPr>
          <w:rFonts w:ascii="Book Antiqua" w:eastAsia="Book Antiqua" w:hAnsi="Book Antiqua" w:cs="Book Antiqua"/>
          <w:color w:val="000000"/>
        </w:rPr>
        <w:t>. It is said to be essential to identify CVS to avoid biliary tract damage and safely conduct laparoscopic surgery</w:t>
      </w:r>
      <w:r w:rsidRPr="00C94ABE">
        <w:rPr>
          <w:rFonts w:ascii="Book Antiqua" w:eastAsia="Book Antiqua" w:hAnsi="Book Antiqua" w:cs="Book Antiqua"/>
          <w:color w:val="000000"/>
          <w:vertAlign w:val="superscript"/>
        </w:rPr>
        <w:t>[3,14]</w:t>
      </w:r>
      <w:r w:rsidRPr="00C94ABE">
        <w:rPr>
          <w:rFonts w:ascii="Book Antiqua" w:eastAsia="Book Antiqua" w:hAnsi="Book Antiqua" w:cs="Book Antiqua"/>
          <w:color w:val="000000"/>
        </w:rPr>
        <w:t>. Moreover, it is believed to be important to operate at the anterior Rouvier groove because the right hepatic artery and bile duct right branch are at the posterior Rouvier groove, to perform exfoliation and vessel treatment as close to the gallbladder as possible, and to perform exfoliation while being aware of the subserosa-inner layer, which is said to cause bleeding and damage less frequently</w:t>
      </w:r>
      <w:r w:rsidRPr="00C94ABE">
        <w:rPr>
          <w:rFonts w:ascii="Book Antiqua" w:eastAsia="Book Antiqua" w:hAnsi="Book Antiqua" w:cs="Book Antiqua"/>
          <w:color w:val="000000"/>
          <w:vertAlign w:val="superscript"/>
        </w:rPr>
        <w:t>[15]</w:t>
      </w:r>
      <w:r w:rsidRPr="00C94ABE">
        <w:rPr>
          <w:rFonts w:ascii="Book Antiqua" w:eastAsia="Book Antiqua" w:hAnsi="Book Antiqua" w:cs="Book Antiqua"/>
          <w:color w:val="000000"/>
        </w:rPr>
        <w:t>. However, for cholecystitis with severe local inflammation such as gangrenous cholecystitis, it is often difficult to perform LC perfectly according to the above procedure. In the above case, it is recommended to consider using laparosonic coagulating shears, adding ports, the fundus first technique</w:t>
      </w:r>
      <w:r w:rsidRPr="00C94ABE">
        <w:rPr>
          <w:rFonts w:ascii="Book Antiqua" w:eastAsia="Book Antiqua" w:hAnsi="Book Antiqua" w:cs="Book Antiqua"/>
          <w:color w:val="000000"/>
          <w:vertAlign w:val="superscript"/>
        </w:rPr>
        <w:t>[16]</w:t>
      </w:r>
      <w:r w:rsidRPr="00C94ABE">
        <w:rPr>
          <w:rFonts w:ascii="Book Antiqua" w:eastAsia="Book Antiqua" w:hAnsi="Book Antiqua" w:cs="Book Antiqua"/>
          <w:color w:val="000000"/>
        </w:rPr>
        <w:t>, subtotal cholecystectomy</w:t>
      </w:r>
      <w:r w:rsidRPr="00C94ABE">
        <w:rPr>
          <w:rFonts w:ascii="Book Antiqua" w:eastAsia="Book Antiqua" w:hAnsi="Book Antiqua" w:cs="Book Antiqua"/>
          <w:color w:val="000000"/>
          <w:vertAlign w:val="superscript"/>
        </w:rPr>
        <w:t>[17]</w:t>
      </w:r>
      <w:r w:rsidRPr="00C94ABE">
        <w:rPr>
          <w:rFonts w:ascii="Book Antiqua" w:eastAsia="Book Antiqua" w:hAnsi="Book Antiqua" w:cs="Book Antiqua"/>
          <w:color w:val="000000"/>
        </w:rPr>
        <w:t xml:space="preserve"> and open conversion. If these also present with challenges, then we perform fundus first technique. If dissection is difficult, we treat such cases at the gallbladder neck and carry out subtotal cholecystectomy. We perform laparotomy if these approaches still cannot accomplish the surgery. In our cases, we could accomplish the surgery in accordance with the above methods. Acute cholecystitis is a disease we often encounter. The treatment strategy varies according to </w:t>
      </w:r>
      <w:r w:rsidRPr="00C94ABE">
        <w:rPr>
          <w:rFonts w:ascii="Book Antiqua" w:eastAsia="Book Antiqua" w:hAnsi="Book Antiqua" w:cs="Book Antiqua"/>
          <w:color w:val="000000"/>
        </w:rPr>
        <w:lastRenderedPageBreak/>
        <w:t>the severity. In particular, there are various approaches to the surgery. As a result, proficient techniques and appropriate determinations are required.</w:t>
      </w:r>
    </w:p>
    <w:p w14:paraId="048DC484" w14:textId="77777777" w:rsidR="008D3C42" w:rsidRPr="00C94ABE" w:rsidRDefault="00C94ABE" w:rsidP="00AD467B">
      <w:pPr>
        <w:adjustRightInd w:val="0"/>
        <w:snapToGrid w:val="0"/>
        <w:spacing w:line="360" w:lineRule="auto"/>
        <w:ind w:firstLineChars="100" w:firstLine="240"/>
        <w:jc w:val="both"/>
        <w:rPr>
          <w:rFonts w:ascii="Book Antiqua" w:hAnsi="Book Antiqua"/>
        </w:rPr>
      </w:pPr>
      <w:r w:rsidRPr="00C94ABE">
        <w:rPr>
          <w:rFonts w:ascii="Book Antiqua" w:eastAsia="Book Antiqua" w:hAnsi="Book Antiqua" w:cs="Book Antiqua"/>
          <w:color w:val="000000"/>
        </w:rPr>
        <w:t>Recently, there has been an increasing number of cases of very elderly people who require surgery as in our cases. It has been reported that because very elderly people sometimes have a chief complaint which is difficult to understand or different from ordinary complaints, consultation or examination tend to be late and the diseases tend to become severe</w:t>
      </w:r>
      <w:r w:rsidRPr="00C94ABE">
        <w:rPr>
          <w:rFonts w:ascii="Book Antiqua" w:eastAsia="Book Antiqua" w:hAnsi="Book Antiqua" w:cs="Book Antiqua"/>
          <w:color w:val="000000"/>
          <w:vertAlign w:val="superscript"/>
        </w:rPr>
        <w:t>[18]</w:t>
      </w:r>
      <w:r w:rsidRPr="00C94ABE">
        <w:rPr>
          <w:rFonts w:ascii="Book Antiqua" w:eastAsia="Book Antiqua" w:hAnsi="Book Antiqua" w:cs="Book Antiqua"/>
          <w:color w:val="000000"/>
        </w:rPr>
        <w:t>. Since it is difficult to find out the past history and physical findings, blood examinations and imaging examinations are therefore recommended. In our cases, we were able to avoid vital complications by early examinations, a timely diagnosis, and treatment after identifying the symptoms. For surgery involving very elderly people, we believe appropriate and early diagnosis and treatment are necessary to avoid procedural accidents during surgery and postoperative complications.</w:t>
      </w:r>
    </w:p>
    <w:p w14:paraId="4DB8ADA1" w14:textId="77777777" w:rsidR="008D3C42" w:rsidRPr="00C94ABE" w:rsidRDefault="008D3C42" w:rsidP="00AD467B">
      <w:pPr>
        <w:adjustRightInd w:val="0"/>
        <w:snapToGrid w:val="0"/>
        <w:spacing w:line="360" w:lineRule="auto"/>
        <w:jc w:val="both"/>
        <w:rPr>
          <w:rFonts w:ascii="Book Antiqua" w:hAnsi="Book Antiqua"/>
        </w:rPr>
      </w:pPr>
    </w:p>
    <w:p w14:paraId="40E9E3BD"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CONCLUSION</w:t>
      </w:r>
    </w:p>
    <w:p w14:paraId="67D292DD"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We experienced two cases of very elderly people with gangrenous cholecystitis. Although a definite diagnosis of gangrenous cholecystitis is difficult to make prior to surgery, if an early diagnosis can be made and appropriate treatment methods can be carried out, then even very elderly people may be discharged without any major complications.</w:t>
      </w:r>
    </w:p>
    <w:p w14:paraId="145913E3" w14:textId="77777777" w:rsidR="008D3C42" w:rsidRPr="00C94ABE" w:rsidRDefault="008D3C42" w:rsidP="00AD467B">
      <w:pPr>
        <w:adjustRightInd w:val="0"/>
        <w:snapToGrid w:val="0"/>
        <w:spacing w:line="360" w:lineRule="auto"/>
        <w:jc w:val="both"/>
        <w:rPr>
          <w:rFonts w:ascii="Book Antiqua" w:hAnsi="Book Antiqua"/>
        </w:rPr>
      </w:pPr>
    </w:p>
    <w:p w14:paraId="385C98A6"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REFERENCES</w:t>
      </w:r>
    </w:p>
    <w:p w14:paraId="5358E016"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 </w:t>
      </w:r>
      <w:r w:rsidRPr="00C94ABE">
        <w:rPr>
          <w:rFonts w:ascii="Book Antiqua" w:eastAsia="Book Antiqua" w:hAnsi="Book Antiqua" w:cs="Book Antiqua"/>
          <w:b/>
          <w:bCs/>
          <w:color w:val="000000"/>
        </w:rPr>
        <w:t>Strasberg SM</w:t>
      </w:r>
      <w:r w:rsidRPr="00C94ABE">
        <w:rPr>
          <w:rFonts w:ascii="Book Antiqua" w:eastAsia="Book Antiqua" w:hAnsi="Book Antiqua" w:cs="Book Antiqua"/>
          <w:color w:val="000000"/>
        </w:rPr>
        <w:t xml:space="preserve">. Clinical practice. Acute calculous cholecystitis. </w:t>
      </w:r>
      <w:r w:rsidRPr="00C94ABE">
        <w:rPr>
          <w:rFonts w:ascii="Book Antiqua" w:eastAsia="Book Antiqua" w:hAnsi="Book Antiqua" w:cs="Book Antiqua"/>
          <w:i/>
          <w:iCs/>
          <w:color w:val="000000"/>
        </w:rPr>
        <w:t>N Engl J Med</w:t>
      </w:r>
      <w:r w:rsidRPr="00C94ABE">
        <w:rPr>
          <w:rFonts w:ascii="Book Antiqua" w:eastAsia="Book Antiqua" w:hAnsi="Book Antiqua" w:cs="Book Antiqua"/>
          <w:color w:val="000000"/>
        </w:rPr>
        <w:t xml:space="preserve"> 2008; </w:t>
      </w:r>
      <w:r w:rsidRPr="00C94ABE">
        <w:rPr>
          <w:rFonts w:ascii="Book Antiqua" w:eastAsia="Book Antiqua" w:hAnsi="Book Antiqua" w:cs="Book Antiqua"/>
          <w:b/>
          <w:bCs/>
          <w:color w:val="000000"/>
        </w:rPr>
        <w:t>358</w:t>
      </w:r>
      <w:r w:rsidRPr="00C94ABE">
        <w:rPr>
          <w:rFonts w:ascii="Book Antiqua" w:eastAsia="Book Antiqua" w:hAnsi="Book Antiqua" w:cs="Book Antiqua"/>
          <w:color w:val="000000"/>
        </w:rPr>
        <w:t>: 2804-2811 [PMID: 18579815 DOI: 10.1056/NEJMcp0800929]</w:t>
      </w:r>
    </w:p>
    <w:p w14:paraId="1399864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2 </w:t>
      </w:r>
      <w:r w:rsidRPr="00C94ABE">
        <w:rPr>
          <w:rFonts w:ascii="Book Antiqua" w:eastAsia="Book Antiqua" w:hAnsi="Book Antiqua" w:cs="Book Antiqua"/>
          <w:b/>
          <w:bCs/>
          <w:color w:val="000000"/>
        </w:rPr>
        <w:t>Akriviadis EA</w:t>
      </w:r>
      <w:r w:rsidRPr="00C94ABE">
        <w:rPr>
          <w:rFonts w:ascii="Book Antiqua" w:eastAsia="Book Antiqua" w:hAnsi="Book Antiqua" w:cs="Book Antiqua"/>
          <w:color w:val="000000"/>
        </w:rPr>
        <w:t xml:space="preserve">, Hatzigavriel M, Kapnias D, Kirimlidis J, Markantas A, Garyfallos A. Treatment of biliary colic with diclofenac: a randomized, double-blind, placebo-controlled study. </w:t>
      </w:r>
      <w:r w:rsidRPr="00C94ABE">
        <w:rPr>
          <w:rFonts w:ascii="Book Antiqua" w:eastAsia="Book Antiqua" w:hAnsi="Book Antiqua" w:cs="Book Antiqua"/>
          <w:i/>
          <w:iCs/>
          <w:color w:val="000000"/>
        </w:rPr>
        <w:t>Gastroenterology</w:t>
      </w:r>
      <w:r w:rsidRPr="00C94ABE">
        <w:rPr>
          <w:rFonts w:ascii="Book Antiqua" w:eastAsia="Book Antiqua" w:hAnsi="Book Antiqua" w:cs="Book Antiqua"/>
          <w:color w:val="000000"/>
        </w:rPr>
        <w:t xml:space="preserve"> 1997; </w:t>
      </w:r>
      <w:r w:rsidRPr="00C94ABE">
        <w:rPr>
          <w:rFonts w:ascii="Book Antiqua" w:eastAsia="Book Antiqua" w:hAnsi="Book Antiqua" w:cs="Book Antiqua"/>
          <w:b/>
          <w:bCs/>
          <w:color w:val="000000"/>
        </w:rPr>
        <w:t>113</w:t>
      </w:r>
      <w:r w:rsidRPr="00C94ABE">
        <w:rPr>
          <w:rFonts w:ascii="Book Antiqua" w:eastAsia="Book Antiqua" w:hAnsi="Book Antiqua" w:cs="Book Antiqua"/>
          <w:color w:val="000000"/>
        </w:rPr>
        <w:t>: 225-231 [PMID: 9207282 DOI: 10.1016/s0016-5085(97)70099-4]</w:t>
      </w:r>
    </w:p>
    <w:p w14:paraId="03C14D4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3 </w:t>
      </w:r>
      <w:r w:rsidRPr="00C94ABE">
        <w:rPr>
          <w:rFonts w:ascii="Book Antiqua" w:eastAsia="Book Antiqua" w:hAnsi="Book Antiqua" w:cs="Book Antiqua"/>
          <w:b/>
          <w:bCs/>
          <w:color w:val="000000"/>
        </w:rPr>
        <w:t>Barie PS</w:t>
      </w:r>
      <w:r w:rsidRPr="00C94ABE">
        <w:rPr>
          <w:rFonts w:ascii="Book Antiqua" w:eastAsia="Book Antiqua" w:hAnsi="Book Antiqua" w:cs="Book Antiqua"/>
          <w:color w:val="000000"/>
        </w:rPr>
        <w:t xml:space="preserve">, Eachempati SR. Acute acalculous cholecystitis. </w:t>
      </w:r>
      <w:r w:rsidRPr="00C94ABE">
        <w:rPr>
          <w:rFonts w:ascii="Book Antiqua" w:eastAsia="Book Antiqua" w:hAnsi="Book Antiqua" w:cs="Book Antiqua"/>
          <w:i/>
          <w:iCs/>
          <w:color w:val="000000"/>
        </w:rPr>
        <w:t>Gastroenterol Clin North Am</w:t>
      </w:r>
      <w:r w:rsidRPr="00C94ABE">
        <w:rPr>
          <w:rFonts w:ascii="Book Antiqua" w:eastAsia="Book Antiqua" w:hAnsi="Book Antiqua" w:cs="Book Antiqua"/>
          <w:color w:val="000000"/>
        </w:rPr>
        <w:t xml:space="preserve"> 2010; </w:t>
      </w:r>
      <w:r w:rsidRPr="00C94ABE">
        <w:rPr>
          <w:rFonts w:ascii="Book Antiqua" w:eastAsia="Book Antiqua" w:hAnsi="Book Antiqua" w:cs="Book Antiqua"/>
          <w:b/>
          <w:bCs/>
          <w:color w:val="000000"/>
        </w:rPr>
        <w:t>39</w:t>
      </w:r>
      <w:r w:rsidRPr="00C94ABE">
        <w:rPr>
          <w:rFonts w:ascii="Book Antiqua" w:eastAsia="Book Antiqua" w:hAnsi="Book Antiqua" w:cs="Book Antiqua"/>
          <w:color w:val="000000"/>
        </w:rPr>
        <w:t>: 343-357, x [PMID: 20478490 DOI: 10.1016/j.gtc.2010.02.012]</w:t>
      </w:r>
    </w:p>
    <w:p w14:paraId="29BE5D7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lastRenderedPageBreak/>
        <w:t xml:space="preserve">4 </w:t>
      </w:r>
      <w:r w:rsidRPr="00C94ABE">
        <w:rPr>
          <w:rFonts w:ascii="Book Antiqua" w:eastAsia="Book Antiqua" w:hAnsi="Book Antiqua" w:cs="Book Antiqua"/>
          <w:b/>
          <w:bCs/>
          <w:color w:val="000000"/>
        </w:rPr>
        <w:t>Yokoe M</w:t>
      </w:r>
      <w:r w:rsidRPr="00C94ABE">
        <w:rPr>
          <w:rFonts w:ascii="Book Antiqua" w:eastAsia="Book Antiqua" w:hAnsi="Book Antiqua" w:cs="Book Antiqua"/>
          <w:color w:val="000000"/>
        </w:rPr>
        <w:t xml:space="preserve">, Hata J, Takada T, Strasberg SM, Asbun HJ, Wakabayashi G, Kozaka K, Endo I, Deziel DJ, Miura F, Okamoto K, Hwang TL, Huang WS, Ker CG, Chen MF, Han HS, Yoon YS, Choi IS, Yoon DS, Noguchi Y, Shikata S, Ukai T, Higuchi R, Gabata T, Mori Y, Iwashita Y, Hibi T, Jagannath P, Jonas E, Liau KH, Dervenis C, Gouma DJ, Cherqui D, Belli G, Garden OJ, Giménez ME, de Santibañes E, Suzuki K, Umezawa A, Supe AN, Pitt HA, Singh H, Chan ACW, Lau WY, Teoh AYB, Honda G, Sugioka A, Asai K, Gomi H, Itoi T, Kiriyama S, Yoshida M, Mayumi T, Matsumura N, Tokumura H, Kitano S, Hirata K, Inui K, Sumiyama Y, Yamamoto M. Tokyo Guidelines 2018: diagnostic criteria and severity grading of acute cholecystitis (with videos). </w:t>
      </w:r>
      <w:r w:rsidRPr="00C94ABE">
        <w:rPr>
          <w:rFonts w:ascii="Book Antiqua" w:eastAsia="Book Antiqua" w:hAnsi="Book Antiqua" w:cs="Book Antiqua"/>
          <w:i/>
          <w:iCs/>
          <w:color w:val="000000"/>
        </w:rPr>
        <w:t>J Hepatobiliary Pancreat Sci</w:t>
      </w:r>
      <w:r w:rsidRPr="00C94ABE">
        <w:rPr>
          <w:rFonts w:ascii="Book Antiqua" w:eastAsia="Book Antiqua" w:hAnsi="Book Antiqua" w:cs="Book Antiqua"/>
          <w:color w:val="000000"/>
        </w:rPr>
        <w:t xml:space="preserve"> 2018; </w:t>
      </w:r>
      <w:r w:rsidRPr="00C94ABE">
        <w:rPr>
          <w:rFonts w:ascii="Book Antiqua" w:eastAsia="Book Antiqua" w:hAnsi="Book Antiqua" w:cs="Book Antiqua"/>
          <w:b/>
          <w:bCs/>
          <w:color w:val="000000"/>
        </w:rPr>
        <w:t>25</w:t>
      </w:r>
      <w:r w:rsidRPr="00C94ABE">
        <w:rPr>
          <w:rFonts w:ascii="Book Antiqua" w:eastAsia="Book Antiqua" w:hAnsi="Book Antiqua" w:cs="Book Antiqua"/>
          <w:color w:val="000000"/>
        </w:rPr>
        <w:t>: 41-54 [PMID: 29032636 DOI: 10.1002/jhbp.515]</w:t>
      </w:r>
    </w:p>
    <w:p w14:paraId="071421FB"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5 </w:t>
      </w:r>
      <w:r w:rsidRPr="00C94ABE">
        <w:rPr>
          <w:rFonts w:ascii="Book Antiqua" w:eastAsia="Book Antiqua" w:hAnsi="Book Antiqua" w:cs="Book Antiqua"/>
          <w:b/>
          <w:bCs/>
          <w:color w:val="000000"/>
        </w:rPr>
        <w:t>Okamoto K</w:t>
      </w:r>
      <w:r w:rsidRPr="00C94ABE">
        <w:rPr>
          <w:rFonts w:ascii="Book Antiqua" w:eastAsia="Book Antiqua" w:hAnsi="Book Antiqua" w:cs="Book Antiqua"/>
          <w:color w:val="000000"/>
        </w:rPr>
        <w:t xml:space="preserve">, Suzuki K, Takada T, Strasberg SM, Asbun HJ, Endo I, Iwashita Y, Hibi T, Pitt HA, Umezawa A, Asai K, Han HS, Hwang TL, Mori Y, Yoon YS, Huang WS, Belli G, Dervenis C, Yokoe M, Kiriyama S, Itoi T, Jagannath P, Garden OJ, Miura F, Nakamura M, Horiguchi A, Wakabayashi G, Cherqui D, de Santibañes E, Shikata S, Noguchi Y, Ukai T, Higuchi R, Wada K, Honda G, Supe AN, Yoshida M, Mayumi T, Gouma DJ, Deziel DJ, Liau KH, Chen MF, Shibao K, Liu KH, Su CH, Chan ACW, Yoon DS, Choi IS, Jonas E, Chen XP, Fan ST, Ker CG, Giménez ME, Kitano S, Inomata M, Hirata K, Inui K, Sumiyama Y, Yamamoto M. Tokyo Guidelines 2018: flowchart for the management of acute cholecystitis. </w:t>
      </w:r>
      <w:r w:rsidRPr="00C94ABE">
        <w:rPr>
          <w:rFonts w:ascii="Book Antiqua" w:eastAsia="Book Antiqua" w:hAnsi="Book Antiqua" w:cs="Book Antiqua"/>
          <w:i/>
          <w:iCs/>
          <w:color w:val="000000"/>
        </w:rPr>
        <w:t>J Hepatobiliary Pancreat Sci</w:t>
      </w:r>
      <w:r w:rsidRPr="00C94ABE">
        <w:rPr>
          <w:rFonts w:ascii="Book Antiqua" w:eastAsia="Book Antiqua" w:hAnsi="Book Antiqua" w:cs="Book Antiqua"/>
          <w:color w:val="000000"/>
        </w:rPr>
        <w:t xml:space="preserve"> 2018; </w:t>
      </w:r>
      <w:r w:rsidRPr="00C94ABE">
        <w:rPr>
          <w:rFonts w:ascii="Book Antiqua" w:eastAsia="Book Antiqua" w:hAnsi="Book Antiqua" w:cs="Book Antiqua"/>
          <w:b/>
          <w:bCs/>
          <w:color w:val="000000"/>
        </w:rPr>
        <w:t>25</w:t>
      </w:r>
      <w:r w:rsidRPr="00C94ABE">
        <w:rPr>
          <w:rFonts w:ascii="Book Antiqua" w:eastAsia="Book Antiqua" w:hAnsi="Book Antiqua" w:cs="Book Antiqua"/>
          <w:color w:val="000000"/>
        </w:rPr>
        <w:t>: 55-72 [PMID: 29045062 DOI: 10.1002/jhbp.516]</w:t>
      </w:r>
    </w:p>
    <w:p w14:paraId="2A6850CF"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6 </w:t>
      </w:r>
      <w:r w:rsidRPr="00C94ABE">
        <w:rPr>
          <w:rFonts w:ascii="Book Antiqua" w:eastAsia="Book Antiqua" w:hAnsi="Book Antiqua" w:cs="Book Antiqua"/>
          <w:b/>
          <w:bCs/>
          <w:color w:val="000000"/>
        </w:rPr>
        <w:t>Wakabayashi G</w:t>
      </w:r>
      <w:r w:rsidRPr="00C94ABE">
        <w:rPr>
          <w:rFonts w:ascii="Book Antiqua" w:eastAsia="Book Antiqua" w:hAnsi="Book Antiqua" w:cs="Book Antiqua"/>
          <w:color w:val="000000"/>
        </w:rPr>
        <w:t xml:space="preserve">, Iwashita Y, Hibi T, Takada T, Strasberg SM, Asbun HJ, Endo I, Umezawa A, Asai K, Suzuki K, Mori Y, Okamoto K, Pitt HA, Han HS, Hwang TL, Yoon YS, Yoon DS, Choi IS, Huang WS, Giménez ME, Garden OJ, Gouma DJ, Belli G, Dervenis C, Jagannath P, Chan ACW, Lau WY, Liu KH, Su CH, Misawa T, Nakamura M, Horiguchi A, Tagaya N, Fujioka S, Higuchi R, Shikata S, Noguchi Y, Ukai T, Yokoe M, Cherqui D, Honda G, Sugioka A, de Santibañes E, Supe AN, Tokumura H, Kimura T, Yoshida M, Mayumi T, Kitano S, Inomata M, Hirata K, Sumiyama Y, Inui K, Yamamoto M. Tokyo Guidelines 2018: surgical management of acute cholecystitis: safe steps in </w:t>
      </w:r>
      <w:r w:rsidRPr="00C94ABE">
        <w:rPr>
          <w:rFonts w:ascii="Book Antiqua" w:eastAsia="Book Antiqua" w:hAnsi="Book Antiqua" w:cs="Book Antiqua"/>
          <w:color w:val="000000"/>
        </w:rPr>
        <w:lastRenderedPageBreak/>
        <w:t xml:space="preserve">laparoscopic cholecystectomy for acute cholecystitis (with videos). </w:t>
      </w:r>
      <w:r w:rsidRPr="00C94ABE">
        <w:rPr>
          <w:rFonts w:ascii="Book Antiqua" w:eastAsia="Book Antiqua" w:hAnsi="Book Antiqua" w:cs="Book Antiqua"/>
          <w:i/>
          <w:iCs/>
          <w:color w:val="000000"/>
        </w:rPr>
        <w:t>J Hepatobiliary Pancreat Sci</w:t>
      </w:r>
      <w:r w:rsidRPr="00C94ABE">
        <w:rPr>
          <w:rFonts w:ascii="Book Antiqua" w:eastAsia="Book Antiqua" w:hAnsi="Book Antiqua" w:cs="Book Antiqua"/>
          <w:color w:val="000000"/>
        </w:rPr>
        <w:t xml:space="preserve"> 2018; </w:t>
      </w:r>
      <w:r w:rsidRPr="00C94ABE">
        <w:rPr>
          <w:rFonts w:ascii="Book Antiqua" w:eastAsia="Book Antiqua" w:hAnsi="Book Antiqua" w:cs="Book Antiqua"/>
          <w:b/>
          <w:bCs/>
          <w:color w:val="000000"/>
        </w:rPr>
        <w:t>25</w:t>
      </w:r>
      <w:r w:rsidRPr="00C94ABE">
        <w:rPr>
          <w:rFonts w:ascii="Book Antiqua" w:eastAsia="Book Antiqua" w:hAnsi="Book Antiqua" w:cs="Book Antiqua"/>
          <w:color w:val="000000"/>
        </w:rPr>
        <w:t>: 73-86 [PMID: 29095575 DOI: 10.1002/jhbp.517]</w:t>
      </w:r>
    </w:p>
    <w:p w14:paraId="7EF0D8A2"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7 </w:t>
      </w:r>
      <w:r w:rsidRPr="00C94ABE">
        <w:rPr>
          <w:rFonts w:ascii="Book Antiqua" w:eastAsia="Book Antiqua" w:hAnsi="Book Antiqua" w:cs="Book Antiqua"/>
          <w:b/>
          <w:bCs/>
          <w:color w:val="000000"/>
        </w:rPr>
        <w:t>Kiviluoto T</w:t>
      </w:r>
      <w:r w:rsidRPr="00C94ABE">
        <w:rPr>
          <w:rFonts w:ascii="Book Antiqua" w:eastAsia="Book Antiqua" w:hAnsi="Book Antiqua" w:cs="Book Antiqua"/>
          <w:color w:val="000000"/>
        </w:rPr>
        <w:t xml:space="preserve">, Sirén J, Luukkonen P, Kivilaakso E. Randomised trial of laparoscopic </w:t>
      </w:r>
      <w:r w:rsidRPr="00C94ABE">
        <w:rPr>
          <w:rFonts w:ascii="Book Antiqua" w:eastAsia="Book Antiqua" w:hAnsi="Book Antiqua" w:cs="Book Antiqua"/>
          <w:i/>
          <w:iCs/>
          <w:color w:val="000000"/>
        </w:rPr>
        <w:t>vs</w:t>
      </w:r>
      <w:r w:rsidRPr="00C94ABE">
        <w:rPr>
          <w:rFonts w:ascii="Book Antiqua" w:eastAsia="Book Antiqua" w:hAnsi="Book Antiqua" w:cs="Book Antiqua"/>
          <w:color w:val="000000"/>
        </w:rPr>
        <w:t xml:space="preserve"> open cholecystectomy for acute and gangrenous cholecystitis. </w:t>
      </w:r>
      <w:r w:rsidRPr="00C94ABE">
        <w:rPr>
          <w:rFonts w:ascii="Book Antiqua" w:eastAsia="Book Antiqua" w:hAnsi="Book Antiqua" w:cs="Book Antiqua"/>
          <w:i/>
          <w:iCs/>
          <w:color w:val="000000"/>
        </w:rPr>
        <w:t>Lancet</w:t>
      </w:r>
      <w:r w:rsidRPr="00C94ABE">
        <w:rPr>
          <w:rFonts w:ascii="Book Antiqua" w:eastAsia="Book Antiqua" w:hAnsi="Book Antiqua" w:cs="Book Antiqua"/>
          <w:color w:val="000000"/>
        </w:rPr>
        <w:t xml:space="preserve"> 1998; </w:t>
      </w:r>
      <w:r w:rsidRPr="00C94ABE">
        <w:rPr>
          <w:rFonts w:ascii="Book Antiqua" w:eastAsia="Book Antiqua" w:hAnsi="Book Antiqua" w:cs="Book Antiqua"/>
          <w:b/>
          <w:bCs/>
          <w:color w:val="000000"/>
        </w:rPr>
        <w:t>351</w:t>
      </w:r>
      <w:r w:rsidRPr="00C94ABE">
        <w:rPr>
          <w:rFonts w:ascii="Book Antiqua" w:eastAsia="Book Antiqua" w:hAnsi="Book Antiqua" w:cs="Book Antiqua"/>
          <w:color w:val="000000"/>
        </w:rPr>
        <w:t>: 321-325 [PMID: 9652612 DOI: 10.1016/s0140-6736(97)08447-x]</w:t>
      </w:r>
    </w:p>
    <w:p w14:paraId="78B3AAF8"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8 </w:t>
      </w:r>
      <w:r w:rsidRPr="00C94ABE">
        <w:rPr>
          <w:rFonts w:ascii="Book Antiqua" w:eastAsia="Book Antiqua" w:hAnsi="Book Antiqua" w:cs="Book Antiqua"/>
          <w:b/>
          <w:bCs/>
          <w:color w:val="000000"/>
        </w:rPr>
        <w:t>Berggren U</w:t>
      </w:r>
      <w:r w:rsidRPr="00C94ABE">
        <w:rPr>
          <w:rFonts w:ascii="Book Antiqua" w:eastAsia="Book Antiqua" w:hAnsi="Book Antiqua" w:cs="Book Antiqua"/>
          <w:color w:val="000000"/>
        </w:rPr>
        <w:t xml:space="preserve">, Gordh T, Grama D, Haglund U, Rastad J, Arvidsson D. Laparoscopic </w:t>
      </w:r>
      <w:r w:rsidRPr="00C94ABE">
        <w:rPr>
          <w:rFonts w:ascii="Book Antiqua" w:eastAsia="Book Antiqua" w:hAnsi="Book Antiqua" w:cs="Book Antiqua"/>
          <w:i/>
          <w:iCs/>
          <w:color w:val="000000"/>
        </w:rPr>
        <w:t>vs</w:t>
      </w:r>
      <w:r w:rsidRPr="00C94ABE">
        <w:rPr>
          <w:rFonts w:ascii="Book Antiqua" w:eastAsia="Book Antiqua" w:hAnsi="Book Antiqua" w:cs="Book Antiqua"/>
          <w:color w:val="000000"/>
        </w:rPr>
        <w:t xml:space="preserve"> open cholecystectomy: hospitalization, sick leave, analgesia and trauma responses. </w:t>
      </w:r>
      <w:r w:rsidRPr="00C94ABE">
        <w:rPr>
          <w:rFonts w:ascii="Book Antiqua" w:eastAsia="Book Antiqua" w:hAnsi="Book Antiqua" w:cs="Book Antiqua"/>
          <w:i/>
          <w:iCs/>
          <w:color w:val="000000"/>
        </w:rPr>
        <w:t>Br J Surg</w:t>
      </w:r>
      <w:r w:rsidRPr="00C94ABE">
        <w:rPr>
          <w:rFonts w:ascii="Book Antiqua" w:eastAsia="Book Antiqua" w:hAnsi="Book Antiqua" w:cs="Book Antiqua"/>
          <w:color w:val="000000"/>
        </w:rPr>
        <w:t xml:space="preserve"> 1994; </w:t>
      </w:r>
      <w:r w:rsidRPr="00C94ABE">
        <w:rPr>
          <w:rFonts w:ascii="Book Antiqua" w:eastAsia="Book Antiqua" w:hAnsi="Book Antiqua" w:cs="Book Antiqua"/>
          <w:b/>
          <w:bCs/>
          <w:color w:val="000000"/>
        </w:rPr>
        <w:t>81</w:t>
      </w:r>
      <w:r w:rsidRPr="00C94ABE">
        <w:rPr>
          <w:rFonts w:ascii="Book Antiqua" w:eastAsia="Book Antiqua" w:hAnsi="Book Antiqua" w:cs="Book Antiqua"/>
          <w:color w:val="000000"/>
        </w:rPr>
        <w:t>: 1362-1365 [PMID: 7953415 DOI: 10.1002/bjs.1800810936]</w:t>
      </w:r>
    </w:p>
    <w:p w14:paraId="1FB2F07F"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9 </w:t>
      </w:r>
      <w:r w:rsidRPr="00C94ABE">
        <w:rPr>
          <w:rFonts w:ascii="Book Antiqua" w:eastAsia="Book Antiqua" w:hAnsi="Book Antiqua" w:cs="Book Antiqua"/>
          <w:b/>
          <w:bCs/>
          <w:color w:val="000000"/>
        </w:rPr>
        <w:t>Zacks SL</w:t>
      </w:r>
      <w:r w:rsidRPr="00C94ABE">
        <w:rPr>
          <w:rFonts w:ascii="Book Antiqua" w:eastAsia="Book Antiqua" w:hAnsi="Book Antiqua" w:cs="Book Antiqua"/>
          <w:color w:val="000000"/>
        </w:rPr>
        <w:t xml:space="preserve">, Sandler RS, Rutledge R, Brown RS Jr. A population-based cohort study comparing laparoscopic cholecystectomy and open cholecystectomy. </w:t>
      </w:r>
      <w:r w:rsidRPr="00C94ABE">
        <w:rPr>
          <w:rFonts w:ascii="Book Antiqua" w:eastAsia="Book Antiqua" w:hAnsi="Book Antiqua" w:cs="Book Antiqua"/>
          <w:i/>
          <w:iCs/>
          <w:color w:val="000000"/>
        </w:rPr>
        <w:t>Am J Gastroenterol</w:t>
      </w:r>
      <w:r w:rsidRPr="00C94ABE">
        <w:rPr>
          <w:rFonts w:ascii="Book Antiqua" w:eastAsia="Book Antiqua" w:hAnsi="Book Antiqua" w:cs="Book Antiqua"/>
          <w:color w:val="000000"/>
        </w:rPr>
        <w:t xml:space="preserve"> 2002; </w:t>
      </w:r>
      <w:r w:rsidRPr="00C94ABE">
        <w:rPr>
          <w:rFonts w:ascii="Book Antiqua" w:eastAsia="Book Antiqua" w:hAnsi="Book Antiqua" w:cs="Book Antiqua"/>
          <w:b/>
          <w:bCs/>
          <w:color w:val="000000"/>
        </w:rPr>
        <w:t>97</w:t>
      </w:r>
      <w:r w:rsidRPr="00C94ABE">
        <w:rPr>
          <w:rFonts w:ascii="Book Antiqua" w:eastAsia="Book Antiqua" w:hAnsi="Book Antiqua" w:cs="Book Antiqua"/>
          <w:color w:val="000000"/>
        </w:rPr>
        <w:t>: 334-340 [PMID: 11866270 DOI: 10.1111/j.1572-0241.2002.05466.x]</w:t>
      </w:r>
    </w:p>
    <w:p w14:paraId="2EC0EA1E"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10 </w:t>
      </w:r>
      <w:r w:rsidRPr="00C94ABE">
        <w:rPr>
          <w:rFonts w:ascii="Book Antiqua" w:eastAsia="Book Antiqua" w:hAnsi="Book Antiqua" w:cs="Book Antiqua"/>
          <w:b/>
          <w:bCs/>
          <w:color w:val="000000"/>
        </w:rPr>
        <w:t>Flowers JL</w:t>
      </w:r>
      <w:r w:rsidRPr="00C94ABE">
        <w:rPr>
          <w:rFonts w:ascii="Book Antiqua" w:eastAsia="Book Antiqua" w:hAnsi="Book Antiqua" w:cs="Book Antiqua"/>
          <w:color w:val="000000"/>
        </w:rPr>
        <w:t xml:space="preserve">, Bailey RW, Scovill WA, Zucker KA. The Baltimore experience with laparoscopic management of acute cholecystitis. </w:t>
      </w:r>
      <w:r w:rsidRPr="00C94ABE">
        <w:rPr>
          <w:rFonts w:ascii="Book Antiqua" w:eastAsia="Book Antiqua" w:hAnsi="Book Antiqua" w:cs="Book Antiqua"/>
          <w:i/>
          <w:iCs/>
          <w:color w:val="000000"/>
        </w:rPr>
        <w:t>Am J Surg</w:t>
      </w:r>
      <w:r w:rsidRPr="00C94ABE">
        <w:rPr>
          <w:rFonts w:ascii="Book Antiqua" w:eastAsia="Book Antiqua" w:hAnsi="Book Antiqua" w:cs="Book Antiqua"/>
          <w:color w:val="000000"/>
        </w:rPr>
        <w:t xml:space="preserve"> 1991; </w:t>
      </w:r>
      <w:r w:rsidRPr="00C94ABE">
        <w:rPr>
          <w:rFonts w:ascii="Book Antiqua" w:eastAsia="Book Antiqua" w:hAnsi="Book Antiqua" w:cs="Book Antiqua"/>
          <w:b/>
          <w:bCs/>
          <w:color w:val="000000"/>
        </w:rPr>
        <w:t>161</w:t>
      </w:r>
      <w:r w:rsidRPr="00C94ABE">
        <w:rPr>
          <w:rFonts w:ascii="Book Antiqua" w:eastAsia="Book Antiqua" w:hAnsi="Book Antiqua" w:cs="Book Antiqua"/>
          <w:color w:val="000000"/>
        </w:rPr>
        <w:t>: 388-392 [PMID: 1825764 DOI: 10.1016/0002-9610(91)90604-c]</w:t>
      </w:r>
    </w:p>
    <w:p w14:paraId="39E23A4B"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11 </w:t>
      </w:r>
      <w:r w:rsidRPr="00C94ABE">
        <w:rPr>
          <w:rFonts w:ascii="Book Antiqua" w:eastAsia="Book Antiqua" w:hAnsi="Book Antiqua" w:cs="Book Antiqua"/>
          <w:b/>
          <w:bCs/>
          <w:color w:val="000000"/>
        </w:rPr>
        <w:t>Johansson M</w:t>
      </w:r>
      <w:r w:rsidRPr="00C94ABE">
        <w:rPr>
          <w:rFonts w:ascii="Book Antiqua" w:eastAsia="Book Antiqua" w:hAnsi="Book Antiqua" w:cs="Book Antiqua"/>
          <w:color w:val="000000"/>
        </w:rPr>
        <w:t xml:space="preserve">, Thune A, Nelvin L, Stiernstam M, Westman B, Lundell L. Randomized clinical trial of open </w:t>
      </w:r>
      <w:r w:rsidRPr="00C94ABE">
        <w:rPr>
          <w:rFonts w:ascii="Book Antiqua" w:eastAsia="Book Antiqua" w:hAnsi="Book Antiqua" w:cs="Book Antiqua"/>
          <w:i/>
          <w:iCs/>
          <w:color w:val="000000"/>
        </w:rPr>
        <w:t>vs</w:t>
      </w:r>
      <w:r w:rsidRPr="00C94ABE">
        <w:rPr>
          <w:rFonts w:ascii="Book Antiqua" w:eastAsia="Book Antiqua" w:hAnsi="Book Antiqua" w:cs="Book Antiqua"/>
          <w:color w:val="000000"/>
        </w:rPr>
        <w:t xml:space="preserve"> laparoscopic cholecystectomy in the treatment of acute cholecystitis. </w:t>
      </w:r>
      <w:r w:rsidRPr="00C94ABE">
        <w:rPr>
          <w:rFonts w:ascii="Book Antiqua" w:eastAsia="Book Antiqua" w:hAnsi="Book Antiqua" w:cs="Book Antiqua"/>
          <w:i/>
          <w:iCs/>
          <w:color w:val="000000"/>
        </w:rPr>
        <w:t>Br J Surg</w:t>
      </w:r>
      <w:r w:rsidRPr="00C94ABE">
        <w:rPr>
          <w:rFonts w:ascii="Book Antiqua" w:eastAsia="Book Antiqua" w:hAnsi="Book Antiqua" w:cs="Book Antiqua"/>
          <w:color w:val="000000"/>
        </w:rPr>
        <w:t xml:space="preserve"> 2005; </w:t>
      </w:r>
      <w:r w:rsidRPr="00C94ABE">
        <w:rPr>
          <w:rFonts w:ascii="Book Antiqua" w:eastAsia="Book Antiqua" w:hAnsi="Book Antiqua" w:cs="Book Antiqua"/>
          <w:b/>
          <w:bCs/>
          <w:color w:val="000000"/>
        </w:rPr>
        <w:t>92</w:t>
      </w:r>
      <w:r w:rsidRPr="00C94ABE">
        <w:rPr>
          <w:rFonts w:ascii="Book Antiqua" w:eastAsia="Book Antiqua" w:hAnsi="Book Antiqua" w:cs="Book Antiqua"/>
          <w:color w:val="000000"/>
        </w:rPr>
        <w:t>: 44-49 [PMID: 15584058 DOI: 10.1002/bjs.4836]</w:t>
      </w:r>
    </w:p>
    <w:p w14:paraId="36E32E5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12 </w:t>
      </w:r>
      <w:r w:rsidRPr="00C94ABE">
        <w:rPr>
          <w:rFonts w:ascii="Book Antiqua" w:eastAsia="Book Antiqua" w:hAnsi="Book Antiqua" w:cs="Book Antiqua"/>
          <w:b/>
          <w:bCs/>
          <w:color w:val="000000"/>
        </w:rPr>
        <w:t>Purkayastha S</w:t>
      </w:r>
      <w:r w:rsidRPr="00C94ABE">
        <w:rPr>
          <w:rFonts w:ascii="Book Antiqua" w:eastAsia="Book Antiqua" w:hAnsi="Book Antiqua" w:cs="Book Antiqua"/>
          <w:color w:val="000000"/>
        </w:rPr>
        <w:t xml:space="preserve">, Tilney HS, Georgiou P, Athanasiou T, Tekkis PP, Darzi AW. Laparoscopic cholecystectomy </w:t>
      </w:r>
      <w:r w:rsidRPr="00C94ABE">
        <w:rPr>
          <w:rFonts w:ascii="Book Antiqua" w:eastAsia="Book Antiqua" w:hAnsi="Book Antiqua" w:cs="Book Antiqua"/>
          <w:i/>
          <w:iCs/>
          <w:color w:val="000000"/>
        </w:rPr>
        <w:t>vs</w:t>
      </w:r>
      <w:r w:rsidRPr="00C94ABE">
        <w:rPr>
          <w:rFonts w:ascii="Book Antiqua" w:eastAsia="Book Antiqua" w:hAnsi="Book Antiqua" w:cs="Book Antiqua"/>
          <w:color w:val="000000"/>
        </w:rPr>
        <w:t xml:space="preserve"> mini-laparotomy cholecystectomy: a meta-analysis of randomised control trials. </w:t>
      </w:r>
      <w:r w:rsidRPr="00C94ABE">
        <w:rPr>
          <w:rFonts w:ascii="Book Antiqua" w:eastAsia="Book Antiqua" w:hAnsi="Book Antiqua" w:cs="Book Antiqua"/>
          <w:i/>
          <w:iCs/>
          <w:color w:val="000000"/>
        </w:rPr>
        <w:t>Surg Endosc</w:t>
      </w:r>
      <w:r w:rsidRPr="00C94ABE">
        <w:rPr>
          <w:rFonts w:ascii="Book Antiqua" w:eastAsia="Book Antiqua" w:hAnsi="Book Antiqua" w:cs="Book Antiqua"/>
          <w:color w:val="000000"/>
        </w:rPr>
        <w:t xml:space="preserve"> 2007; </w:t>
      </w:r>
      <w:r w:rsidRPr="00C94ABE">
        <w:rPr>
          <w:rFonts w:ascii="Book Antiqua" w:eastAsia="Book Antiqua" w:hAnsi="Book Antiqua" w:cs="Book Antiqua"/>
          <w:b/>
          <w:bCs/>
          <w:color w:val="000000"/>
        </w:rPr>
        <w:t>21</w:t>
      </w:r>
      <w:r w:rsidRPr="00C94ABE">
        <w:rPr>
          <w:rFonts w:ascii="Book Antiqua" w:eastAsia="Book Antiqua" w:hAnsi="Book Antiqua" w:cs="Book Antiqua"/>
          <w:color w:val="000000"/>
        </w:rPr>
        <w:t>: 1294-1300 [PMID: 17516122 DOI: 10.1007/s00464-007-9210-3]</w:t>
      </w:r>
    </w:p>
    <w:p w14:paraId="4475399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13 </w:t>
      </w:r>
      <w:r w:rsidRPr="00C94ABE">
        <w:rPr>
          <w:rFonts w:ascii="Book Antiqua" w:eastAsia="Book Antiqua" w:hAnsi="Book Antiqua" w:cs="Book Antiqua"/>
          <w:b/>
          <w:bCs/>
          <w:color w:val="000000"/>
        </w:rPr>
        <w:t>Zha Y</w:t>
      </w:r>
      <w:r w:rsidRPr="00C94ABE">
        <w:rPr>
          <w:rFonts w:ascii="Book Antiqua" w:eastAsia="Book Antiqua" w:hAnsi="Book Antiqua" w:cs="Book Antiqua"/>
          <w:color w:val="000000"/>
        </w:rPr>
        <w:t xml:space="preserve">, Chen XR, Luo D, Jin Y. The prevention of major bile duct injures in laparoscopic cholecystectomy: the experience with 13,000 patients in a single center. </w:t>
      </w:r>
      <w:r w:rsidRPr="00C94ABE">
        <w:rPr>
          <w:rFonts w:ascii="Book Antiqua" w:eastAsia="Book Antiqua" w:hAnsi="Book Antiqua" w:cs="Book Antiqua"/>
          <w:i/>
          <w:iCs/>
          <w:color w:val="000000"/>
        </w:rPr>
        <w:t>Surg Laparosc Endosc Percutan Tech</w:t>
      </w:r>
      <w:r w:rsidRPr="00C94ABE">
        <w:rPr>
          <w:rFonts w:ascii="Book Antiqua" w:eastAsia="Book Antiqua" w:hAnsi="Book Antiqua" w:cs="Book Antiqua"/>
          <w:color w:val="000000"/>
        </w:rPr>
        <w:t xml:space="preserve"> 2010; </w:t>
      </w:r>
      <w:r w:rsidRPr="00C94ABE">
        <w:rPr>
          <w:rFonts w:ascii="Book Antiqua" w:eastAsia="Book Antiqua" w:hAnsi="Book Antiqua" w:cs="Book Antiqua"/>
          <w:b/>
          <w:bCs/>
          <w:color w:val="000000"/>
        </w:rPr>
        <w:t>20</w:t>
      </w:r>
      <w:r w:rsidRPr="00C94ABE">
        <w:rPr>
          <w:rFonts w:ascii="Book Antiqua" w:eastAsia="Book Antiqua" w:hAnsi="Book Antiqua" w:cs="Book Antiqua"/>
          <w:color w:val="000000"/>
        </w:rPr>
        <w:t>: 378-383 [PMID: 21150413 DOI: 10.1097/SLE.0b013e3182008efb]</w:t>
      </w:r>
    </w:p>
    <w:p w14:paraId="6030017E"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14 </w:t>
      </w:r>
      <w:r w:rsidRPr="00C94ABE">
        <w:rPr>
          <w:rFonts w:ascii="Book Antiqua" w:eastAsia="Book Antiqua" w:hAnsi="Book Antiqua" w:cs="Book Antiqua"/>
          <w:b/>
          <w:bCs/>
          <w:color w:val="000000"/>
        </w:rPr>
        <w:t>Strasberg SM</w:t>
      </w:r>
      <w:r w:rsidRPr="00C94ABE">
        <w:rPr>
          <w:rFonts w:ascii="Book Antiqua" w:eastAsia="Book Antiqua" w:hAnsi="Book Antiqua" w:cs="Book Antiqua"/>
          <w:color w:val="000000"/>
        </w:rPr>
        <w:t xml:space="preserve">, Brunt LM. Rationale and use of the critical view of safety in laparoscopic cholecystectomy. </w:t>
      </w:r>
      <w:r w:rsidRPr="00C94ABE">
        <w:rPr>
          <w:rFonts w:ascii="Book Antiqua" w:eastAsia="Book Antiqua" w:hAnsi="Book Antiqua" w:cs="Book Antiqua"/>
          <w:i/>
          <w:iCs/>
          <w:color w:val="000000"/>
        </w:rPr>
        <w:t>J Am Coll Surg</w:t>
      </w:r>
      <w:r w:rsidRPr="00C94ABE">
        <w:rPr>
          <w:rFonts w:ascii="Book Antiqua" w:eastAsia="Book Antiqua" w:hAnsi="Book Antiqua" w:cs="Book Antiqua"/>
          <w:color w:val="000000"/>
        </w:rPr>
        <w:t xml:space="preserve"> 2010; </w:t>
      </w:r>
      <w:r w:rsidRPr="00C94ABE">
        <w:rPr>
          <w:rFonts w:ascii="Book Antiqua" w:eastAsia="Book Antiqua" w:hAnsi="Book Antiqua" w:cs="Book Antiqua"/>
          <w:b/>
          <w:bCs/>
          <w:color w:val="000000"/>
        </w:rPr>
        <w:t>211</w:t>
      </w:r>
      <w:r w:rsidRPr="00C94ABE">
        <w:rPr>
          <w:rFonts w:ascii="Book Antiqua" w:eastAsia="Book Antiqua" w:hAnsi="Book Antiqua" w:cs="Book Antiqua"/>
          <w:color w:val="000000"/>
        </w:rPr>
        <w:t>: 132-138 [PMID: 20610259 DOI: 10.1016/j.jamcollsurg.2010.02.053]</w:t>
      </w:r>
    </w:p>
    <w:p w14:paraId="2CB6273A"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lastRenderedPageBreak/>
        <w:t xml:space="preserve">15 </w:t>
      </w:r>
      <w:r w:rsidRPr="00C94ABE">
        <w:rPr>
          <w:rFonts w:ascii="Book Antiqua" w:eastAsia="Book Antiqua" w:hAnsi="Book Antiqua" w:cs="Book Antiqua"/>
          <w:b/>
          <w:bCs/>
          <w:color w:val="000000"/>
        </w:rPr>
        <w:t>Honda G</w:t>
      </w:r>
      <w:r w:rsidRPr="00C94ABE">
        <w:rPr>
          <w:rFonts w:ascii="Book Antiqua" w:eastAsia="Book Antiqua" w:hAnsi="Book Antiqua" w:cs="Book Antiqua"/>
          <w:color w:val="000000"/>
        </w:rPr>
        <w:t xml:space="preserve">, Hasegawa H, Umezawa A. Universal safe procedure of laparoscopic cholecystectomy standardized by exposing the inner layer of the subserosal layer (with video). </w:t>
      </w:r>
      <w:r w:rsidRPr="00C94ABE">
        <w:rPr>
          <w:rFonts w:ascii="Book Antiqua" w:eastAsia="Book Antiqua" w:hAnsi="Book Antiqua" w:cs="Book Antiqua"/>
          <w:i/>
          <w:iCs/>
          <w:color w:val="000000"/>
        </w:rPr>
        <w:t>J Hepatobiliary Pancreat Sci</w:t>
      </w:r>
      <w:r w:rsidRPr="00C94ABE">
        <w:rPr>
          <w:rFonts w:ascii="Book Antiqua" w:eastAsia="Book Antiqua" w:hAnsi="Book Antiqua" w:cs="Book Antiqua"/>
          <w:color w:val="000000"/>
        </w:rPr>
        <w:t xml:space="preserve"> 2016; </w:t>
      </w:r>
      <w:r w:rsidRPr="00C94ABE">
        <w:rPr>
          <w:rFonts w:ascii="Book Antiqua" w:eastAsia="Book Antiqua" w:hAnsi="Book Antiqua" w:cs="Book Antiqua"/>
          <w:b/>
          <w:bCs/>
          <w:color w:val="000000"/>
        </w:rPr>
        <w:t>23</w:t>
      </w:r>
      <w:r w:rsidRPr="00C94ABE">
        <w:rPr>
          <w:rFonts w:ascii="Book Antiqua" w:eastAsia="Book Antiqua" w:hAnsi="Book Antiqua" w:cs="Book Antiqua"/>
          <w:color w:val="000000"/>
        </w:rPr>
        <w:t>: E14-E19 [PMID: 27515579 DOI: 10.1002/jhbp.382]</w:t>
      </w:r>
    </w:p>
    <w:p w14:paraId="630B977D"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16 </w:t>
      </w:r>
      <w:r w:rsidRPr="00C94ABE">
        <w:rPr>
          <w:rFonts w:ascii="Book Antiqua" w:eastAsia="Book Antiqua" w:hAnsi="Book Antiqua" w:cs="Book Antiqua"/>
          <w:b/>
          <w:bCs/>
          <w:color w:val="000000"/>
        </w:rPr>
        <w:t>Tartaglia N</w:t>
      </w:r>
      <w:r w:rsidRPr="00C94ABE">
        <w:rPr>
          <w:rFonts w:ascii="Book Antiqua" w:eastAsia="Book Antiqua" w:hAnsi="Book Antiqua" w:cs="Book Antiqua"/>
          <w:color w:val="000000"/>
        </w:rPr>
        <w:t xml:space="preserve">, Cianci P, Di Lascia A, Fersini A, Ambrosi A, Neri V. Laparoscopic antegrade cholecystectomy: a standard procedure? </w:t>
      </w:r>
      <w:r w:rsidRPr="00C94ABE">
        <w:rPr>
          <w:rFonts w:ascii="Book Antiqua" w:eastAsia="Book Antiqua" w:hAnsi="Book Antiqua" w:cs="Book Antiqua"/>
          <w:i/>
          <w:iCs/>
          <w:color w:val="000000"/>
        </w:rPr>
        <w:t>Open Med (Wars)</w:t>
      </w:r>
      <w:r w:rsidRPr="00C94ABE">
        <w:rPr>
          <w:rFonts w:ascii="Book Antiqua" w:eastAsia="Book Antiqua" w:hAnsi="Book Antiqua" w:cs="Book Antiqua"/>
          <w:color w:val="000000"/>
        </w:rPr>
        <w:t xml:space="preserve"> 2016; </w:t>
      </w:r>
      <w:r w:rsidRPr="00C94ABE">
        <w:rPr>
          <w:rFonts w:ascii="Book Antiqua" w:eastAsia="Book Antiqua" w:hAnsi="Book Antiqua" w:cs="Book Antiqua"/>
          <w:b/>
          <w:bCs/>
          <w:color w:val="000000"/>
        </w:rPr>
        <w:t>11</w:t>
      </w:r>
      <w:r w:rsidRPr="00C94ABE">
        <w:rPr>
          <w:rFonts w:ascii="Book Antiqua" w:eastAsia="Book Antiqua" w:hAnsi="Book Antiqua" w:cs="Book Antiqua"/>
          <w:color w:val="000000"/>
        </w:rPr>
        <w:t>: 429-432 [PMID: 28352832 DOI: 10.1515/med-2016-0078]</w:t>
      </w:r>
    </w:p>
    <w:p w14:paraId="4EBF71D2"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17 </w:t>
      </w:r>
      <w:r w:rsidRPr="00C94ABE">
        <w:rPr>
          <w:rFonts w:ascii="Book Antiqua" w:eastAsia="Book Antiqua" w:hAnsi="Book Antiqua" w:cs="Book Antiqua"/>
          <w:b/>
          <w:bCs/>
          <w:color w:val="000000"/>
        </w:rPr>
        <w:t>Strasberg SM</w:t>
      </w:r>
      <w:r w:rsidRPr="00C94ABE">
        <w:rPr>
          <w:rFonts w:ascii="Book Antiqua" w:eastAsia="Book Antiqua" w:hAnsi="Book Antiqua" w:cs="Book Antiqua"/>
          <w:color w:val="000000"/>
        </w:rPr>
        <w:t xml:space="preserve">, Pucci MJ, Brunt LM, Deziel DJ. Subtotal Cholecystectomy-"Fenestrating" </w:t>
      </w:r>
      <w:r w:rsidRPr="00C94ABE">
        <w:rPr>
          <w:rFonts w:ascii="Book Antiqua" w:eastAsia="Book Antiqua" w:hAnsi="Book Antiqua" w:cs="Book Antiqua"/>
          <w:i/>
          <w:iCs/>
          <w:color w:val="000000"/>
        </w:rPr>
        <w:t>vs</w:t>
      </w:r>
      <w:r w:rsidRPr="00C94ABE">
        <w:rPr>
          <w:rFonts w:ascii="Book Antiqua" w:eastAsia="Book Antiqua" w:hAnsi="Book Antiqua" w:cs="Book Antiqua"/>
          <w:color w:val="000000"/>
        </w:rPr>
        <w:t xml:space="preserve"> "Reconstituting" Subtypes and the Prevention of Bile Duct Injury: Definition of the Optimal Procedure in Difficult Operative Conditions. </w:t>
      </w:r>
      <w:r w:rsidRPr="00C94ABE">
        <w:rPr>
          <w:rFonts w:ascii="Book Antiqua" w:eastAsia="Book Antiqua" w:hAnsi="Book Antiqua" w:cs="Book Antiqua"/>
          <w:i/>
          <w:iCs/>
          <w:color w:val="000000"/>
        </w:rPr>
        <w:t>J Am Coll Surg</w:t>
      </w:r>
      <w:r w:rsidRPr="00C94ABE">
        <w:rPr>
          <w:rFonts w:ascii="Book Antiqua" w:eastAsia="Book Antiqua" w:hAnsi="Book Antiqua" w:cs="Book Antiqua"/>
          <w:color w:val="000000"/>
        </w:rPr>
        <w:t xml:space="preserve"> 2016; </w:t>
      </w:r>
      <w:r w:rsidRPr="00C94ABE">
        <w:rPr>
          <w:rFonts w:ascii="Book Antiqua" w:eastAsia="Book Antiqua" w:hAnsi="Book Antiqua" w:cs="Book Antiqua"/>
          <w:b/>
          <w:bCs/>
          <w:color w:val="000000"/>
        </w:rPr>
        <w:t>222</w:t>
      </w:r>
      <w:r w:rsidRPr="00C94ABE">
        <w:rPr>
          <w:rFonts w:ascii="Book Antiqua" w:eastAsia="Book Antiqua" w:hAnsi="Book Antiqua" w:cs="Book Antiqua"/>
          <w:color w:val="000000"/>
        </w:rPr>
        <w:t>: 89-96 [PMID: 26521077 DOI: 10.1016/j.jamcollsurg.2015.09.019]</w:t>
      </w:r>
    </w:p>
    <w:p w14:paraId="217E763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18 </w:t>
      </w:r>
      <w:r w:rsidRPr="00C94ABE">
        <w:rPr>
          <w:rFonts w:ascii="Book Antiqua" w:eastAsia="Book Antiqua" w:hAnsi="Book Antiqua" w:cs="Book Antiqua"/>
          <w:b/>
          <w:bCs/>
          <w:color w:val="000000"/>
        </w:rPr>
        <w:t>Launay-Savary MV</w:t>
      </w:r>
      <w:r w:rsidRPr="00C94ABE">
        <w:rPr>
          <w:rFonts w:ascii="Book Antiqua" w:eastAsia="Book Antiqua" w:hAnsi="Book Antiqua" w:cs="Book Antiqua"/>
          <w:color w:val="000000"/>
        </w:rPr>
        <w:t xml:space="preserve">, Rainfray M, Dubuisson V. Emergency gastrointestinal surgery in the elderly. </w:t>
      </w:r>
      <w:r w:rsidRPr="00C94ABE">
        <w:rPr>
          <w:rFonts w:ascii="Book Antiqua" w:eastAsia="Book Antiqua" w:hAnsi="Book Antiqua" w:cs="Book Antiqua"/>
          <w:i/>
          <w:iCs/>
          <w:color w:val="000000"/>
        </w:rPr>
        <w:t>J Visc Surg</w:t>
      </w:r>
      <w:r w:rsidRPr="00C94ABE">
        <w:rPr>
          <w:rFonts w:ascii="Book Antiqua" w:eastAsia="Book Antiqua" w:hAnsi="Book Antiqua" w:cs="Book Antiqua"/>
          <w:color w:val="000000"/>
        </w:rPr>
        <w:t xml:space="preserve"> 2015; </w:t>
      </w:r>
      <w:r w:rsidRPr="00C94ABE">
        <w:rPr>
          <w:rFonts w:ascii="Book Antiqua" w:eastAsia="Book Antiqua" w:hAnsi="Book Antiqua" w:cs="Book Antiqua"/>
          <w:b/>
          <w:bCs/>
          <w:color w:val="000000"/>
        </w:rPr>
        <w:t>152</w:t>
      </w:r>
      <w:r w:rsidRPr="00C94ABE">
        <w:rPr>
          <w:rFonts w:ascii="Book Antiqua" w:eastAsia="Book Antiqua" w:hAnsi="Book Antiqua" w:cs="Book Antiqua"/>
          <w:color w:val="000000"/>
        </w:rPr>
        <w:t>: S73-S79 [PMID: 26522505 DOI: 10.1016/j.jviscsurg.2015.09.016]</w:t>
      </w:r>
    </w:p>
    <w:p w14:paraId="0B899ED5" w14:textId="77777777" w:rsidR="008D3C42" w:rsidRPr="00C94ABE" w:rsidRDefault="008D3C42" w:rsidP="00AD467B">
      <w:pPr>
        <w:adjustRightInd w:val="0"/>
        <w:snapToGrid w:val="0"/>
        <w:spacing w:line="360" w:lineRule="auto"/>
        <w:jc w:val="both"/>
        <w:rPr>
          <w:rFonts w:ascii="Book Antiqua" w:hAnsi="Book Antiqua"/>
        </w:rPr>
        <w:sectPr w:rsidR="008D3C42" w:rsidRPr="00C94ABE">
          <w:pgSz w:w="12240" w:h="15840"/>
          <w:pgMar w:top="1440" w:right="1440" w:bottom="1440" w:left="1440" w:header="720" w:footer="720" w:gutter="0"/>
          <w:cols w:space="720"/>
          <w:docGrid w:linePitch="360"/>
        </w:sectPr>
      </w:pPr>
    </w:p>
    <w:p w14:paraId="399F011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lastRenderedPageBreak/>
        <w:t>Footnotes</w:t>
      </w:r>
    </w:p>
    <w:p w14:paraId="23FA5DB3"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Informed consent statement: </w:t>
      </w:r>
      <w:r w:rsidRPr="00C94ABE">
        <w:rPr>
          <w:rFonts w:ascii="Book Antiqua" w:eastAsia="Book Antiqua" w:hAnsi="Book Antiqua" w:cs="Book Antiqua"/>
          <w:color w:val="000000"/>
        </w:rPr>
        <w:t>All study participants, or their legal guardian, provided informed written consent prior to study enrollment.</w:t>
      </w:r>
    </w:p>
    <w:p w14:paraId="56E95D4A" w14:textId="77777777" w:rsidR="008D3C42" w:rsidRPr="00C94ABE" w:rsidRDefault="008D3C42" w:rsidP="00AD467B">
      <w:pPr>
        <w:adjustRightInd w:val="0"/>
        <w:snapToGrid w:val="0"/>
        <w:spacing w:line="360" w:lineRule="auto"/>
        <w:jc w:val="both"/>
        <w:rPr>
          <w:rFonts w:ascii="Book Antiqua" w:hAnsi="Book Antiqua"/>
        </w:rPr>
      </w:pPr>
    </w:p>
    <w:p w14:paraId="51ACC1BD"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Conflict-of-interest statement: </w:t>
      </w:r>
      <w:r w:rsidRPr="00C94ABE">
        <w:rPr>
          <w:rFonts w:ascii="Book Antiqua" w:eastAsia="Book Antiqua" w:hAnsi="Book Antiqua" w:cs="Book Antiqua"/>
          <w:color w:val="000000"/>
        </w:rPr>
        <w:t>The authors declare that they have no conflict-of-interests.</w:t>
      </w:r>
    </w:p>
    <w:p w14:paraId="6B91520A" w14:textId="77777777" w:rsidR="008D3C42" w:rsidRPr="00C94ABE" w:rsidRDefault="008D3C42" w:rsidP="00AD467B">
      <w:pPr>
        <w:adjustRightInd w:val="0"/>
        <w:snapToGrid w:val="0"/>
        <w:spacing w:line="360" w:lineRule="auto"/>
        <w:jc w:val="both"/>
        <w:rPr>
          <w:rFonts w:ascii="Book Antiqua" w:hAnsi="Book Antiqua"/>
        </w:rPr>
      </w:pPr>
    </w:p>
    <w:p w14:paraId="66CB93A5" w14:textId="77777777" w:rsidR="00AD467B"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 xml:space="preserve">CARE Checklist (2016) statement: </w:t>
      </w:r>
      <w:r w:rsidR="00AD467B" w:rsidRPr="00C94ABE">
        <w:rPr>
          <w:rFonts w:ascii="Book Antiqua" w:eastAsia="Book Antiqua" w:hAnsi="Book Antiqua" w:cs="Book Antiqua"/>
          <w:color w:val="000000"/>
        </w:rPr>
        <w:t>The authors have read the CARE Checklist (2016), and the manuscript was prepared and revised according to the CARE Checklist (2016).</w:t>
      </w:r>
    </w:p>
    <w:p w14:paraId="3B0ED02C" w14:textId="77777777" w:rsidR="00AD467B" w:rsidRPr="00C94ABE" w:rsidRDefault="00AD467B" w:rsidP="00AD467B">
      <w:pPr>
        <w:adjustRightInd w:val="0"/>
        <w:snapToGrid w:val="0"/>
        <w:spacing w:line="360" w:lineRule="auto"/>
        <w:jc w:val="both"/>
        <w:rPr>
          <w:rFonts w:ascii="Book Antiqua" w:eastAsia="Book Antiqua" w:hAnsi="Book Antiqua" w:cs="Book Antiqua"/>
          <w:color w:val="000000"/>
        </w:rPr>
      </w:pPr>
    </w:p>
    <w:p w14:paraId="7DEB6236" w14:textId="2AEC01D3"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Open-Access: </w:t>
      </w:r>
      <w:r w:rsidRPr="00C94AB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23B844" w14:textId="77777777" w:rsidR="008D3C42" w:rsidRPr="00C94ABE" w:rsidRDefault="008D3C42" w:rsidP="00AD467B">
      <w:pPr>
        <w:adjustRightInd w:val="0"/>
        <w:snapToGrid w:val="0"/>
        <w:spacing w:line="360" w:lineRule="auto"/>
        <w:jc w:val="both"/>
        <w:rPr>
          <w:rFonts w:ascii="Book Antiqua" w:hAnsi="Book Antiqua"/>
        </w:rPr>
      </w:pPr>
    </w:p>
    <w:p w14:paraId="5760D9B3" w14:textId="32AF170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Manuscript source: </w:t>
      </w:r>
      <w:r w:rsidRPr="00C94ABE">
        <w:rPr>
          <w:rFonts w:ascii="Book Antiqua" w:eastAsia="Book Antiqua" w:hAnsi="Book Antiqua" w:cs="Book Antiqua"/>
          <w:color w:val="000000"/>
        </w:rPr>
        <w:t xml:space="preserve">Unsolicited </w:t>
      </w:r>
      <w:r w:rsidR="004535F9" w:rsidRPr="00C94ABE">
        <w:rPr>
          <w:rFonts w:ascii="Book Antiqua" w:eastAsia="Book Antiqua" w:hAnsi="Book Antiqua" w:cs="Book Antiqua"/>
          <w:color w:val="000000"/>
        </w:rPr>
        <w:t>m</w:t>
      </w:r>
      <w:r w:rsidRPr="00C94ABE">
        <w:rPr>
          <w:rFonts w:ascii="Book Antiqua" w:eastAsia="Book Antiqua" w:hAnsi="Book Antiqua" w:cs="Book Antiqua"/>
          <w:color w:val="000000"/>
        </w:rPr>
        <w:t>anuscript</w:t>
      </w:r>
    </w:p>
    <w:p w14:paraId="398C8F6E" w14:textId="77777777" w:rsidR="008D3C42" w:rsidRPr="00C94ABE" w:rsidRDefault="008D3C42" w:rsidP="00AD467B">
      <w:pPr>
        <w:adjustRightInd w:val="0"/>
        <w:snapToGrid w:val="0"/>
        <w:spacing w:line="360" w:lineRule="auto"/>
        <w:jc w:val="both"/>
        <w:rPr>
          <w:rFonts w:ascii="Book Antiqua" w:hAnsi="Book Antiqua"/>
        </w:rPr>
      </w:pPr>
    </w:p>
    <w:p w14:paraId="60673BE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Peer-review started: </w:t>
      </w:r>
      <w:r w:rsidRPr="00C94ABE">
        <w:rPr>
          <w:rFonts w:ascii="Book Antiqua" w:eastAsia="Book Antiqua" w:hAnsi="Book Antiqua" w:cs="Book Antiqua"/>
          <w:color w:val="000000"/>
        </w:rPr>
        <w:t>December 31, 2020</w:t>
      </w:r>
    </w:p>
    <w:p w14:paraId="73724863"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First decision: </w:t>
      </w:r>
      <w:r w:rsidRPr="00C94ABE">
        <w:rPr>
          <w:rFonts w:ascii="Book Antiqua" w:eastAsia="Book Antiqua" w:hAnsi="Book Antiqua" w:cs="Book Antiqua"/>
          <w:color w:val="000000"/>
        </w:rPr>
        <w:t>January 27, 2021</w:t>
      </w:r>
    </w:p>
    <w:p w14:paraId="024FE9A4" w14:textId="2041BF61"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Article in press: </w:t>
      </w:r>
      <w:r w:rsidR="00EA41E5" w:rsidRPr="00EA41E5">
        <w:rPr>
          <w:rFonts w:ascii="Book Antiqua" w:eastAsia="Book Antiqua" w:hAnsi="Book Antiqua" w:cs="Book Antiqua"/>
          <w:color w:val="000000"/>
        </w:rPr>
        <w:t>March 17, 2021</w:t>
      </w:r>
    </w:p>
    <w:p w14:paraId="4EC2ECCD" w14:textId="77777777" w:rsidR="008D3C42" w:rsidRPr="00C94ABE" w:rsidRDefault="008D3C42" w:rsidP="00AD467B">
      <w:pPr>
        <w:adjustRightInd w:val="0"/>
        <w:snapToGrid w:val="0"/>
        <w:spacing w:line="360" w:lineRule="auto"/>
        <w:jc w:val="both"/>
        <w:rPr>
          <w:rFonts w:ascii="Book Antiqua" w:hAnsi="Book Antiqua"/>
        </w:rPr>
      </w:pPr>
    </w:p>
    <w:p w14:paraId="27036578"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Specialty type: </w:t>
      </w:r>
      <w:r w:rsidRPr="00C94ABE">
        <w:rPr>
          <w:rFonts w:ascii="Book Antiqua" w:eastAsia="Book Antiqua" w:hAnsi="Book Antiqua" w:cs="Book Antiqua"/>
          <w:color w:val="000000"/>
        </w:rPr>
        <w:t>Surgery</w:t>
      </w:r>
    </w:p>
    <w:p w14:paraId="485873C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Country/Territory of origin: </w:t>
      </w:r>
      <w:r w:rsidRPr="00C94ABE">
        <w:rPr>
          <w:rFonts w:ascii="Book Antiqua" w:eastAsia="Book Antiqua" w:hAnsi="Book Antiqua" w:cs="Book Antiqua"/>
          <w:color w:val="000000"/>
        </w:rPr>
        <w:t>Japan</w:t>
      </w:r>
    </w:p>
    <w:p w14:paraId="045E623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Peer-review report’s scientific quality classification</w:t>
      </w:r>
    </w:p>
    <w:p w14:paraId="33EA0E41"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Grade A (Excellent): 0</w:t>
      </w:r>
    </w:p>
    <w:p w14:paraId="35319148"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Grade B (Very good): B</w:t>
      </w:r>
    </w:p>
    <w:p w14:paraId="499F3D7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lastRenderedPageBreak/>
        <w:t>Grade C (Good): 0</w:t>
      </w:r>
    </w:p>
    <w:p w14:paraId="7D04DA0F"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Grade D (Fair): 0</w:t>
      </w:r>
    </w:p>
    <w:p w14:paraId="3E2E72A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Grade E (Poor): 0</w:t>
      </w:r>
    </w:p>
    <w:p w14:paraId="16F043A9" w14:textId="77777777" w:rsidR="008D3C42" w:rsidRPr="00C94ABE" w:rsidRDefault="008D3C42" w:rsidP="00AD467B">
      <w:pPr>
        <w:adjustRightInd w:val="0"/>
        <w:snapToGrid w:val="0"/>
        <w:spacing w:line="360" w:lineRule="auto"/>
        <w:jc w:val="both"/>
        <w:rPr>
          <w:rFonts w:ascii="Book Antiqua" w:hAnsi="Book Antiqua"/>
        </w:rPr>
      </w:pPr>
    </w:p>
    <w:p w14:paraId="1A607493" w14:textId="5695533A" w:rsidR="008D3C42" w:rsidRPr="00C94ABE" w:rsidRDefault="00C94ABE" w:rsidP="00AD467B">
      <w:pPr>
        <w:adjustRightInd w:val="0"/>
        <w:snapToGrid w:val="0"/>
        <w:spacing w:line="360" w:lineRule="auto"/>
        <w:jc w:val="both"/>
        <w:rPr>
          <w:rFonts w:ascii="Book Antiqua" w:hAnsi="Book Antiqua"/>
        </w:rPr>
        <w:sectPr w:rsidR="008D3C42" w:rsidRPr="00C94ABE">
          <w:pgSz w:w="12240" w:h="15840"/>
          <w:pgMar w:top="1440" w:right="1440" w:bottom="1440" w:left="1440" w:header="720" w:footer="720" w:gutter="0"/>
          <w:cols w:space="720"/>
          <w:docGrid w:linePitch="360"/>
        </w:sectPr>
      </w:pPr>
      <w:r w:rsidRPr="00C94ABE">
        <w:rPr>
          <w:rFonts w:ascii="Book Antiqua" w:eastAsia="Book Antiqua" w:hAnsi="Book Antiqua" w:cs="Book Antiqua"/>
          <w:b/>
          <w:color w:val="000000"/>
        </w:rPr>
        <w:t xml:space="preserve">P-Reviewer: </w:t>
      </w:r>
      <w:r w:rsidRPr="00C94ABE">
        <w:rPr>
          <w:rFonts w:ascii="Book Antiqua" w:eastAsia="Book Antiqua" w:hAnsi="Book Antiqua" w:cs="Book Antiqua"/>
          <w:color w:val="000000"/>
        </w:rPr>
        <w:t>Bao Y</w:t>
      </w:r>
      <w:r w:rsidRPr="00EA41E5">
        <w:rPr>
          <w:rFonts w:ascii="Book Antiqua" w:eastAsia="Book Antiqua" w:hAnsi="Book Antiqua" w:cs="Book Antiqua"/>
          <w:color w:val="000000"/>
        </w:rPr>
        <w:t xml:space="preserve"> </w:t>
      </w:r>
      <w:r w:rsidRPr="00C94ABE">
        <w:rPr>
          <w:rFonts w:ascii="Book Antiqua" w:eastAsia="Book Antiqua" w:hAnsi="Book Antiqua" w:cs="Book Antiqua"/>
          <w:b/>
          <w:color w:val="000000"/>
        </w:rPr>
        <w:t xml:space="preserve">S-Editor: </w:t>
      </w:r>
      <w:r w:rsidR="00AD467B" w:rsidRPr="00C94ABE">
        <w:rPr>
          <w:rFonts w:ascii="Book Antiqua" w:eastAsia="Book Antiqua" w:hAnsi="Book Antiqua" w:cs="Book Antiqua"/>
          <w:color w:val="000000"/>
        </w:rPr>
        <w:t xml:space="preserve">Liu M </w:t>
      </w:r>
      <w:r w:rsidRPr="00C94ABE">
        <w:rPr>
          <w:rFonts w:ascii="Book Antiqua" w:eastAsia="Book Antiqua" w:hAnsi="Book Antiqua" w:cs="Book Antiqua"/>
          <w:b/>
          <w:color w:val="000000"/>
        </w:rPr>
        <w:t xml:space="preserve">L-Editor: </w:t>
      </w:r>
      <w:r w:rsidR="00D40B78" w:rsidRPr="00D40B78">
        <w:rPr>
          <w:rFonts w:ascii="Book Antiqua" w:hAnsi="Book Antiqua" w:cs="Book Antiqua" w:hint="eastAsia"/>
          <w:color w:val="000000"/>
          <w:lang w:eastAsia="zh-CN"/>
        </w:rPr>
        <w:t>A</w:t>
      </w:r>
      <w:r w:rsidRPr="00EA41E5">
        <w:rPr>
          <w:rFonts w:ascii="Book Antiqua" w:eastAsia="Book Antiqua" w:hAnsi="Book Antiqua" w:cs="Book Antiqua"/>
          <w:color w:val="000000"/>
        </w:rPr>
        <w:t xml:space="preserve"> </w:t>
      </w:r>
      <w:r w:rsidRPr="00C94ABE">
        <w:rPr>
          <w:rFonts w:ascii="Book Antiqua" w:eastAsia="Book Antiqua" w:hAnsi="Book Antiqua" w:cs="Book Antiqua"/>
          <w:b/>
          <w:color w:val="000000"/>
        </w:rPr>
        <w:t xml:space="preserve">P-Editor: </w:t>
      </w:r>
      <w:r w:rsidR="00EA41E5" w:rsidRPr="00EA41E5">
        <w:rPr>
          <w:rFonts w:ascii="Book Antiqua" w:eastAsia="Book Antiqua" w:hAnsi="Book Antiqua" w:cs="Book Antiqua"/>
          <w:color w:val="000000"/>
        </w:rPr>
        <w:t>Yuan YY</w:t>
      </w:r>
    </w:p>
    <w:p w14:paraId="0164FE81" w14:textId="77777777" w:rsidR="008D3C42" w:rsidRPr="00C94ABE" w:rsidRDefault="00C94ABE" w:rsidP="00AD467B">
      <w:pPr>
        <w:adjustRightInd w:val="0"/>
        <w:snapToGrid w:val="0"/>
        <w:spacing w:line="360" w:lineRule="auto"/>
        <w:jc w:val="both"/>
        <w:rPr>
          <w:rFonts w:ascii="Book Antiqua" w:eastAsia="Book Antiqua" w:hAnsi="Book Antiqua" w:cs="Book Antiqua"/>
          <w:b/>
          <w:color w:val="000000"/>
        </w:rPr>
      </w:pPr>
      <w:r w:rsidRPr="00C94ABE">
        <w:rPr>
          <w:rFonts w:ascii="Book Antiqua" w:eastAsia="Book Antiqua" w:hAnsi="Book Antiqua" w:cs="Book Antiqua"/>
          <w:b/>
          <w:color w:val="000000"/>
        </w:rPr>
        <w:lastRenderedPageBreak/>
        <w:t>Figure Legends</w:t>
      </w:r>
    </w:p>
    <w:p w14:paraId="1A8438D6"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hAnsi="Book Antiqua"/>
          <w:noProof/>
          <w:lang w:eastAsia="zh-CN"/>
        </w:rPr>
        <w:drawing>
          <wp:inline distT="0" distB="0" distL="0" distR="0" wp14:anchorId="7E2AD054" wp14:editId="4B872C43">
            <wp:extent cx="4570730" cy="19469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79087" cy="1950358"/>
                    </a:xfrm>
                    <a:prstGeom prst="rect">
                      <a:avLst/>
                    </a:prstGeom>
                    <a:noFill/>
                  </pic:spPr>
                </pic:pic>
              </a:graphicData>
            </a:graphic>
          </wp:inline>
        </w:drawing>
      </w:r>
    </w:p>
    <w:p w14:paraId="5D853665" w14:textId="77777777"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themeColor="text1"/>
        </w:rPr>
        <w:t xml:space="preserve">Figure 1 An </w:t>
      </w:r>
      <w:r w:rsidRPr="00C94ABE">
        <w:rPr>
          <w:rFonts w:ascii="Book Antiqua" w:eastAsia="Book Antiqua" w:hAnsi="Book Antiqua" w:cs="Book Antiqua"/>
          <w:b/>
          <w:bCs/>
          <w:color w:val="000000"/>
        </w:rPr>
        <w:t>abdominal contrast-enhanced computed tomography (Case 1).</w:t>
      </w:r>
      <w:r w:rsidRPr="00C94ABE">
        <w:rPr>
          <w:rFonts w:ascii="Book Antiqua" w:hAnsi="Book Antiqua" w:cs="Book Antiqua"/>
          <w:color w:val="000000"/>
          <w:lang w:eastAsia="zh-CN"/>
        </w:rPr>
        <w:t xml:space="preserve"> </w:t>
      </w:r>
      <w:r w:rsidRPr="00C94ABE">
        <w:rPr>
          <w:rFonts w:ascii="Book Antiqua" w:eastAsia="Book Antiqua" w:hAnsi="Book Antiqua" w:cs="Book Antiqua"/>
          <w:color w:val="000000"/>
        </w:rPr>
        <w:t>A: Small calculus in the gallbladder neck (arrow); B: Significant swelling of the gallbladder and asymmetrical wall thickening. The gallbladder wall indicated parts with either poor or no contrast enhancement (arrow), with a partial failure of continuity of the mucosa.</w:t>
      </w:r>
    </w:p>
    <w:p w14:paraId="5A849F1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br w:type="page"/>
      </w:r>
      <w:r w:rsidRPr="00C94ABE">
        <w:rPr>
          <w:rFonts w:ascii="Book Antiqua" w:eastAsia="Book Antiqua" w:hAnsi="Book Antiqua" w:cs="Book Antiqua"/>
          <w:noProof/>
          <w:color w:val="000000"/>
          <w:lang w:eastAsia="zh-CN"/>
        </w:rPr>
        <w:lastRenderedPageBreak/>
        <w:drawing>
          <wp:inline distT="0" distB="0" distL="0" distR="0" wp14:anchorId="1BB9E906" wp14:editId="462D471F">
            <wp:extent cx="5797550" cy="2604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06112" cy="2608024"/>
                    </a:xfrm>
                    <a:prstGeom prst="rect">
                      <a:avLst/>
                    </a:prstGeom>
                    <a:noFill/>
                  </pic:spPr>
                </pic:pic>
              </a:graphicData>
            </a:graphic>
          </wp:inline>
        </w:drawing>
      </w:r>
    </w:p>
    <w:p w14:paraId="5122E01B" w14:textId="77777777" w:rsidR="008D3C42" w:rsidRPr="00C94ABE" w:rsidRDefault="00C94ABE" w:rsidP="00AD467B">
      <w:pPr>
        <w:adjustRightInd w:val="0"/>
        <w:snapToGrid w:val="0"/>
        <w:spacing w:line="360" w:lineRule="auto"/>
        <w:jc w:val="both"/>
        <w:rPr>
          <w:rFonts w:ascii="Book Antiqua" w:eastAsia="Book Antiqua" w:hAnsi="Book Antiqua" w:cs="Book Antiqua"/>
          <w:b/>
          <w:bCs/>
          <w:color w:val="000000"/>
        </w:rPr>
      </w:pPr>
      <w:r w:rsidRPr="00C94ABE">
        <w:rPr>
          <w:rFonts w:ascii="Book Antiqua" w:eastAsia="Book Antiqua" w:hAnsi="Book Antiqua" w:cs="Book Antiqua"/>
          <w:b/>
          <w:bCs/>
          <w:color w:val="000000"/>
        </w:rPr>
        <w:t>Figure 2 An abdominal contrast-enhanced computed tomography (Case 2).</w:t>
      </w:r>
      <w:r w:rsidRPr="00C94ABE">
        <w:rPr>
          <w:rFonts w:ascii="Book Antiqua" w:hAnsi="Book Antiqua" w:cs="Book Antiqua"/>
          <w:b/>
          <w:bCs/>
          <w:color w:val="000000"/>
          <w:lang w:eastAsia="zh-CN"/>
        </w:rPr>
        <w:t xml:space="preserve"> </w:t>
      </w:r>
      <w:r w:rsidRPr="00C94ABE">
        <w:rPr>
          <w:rFonts w:ascii="Book Antiqua" w:eastAsia="Book Antiqua" w:hAnsi="Book Antiqua" w:cs="Book Antiqua"/>
          <w:color w:val="000000"/>
        </w:rPr>
        <w:t>A: Significant swelling of the gallbladder. Ascites around the liver; B: There was asymmetrical gallbladder wall thickening and the continuity of part of the wall was ambiguous (arrow).</w:t>
      </w:r>
    </w:p>
    <w:p w14:paraId="41FC3F9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hAnsi="Book Antiqua"/>
        </w:rPr>
        <w:br w:type="page"/>
      </w:r>
      <w:r w:rsidRPr="00C94ABE">
        <w:rPr>
          <w:rFonts w:ascii="Book Antiqua" w:hAnsi="Book Antiqua"/>
          <w:noProof/>
          <w:lang w:eastAsia="zh-CN"/>
        </w:rPr>
        <w:lastRenderedPageBreak/>
        <w:drawing>
          <wp:inline distT="0" distB="0" distL="0" distR="0" wp14:anchorId="520E5617" wp14:editId="6AEFA926">
            <wp:extent cx="5955192" cy="3196424"/>
            <wp:effectExtent l="0" t="0" r="762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70488" cy="3204634"/>
                    </a:xfrm>
                    <a:prstGeom prst="rect">
                      <a:avLst/>
                    </a:prstGeom>
                    <a:noFill/>
                  </pic:spPr>
                </pic:pic>
              </a:graphicData>
            </a:graphic>
          </wp:inline>
        </w:drawing>
      </w:r>
    </w:p>
    <w:p w14:paraId="051FED75" w14:textId="77777777" w:rsidR="008D3C42" w:rsidRPr="00C94ABE" w:rsidRDefault="00C94ABE" w:rsidP="00AD467B">
      <w:pPr>
        <w:adjustRightInd w:val="0"/>
        <w:snapToGrid w:val="0"/>
        <w:spacing w:line="360" w:lineRule="auto"/>
        <w:jc w:val="both"/>
        <w:rPr>
          <w:rFonts w:ascii="Book Antiqua" w:eastAsia="Book Antiqua" w:hAnsi="Book Antiqua" w:cs="Book Antiqua"/>
          <w:b/>
          <w:bCs/>
          <w:color w:val="000000"/>
        </w:rPr>
      </w:pPr>
      <w:r w:rsidRPr="00C94ABE">
        <w:rPr>
          <w:rFonts w:ascii="Book Antiqua" w:eastAsia="Book Antiqua" w:hAnsi="Book Antiqua" w:cs="Book Antiqua"/>
          <w:b/>
          <w:bCs/>
          <w:color w:val="000000"/>
        </w:rPr>
        <w:t>Figure 3 Surgical observations and surgical techniques (Case 1).</w:t>
      </w:r>
      <w:r w:rsidRPr="00C94ABE">
        <w:rPr>
          <w:rFonts w:ascii="Book Antiqua" w:hAnsi="Book Antiqua" w:cs="Book Antiqua"/>
          <w:b/>
          <w:bCs/>
          <w:color w:val="000000"/>
          <w:lang w:eastAsia="zh-CN"/>
        </w:rPr>
        <w:t xml:space="preserve"> </w:t>
      </w:r>
      <w:r w:rsidRPr="00C94ABE">
        <w:rPr>
          <w:rFonts w:ascii="Book Antiqua" w:eastAsia="Book Antiqua" w:hAnsi="Book Antiqua" w:cs="Book Antiqua"/>
          <w:color w:val="000000"/>
        </w:rPr>
        <w:t>A: Gallbladder necroses and a part thereof is perforated (arrow), with leaking of bile; B: Gallbladder neck had substantial inflammation; C: Upon exfoliation from the base to the neck of the gallbladder, we treated the neck using an autosuture; D: After subtotal resection of the gallbladder, the arrow is the amputation stump of the gallbladder neck; E: Resected specimen.</w:t>
      </w:r>
    </w:p>
    <w:p w14:paraId="34E54911"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hAnsi="Book Antiqua"/>
        </w:rPr>
        <w:br w:type="page"/>
      </w:r>
      <w:r w:rsidRPr="00C94ABE">
        <w:rPr>
          <w:rFonts w:ascii="Book Antiqua" w:hAnsi="Book Antiqua"/>
          <w:noProof/>
          <w:lang w:eastAsia="zh-CN"/>
        </w:rPr>
        <w:lastRenderedPageBreak/>
        <w:drawing>
          <wp:inline distT="0" distB="0" distL="0" distR="0" wp14:anchorId="072A1BCC" wp14:editId="70B2B217">
            <wp:extent cx="5983794" cy="30373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06321" cy="3048833"/>
                    </a:xfrm>
                    <a:prstGeom prst="rect">
                      <a:avLst/>
                    </a:prstGeom>
                    <a:noFill/>
                  </pic:spPr>
                </pic:pic>
              </a:graphicData>
            </a:graphic>
          </wp:inline>
        </w:drawing>
      </w:r>
    </w:p>
    <w:p w14:paraId="5B30E76B" w14:textId="17D8D80C" w:rsidR="00F4727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Figure 4 Surgical observations and surgical techniques (Case 2).</w:t>
      </w:r>
      <w:r w:rsidRPr="00C94ABE">
        <w:rPr>
          <w:rFonts w:ascii="Book Antiqua" w:hAnsi="Book Antiqua" w:cs="Book Antiqua"/>
          <w:b/>
          <w:bCs/>
          <w:color w:val="000000"/>
          <w:lang w:eastAsia="zh-CN"/>
        </w:rPr>
        <w:t xml:space="preserve"> </w:t>
      </w:r>
      <w:r w:rsidRPr="00C94ABE">
        <w:rPr>
          <w:rFonts w:ascii="Book Antiqua" w:eastAsia="Book Antiqua" w:hAnsi="Book Antiqua" w:cs="Book Antiqua"/>
          <w:color w:val="000000"/>
        </w:rPr>
        <w:t>A: The gallbladder had significant swelling and diffuse necrosis; B: The arrow is a cystic duct; C: For the cystic duct and gallbladder neck, we performed ligature/treatment using a looped absorbable monofilament suture; D: After subtotal resection of the gallbladder, the arrow is the amputation stump of the gallbladder neck; E: Resected specimen.</w:t>
      </w:r>
    </w:p>
    <w:p w14:paraId="74E4F8A8" w14:textId="77777777" w:rsidR="00F4727E" w:rsidRDefault="00F4727E">
      <w:pPr>
        <w:rPr>
          <w:rFonts w:ascii="Book Antiqua" w:eastAsia="Book Antiqua" w:hAnsi="Book Antiqua" w:cs="Book Antiqua"/>
          <w:color w:val="000000"/>
        </w:rPr>
      </w:pPr>
      <w:r>
        <w:rPr>
          <w:rFonts w:ascii="Book Antiqua" w:eastAsia="Book Antiqua" w:hAnsi="Book Antiqua" w:cs="Book Antiqua"/>
          <w:color w:val="000000"/>
        </w:rPr>
        <w:br w:type="page"/>
      </w:r>
    </w:p>
    <w:p w14:paraId="346867FF" w14:textId="77777777" w:rsidR="00F4727E" w:rsidRDefault="00F4727E" w:rsidP="00F4727E">
      <w:pPr>
        <w:jc w:val="center"/>
        <w:rPr>
          <w:rFonts w:ascii="Book Antiqua" w:hAnsi="Book Antiqua"/>
          <w:lang w:eastAsia="zh-CN"/>
        </w:rPr>
      </w:pPr>
    </w:p>
    <w:p w14:paraId="246A6F7D" w14:textId="77777777" w:rsidR="00F4727E" w:rsidRDefault="00F4727E" w:rsidP="00F4727E">
      <w:pPr>
        <w:jc w:val="center"/>
        <w:rPr>
          <w:rFonts w:ascii="Book Antiqua" w:hAnsi="Book Antiqua"/>
          <w:lang w:eastAsia="zh-CN"/>
        </w:rPr>
      </w:pPr>
    </w:p>
    <w:p w14:paraId="2243DDB0" w14:textId="77777777" w:rsidR="00F4727E" w:rsidRDefault="00F4727E" w:rsidP="00F4727E">
      <w:pPr>
        <w:jc w:val="center"/>
        <w:rPr>
          <w:rFonts w:ascii="Book Antiqua" w:hAnsi="Book Antiqua"/>
          <w:lang w:eastAsia="zh-CN"/>
        </w:rPr>
      </w:pPr>
    </w:p>
    <w:p w14:paraId="209C6329" w14:textId="77777777" w:rsidR="00F4727E" w:rsidRDefault="00F4727E" w:rsidP="00F4727E">
      <w:pPr>
        <w:jc w:val="center"/>
        <w:rPr>
          <w:rFonts w:ascii="Book Antiqua" w:hAnsi="Book Antiqua"/>
          <w:lang w:eastAsia="zh-CN"/>
        </w:rPr>
      </w:pPr>
    </w:p>
    <w:p w14:paraId="2A94D48B" w14:textId="77777777" w:rsidR="00F4727E" w:rsidRDefault="00F4727E" w:rsidP="00F4727E">
      <w:pPr>
        <w:jc w:val="center"/>
        <w:rPr>
          <w:rFonts w:ascii="Book Antiqua" w:hAnsi="Book Antiqua"/>
          <w:lang w:eastAsia="zh-CN"/>
        </w:rPr>
      </w:pPr>
    </w:p>
    <w:p w14:paraId="2AAA9843" w14:textId="023BB87D" w:rsidR="00F4727E" w:rsidRDefault="00F4727E" w:rsidP="00F4727E">
      <w:pPr>
        <w:jc w:val="center"/>
        <w:rPr>
          <w:rFonts w:ascii="Book Antiqua" w:hAnsi="Book Antiqua"/>
          <w:lang w:eastAsia="zh-CN"/>
        </w:rPr>
      </w:pPr>
      <w:r>
        <w:rPr>
          <w:rFonts w:ascii="Book Antiqua" w:hAnsi="Book Antiqua"/>
          <w:noProof/>
          <w:lang w:eastAsia="zh-CN"/>
        </w:rPr>
        <w:drawing>
          <wp:inline distT="0" distB="0" distL="0" distR="0" wp14:anchorId="3150476B" wp14:editId="47F7A32C">
            <wp:extent cx="2494280" cy="1440815"/>
            <wp:effectExtent l="0" t="0" r="127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6DA00BEB" w14:textId="77777777" w:rsidR="00F4727E" w:rsidRDefault="00F4727E" w:rsidP="00F4727E">
      <w:pPr>
        <w:jc w:val="center"/>
        <w:rPr>
          <w:rFonts w:ascii="Book Antiqua" w:hAnsi="Book Antiqua"/>
          <w:lang w:eastAsia="zh-CN"/>
        </w:rPr>
      </w:pPr>
    </w:p>
    <w:p w14:paraId="2FF61E73" w14:textId="77777777" w:rsidR="00F4727E" w:rsidRDefault="00F4727E" w:rsidP="00F4727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FFAE0CC" w14:textId="77777777" w:rsidR="00F4727E" w:rsidRDefault="00F4727E" w:rsidP="00F4727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68E9C5F" w14:textId="77777777" w:rsidR="00F4727E" w:rsidRDefault="00F4727E" w:rsidP="00F4727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11AD12" w14:textId="77777777" w:rsidR="00F4727E" w:rsidRDefault="00F4727E" w:rsidP="00F4727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9296D18" w14:textId="77777777" w:rsidR="00F4727E" w:rsidRDefault="00F4727E" w:rsidP="00F4727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54B1E96" w14:textId="77777777" w:rsidR="00F4727E" w:rsidRDefault="00F4727E" w:rsidP="00F4727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DE15DC5" w14:textId="77777777" w:rsidR="00F4727E" w:rsidRDefault="00F4727E" w:rsidP="00F4727E">
      <w:pPr>
        <w:jc w:val="center"/>
        <w:rPr>
          <w:rFonts w:ascii="Book Antiqua" w:hAnsi="Book Antiqua"/>
          <w:lang w:eastAsia="zh-CN"/>
        </w:rPr>
      </w:pPr>
    </w:p>
    <w:p w14:paraId="29D74362" w14:textId="77777777" w:rsidR="00F4727E" w:rsidRDefault="00F4727E" w:rsidP="00F4727E">
      <w:pPr>
        <w:jc w:val="center"/>
        <w:rPr>
          <w:rFonts w:ascii="Book Antiqua" w:hAnsi="Book Antiqua"/>
          <w:lang w:eastAsia="zh-CN"/>
        </w:rPr>
      </w:pPr>
    </w:p>
    <w:p w14:paraId="4240C0E5" w14:textId="77777777" w:rsidR="00F4727E" w:rsidRDefault="00F4727E" w:rsidP="00F4727E">
      <w:pPr>
        <w:jc w:val="center"/>
        <w:rPr>
          <w:rFonts w:ascii="Book Antiqua" w:hAnsi="Book Antiqua"/>
          <w:lang w:eastAsia="zh-CN"/>
        </w:rPr>
      </w:pPr>
    </w:p>
    <w:p w14:paraId="4934F72B" w14:textId="71DC1FC5" w:rsidR="00F4727E" w:rsidRDefault="00F4727E" w:rsidP="00F4727E">
      <w:pPr>
        <w:jc w:val="center"/>
        <w:rPr>
          <w:rFonts w:ascii="Book Antiqua" w:hAnsi="Book Antiqua"/>
          <w:lang w:eastAsia="zh-CN"/>
        </w:rPr>
      </w:pPr>
      <w:r>
        <w:rPr>
          <w:rFonts w:ascii="Book Antiqua" w:hAnsi="Book Antiqua"/>
          <w:noProof/>
          <w:lang w:eastAsia="zh-CN"/>
        </w:rPr>
        <w:drawing>
          <wp:inline distT="0" distB="0" distL="0" distR="0" wp14:anchorId="6FD0B2CD" wp14:editId="62D3C93D">
            <wp:extent cx="1448435" cy="1440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0FFB0EA1" w14:textId="77777777" w:rsidR="00F4727E" w:rsidRDefault="00F4727E" w:rsidP="00F4727E">
      <w:pPr>
        <w:jc w:val="center"/>
        <w:rPr>
          <w:rFonts w:ascii="Book Antiqua" w:hAnsi="Book Antiqua"/>
          <w:lang w:eastAsia="zh-CN"/>
        </w:rPr>
      </w:pPr>
    </w:p>
    <w:p w14:paraId="2D6D0072" w14:textId="77777777" w:rsidR="00F4727E" w:rsidRDefault="00F4727E" w:rsidP="00F4727E">
      <w:pPr>
        <w:jc w:val="center"/>
        <w:rPr>
          <w:rFonts w:ascii="Book Antiqua" w:hAnsi="Book Antiqua"/>
          <w:lang w:eastAsia="zh-CN"/>
        </w:rPr>
      </w:pPr>
    </w:p>
    <w:p w14:paraId="49B6D39B" w14:textId="77777777" w:rsidR="00F4727E" w:rsidRDefault="00F4727E" w:rsidP="00F4727E">
      <w:pPr>
        <w:jc w:val="center"/>
        <w:rPr>
          <w:rFonts w:ascii="Book Antiqua" w:hAnsi="Book Antiqua"/>
          <w:lang w:eastAsia="zh-CN"/>
        </w:rPr>
      </w:pPr>
    </w:p>
    <w:p w14:paraId="05E0B203" w14:textId="77777777" w:rsidR="00F4727E" w:rsidRDefault="00F4727E" w:rsidP="00F4727E">
      <w:pPr>
        <w:jc w:val="center"/>
        <w:rPr>
          <w:rFonts w:ascii="Book Antiqua" w:hAnsi="Book Antiqua"/>
          <w:lang w:eastAsia="zh-CN"/>
        </w:rPr>
      </w:pPr>
    </w:p>
    <w:p w14:paraId="1819C242" w14:textId="77777777" w:rsidR="00F4727E" w:rsidRDefault="00F4727E" w:rsidP="00F4727E">
      <w:pPr>
        <w:jc w:val="center"/>
        <w:rPr>
          <w:rFonts w:ascii="Book Antiqua" w:hAnsi="Book Antiqua"/>
          <w:lang w:eastAsia="zh-CN"/>
        </w:rPr>
      </w:pPr>
    </w:p>
    <w:p w14:paraId="2F3E150D" w14:textId="77777777" w:rsidR="00F4727E" w:rsidRDefault="00F4727E" w:rsidP="00F4727E">
      <w:pPr>
        <w:jc w:val="center"/>
        <w:rPr>
          <w:rFonts w:ascii="Book Antiqua" w:hAnsi="Book Antiqua"/>
          <w:lang w:eastAsia="zh-CN"/>
        </w:rPr>
      </w:pPr>
    </w:p>
    <w:p w14:paraId="7BBA5A9A" w14:textId="77777777" w:rsidR="00F4727E" w:rsidRDefault="00F4727E" w:rsidP="00F4727E">
      <w:pPr>
        <w:jc w:val="center"/>
        <w:rPr>
          <w:rFonts w:ascii="Book Antiqua" w:hAnsi="Book Antiqua"/>
          <w:lang w:eastAsia="zh-CN"/>
        </w:rPr>
      </w:pPr>
    </w:p>
    <w:p w14:paraId="3732BFB4" w14:textId="77777777" w:rsidR="00F4727E" w:rsidRDefault="00F4727E" w:rsidP="00F4727E">
      <w:pPr>
        <w:jc w:val="center"/>
        <w:rPr>
          <w:rFonts w:ascii="Book Antiqua" w:hAnsi="Book Antiqua"/>
          <w:lang w:eastAsia="zh-CN"/>
        </w:rPr>
      </w:pPr>
    </w:p>
    <w:p w14:paraId="30F13CAD" w14:textId="77777777" w:rsidR="00F4727E" w:rsidRDefault="00F4727E" w:rsidP="00F4727E">
      <w:pPr>
        <w:jc w:val="center"/>
        <w:rPr>
          <w:rFonts w:ascii="Book Antiqua" w:hAnsi="Book Antiqua"/>
          <w:lang w:eastAsia="zh-CN"/>
        </w:rPr>
      </w:pPr>
    </w:p>
    <w:p w14:paraId="31B17BFC" w14:textId="77777777" w:rsidR="00F4727E" w:rsidRDefault="00F4727E" w:rsidP="00F4727E">
      <w:pPr>
        <w:jc w:val="right"/>
        <w:rPr>
          <w:rFonts w:ascii="Book Antiqua" w:hAnsi="Book Antiqua"/>
          <w:color w:val="000000" w:themeColor="text1"/>
          <w:lang w:eastAsia="zh-CN"/>
        </w:rPr>
      </w:pPr>
    </w:p>
    <w:p w14:paraId="00EE42CD" w14:textId="77777777" w:rsidR="00F4727E" w:rsidRDefault="00F4727E" w:rsidP="00F4727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D0A1BC9" w14:textId="77777777" w:rsidR="008D3C42" w:rsidRPr="00AD467B" w:rsidRDefault="008D3C42" w:rsidP="00AD467B">
      <w:pPr>
        <w:adjustRightInd w:val="0"/>
        <w:snapToGrid w:val="0"/>
        <w:spacing w:line="360" w:lineRule="auto"/>
        <w:jc w:val="both"/>
        <w:rPr>
          <w:rFonts w:ascii="Book Antiqua" w:eastAsia="Book Antiqua" w:hAnsi="Book Antiqua" w:cs="Book Antiqua"/>
          <w:b/>
          <w:bCs/>
          <w:color w:val="000000"/>
        </w:rPr>
      </w:pPr>
    </w:p>
    <w:sectPr w:rsidR="008D3C42" w:rsidRPr="00AD46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7FC6B" w14:textId="77777777" w:rsidR="001C67F4" w:rsidRDefault="001C67F4" w:rsidP="00AD467B">
      <w:r>
        <w:separator/>
      </w:r>
    </w:p>
  </w:endnote>
  <w:endnote w:type="continuationSeparator" w:id="0">
    <w:p w14:paraId="748C0298" w14:textId="77777777" w:rsidR="001C67F4" w:rsidRDefault="001C67F4" w:rsidP="00AD4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688711"/>
      <w:docPartObj>
        <w:docPartGallery w:val="Page Numbers (Bottom of Page)"/>
        <w:docPartUnique/>
      </w:docPartObj>
    </w:sdtPr>
    <w:sdtEndPr/>
    <w:sdtContent>
      <w:sdt>
        <w:sdtPr>
          <w:id w:val="-1705238520"/>
          <w:docPartObj>
            <w:docPartGallery w:val="Page Numbers (Top of Page)"/>
            <w:docPartUnique/>
          </w:docPartObj>
        </w:sdtPr>
        <w:sdtEndPr/>
        <w:sdtContent>
          <w:p w14:paraId="6FEC3E3D" w14:textId="461CD66A" w:rsidR="00C94ABE" w:rsidRDefault="00C94ABE" w:rsidP="00C94ABE">
            <w:pPr>
              <w:pStyle w:val="a7"/>
              <w:jc w:val="right"/>
            </w:pPr>
            <w:r w:rsidRPr="00C94ABE">
              <w:rPr>
                <w:rFonts w:ascii="Book Antiqua" w:hAnsi="Book Antiqua"/>
                <w:sz w:val="24"/>
                <w:szCs w:val="24"/>
                <w:lang w:val="zh-CN" w:eastAsia="zh-CN"/>
              </w:rPr>
              <w:t xml:space="preserve"> </w:t>
            </w:r>
            <w:r w:rsidRPr="00C94ABE">
              <w:rPr>
                <w:rFonts w:ascii="Book Antiqua" w:hAnsi="Book Antiqua"/>
                <w:b/>
                <w:bCs/>
                <w:sz w:val="24"/>
                <w:szCs w:val="24"/>
              </w:rPr>
              <w:fldChar w:fldCharType="begin"/>
            </w:r>
            <w:r w:rsidRPr="00C94ABE">
              <w:rPr>
                <w:rFonts w:ascii="Book Antiqua" w:hAnsi="Book Antiqua"/>
                <w:b/>
                <w:bCs/>
                <w:sz w:val="24"/>
                <w:szCs w:val="24"/>
              </w:rPr>
              <w:instrText>PAGE</w:instrText>
            </w:r>
            <w:r w:rsidRPr="00C94ABE">
              <w:rPr>
                <w:rFonts w:ascii="Book Antiqua" w:hAnsi="Book Antiqua"/>
                <w:b/>
                <w:bCs/>
                <w:sz w:val="24"/>
                <w:szCs w:val="24"/>
              </w:rPr>
              <w:fldChar w:fldCharType="separate"/>
            </w:r>
            <w:r w:rsidR="00B12B10">
              <w:rPr>
                <w:rFonts w:ascii="Book Antiqua" w:hAnsi="Book Antiqua"/>
                <w:b/>
                <w:bCs/>
                <w:noProof/>
                <w:sz w:val="24"/>
                <w:szCs w:val="24"/>
              </w:rPr>
              <w:t>1</w:t>
            </w:r>
            <w:r w:rsidRPr="00C94ABE">
              <w:rPr>
                <w:rFonts w:ascii="Book Antiqua" w:hAnsi="Book Antiqua"/>
                <w:b/>
                <w:bCs/>
                <w:sz w:val="24"/>
                <w:szCs w:val="24"/>
              </w:rPr>
              <w:fldChar w:fldCharType="end"/>
            </w:r>
            <w:r w:rsidRPr="00C94ABE">
              <w:rPr>
                <w:rFonts w:ascii="Book Antiqua" w:hAnsi="Book Antiqua"/>
                <w:sz w:val="24"/>
                <w:szCs w:val="24"/>
                <w:lang w:val="zh-CN" w:eastAsia="zh-CN"/>
              </w:rPr>
              <w:t xml:space="preserve"> / </w:t>
            </w:r>
            <w:r w:rsidRPr="00C94ABE">
              <w:rPr>
                <w:rFonts w:ascii="Book Antiqua" w:hAnsi="Book Antiqua"/>
                <w:b/>
                <w:bCs/>
                <w:sz w:val="24"/>
                <w:szCs w:val="24"/>
              </w:rPr>
              <w:fldChar w:fldCharType="begin"/>
            </w:r>
            <w:r w:rsidRPr="00C94ABE">
              <w:rPr>
                <w:rFonts w:ascii="Book Antiqua" w:hAnsi="Book Antiqua"/>
                <w:b/>
                <w:bCs/>
                <w:sz w:val="24"/>
                <w:szCs w:val="24"/>
              </w:rPr>
              <w:instrText>NUMPAGES</w:instrText>
            </w:r>
            <w:r w:rsidRPr="00C94ABE">
              <w:rPr>
                <w:rFonts w:ascii="Book Antiqua" w:hAnsi="Book Antiqua"/>
                <w:b/>
                <w:bCs/>
                <w:sz w:val="24"/>
                <w:szCs w:val="24"/>
              </w:rPr>
              <w:fldChar w:fldCharType="separate"/>
            </w:r>
            <w:r w:rsidR="00B12B10">
              <w:rPr>
                <w:rFonts w:ascii="Book Antiqua" w:hAnsi="Book Antiqua"/>
                <w:b/>
                <w:bCs/>
                <w:noProof/>
                <w:sz w:val="24"/>
                <w:szCs w:val="24"/>
              </w:rPr>
              <w:t>19</w:t>
            </w:r>
            <w:r w:rsidRPr="00C94ABE">
              <w:rPr>
                <w:rFonts w:ascii="Book Antiqua" w:hAnsi="Book Antiqua"/>
                <w:b/>
                <w:bCs/>
                <w:sz w:val="24"/>
                <w:szCs w:val="24"/>
              </w:rPr>
              <w:fldChar w:fldCharType="end"/>
            </w:r>
          </w:p>
        </w:sdtContent>
      </w:sdt>
    </w:sdtContent>
  </w:sdt>
  <w:p w14:paraId="2ECAAB26" w14:textId="77777777" w:rsidR="00C94ABE" w:rsidRDefault="00C94A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7F058" w14:textId="77777777" w:rsidR="001C67F4" w:rsidRDefault="001C67F4" w:rsidP="00AD467B">
      <w:r>
        <w:separator/>
      </w:r>
    </w:p>
  </w:footnote>
  <w:footnote w:type="continuationSeparator" w:id="0">
    <w:p w14:paraId="4D5C1E17" w14:textId="77777777" w:rsidR="001C67F4" w:rsidRDefault="001C67F4" w:rsidP="00AD46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2B94"/>
    <w:rsid w:val="00055BE1"/>
    <w:rsid w:val="000751A1"/>
    <w:rsid w:val="000B5769"/>
    <w:rsid w:val="000C3D60"/>
    <w:rsid w:val="000D154B"/>
    <w:rsid w:val="00161726"/>
    <w:rsid w:val="00196278"/>
    <w:rsid w:val="001C67F4"/>
    <w:rsid w:val="001D3155"/>
    <w:rsid w:val="001E68E1"/>
    <w:rsid w:val="0033519A"/>
    <w:rsid w:val="00347842"/>
    <w:rsid w:val="00377541"/>
    <w:rsid w:val="003901C1"/>
    <w:rsid w:val="004407FD"/>
    <w:rsid w:val="004535F9"/>
    <w:rsid w:val="00490AA1"/>
    <w:rsid w:val="00492DE0"/>
    <w:rsid w:val="005265E8"/>
    <w:rsid w:val="006451E8"/>
    <w:rsid w:val="00656D50"/>
    <w:rsid w:val="0074616B"/>
    <w:rsid w:val="00785064"/>
    <w:rsid w:val="007E2A0B"/>
    <w:rsid w:val="00873D4F"/>
    <w:rsid w:val="008D3C42"/>
    <w:rsid w:val="0092334D"/>
    <w:rsid w:val="00A06C13"/>
    <w:rsid w:val="00A4170D"/>
    <w:rsid w:val="00A77B3E"/>
    <w:rsid w:val="00AA2915"/>
    <w:rsid w:val="00AC22B4"/>
    <w:rsid w:val="00AD467B"/>
    <w:rsid w:val="00AF1F1D"/>
    <w:rsid w:val="00B11EED"/>
    <w:rsid w:val="00B12B10"/>
    <w:rsid w:val="00B778CD"/>
    <w:rsid w:val="00C43E97"/>
    <w:rsid w:val="00C94ABE"/>
    <w:rsid w:val="00CA2A55"/>
    <w:rsid w:val="00CA58D1"/>
    <w:rsid w:val="00D230D9"/>
    <w:rsid w:val="00D40B78"/>
    <w:rsid w:val="00DB7F64"/>
    <w:rsid w:val="00E63909"/>
    <w:rsid w:val="00EA41E5"/>
    <w:rsid w:val="00ED7E68"/>
    <w:rsid w:val="00F4727E"/>
    <w:rsid w:val="172C2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947ABA"/>
  <w15:docId w15:val="{AF2FC0ED-1786-48A5-BDFB-D83B48089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rFonts w:asciiTheme="majorHAnsi" w:eastAsiaTheme="majorEastAsia" w:hAnsiTheme="majorHAnsi" w:cstheme="majorBidi"/>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084602">
      <w:bodyDiv w:val="1"/>
      <w:marLeft w:val="0"/>
      <w:marRight w:val="0"/>
      <w:marTop w:val="0"/>
      <w:marBottom w:val="0"/>
      <w:divBdr>
        <w:top w:val="none" w:sz="0" w:space="0" w:color="auto"/>
        <w:left w:val="none" w:sz="0" w:space="0" w:color="auto"/>
        <w:bottom w:val="none" w:sz="0" w:space="0" w:color="auto"/>
        <w:right w:val="none" w:sz="0" w:space="0" w:color="auto"/>
      </w:divBdr>
    </w:div>
    <w:div w:id="943876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3668</Words>
  <Characters>20912</Characters>
  <Application>Microsoft Office Word</Application>
  <DocSecurity>0</DocSecurity>
  <Lines>174</Lines>
  <Paragraphs>49</Paragraphs>
  <ScaleCrop>false</ScaleCrop>
  <Company/>
  <LinksUpToDate>false</LinksUpToDate>
  <CharactersWithSpaces>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井上博之</dc:creator>
  <cp:lastModifiedBy>Li Jia-Hui</cp:lastModifiedBy>
  <cp:revision>14</cp:revision>
  <dcterms:created xsi:type="dcterms:W3CDTF">2021-03-17T05:39:00Z</dcterms:created>
  <dcterms:modified xsi:type="dcterms:W3CDTF">2021-04-27T07:55:00Z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