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B5BFE"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 xml:space="preserve">Name of Journal: </w:t>
      </w:r>
      <w:r w:rsidRPr="00A725BB">
        <w:rPr>
          <w:rFonts w:ascii="Book Antiqua" w:eastAsia="Book Antiqua" w:hAnsi="Book Antiqua" w:cs="Book Antiqua"/>
          <w:i/>
          <w:color w:val="000000"/>
        </w:rPr>
        <w:t>World Journal of Orthopedics</w:t>
      </w:r>
    </w:p>
    <w:p w14:paraId="432503D4"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 xml:space="preserve">Manuscript NO: </w:t>
      </w:r>
      <w:r w:rsidRPr="00A725BB">
        <w:rPr>
          <w:rFonts w:ascii="Book Antiqua" w:eastAsia="Book Antiqua" w:hAnsi="Book Antiqua" w:cs="Book Antiqua"/>
          <w:color w:val="000000"/>
        </w:rPr>
        <w:t>61361</w:t>
      </w:r>
    </w:p>
    <w:p w14:paraId="7E10ACB6"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 xml:space="preserve">Manuscript Type: </w:t>
      </w:r>
      <w:r w:rsidRPr="00A725BB">
        <w:rPr>
          <w:rFonts w:ascii="Book Antiqua" w:eastAsia="Book Antiqua" w:hAnsi="Book Antiqua" w:cs="Book Antiqua"/>
          <w:color w:val="000000"/>
        </w:rPr>
        <w:t>ORIGINAL ARTICLE</w:t>
      </w:r>
    </w:p>
    <w:p w14:paraId="60BEB402" w14:textId="77777777" w:rsidR="00A77B3E" w:rsidRPr="00A725BB" w:rsidRDefault="00A77B3E" w:rsidP="00A725BB">
      <w:pPr>
        <w:adjustRightInd w:val="0"/>
        <w:snapToGrid w:val="0"/>
        <w:spacing w:line="360" w:lineRule="auto"/>
        <w:jc w:val="both"/>
        <w:rPr>
          <w:rFonts w:ascii="Book Antiqua" w:hAnsi="Book Antiqua"/>
        </w:rPr>
      </w:pPr>
    </w:p>
    <w:p w14:paraId="0F0C8E2A"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i/>
          <w:color w:val="000000"/>
        </w:rPr>
        <w:t>Retrospective Study</w:t>
      </w:r>
    </w:p>
    <w:p w14:paraId="6FB6A823"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Reducing unnecessary crossmatching for hip fracture patients by accounting for preoperative hemoglobin concentration</w:t>
      </w:r>
    </w:p>
    <w:p w14:paraId="4D5D4079" w14:textId="77777777" w:rsidR="00A77B3E" w:rsidRPr="00A725BB" w:rsidRDefault="00A77B3E" w:rsidP="00A725BB">
      <w:pPr>
        <w:adjustRightInd w:val="0"/>
        <w:snapToGrid w:val="0"/>
        <w:spacing w:line="360" w:lineRule="auto"/>
        <w:jc w:val="both"/>
        <w:rPr>
          <w:rFonts w:ascii="Book Antiqua" w:hAnsi="Book Antiqua"/>
        </w:rPr>
      </w:pPr>
    </w:p>
    <w:p w14:paraId="0D7F423E"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Amin RM</w:t>
      </w:r>
      <w:r w:rsidRPr="00A725BB">
        <w:rPr>
          <w:rFonts w:ascii="Book Antiqua" w:eastAsia="Book Antiqua" w:hAnsi="Book Antiqua" w:cs="Book Antiqua"/>
          <w:i/>
          <w:iCs/>
          <w:color w:val="000000"/>
        </w:rPr>
        <w:t xml:space="preserve"> et al</w:t>
      </w:r>
      <w:r w:rsidRPr="00A725BB">
        <w:rPr>
          <w:rFonts w:ascii="Book Antiqua" w:eastAsia="Book Antiqua" w:hAnsi="Book Antiqua" w:cs="Book Antiqua"/>
          <w:color w:val="000000"/>
        </w:rPr>
        <w:t>. Preoperative hip fracture crossmatching</w:t>
      </w:r>
    </w:p>
    <w:p w14:paraId="661D07A8" w14:textId="77777777" w:rsidR="00A77B3E" w:rsidRPr="00A725BB" w:rsidRDefault="00A77B3E" w:rsidP="00A725BB">
      <w:pPr>
        <w:adjustRightInd w:val="0"/>
        <w:snapToGrid w:val="0"/>
        <w:spacing w:line="360" w:lineRule="auto"/>
        <w:jc w:val="both"/>
        <w:rPr>
          <w:rFonts w:ascii="Book Antiqua" w:hAnsi="Book Antiqua"/>
        </w:rPr>
      </w:pPr>
    </w:p>
    <w:p w14:paraId="02BBAEA6"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Raj M Amin, Varun </w:t>
      </w:r>
      <w:proofErr w:type="spellStart"/>
      <w:r w:rsidRPr="00A725BB">
        <w:rPr>
          <w:rFonts w:ascii="Book Antiqua" w:eastAsia="Book Antiqua" w:hAnsi="Book Antiqua" w:cs="Book Antiqua"/>
          <w:color w:val="000000"/>
        </w:rPr>
        <w:t>Puvanesarajah</w:t>
      </w:r>
      <w:proofErr w:type="spellEnd"/>
      <w:r w:rsidRPr="00A725BB">
        <w:rPr>
          <w:rFonts w:ascii="Book Antiqua" w:eastAsia="Book Antiqua" w:hAnsi="Book Antiqua" w:cs="Book Antiqua"/>
          <w:color w:val="000000"/>
        </w:rPr>
        <w:t xml:space="preserve">, Yash P Chaudhry, Matthew J Best, Sandesh S Rao, Steven M Frank, Erik A </w:t>
      </w:r>
      <w:proofErr w:type="spellStart"/>
      <w:r w:rsidRPr="00A725BB">
        <w:rPr>
          <w:rFonts w:ascii="Book Antiqua" w:eastAsia="Book Antiqua" w:hAnsi="Book Antiqua" w:cs="Book Antiqua"/>
          <w:color w:val="000000"/>
        </w:rPr>
        <w:t>Hasenboehler</w:t>
      </w:r>
      <w:proofErr w:type="spellEnd"/>
    </w:p>
    <w:p w14:paraId="7527B805" w14:textId="77777777" w:rsidR="00A77B3E" w:rsidRPr="00A725BB" w:rsidRDefault="00A77B3E" w:rsidP="00A725BB">
      <w:pPr>
        <w:adjustRightInd w:val="0"/>
        <w:snapToGrid w:val="0"/>
        <w:spacing w:line="360" w:lineRule="auto"/>
        <w:jc w:val="both"/>
        <w:rPr>
          <w:rFonts w:ascii="Book Antiqua" w:hAnsi="Book Antiqua"/>
        </w:rPr>
      </w:pPr>
    </w:p>
    <w:p w14:paraId="0FCB8DFC"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Raj M Amin, </w:t>
      </w:r>
      <w:r w:rsidRPr="00A725BB">
        <w:rPr>
          <w:rFonts w:ascii="Book Antiqua" w:eastAsia="Book Antiqua" w:hAnsi="Book Antiqua" w:cs="Book Antiqua"/>
          <w:color w:val="000000"/>
        </w:rPr>
        <w:t xml:space="preserve">Department of </w:t>
      </w:r>
      <w:proofErr w:type="spellStart"/>
      <w:r w:rsidRPr="00A725BB">
        <w:rPr>
          <w:rFonts w:ascii="Book Antiqua" w:eastAsia="Book Antiqua" w:hAnsi="Book Antiqua" w:cs="Book Antiqua"/>
          <w:color w:val="000000"/>
        </w:rPr>
        <w:t>Orthopaedic</w:t>
      </w:r>
      <w:proofErr w:type="spellEnd"/>
      <w:r w:rsidRPr="00A725BB">
        <w:rPr>
          <w:rFonts w:ascii="Book Antiqua" w:eastAsia="Book Antiqua" w:hAnsi="Book Antiqua" w:cs="Book Antiqua"/>
          <w:color w:val="000000"/>
        </w:rPr>
        <w:t xml:space="preserve"> Surgery, Stanford University Medical Center, Stanford, CA 94305, United States</w:t>
      </w:r>
    </w:p>
    <w:p w14:paraId="0F12B1D3" w14:textId="77777777" w:rsidR="00A77B3E" w:rsidRPr="00A725BB" w:rsidRDefault="00A77B3E" w:rsidP="00A725BB">
      <w:pPr>
        <w:adjustRightInd w:val="0"/>
        <w:snapToGrid w:val="0"/>
        <w:spacing w:line="360" w:lineRule="auto"/>
        <w:jc w:val="both"/>
        <w:rPr>
          <w:rFonts w:ascii="Book Antiqua" w:hAnsi="Book Antiqua"/>
        </w:rPr>
      </w:pPr>
    </w:p>
    <w:p w14:paraId="5B3CA4BF"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Varun </w:t>
      </w:r>
      <w:proofErr w:type="spellStart"/>
      <w:r w:rsidRPr="00A725BB">
        <w:rPr>
          <w:rFonts w:ascii="Book Antiqua" w:eastAsia="Book Antiqua" w:hAnsi="Book Antiqua" w:cs="Book Antiqua"/>
          <w:b/>
          <w:bCs/>
          <w:color w:val="000000"/>
        </w:rPr>
        <w:t>Puvanesarajah</w:t>
      </w:r>
      <w:proofErr w:type="spellEnd"/>
      <w:r w:rsidRPr="00A725BB">
        <w:rPr>
          <w:rFonts w:ascii="Book Antiqua" w:eastAsia="Book Antiqua" w:hAnsi="Book Antiqua" w:cs="Book Antiqua"/>
          <w:b/>
          <w:bCs/>
          <w:color w:val="000000"/>
        </w:rPr>
        <w:t xml:space="preserve">, Sandesh S Rao, </w:t>
      </w:r>
      <w:r w:rsidRPr="00A725BB">
        <w:rPr>
          <w:rFonts w:ascii="Book Antiqua" w:eastAsia="Book Antiqua" w:hAnsi="Book Antiqua" w:cs="Book Antiqua"/>
          <w:color w:val="000000"/>
        </w:rPr>
        <w:t xml:space="preserve">Department of </w:t>
      </w:r>
      <w:proofErr w:type="spellStart"/>
      <w:r w:rsidRPr="00A725BB">
        <w:rPr>
          <w:rFonts w:ascii="Book Antiqua" w:eastAsia="Book Antiqua" w:hAnsi="Book Antiqua" w:cs="Book Antiqua"/>
          <w:color w:val="000000"/>
        </w:rPr>
        <w:t>Orthopaedic</w:t>
      </w:r>
      <w:proofErr w:type="spellEnd"/>
      <w:r w:rsidRPr="00A725BB">
        <w:rPr>
          <w:rFonts w:ascii="Book Antiqua" w:eastAsia="Book Antiqua" w:hAnsi="Book Antiqua" w:cs="Book Antiqua"/>
          <w:color w:val="000000"/>
        </w:rPr>
        <w:t xml:space="preserve"> Surgery, Johns Hopkins School of Medicine, Baltimore, MD 21205, United States</w:t>
      </w:r>
    </w:p>
    <w:p w14:paraId="40891CF6" w14:textId="77777777" w:rsidR="00A77B3E" w:rsidRPr="00A725BB" w:rsidRDefault="00A77B3E" w:rsidP="00A725BB">
      <w:pPr>
        <w:adjustRightInd w:val="0"/>
        <w:snapToGrid w:val="0"/>
        <w:spacing w:line="360" w:lineRule="auto"/>
        <w:jc w:val="both"/>
        <w:rPr>
          <w:rFonts w:ascii="Book Antiqua" w:hAnsi="Book Antiqua"/>
        </w:rPr>
      </w:pPr>
    </w:p>
    <w:p w14:paraId="6728E095"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Yash P Chaudhry, </w:t>
      </w:r>
      <w:r w:rsidRPr="00A725BB">
        <w:rPr>
          <w:rFonts w:ascii="Book Antiqua" w:eastAsia="Book Antiqua" w:hAnsi="Book Antiqua" w:cs="Book Antiqua"/>
          <w:color w:val="000000"/>
        </w:rPr>
        <w:t xml:space="preserve">Department of </w:t>
      </w:r>
      <w:proofErr w:type="spellStart"/>
      <w:r w:rsidRPr="00A725BB">
        <w:rPr>
          <w:rFonts w:ascii="Book Antiqua" w:eastAsia="Book Antiqua" w:hAnsi="Book Antiqua" w:cs="Book Antiqua"/>
          <w:color w:val="000000"/>
        </w:rPr>
        <w:t>Orthopaedic</w:t>
      </w:r>
      <w:proofErr w:type="spellEnd"/>
      <w:r w:rsidRPr="00A725BB">
        <w:rPr>
          <w:rFonts w:ascii="Book Antiqua" w:eastAsia="Book Antiqua" w:hAnsi="Book Antiqua" w:cs="Book Antiqua"/>
          <w:color w:val="000000"/>
        </w:rPr>
        <w:t xml:space="preserve"> Surgery, Philadelphia College of Osteopathic Medicine, Philadelphia, PA 19122, United States</w:t>
      </w:r>
    </w:p>
    <w:p w14:paraId="263C9E74" w14:textId="77777777" w:rsidR="00A77B3E" w:rsidRPr="00A725BB" w:rsidRDefault="00A77B3E" w:rsidP="00A725BB">
      <w:pPr>
        <w:adjustRightInd w:val="0"/>
        <w:snapToGrid w:val="0"/>
        <w:spacing w:line="360" w:lineRule="auto"/>
        <w:jc w:val="both"/>
        <w:rPr>
          <w:rFonts w:ascii="Book Antiqua" w:hAnsi="Book Antiqua"/>
        </w:rPr>
      </w:pPr>
    </w:p>
    <w:p w14:paraId="7E97984F"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Matthew J Best, </w:t>
      </w:r>
      <w:r w:rsidRPr="00A725BB">
        <w:rPr>
          <w:rFonts w:ascii="Book Antiqua" w:eastAsia="Book Antiqua" w:hAnsi="Book Antiqua" w:cs="Book Antiqua"/>
          <w:color w:val="000000"/>
        </w:rPr>
        <w:t xml:space="preserve">Department of </w:t>
      </w:r>
      <w:proofErr w:type="spellStart"/>
      <w:r w:rsidRPr="00A725BB">
        <w:rPr>
          <w:rFonts w:ascii="Book Antiqua" w:eastAsia="Book Antiqua" w:hAnsi="Book Antiqua" w:cs="Book Antiqua"/>
          <w:color w:val="000000"/>
        </w:rPr>
        <w:t>Orthopaedic</w:t>
      </w:r>
      <w:proofErr w:type="spellEnd"/>
      <w:r w:rsidRPr="00A725BB">
        <w:rPr>
          <w:rFonts w:ascii="Book Antiqua" w:eastAsia="Book Antiqua" w:hAnsi="Book Antiqua" w:cs="Book Antiqua"/>
          <w:color w:val="000000"/>
        </w:rPr>
        <w:t xml:space="preserve"> Surgery, Massachusetts General Hospital, Boston, MD 21205, United States</w:t>
      </w:r>
    </w:p>
    <w:p w14:paraId="18BB1C8B" w14:textId="77777777" w:rsidR="00A77B3E" w:rsidRPr="00A725BB" w:rsidRDefault="00A77B3E" w:rsidP="00A725BB">
      <w:pPr>
        <w:adjustRightInd w:val="0"/>
        <w:snapToGrid w:val="0"/>
        <w:spacing w:line="360" w:lineRule="auto"/>
        <w:jc w:val="both"/>
        <w:rPr>
          <w:rFonts w:ascii="Book Antiqua" w:hAnsi="Book Antiqua"/>
        </w:rPr>
      </w:pPr>
    </w:p>
    <w:p w14:paraId="5D42AE20"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Steven M Frank, </w:t>
      </w:r>
      <w:r w:rsidRPr="00A725BB">
        <w:rPr>
          <w:rFonts w:ascii="Book Antiqua" w:eastAsia="Book Antiqua" w:hAnsi="Book Antiqua" w:cs="Book Antiqua"/>
          <w:color w:val="000000"/>
        </w:rPr>
        <w:t>Department of Anesthesiology, Critical Care Medicine, Baltimore, MD 21205, United States</w:t>
      </w:r>
    </w:p>
    <w:p w14:paraId="621EF337" w14:textId="77777777" w:rsidR="00A77B3E" w:rsidRPr="00A725BB" w:rsidRDefault="00A77B3E" w:rsidP="00A725BB">
      <w:pPr>
        <w:adjustRightInd w:val="0"/>
        <w:snapToGrid w:val="0"/>
        <w:spacing w:line="360" w:lineRule="auto"/>
        <w:jc w:val="both"/>
        <w:rPr>
          <w:rFonts w:ascii="Book Antiqua" w:hAnsi="Book Antiqua"/>
        </w:rPr>
      </w:pPr>
    </w:p>
    <w:p w14:paraId="58656CE8"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Erik A </w:t>
      </w:r>
      <w:proofErr w:type="spellStart"/>
      <w:r w:rsidRPr="00A725BB">
        <w:rPr>
          <w:rFonts w:ascii="Book Antiqua" w:eastAsia="Book Antiqua" w:hAnsi="Book Antiqua" w:cs="Book Antiqua"/>
          <w:b/>
          <w:bCs/>
          <w:color w:val="000000"/>
        </w:rPr>
        <w:t>Hasenboehler</w:t>
      </w:r>
      <w:proofErr w:type="spellEnd"/>
      <w:r w:rsidRPr="00A725BB">
        <w:rPr>
          <w:rFonts w:ascii="Book Antiqua" w:eastAsia="Book Antiqua" w:hAnsi="Book Antiqua" w:cs="Book Antiqua"/>
          <w:b/>
          <w:bCs/>
          <w:color w:val="000000"/>
        </w:rPr>
        <w:t xml:space="preserve">, </w:t>
      </w:r>
      <w:r w:rsidRPr="00A725BB">
        <w:rPr>
          <w:rFonts w:ascii="Book Antiqua" w:eastAsia="Book Antiqua" w:hAnsi="Book Antiqua" w:cs="Book Antiqua"/>
          <w:color w:val="000000"/>
        </w:rPr>
        <w:t xml:space="preserve">Department of </w:t>
      </w:r>
      <w:proofErr w:type="spellStart"/>
      <w:r w:rsidRPr="00A725BB">
        <w:rPr>
          <w:rFonts w:ascii="Book Antiqua" w:eastAsia="Book Antiqua" w:hAnsi="Book Antiqua" w:cs="Book Antiqua"/>
          <w:color w:val="000000"/>
        </w:rPr>
        <w:t>Orthopaedics</w:t>
      </w:r>
      <w:proofErr w:type="spellEnd"/>
      <w:r w:rsidRPr="00A725BB">
        <w:rPr>
          <w:rFonts w:ascii="Book Antiqua" w:eastAsia="Book Antiqua" w:hAnsi="Book Antiqua" w:cs="Book Antiqua"/>
          <w:color w:val="000000"/>
        </w:rPr>
        <w:t>, Johns Hopkins School of Medicine, Baltimore, MD 21205, United States</w:t>
      </w:r>
    </w:p>
    <w:p w14:paraId="460FD7A6" w14:textId="77777777" w:rsidR="00A77B3E" w:rsidRPr="00A725BB" w:rsidRDefault="00A77B3E" w:rsidP="00A725BB">
      <w:pPr>
        <w:adjustRightInd w:val="0"/>
        <w:snapToGrid w:val="0"/>
        <w:spacing w:line="360" w:lineRule="auto"/>
        <w:jc w:val="both"/>
        <w:rPr>
          <w:rFonts w:ascii="Book Antiqua" w:hAnsi="Book Antiqua"/>
        </w:rPr>
      </w:pPr>
    </w:p>
    <w:p w14:paraId="68D0CD33"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Author contributions: </w:t>
      </w:r>
      <w:r w:rsidRPr="00A725BB">
        <w:rPr>
          <w:rFonts w:ascii="Book Antiqua" w:eastAsia="Book Antiqua" w:hAnsi="Book Antiqua" w:cs="Book Antiqua"/>
          <w:color w:val="000000"/>
          <w:shd w:val="clear" w:color="auto" w:fill="FFFFFF"/>
        </w:rPr>
        <w:t xml:space="preserve">Amin RM, </w:t>
      </w:r>
      <w:proofErr w:type="spellStart"/>
      <w:r w:rsidRPr="00A725BB">
        <w:rPr>
          <w:rFonts w:ascii="Book Antiqua" w:eastAsia="Book Antiqua" w:hAnsi="Book Antiqua" w:cs="Book Antiqua"/>
          <w:color w:val="000000"/>
          <w:shd w:val="clear" w:color="auto" w:fill="FFFFFF"/>
        </w:rPr>
        <w:t>Puvanesarajah</w:t>
      </w:r>
      <w:proofErr w:type="spellEnd"/>
      <w:r w:rsidRPr="00A725BB">
        <w:rPr>
          <w:rFonts w:ascii="Book Antiqua" w:eastAsia="Book Antiqua" w:hAnsi="Book Antiqua" w:cs="Book Antiqua"/>
          <w:color w:val="000000"/>
          <w:shd w:val="clear" w:color="auto" w:fill="FFFFFF"/>
        </w:rPr>
        <w:t xml:space="preserve"> V, Best MJ, and </w:t>
      </w:r>
      <w:proofErr w:type="spellStart"/>
      <w:r w:rsidRPr="00A725BB">
        <w:rPr>
          <w:rFonts w:ascii="Book Antiqua" w:eastAsia="Book Antiqua" w:hAnsi="Book Antiqua" w:cs="Book Antiqua"/>
          <w:color w:val="000000"/>
          <w:shd w:val="clear" w:color="auto" w:fill="FFFFFF"/>
        </w:rPr>
        <w:t>Hasenboehler</w:t>
      </w:r>
      <w:proofErr w:type="spellEnd"/>
      <w:r w:rsidRPr="00A725BB">
        <w:rPr>
          <w:rFonts w:ascii="Book Antiqua" w:eastAsia="Book Antiqua" w:hAnsi="Book Antiqua" w:cs="Book Antiqua"/>
          <w:color w:val="000000"/>
          <w:shd w:val="clear" w:color="auto" w:fill="FFFFFF"/>
        </w:rPr>
        <w:t xml:space="preserve"> EA designed the research study; Amin RM, Chaudhry YP, and Rao SS analyzed the data; Amin RM, Chaudhry YP, </w:t>
      </w:r>
      <w:proofErr w:type="spellStart"/>
      <w:r w:rsidRPr="00A725BB">
        <w:rPr>
          <w:rFonts w:ascii="Book Antiqua" w:eastAsia="Book Antiqua" w:hAnsi="Book Antiqua" w:cs="Book Antiqua"/>
          <w:color w:val="000000"/>
          <w:shd w:val="clear" w:color="auto" w:fill="FFFFFF"/>
        </w:rPr>
        <w:t>Puvanesarajah</w:t>
      </w:r>
      <w:proofErr w:type="spellEnd"/>
      <w:r w:rsidRPr="00A725BB">
        <w:rPr>
          <w:rFonts w:ascii="Book Antiqua" w:eastAsia="Book Antiqua" w:hAnsi="Book Antiqua" w:cs="Book Antiqua"/>
          <w:color w:val="000000"/>
          <w:shd w:val="clear" w:color="auto" w:fill="FFFFFF"/>
        </w:rPr>
        <w:t xml:space="preserve"> V, Frank SM, and </w:t>
      </w:r>
      <w:proofErr w:type="spellStart"/>
      <w:r w:rsidRPr="00A725BB">
        <w:rPr>
          <w:rFonts w:ascii="Book Antiqua" w:eastAsia="Book Antiqua" w:hAnsi="Book Antiqua" w:cs="Book Antiqua"/>
          <w:color w:val="000000"/>
          <w:shd w:val="clear" w:color="auto" w:fill="FFFFFF"/>
        </w:rPr>
        <w:t>Hasenboehler</w:t>
      </w:r>
      <w:proofErr w:type="spellEnd"/>
      <w:r w:rsidRPr="00A725BB">
        <w:rPr>
          <w:rFonts w:ascii="Book Antiqua" w:eastAsia="Book Antiqua" w:hAnsi="Book Antiqua" w:cs="Book Antiqua"/>
          <w:color w:val="000000"/>
          <w:shd w:val="clear" w:color="auto" w:fill="FFFFFF"/>
        </w:rPr>
        <w:t xml:space="preserve"> EA wrote and edited the manuscript; All authors have read and approve the final manuscript.</w:t>
      </w:r>
    </w:p>
    <w:p w14:paraId="2D5D0BD3" w14:textId="77777777" w:rsidR="00A77B3E" w:rsidRPr="00A725BB" w:rsidRDefault="00A77B3E" w:rsidP="00A725BB">
      <w:pPr>
        <w:adjustRightInd w:val="0"/>
        <w:snapToGrid w:val="0"/>
        <w:spacing w:line="360" w:lineRule="auto"/>
        <w:jc w:val="both"/>
        <w:rPr>
          <w:rFonts w:ascii="Book Antiqua" w:hAnsi="Book Antiqua"/>
        </w:rPr>
      </w:pPr>
    </w:p>
    <w:p w14:paraId="659B5F83"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Corresponding author: Erik A </w:t>
      </w:r>
      <w:proofErr w:type="spellStart"/>
      <w:r w:rsidRPr="00A725BB">
        <w:rPr>
          <w:rFonts w:ascii="Book Antiqua" w:eastAsia="Book Antiqua" w:hAnsi="Book Antiqua" w:cs="Book Antiqua"/>
          <w:b/>
          <w:bCs/>
          <w:color w:val="000000"/>
        </w:rPr>
        <w:t>Hasenboehler</w:t>
      </w:r>
      <w:proofErr w:type="spellEnd"/>
      <w:r w:rsidRPr="00A725BB">
        <w:rPr>
          <w:rFonts w:ascii="Book Antiqua" w:eastAsia="Book Antiqua" w:hAnsi="Book Antiqua" w:cs="Book Antiqua"/>
          <w:b/>
          <w:bCs/>
          <w:color w:val="000000"/>
        </w:rPr>
        <w:t xml:space="preserve">, MD, Assistant Professor, </w:t>
      </w:r>
      <w:r w:rsidRPr="00A725BB">
        <w:rPr>
          <w:rFonts w:ascii="Book Antiqua" w:eastAsia="Book Antiqua" w:hAnsi="Book Antiqua" w:cs="Book Antiqua"/>
          <w:color w:val="000000"/>
        </w:rPr>
        <w:t xml:space="preserve">Department of </w:t>
      </w:r>
      <w:proofErr w:type="spellStart"/>
      <w:r w:rsidRPr="00A725BB">
        <w:rPr>
          <w:rFonts w:ascii="Book Antiqua" w:eastAsia="Book Antiqua" w:hAnsi="Book Antiqua" w:cs="Book Antiqua"/>
          <w:color w:val="000000"/>
        </w:rPr>
        <w:t>Orthopaedics</w:t>
      </w:r>
      <w:proofErr w:type="spellEnd"/>
      <w:r w:rsidRPr="00A725BB">
        <w:rPr>
          <w:rFonts w:ascii="Book Antiqua" w:eastAsia="Book Antiqua" w:hAnsi="Book Antiqua" w:cs="Book Antiqua"/>
          <w:color w:val="000000"/>
        </w:rPr>
        <w:t>, Johns Hopkins School of Medicine, 4940 Eastern Avenue, Baltimore, MD 21205, United States. ehasenb1@jhmi.edu</w:t>
      </w:r>
    </w:p>
    <w:p w14:paraId="14AC17D5" w14:textId="77777777" w:rsidR="00A77B3E" w:rsidRPr="00A725BB" w:rsidRDefault="00A77B3E" w:rsidP="00A725BB">
      <w:pPr>
        <w:adjustRightInd w:val="0"/>
        <w:snapToGrid w:val="0"/>
        <w:spacing w:line="360" w:lineRule="auto"/>
        <w:jc w:val="both"/>
        <w:rPr>
          <w:rFonts w:ascii="Book Antiqua" w:hAnsi="Book Antiqua"/>
        </w:rPr>
      </w:pPr>
    </w:p>
    <w:p w14:paraId="291B07CB"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Received: </w:t>
      </w:r>
      <w:r w:rsidRPr="00A725BB">
        <w:rPr>
          <w:rFonts w:ascii="Book Antiqua" w:eastAsia="Book Antiqua" w:hAnsi="Book Antiqua" w:cs="Book Antiqua"/>
          <w:color w:val="000000"/>
        </w:rPr>
        <w:t>January 16, 2021</w:t>
      </w:r>
    </w:p>
    <w:p w14:paraId="0D06C02E"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Revised: </w:t>
      </w:r>
      <w:r w:rsidRPr="00A725BB">
        <w:rPr>
          <w:rFonts w:ascii="Book Antiqua" w:eastAsia="Book Antiqua" w:hAnsi="Book Antiqua" w:cs="Book Antiqua"/>
          <w:color w:val="000000"/>
        </w:rPr>
        <w:t>February 18, 2021</w:t>
      </w:r>
    </w:p>
    <w:p w14:paraId="5707587C" w14:textId="2A8DFB9C"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Accepted: </w:t>
      </w:r>
      <w:r w:rsidR="000E4D93" w:rsidRPr="000E4D93">
        <w:rPr>
          <w:rFonts w:ascii="Book Antiqua" w:eastAsia="Book Antiqua" w:hAnsi="Book Antiqua" w:cs="Book Antiqua"/>
          <w:color w:val="000000"/>
        </w:rPr>
        <w:t>April 9, 2021</w:t>
      </w:r>
    </w:p>
    <w:p w14:paraId="4FDA7A97"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Published online: </w:t>
      </w:r>
    </w:p>
    <w:p w14:paraId="0B9DE221" w14:textId="77777777" w:rsidR="00A77B3E" w:rsidRPr="00A725BB" w:rsidRDefault="00A77B3E" w:rsidP="00A725BB">
      <w:pPr>
        <w:adjustRightInd w:val="0"/>
        <w:snapToGrid w:val="0"/>
        <w:spacing w:line="360" w:lineRule="auto"/>
        <w:jc w:val="both"/>
        <w:rPr>
          <w:rFonts w:ascii="Book Antiqua" w:hAnsi="Book Antiqua"/>
        </w:rPr>
        <w:sectPr w:rsidR="00A77B3E" w:rsidRPr="00A725BB">
          <w:footerReference w:type="default" r:id="rId6"/>
          <w:pgSz w:w="12240" w:h="15840"/>
          <w:pgMar w:top="1440" w:right="1440" w:bottom="1440" w:left="1440" w:header="720" w:footer="720" w:gutter="0"/>
          <w:cols w:space="720"/>
          <w:docGrid w:linePitch="360"/>
        </w:sectPr>
      </w:pPr>
    </w:p>
    <w:p w14:paraId="42F8B559"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lastRenderedPageBreak/>
        <w:t>Abstract</w:t>
      </w:r>
    </w:p>
    <w:p w14:paraId="5A51FB5C"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BACKGROUND</w:t>
      </w:r>
    </w:p>
    <w:p w14:paraId="1624E512"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Maximum surgical blood order schedules were designed to eliminate unnecessary preoperative crossmatching prior to surgery in order to conserve blood bank resources. Most protocols recommend type and cross of 2 red blood cell (RBC) units for patients undergoing surgery for treatment of hip fracture. Preoperative hemoglobin has been identified as the strongest predictor of inpatient transfusion, but current maximum surgical blood order schedules do not consider preoperative hemoglobin values to determine the number of RBC units to prepare prior to surgery. </w:t>
      </w:r>
    </w:p>
    <w:p w14:paraId="2074A58E" w14:textId="77777777" w:rsidR="00A77B3E" w:rsidRPr="00A725BB" w:rsidRDefault="00A77B3E" w:rsidP="00A725BB">
      <w:pPr>
        <w:adjustRightInd w:val="0"/>
        <w:snapToGrid w:val="0"/>
        <w:spacing w:line="360" w:lineRule="auto"/>
        <w:jc w:val="both"/>
        <w:rPr>
          <w:rFonts w:ascii="Book Antiqua" w:hAnsi="Book Antiqua"/>
        </w:rPr>
      </w:pPr>
    </w:p>
    <w:p w14:paraId="35FFED09"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AIM</w:t>
      </w:r>
    </w:p>
    <w:p w14:paraId="363551CE"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To determine the preoperative hemoglobin level resulting in the optimal 2:1 crossmatch-to-transfusion (</w:t>
      </w:r>
      <w:proofErr w:type="gramStart"/>
      <w:r w:rsidRPr="00A725BB">
        <w:rPr>
          <w:rFonts w:ascii="Book Antiqua" w:eastAsia="Book Antiqua" w:hAnsi="Book Antiqua" w:cs="Book Antiqua"/>
          <w:color w:val="000000"/>
        </w:rPr>
        <w:t>C:T</w:t>
      </w:r>
      <w:proofErr w:type="gramEnd"/>
      <w:r w:rsidRPr="00A725BB">
        <w:rPr>
          <w:rFonts w:ascii="Book Antiqua" w:eastAsia="Book Antiqua" w:hAnsi="Book Antiqua" w:cs="Book Antiqua"/>
          <w:color w:val="000000"/>
        </w:rPr>
        <w:t>) ratio in hip fracture surgery patients.</w:t>
      </w:r>
    </w:p>
    <w:p w14:paraId="36901604" w14:textId="77777777" w:rsidR="00A77B3E" w:rsidRPr="00A725BB" w:rsidRDefault="00A77B3E" w:rsidP="00A725BB">
      <w:pPr>
        <w:adjustRightInd w:val="0"/>
        <w:snapToGrid w:val="0"/>
        <w:spacing w:line="360" w:lineRule="auto"/>
        <w:jc w:val="both"/>
        <w:rPr>
          <w:rFonts w:ascii="Book Antiqua" w:hAnsi="Book Antiqua"/>
        </w:rPr>
      </w:pPr>
    </w:p>
    <w:p w14:paraId="50A96A8C"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METHODS</w:t>
      </w:r>
    </w:p>
    <w:p w14:paraId="0E696790"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In 2015 a patient blood management (PBM) program was implemented at our institution mandating a single unit-per-occurrence transfusion policy and a restrictive transfusion threshold of &lt; 7 g/dL hemoglobin in asymptomatic patients and &lt; 8 g/dL in those with refractory symptomatic anemia or history of coronary artery disease. We identified all hip fracture patients between 2013 and 2017 and compared the preoperative hemoglobin which would predict a 2:1 C:T ratio in the pre PBM and post PBM cohorts. Prediction profiling and sensitivity analysis were performed with statistical significance set at </w:t>
      </w:r>
      <w:r w:rsidRPr="00A725BB">
        <w:rPr>
          <w:rFonts w:ascii="Book Antiqua" w:eastAsia="Book Antiqua" w:hAnsi="Book Antiqua" w:cs="Book Antiqua"/>
          <w:i/>
          <w:iCs/>
          <w:color w:val="000000"/>
        </w:rPr>
        <w:t>P</w:t>
      </w:r>
      <w:r w:rsidRPr="00A725BB">
        <w:rPr>
          <w:rFonts w:ascii="Book Antiqua" w:eastAsia="Book Antiqua" w:hAnsi="Book Antiqua" w:cs="Book Antiqua"/>
          <w:color w:val="000000"/>
        </w:rPr>
        <w:t xml:space="preserve"> &lt; 0.05. </w:t>
      </w:r>
    </w:p>
    <w:p w14:paraId="7CB6A599" w14:textId="77777777" w:rsidR="00A77B3E" w:rsidRPr="00A725BB" w:rsidRDefault="00A77B3E" w:rsidP="00A725BB">
      <w:pPr>
        <w:adjustRightInd w:val="0"/>
        <w:snapToGrid w:val="0"/>
        <w:spacing w:line="360" w:lineRule="auto"/>
        <w:jc w:val="both"/>
        <w:rPr>
          <w:rFonts w:ascii="Book Antiqua" w:hAnsi="Book Antiqua"/>
        </w:rPr>
      </w:pPr>
    </w:p>
    <w:p w14:paraId="05FBD7D2"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RESULTS</w:t>
      </w:r>
    </w:p>
    <w:p w14:paraId="299342DF"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Four hundred and ninety-eight patients who underwent hip fracture surgery between 2013 and 2017 were identified, 291 in the post PBM cohort. Transfusion requirements in the post PBM cohort were lower (51% </w:t>
      </w:r>
      <w:r w:rsidRPr="00A725BB">
        <w:rPr>
          <w:rFonts w:ascii="Book Antiqua" w:eastAsia="Book Antiqua" w:hAnsi="Book Antiqua" w:cs="Book Antiqua"/>
          <w:i/>
          <w:iCs/>
          <w:color w:val="000000"/>
        </w:rPr>
        <w:t>vs</w:t>
      </w:r>
      <w:r w:rsidRPr="00A725BB">
        <w:rPr>
          <w:rFonts w:ascii="Book Antiqua" w:eastAsia="Book Antiqua" w:hAnsi="Book Antiqua" w:cs="Book Antiqua"/>
          <w:color w:val="000000"/>
        </w:rPr>
        <w:t xml:space="preserve"> 33%, </w:t>
      </w:r>
      <w:r w:rsidRPr="00A725BB">
        <w:rPr>
          <w:rFonts w:ascii="Book Antiqua" w:eastAsia="Book Antiqua" w:hAnsi="Book Antiqua" w:cs="Book Antiqua"/>
          <w:i/>
          <w:iCs/>
          <w:color w:val="000000"/>
        </w:rPr>
        <w:t>P</w:t>
      </w:r>
      <w:r w:rsidRPr="00A725BB">
        <w:rPr>
          <w:rFonts w:ascii="Book Antiqua" w:eastAsia="Book Antiqua" w:hAnsi="Book Antiqua" w:cs="Book Antiqua"/>
          <w:color w:val="000000"/>
        </w:rPr>
        <w:t xml:space="preserve"> &lt; 0.0001) than in the pre PBM cohort. The mean RBC units transfused per patient was 1.15 in the pre PBM cohort, compared to 0.66 in the post PBM cohort (</w:t>
      </w:r>
      <w:r w:rsidRPr="00A725BB">
        <w:rPr>
          <w:rFonts w:ascii="Book Antiqua" w:eastAsia="Book Antiqua" w:hAnsi="Book Antiqua" w:cs="Book Antiqua"/>
          <w:i/>
          <w:iCs/>
          <w:color w:val="000000"/>
        </w:rPr>
        <w:t>P</w:t>
      </w:r>
      <w:r w:rsidRPr="00A725BB">
        <w:rPr>
          <w:rFonts w:ascii="Book Antiqua" w:eastAsia="Book Antiqua" w:hAnsi="Book Antiqua" w:cs="Book Antiqua"/>
          <w:color w:val="000000"/>
        </w:rPr>
        <w:t xml:space="preserve"> &lt; 0.001). The 2:1 C:T ratio (inpatient transfusion probability of </w:t>
      </w:r>
      <w:r w:rsidRPr="00A725BB">
        <w:rPr>
          <w:rFonts w:ascii="Book Antiqua" w:eastAsia="Book Antiqua" w:hAnsi="Book Antiqua" w:cs="Book Antiqua"/>
          <w:color w:val="000000"/>
        </w:rPr>
        <w:lastRenderedPageBreak/>
        <w:t>50%) was predicted by a preoperative hemoglobin of 12.3 g/dL [area under the curve (AUC) 0.78 (95% confidence interval (CI), 0.72-0.83), Sensitivity 0.66] in the pre PBM cohort and 10.7 g/dL [AUC 0.78 (95%CI, 0.73-0.83), Sensitivity 0.88] in the post PBM cohort. A 50% probability of requiring &gt; 1 RBC unit was predicted by 11.2g/dL [AUC 0.80 (95%CI, 0.74-0.85), Sensitivity 0.87] in the pre PBM cohort and 8.7g/dL [AUC 0.78 (95%CI, 0.73-0.83), Sensitivity 0.84] in the post-PBM cohort.</w:t>
      </w:r>
    </w:p>
    <w:p w14:paraId="1179259A" w14:textId="77777777" w:rsidR="00A77B3E" w:rsidRPr="00A725BB" w:rsidRDefault="00A77B3E" w:rsidP="00A725BB">
      <w:pPr>
        <w:adjustRightInd w:val="0"/>
        <w:snapToGrid w:val="0"/>
        <w:spacing w:line="360" w:lineRule="auto"/>
        <w:jc w:val="both"/>
        <w:rPr>
          <w:rFonts w:ascii="Book Antiqua" w:hAnsi="Book Antiqua"/>
        </w:rPr>
      </w:pPr>
    </w:p>
    <w:p w14:paraId="6FA44E73"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CONCLUSION</w:t>
      </w:r>
    </w:p>
    <w:p w14:paraId="0D6272E3"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The hip fracture maximum surgical blood order schedule should consider preoperative hemoglobin in determining the number of units to type and cross prior to surgery. </w:t>
      </w:r>
    </w:p>
    <w:p w14:paraId="14DE3187" w14:textId="77777777" w:rsidR="00A77B3E" w:rsidRPr="00A725BB" w:rsidRDefault="00A77B3E" w:rsidP="00A725BB">
      <w:pPr>
        <w:adjustRightInd w:val="0"/>
        <w:snapToGrid w:val="0"/>
        <w:spacing w:line="360" w:lineRule="auto"/>
        <w:jc w:val="both"/>
        <w:rPr>
          <w:rFonts w:ascii="Book Antiqua" w:hAnsi="Book Antiqua"/>
        </w:rPr>
      </w:pPr>
    </w:p>
    <w:p w14:paraId="2B1ED153"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Key Words: </w:t>
      </w:r>
      <w:bookmarkStart w:id="0" w:name="OLE_LINK1"/>
      <w:bookmarkStart w:id="1" w:name="OLE_LINK2"/>
      <w:r w:rsidRPr="00A725BB">
        <w:rPr>
          <w:rFonts w:ascii="Book Antiqua" w:eastAsia="Book Antiqua" w:hAnsi="Book Antiqua" w:cs="Book Antiqua"/>
          <w:color w:val="000000"/>
        </w:rPr>
        <w:t>Hip fracture; Transfusion; Blood conservation; Hemoglobin; Type and cross; Maximum surgical blood order schedule</w:t>
      </w:r>
      <w:bookmarkEnd w:id="0"/>
      <w:bookmarkEnd w:id="1"/>
    </w:p>
    <w:p w14:paraId="5851295A" w14:textId="77777777" w:rsidR="00A77B3E" w:rsidRPr="00A725BB" w:rsidRDefault="00A77B3E" w:rsidP="00A725BB">
      <w:pPr>
        <w:adjustRightInd w:val="0"/>
        <w:snapToGrid w:val="0"/>
        <w:spacing w:line="360" w:lineRule="auto"/>
        <w:jc w:val="both"/>
        <w:rPr>
          <w:rFonts w:ascii="Book Antiqua" w:hAnsi="Book Antiqua"/>
        </w:rPr>
      </w:pPr>
    </w:p>
    <w:p w14:paraId="3CAC577C"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Amin RM, </w:t>
      </w:r>
      <w:proofErr w:type="spellStart"/>
      <w:r w:rsidRPr="00A725BB">
        <w:rPr>
          <w:rFonts w:ascii="Book Antiqua" w:eastAsia="Book Antiqua" w:hAnsi="Book Antiqua" w:cs="Book Antiqua"/>
          <w:color w:val="000000"/>
        </w:rPr>
        <w:t>Puvanesarajah</w:t>
      </w:r>
      <w:proofErr w:type="spellEnd"/>
      <w:r w:rsidRPr="00A725BB">
        <w:rPr>
          <w:rFonts w:ascii="Book Antiqua" w:eastAsia="Book Antiqua" w:hAnsi="Book Antiqua" w:cs="Book Antiqua"/>
          <w:color w:val="000000"/>
        </w:rPr>
        <w:t xml:space="preserve"> V, Chaudhry YP, Best MJ, Rao SS, Frank SM, </w:t>
      </w:r>
      <w:proofErr w:type="spellStart"/>
      <w:r w:rsidRPr="00A725BB">
        <w:rPr>
          <w:rFonts w:ascii="Book Antiqua" w:eastAsia="Book Antiqua" w:hAnsi="Book Antiqua" w:cs="Book Antiqua"/>
          <w:color w:val="000000"/>
        </w:rPr>
        <w:t>Hasenboehler</w:t>
      </w:r>
      <w:proofErr w:type="spellEnd"/>
      <w:r w:rsidRPr="00A725BB">
        <w:rPr>
          <w:rFonts w:ascii="Book Antiqua" w:eastAsia="Book Antiqua" w:hAnsi="Book Antiqua" w:cs="Book Antiqua"/>
          <w:color w:val="000000"/>
        </w:rPr>
        <w:t xml:space="preserve"> EA. Reducing unnecessary crossmatching for hip fracture patients by accounting for preoperative hemoglobin concentration. </w:t>
      </w:r>
      <w:r w:rsidRPr="00A725BB">
        <w:rPr>
          <w:rFonts w:ascii="Book Antiqua" w:eastAsia="Book Antiqua" w:hAnsi="Book Antiqua" w:cs="Book Antiqua"/>
          <w:i/>
          <w:iCs/>
          <w:color w:val="000000"/>
        </w:rPr>
        <w:t xml:space="preserve">World J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color w:val="000000"/>
        </w:rPr>
        <w:t xml:space="preserve"> 2021; In press</w:t>
      </w:r>
    </w:p>
    <w:p w14:paraId="3AA4F834" w14:textId="77777777" w:rsidR="00A77B3E" w:rsidRPr="00A725BB" w:rsidRDefault="00A77B3E" w:rsidP="00A725BB">
      <w:pPr>
        <w:adjustRightInd w:val="0"/>
        <w:snapToGrid w:val="0"/>
        <w:spacing w:line="360" w:lineRule="auto"/>
        <w:jc w:val="both"/>
        <w:rPr>
          <w:rFonts w:ascii="Book Antiqua" w:hAnsi="Book Antiqua"/>
        </w:rPr>
      </w:pPr>
    </w:p>
    <w:p w14:paraId="65D2B9A8"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Core Tip: </w:t>
      </w:r>
      <w:r w:rsidRPr="00A725BB">
        <w:rPr>
          <w:rFonts w:ascii="Book Antiqua" w:eastAsia="Book Antiqua" w:hAnsi="Book Antiqua" w:cs="Book Antiqua"/>
          <w:color w:val="000000"/>
        </w:rPr>
        <w:t>Implementation of patient blood management programs has led to a decrease in transfusion needs in hip fracture surgery patients. Preoperative hemoglobin plays a significant role in determining transfusion needs in these patients. Maximum surgical blood order schedules should be adjusted based on preoperative hemoglobin values to reduce unnecessary blood product waste and conserve resources.</w:t>
      </w:r>
    </w:p>
    <w:p w14:paraId="602948E8" w14:textId="77777777" w:rsidR="00A77B3E" w:rsidRPr="00A725BB" w:rsidRDefault="00A77B3E" w:rsidP="00A725BB">
      <w:pPr>
        <w:adjustRightInd w:val="0"/>
        <w:snapToGrid w:val="0"/>
        <w:spacing w:line="360" w:lineRule="auto"/>
        <w:jc w:val="both"/>
        <w:rPr>
          <w:rFonts w:ascii="Book Antiqua" w:hAnsi="Book Antiqua"/>
        </w:rPr>
      </w:pPr>
    </w:p>
    <w:p w14:paraId="2ADED52F"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aps/>
          <w:color w:val="000000"/>
          <w:u w:val="single"/>
        </w:rPr>
        <w:t>INTRODUCTION</w:t>
      </w:r>
    </w:p>
    <w:p w14:paraId="41A52AF0"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Patients with hip fractures constitute a particularly frail patient population due to their elevated comorbidity </w:t>
      </w:r>
      <w:proofErr w:type="gramStart"/>
      <w:r w:rsidRPr="00A725BB">
        <w:rPr>
          <w:rFonts w:ascii="Book Antiqua" w:eastAsia="Book Antiqua" w:hAnsi="Book Antiqua" w:cs="Book Antiqua"/>
          <w:color w:val="000000"/>
        </w:rPr>
        <w:t>burden</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1]</w:t>
      </w:r>
      <w:r w:rsidRPr="00A725BB">
        <w:rPr>
          <w:rFonts w:ascii="Book Antiqua" w:eastAsia="Book Antiqua" w:hAnsi="Book Antiqua" w:cs="Book Antiqua"/>
          <w:color w:val="000000"/>
        </w:rPr>
        <w:t xml:space="preserve">. Given the nature of the injury and poor health status of this population, many of these patients require perioperative allogeneic red blood cell (RBC) </w:t>
      </w:r>
      <w:proofErr w:type="gramStart"/>
      <w:r w:rsidRPr="00A725BB">
        <w:rPr>
          <w:rFonts w:ascii="Book Antiqua" w:eastAsia="Book Antiqua" w:hAnsi="Book Antiqua" w:cs="Book Antiqua"/>
          <w:color w:val="000000"/>
        </w:rPr>
        <w:t>transfusions</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2,3]</w:t>
      </w:r>
      <w:r w:rsidRPr="00A725BB">
        <w:rPr>
          <w:rFonts w:ascii="Book Antiqua" w:eastAsia="Book Antiqua" w:hAnsi="Book Antiqua" w:cs="Book Antiqua"/>
          <w:color w:val="000000"/>
        </w:rPr>
        <w:t xml:space="preserve">. Transfusions in this population are not without risk as they are independently associated with surgical site infection and 1-year mortality and also </w:t>
      </w:r>
      <w:r w:rsidRPr="00A725BB">
        <w:rPr>
          <w:rFonts w:ascii="Book Antiqua" w:eastAsia="Book Antiqua" w:hAnsi="Book Antiqua" w:cs="Book Antiqua"/>
          <w:color w:val="000000"/>
        </w:rPr>
        <w:lastRenderedPageBreak/>
        <w:t xml:space="preserve">represent a limited </w:t>
      </w:r>
      <w:proofErr w:type="gramStart"/>
      <w:r w:rsidRPr="00A725BB">
        <w:rPr>
          <w:rFonts w:ascii="Book Antiqua" w:eastAsia="Book Antiqua" w:hAnsi="Book Antiqua" w:cs="Book Antiqua"/>
          <w:color w:val="000000"/>
        </w:rPr>
        <w:t>resource</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4-7]</w:t>
      </w:r>
      <w:r w:rsidRPr="00A725BB">
        <w:rPr>
          <w:rFonts w:ascii="Book Antiqua" w:eastAsia="Book Antiqua" w:hAnsi="Book Antiqua" w:cs="Book Antiqua"/>
          <w:color w:val="000000"/>
        </w:rPr>
        <w:t xml:space="preserve">. As such, substantial focus has been placed upon reducing the use of allogeneic RBCs in this </w:t>
      </w:r>
      <w:proofErr w:type="gramStart"/>
      <w:r w:rsidRPr="00A725BB">
        <w:rPr>
          <w:rFonts w:ascii="Book Antiqua" w:eastAsia="Book Antiqua" w:hAnsi="Book Antiqua" w:cs="Book Antiqua"/>
          <w:color w:val="000000"/>
        </w:rPr>
        <w:t>population</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8]</w:t>
      </w:r>
      <w:r w:rsidRPr="00A725BB">
        <w:rPr>
          <w:rFonts w:ascii="Book Antiqua" w:eastAsia="Book Antiqua" w:hAnsi="Book Antiqua" w:cs="Book Antiqua"/>
          <w:color w:val="000000"/>
        </w:rPr>
        <w:t>. Several measures including quicker time to surgery, conservative transfusion practices, and use of anti-fibrinolytic agents have been employed to successfully to reduce the transfusion incidence from 50% of patients to 30%-35% more recently</w:t>
      </w:r>
      <w:r w:rsidRPr="00A725BB">
        <w:rPr>
          <w:rFonts w:ascii="Book Antiqua" w:eastAsia="Book Antiqua" w:hAnsi="Book Antiqua" w:cs="Book Antiqua"/>
          <w:color w:val="000000"/>
          <w:vertAlign w:val="superscript"/>
        </w:rPr>
        <w:t>[8-13]</w:t>
      </w:r>
      <w:r w:rsidRPr="00A725BB">
        <w:rPr>
          <w:rFonts w:ascii="Book Antiqua" w:eastAsia="Book Antiqua" w:hAnsi="Book Antiqua" w:cs="Book Antiqua"/>
          <w:color w:val="000000"/>
        </w:rPr>
        <w:t>.</w:t>
      </w:r>
    </w:p>
    <w:p w14:paraId="786D223C" w14:textId="77777777" w:rsidR="00A77B3E" w:rsidRPr="00A725BB" w:rsidRDefault="00944988" w:rsidP="00A725BB">
      <w:pPr>
        <w:adjustRightInd w:val="0"/>
        <w:snapToGrid w:val="0"/>
        <w:spacing w:line="360" w:lineRule="auto"/>
        <w:ind w:firstLine="480"/>
        <w:jc w:val="both"/>
        <w:rPr>
          <w:rFonts w:ascii="Book Antiqua" w:hAnsi="Book Antiqua"/>
        </w:rPr>
      </w:pPr>
      <w:r w:rsidRPr="00A725BB">
        <w:rPr>
          <w:rFonts w:ascii="Book Antiqua" w:eastAsia="Book Antiqua" w:hAnsi="Book Antiqua" w:cs="Book Antiqua"/>
          <w:color w:val="000000"/>
        </w:rPr>
        <w:t xml:space="preserve">As blood transfusion rates have decreased, adjusting the number of units pre-operatively cross-matched is an important consideration. Over-crossmatching increases both the number of units taken out of the available blood bank inventory and the likelihood of discarding those units as they become closer to their storage duration limit </w:t>
      </w:r>
      <w:r w:rsidRPr="00A725BB">
        <w:rPr>
          <w:rFonts w:ascii="Book Antiqua" w:eastAsia="Book Antiqua" w:hAnsi="Book Antiqua" w:cs="Book Antiqua"/>
          <w:color w:val="000000"/>
          <w:vertAlign w:val="superscript"/>
        </w:rPr>
        <w:t>[14]</w:t>
      </w:r>
      <w:r w:rsidRPr="00A725BB">
        <w:rPr>
          <w:rFonts w:ascii="Book Antiqua" w:eastAsia="Book Antiqua" w:hAnsi="Book Antiqua" w:cs="Book Antiqua"/>
          <w:color w:val="000000"/>
        </w:rPr>
        <w:t xml:space="preserve">. To successfully reduce unneeded type-and-cross (T&amp;C) of blood prior to major surgical procedures, maximum surgical blood order schedules (MSBOS) have been widely </w:t>
      </w:r>
      <w:proofErr w:type="gramStart"/>
      <w:r w:rsidRPr="00A725BB">
        <w:rPr>
          <w:rFonts w:ascii="Book Antiqua" w:eastAsia="Book Antiqua" w:hAnsi="Book Antiqua" w:cs="Book Antiqua"/>
          <w:color w:val="000000"/>
        </w:rPr>
        <w:t>adopted</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15]</w:t>
      </w:r>
      <w:r w:rsidRPr="00A725BB">
        <w:rPr>
          <w:rFonts w:ascii="Book Antiqua" w:eastAsia="Book Antiqua" w:hAnsi="Book Antiqua" w:cs="Book Antiqua"/>
          <w:color w:val="000000"/>
        </w:rPr>
        <w:t>. Several algorithms for calculation have been employed with a consensus placed on optimum crossmatch to transfusion (</w:t>
      </w:r>
      <w:proofErr w:type="gramStart"/>
      <w:r w:rsidRPr="00A725BB">
        <w:rPr>
          <w:rFonts w:ascii="Book Antiqua" w:eastAsia="Book Antiqua" w:hAnsi="Book Antiqua" w:cs="Book Antiqua"/>
          <w:color w:val="000000"/>
        </w:rPr>
        <w:t>C:T</w:t>
      </w:r>
      <w:proofErr w:type="gramEnd"/>
      <w:r w:rsidRPr="00A725BB">
        <w:rPr>
          <w:rFonts w:ascii="Book Antiqua" w:eastAsia="Book Antiqua" w:hAnsi="Book Antiqua" w:cs="Book Antiqua"/>
          <w:color w:val="000000"/>
        </w:rPr>
        <w:t>) ratio of 2:1 for any surgical procedures</w:t>
      </w:r>
      <w:r w:rsidRPr="00A725BB">
        <w:rPr>
          <w:rFonts w:ascii="Book Antiqua" w:eastAsia="Book Antiqua" w:hAnsi="Book Antiqua" w:cs="Book Antiqua"/>
          <w:color w:val="000000"/>
          <w:vertAlign w:val="superscript"/>
        </w:rPr>
        <w:t>[14,16,17]</w:t>
      </w:r>
      <w:r w:rsidRPr="00A725BB">
        <w:rPr>
          <w:rFonts w:ascii="Book Antiqua" w:eastAsia="Book Antiqua" w:hAnsi="Book Antiqua" w:cs="Book Antiqua"/>
          <w:color w:val="000000"/>
        </w:rPr>
        <w:t xml:space="preserve">. These base crossmatching recommendations on surgical procedure to be performed without incorporation of patient specific variables </w:t>
      </w:r>
      <w:r w:rsidRPr="00A725BB">
        <w:rPr>
          <w:rFonts w:ascii="Book Antiqua" w:eastAsia="Book Antiqua" w:hAnsi="Book Antiqua" w:cs="Book Antiqua"/>
          <w:color w:val="000000"/>
          <w:vertAlign w:val="superscript"/>
        </w:rPr>
        <w:t>[19]</w:t>
      </w:r>
      <w:r w:rsidRPr="00A725BB">
        <w:rPr>
          <w:rFonts w:ascii="Book Antiqua" w:eastAsia="Book Antiqua" w:hAnsi="Book Antiqua" w:cs="Book Antiqua"/>
          <w:color w:val="000000"/>
        </w:rPr>
        <w:t xml:space="preserve">.  Patient specific factors have been previously shown to better predict RBC needs but are not employed in </w:t>
      </w:r>
      <w:proofErr w:type="gramStart"/>
      <w:r w:rsidRPr="00A725BB">
        <w:rPr>
          <w:rFonts w:ascii="Book Antiqua" w:eastAsia="Book Antiqua" w:hAnsi="Book Antiqua" w:cs="Book Antiqua"/>
          <w:color w:val="000000"/>
        </w:rPr>
        <w:t>MSBOS</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19-21]</w:t>
      </w:r>
      <w:r w:rsidRPr="00A725BB">
        <w:rPr>
          <w:rFonts w:ascii="Book Antiqua" w:eastAsia="Book Antiqua" w:hAnsi="Book Antiqua" w:cs="Book Antiqua"/>
          <w:color w:val="000000"/>
        </w:rPr>
        <w:t xml:space="preserve">. </w:t>
      </w:r>
    </w:p>
    <w:p w14:paraId="0DC74AF7" w14:textId="54BCE4F3" w:rsidR="00A77B3E" w:rsidRPr="00A725BB" w:rsidRDefault="00944988" w:rsidP="00A725BB">
      <w:pPr>
        <w:adjustRightInd w:val="0"/>
        <w:snapToGrid w:val="0"/>
        <w:spacing w:line="360" w:lineRule="auto"/>
        <w:ind w:firstLine="480"/>
        <w:jc w:val="both"/>
        <w:rPr>
          <w:rFonts w:ascii="Book Antiqua" w:hAnsi="Book Antiqua"/>
        </w:rPr>
      </w:pPr>
      <w:r w:rsidRPr="00A725BB">
        <w:rPr>
          <w:rFonts w:ascii="Book Antiqua" w:eastAsia="Book Antiqua" w:hAnsi="Book Antiqua" w:cs="Book Antiqua"/>
          <w:color w:val="000000"/>
        </w:rPr>
        <w:t xml:space="preserve">Nationally, most institutions practice crossmatching 2 units RBC ahead of hip fracture </w:t>
      </w:r>
      <w:proofErr w:type="gramStart"/>
      <w:r w:rsidRPr="00A725BB">
        <w:rPr>
          <w:rFonts w:ascii="Book Antiqua" w:eastAsia="Book Antiqua" w:hAnsi="Book Antiqua" w:cs="Book Antiqua"/>
          <w:color w:val="000000"/>
        </w:rPr>
        <w:t>surgery</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17]</w:t>
      </w:r>
      <w:r w:rsidRPr="00A725BB">
        <w:rPr>
          <w:rFonts w:ascii="Book Antiqua" w:eastAsia="Book Antiqua" w:hAnsi="Book Antiqua" w:cs="Book Antiqua"/>
          <w:color w:val="000000"/>
        </w:rPr>
        <w:t xml:space="preserve">. These guidelines may be based on RBC utilization with a transfusion threshold of &lt; 8 g/dL, as recommended by the American Association of Blood Banks and American Academy of </w:t>
      </w:r>
      <w:proofErr w:type="spellStart"/>
      <w:r w:rsidRPr="00A725BB">
        <w:rPr>
          <w:rFonts w:ascii="Book Antiqua" w:eastAsia="Book Antiqua" w:hAnsi="Book Antiqua" w:cs="Book Antiqua"/>
          <w:color w:val="000000"/>
        </w:rPr>
        <w:t>Orthopaedic</w:t>
      </w:r>
      <w:proofErr w:type="spellEnd"/>
      <w:r w:rsidRPr="00A725BB">
        <w:rPr>
          <w:rFonts w:ascii="Book Antiqua" w:eastAsia="Book Antiqua" w:hAnsi="Book Antiqua" w:cs="Book Antiqua"/>
          <w:color w:val="000000"/>
        </w:rPr>
        <w:t xml:space="preserve"> </w:t>
      </w:r>
      <w:proofErr w:type="gramStart"/>
      <w:r w:rsidRPr="00A725BB">
        <w:rPr>
          <w:rFonts w:ascii="Book Antiqua" w:eastAsia="Book Antiqua" w:hAnsi="Book Antiqua" w:cs="Book Antiqua"/>
          <w:color w:val="000000"/>
        </w:rPr>
        <w:t>Surgeons</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23,24]</w:t>
      </w:r>
      <w:r w:rsidRPr="00A725BB">
        <w:rPr>
          <w:rFonts w:ascii="Book Antiqua" w:eastAsia="Book Antiqua" w:hAnsi="Book Antiqua" w:cs="Book Antiqua"/>
          <w:color w:val="000000"/>
        </w:rPr>
        <w:t>, however, an increasing body of recent literature has demonstrated that transfusion thresholds of Hgb &lt; 7 g/dL are safe in this population</w:t>
      </w:r>
      <w:r w:rsidRPr="00A725BB">
        <w:rPr>
          <w:rFonts w:ascii="Book Antiqua" w:eastAsia="Book Antiqua" w:hAnsi="Book Antiqua" w:cs="Book Antiqua"/>
          <w:color w:val="000000"/>
          <w:vertAlign w:val="superscript"/>
        </w:rPr>
        <w:t>[10]</w:t>
      </w:r>
      <w:r w:rsidRPr="00A725BB">
        <w:rPr>
          <w:rFonts w:ascii="Book Antiqua" w:eastAsia="Book Antiqua" w:hAnsi="Book Antiqua" w:cs="Book Antiqua"/>
          <w:color w:val="000000"/>
        </w:rPr>
        <w:t xml:space="preserve">. As such, using this crossmatch generalization for all hip fracture patients inadvertently results in over-crossmatching for many patients, while potentially under cross-matching for a small subset of very frail patients. It stands to reason that more accurate cross-matching practices could be determined by using broadly understood patient specific factors, including preoperative hemoglobin, which, although not typically considered in the MSBOS, has been identified as one of the strongest predictors of transfusion </w:t>
      </w:r>
      <w:proofErr w:type="gramStart"/>
      <w:r w:rsidRPr="00A725BB">
        <w:rPr>
          <w:rFonts w:ascii="Book Antiqua" w:eastAsia="Book Antiqua" w:hAnsi="Book Antiqua" w:cs="Book Antiqua"/>
          <w:color w:val="000000"/>
        </w:rPr>
        <w:t>requirements</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2,25-27]</w:t>
      </w:r>
      <w:r w:rsidRPr="00A725BB">
        <w:rPr>
          <w:rFonts w:ascii="Book Antiqua" w:eastAsia="Book Antiqua" w:hAnsi="Book Antiqua" w:cs="Book Antiqua"/>
          <w:color w:val="000000"/>
        </w:rPr>
        <w:t xml:space="preserve">. </w:t>
      </w:r>
    </w:p>
    <w:p w14:paraId="3193A040" w14:textId="77777777" w:rsidR="00A77B3E" w:rsidRPr="00A725BB" w:rsidRDefault="00944988" w:rsidP="00A725BB">
      <w:pPr>
        <w:adjustRightInd w:val="0"/>
        <w:snapToGrid w:val="0"/>
        <w:spacing w:line="360" w:lineRule="auto"/>
        <w:ind w:firstLine="480"/>
        <w:jc w:val="both"/>
        <w:rPr>
          <w:rFonts w:ascii="Book Antiqua" w:hAnsi="Book Antiqua"/>
        </w:rPr>
      </w:pPr>
      <w:r w:rsidRPr="00A725BB">
        <w:rPr>
          <w:rFonts w:ascii="Book Antiqua" w:eastAsia="Book Antiqua" w:hAnsi="Book Antiqua" w:cs="Book Antiqua"/>
          <w:color w:val="000000"/>
        </w:rPr>
        <w:lastRenderedPageBreak/>
        <w:t xml:space="preserve">In an era of increased emphasis on value-based care, incorporation of simple, predictive patient factors is necessary to prevent unneeded crossmatching. With our implementation of a widely utilized restrictive transfusion strategy (hemoglobin transfusion threshold of &lt; 7 g/dL in asymptomatic patients, &lt; 8 g/dL in history of coronary artery disease, and single RBC unit per occurrence) we sought to redefine clinically significant anemia (the Hgb level which predicts a 50% transfusion rate) to reduce the number of units crossmatched for this population. </w:t>
      </w:r>
    </w:p>
    <w:p w14:paraId="07778BC6" w14:textId="77777777" w:rsidR="00A77B3E" w:rsidRPr="00A725BB" w:rsidRDefault="00A77B3E" w:rsidP="00A725BB">
      <w:pPr>
        <w:adjustRightInd w:val="0"/>
        <w:snapToGrid w:val="0"/>
        <w:spacing w:line="360" w:lineRule="auto"/>
        <w:ind w:firstLine="480"/>
        <w:jc w:val="both"/>
        <w:rPr>
          <w:rFonts w:ascii="Book Antiqua" w:hAnsi="Book Antiqua"/>
        </w:rPr>
      </w:pPr>
    </w:p>
    <w:p w14:paraId="1039DA36"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aps/>
          <w:color w:val="000000"/>
          <w:u w:val="single"/>
        </w:rPr>
        <w:t>MATERIALS AND METHODS</w:t>
      </w:r>
    </w:p>
    <w:p w14:paraId="167514B3"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Institutional review board approval was obtained for this study. Documentation of consent was waived by our institutional review board as this was a minimal risk retrospective review of electronic medical record data.</w:t>
      </w:r>
    </w:p>
    <w:p w14:paraId="24A7CAA8" w14:textId="77777777" w:rsidR="00A77B3E" w:rsidRPr="00A725BB" w:rsidRDefault="00944988" w:rsidP="00A725BB">
      <w:pPr>
        <w:adjustRightInd w:val="0"/>
        <w:snapToGrid w:val="0"/>
        <w:spacing w:line="360" w:lineRule="auto"/>
        <w:ind w:firstLine="480"/>
        <w:jc w:val="both"/>
        <w:rPr>
          <w:rFonts w:ascii="Book Antiqua" w:hAnsi="Book Antiqua"/>
        </w:rPr>
      </w:pPr>
      <w:r w:rsidRPr="00A725BB">
        <w:rPr>
          <w:rFonts w:ascii="Book Antiqua" w:eastAsia="Book Antiqua" w:hAnsi="Book Antiqua" w:cs="Book Antiqua"/>
          <w:color w:val="000000"/>
        </w:rPr>
        <w:t xml:space="preserve">We reviewed the medical records of 498 consecutive patients admitted to our level 2 trauma center from January 2013 to May 2017. Patients with </w:t>
      </w:r>
      <w:proofErr w:type="spellStart"/>
      <w:r w:rsidRPr="00A725BB">
        <w:rPr>
          <w:rFonts w:ascii="Book Antiqua" w:eastAsia="Book Antiqua" w:hAnsi="Book Antiqua" w:cs="Book Antiqua"/>
          <w:i/>
          <w:iCs/>
          <w:color w:val="000000"/>
        </w:rPr>
        <w:t>Arbeitsgemeinschaft</w:t>
      </w:r>
      <w:proofErr w:type="spellEnd"/>
      <w:r w:rsidRPr="00A725BB">
        <w:rPr>
          <w:rFonts w:ascii="Book Antiqua" w:eastAsia="Book Antiqua" w:hAnsi="Book Antiqua" w:cs="Book Antiqua"/>
          <w:i/>
          <w:iCs/>
          <w:color w:val="000000"/>
        </w:rPr>
        <w:t xml:space="preserve"> </w:t>
      </w:r>
      <w:proofErr w:type="spellStart"/>
      <w:r w:rsidRPr="00A725BB">
        <w:rPr>
          <w:rFonts w:ascii="Book Antiqua" w:eastAsia="Book Antiqua" w:hAnsi="Book Antiqua" w:cs="Book Antiqua"/>
          <w:i/>
          <w:iCs/>
          <w:color w:val="000000"/>
        </w:rPr>
        <w:t>für</w:t>
      </w:r>
      <w:proofErr w:type="spellEnd"/>
      <w:r w:rsidRPr="00A725BB">
        <w:rPr>
          <w:rFonts w:ascii="Book Antiqua" w:eastAsia="Book Antiqua" w:hAnsi="Book Antiqua" w:cs="Book Antiqua"/>
          <w:i/>
          <w:iCs/>
          <w:color w:val="000000"/>
        </w:rPr>
        <w:t xml:space="preserve"> </w:t>
      </w:r>
      <w:proofErr w:type="spellStart"/>
      <w:r w:rsidRPr="00A725BB">
        <w:rPr>
          <w:rFonts w:ascii="Book Antiqua" w:eastAsia="Book Antiqua" w:hAnsi="Book Antiqua" w:cs="Book Antiqua"/>
          <w:i/>
          <w:iCs/>
          <w:color w:val="000000"/>
        </w:rPr>
        <w:t>Osteosynthesefragen</w:t>
      </w:r>
      <w:proofErr w:type="spellEnd"/>
      <w:r w:rsidRPr="00A725BB">
        <w:rPr>
          <w:rFonts w:ascii="Book Antiqua" w:eastAsia="Book Antiqua" w:hAnsi="Book Antiqua" w:cs="Book Antiqua"/>
          <w:color w:val="000000"/>
        </w:rPr>
        <w:t xml:space="preserve"> classification fractures of 31A1, 31A2, 31A3, 31B1, 31B2, 31B3, 31C1, 31C2, 31C3 were eligible for inclusion. Patients were excluded if they were both admitted and discharged by the acute care general surgery trauma service or if the fracture was oncologic in nature. The prior exclusion criteria were based on the high likelihood of additional, </w:t>
      </w:r>
      <w:proofErr w:type="spellStart"/>
      <w:r w:rsidRPr="00A725BB">
        <w:rPr>
          <w:rFonts w:ascii="Book Antiqua" w:eastAsia="Book Antiqua" w:hAnsi="Book Antiqua" w:cs="Book Antiqua"/>
          <w:color w:val="000000"/>
        </w:rPr>
        <w:t>nonorthopaedic</w:t>
      </w:r>
      <w:proofErr w:type="spellEnd"/>
      <w:r w:rsidRPr="00A725BB">
        <w:rPr>
          <w:rFonts w:ascii="Book Antiqua" w:eastAsia="Book Antiqua" w:hAnsi="Book Antiqua" w:cs="Book Antiqua"/>
          <w:color w:val="000000"/>
        </w:rPr>
        <w:t xml:space="preserve">, surgical procedures in these population per our institutional admitting guidelines. </w:t>
      </w:r>
    </w:p>
    <w:p w14:paraId="54164847" w14:textId="77777777" w:rsidR="00A77B3E" w:rsidRPr="00A725BB" w:rsidRDefault="00944988" w:rsidP="00A725BB">
      <w:pPr>
        <w:adjustRightInd w:val="0"/>
        <w:snapToGrid w:val="0"/>
        <w:spacing w:line="360" w:lineRule="auto"/>
        <w:ind w:firstLine="480"/>
        <w:jc w:val="both"/>
        <w:rPr>
          <w:rFonts w:ascii="Book Antiqua" w:hAnsi="Book Antiqua"/>
        </w:rPr>
      </w:pPr>
      <w:r w:rsidRPr="00A725BB">
        <w:rPr>
          <w:rFonts w:ascii="Book Antiqua" w:eastAsia="Book Antiqua" w:hAnsi="Book Antiqua" w:cs="Book Antiqua"/>
          <w:color w:val="000000"/>
        </w:rPr>
        <w:t xml:space="preserve">Beginning in January 2015 a patient blood management (PBM) program was implemented at our institution. This program included lowering postoperative RBC transfusion threshold to Hgb &lt; 7 g/dL in hemodynamically stable patients and &lt; 8 g/dL in patients with a history of coronary artery disease or symptomatic anemia (hypotension and/or tachycardia refractory to fluid management, lightheadedness, and lethargy), and single-unit </w:t>
      </w:r>
      <w:proofErr w:type="spellStart"/>
      <w:r w:rsidRPr="00A725BB">
        <w:rPr>
          <w:rFonts w:ascii="Book Antiqua" w:eastAsia="Book Antiqua" w:hAnsi="Book Antiqua" w:cs="Book Antiqua"/>
          <w:color w:val="000000"/>
        </w:rPr>
        <w:t>pRBC</w:t>
      </w:r>
      <w:proofErr w:type="spellEnd"/>
      <w:r w:rsidRPr="00A725BB">
        <w:rPr>
          <w:rFonts w:ascii="Book Antiqua" w:eastAsia="Book Antiqua" w:hAnsi="Book Antiqua" w:cs="Book Antiqua"/>
          <w:color w:val="000000"/>
        </w:rPr>
        <w:t xml:space="preserve"> transfusions followed by reassessment before transfusion of additional units. Antifibrinolytic agents such as tranexamic acid were not used in our patient population. Based on the implementation date of January 1, 2015, patients were stratified into a pre-PBM group (January 2013 through December 2014, </w:t>
      </w:r>
      <w:r w:rsidRPr="00A725BB">
        <w:rPr>
          <w:rFonts w:ascii="Book Antiqua" w:eastAsia="Book Antiqua" w:hAnsi="Book Antiqua" w:cs="Book Antiqua"/>
          <w:i/>
          <w:iCs/>
          <w:color w:val="000000"/>
        </w:rPr>
        <w:t>n</w:t>
      </w:r>
      <w:r w:rsidRPr="00A725BB">
        <w:rPr>
          <w:rFonts w:ascii="Book Antiqua" w:eastAsia="Book Antiqua" w:hAnsi="Book Antiqua" w:cs="Book Antiqua"/>
          <w:color w:val="000000"/>
        </w:rPr>
        <w:t xml:space="preserve"> = 201) and a post-PBM group (January 2015 through May 2017, </w:t>
      </w:r>
      <w:r w:rsidRPr="00A725BB">
        <w:rPr>
          <w:rFonts w:ascii="Book Antiqua" w:eastAsia="Book Antiqua" w:hAnsi="Book Antiqua" w:cs="Book Antiqua"/>
          <w:i/>
          <w:iCs/>
          <w:color w:val="000000"/>
        </w:rPr>
        <w:t>n</w:t>
      </w:r>
      <w:r w:rsidRPr="00A725BB">
        <w:rPr>
          <w:rFonts w:ascii="Book Antiqua" w:eastAsia="Book Antiqua" w:hAnsi="Book Antiqua" w:cs="Book Antiqua"/>
          <w:color w:val="000000"/>
        </w:rPr>
        <w:t xml:space="preserve"> = 297) for analysis.</w:t>
      </w:r>
    </w:p>
    <w:p w14:paraId="75DF9CF0" w14:textId="77777777" w:rsidR="00A77B3E" w:rsidRPr="00A725BB" w:rsidRDefault="00944988" w:rsidP="00A725BB">
      <w:pPr>
        <w:adjustRightInd w:val="0"/>
        <w:snapToGrid w:val="0"/>
        <w:spacing w:line="360" w:lineRule="auto"/>
        <w:ind w:firstLine="480"/>
        <w:jc w:val="both"/>
        <w:rPr>
          <w:rFonts w:ascii="Book Antiqua" w:hAnsi="Book Antiqua"/>
        </w:rPr>
      </w:pPr>
      <w:r w:rsidRPr="00A725BB">
        <w:rPr>
          <w:rFonts w:ascii="Book Antiqua" w:eastAsia="Book Antiqua" w:hAnsi="Book Antiqua" w:cs="Book Antiqua"/>
          <w:color w:val="000000"/>
        </w:rPr>
        <w:lastRenderedPageBreak/>
        <w:t xml:space="preserve">Pre-, peri- and post-operative outcomes were analyzed. The primary outcome was the admission hemoglobin which predicted the 2:1 C:T ratio (50% probability of a transfusion event during the entire hospital stay) in the pre- and post-PBM cohorts. The secondary outcome was the admission hemoglobin which predicted a 50% probability of multiple unit transfusion in the pre- and post- PBM cohorts. The mean RBC units transfused per patient was calculated for the pre- and post-PBM cohorts and compared using the Kruskal-Wallis test. Predictive modeling was utilized to generate a receiver operating curve and determine the pre- and post-PBM hemoglobin threshold which predicted a 50% transfusion event rate during the entire admission. This is consistent with previously described </w:t>
      </w:r>
      <w:proofErr w:type="gramStart"/>
      <w:r w:rsidRPr="00A725BB">
        <w:rPr>
          <w:rFonts w:ascii="Book Antiqua" w:eastAsia="Book Antiqua" w:hAnsi="Book Antiqua" w:cs="Book Antiqua"/>
          <w:color w:val="000000"/>
        </w:rPr>
        <w:t>methods</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16,28]</w:t>
      </w:r>
      <w:r w:rsidRPr="00A725BB">
        <w:rPr>
          <w:rFonts w:ascii="Book Antiqua" w:eastAsia="Book Antiqua" w:hAnsi="Book Antiqua" w:cs="Book Antiqua"/>
          <w:color w:val="000000"/>
        </w:rPr>
        <w:t xml:space="preserve">. 95% confidence intervals (CI) were reported for each area under the curve (AUC) value. Two-sided t-tests were used for univariate analysis of continuous variables, and chi-square tests were used for categorical variables. A value of </w:t>
      </w:r>
      <w:r w:rsidRPr="00A725BB">
        <w:rPr>
          <w:rFonts w:ascii="Book Antiqua" w:eastAsia="Book Antiqua" w:hAnsi="Book Antiqua" w:cs="Book Antiqua"/>
          <w:i/>
          <w:iCs/>
          <w:color w:val="000000"/>
        </w:rPr>
        <w:t>P</w:t>
      </w:r>
      <w:r w:rsidRPr="00A725BB">
        <w:rPr>
          <w:rFonts w:ascii="Book Antiqua" w:eastAsia="Book Antiqua" w:hAnsi="Book Antiqua" w:cs="Book Antiqua"/>
          <w:color w:val="000000"/>
        </w:rPr>
        <w:t xml:space="preserve"> &lt; 0.05 (two-sided) was considered statistically significant. Analyses were performed using JMP, version 13.0.0, software (SAS Institute, Cary, NC). </w:t>
      </w:r>
    </w:p>
    <w:p w14:paraId="1E949887" w14:textId="77777777" w:rsidR="00A77B3E" w:rsidRPr="00A725BB" w:rsidRDefault="00A77B3E" w:rsidP="00295572">
      <w:pPr>
        <w:adjustRightInd w:val="0"/>
        <w:snapToGrid w:val="0"/>
        <w:spacing w:line="360" w:lineRule="auto"/>
        <w:jc w:val="both"/>
        <w:rPr>
          <w:rFonts w:ascii="Book Antiqua" w:hAnsi="Book Antiqua"/>
        </w:rPr>
      </w:pPr>
    </w:p>
    <w:p w14:paraId="45AC37E7"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aps/>
          <w:color w:val="000000"/>
          <w:u w:val="single"/>
        </w:rPr>
        <w:t>RESULTS</w:t>
      </w:r>
    </w:p>
    <w:p w14:paraId="7AE96FFB"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i/>
          <w:iCs/>
          <w:color w:val="000000"/>
        </w:rPr>
        <w:t>Demographics</w:t>
      </w:r>
    </w:p>
    <w:p w14:paraId="6879F2EE"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Preoperative characteristics of the two cohorts are demonstrated in Table 1. The post-PBM cohort had a slightly higher rate of congestive heart failure. There were no differences in preoperative use of anticoagulation, dual antiplatelet therapy, cardiopulmonary risk factors, need for transfusion at Hgb &lt; 8 g/dL instead of &lt; 7 g/dL, fracture location, or treatment type. The preponderance of patients in both cohorts had intertrochanteric fractures treated by </w:t>
      </w:r>
      <w:proofErr w:type="spellStart"/>
      <w:r w:rsidRPr="00A725BB">
        <w:rPr>
          <w:rFonts w:ascii="Book Antiqua" w:eastAsia="Book Antiqua" w:hAnsi="Book Antiqua" w:cs="Book Antiqua"/>
          <w:color w:val="000000"/>
        </w:rPr>
        <w:t>cephalomedullary</w:t>
      </w:r>
      <w:proofErr w:type="spellEnd"/>
      <w:r w:rsidRPr="00A725BB">
        <w:rPr>
          <w:rFonts w:ascii="Book Antiqua" w:eastAsia="Book Antiqua" w:hAnsi="Book Antiqua" w:cs="Book Antiqua"/>
          <w:color w:val="000000"/>
        </w:rPr>
        <w:t xml:space="preserve"> nailing.</w:t>
      </w:r>
    </w:p>
    <w:p w14:paraId="29699351" w14:textId="77777777" w:rsidR="00A77B3E" w:rsidRPr="00A725BB" w:rsidRDefault="00A77B3E" w:rsidP="00A725BB">
      <w:pPr>
        <w:adjustRightInd w:val="0"/>
        <w:snapToGrid w:val="0"/>
        <w:spacing w:line="360" w:lineRule="auto"/>
        <w:jc w:val="both"/>
        <w:rPr>
          <w:rFonts w:ascii="Book Antiqua" w:hAnsi="Book Antiqua"/>
        </w:rPr>
      </w:pPr>
    </w:p>
    <w:p w14:paraId="524551C2"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i/>
          <w:iCs/>
          <w:color w:val="000000"/>
        </w:rPr>
        <w:t>Transfusion utilization</w:t>
      </w:r>
    </w:p>
    <w:p w14:paraId="485E5651"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The mean RBC units transfused per patient in the post-PBM cohort was 0.66, significantly lower than the 1.15 RBC units per patient in the pre-PBM cohort (</w:t>
      </w:r>
      <w:r w:rsidRPr="00A725BB">
        <w:rPr>
          <w:rFonts w:ascii="Book Antiqua" w:eastAsia="Book Antiqua" w:hAnsi="Book Antiqua" w:cs="Book Antiqua"/>
          <w:i/>
          <w:iCs/>
          <w:color w:val="000000"/>
        </w:rPr>
        <w:t>P</w:t>
      </w:r>
      <w:r w:rsidRPr="00A725BB">
        <w:rPr>
          <w:rFonts w:ascii="Book Antiqua" w:eastAsia="Book Antiqua" w:hAnsi="Book Antiqua" w:cs="Book Antiqua"/>
          <w:color w:val="000000"/>
        </w:rPr>
        <w:t xml:space="preserve"> &lt; 0.001). In the post-PBM cohort, both the percentage of patients requiring one or more units of RBCs declined significantly (51% </w:t>
      </w:r>
      <w:r w:rsidRPr="00A725BB">
        <w:rPr>
          <w:rFonts w:ascii="Book Antiqua" w:eastAsia="Book Antiqua" w:hAnsi="Book Antiqua" w:cs="Book Antiqua"/>
          <w:i/>
          <w:iCs/>
          <w:color w:val="000000"/>
        </w:rPr>
        <w:t>vs</w:t>
      </w:r>
      <w:r w:rsidRPr="00A725BB">
        <w:rPr>
          <w:rFonts w:ascii="Book Antiqua" w:eastAsia="Book Antiqua" w:hAnsi="Book Antiqua" w:cs="Book Antiqua"/>
          <w:color w:val="000000"/>
        </w:rPr>
        <w:t xml:space="preserve"> 33%, </w:t>
      </w:r>
      <w:r w:rsidRPr="00A725BB">
        <w:rPr>
          <w:rFonts w:ascii="Book Antiqua" w:eastAsia="Book Antiqua" w:hAnsi="Book Antiqua" w:cs="Book Antiqua"/>
          <w:i/>
          <w:iCs/>
          <w:color w:val="000000"/>
        </w:rPr>
        <w:t>P</w:t>
      </w:r>
      <w:r w:rsidRPr="00A725BB">
        <w:rPr>
          <w:rFonts w:ascii="Book Antiqua" w:eastAsia="Book Antiqua" w:hAnsi="Book Antiqua" w:cs="Book Antiqua"/>
          <w:color w:val="000000"/>
        </w:rPr>
        <w:t xml:space="preserve"> &lt; 0.0001) (Table 1). </w:t>
      </w:r>
    </w:p>
    <w:p w14:paraId="66224F45" w14:textId="77777777" w:rsidR="00A77B3E" w:rsidRPr="00A725BB" w:rsidRDefault="00A77B3E" w:rsidP="00A725BB">
      <w:pPr>
        <w:adjustRightInd w:val="0"/>
        <w:snapToGrid w:val="0"/>
        <w:spacing w:line="360" w:lineRule="auto"/>
        <w:jc w:val="both"/>
        <w:rPr>
          <w:rFonts w:ascii="Book Antiqua" w:hAnsi="Book Antiqua"/>
        </w:rPr>
      </w:pPr>
    </w:p>
    <w:p w14:paraId="4D47EED8"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i/>
          <w:iCs/>
          <w:color w:val="000000"/>
        </w:rPr>
        <w:lastRenderedPageBreak/>
        <w:t>Primary outcome</w:t>
      </w:r>
    </w:p>
    <w:p w14:paraId="5BA2BA12"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With implementation of the PBM program, a 50% probability of a transfusion event in the post PBM cohort was predicted by a preoperative hemoglobin of Hgb 10.7 [AUC 0.78 (95%CI, 0.73-0.83), Sensitivity 0.88]. For those patients in our study with a preoperative hemoglobin of &gt; 10.7 g/dL, implementation of a single unit crossmatch policy would have resulted in 6.3% of our population initially </w:t>
      </w:r>
      <w:proofErr w:type="spellStart"/>
      <w:r w:rsidRPr="00A725BB">
        <w:rPr>
          <w:rFonts w:ascii="Book Antiqua" w:eastAsia="Book Antiqua" w:hAnsi="Book Antiqua" w:cs="Book Antiqua"/>
          <w:color w:val="000000"/>
        </w:rPr>
        <w:t>undercrossmatched</w:t>
      </w:r>
      <w:proofErr w:type="spellEnd"/>
      <w:r w:rsidRPr="00A725BB">
        <w:rPr>
          <w:rFonts w:ascii="Book Antiqua" w:eastAsia="Book Antiqua" w:hAnsi="Book Antiqua" w:cs="Book Antiqua"/>
          <w:color w:val="000000"/>
        </w:rPr>
        <w:t xml:space="preserve"> by 1 </w:t>
      </w:r>
      <w:proofErr w:type="spellStart"/>
      <w:r w:rsidRPr="00A725BB">
        <w:rPr>
          <w:rFonts w:ascii="Book Antiqua" w:eastAsia="Book Antiqua" w:hAnsi="Book Antiqua" w:cs="Book Antiqua"/>
          <w:color w:val="000000"/>
        </w:rPr>
        <w:t>pRBC</w:t>
      </w:r>
      <w:proofErr w:type="spellEnd"/>
      <w:r w:rsidRPr="00A725BB">
        <w:rPr>
          <w:rFonts w:ascii="Book Antiqua" w:eastAsia="Book Antiqua" w:hAnsi="Book Antiqua" w:cs="Book Antiqua"/>
          <w:color w:val="000000"/>
        </w:rPr>
        <w:t xml:space="preserve"> and 5.2% by &gt; 1 unit. For the pre-PBM cohort a 50% probability of transfusion event was predicted by a preoperative Hgb of 12.3 [AUC 0.78 (95%CI, 0.72-0.83), Sensitivity 0.66] (Figure 1). </w:t>
      </w:r>
    </w:p>
    <w:p w14:paraId="0CC92A12" w14:textId="77777777" w:rsidR="00A77B3E" w:rsidRPr="00A725BB" w:rsidRDefault="00A77B3E" w:rsidP="00A725BB">
      <w:pPr>
        <w:adjustRightInd w:val="0"/>
        <w:snapToGrid w:val="0"/>
        <w:spacing w:line="360" w:lineRule="auto"/>
        <w:jc w:val="both"/>
        <w:rPr>
          <w:rFonts w:ascii="Book Antiqua" w:hAnsi="Book Antiqua"/>
        </w:rPr>
      </w:pPr>
    </w:p>
    <w:p w14:paraId="1C5FACBD"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i/>
          <w:iCs/>
          <w:color w:val="000000"/>
        </w:rPr>
        <w:t>Secondary outcomes</w:t>
      </w:r>
    </w:p>
    <w:p w14:paraId="1D728AFB"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Multiple unit transfusion status was substantially different between the two cohorts. The pre-PBM cohort had a 50% probability of multiple unit transfusion at a preoperative hemoglobin of 11.2 [AUC 0.80 (95%CI, 0.74-0.85), Sensitivity 0.87] (Figure 2) whereas this value was hemoglobin 8.7 [AUC 0.78 (95%CI, 0.73-0.83), Sensitivity 0.84] (Figure 2) in the post-PBM cohort. For those patients in our study with a preoperative hemoglobin of &gt; 8.7 g/dL, use of a 2:1 unit crossmatch policy would have resulted in </w:t>
      </w:r>
      <w:proofErr w:type="spellStart"/>
      <w:r w:rsidRPr="00A725BB">
        <w:rPr>
          <w:rFonts w:ascii="Book Antiqua" w:eastAsia="Book Antiqua" w:hAnsi="Book Antiqua" w:cs="Book Antiqua"/>
          <w:color w:val="000000"/>
        </w:rPr>
        <w:t>undercrossmatching</w:t>
      </w:r>
      <w:proofErr w:type="spellEnd"/>
      <w:r w:rsidRPr="00A725BB">
        <w:rPr>
          <w:rFonts w:ascii="Book Antiqua" w:eastAsia="Book Antiqua" w:hAnsi="Book Antiqua" w:cs="Book Antiqua"/>
          <w:color w:val="000000"/>
        </w:rPr>
        <w:t xml:space="preserve"> 4.3% of our population by 1 unit and 2.9% by &gt; 1 unit for the entire hospitalization.</w:t>
      </w:r>
    </w:p>
    <w:p w14:paraId="4E4A7B20" w14:textId="77777777" w:rsidR="00A77B3E" w:rsidRPr="00A725BB" w:rsidRDefault="00A77B3E" w:rsidP="00A725BB">
      <w:pPr>
        <w:adjustRightInd w:val="0"/>
        <w:snapToGrid w:val="0"/>
        <w:spacing w:line="360" w:lineRule="auto"/>
        <w:jc w:val="both"/>
        <w:rPr>
          <w:rFonts w:ascii="Book Antiqua" w:hAnsi="Book Antiqua"/>
        </w:rPr>
      </w:pPr>
    </w:p>
    <w:p w14:paraId="1A626075"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aps/>
          <w:color w:val="000000"/>
          <w:u w:val="single"/>
        </w:rPr>
        <w:t>DISCUSSION</w:t>
      </w:r>
    </w:p>
    <w:p w14:paraId="4B1B1636"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With PBM programs and improvements in peri-operative care of hip fracture patients, the RBC transfusion requirements of this population have declined. Thus, the routine crossmatch of 2 units preoperatively may not be necessary. Our data suggest that with a restrictive transfusion threshold of Hgb &lt; 7 g/dL and single unit per transfusion occurrence, a substantial number of patients require only a type-and-screen (T&amp;S), or T&amp;C of one RBC unit during their inpatient hospitalization. Specifically, the ideal preoperative blood orders may be a T&amp;C of 2 units with a preoperative Hgb &lt; 9 g/dL, a T&amp;C of 1 unit with a preoperative Hgb &lt; 11 g/dL, and a T&amp;S when the preoperative Hgb is &gt; 11 g/dL.</w:t>
      </w:r>
    </w:p>
    <w:p w14:paraId="692FE7D0" w14:textId="77777777" w:rsidR="00A77B3E" w:rsidRPr="00A725BB" w:rsidRDefault="00944988" w:rsidP="00A725BB">
      <w:pPr>
        <w:adjustRightInd w:val="0"/>
        <w:snapToGrid w:val="0"/>
        <w:spacing w:line="360" w:lineRule="auto"/>
        <w:ind w:firstLine="480"/>
        <w:jc w:val="both"/>
        <w:rPr>
          <w:rFonts w:ascii="Book Antiqua" w:hAnsi="Book Antiqua"/>
        </w:rPr>
      </w:pPr>
      <w:r w:rsidRPr="00A725BB">
        <w:rPr>
          <w:rFonts w:ascii="Book Antiqua" w:eastAsia="Book Antiqua" w:hAnsi="Book Antiqua" w:cs="Book Antiqua"/>
          <w:color w:val="000000"/>
        </w:rPr>
        <w:t xml:space="preserve">Though the hip fracture patient population is well-studied in the literature, data regarding hemoglobin thresholds for optimal preoperative blood ordering are relatively </w:t>
      </w:r>
      <w:r w:rsidRPr="00A725BB">
        <w:rPr>
          <w:rFonts w:ascii="Book Antiqua" w:eastAsia="Book Antiqua" w:hAnsi="Book Antiqua" w:cs="Book Antiqua"/>
          <w:color w:val="000000"/>
        </w:rPr>
        <w:lastRenderedPageBreak/>
        <w:t xml:space="preserve">scarce. Multiple studies have found that preoperative hemoglobin values of 7-12 g/dL predict perioperative transfusion, though few have used this information to determine a cross-matching </w:t>
      </w:r>
      <w:proofErr w:type="gramStart"/>
      <w:r w:rsidRPr="00A725BB">
        <w:rPr>
          <w:rFonts w:ascii="Book Antiqua" w:eastAsia="Book Antiqua" w:hAnsi="Book Antiqua" w:cs="Book Antiqua"/>
          <w:color w:val="000000"/>
        </w:rPr>
        <w:t>algorithm</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27,29,30]</w:t>
      </w:r>
      <w:r w:rsidRPr="00A725BB">
        <w:rPr>
          <w:rFonts w:ascii="Book Antiqua" w:eastAsia="Book Antiqua" w:hAnsi="Book Antiqua" w:cs="Book Antiqua"/>
          <w:color w:val="000000"/>
        </w:rPr>
        <w:t>. To our knowledge, only one study has risk stratified the number of units to crossmatch preoperatively based on starting preoperative hemoglobin for patients with hip fracture. The 2002 study advocated for crossmatching of 2 units for Hgb &gt; 12.5 g/dL and 4 units for Hgb 10-12.5 g/dL. Given the vast aforementioned improvements in the care of patients with hip fracture of the past decade and the transfusion threshold of 10 g/dL utilized in this 2002 study, these recommendations are likely not suitable for current practice</w:t>
      </w:r>
      <w:r w:rsidRPr="00A725BB">
        <w:rPr>
          <w:rFonts w:ascii="Book Antiqua" w:eastAsia="Book Antiqua" w:hAnsi="Book Antiqua" w:cs="Book Antiqua"/>
          <w:color w:val="000000"/>
          <w:vertAlign w:val="superscript"/>
        </w:rPr>
        <w:t>[31]</w:t>
      </w:r>
      <w:r w:rsidRPr="00A725BB">
        <w:rPr>
          <w:rFonts w:ascii="Book Antiqua" w:eastAsia="Book Antiqua" w:hAnsi="Book Antiqua" w:cs="Book Antiqua"/>
          <w:color w:val="000000"/>
        </w:rPr>
        <w:t xml:space="preserve">. </w:t>
      </w:r>
    </w:p>
    <w:p w14:paraId="6DDCFA5D" w14:textId="77777777" w:rsidR="00A77B3E" w:rsidRPr="00A725BB" w:rsidRDefault="00944988" w:rsidP="00A725BB">
      <w:pPr>
        <w:adjustRightInd w:val="0"/>
        <w:snapToGrid w:val="0"/>
        <w:spacing w:line="360" w:lineRule="auto"/>
        <w:ind w:firstLine="480"/>
        <w:jc w:val="both"/>
        <w:rPr>
          <w:rFonts w:ascii="Book Antiqua" w:hAnsi="Book Antiqua"/>
        </w:rPr>
      </w:pPr>
      <w:r w:rsidRPr="00A725BB">
        <w:rPr>
          <w:rFonts w:ascii="Book Antiqua" w:eastAsia="Book Antiqua" w:hAnsi="Book Antiqua" w:cs="Book Antiqua"/>
          <w:color w:val="000000"/>
        </w:rPr>
        <w:t xml:space="preserve">While there are many individual preoperative patient characteristics that can be utilized to predict transfusion requirements, the use of preoperative hemoglobin is likely the simplest marker which is well understood by all ordering providers. Though time to </w:t>
      </w:r>
      <w:proofErr w:type="gramStart"/>
      <w:r w:rsidRPr="00A725BB">
        <w:rPr>
          <w:rFonts w:ascii="Book Antiqua" w:eastAsia="Book Antiqua" w:hAnsi="Book Antiqua" w:cs="Book Antiqua"/>
          <w:color w:val="000000"/>
        </w:rPr>
        <w:t>surgery</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32]</w:t>
      </w:r>
      <w:r w:rsidRPr="00A725BB">
        <w:rPr>
          <w:rFonts w:ascii="Book Antiqua" w:eastAsia="Book Antiqua" w:hAnsi="Book Antiqua" w:cs="Book Antiqua"/>
          <w:color w:val="000000"/>
        </w:rPr>
        <w:t xml:space="preserve">, fracture site (intra-capsular </w:t>
      </w:r>
      <w:r w:rsidRPr="00A725BB">
        <w:rPr>
          <w:rFonts w:ascii="Book Antiqua" w:eastAsia="Book Antiqua" w:hAnsi="Book Antiqua" w:cs="Book Antiqua"/>
          <w:i/>
          <w:iCs/>
          <w:color w:val="000000"/>
        </w:rPr>
        <w:t>vs</w:t>
      </w:r>
      <w:r w:rsidRPr="00A725BB">
        <w:rPr>
          <w:rFonts w:ascii="Book Antiqua" w:eastAsia="Book Antiqua" w:hAnsi="Book Antiqua" w:cs="Book Antiqua"/>
          <w:color w:val="000000"/>
        </w:rPr>
        <w:t xml:space="preserve"> extra capsular)</w:t>
      </w:r>
      <w:r w:rsidRPr="00A725BB">
        <w:rPr>
          <w:rFonts w:ascii="Book Antiqua" w:eastAsia="Book Antiqua" w:hAnsi="Book Antiqua" w:cs="Book Antiqua"/>
          <w:color w:val="000000"/>
          <w:vertAlign w:val="superscript"/>
        </w:rPr>
        <w:t>[3,12]</w:t>
      </w:r>
      <w:r w:rsidRPr="00A725BB">
        <w:rPr>
          <w:rFonts w:ascii="Book Antiqua" w:eastAsia="Book Antiqua" w:hAnsi="Book Antiqua" w:cs="Book Antiqua"/>
          <w:color w:val="000000"/>
        </w:rPr>
        <w:t>, and anesthesia type</w:t>
      </w:r>
      <w:r w:rsidRPr="00A725BB">
        <w:rPr>
          <w:rFonts w:ascii="Book Antiqua" w:eastAsia="Book Antiqua" w:hAnsi="Book Antiqua" w:cs="Book Antiqua"/>
          <w:color w:val="000000"/>
          <w:vertAlign w:val="superscript"/>
        </w:rPr>
        <w:t>[33]</w:t>
      </w:r>
      <w:r w:rsidRPr="00A725BB">
        <w:rPr>
          <w:rFonts w:ascii="Book Antiqua" w:eastAsia="Book Antiqua" w:hAnsi="Book Antiqua" w:cs="Book Antiqua"/>
          <w:color w:val="000000"/>
        </w:rPr>
        <w:t xml:space="preserve"> predict blood utilization, the associations have not been documented as thoroughly as that of preoperative hemoglobin</w:t>
      </w:r>
      <w:r w:rsidRPr="00A725BB">
        <w:rPr>
          <w:rFonts w:ascii="Book Antiqua" w:eastAsia="Book Antiqua" w:hAnsi="Book Antiqua" w:cs="Book Antiqua"/>
          <w:color w:val="000000"/>
          <w:vertAlign w:val="superscript"/>
        </w:rPr>
        <w:t>[32]</w:t>
      </w:r>
      <w:r w:rsidRPr="00A725BB">
        <w:rPr>
          <w:rFonts w:ascii="Book Antiqua" w:eastAsia="Book Antiqua" w:hAnsi="Book Antiqua" w:cs="Book Antiqua"/>
          <w:color w:val="000000"/>
        </w:rPr>
        <w:t xml:space="preserve">. Moreover, the decision to preoperatively allocate blood products is considered by multiple independent practitioners (emergency medicine, anesthesiology, internal medicine, and surgeons). Incorporating the aforementioned factors, which are not as easily obtainable as preoperative hemoglobin, may not be reasonable and may result in reversion to generalized cross matching practices for all patients. </w:t>
      </w:r>
    </w:p>
    <w:p w14:paraId="517DBFE4" w14:textId="77777777" w:rsidR="00A77B3E" w:rsidRPr="00A725BB" w:rsidRDefault="00944988" w:rsidP="00A725BB">
      <w:pPr>
        <w:adjustRightInd w:val="0"/>
        <w:snapToGrid w:val="0"/>
        <w:spacing w:line="360" w:lineRule="auto"/>
        <w:ind w:firstLine="480"/>
        <w:jc w:val="both"/>
        <w:rPr>
          <w:rFonts w:ascii="Book Antiqua" w:hAnsi="Book Antiqua"/>
        </w:rPr>
      </w:pPr>
      <w:r w:rsidRPr="00A725BB">
        <w:rPr>
          <w:rFonts w:ascii="Book Antiqua" w:eastAsia="Book Antiqua" w:hAnsi="Book Antiqua" w:cs="Book Antiqua"/>
          <w:color w:val="000000"/>
        </w:rPr>
        <w:t xml:space="preserve">The benefits to both the patient and health system with reduction of unneeded preoperative crossmatching are substantial. Unneeded crossmatching removes RBC units from the available inventory for the general population placing increasing strain on blood banks by requiring a larger volume of stored RBCs, and pushes blood products closer to their expiration </w:t>
      </w:r>
      <w:proofErr w:type="gramStart"/>
      <w:r w:rsidRPr="00A725BB">
        <w:rPr>
          <w:rFonts w:ascii="Book Antiqua" w:eastAsia="Book Antiqua" w:hAnsi="Book Antiqua" w:cs="Book Antiqua"/>
          <w:color w:val="000000"/>
        </w:rPr>
        <w:t>date</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34]</w:t>
      </w:r>
      <w:r w:rsidRPr="00A725BB">
        <w:rPr>
          <w:rFonts w:ascii="Book Antiqua" w:eastAsia="Book Antiqua" w:hAnsi="Book Antiqua" w:cs="Book Antiqua"/>
          <w:color w:val="000000"/>
        </w:rPr>
        <w:t xml:space="preserve">. Although longer RBC storage duration does not appear to influence clinical </w:t>
      </w:r>
      <w:proofErr w:type="gramStart"/>
      <w:r w:rsidRPr="00A725BB">
        <w:rPr>
          <w:rFonts w:ascii="Book Antiqua" w:eastAsia="Book Antiqua" w:hAnsi="Book Antiqua" w:cs="Book Antiqua"/>
          <w:color w:val="000000"/>
        </w:rPr>
        <w:t>outcomes</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35,36]</w:t>
      </w:r>
      <w:r w:rsidRPr="00A725BB">
        <w:rPr>
          <w:rFonts w:ascii="Book Antiqua" w:eastAsia="Book Antiqua" w:hAnsi="Book Antiqua" w:cs="Book Antiqua"/>
          <w:color w:val="000000"/>
        </w:rPr>
        <w:t>, wastage of product reaching the expiration date could be problematic.</w:t>
      </w:r>
    </w:p>
    <w:p w14:paraId="60375C47" w14:textId="77777777" w:rsidR="00A77B3E" w:rsidRPr="00A725BB" w:rsidRDefault="00944988" w:rsidP="00A725BB">
      <w:pPr>
        <w:adjustRightInd w:val="0"/>
        <w:snapToGrid w:val="0"/>
        <w:spacing w:line="360" w:lineRule="auto"/>
        <w:ind w:firstLine="480"/>
        <w:jc w:val="both"/>
        <w:rPr>
          <w:rFonts w:ascii="Book Antiqua" w:hAnsi="Book Antiqua"/>
        </w:rPr>
      </w:pPr>
      <w:r w:rsidRPr="00A725BB">
        <w:rPr>
          <w:rFonts w:ascii="Book Antiqua" w:eastAsia="Book Antiqua" w:hAnsi="Book Antiqua" w:cs="Book Antiqua"/>
          <w:color w:val="000000"/>
        </w:rPr>
        <w:t xml:space="preserve">This study is not without limitations. First, our study is also retrospective in nature and requires prospective validation. We do not advocate for proceeding to the operating room without obtaining a T&amp;S, which at our institution costs 5-fold more than a </w:t>
      </w:r>
      <w:r w:rsidRPr="00A725BB">
        <w:rPr>
          <w:rFonts w:ascii="Book Antiqua" w:eastAsia="Book Antiqua" w:hAnsi="Book Antiqua" w:cs="Book Antiqua"/>
          <w:color w:val="000000"/>
        </w:rPr>
        <w:lastRenderedPageBreak/>
        <w:t>crossmatch. Second practitioners may fear underordering products in the event there is a need for emergency release (</w:t>
      </w:r>
      <w:proofErr w:type="spellStart"/>
      <w:r w:rsidRPr="00A725BB">
        <w:rPr>
          <w:rFonts w:ascii="Book Antiqua" w:eastAsia="Book Antiqua" w:hAnsi="Book Antiqua" w:cs="Book Antiqua"/>
          <w:color w:val="000000"/>
        </w:rPr>
        <w:t>uncrossmatched</w:t>
      </w:r>
      <w:proofErr w:type="spellEnd"/>
      <w:r w:rsidRPr="00A725BB">
        <w:rPr>
          <w:rFonts w:ascii="Book Antiqua" w:eastAsia="Book Antiqua" w:hAnsi="Book Antiqua" w:cs="Book Antiqua"/>
          <w:color w:val="000000"/>
        </w:rPr>
        <w:t xml:space="preserve"> type-O) blood. However, implementation of a restrictive MSBOS has been shown to not increase the rate of emergency release </w:t>
      </w:r>
      <w:proofErr w:type="gramStart"/>
      <w:r w:rsidRPr="00A725BB">
        <w:rPr>
          <w:rFonts w:ascii="Book Antiqua" w:eastAsia="Book Antiqua" w:hAnsi="Book Antiqua" w:cs="Book Antiqua"/>
          <w:color w:val="000000"/>
        </w:rPr>
        <w:t>transfusions</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37]</w:t>
      </w:r>
      <w:r w:rsidRPr="00A725BB">
        <w:rPr>
          <w:rFonts w:ascii="Book Antiqua" w:eastAsia="Book Antiqua" w:hAnsi="Book Antiqua" w:cs="Book Antiqua"/>
          <w:color w:val="000000"/>
        </w:rPr>
        <w:t xml:space="preserve">. Moreover, data suggest less than 5% of hip fracture patients require intraoperative transfusion, and that these 5% of patients are highly predictable with multiple independent risk </w:t>
      </w:r>
      <w:proofErr w:type="gramStart"/>
      <w:r w:rsidRPr="00A725BB">
        <w:rPr>
          <w:rFonts w:ascii="Book Antiqua" w:eastAsia="Book Antiqua" w:hAnsi="Book Antiqua" w:cs="Book Antiqua"/>
          <w:color w:val="000000"/>
        </w:rPr>
        <w:t>factors</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30]</w:t>
      </w:r>
      <w:r w:rsidRPr="00A725BB">
        <w:rPr>
          <w:rFonts w:ascii="Book Antiqua" w:eastAsia="Book Antiqua" w:hAnsi="Book Antiqua" w:cs="Book Antiqua"/>
          <w:color w:val="000000"/>
        </w:rPr>
        <w:t xml:space="preserve">. Additionally, with electronic remote blood issue and electronic crossmatching the time from the need for urgent blood products in the OR to delivery has been reduced </w:t>
      </w:r>
      <w:proofErr w:type="gramStart"/>
      <w:r w:rsidRPr="00A725BB">
        <w:rPr>
          <w:rFonts w:ascii="Book Antiqua" w:eastAsia="Book Antiqua" w:hAnsi="Book Antiqua" w:cs="Book Antiqua"/>
          <w:color w:val="000000"/>
        </w:rPr>
        <w:t>substantially</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38-39]</w:t>
      </w:r>
      <w:r w:rsidRPr="00A725BB">
        <w:rPr>
          <w:rFonts w:ascii="Book Antiqua" w:eastAsia="Book Antiqua" w:hAnsi="Book Antiqua" w:cs="Book Antiqua"/>
          <w:color w:val="000000"/>
        </w:rPr>
        <w:t xml:space="preserve">. Should emergent release blood be needed, type-O blood has been shown in multiple studies to be exceedingly safe in all </w:t>
      </w:r>
      <w:proofErr w:type="gramStart"/>
      <w:r w:rsidRPr="00A725BB">
        <w:rPr>
          <w:rFonts w:ascii="Book Antiqua" w:eastAsia="Book Antiqua" w:hAnsi="Book Antiqua" w:cs="Book Antiqua"/>
          <w:color w:val="000000"/>
        </w:rPr>
        <w:t>patients</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37,40,41]</w:t>
      </w:r>
      <w:r w:rsidRPr="00A725BB">
        <w:rPr>
          <w:rFonts w:ascii="Book Antiqua" w:eastAsia="Book Antiqua" w:hAnsi="Book Antiqua" w:cs="Book Antiqua"/>
          <w:color w:val="000000"/>
        </w:rPr>
        <w:t xml:space="preserve">. Type-O blood is associated with a 0.2% incidence of mild delayed hemolytic reaction which is lower than the risk of major ABO transfusion reaction due to clerical errors and wrong unit </w:t>
      </w:r>
      <w:proofErr w:type="gramStart"/>
      <w:r w:rsidRPr="00A725BB">
        <w:rPr>
          <w:rFonts w:ascii="Book Antiqua" w:eastAsia="Book Antiqua" w:hAnsi="Book Antiqua" w:cs="Book Antiqua"/>
          <w:color w:val="000000"/>
        </w:rPr>
        <w:t>transfusion</w:t>
      </w:r>
      <w:r w:rsidRPr="00A725BB">
        <w:rPr>
          <w:rFonts w:ascii="Book Antiqua" w:eastAsia="Book Antiqua" w:hAnsi="Book Antiqua" w:cs="Book Antiqua"/>
          <w:color w:val="000000"/>
          <w:vertAlign w:val="superscript"/>
        </w:rPr>
        <w:t>[</w:t>
      </w:r>
      <w:proofErr w:type="gramEnd"/>
      <w:r w:rsidRPr="00A725BB">
        <w:rPr>
          <w:rFonts w:ascii="Book Antiqua" w:eastAsia="Book Antiqua" w:hAnsi="Book Antiqua" w:cs="Book Antiqua"/>
          <w:color w:val="000000"/>
          <w:vertAlign w:val="superscript"/>
        </w:rPr>
        <w:t>37]</w:t>
      </w:r>
      <w:r w:rsidRPr="00A725BB">
        <w:rPr>
          <w:rFonts w:ascii="Book Antiqua" w:eastAsia="Book Antiqua" w:hAnsi="Book Antiqua" w:cs="Book Antiqua"/>
          <w:color w:val="000000"/>
        </w:rPr>
        <w:t>, the decision to obtain only a type and screen ahead of the OR as opposed to crossmatching 1 unit may cause concern for delays in availability, however the electronic crossmatch has mitigated this problem for patients with a negative antibody screen</w:t>
      </w:r>
      <w:r w:rsidRPr="00A725BB">
        <w:rPr>
          <w:rFonts w:ascii="Book Antiqua" w:eastAsia="Book Antiqua" w:hAnsi="Book Antiqua" w:cs="Book Antiqua"/>
          <w:color w:val="000000"/>
          <w:vertAlign w:val="superscript"/>
        </w:rPr>
        <w:t>[39]</w:t>
      </w:r>
      <w:r w:rsidRPr="00A725BB">
        <w:rPr>
          <w:rFonts w:ascii="Book Antiqua" w:eastAsia="Book Antiqua" w:hAnsi="Book Antiqua" w:cs="Book Antiqua"/>
          <w:color w:val="000000"/>
        </w:rPr>
        <w:t xml:space="preserve">. </w:t>
      </w:r>
    </w:p>
    <w:p w14:paraId="46DBF073" w14:textId="77777777" w:rsidR="00A77B3E" w:rsidRPr="00A725BB" w:rsidRDefault="00A77B3E" w:rsidP="00A725BB">
      <w:pPr>
        <w:adjustRightInd w:val="0"/>
        <w:snapToGrid w:val="0"/>
        <w:spacing w:line="360" w:lineRule="auto"/>
        <w:ind w:firstLine="480"/>
        <w:jc w:val="both"/>
        <w:rPr>
          <w:rFonts w:ascii="Book Antiqua" w:hAnsi="Book Antiqua"/>
        </w:rPr>
      </w:pPr>
    </w:p>
    <w:p w14:paraId="7EA451C0"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aps/>
          <w:color w:val="000000"/>
          <w:u w:val="single"/>
        </w:rPr>
        <w:t>CONCLUSION</w:t>
      </w:r>
    </w:p>
    <w:p w14:paraId="00E13B20"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Our findings suggest that a hemoglobin &lt; 11 g/dL and &lt; 9 g/dL warrants a T&amp;C of only 1 and 2 units, respectively, and a hemoglobin &gt; 11g/dL warrants consideration of only a T&amp;S. The MSBOS may over allocate RBC units in the era of restrictive transfusion thresholds and we propose that preoperative hemoglobin levels should be considered in determining the number of units to type and cross prior to surgery.</w:t>
      </w:r>
    </w:p>
    <w:p w14:paraId="5BA5DE37" w14:textId="77777777" w:rsidR="00A77B3E" w:rsidRPr="00A725BB" w:rsidRDefault="00A77B3E" w:rsidP="00A725BB">
      <w:pPr>
        <w:adjustRightInd w:val="0"/>
        <w:snapToGrid w:val="0"/>
        <w:spacing w:line="360" w:lineRule="auto"/>
        <w:jc w:val="both"/>
        <w:rPr>
          <w:rFonts w:ascii="Book Antiqua" w:hAnsi="Book Antiqua"/>
        </w:rPr>
      </w:pPr>
    </w:p>
    <w:p w14:paraId="054AC88A"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aps/>
          <w:color w:val="000000"/>
          <w:u w:val="single"/>
        </w:rPr>
        <w:t>ARTICLE HIGHLIGHTS</w:t>
      </w:r>
    </w:p>
    <w:p w14:paraId="20FC0BEF"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i/>
          <w:color w:val="000000"/>
        </w:rPr>
        <w:t>Research background</w:t>
      </w:r>
    </w:p>
    <w:p w14:paraId="00629357"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Blood product utilization is becoming increasingly scrutinized in </w:t>
      </w:r>
      <w:proofErr w:type="spellStart"/>
      <w:r w:rsidRPr="00A725BB">
        <w:rPr>
          <w:rFonts w:ascii="Book Antiqua" w:eastAsia="Book Antiqua" w:hAnsi="Book Antiqua" w:cs="Book Antiqua"/>
          <w:color w:val="000000"/>
        </w:rPr>
        <w:t>orthopaedic</w:t>
      </w:r>
      <w:proofErr w:type="spellEnd"/>
      <w:r w:rsidRPr="00A725BB">
        <w:rPr>
          <w:rFonts w:ascii="Book Antiqua" w:eastAsia="Book Antiqua" w:hAnsi="Book Antiqua" w:cs="Book Antiqua"/>
          <w:color w:val="000000"/>
        </w:rPr>
        <w:t xml:space="preserve"> surgery as restrictive transfusion triggers and conservative blood management strategies have become more common.</w:t>
      </w:r>
    </w:p>
    <w:p w14:paraId="60BB16F8" w14:textId="77777777" w:rsidR="00A77B3E" w:rsidRPr="00A725BB" w:rsidRDefault="00A77B3E" w:rsidP="00A725BB">
      <w:pPr>
        <w:adjustRightInd w:val="0"/>
        <w:snapToGrid w:val="0"/>
        <w:spacing w:line="360" w:lineRule="auto"/>
        <w:jc w:val="both"/>
        <w:rPr>
          <w:rFonts w:ascii="Book Antiqua" w:hAnsi="Book Antiqua"/>
        </w:rPr>
      </w:pPr>
    </w:p>
    <w:p w14:paraId="046D01F0"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i/>
          <w:color w:val="000000"/>
        </w:rPr>
        <w:t>Research motivation</w:t>
      </w:r>
    </w:p>
    <w:p w14:paraId="64F00DE1"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lastRenderedPageBreak/>
        <w:t>As transfusion frequency decreases through implementation of restrictive blood management practices, a rethinking of preoperative blood product allocation is required. Rather than using standardized maximum surgical blood order schedules (MSBOS), we wanted to investigate the ideal type and cross ratios for hip fracture patients while accounting for preoperative hemoglobin values.</w:t>
      </w:r>
    </w:p>
    <w:p w14:paraId="68516BB2" w14:textId="77777777" w:rsidR="00A77B3E" w:rsidRPr="00A725BB" w:rsidRDefault="00A77B3E" w:rsidP="00A725BB">
      <w:pPr>
        <w:adjustRightInd w:val="0"/>
        <w:snapToGrid w:val="0"/>
        <w:spacing w:line="360" w:lineRule="auto"/>
        <w:jc w:val="both"/>
        <w:rPr>
          <w:rFonts w:ascii="Book Antiqua" w:hAnsi="Book Antiqua"/>
        </w:rPr>
      </w:pPr>
    </w:p>
    <w:p w14:paraId="169D6847"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i/>
          <w:color w:val="000000"/>
        </w:rPr>
        <w:t>Research objectives</w:t>
      </w:r>
    </w:p>
    <w:p w14:paraId="2FB632C0"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The aims of this study were to characterize and compare the ideal 2:1 crossmatch to transfusion ratio in hip fracture patients before and after the implementation of a restrictive blood management policy at our institution. </w:t>
      </w:r>
    </w:p>
    <w:p w14:paraId="7BC5CA1C" w14:textId="77777777" w:rsidR="00A77B3E" w:rsidRPr="00A725BB" w:rsidRDefault="00A77B3E" w:rsidP="00A725BB">
      <w:pPr>
        <w:adjustRightInd w:val="0"/>
        <w:snapToGrid w:val="0"/>
        <w:spacing w:line="360" w:lineRule="auto"/>
        <w:jc w:val="both"/>
        <w:rPr>
          <w:rFonts w:ascii="Book Antiqua" w:hAnsi="Book Antiqua"/>
        </w:rPr>
      </w:pPr>
    </w:p>
    <w:p w14:paraId="6DE7969F"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i/>
          <w:color w:val="000000"/>
        </w:rPr>
        <w:t>Research methods</w:t>
      </w:r>
    </w:p>
    <w:p w14:paraId="688A34BD"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A retrospective review was conducted of all operatively treated hip fractures at our institution from January 2013 through May 2017. Cases were split up based on whether they occurred before or after implementation of a patient blood management (PBM) program (January 2015). Receiver operating curve analyses were used to determine the preoperative hemoglobin levels predicting 50% transfusion events in the pre- and post-PBM cohorts. </w:t>
      </w:r>
    </w:p>
    <w:p w14:paraId="191634EB" w14:textId="77777777" w:rsidR="00A77B3E" w:rsidRPr="00A725BB" w:rsidRDefault="00A77B3E" w:rsidP="00A725BB">
      <w:pPr>
        <w:adjustRightInd w:val="0"/>
        <w:snapToGrid w:val="0"/>
        <w:spacing w:line="360" w:lineRule="auto"/>
        <w:jc w:val="both"/>
        <w:rPr>
          <w:rFonts w:ascii="Book Antiqua" w:hAnsi="Book Antiqua"/>
        </w:rPr>
      </w:pPr>
    </w:p>
    <w:p w14:paraId="03F8D153"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i/>
          <w:color w:val="000000"/>
        </w:rPr>
        <w:t>Research results</w:t>
      </w:r>
    </w:p>
    <w:p w14:paraId="7B83083C"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Implementation of the PBM resulted in a significant decrease in transfusion requirements from the pre- to post-PBM cohorts (51% </w:t>
      </w:r>
      <w:r w:rsidRPr="00A725BB">
        <w:rPr>
          <w:rFonts w:ascii="Book Antiqua" w:eastAsia="Book Antiqua" w:hAnsi="Book Antiqua" w:cs="Book Antiqua"/>
          <w:i/>
          <w:iCs/>
          <w:color w:val="000000"/>
        </w:rPr>
        <w:t>vs</w:t>
      </w:r>
      <w:r w:rsidRPr="00A725BB">
        <w:rPr>
          <w:rFonts w:ascii="Book Antiqua" w:eastAsia="Book Antiqua" w:hAnsi="Book Antiqua" w:cs="Book Antiqua"/>
          <w:color w:val="000000"/>
        </w:rPr>
        <w:t xml:space="preserve"> 33%, </w:t>
      </w:r>
      <w:r w:rsidRPr="00A725BB">
        <w:rPr>
          <w:rFonts w:ascii="Book Antiqua" w:eastAsia="Book Antiqua" w:hAnsi="Book Antiqua" w:cs="Book Antiqua"/>
          <w:i/>
          <w:iCs/>
          <w:color w:val="000000"/>
        </w:rPr>
        <w:t xml:space="preserve">P </w:t>
      </w:r>
      <w:r w:rsidRPr="00A725BB">
        <w:rPr>
          <w:rFonts w:ascii="Book Antiqua" w:eastAsia="Book Antiqua" w:hAnsi="Book Antiqua" w:cs="Book Antiqua"/>
          <w:color w:val="000000"/>
        </w:rPr>
        <w:t>&lt; 0.0001). Additionally, the post-PBM cohort was much less likely to receive multiple transfusions. Compared to the pre-PBM cohort, the post-PBM cohort had a much lower preoperative hemoglobin value that predicted a 50% transfusion probability.</w:t>
      </w:r>
    </w:p>
    <w:p w14:paraId="6CDFD0A4" w14:textId="77777777" w:rsidR="00A77B3E" w:rsidRPr="00A725BB" w:rsidRDefault="00A77B3E" w:rsidP="00A725BB">
      <w:pPr>
        <w:adjustRightInd w:val="0"/>
        <w:snapToGrid w:val="0"/>
        <w:spacing w:line="360" w:lineRule="auto"/>
        <w:jc w:val="both"/>
        <w:rPr>
          <w:rFonts w:ascii="Book Antiqua" w:hAnsi="Book Antiqua"/>
        </w:rPr>
      </w:pPr>
    </w:p>
    <w:p w14:paraId="615424AE"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i/>
          <w:color w:val="000000"/>
        </w:rPr>
        <w:t>Research conclusions</w:t>
      </w:r>
    </w:p>
    <w:p w14:paraId="740FFFD9"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In order to more appropriately allocate blood product resources, hip fracture MSBOS should be updated to reflect current restrictive transfusion strategies and should consider preoperative patient hemoglobin values.</w:t>
      </w:r>
    </w:p>
    <w:p w14:paraId="24D72377" w14:textId="77777777" w:rsidR="00A77B3E" w:rsidRPr="00A725BB" w:rsidRDefault="00A77B3E" w:rsidP="00A725BB">
      <w:pPr>
        <w:adjustRightInd w:val="0"/>
        <w:snapToGrid w:val="0"/>
        <w:spacing w:line="360" w:lineRule="auto"/>
        <w:jc w:val="both"/>
        <w:rPr>
          <w:rFonts w:ascii="Book Antiqua" w:hAnsi="Book Antiqua"/>
        </w:rPr>
      </w:pPr>
    </w:p>
    <w:p w14:paraId="6C785AFA"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i/>
          <w:color w:val="000000"/>
        </w:rPr>
        <w:t>Research perspectives</w:t>
      </w:r>
    </w:p>
    <w:p w14:paraId="60472559"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Further study at other institutions is warranted to validate the generalizability of our findings. To help conserve resources, additional MSBOS studies are warranted in other </w:t>
      </w:r>
      <w:proofErr w:type="spellStart"/>
      <w:r w:rsidRPr="00A725BB">
        <w:rPr>
          <w:rFonts w:ascii="Book Antiqua" w:eastAsia="Book Antiqua" w:hAnsi="Book Antiqua" w:cs="Book Antiqua"/>
          <w:color w:val="000000"/>
        </w:rPr>
        <w:t>orthopaedic</w:t>
      </w:r>
      <w:proofErr w:type="spellEnd"/>
      <w:r w:rsidRPr="00A725BB">
        <w:rPr>
          <w:rFonts w:ascii="Book Antiqua" w:eastAsia="Book Antiqua" w:hAnsi="Book Antiqua" w:cs="Book Antiqua"/>
          <w:color w:val="000000"/>
        </w:rPr>
        <w:t xml:space="preserve"> trauma surgery procedures as well.</w:t>
      </w:r>
    </w:p>
    <w:p w14:paraId="2470C357" w14:textId="77777777" w:rsidR="00A77B3E" w:rsidRPr="00A725BB" w:rsidRDefault="00A77B3E" w:rsidP="00A725BB">
      <w:pPr>
        <w:adjustRightInd w:val="0"/>
        <w:snapToGrid w:val="0"/>
        <w:spacing w:line="360" w:lineRule="auto"/>
        <w:jc w:val="both"/>
        <w:rPr>
          <w:rFonts w:ascii="Book Antiqua" w:hAnsi="Book Antiqua"/>
        </w:rPr>
      </w:pPr>
    </w:p>
    <w:p w14:paraId="1502ABB0"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aps/>
          <w:color w:val="000000"/>
          <w:u w:val="single"/>
        </w:rPr>
        <w:t>ACKNOWLEDGEMENTS</w:t>
      </w:r>
    </w:p>
    <w:p w14:paraId="22813291"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This publication was made possible by the Johns Hopkins Institute for Clinical and Translational Research (ICTR). Its contents are solely the responsibility of the authors and do not necessarily represent the official view of the Johns Hopkins ICTR.</w:t>
      </w:r>
    </w:p>
    <w:p w14:paraId="517D9DEC" w14:textId="77777777" w:rsidR="00A77B3E" w:rsidRPr="00A725BB" w:rsidRDefault="00A77B3E" w:rsidP="00A725BB">
      <w:pPr>
        <w:adjustRightInd w:val="0"/>
        <w:snapToGrid w:val="0"/>
        <w:spacing w:line="360" w:lineRule="auto"/>
        <w:jc w:val="both"/>
        <w:rPr>
          <w:rFonts w:ascii="Book Antiqua" w:hAnsi="Book Antiqua"/>
        </w:rPr>
      </w:pPr>
    </w:p>
    <w:p w14:paraId="5B2037E1"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REFERENCES</w:t>
      </w:r>
    </w:p>
    <w:p w14:paraId="27180E20"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1 </w:t>
      </w:r>
      <w:proofErr w:type="spellStart"/>
      <w:r w:rsidRPr="00A725BB">
        <w:rPr>
          <w:rFonts w:ascii="Book Antiqua" w:eastAsia="Book Antiqua" w:hAnsi="Book Antiqua" w:cs="Book Antiqua"/>
          <w:b/>
          <w:bCs/>
          <w:color w:val="000000"/>
        </w:rPr>
        <w:t>Grigoryan</w:t>
      </w:r>
      <w:proofErr w:type="spellEnd"/>
      <w:r w:rsidRPr="00A725BB">
        <w:rPr>
          <w:rFonts w:ascii="Book Antiqua" w:eastAsia="Book Antiqua" w:hAnsi="Book Antiqua" w:cs="Book Antiqua"/>
          <w:b/>
          <w:bCs/>
          <w:color w:val="000000"/>
        </w:rPr>
        <w:t xml:space="preserve"> KV</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Javedan</w:t>
      </w:r>
      <w:proofErr w:type="spellEnd"/>
      <w:r w:rsidRPr="00A725BB">
        <w:rPr>
          <w:rFonts w:ascii="Book Antiqua" w:eastAsia="Book Antiqua" w:hAnsi="Book Antiqua" w:cs="Book Antiqua"/>
          <w:color w:val="000000"/>
        </w:rPr>
        <w:t xml:space="preserve"> H, Rudolph JL. Orthogeriatric care models and outcomes in hip fracture patients: a systematic review and meta-analysis. </w:t>
      </w:r>
      <w:r w:rsidRPr="00A725BB">
        <w:rPr>
          <w:rFonts w:ascii="Book Antiqua" w:eastAsia="Book Antiqua" w:hAnsi="Book Antiqua" w:cs="Book Antiqua"/>
          <w:i/>
          <w:iCs/>
          <w:color w:val="000000"/>
        </w:rPr>
        <w:t xml:space="preserve">J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i/>
          <w:iCs/>
          <w:color w:val="000000"/>
        </w:rPr>
        <w:t xml:space="preserve"> Trauma</w:t>
      </w:r>
      <w:r w:rsidRPr="00A725BB">
        <w:rPr>
          <w:rFonts w:ascii="Book Antiqua" w:eastAsia="Book Antiqua" w:hAnsi="Book Antiqua" w:cs="Book Antiqua"/>
          <w:color w:val="000000"/>
        </w:rPr>
        <w:t xml:space="preserve"> 2014; </w:t>
      </w:r>
      <w:r w:rsidRPr="00A725BB">
        <w:rPr>
          <w:rFonts w:ascii="Book Antiqua" w:eastAsia="Book Antiqua" w:hAnsi="Book Antiqua" w:cs="Book Antiqua"/>
          <w:b/>
          <w:bCs/>
          <w:color w:val="000000"/>
        </w:rPr>
        <w:t>28</w:t>
      </w:r>
      <w:r w:rsidRPr="00A725BB">
        <w:rPr>
          <w:rFonts w:ascii="Book Antiqua" w:eastAsia="Book Antiqua" w:hAnsi="Book Antiqua" w:cs="Book Antiqua"/>
          <w:color w:val="000000"/>
        </w:rPr>
        <w:t>: e49-e55 [PMID: 23912859 DOI: 10.1097/BOT.0b013e3182a5a045]</w:t>
      </w:r>
    </w:p>
    <w:p w14:paraId="60E2A92E"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2 </w:t>
      </w:r>
      <w:r w:rsidRPr="00A725BB">
        <w:rPr>
          <w:rFonts w:ascii="Book Antiqua" w:eastAsia="Book Antiqua" w:hAnsi="Book Antiqua" w:cs="Book Antiqua"/>
          <w:b/>
          <w:bCs/>
          <w:color w:val="000000"/>
        </w:rPr>
        <w:t>Desai SJ,</w:t>
      </w:r>
      <w:r w:rsidRPr="00A725BB">
        <w:rPr>
          <w:rFonts w:ascii="Book Antiqua" w:eastAsia="Book Antiqua" w:hAnsi="Book Antiqua" w:cs="Book Antiqua"/>
          <w:color w:val="000000"/>
        </w:rPr>
        <w:t xml:space="preserve"> Wood KS, Marsh J, Bryant D, Abdo H, </w:t>
      </w:r>
      <w:proofErr w:type="spellStart"/>
      <w:r w:rsidRPr="00A725BB">
        <w:rPr>
          <w:rFonts w:ascii="Book Antiqua" w:eastAsia="Book Antiqua" w:hAnsi="Book Antiqua" w:cs="Book Antiqua"/>
          <w:color w:val="000000"/>
        </w:rPr>
        <w:t>Lawendy</w:t>
      </w:r>
      <w:proofErr w:type="spellEnd"/>
      <w:r w:rsidRPr="00A725BB">
        <w:rPr>
          <w:rFonts w:ascii="Book Antiqua" w:eastAsia="Book Antiqua" w:hAnsi="Book Antiqua" w:cs="Book Antiqua"/>
          <w:color w:val="000000"/>
        </w:rPr>
        <w:t xml:space="preserve"> AR, Sanders DW. Factors affecting transfusion requirement after hip fracture: can we reduce the need for blood? </w:t>
      </w:r>
      <w:r w:rsidRPr="00A725BB">
        <w:rPr>
          <w:rFonts w:ascii="Book Antiqua" w:eastAsia="Book Antiqua" w:hAnsi="Book Antiqua" w:cs="Book Antiqua"/>
          <w:i/>
          <w:iCs/>
          <w:color w:val="000000"/>
        </w:rPr>
        <w:t>Can J Surg</w:t>
      </w:r>
      <w:r w:rsidRPr="00A725BB">
        <w:rPr>
          <w:rFonts w:ascii="Book Antiqua" w:eastAsia="Book Antiqua" w:hAnsi="Book Antiqua" w:cs="Book Antiqua"/>
          <w:color w:val="000000"/>
        </w:rPr>
        <w:t xml:space="preserve"> 2014; </w:t>
      </w:r>
      <w:r w:rsidRPr="00A725BB">
        <w:rPr>
          <w:rFonts w:ascii="Book Antiqua" w:eastAsia="Book Antiqua" w:hAnsi="Book Antiqua" w:cs="Book Antiqua"/>
          <w:b/>
          <w:bCs/>
          <w:color w:val="000000"/>
        </w:rPr>
        <w:t>57</w:t>
      </w:r>
      <w:r w:rsidRPr="00A725BB">
        <w:rPr>
          <w:rFonts w:ascii="Book Antiqua" w:eastAsia="Book Antiqua" w:hAnsi="Book Antiqua" w:cs="Book Antiqua"/>
          <w:color w:val="000000"/>
        </w:rPr>
        <w:t>: 342-348 [PMID: 25265109 DOI: 10.1503/cjs.030413]</w:t>
      </w:r>
    </w:p>
    <w:p w14:paraId="72813574"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3 </w:t>
      </w:r>
      <w:proofErr w:type="spellStart"/>
      <w:r w:rsidRPr="00A725BB">
        <w:rPr>
          <w:rFonts w:ascii="Book Antiqua" w:eastAsia="Book Antiqua" w:hAnsi="Book Antiqua" w:cs="Book Antiqua"/>
          <w:b/>
          <w:bCs/>
          <w:color w:val="000000"/>
        </w:rPr>
        <w:t>Puckeridge</w:t>
      </w:r>
      <w:proofErr w:type="spellEnd"/>
      <w:r w:rsidRPr="00A725BB">
        <w:rPr>
          <w:rFonts w:ascii="Book Antiqua" w:eastAsia="Book Antiqua" w:hAnsi="Book Antiqua" w:cs="Book Antiqua"/>
          <w:b/>
          <w:bCs/>
          <w:color w:val="000000"/>
        </w:rPr>
        <w:t xml:space="preserve"> G</w:t>
      </w:r>
      <w:r w:rsidRPr="00A725BB">
        <w:rPr>
          <w:rFonts w:ascii="Book Antiqua" w:eastAsia="Book Antiqua" w:hAnsi="Book Antiqua" w:cs="Book Antiqua"/>
          <w:color w:val="000000"/>
        </w:rPr>
        <w:t xml:space="preserve">, Terblanche M, Wallis M, Fung YL. Blood management in hip fractures; are we leaving it too late? A retrospective observational study. </w:t>
      </w:r>
      <w:r w:rsidRPr="00A725BB">
        <w:rPr>
          <w:rFonts w:ascii="Book Antiqua" w:eastAsia="Book Antiqua" w:hAnsi="Book Antiqua" w:cs="Book Antiqua"/>
          <w:i/>
          <w:iCs/>
          <w:color w:val="000000"/>
        </w:rPr>
        <w:t xml:space="preserve">BMC </w:t>
      </w:r>
      <w:proofErr w:type="spellStart"/>
      <w:r w:rsidRPr="00A725BB">
        <w:rPr>
          <w:rFonts w:ascii="Book Antiqua" w:eastAsia="Book Antiqua" w:hAnsi="Book Antiqua" w:cs="Book Antiqua"/>
          <w:i/>
          <w:iCs/>
          <w:color w:val="000000"/>
        </w:rPr>
        <w:t>Geriatr</w:t>
      </w:r>
      <w:proofErr w:type="spellEnd"/>
      <w:r w:rsidRPr="00A725BB">
        <w:rPr>
          <w:rFonts w:ascii="Book Antiqua" w:eastAsia="Book Antiqua" w:hAnsi="Book Antiqua" w:cs="Book Antiqua"/>
          <w:color w:val="000000"/>
        </w:rPr>
        <w:t xml:space="preserve"> 2019; </w:t>
      </w:r>
      <w:r w:rsidRPr="00A725BB">
        <w:rPr>
          <w:rFonts w:ascii="Book Antiqua" w:eastAsia="Book Antiqua" w:hAnsi="Book Antiqua" w:cs="Book Antiqua"/>
          <w:b/>
          <w:bCs/>
          <w:color w:val="000000"/>
        </w:rPr>
        <w:t>19</w:t>
      </w:r>
      <w:r w:rsidRPr="00A725BB">
        <w:rPr>
          <w:rFonts w:ascii="Book Antiqua" w:eastAsia="Book Antiqua" w:hAnsi="Book Antiqua" w:cs="Book Antiqua"/>
          <w:color w:val="000000"/>
        </w:rPr>
        <w:t>: 79 [PMID: 30871511 DOI: 10.1186/s12877-019-1099-x]</w:t>
      </w:r>
    </w:p>
    <w:p w14:paraId="61ECAAFC"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4 </w:t>
      </w:r>
      <w:proofErr w:type="spellStart"/>
      <w:r w:rsidRPr="00A725BB">
        <w:rPr>
          <w:rFonts w:ascii="Book Antiqua" w:eastAsia="Book Antiqua" w:hAnsi="Book Antiqua" w:cs="Book Antiqua"/>
          <w:b/>
          <w:bCs/>
          <w:color w:val="000000"/>
        </w:rPr>
        <w:t>Ercin</w:t>
      </w:r>
      <w:proofErr w:type="spellEnd"/>
      <w:r w:rsidRPr="00A725BB">
        <w:rPr>
          <w:rFonts w:ascii="Book Antiqua" w:eastAsia="Book Antiqua" w:hAnsi="Book Antiqua" w:cs="Book Antiqua"/>
          <w:b/>
          <w:bCs/>
          <w:color w:val="000000"/>
        </w:rPr>
        <w:t xml:space="preserve"> E</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Bilgili</w:t>
      </w:r>
      <w:proofErr w:type="spellEnd"/>
      <w:r w:rsidRPr="00A725BB">
        <w:rPr>
          <w:rFonts w:ascii="Book Antiqua" w:eastAsia="Book Antiqua" w:hAnsi="Book Antiqua" w:cs="Book Antiqua"/>
          <w:color w:val="000000"/>
        </w:rPr>
        <w:t xml:space="preserve"> MG, Sari C, </w:t>
      </w:r>
      <w:proofErr w:type="spellStart"/>
      <w:r w:rsidRPr="00A725BB">
        <w:rPr>
          <w:rFonts w:ascii="Book Antiqua" w:eastAsia="Book Antiqua" w:hAnsi="Book Antiqua" w:cs="Book Antiqua"/>
          <w:color w:val="000000"/>
        </w:rPr>
        <w:t>Basaran</w:t>
      </w:r>
      <w:proofErr w:type="spellEnd"/>
      <w:r w:rsidRPr="00A725BB">
        <w:rPr>
          <w:rFonts w:ascii="Book Antiqua" w:eastAsia="Book Antiqua" w:hAnsi="Book Antiqua" w:cs="Book Antiqua"/>
          <w:color w:val="000000"/>
        </w:rPr>
        <w:t xml:space="preserve"> SH, </w:t>
      </w:r>
      <w:proofErr w:type="spellStart"/>
      <w:r w:rsidRPr="00A725BB">
        <w:rPr>
          <w:rFonts w:ascii="Book Antiqua" w:eastAsia="Book Antiqua" w:hAnsi="Book Antiqua" w:cs="Book Antiqua"/>
          <w:color w:val="000000"/>
        </w:rPr>
        <w:t>Tanriverdi</w:t>
      </w:r>
      <w:proofErr w:type="spellEnd"/>
      <w:r w:rsidRPr="00A725BB">
        <w:rPr>
          <w:rFonts w:ascii="Book Antiqua" w:eastAsia="Book Antiqua" w:hAnsi="Book Antiqua" w:cs="Book Antiqua"/>
          <w:color w:val="000000"/>
        </w:rPr>
        <w:t xml:space="preserve"> B, </w:t>
      </w:r>
      <w:proofErr w:type="spellStart"/>
      <w:r w:rsidRPr="00A725BB">
        <w:rPr>
          <w:rFonts w:ascii="Book Antiqua" w:eastAsia="Book Antiqua" w:hAnsi="Book Antiqua" w:cs="Book Antiqua"/>
          <w:color w:val="000000"/>
        </w:rPr>
        <w:t>Edipoglu</w:t>
      </w:r>
      <w:proofErr w:type="spellEnd"/>
      <w:r w:rsidRPr="00A725BB">
        <w:rPr>
          <w:rFonts w:ascii="Book Antiqua" w:eastAsia="Book Antiqua" w:hAnsi="Book Antiqua" w:cs="Book Antiqua"/>
          <w:color w:val="000000"/>
        </w:rPr>
        <w:t xml:space="preserve"> E, </w:t>
      </w:r>
      <w:proofErr w:type="spellStart"/>
      <w:r w:rsidRPr="00A725BB">
        <w:rPr>
          <w:rFonts w:ascii="Book Antiqua" w:eastAsia="Book Antiqua" w:hAnsi="Book Antiqua" w:cs="Book Antiqua"/>
          <w:color w:val="000000"/>
        </w:rPr>
        <w:t>Celen</w:t>
      </w:r>
      <w:proofErr w:type="spellEnd"/>
      <w:r w:rsidRPr="00A725BB">
        <w:rPr>
          <w:rFonts w:ascii="Book Antiqua" w:eastAsia="Book Antiqua" w:hAnsi="Book Antiqua" w:cs="Book Antiqua"/>
          <w:color w:val="000000"/>
        </w:rPr>
        <w:t xml:space="preserve"> KM, </w:t>
      </w:r>
      <w:proofErr w:type="spellStart"/>
      <w:r w:rsidRPr="00A725BB">
        <w:rPr>
          <w:rFonts w:ascii="Book Antiqua" w:eastAsia="Book Antiqua" w:hAnsi="Book Antiqua" w:cs="Book Antiqua"/>
          <w:color w:val="000000"/>
        </w:rPr>
        <w:t>Cetingok</w:t>
      </w:r>
      <w:proofErr w:type="spellEnd"/>
      <w:r w:rsidRPr="00A725BB">
        <w:rPr>
          <w:rFonts w:ascii="Book Antiqua" w:eastAsia="Book Antiqua" w:hAnsi="Book Antiqua" w:cs="Book Antiqua"/>
          <w:color w:val="000000"/>
        </w:rPr>
        <w:t xml:space="preserve"> H, </w:t>
      </w:r>
      <w:proofErr w:type="spellStart"/>
      <w:r w:rsidRPr="00A725BB">
        <w:rPr>
          <w:rFonts w:ascii="Book Antiqua" w:eastAsia="Book Antiqua" w:hAnsi="Book Antiqua" w:cs="Book Antiqua"/>
          <w:color w:val="000000"/>
        </w:rPr>
        <w:t>Kural</w:t>
      </w:r>
      <w:proofErr w:type="spellEnd"/>
      <w:r w:rsidRPr="00A725BB">
        <w:rPr>
          <w:rFonts w:ascii="Book Antiqua" w:eastAsia="Book Antiqua" w:hAnsi="Book Antiqua" w:cs="Book Antiqua"/>
          <w:color w:val="000000"/>
        </w:rPr>
        <w:t xml:space="preserve"> C. Risk factors for mortality in geriatric hip fractures: a compressional study of different surgical procedures in 785 consecutive patients. </w:t>
      </w:r>
      <w:r w:rsidRPr="00A725BB">
        <w:rPr>
          <w:rFonts w:ascii="Book Antiqua" w:eastAsia="Book Antiqua" w:hAnsi="Book Antiqua" w:cs="Book Antiqua"/>
          <w:i/>
          <w:iCs/>
          <w:color w:val="000000"/>
        </w:rPr>
        <w:t xml:space="preserve">Eur J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i/>
          <w:iCs/>
          <w:color w:val="000000"/>
        </w:rPr>
        <w:t xml:space="preserve"> Surg </w:t>
      </w:r>
      <w:proofErr w:type="spellStart"/>
      <w:r w:rsidRPr="00A725BB">
        <w:rPr>
          <w:rFonts w:ascii="Book Antiqua" w:eastAsia="Book Antiqua" w:hAnsi="Book Antiqua" w:cs="Book Antiqua"/>
          <w:i/>
          <w:iCs/>
          <w:color w:val="000000"/>
        </w:rPr>
        <w:t>Traumatol</w:t>
      </w:r>
      <w:proofErr w:type="spellEnd"/>
      <w:r w:rsidRPr="00A725BB">
        <w:rPr>
          <w:rFonts w:ascii="Book Antiqua" w:eastAsia="Book Antiqua" w:hAnsi="Book Antiqua" w:cs="Book Antiqua"/>
          <w:color w:val="000000"/>
        </w:rPr>
        <w:t xml:space="preserve"> 2017; </w:t>
      </w:r>
      <w:r w:rsidRPr="00A725BB">
        <w:rPr>
          <w:rFonts w:ascii="Book Antiqua" w:eastAsia="Book Antiqua" w:hAnsi="Book Antiqua" w:cs="Book Antiqua"/>
          <w:b/>
          <w:bCs/>
          <w:color w:val="000000"/>
        </w:rPr>
        <w:t>27</w:t>
      </w:r>
      <w:r w:rsidRPr="00A725BB">
        <w:rPr>
          <w:rFonts w:ascii="Book Antiqua" w:eastAsia="Book Antiqua" w:hAnsi="Book Antiqua" w:cs="Book Antiqua"/>
          <w:color w:val="000000"/>
        </w:rPr>
        <w:t>: 101-106 [PMID: 27577731 DOI: 10.1007/s00590-016-1843-2]</w:t>
      </w:r>
    </w:p>
    <w:p w14:paraId="4F686B86"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5 </w:t>
      </w:r>
      <w:proofErr w:type="spellStart"/>
      <w:r w:rsidRPr="00A725BB">
        <w:rPr>
          <w:rFonts w:ascii="Book Antiqua" w:eastAsia="Book Antiqua" w:hAnsi="Book Antiqua" w:cs="Book Antiqua"/>
          <w:b/>
          <w:bCs/>
          <w:color w:val="000000"/>
        </w:rPr>
        <w:t>Carow</w:t>
      </w:r>
      <w:proofErr w:type="spellEnd"/>
      <w:r w:rsidRPr="00A725BB">
        <w:rPr>
          <w:rFonts w:ascii="Book Antiqua" w:eastAsia="Book Antiqua" w:hAnsi="Book Antiqua" w:cs="Book Antiqua"/>
          <w:b/>
          <w:bCs/>
          <w:color w:val="000000"/>
        </w:rPr>
        <w:t xml:space="preserve"> J,</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Carow</w:t>
      </w:r>
      <w:proofErr w:type="spellEnd"/>
      <w:r w:rsidRPr="00A725BB">
        <w:rPr>
          <w:rFonts w:ascii="Book Antiqua" w:eastAsia="Book Antiqua" w:hAnsi="Book Antiqua" w:cs="Book Antiqua"/>
          <w:color w:val="000000"/>
        </w:rPr>
        <w:t xml:space="preserve"> JB, Coburn M, Kim BS, </w:t>
      </w:r>
      <w:proofErr w:type="spellStart"/>
      <w:r w:rsidRPr="00A725BB">
        <w:rPr>
          <w:rFonts w:ascii="Book Antiqua" w:eastAsia="Book Antiqua" w:hAnsi="Book Antiqua" w:cs="Book Antiqua"/>
          <w:color w:val="000000"/>
        </w:rPr>
        <w:t>Bücking</w:t>
      </w:r>
      <w:proofErr w:type="spellEnd"/>
      <w:r w:rsidRPr="00A725BB">
        <w:rPr>
          <w:rFonts w:ascii="Book Antiqua" w:eastAsia="Book Antiqua" w:hAnsi="Book Antiqua" w:cs="Book Antiqua"/>
          <w:color w:val="000000"/>
        </w:rPr>
        <w:t xml:space="preserve"> B, </w:t>
      </w:r>
      <w:proofErr w:type="spellStart"/>
      <w:r w:rsidRPr="00A725BB">
        <w:rPr>
          <w:rFonts w:ascii="Book Antiqua" w:eastAsia="Book Antiqua" w:hAnsi="Book Antiqua" w:cs="Book Antiqua"/>
          <w:color w:val="000000"/>
        </w:rPr>
        <w:t>Bliemel</w:t>
      </w:r>
      <w:proofErr w:type="spellEnd"/>
      <w:r w:rsidRPr="00A725BB">
        <w:rPr>
          <w:rFonts w:ascii="Book Antiqua" w:eastAsia="Book Antiqua" w:hAnsi="Book Antiqua" w:cs="Book Antiqua"/>
          <w:color w:val="000000"/>
        </w:rPr>
        <w:t xml:space="preserve"> C, </w:t>
      </w:r>
      <w:proofErr w:type="spellStart"/>
      <w:r w:rsidRPr="00A725BB">
        <w:rPr>
          <w:rFonts w:ascii="Book Antiqua" w:eastAsia="Book Antiqua" w:hAnsi="Book Antiqua" w:cs="Book Antiqua"/>
          <w:color w:val="000000"/>
        </w:rPr>
        <w:t>Bollheimer</w:t>
      </w:r>
      <w:proofErr w:type="spellEnd"/>
      <w:r w:rsidRPr="00A725BB">
        <w:rPr>
          <w:rFonts w:ascii="Book Antiqua" w:eastAsia="Book Antiqua" w:hAnsi="Book Antiqua" w:cs="Book Antiqua"/>
          <w:color w:val="000000"/>
        </w:rPr>
        <w:t xml:space="preserve"> LC, Werner CJ, Bach JP, </w:t>
      </w:r>
      <w:proofErr w:type="spellStart"/>
      <w:r w:rsidRPr="00A725BB">
        <w:rPr>
          <w:rFonts w:ascii="Book Antiqua" w:eastAsia="Book Antiqua" w:hAnsi="Book Antiqua" w:cs="Book Antiqua"/>
          <w:color w:val="000000"/>
        </w:rPr>
        <w:t>Knobe</w:t>
      </w:r>
      <w:proofErr w:type="spellEnd"/>
      <w:r w:rsidRPr="00A725BB">
        <w:rPr>
          <w:rFonts w:ascii="Book Antiqua" w:eastAsia="Book Antiqua" w:hAnsi="Book Antiqua" w:cs="Book Antiqua"/>
          <w:color w:val="000000"/>
        </w:rPr>
        <w:t xml:space="preserve"> M. Mortality and cardiorespiratory complications in trochanteric femoral fractures: a ten year retrospective analysis. </w:t>
      </w:r>
      <w:r w:rsidRPr="00A725BB">
        <w:rPr>
          <w:rFonts w:ascii="Book Antiqua" w:eastAsia="Book Antiqua" w:hAnsi="Book Antiqua" w:cs="Book Antiqua"/>
          <w:i/>
          <w:iCs/>
          <w:color w:val="000000"/>
        </w:rPr>
        <w:t xml:space="preserve">Int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color w:val="000000"/>
        </w:rPr>
        <w:t xml:space="preserve"> 2017; </w:t>
      </w:r>
      <w:r w:rsidRPr="00A725BB">
        <w:rPr>
          <w:rFonts w:ascii="Book Antiqua" w:eastAsia="Book Antiqua" w:hAnsi="Book Antiqua" w:cs="Book Antiqua"/>
          <w:b/>
          <w:bCs/>
          <w:color w:val="000000"/>
        </w:rPr>
        <w:t>41</w:t>
      </w:r>
      <w:r w:rsidRPr="00A725BB">
        <w:rPr>
          <w:rFonts w:ascii="Book Antiqua" w:eastAsia="Book Antiqua" w:hAnsi="Book Antiqua" w:cs="Book Antiqua"/>
          <w:color w:val="000000"/>
        </w:rPr>
        <w:t>: 2371-2380 [PMID: 28921003 DOI: 10.1007/s00264-017-3639-3]</w:t>
      </w:r>
    </w:p>
    <w:p w14:paraId="73F1D5AF"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lastRenderedPageBreak/>
        <w:t xml:space="preserve">6 </w:t>
      </w:r>
      <w:r w:rsidRPr="00A725BB">
        <w:rPr>
          <w:rFonts w:ascii="Book Antiqua" w:eastAsia="Book Antiqua" w:hAnsi="Book Antiqua" w:cs="Book Antiqua"/>
          <w:b/>
          <w:bCs/>
          <w:color w:val="000000"/>
        </w:rPr>
        <w:t>Dodd AC,</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Bulka</w:t>
      </w:r>
      <w:proofErr w:type="spellEnd"/>
      <w:r w:rsidRPr="00A725BB">
        <w:rPr>
          <w:rFonts w:ascii="Book Antiqua" w:eastAsia="Book Antiqua" w:hAnsi="Book Antiqua" w:cs="Book Antiqua"/>
          <w:color w:val="000000"/>
        </w:rPr>
        <w:t xml:space="preserve"> C, Jahangir A, Mir HR, </w:t>
      </w:r>
      <w:proofErr w:type="spellStart"/>
      <w:r w:rsidRPr="00A725BB">
        <w:rPr>
          <w:rFonts w:ascii="Book Antiqua" w:eastAsia="Book Antiqua" w:hAnsi="Book Antiqua" w:cs="Book Antiqua"/>
          <w:color w:val="000000"/>
        </w:rPr>
        <w:t>Obremskey</w:t>
      </w:r>
      <w:proofErr w:type="spellEnd"/>
      <w:r w:rsidRPr="00A725BB">
        <w:rPr>
          <w:rFonts w:ascii="Book Antiqua" w:eastAsia="Book Antiqua" w:hAnsi="Book Antiqua" w:cs="Book Antiqua"/>
          <w:color w:val="000000"/>
        </w:rPr>
        <w:t xml:space="preserve"> WT, Sethi MK. Predictors of 30-day mortality following hip/pelvis fractures.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i/>
          <w:iCs/>
          <w:color w:val="000000"/>
        </w:rPr>
        <w:t xml:space="preserve"> </w:t>
      </w:r>
      <w:proofErr w:type="spellStart"/>
      <w:r w:rsidRPr="00A725BB">
        <w:rPr>
          <w:rFonts w:ascii="Book Antiqua" w:eastAsia="Book Antiqua" w:hAnsi="Book Antiqua" w:cs="Book Antiqua"/>
          <w:i/>
          <w:iCs/>
          <w:color w:val="000000"/>
        </w:rPr>
        <w:t>Traumatol</w:t>
      </w:r>
      <w:proofErr w:type="spellEnd"/>
      <w:r w:rsidRPr="00A725BB">
        <w:rPr>
          <w:rFonts w:ascii="Book Antiqua" w:eastAsia="Book Antiqua" w:hAnsi="Book Antiqua" w:cs="Book Antiqua"/>
          <w:i/>
          <w:iCs/>
          <w:color w:val="000000"/>
        </w:rPr>
        <w:t xml:space="preserve"> Surg Res</w:t>
      </w:r>
      <w:r w:rsidRPr="00A725BB">
        <w:rPr>
          <w:rFonts w:ascii="Book Antiqua" w:eastAsia="Book Antiqua" w:hAnsi="Book Antiqua" w:cs="Book Antiqua"/>
          <w:color w:val="000000"/>
        </w:rPr>
        <w:t xml:space="preserve"> 2016; </w:t>
      </w:r>
      <w:r w:rsidRPr="00A725BB">
        <w:rPr>
          <w:rFonts w:ascii="Book Antiqua" w:eastAsia="Book Antiqua" w:hAnsi="Book Antiqua" w:cs="Book Antiqua"/>
          <w:b/>
          <w:bCs/>
          <w:color w:val="000000"/>
        </w:rPr>
        <w:t>102</w:t>
      </w:r>
      <w:r w:rsidRPr="00A725BB">
        <w:rPr>
          <w:rFonts w:ascii="Book Antiqua" w:eastAsia="Book Antiqua" w:hAnsi="Book Antiqua" w:cs="Book Antiqua"/>
          <w:color w:val="000000"/>
        </w:rPr>
        <w:t>: 707-710 [PMID: 27496661 DOI: 10.1016/j.otsr.2016.05.016]</w:t>
      </w:r>
    </w:p>
    <w:p w14:paraId="1F9F8AE5"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7 </w:t>
      </w:r>
      <w:proofErr w:type="spellStart"/>
      <w:r w:rsidRPr="00A725BB">
        <w:rPr>
          <w:rFonts w:ascii="Book Antiqua" w:eastAsia="Book Antiqua" w:hAnsi="Book Antiqua" w:cs="Book Antiqua"/>
          <w:b/>
          <w:bCs/>
          <w:color w:val="000000"/>
        </w:rPr>
        <w:t>Heyes</w:t>
      </w:r>
      <w:proofErr w:type="spellEnd"/>
      <w:r w:rsidRPr="00A725BB">
        <w:rPr>
          <w:rFonts w:ascii="Book Antiqua" w:eastAsia="Book Antiqua" w:hAnsi="Book Antiqua" w:cs="Book Antiqua"/>
          <w:b/>
          <w:bCs/>
          <w:color w:val="000000"/>
        </w:rPr>
        <w:t xml:space="preserve"> GJ</w:t>
      </w:r>
      <w:r w:rsidRPr="00A725BB">
        <w:rPr>
          <w:rFonts w:ascii="Book Antiqua" w:eastAsia="Book Antiqua" w:hAnsi="Book Antiqua" w:cs="Book Antiqua"/>
          <w:color w:val="000000"/>
        </w:rPr>
        <w:t xml:space="preserve">, Tucker A, Marley D, Foster A. Predictors for Readmission up to 1 Year Following Hip Fracture. </w:t>
      </w:r>
      <w:r w:rsidRPr="00A725BB">
        <w:rPr>
          <w:rFonts w:ascii="Book Antiqua" w:eastAsia="Book Antiqua" w:hAnsi="Book Antiqua" w:cs="Book Antiqua"/>
          <w:i/>
          <w:iCs/>
          <w:color w:val="000000"/>
        </w:rPr>
        <w:t>Arch Trauma Res</w:t>
      </w:r>
      <w:r w:rsidRPr="00A725BB">
        <w:rPr>
          <w:rFonts w:ascii="Book Antiqua" w:eastAsia="Book Antiqua" w:hAnsi="Book Antiqua" w:cs="Book Antiqua"/>
          <w:color w:val="000000"/>
        </w:rPr>
        <w:t xml:space="preserve"> 2015; </w:t>
      </w:r>
      <w:r w:rsidRPr="00A725BB">
        <w:rPr>
          <w:rFonts w:ascii="Book Antiqua" w:eastAsia="Book Antiqua" w:hAnsi="Book Antiqua" w:cs="Book Antiqua"/>
          <w:b/>
          <w:bCs/>
          <w:color w:val="000000"/>
        </w:rPr>
        <w:t>4</w:t>
      </w:r>
      <w:r w:rsidRPr="00A725BB">
        <w:rPr>
          <w:rFonts w:ascii="Book Antiqua" w:eastAsia="Book Antiqua" w:hAnsi="Book Antiqua" w:cs="Book Antiqua"/>
          <w:color w:val="000000"/>
        </w:rPr>
        <w:t>: e27123 [PMID: 26101764 DOI: 10.5812/atr.4(2)2015.27123]</w:t>
      </w:r>
    </w:p>
    <w:p w14:paraId="46A03175"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8 </w:t>
      </w:r>
      <w:proofErr w:type="spellStart"/>
      <w:r w:rsidRPr="00A725BB">
        <w:rPr>
          <w:rFonts w:ascii="Book Antiqua" w:eastAsia="Book Antiqua" w:hAnsi="Book Antiqua" w:cs="Book Antiqua"/>
          <w:b/>
          <w:bCs/>
          <w:color w:val="000000"/>
        </w:rPr>
        <w:t>Qiu</w:t>
      </w:r>
      <w:proofErr w:type="spellEnd"/>
      <w:r w:rsidRPr="00A725BB">
        <w:rPr>
          <w:rFonts w:ascii="Book Antiqua" w:eastAsia="Book Antiqua" w:hAnsi="Book Antiqua" w:cs="Book Antiqua"/>
          <w:b/>
          <w:bCs/>
          <w:color w:val="000000"/>
        </w:rPr>
        <w:t xml:space="preserve"> M</w:t>
      </w:r>
      <w:r w:rsidRPr="00A725BB">
        <w:rPr>
          <w:rFonts w:ascii="Book Antiqua" w:eastAsia="Book Antiqua" w:hAnsi="Book Antiqua" w:cs="Book Antiqua"/>
          <w:color w:val="000000"/>
        </w:rPr>
        <w:t xml:space="preserve">, Zhang X, Cai H, Xu Z, Lin H. The impact of </w:t>
      </w:r>
      <w:proofErr w:type="spellStart"/>
      <w:r w:rsidRPr="00A725BB">
        <w:rPr>
          <w:rFonts w:ascii="Book Antiqua" w:eastAsia="Book Antiqua" w:hAnsi="Book Antiqua" w:cs="Book Antiqua"/>
          <w:color w:val="000000"/>
        </w:rPr>
        <w:t>hemocoagulase</w:t>
      </w:r>
      <w:proofErr w:type="spellEnd"/>
      <w:r w:rsidRPr="00A725BB">
        <w:rPr>
          <w:rFonts w:ascii="Book Antiqua" w:eastAsia="Book Antiqua" w:hAnsi="Book Antiqua" w:cs="Book Antiqua"/>
          <w:color w:val="000000"/>
        </w:rPr>
        <w:t xml:space="preserve"> for improvement of coagulation and reduction of bleeding in fracture-related hip hemiarthroplasty geriatric patients: A prospective, single-blinded, randomized, controlled study. </w:t>
      </w:r>
      <w:r w:rsidRPr="00A725BB">
        <w:rPr>
          <w:rFonts w:ascii="Book Antiqua" w:eastAsia="Book Antiqua" w:hAnsi="Book Antiqua" w:cs="Book Antiqua"/>
          <w:i/>
          <w:iCs/>
          <w:color w:val="000000"/>
        </w:rPr>
        <w:t>Injury</w:t>
      </w:r>
      <w:r w:rsidRPr="00A725BB">
        <w:rPr>
          <w:rFonts w:ascii="Book Antiqua" w:eastAsia="Book Antiqua" w:hAnsi="Book Antiqua" w:cs="Book Antiqua"/>
          <w:color w:val="000000"/>
        </w:rPr>
        <w:t xml:space="preserve"> 2017; </w:t>
      </w:r>
      <w:r w:rsidRPr="00A725BB">
        <w:rPr>
          <w:rFonts w:ascii="Book Antiqua" w:eastAsia="Book Antiqua" w:hAnsi="Book Antiqua" w:cs="Book Antiqua"/>
          <w:b/>
          <w:bCs/>
          <w:color w:val="000000"/>
        </w:rPr>
        <w:t>48</w:t>
      </w:r>
      <w:r w:rsidRPr="00A725BB">
        <w:rPr>
          <w:rFonts w:ascii="Book Antiqua" w:eastAsia="Book Antiqua" w:hAnsi="Book Antiqua" w:cs="Book Antiqua"/>
          <w:color w:val="000000"/>
        </w:rPr>
        <w:t>: 914-919 [PMID: 28238301 DOI: 10.1016/j.injury.2016.11.028]</w:t>
      </w:r>
    </w:p>
    <w:p w14:paraId="0A962D2C"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9 </w:t>
      </w:r>
      <w:proofErr w:type="spellStart"/>
      <w:r w:rsidRPr="00A725BB">
        <w:rPr>
          <w:rFonts w:ascii="Book Antiqua" w:eastAsia="Book Antiqua" w:hAnsi="Book Antiqua" w:cs="Book Antiqua"/>
          <w:b/>
          <w:bCs/>
          <w:color w:val="000000"/>
        </w:rPr>
        <w:t>Alvi</w:t>
      </w:r>
      <w:proofErr w:type="spellEnd"/>
      <w:r w:rsidRPr="00A725BB">
        <w:rPr>
          <w:rFonts w:ascii="Book Antiqua" w:eastAsia="Book Antiqua" w:hAnsi="Book Antiqua" w:cs="Book Antiqua"/>
          <w:b/>
          <w:bCs/>
          <w:color w:val="000000"/>
        </w:rPr>
        <w:t xml:space="preserve"> HM,</w:t>
      </w:r>
      <w:r w:rsidRPr="00A725BB">
        <w:rPr>
          <w:rFonts w:ascii="Book Antiqua" w:eastAsia="Book Antiqua" w:hAnsi="Book Antiqua" w:cs="Book Antiqua"/>
          <w:color w:val="000000"/>
        </w:rPr>
        <w:t xml:space="preserve"> Thompson RM, Krishnan V, </w:t>
      </w:r>
      <w:proofErr w:type="spellStart"/>
      <w:r w:rsidRPr="00A725BB">
        <w:rPr>
          <w:rFonts w:ascii="Book Antiqua" w:eastAsia="Book Antiqua" w:hAnsi="Book Antiqua" w:cs="Book Antiqua"/>
          <w:color w:val="000000"/>
        </w:rPr>
        <w:t>Kwasny</w:t>
      </w:r>
      <w:proofErr w:type="spellEnd"/>
      <w:r w:rsidRPr="00A725BB">
        <w:rPr>
          <w:rFonts w:ascii="Book Antiqua" w:eastAsia="Book Antiqua" w:hAnsi="Book Antiqua" w:cs="Book Antiqua"/>
          <w:color w:val="000000"/>
        </w:rPr>
        <w:t xml:space="preserve"> MJ, Beal MD, Manning DW. Time-to-Surgery for Definitive Fixation of Hip Fractures: A Look at Outcomes Based Upon Delay. </w:t>
      </w:r>
      <w:r w:rsidRPr="00A725BB">
        <w:rPr>
          <w:rFonts w:ascii="Book Antiqua" w:eastAsia="Book Antiqua" w:hAnsi="Book Antiqua" w:cs="Book Antiqua"/>
          <w:i/>
          <w:iCs/>
          <w:color w:val="000000"/>
        </w:rPr>
        <w:t xml:space="preserve">Am J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i/>
          <w:iCs/>
          <w:color w:val="000000"/>
        </w:rPr>
        <w:t xml:space="preserve"> (Belle Mead NJ)</w:t>
      </w:r>
      <w:r w:rsidRPr="00A725BB">
        <w:rPr>
          <w:rFonts w:ascii="Book Antiqua" w:eastAsia="Book Antiqua" w:hAnsi="Book Antiqua" w:cs="Book Antiqua"/>
          <w:color w:val="000000"/>
        </w:rPr>
        <w:t xml:space="preserve"> 2018; </w:t>
      </w:r>
      <w:r w:rsidRPr="00A725BB">
        <w:rPr>
          <w:rFonts w:ascii="Book Antiqua" w:eastAsia="Book Antiqua" w:hAnsi="Book Antiqua" w:cs="Book Antiqua"/>
          <w:b/>
          <w:bCs/>
          <w:color w:val="000000"/>
        </w:rPr>
        <w:t>47</w:t>
      </w:r>
      <w:r w:rsidRPr="00A725BB">
        <w:rPr>
          <w:rFonts w:ascii="Book Antiqua" w:eastAsia="Book Antiqua" w:hAnsi="Book Antiqua" w:cs="Book Antiqua"/>
          <w:color w:val="000000"/>
        </w:rPr>
        <w:t xml:space="preserve"> [PMID: 30296323 DOI: 10.12788/ajo.2018.0071]</w:t>
      </w:r>
    </w:p>
    <w:p w14:paraId="3E4FB864"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10 </w:t>
      </w:r>
      <w:r w:rsidRPr="00A725BB">
        <w:rPr>
          <w:rFonts w:ascii="Book Antiqua" w:eastAsia="Book Antiqua" w:hAnsi="Book Antiqua" w:cs="Book Antiqua"/>
          <w:b/>
          <w:bCs/>
          <w:color w:val="000000"/>
        </w:rPr>
        <w:t>Amin RM</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DeMario</w:t>
      </w:r>
      <w:proofErr w:type="spellEnd"/>
      <w:r w:rsidRPr="00A725BB">
        <w:rPr>
          <w:rFonts w:ascii="Book Antiqua" w:eastAsia="Book Antiqua" w:hAnsi="Book Antiqua" w:cs="Book Antiqua"/>
          <w:color w:val="000000"/>
        </w:rPr>
        <w:t xml:space="preserve"> VM, Best MJ, Shafiq B, </w:t>
      </w:r>
      <w:proofErr w:type="spellStart"/>
      <w:r w:rsidRPr="00A725BB">
        <w:rPr>
          <w:rFonts w:ascii="Book Antiqua" w:eastAsia="Book Antiqua" w:hAnsi="Book Antiqua" w:cs="Book Antiqua"/>
          <w:color w:val="000000"/>
        </w:rPr>
        <w:t>Hasenboehler</w:t>
      </w:r>
      <w:proofErr w:type="spellEnd"/>
      <w:r w:rsidRPr="00A725BB">
        <w:rPr>
          <w:rFonts w:ascii="Book Antiqua" w:eastAsia="Book Antiqua" w:hAnsi="Book Antiqua" w:cs="Book Antiqua"/>
          <w:color w:val="000000"/>
        </w:rPr>
        <w:t xml:space="preserve"> EA, Sterling RS, Frank SM, </w:t>
      </w:r>
      <w:proofErr w:type="spellStart"/>
      <w:r w:rsidRPr="00A725BB">
        <w:rPr>
          <w:rFonts w:ascii="Book Antiqua" w:eastAsia="Book Antiqua" w:hAnsi="Book Antiqua" w:cs="Book Antiqua"/>
          <w:color w:val="000000"/>
        </w:rPr>
        <w:t>Khanuja</w:t>
      </w:r>
      <w:proofErr w:type="spellEnd"/>
      <w:r w:rsidRPr="00A725BB">
        <w:rPr>
          <w:rFonts w:ascii="Book Antiqua" w:eastAsia="Book Antiqua" w:hAnsi="Book Antiqua" w:cs="Book Antiqua"/>
          <w:color w:val="000000"/>
        </w:rPr>
        <w:t xml:space="preserve"> HS. A Restrictive Hemoglobin Transfusion Threshold of Less Than 7 g/dL Decreases Blood Utilization Without Compromising Outcomes in Patients With Hip Fractures. </w:t>
      </w:r>
      <w:r w:rsidRPr="00A725BB">
        <w:rPr>
          <w:rFonts w:ascii="Book Antiqua" w:eastAsia="Book Antiqua" w:hAnsi="Book Antiqua" w:cs="Book Antiqua"/>
          <w:i/>
          <w:iCs/>
          <w:color w:val="000000"/>
        </w:rPr>
        <w:t xml:space="preserve">J Am </w:t>
      </w:r>
      <w:proofErr w:type="spellStart"/>
      <w:r w:rsidRPr="00A725BB">
        <w:rPr>
          <w:rFonts w:ascii="Book Antiqua" w:eastAsia="Book Antiqua" w:hAnsi="Book Antiqua" w:cs="Book Antiqua"/>
          <w:i/>
          <w:iCs/>
          <w:color w:val="000000"/>
        </w:rPr>
        <w:t>Acad</w:t>
      </w:r>
      <w:proofErr w:type="spellEnd"/>
      <w:r w:rsidRPr="00A725BB">
        <w:rPr>
          <w:rFonts w:ascii="Book Antiqua" w:eastAsia="Book Antiqua" w:hAnsi="Book Antiqua" w:cs="Book Antiqua"/>
          <w:i/>
          <w:iCs/>
          <w:color w:val="000000"/>
        </w:rPr>
        <w:t xml:space="preserve">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i/>
          <w:iCs/>
          <w:color w:val="000000"/>
        </w:rPr>
        <w:t xml:space="preserve"> Surg</w:t>
      </w:r>
      <w:r w:rsidRPr="00A725BB">
        <w:rPr>
          <w:rFonts w:ascii="Book Antiqua" w:eastAsia="Book Antiqua" w:hAnsi="Book Antiqua" w:cs="Book Antiqua"/>
          <w:color w:val="000000"/>
        </w:rPr>
        <w:t xml:space="preserve"> 2019; </w:t>
      </w:r>
      <w:r w:rsidRPr="00A725BB">
        <w:rPr>
          <w:rFonts w:ascii="Book Antiqua" w:eastAsia="Book Antiqua" w:hAnsi="Book Antiqua" w:cs="Book Antiqua"/>
          <w:b/>
          <w:bCs/>
          <w:color w:val="000000"/>
        </w:rPr>
        <w:t>27</w:t>
      </w:r>
      <w:r w:rsidRPr="00A725BB">
        <w:rPr>
          <w:rFonts w:ascii="Book Antiqua" w:eastAsia="Book Antiqua" w:hAnsi="Book Antiqua" w:cs="Book Antiqua"/>
          <w:color w:val="000000"/>
        </w:rPr>
        <w:t>: 887-894 [PMID: 30829898 DOI: 10.5435/JAAOS-D-18-00374]</w:t>
      </w:r>
    </w:p>
    <w:p w14:paraId="1361B224"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11 </w:t>
      </w:r>
      <w:r w:rsidRPr="00A725BB">
        <w:rPr>
          <w:rFonts w:ascii="Book Antiqua" w:eastAsia="Book Antiqua" w:hAnsi="Book Antiqua" w:cs="Book Antiqua"/>
          <w:b/>
          <w:bCs/>
          <w:color w:val="000000"/>
        </w:rPr>
        <w:t>Farrow LS</w:t>
      </w:r>
      <w:r w:rsidRPr="00A725BB">
        <w:rPr>
          <w:rFonts w:ascii="Book Antiqua" w:eastAsia="Book Antiqua" w:hAnsi="Book Antiqua" w:cs="Book Antiqua"/>
          <w:color w:val="000000"/>
        </w:rPr>
        <w:t xml:space="preserve">, Smith TO, Ashcroft GP, </w:t>
      </w:r>
      <w:proofErr w:type="spellStart"/>
      <w:r w:rsidRPr="00A725BB">
        <w:rPr>
          <w:rFonts w:ascii="Book Antiqua" w:eastAsia="Book Antiqua" w:hAnsi="Book Antiqua" w:cs="Book Antiqua"/>
          <w:color w:val="000000"/>
        </w:rPr>
        <w:t>Myint</w:t>
      </w:r>
      <w:proofErr w:type="spellEnd"/>
      <w:r w:rsidRPr="00A725BB">
        <w:rPr>
          <w:rFonts w:ascii="Book Antiqua" w:eastAsia="Book Antiqua" w:hAnsi="Book Antiqua" w:cs="Book Antiqua"/>
          <w:color w:val="000000"/>
        </w:rPr>
        <w:t xml:space="preserve"> PK. A systematic review of tranexamic acid in hip fracture surgery. </w:t>
      </w:r>
      <w:r w:rsidRPr="00A725BB">
        <w:rPr>
          <w:rFonts w:ascii="Book Antiqua" w:eastAsia="Book Antiqua" w:hAnsi="Book Antiqua" w:cs="Book Antiqua"/>
          <w:i/>
          <w:iCs/>
          <w:color w:val="000000"/>
        </w:rPr>
        <w:t xml:space="preserve">Br J Clin </w:t>
      </w:r>
      <w:proofErr w:type="spellStart"/>
      <w:r w:rsidRPr="00A725BB">
        <w:rPr>
          <w:rFonts w:ascii="Book Antiqua" w:eastAsia="Book Antiqua" w:hAnsi="Book Antiqua" w:cs="Book Antiqua"/>
          <w:i/>
          <w:iCs/>
          <w:color w:val="000000"/>
        </w:rPr>
        <w:t>Pharmacol</w:t>
      </w:r>
      <w:proofErr w:type="spellEnd"/>
      <w:r w:rsidRPr="00A725BB">
        <w:rPr>
          <w:rFonts w:ascii="Book Antiqua" w:eastAsia="Book Antiqua" w:hAnsi="Book Antiqua" w:cs="Book Antiqua"/>
          <w:color w:val="000000"/>
        </w:rPr>
        <w:t xml:space="preserve"> 2016; </w:t>
      </w:r>
      <w:r w:rsidRPr="00A725BB">
        <w:rPr>
          <w:rFonts w:ascii="Book Antiqua" w:eastAsia="Book Antiqua" w:hAnsi="Book Antiqua" w:cs="Book Antiqua"/>
          <w:b/>
          <w:bCs/>
          <w:color w:val="000000"/>
        </w:rPr>
        <w:t>82</w:t>
      </w:r>
      <w:r w:rsidRPr="00A725BB">
        <w:rPr>
          <w:rFonts w:ascii="Book Antiqua" w:eastAsia="Book Antiqua" w:hAnsi="Book Antiqua" w:cs="Book Antiqua"/>
          <w:color w:val="000000"/>
        </w:rPr>
        <w:t>: 1458-1470 [PMID: 27492116 DOI: 10.1111/bcp.13079]</w:t>
      </w:r>
    </w:p>
    <w:p w14:paraId="25FBD271"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12 </w:t>
      </w:r>
      <w:r w:rsidRPr="00A725BB">
        <w:rPr>
          <w:rFonts w:ascii="Book Antiqua" w:eastAsia="Book Antiqua" w:hAnsi="Book Antiqua" w:cs="Book Antiqua"/>
          <w:b/>
          <w:bCs/>
          <w:color w:val="000000"/>
        </w:rPr>
        <w:t>Morris R</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Rethnam</w:t>
      </w:r>
      <w:proofErr w:type="spellEnd"/>
      <w:r w:rsidRPr="00A725BB">
        <w:rPr>
          <w:rFonts w:ascii="Book Antiqua" w:eastAsia="Book Antiqua" w:hAnsi="Book Antiqua" w:cs="Book Antiqua"/>
          <w:color w:val="000000"/>
        </w:rPr>
        <w:t xml:space="preserve"> U, Russ B, </w:t>
      </w:r>
      <w:proofErr w:type="spellStart"/>
      <w:r w:rsidRPr="00A725BB">
        <w:rPr>
          <w:rFonts w:ascii="Book Antiqua" w:eastAsia="Book Antiqua" w:hAnsi="Book Antiqua" w:cs="Book Antiqua"/>
          <w:color w:val="000000"/>
        </w:rPr>
        <w:t>Topliss</w:t>
      </w:r>
      <w:proofErr w:type="spellEnd"/>
      <w:r w:rsidRPr="00A725BB">
        <w:rPr>
          <w:rFonts w:ascii="Book Antiqua" w:eastAsia="Book Antiqua" w:hAnsi="Book Antiqua" w:cs="Book Antiqua"/>
          <w:color w:val="000000"/>
        </w:rPr>
        <w:t xml:space="preserve"> C. Assessing the impact of fracture pattern on transfusion requirements in hip fractures. </w:t>
      </w:r>
      <w:r w:rsidRPr="00A725BB">
        <w:rPr>
          <w:rFonts w:ascii="Book Antiqua" w:eastAsia="Book Antiqua" w:hAnsi="Book Antiqua" w:cs="Book Antiqua"/>
          <w:i/>
          <w:iCs/>
          <w:color w:val="000000"/>
        </w:rPr>
        <w:t xml:space="preserve">Eur J Trauma </w:t>
      </w:r>
      <w:proofErr w:type="spellStart"/>
      <w:r w:rsidRPr="00A725BB">
        <w:rPr>
          <w:rFonts w:ascii="Book Antiqua" w:eastAsia="Book Antiqua" w:hAnsi="Book Antiqua" w:cs="Book Antiqua"/>
          <w:i/>
          <w:iCs/>
          <w:color w:val="000000"/>
        </w:rPr>
        <w:t>Emerg</w:t>
      </w:r>
      <w:proofErr w:type="spellEnd"/>
      <w:r w:rsidRPr="00A725BB">
        <w:rPr>
          <w:rFonts w:ascii="Book Antiqua" w:eastAsia="Book Antiqua" w:hAnsi="Book Antiqua" w:cs="Book Antiqua"/>
          <w:i/>
          <w:iCs/>
          <w:color w:val="000000"/>
        </w:rPr>
        <w:t xml:space="preserve"> Surg</w:t>
      </w:r>
      <w:r w:rsidRPr="00A725BB">
        <w:rPr>
          <w:rFonts w:ascii="Book Antiqua" w:eastAsia="Book Antiqua" w:hAnsi="Book Antiqua" w:cs="Book Antiqua"/>
          <w:color w:val="000000"/>
        </w:rPr>
        <w:t xml:space="preserve"> 2017; </w:t>
      </w:r>
      <w:r w:rsidRPr="00A725BB">
        <w:rPr>
          <w:rFonts w:ascii="Book Antiqua" w:eastAsia="Book Antiqua" w:hAnsi="Book Antiqua" w:cs="Book Antiqua"/>
          <w:b/>
          <w:bCs/>
          <w:color w:val="000000"/>
        </w:rPr>
        <w:t>43</w:t>
      </w:r>
      <w:r w:rsidRPr="00A725BB">
        <w:rPr>
          <w:rFonts w:ascii="Book Antiqua" w:eastAsia="Book Antiqua" w:hAnsi="Book Antiqua" w:cs="Book Antiqua"/>
          <w:color w:val="000000"/>
        </w:rPr>
        <w:t>: 337-342 [PMID: 26972432 DOI: 10.1007/s00068-016-0655-8]</w:t>
      </w:r>
    </w:p>
    <w:p w14:paraId="48C4F7D7"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13 </w:t>
      </w:r>
      <w:r w:rsidRPr="00A725BB">
        <w:rPr>
          <w:rFonts w:ascii="Book Antiqua" w:eastAsia="Book Antiqua" w:hAnsi="Book Antiqua" w:cs="Book Antiqua"/>
          <w:b/>
          <w:bCs/>
          <w:color w:val="000000"/>
        </w:rPr>
        <w:t>Fazal MA</w:t>
      </w:r>
      <w:r w:rsidRPr="00A725BB">
        <w:rPr>
          <w:rFonts w:ascii="Book Antiqua" w:eastAsia="Book Antiqua" w:hAnsi="Book Antiqua" w:cs="Book Antiqua"/>
          <w:color w:val="000000"/>
        </w:rPr>
        <w:t xml:space="preserve">, Bagley C, Garg P. Predictors for perioperative blood transfusion in elderly patients with extra capsular hip fractures treated with cephalo-medullary nailing. </w:t>
      </w:r>
      <w:r w:rsidRPr="00A725BB">
        <w:rPr>
          <w:rFonts w:ascii="Book Antiqua" w:eastAsia="Book Antiqua" w:hAnsi="Book Antiqua" w:cs="Book Antiqua"/>
          <w:i/>
          <w:iCs/>
          <w:color w:val="000000"/>
        </w:rPr>
        <w:t xml:space="preserve">Chin J </w:t>
      </w:r>
      <w:proofErr w:type="spellStart"/>
      <w:r w:rsidRPr="00A725BB">
        <w:rPr>
          <w:rFonts w:ascii="Book Antiqua" w:eastAsia="Book Antiqua" w:hAnsi="Book Antiqua" w:cs="Book Antiqua"/>
          <w:i/>
          <w:iCs/>
          <w:color w:val="000000"/>
        </w:rPr>
        <w:t>Traumatol</w:t>
      </w:r>
      <w:proofErr w:type="spellEnd"/>
      <w:r w:rsidRPr="00A725BB">
        <w:rPr>
          <w:rFonts w:ascii="Book Antiqua" w:eastAsia="Book Antiqua" w:hAnsi="Book Antiqua" w:cs="Book Antiqua"/>
          <w:color w:val="000000"/>
        </w:rPr>
        <w:t xml:space="preserve"> 2018; </w:t>
      </w:r>
      <w:r w:rsidRPr="00A725BB">
        <w:rPr>
          <w:rFonts w:ascii="Book Antiqua" w:eastAsia="Book Antiqua" w:hAnsi="Book Antiqua" w:cs="Book Antiqua"/>
          <w:b/>
          <w:bCs/>
          <w:color w:val="000000"/>
        </w:rPr>
        <w:t>21</w:t>
      </w:r>
      <w:r w:rsidRPr="00A725BB">
        <w:rPr>
          <w:rFonts w:ascii="Book Antiqua" w:eastAsia="Book Antiqua" w:hAnsi="Book Antiqua" w:cs="Book Antiqua"/>
          <w:color w:val="000000"/>
        </w:rPr>
        <w:t>: 16-19 [PMID: 29398291 DOI: 10.1016/j.cjtee.2017.09.002]</w:t>
      </w:r>
    </w:p>
    <w:p w14:paraId="4764D530"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14 </w:t>
      </w:r>
      <w:r w:rsidRPr="00A725BB">
        <w:rPr>
          <w:rFonts w:ascii="Book Antiqua" w:eastAsia="Book Antiqua" w:hAnsi="Book Antiqua" w:cs="Book Antiqua"/>
          <w:b/>
          <w:bCs/>
          <w:color w:val="000000"/>
        </w:rPr>
        <w:t>Woodrum CL</w:t>
      </w:r>
      <w:r w:rsidRPr="00A725BB">
        <w:rPr>
          <w:rFonts w:ascii="Book Antiqua" w:eastAsia="Book Antiqua" w:hAnsi="Book Antiqua" w:cs="Book Antiqua"/>
          <w:color w:val="000000"/>
        </w:rPr>
        <w:t xml:space="preserve">, Wisniewski M, </w:t>
      </w:r>
      <w:proofErr w:type="spellStart"/>
      <w:r w:rsidRPr="00A725BB">
        <w:rPr>
          <w:rFonts w:ascii="Book Antiqua" w:eastAsia="Book Antiqua" w:hAnsi="Book Antiqua" w:cs="Book Antiqua"/>
          <w:color w:val="000000"/>
        </w:rPr>
        <w:t>Triulzi</w:t>
      </w:r>
      <w:proofErr w:type="spellEnd"/>
      <w:r w:rsidRPr="00A725BB">
        <w:rPr>
          <w:rFonts w:ascii="Book Antiqua" w:eastAsia="Book Antiqua" w:hAnsi="Book Antiqua" w:cs="Book Antiqua"/>
          <w:color w:val="000000"/>
        </w:rPr>
        <w:t xml:space="preserve"> DJ, Waters JH, Alarcon LH, </w:t>
      </w:r>
      <w:proofErr w:type="spellStart"/>
      <w:r w:rsidRPr="00A725BB">
        <w:rPr>
          <w:rFonts w:ascii="Book Antiqua" w:eastAsia="Book Antiqua" w:hAnsi="Book Antiqua" w:cs="Book Antiqua"/>
          <w:color w:val="000000"/>
        </w:rPr>
        <w:t>Yazer</w:t>
      </w:r>
      <w:proofErr w:type="spellEnd"/>
      <w:r w:rsidRPr="00A725BB">
        <w:rPr>
          <w:rFonts w:ascii="Book Antiqua" w:eastAsia="Book Antiqua" w:hAnsi="Book Antiqua" w:cs="Book Antiqua"/>
          <w:color w:val="000000"/>
        </w:rPr>
        <w:t xml:space="preserve"> MH. The effects of a data driven maximum surgical blood ordering schedule on preoperative </w:t>
      </w:r>
      <w:r w:rsidRPr="00A725BB">
        <w:rPr>
          <w:rFonts w:ascii="Book Antiqua" w:eastAsia="Book Antiqua" w:hAnsi="Book Antiqua" w:cs="Book Antiqua"/>
          <w:color w:val="000000"/>
        </w:rPr>
        <w:lastRenderedPageBreak/>
        <w:t xml:space="preserve">blood ordering practices. </w:t>
      </w:r>
      <w:r w:rsidRPr="00A725BB">
        <w:rPr>
          <w:rFonts w:ascii="Book Antiqua" w:eastAsia="Book Antiqua" w:hAnsi="Book Antiqua" w:cs="Book Antiqua"/>
          <w:i/>
          <w:iCs/>
          <w:color w:val="000000"/>
        </w:rPr>
        <w:t>Hematology</w:t>
      </w:r>
      <w:r w:rsidRPr="00A725BB">
        <w:rPr>
          <w:rFonts w:ascii="Book Antiqua" w:eastAsia="Book Antiqua" w:hAnsi="Book Antiqua" w:cs="Book Antiqua"/>
          <w:color w:val="000000"/>
        </w:rPr>
        <w:t xml:space="preserve"> 2017; </w:t>
      </w:r>
      <w:r w:rsidRPr="00A725BB">
        <w:rPr>
          <w:rFonts w:ascii="Book Antiqua" w:eastAsia="Book Antiqua" w:hAnsi="Book Antiqua" w:cs="Book Antiqua"/>
          <w:b/>
          <w:bCs/>
          <w:color w:val="000000"/>
        </w:rPr>
        <w:t>22</w:t>
      </w:r>
      <w:r w:rsidRPr="00A725BB">
        <w:rPr>
          <w:rFonts w:ascii="Book Antiqua" w:eastAsia="Book Antiqua" w:hAnsi="Book Antiqua" w:cs="Book Antiqua"/>
          <w:color w:val="000000"/>
        </w:rPr>
        <w:t>: 571-577 [PMID: 28441911 DOI: 10.1080/10245332.2017.1318336]</w:t>
      </w:r>
    </w:p>
    <w:p w14:paraId="0253635D"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15 </w:t>
      </w:r>
      <w:r w:rsidRPr="00A725BB">
        <w:rPr>
          <w:rFonts w:ascii="Book Antiqua" w:eastAsia="Book Antiqua" w:hAnsi="Book Antiqua" w:cs="Book Antiqua"/>
          <w:b/>
          <w:bCs/>
          <w:color w:val="000000"/>
        </w:rPr>
        <w:t>Friedman BA,</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Oberman</w:t>
      </w:r>
      <w:proofErr w:type="spellEnd"/>
      <w:r w:rsidRPr="00A725BB">
        <w:rPr>
          <w:rFonts w:ascii="Book Antiqua" w:eastAsia="Book Antiqua" w:hAnsi="Book Antiqua" w:cs="Book Antiqua"/>
          <w:color w:val="000000"/>
        </w:rPr>
        <w:t xml:space="preserve"> HA, Chadwick AR, </w:t>
      </w:r>
      <w:proofErr w:type="spellStart"/>
      <w:r w:rsidRPr="00A725BB">
        <w:rPr>
          <w:rFonts w:ascii="Book Antiqua" w:eastAsia="Book Antiqua" w:hAnsi="Book Antiqua" w:cs="Book Antiqua"/>
          <w:color w:val="000000"/>
        </w:rPr>
        <w:t>Kingdon</w:t>
      </w:r>
      <w:proofErr w:type="spellEnd"/>
      <w:r w:rsidRPr="00A725BB">
        <w:rPr>
          <w:rFonts w:ascii="Book Antiqua" w:eastAsia="Book Antiqua" w:hAnsi="Book Antiqua" w:cs="Book Antiqua"/>
          <w:color w:val="000000"/>
        </w:rPr>
        <w:t xml:space="preserve"> KI. The maximum surgical blood order schedule and surgical blood use in the United States. </w:t>
      </w:r>
      <w:r w:rsidRPr="00A725BB">
        <w:rPr>
          <w:rFonts w:ascii="Book Antiqua" w:eastAsia="Book Antiqua" w:hAnsi="Book Antiqua" w:cs="Book Antiqua"/>
          <w:i/>
          <w:iCs/>
          <w:color w:val="000000"/>
        </w:rPr>
        <w:t>Transfusion</w:t>
      </w:r>
      <w:r w:rsidRPr="00A725BB">
        <w:rPr>
          <w:rFonts w:ascii="Book Antiqua" w:eastAsia="Book Antiqua" w:hAnsi="Book Antiqua" w:cs="Book Antiqua"/>
          <w:color w:val="000000"/>
        </w:rPr>
        <w:t xml:space="preserve"> 1976;</w:t>
      </w:r>
      <w:r w:rsidRPr="00A725BB">
        <w:rPr>
          <w:rFonts w:ascii="Book Antiqua" w:eastAsia="Book Antiqua" w:hAnsi="Book Antiqua" w:cs="Book Antiqua"/>
          <w:b/>
          <w:bCs/>
          <w:color w:val="000000"/>
        </w:rPr>
        <w:t xml:space="preserve"> 16</w:t>
      </w:r>
      <w:r w:rsidRPr="00A725BB">
        <w:rPr>
          <w:rFonts w:ascii="Book Antiqua" w:eastAsia="Book Antiqua" w:hAnsi="Book Antiqua" w:cs="Book Antiqua"/>
          <w:color w:val="000000"/>
        </w:rPr>
        <w:t>:380-387 [PMID: 951737 DOI: 10.1046/j.1537-2995.1976.16476247063.x]</w:t>
      </w:r>
    </w:p>
    <w:p w14:paraId="5417A0DB"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16 </w:t>
      </w:r>
      <w:r w:rsidRPr="00A725BB">
        <w:rPr>
          <w:rFonts w:ascii="Book Antiqua" w:eastAsia="Book Antiqua" w:hAnsi="Book Antiqua" w:cs="Book Antiqua"/>
          <w:b/>
          <w:bCs/>
          <w:color w:val="000000"/>
        </w:rPr>
        <w:t>Hall TC</w:t>
      </w:r>
      <w:r w:rsidRPr="00A725BB">
        <w:rPr>
          <w:rFonts w:ascii="Book Antiqua" w:eastAsia="Book Antiqua" w:hAnsi="Book Antiqua" w:cs="Book Antiqua"/>
          <w:color w:val="000000"/>
        </w:rPr>
        <w:t xml:space="preserve">, Pattenden C, </w:t>
      </w:r>
      <w:proofErr w:type="spellStart"/>
      <w:r w:rsidRPr="00A725BB">
        <w:rPr>
          <w:rFonts w:ascii="Book Antiqua" w:eastAsia="Book Antiqua" w:hAnsi="Book Antiqua" w:cs="Book Antiqua"/>
          <w:color w:val="000000"/>
        </w:rPr>
        <w:t>Hollobone</w:t>
      </w:r>
      <w:proofErr w:type="spellEnd"/>
      <w:r w:rsidRPr="00A725BB">
        <w:rPr>
          <w:rFonts w:ascii="Book Antiqua" w:eastAsia="Book Antiqua" w:hAnsi="Book Antiqua" w:cs="Book Antiqua"/>
          <w:color w:val="000000"/>
        </w:rPr>
        <w:t xml:space="preserve"> C, Pollard C, Dennison AR. Blood Transfusion Policies in Elective General Surgery: How to </w:t>
      </w:r>
      <w:proofErr w:type="spellStart"/>
      <w:r w:rsidRPr="00A725BB">
        <w:rPr>
          <w:rFonts w:ascii="Book Antiqua" w:eastAsia="Book Antiqua" w:hAnsi="Book Antiqua" w:cs="Book Antiqua"/>
          <w:color w:val="000000"/>
        </w:rPr>
        <w:t>Optimise</w:t>
      </w:r>
      <w:proofErr w:type="spellEnd"/>
      <w:r w:rsidRPr="00A725BB">
        <w:rPr>
          <w:rFonts w:ascii="Book Antiqua" w:eastAsia="Book Antiqua" w:hAnsi="Book Antiqua" w:cs="Book Antiqua"/>
          <w:color w:val="000000"/>
        </w:rPr>
        <w:t xml:space="preserve"> Cross-Match-to-Transfusion Ratios. </w:t>
      </w:r>
      <w:proofErr w:type="spellStart"/>
      <w:r w:rsidRPr="00A725BB">
        <w:rPr>
          <w:rFonts w:ascii="Book Antiqua" w:eastAsia="Book Antiqua" w:hAnsi="Book Antiqua" w:cs="Book Antiqua"/>
          <w:i/>
          <w:iCs/>
          <w:color w:val="000000"/>
        </w:rPr>
        <w:t>Transfus</w:t>
      </w:r>
      <w:proofErr w:type="spellEnd"/>
      <w:r w:rsidRPr="00A725BB">
        <w:rPr>
          <w:rFonts w:ascii="Book Antiqua" w:eastAsia="Book Antiqua" w:hAnsi="Book Antiqua" w:cs="Book Antiqua"/>
          <w:i/>
          <w:iCs/>
          <w:color w:val="000000"/>
        </w:rPr>
        <w:t xml:space="preserve"> Med </w:t>
      </w:r>
      <w:proofErr w:type="spellStart"/>
      <w:r w:rsidRPr="00A725BB">
        <w:rPr>
          <w:rFonts w:ascii="Book Antiqua" w:eastAsia="Book Antiqua" w:hAnsi="Book Antiqua" w:cs="Book Antiqua"/>
          <w:i/>
          <w:iCs/>
          <w:color w:val="000000"/>
        </w:rPr>
        <w:t>Hemother</w:t>
      </w:r>
      <w:proofErr w:type="spellEnd"/>
      <w:r w:rsidRPr="00A725BB">
        <w:rPr>
          <w:rFonts w:ascii="Book Antiqua" w:eastAsia="Book Antiqua" w:hAnsi="Book Antiqua" w:cs="Book Antiqua"/>
          <w:color w:val="000000"/>
        </w:rPr>
        <w:t xml:space="preserve"> 2013; </w:t>
      </w:r>
      <w:r w:rsidRPr="00A725BB">
        <w:rPr>
          <w:rFonts w:ascii="Book Antiqua" w:eastAsia="Book Antiqua" w:hAnsi="Book Antiqua" w:cs="Book Antiqua"/>
          <w:b/>
          <w:bCs/>
          <w:color w:val="000000"/>
        </w:rPr>
        <w:t>40</w:t>
      </w:r>
      <w:r w:rsidRPr="00A725BB">
        <w:rPr>
          <w:rFonts w:ascii="Book Antiqua" w:eastAsia="Book Antiqua" w:hAnsi="Book Antiqua" w:cs="Book Antiqua"/>
          <w:color w:val="000000"/>
        </w:rPr>
        <w:t>: 27-31 [PMID: 23637646 DOI: 10.1159/000345660]</w:t>
      </w:r>
    </w:p>
    <w:p w14:paraId="2982C2A3" w14:textId="2E4B85E9" w:rsidR="00A725BB" w:rsidRPr="00A725BB" w:rsidRDefault="00A725BB" w:rsidP="00A725BB">
      <w:pPr>
        <w:adjustRightInd w:val="0"/>
        <w:snapToGrid w:val="0"/>
        <w:spacing w:line="360" w:lineRule="auto"/>
        <w:jc w:val="both"/>
        <w:rPr>
          <w:rFonts w:ascii="Book Antiqua" w:hAnsi="Book Antiqua"/>
          <w:highlight w:val="yellow"/>
        </w:rPr>
      </w:pPr>
      <w:r w:rsidRPr="00A725BB">
        <w:rPr>
          <w:rFonts w:ascii="Book Antiqua" w:eastAsia="Book Antiqua" w:hAnsi="Book Antiqua" w:cs="Book Antiqua"/>
          <w:color w:val="000000"/>
          <w:highlight w:val="yellow"/>
        </w:rPr>
        <w:t xml:space="preserve">17 </w:t>
      </w:r>
      <w:proofErr w:type="spellStart"/>
      <w:r w:rsidRPr="00A725BB">
        <w:rPr>
          <w:rFonts w:ascii="Book Antiqua" w:eastAsia="Book Antiqua" w:hAnsi="Book Antiqua" w:cs="Book Antiqua"/>
          <w:b/>
          <w:bCs/>
          <w:color w:val="000000"/>
          <w:highlight w:val="yellow"/>
        </w:rPr>
        <w:t>Hayse</w:t>
      </w:r>
      <w:proofErr w:type="spellEnd"/>
      <w:r w:rsidRPr="00A725BB">
        <w:rPr>
          <w:rFonts w:ascii="Book Antiqua" w:eastAsia="Book Antiqua" w:hAnsi="Book Antiqua" w:cs="Book Antiqua"/>
          <w:b/>
          <w:bCs/>
          <w:color w:val="000000"/>
          <w:highlight w:val="yellow"/>
        </w:rPr>
        <w:t xml:space="preserve"> S</w:t>
      </w:r>
      <w:r w:rsidR="00D33052" w:rsidRPr="00D33052">
        <w:rPr>
          <w:rFonts w:ascii="Book Antiqua" w:hAnsi="Book Antiqua" w:cs="Book Antiqua"/>
          <w:color w:val="000000"/>
          <w:highlight w:val="yellow"/>
          <w:lang w:eastAsia="zh-CN"/>
        </w:rPr>
        <w:t>.</w:t>
      </w:r>
      <w:r w:rsidR="00D33052">
        <w:rPr>
          <w:rFonts w:ascii="Book Antiqua" w:eastAsia="Book Antiqua" w:hAnsi="Book Antiqua" w:cs="Book Antiqua"/>
          <w:color w:val="000000"/>
          <w:highlight w:val="yellow"/>
        </w:rPr>
        <w:t xml:space="preserve"> </w:t>
      </w:r>
      <w:r w:rsidRPr="00A725BB">
        <w:rPr>
          <w:rFonts w:ascii="Book Antiqua" w:eastAsia="Book Antiqua" w:hAnsi="Book Antiqua" w:cs="Book Antiqua"/>
          <w:color w:val="000000"/>
          <w:highlight w:val="yellow"/>
        </w:rPr>
        <w:t xml:space="preserve">Maximum Surgical Blood Ordering Schedule. </w:t>
      </w:r>
      <w:r w:rsidR="00235A30">
        <w:rPr>
          <w:rFonts w:ascii="Book Antiqua" w:hAnsi="Book Antiqua"/>
          <w:bCs/>
          <w:color w:val="000000"/>
          <w:highlight w:val="yellow"/>
        </w:rPr>
        <w:t>[cited 10 Janu</w:t>
      </w:r>
      <w:r w:rsidRPr="00A725BB">
        <w:rPr>
          <w:rFonts w:ascii="Book Antiqua" w:hAnsi="Book Antiqua"/>
          <w:bCs/>
          <w:color w:val="000000"/>
          <w:highlight w:val="yellow"/>
        </w:rPr>
        <w:t>ary 2021].</w:t>
      </w:r>
      <w:r w:rsidRPr="00A725BB">
        <w:rPr>
          <w:rFonts w:ascii="Book Antiqua" w:hAnsi="Book Antiqua"/>
          <w:highlight w:val="yellow"/>
          <w:lang w:eastAsia="zh-CN"/>
        </w:rPr>
        <w:t xml:space="preserve"> </w:t>
      </w:r>
      <w:r w:rsidRPr="00A725BB">
        <w:rPr>
          <w:rFonts w:ascii="Book Antiqua" w:eastAsia="Book Antiqua" w:hAnsi="Book Antiqua" w:cs="Book Antiqua"/>
          <w:color w:val="000000"/>
          <w:highlight w:val="yellow"/>
        </w:rPr>
        <w:t>Available from: https://www.gov.nl.ca/hcs/files/bloodservices-pdf-max-surgical-blood-order.pdf</w:t>
      </w:r>
    </w:p>
    <w:p w14:paraId="18719FDD"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18 </w:t>
      </w:r>
      <w:r w:rsidRPr="00A725BB">
        <w:rPr>
          <w:rFonts w:ascii="Book Antiqua" w:eastAsia="Book Antiqua" w:hAnsi="Book Antiqua" w:cs="Book Antiqua"/>
          <w:b/>
          <w:bCs/>
          <w:color w:val="000000"/>
        </w:rPr>
        <w:t>Barreto SG</w:t>
      </w:r>
      <w:r w:rsidRPr="00A725BB">
        <w:rPr>
          <w:rFonts w:ascii="Book Antiqua" w:eastAsia="Book Antiqua" w:hAnsi="Book Antiqua" w:cs="Book Antiqua"/>
          <w:color w:val="000000"/>
        </w:rPr>
        <w:t xml:space="preserve">, Singh A, </w:t>
      </w:r>
      <w:proofErr w:type="spellStart"/>
      <w:r w:rsidRPr="00A725BB">
        <w:rPr>
          <w:rFonts w:ascii="Book Antiqua" w:eastAsia="Book Antiqua" w:hAnsi="Book Antiqua" w:cs="Book Antiqua"/>
          <w:color w:val="000000"/>
        </w:rPr>
        <w:t>Perwaiz</w:t>
      </w:r>
      <w:proofErr w:type="spellEnd"/>
      <w:r w:rsidRPr="00A725BB">
        <w:rPr>
          <w:rFonts w:ascii="Book Antiqua" w:eastAsia="Book Antiqua" w:hAnsi="Book Antiqua" w:cs="Book Antiqua"/>
          <w:color w:val="000000"/>
        </w:rPr>
        <w:t xml:space="preserve"> A, Singh T, Singh MK, Chaudhary A. Maximum surgical blood order schedule for pancreatoduodenectomy: a long way from uniform applicability! </w:t>
      </w:r>
      <w:r w:rsidRPr="00A725BB">
        <w:rPr>
          <w:rFonts w:ascii="Book Antiqua" w:eastAsia="Book Antiqua" w:hAnsi="Book Antiqua" w:cs="Book Antiqua"/>
          <w:i/>
          <w:iCs/>
          <w:color w:val="000000"/>
        </w:rPr>
        <w:t>Future Oncol</w:t>
      </w:r>
      <w:r w:rsidRPr="00A725BB">
        <w:rPr>
          <w:rFonts w:ascii="Book Antiqua" w:eastAsia="Book Antiqua" w:hAnsi="Book Antiqua" w:cs="Book Antiqua"/>
          <w:color w:val="000000"/>
        </w:rPr>
        <w:t xml:space="preserve"> 2017; </w:t>
      </w:r>
      <w:r w:rsidRPr="00A725BB">
        <w:rPr>
          <w:rFonts w:ascii="Book Antiqua" w:eastAsia="Book Antiqua" w:hAnsi="Book Antiqua" w:cs="Book Antiqua"/>
          <w:b/>
          <w:bCs/>
          <w:color w:val="000000"/>
        </w:rPr>
        <w:t>13</w:t>
      </w:r>
      <w:r w:rsidRPr="00A725BB">
        <w:rPr>
          <w:rFonts w:ascii="Book Antiqua" w:eastAsia="Book Antiqua" w:hAnsi="Book Antiqua" w:cs="Book Antiqua"/>
          <w:color w:val="000000"/>
        </w:rPr>
        <w:t>: 799-807 [PMID: 28266246 DOI: 10.2217/fon-2016-0536]</w:t>
      </w:r>
    </w:p>
    <w:p w14:paraId="5A0EA10C"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19 </w:t>
      </w:r>
      <w:r w:rsidRPr="00A725BB">
        <w:rPr>
          <w:rFonts w:ascii="Book Antiqua" w:eastAsia="Book Antiqua" w:hAnsi="Book Antiqua" w:cs="Book Antiqua"/>
          <w:b/>
          <w:bCs/>
          <w:color w:val="000000"/>
        </w:rPr>
        <w:t>Nuttall GA,</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Santrach</w:t>
      </w:r>
      <w:proofErr w:type="spellEnd"/>
      <w:r w:rsidRPr="00A725BB">
        <w:rPr>
          <w:rFonts w:ascii="Book Antiqua" w:eastAsia="Book Antiqua" w:hAnsi="Book Antiqua" w:cs="Book Antiqua"/>
          <w:color w:val="000000"/>
        </w:rPr>
        <w:t xml:space="preserve"> PJ, Oliver WC, Jr., </w:t>
      </w:r>
      <w:proofErr w:type="spellStart"/>
      <w:r w:rsidRPr="00A725BB">
        <w:rPr>
          <w:rFonts w:ascii="Book Antiqua" w:eastAsia="Book Antiqua" w:hAnsi="Book Antiqua" w:cs="Book Antiqua"/>
          <w:color w:val="000000"/>
        </w:rPr>
        <w:t>Ereth</w:t>
      </w:r>
      <w:proofErr w:type="spellEnd"/>
      <w:r w:rsidRPr="00A725BB">
        <w:rPr>
          <w:rFonts w:ascii="Book Antiqua" w:eastAsia="Book Antiqua" w:hAnsi="Book Antiqua" w:cs="Book Antiqua"/>
          <w:color w:val="000000"/>
        </w:rPr>
        <w:t xml:space="preserve"> MH, </w:t>
      </w:r>
      <w:proofErr w:type="spellStart"/>
      <w:r w:rsidRPr="00A725BB">
        <w:rPr>
          <w:rFonts w:ascii="Book Antiqua" w:eastAsia="Book Antiqua" w:hAnsi="Book Antiqua" w:cs="Book Antiqua"/>
          <w:color w:val="000000"/>
        </w:rPr>
        <w:t>Horlocker</w:t>
      </w:r>
      <w:proofErr w:type="spellEnd"/>
      <w:r w:rsidRPr="00A725BB">
        <w:rPr>
          <w:rFonts w:ascii="Book Antiqua" w:eastAsia="Book Antiqua" w:hAnsi="Book Antiqua" w:cs="Book Antiqua"/>
          <w:color w:val="000000"/>
        </w:rPr>
        <w:t xml:space="preserve"> TT, </w:t>
      </w:r>
      <w:proofErr w:type="spellStart"/>
      <w:r w:rsidRPr="00A725BB">
        <w:rPr>
          <w:rFonts w:ascii="Book Antiqua" w:eastAsia="Book Antiqua" w:hAnsi="Book Antiqua" w:cs="Book Antiqua"/>
          <w:color w:val="000000"/>
        </w:rPr>
        <w:t>Cabanela</w:t>
      </w:r>
      <w:proofErr w:type="spellEnd"/>
      <w:r w:rsidRPr="00A725BB">
        <w:rPr>
          <w:rFonts w:ascii="Book Antiqua" w:eastAsia="Book Antiqua" w:hAnsi="Book Antiqua" w:cs="Book Antiqua"/>
          <w:color w:val="000000"/>
        </w:rPr>
        <w:t xml:space="preserve"> ME, Trousdale RT, Schroeder DR. Possible guidelines for autologous red blood cell donations before total hip arthroplasty based on the surgical blood order equation. </w:t>
      </w:r>
      <w:r w:rsidRPr="00A725BB">
        <w:rPr>
          <w:rFonts w:ascii="Book Antiqua" w:eastAsia="Book Antiqua" w:hAnsi="Book Antiqua" w:cs="Book Antiqua"/>
          <w:i/>
          <w:iCs/>
          <w:color w:val="000000"/>
        </w:rPr>
        <w:t>Mayo Clin Proc</w:t>
      </w:r>
      <w:r w:rsidRPr="00A725BB">
        <w:rPr>
          <w:rFonts w:ascii="Book Antiqua" w:eastAsia="Book Antiqua" w:hAnsi="Book Antiqua" w:cs="Book Antiqua"/>
          <w:color w:val="000000"/>
        </w:rPr>
        <w:t xml:space="preserve"> 2000;</w:t>
      </w:r>
      <w:r w:rsidRPr="00A725BB">
        <w:rPr>
          <w:rFonts w:ascii="Book Antiqua" w:eastAsia="Book Antiqua" w:hAnsi="Book Antiqua" w:cs="Book Antiqua"/>
          <w:b/>
          <w:bCs/>
          <w:color w:val="000000"/>
        </w:rPr>
        <w:t xml:space="preserve"> 75</w:t>
      </w:r>
      <w:r w:rsidRPr="00A725BB">
        <w:rPr>
          <w:rFonts w:ascii="Book Antiqua" w:eastAsia="Book Antiqua" w:hAnsi="Book Antiqua" w:cs="Book Antiqua"/>
          <w:color w:val="000000"/>
        </w:rPr>
        <w:t>: 10-17 [PMID: 10630751 DOI: 10.4065/75.1.10]</w:t>
      </w:r>
    </w:p>
    <w:p w14:paraId="7E45394C"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20 </w:t>
      </w:r>
      <w:r w:rsidRPr="00A725BB">
        <w:rPr>
          <w:rFonts w:ascii="Book Antiqua" w:eastAsia="Book Antiqua" w:hAnsi="Book Antiqua" w:cs="Book Antiqua"/>
          <w:b/>
          <w:bCs/>
          <w:color w:val="000000"/>
        </w:rPr>
        <w:t>Nuttall GA,</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Horlocker</w:t>
      </w:r>
      <w:proofErr w:type="spellEnd"/>
      <w:r w:rsidRPr="00A725BB">
        <w:rPr>
          <w:rFonts w:ascii="Book Antiqua" w:eastAsia="Book Antiqua" w:hAnsi="Book Antiqua" w:cs="Book Antiqua"/>
          <w:color w:val="000000"/>
        </w:rPr>
        <w:t xml:space="preserve"> TT, </w:t>
      </w:r>
      <w:proofErr w:type="spellStart"/>
      <w:r w:rsidRPr="00A725BB">
        <w:rPr>
          <w:rFonts w:ascii="Book Antiqua" w:eastAsia="Book Antiqua" w:hAnsi="Book Antiqua" w:cs="Book Antiqua"/>
          <w:color w:val="000000"/>
        </w:rPr>
        <w:t>Santrach</w:t>
      </w:r>
      <w:proofErr w:type="spellEnd"/>
      <w:r w:rsidRPr="00A725BB">
        <w:rPr>
          <w:rFonts w:ascii="Book Antiqua" w:eastAsia="Book Antiqua" w:hAnsi="Book Antiqua" w:cs="Book Antiqua"/>
          <w:color w:val="000000"/>
        </w:rPr>
        <w:t xml:space="preserve"> PJ, Oliver WC, Jr., </w:t>
      </w:r>
      <w:proofErr w:type="spellStart"/>
      <w:r w:rsidRPr="00A725BB">
        <w:rPr>
          <w:rFonts w:ascii="Book Antiqua" w:eastAsia="Book Antiqua" w:hAnsi="Book Antiqua" w:cs="Book Antiqua"/>
          <w:color w:val="000000"/>
        </w:rPr>
        <w:t>Dekutoski</w:t>
      </w:r>
      <w:proofErr w:type="spellEnd"/>
      <w:r w:rsidRPr="00A725BB">
        <w:rPr>
          <w:rFonts w:ascii="Book Antiqua" w:eastAsia="Book Antiqua" w:hAnsi="Book Antiqua" w:cs="Book Antiqua"/>
          <w:color w:val="000000"/>
        </w:rPr>
        <w:t xml:space="preserve"> MB, Bryant S. Predictors of blood transfusions in spinal instrumentation and fusion surgery. </w:t>
      </w:r>
      <w:r w:rsidRPr="00A725BB">
        <w:rPr>
          <w:rFonts w:ascii="Book Antiqua" w:eastAsia="Book Antiqua" w:hAnsi="Book Antiqua" w:cs="Book Antiqua"/>
          <w:i/>
          <w:iCs/>
          <w:color w:val="000000"/>
        </w:rPr>
        <w:t>Spine (Phila Pa 1976)</w:t>
      </w:r>
      <w:r w:rsidRPr="00A725BB">
        <w:rPr>
          <w:rFonts w:ascii="Book Antiqua" w:eastAsia="Book Antiqua" w:hAnsi="Book Antiqua" w:cs="Book Antiqua"/>
          <w:color w:val="000000"/>
        </w:rPr>
        <w:t xml:space="preserve"> 2000;</w:t>
      </w:r>
      <w:r w:rsidRPr="00A725BB">
        <w:rPr>
          <w:rFonts w:ascii="Book Antiqua" w:eastAsia="Book Antiqua" w:hAnsi="Book Antiqua" w:cs="Book Antiqua"/>
          <w:b/>
          <w:bCs/>
          <w:color w:val="000000"/>
        </w:rPr>
        <w:t xml:space="preserve"> 25</w:t>
      </w:r>
      <w:r w:rsidRPr="00A725BB">
        <w:rPr>
          <w:rFonts w:ascii="Book Antiqua" w:eastAsia="Book Antiqua" w:hAnsi="Book Antiqua" w:cs="Book Antiqua"/>
          <w:color w:val="000000"/>
        </w:rPr>
        <w:t>: 596-601 [PMID: 10749636 DOI: 10.1097/00007632-200003010-00010]</w:t>
      </w:r>
    </w:p>
    <w:p w14:paraId="40B4270C"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21 </w:t>
      </w:r>
      <w:r w:rsidRPr="00A725BB">
        <w:rPr>
          <w:rFonts w:ascii="Book Antiqua" w:eastAsia="Book Antiqua" w:hAnsi="Book Antiqua" w:cs="Book Antiqua"/>
          <w:b/>
          <w:bCs/>
          <w:color w:val="000000"/>
        </w:rPr>
        <w:t>Nuttall GA,</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Santrach</w:t>
      </w:r>
      <w:proofErr w:type="spellEnd"/>
      <w:r w:rsidRPr="00A725BB">
        <w:rPr>
          <w:rFonts w:ascii="Book Antiqua" w:eastAsia="Book Antiqua" w:hAnsi="Book Antiqua" w:cs="Book Antiqua"/>
          <w:color w:val="000000"/>
        </w:rPr>
        <w:t xml:space="preserve"> PJ, Oliver WC, Jr., </w:t>
      </w:r>
      <w:proofErr w:type="spellStart"/>
      <w:r w:rsidRPr="00A725BB">
        <w:rPr>
          <w:rFonts w:ascii="Book Antiqua" w:eastAsia="Book Antiqua" w:hAnsi="Book Antiqua" w:cs="Book Antiqua"/>
          <w:color w:val="000000"/>
        </w:rPr>
        <w:t>Ereth</w:t>
      </w:r>
      <w:proofErr w:type="spellEnd"/>
      <w:r w:rsidRPr="00A725BB">
        <w:rPr>
          <w:rFonts w:ascii="Book Antiqua" w:eastAsia="Book Antiqua" w:hAnsi="Book Antiqua" w:cs="Book Antiqua"/>
          <w:color w:val="000000"/>
        </w:rPr>
        <w:t xml:space="preserve"> MH, </w:t>
      </w:r>
      <w:proofErr w:type="spellStart"/>
      <w:r w:rsidRPr="00A725BB">
        <w:rPr>
          <w:rFonts w:ascii="Book Antiqua" w:eastAsia="Book Antiqua" w:hAnsi="Book Antiqua" w:cs="Book Antiqua"/>
          <w:color w:val="000000"/>
        </w:rPr>
        <w:t>Horlocker</w:t>
      </w:r>
      <w:proofErr w:type="spellEnd"/>
      <w:r w:rsidRPr="00A725BB">
        <w:rPr>
          <w:rFonts w:ascii="Book Antiqua" w:eastAsia="Book Antiqua" w:hAnsi="Book Antiqua" w:cs="Book Antiqua"/>
          <w:color w:val="000000"/>
        </w:rPr>
        <w:t xml:space="preserve"> TT, </w:t>
      </w:r>
      <w:proofErr w:type="spellStart"/>
      <w:r w:rsidRPr="00A725BB">
        <w:rPr>
          <w:rFonts w:ascii="Book Antiqua" w:eastAsia="Book Antiqua" w:hAnsi="Book Antiqua" w:cs="Book Antiqua"/>
          <w:color w:val="000000"/>
        </w:rPr>
        <w:t>Cabanela</w:t>
      </w:r>
      <w:proofErr w:type="spellEnd"/>
      <w:r w:rsidRPr="00A725BB">
        <w:rPr>
          <w:rFonts w:ascii="Book Antiqua" w:eastAsia="Book Antiqua" w:hAnsi="Book Antiqua" w:cs="Book Antiqua"/>
          <w:color w:val="000000"/>
        </w:rPr>
        <w:t xml:space="preserve"> ME, Trousdale RT, Bryant S, Currie TW. A prospective randomized trial of the surgical blood order equation for ordering red cells for total hip arthroplasty patients. </w:t>
      </w:r>
      <w:r w:rsidRPr="00A725BB">
        <w:rPr>
          <w:rFonts w:ascii="Book Antiqua" w:eastAsia="Book Antiqua" w:hAnsi="Book Antiqua" w:cs="Book Antiqua"/>
          <w:i/>
          <w:iCs/>
          <w:color w:val="000000"/>
        </w:rPr>
        <w:t>Transfusion</w:t>
      </w:r>
      <w:r w:rsidRPr="00A725BB">
        <w:rPr>
          <w:rFonts w:ascii="Book Antiqua" w:eastAsia="Book Antiqua" w:hAnsi="Book Antiqua" w:cs="Book Antiqua"/>
          <w:color w:val="000000"/>
        </w:rPr>
        <w:t xml:space="preserve"> 1998; </w:t>
      </w:r>
      <w:r w:rsidRPr="00A725BB">
        <w:rPr>
          <w:rFonts w:ascii="Book Antiqua" w:eastAsia="Book Antiqua" w:hAnsi="Book Antiqua" w:cs="Book Antiqua"/>
          <w:b/>
          <w:bCs/>
          <w:color w:val="000000"/>
        </w:rPr>
        <w:t>38</w:t>
      </w:r>
      <w:r w:rsidRPr="00A725BB">
        <w:rPr>
          <w:rFonts w:ascii="Book Antiqua" w:eastAsia="Book Antiqua" w:hAnsi="Book Antiqua" w:cs="Book Antiqua"/>
          <w:color w:val="000000"/>
        </w:rPr>
        <w:t>: 828-833 [PMID: 9738622 DOI: 10.1046/j.1537-2995.1998.38998409002.x]</w:t>
      </w:r>
    </w:p>
    <w:p w14:paraId="5A4ADCBC"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22 </w:t>
      </w:r>
      <w:r w:rsidRPr="00A725BB">
        <w:rPr>
          <w:rFonts w:ascii="Book Antiqua" w:eastAsia="Book Antiqua" w:hAnsi="Book Antiqua" w:cs="Book Antiqua"/>
          <w:b/>
          <w:bCs/>
          <w:color w:val="000000"/>
        </w:rPr>
        <w:t>Carson JL</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Guyatt</w:t>
      </w:r>
      <w:proofErr w:type="spellEnd"/>
      <w:r w:rsidRPr="00A725BB">
        <w:rPr>
          <w:rFonts w:ascii="Book Antiqua" w:eastAsia="Book Antiqua" w:hAnsi="Book Antiqua" w:cs="Book Antiqua"/>
          <w:color w:val="000000"/>
        </w:rPr>
        <w:t xml:space="preserve"> G, Heddle NM, Grossman BJ, Cohn CS, Fung MK, </w:t>
      </w:r>
      <w:proofErr w:type="spellStart"/>
      <w:r w:rsidRPr="00A725BB">
        <w:rPr>
          <w:rFonts w:ascii="Book Antiqua" w:eastAsia="Book Antiqua" w:hAnsi="Book Antiqua" w:cs="Book Antiqua"/>
          <w:color w:val="000000"/>
        </w:rPr>
        <w:t>Gernsheimer</w:t>
      </w:r>
      <w:proofErr w:type="spellEnd"/>
      <w:r w:rsidRPr="00A725BB">
        <w:rPr>
          <w:rFonts w:ascii="Book Antiqua" w:eastAsia="Book Antiqua" w:hAnsi="Book Antiqua" w:cs="Book Antiqua"/>
          <w:color w:val="000000"/>
        </w:rPr>
        <w:t xml:space="preserve"> T, Holcomb JB, Kaplan LJ, Katz LM, Peterson N, Ramsey G, Rao SV, Roback JD, </w:t>
      </w:r>
      <w:proofErr w:type="spellStart"/>
      <w:r w:rsidRPr="00A725BB">
        <w:rPr>
          <w:rFonts w:ascii="Book Antiqua" w:eastAsia="Book Antiqua" w:hAnsi="Book Antiqua" w:cs="Book Antiqua"/>
          <w:color w:val="000000"/>
        </w:rPr>
        <w:t>Shander</w:t>
      </w:r>
      <w:proofErr w:type="spellEnd"/>
      <w:r w:rsidRPr="00A725BB">
        <w:rPr>
          <w:rFonts w:ascii="Book Antiqua" w:eastAsia="Book Antiqua" w:hAnsi="Book Antiqua" w:cs="Book Antiqua"/>
          <w:color w:val="000000"/>
        </w:rPr>
        <w:t xml:space="preserve"> A, </w:t>
      </w:r>
      <w:proofErr w:type="spellStart"/>
      <w:r w:rsidRPr="00A725BB">
        <w:rPr>
          <w:rFonts w:ascii="Book Antiqua" w:eastAsia="Book Antiqua" w:hAnsi="Book Antiqua" w:cs="Book Antiqua"/>
          <w:color w:val="000000"/>
        </w:rPr>
        <w:t>Tobian</w:t>
      </w:r>
      <w:proofErr w:type="spellEnd"/>
      <w:r w:rsidRPr="00A725BB">
        <w:rPr>
          <w:rFonts w:ascii="Book Antiqua" w:eastAsia="Book Antiqua" w:hAnsi="Book Antiqua" w:cs="Book Antiqua"/>
          <w:color w:val="000000"/>
        </w:rPr>
        <w:t xml:space="preserve"> AA. Clinical Practice Guidelines From the AABB: Red Blood Cell Transfusion </w:t>
      </w:r>
      <w:r w:rsidRPr="00A725BB">
        <w:rPr>
          <w:rFonts w:ascii="Book Antiqua" w:eastAsia="Book Antiqua" w:hAnsi="Book Antiqua" w:cs="Book Antiqua"/>
          <w:color w:val="000000"/>
        </w:rPr>
        <w:lastRenderedPageBreak/>
        <w:t xml:space="preserve">Thresholds and Storage. </w:t>
      </w:r>
      <w:r w:rsidRPr="00A725BB">
        <w:rPr>
          <w:rFonts w:ascii="Book Antiqua" w:eastAsia="Book Antiqua" w:hAnsi="Book Antiqua" w:cs="Book Antiqua"/>
          <w:i/>
          <w:iCs/>
          <w:color w:val="000000"/>
        </w:rPr>
        <w:t>JAMA</w:t>
      </w:r>
      <w:r w:rsidRPr="00A725BB">
        <w:rPr>
          <w:rFonts w:ascii="Book Antiqua" w:eastAsia="Book Antiqua" w:hAnsi="Book Antiqua" w:cs="Book Antiqua"/>
          <w:color w:val="000000"/>
        </w:rPr>
        <w:t xml:space="preserve"> 2016; </w:t>
      </w:r>
      <w:r w:rsidRPr="00A725BB">
        <w:rPr>
          <w:rFonts w:ascii="Book Antiqua" w:eastAsia="Book Antiqua" w:hAnsi="Book Antiqua" w:cs="Book Antiqua"/>
          <w:b/>
          <w:bCs/>
          <w:color w:val="000000"/>
        </w:rPr>
        <w:t>316</w:t>
      </w:r>
      <w:r w:rsidRPr="00A725BB">
        <w:rPr>
          <w:rFonts w:ascii="Book Antiqua" w:eastAsia="Book Antiqua" w:hAnsi="Book Antiqua" w:cs="Book Antiqua"/>
          <w:color w:val="000000"/>
        </w:rPr>
        <w:t>: 2025-2035 [PMID: 27732721 DOI: 10.1001/jama.2016.9185]</w:t>
      </w:r>
    </w:p>
    <w:p w14:paraId="05030F49" w14:textId="77777777" w:rsidR="00A725BB" w:rsidRPr="00A725BB" w:rsidRDefault="00A725BB" w:rsidP="00A725BB">
      <w:pPr>
        <w:adjustRightInd w:val="0"/>
        <w:snapToGrid w:val="0"/>
        <w:spacing w:line="360" w:lineRule="auto"/>
        <w:jc w:val="both"/>
        <w:rPr>
          <w:rFonts w:ascii="Book Antiqua" w:eastAsia="Book Antiqua" w:hAnsi="Book Antiqua" w:cs="Book Antiqua"/>
          <w:color w:val="000000"/>
        </w:rPr>
      </w:pPr>
      <w:r w:rsidRPr="00A725BB">
        <w:rPr>
          <w:rFonts w:ascii="Book Antiqua" w:eastAsia="Book Antiqua" w:hAnsi="Book Antiqua" w:cs="Book Antiqua"/>
          <w:color w:val="000000"/>
        </w:rPr>
        <w:t xml:space="preserve">23 </w:t>
      </w:r>
      <w:r w:rsidRPr="00A725BB">
        <w:rPr>
          <w:rFonts w:ascii="Book Antiqua" w:eastAsia="Book Antiqua" w:hAnsi="Book Antiqua" w:cs="Book Antiqua"/>
          <w:b/>
          <w:bCs/>
          <w:color w:val="000000"/>
        </w:rPr>
        <w:t xml:space="preserve">Roberts </w:t>
      </w:r>
      <w:r w:rsidRPr="00A725BB">
        <w:rPr>
          <w:rFonts w:ascii="Book Antiqua" w:eastAsia="Book Antiqua" w:hAnsi="Book Antiqua" w:cs="Book Antiqua"/>
          <w:color w:val="000000"/>
        </w:rPr>
        <w:t xml:space="preserve">KC, </w:t>
      </w:r>
      <w:proofErr w:type="spellStart"/>
      <w:r w:rsidRPr="00A725BB">
        <w:rPr>
          <w:rFonts w:ascii="Book Antiqua" w:eastAsia="Book Antiqua" w:hAnsi="Book Antiqua" w:cs="Book Antiqua"/>
          <w:color w:val="000000"/>
        </w:rPr>
        <w:t>Brox</w:t>
      </w:r>
      <w:proofErr w:type="spellEnd"/>
      <w:r w:rsidRPr="00A725BB">
        <w:rPr>
          <w:rFonts w:ascii="Book Antiqua" w:eastAsia="Book Antiqua" w:hAnsi="Book Antiqua" w:cs="Book Antiqua"/>
          <w:color w:val="000000"/>
        </w:rPr>
        <w:t xml:space="preserve"> WT, </w:t>
      </w:r>
      <w:proofErr w:type="spellStart"/>
      <w:r w:rsidRPr="00A725BB">
        <w:rPr>
          <w:rFonts w:ascii="Book Antiqua" w:eastAsia="Book Antiqua" w:hAnsi="Book Antiqua" w:cs="Book Antiqua"/>
          <w:color w:val="000000"/>
        </w:rPr>
        <w:t>Jevsevar</w:t>
      </w:r>
      <w:proofErr w:type="spellEnd"/>
      <w:r w:rsidRPr="00A725BB">
        <w:rPr>
          <w:rFonts w:ascii="Book Antiqua" w:eastAsia="Book Antiqua" w:hAnsi="Book Antiqua" w:cs="Book Antiqua"/>
          <w:color w:val="000000"/>
        </w:rPr>
        <w:t xml:space="preserve"> DS, </w:t>
      </w:r>
      <w:proofErr w:type="spellStart"/>
      <w:r w:rsidRPr="00A725BB">
        <w:rPr>
          <w:rFonts w:ascii="Book Antiqua" w:eastAsia="Book Antiqua" w:hAnsi="Book Antiqua" w:cs="Book Antiqua"/>
          <w:color w:val="000000"/>
        </w:rPr>
        <w:t>Sevarino</w:t>
      </w:r>
      <w:proofErr w:type="spellEnd"/>
      <w:r w:rsidRPr="00A725BB">
        <w:rPr>
          <w:rFonts w:ascii="Book Antiqua" w:eastAsia="Book Antiqua" w:hAnsi="Book Antiqua" w:cs="Book Antiqua"/>
          <w:color w:val="000000"/>
        </w:rPr>
        <w:t xml:space="preserve"> K. Management of hip fractures in the elderly. </w:t>
      </w:r>
      <w:r w:rsidRPr="00A725BB">
        <w:rPr>
          <w:rFonts w:ascii="Book Antiqua" w:eastAsia="Book Antiqua" w:hAnsi="Book Antiqua" w:cs="Book Antiqua"/>
          <w:i/>
          <w:iCs/>
          <w:color w:val="000000"/>
        </w:rPr>
        <w:t xml:space="preserve">J Am </w:t>
      </w:r>
      <w:proofErr w:type="spellStart"/>
      <w:r w:rsidRPr="00A725BB">
        <w:rPr>
          <w:rFonts w:ascii="Book Antiqua" w:eastAsia="Book Antiqua" w:hAnsi="Book Antiqua" w:cs="Book Antiqua"/>
          <w:i/>
          <w:iCs/>
          <w:color w:val="000000"/>
        </w:rPr>
        <w:t>Acad</w:t>
      </w:r>
      <w:proofErr w:type="spellEnd"/>
      <w:r w:rsidRPr="00A725BB">
        <w:rPr>
          <w:rFonts w:ascii="Book Antiqua" w:eastAsia="Book Antiqua" w:hAnsi="Book Antiqua" w:cs="Book Antiqua"/>
          <w:i/>
          <w:iCs/>
          <w:color w:val="000000"/>
        </w:rPr>
        <w:t xml:space="preserve">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i/>
          <w:iCs/>
          <w:color w:val="000000"/>
        </w:rPr>
        <w:t xml:space="preserve"> Surg</w:t>
      </w:r>
      <w:r w:rsidRPr="00A725BB">
        <w:rPr>
          <w:rFonts w:ascii="Book Antiqua" w:eastAsia="Book Antiqua" w:hAnsi="Book Antiqua" w:cs="Book Antiqua"/>
          <w:color w:val="000000"/>
        </w:rPr>
        <w:t xml:space="preserve"> 2015; </w:t>
      </w:r>
      <w:r w:rsidRPr="00A725BB">
        <w:rPr>
          <w:rFonts w:ascii="Book Antiqua" w:eastAsia="Book Antiqua" w:hAnsi="Book Antiqua" w:cs="Book Antiqua"/>
          <w:b/>
          <w:bCs/>
          <w:color w:val="000000"/>
        </w:rPr>
        <w:t>23</w:t>
      </w:r>
      <w:r w:rsidRPr="00A725BB">
        <w:rPr>
          <w:rFonts w:ascii="Book Antiqua" w:eastAsia="Book Antiqua" w:hAnsi="Book Antiqua" w:cs="Book Antiqua"/>
          <w:color w:val="000000"/>
        </w:rPr>
        <w:t>: 131-137 [PMID: 25624365 DOI: 10.5435/JAAOS-D-14-00432]</w:t>
      </w:r>
    </w:p>
    <w:p w14:paraId="616E2814"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24 </w:t>
      </w:r>
      <w:r w:rsidRPr="00A725BB">
        <w:rPr>
          <w:rFonts w:ascii="Book Antiqua" w:eastAsia="Book Antiqua" w:hAnsi="Book Antiqua" w:cs="Book Antiqua"/>
          <w:b/>
          <w:bCs/>
          <w:color w:val="000000"/>
        </w:rPr>
        <w:t>Gupta PB</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DeMario</w:t>
      </w:r>
      <w:proofErr w:type="spellEnd"/>
      <w:r w:rsidRPr="00A725BB">
        <w:rPr>
          <w:rFonts w:ascii="Book Antiqua" w:eastAsia="Book Antiqua" w:hAnsi="Book Antiqua" w:cs="Book Antiqua"/>
          <w:color w:val="000000"/>
        </w:rPr>
        <w:t xml:space="preserve"> VM, Amin RM, </w:t>
      </w:r>
      <w:proofErr w:type="spellStart"/>
      <w:r w:rsidRPr="00A725BB">
        <w:rPr>
          <w:rFonts w:ascii="Book Antiqua" w:eastAsia="Book Antiqua" w:hAnsi="Book Antiqua" w:cs="Book Antiqua"/>
          <w:color w:val="000000"/>
        </w:rPr>
        <w:t>Gehrie</w:t>
      </w:r>
      <w:proofErr w:type="spellEnd"/>
      <w:r w:rsidRPr="00A725BB">
        <w:rPr>
          <w:rFonts w:ascii="Book Antiqua" w:eastAsia="Book Antiqua" w:hAnsi="Book Antiqua" w:cs="Book Antiqua"/>
          <w:color w:val="000000"/>
        </w:rPr>
        <w:t xml:space="preserve"> EA, Goel R, Lee KHK, Yang WW, </w:t>
      </w:r>
      <w:proofErr w:type="spellStart"/>
      <w:r w:rsidRPr="00A725BB">
        <w:rPr>
          <w:rFonts w:ascii="Book Antiqua" w:eastAsia="Book Antiqua" w:hAnsi="Book Antiqua" w:cs="Book Antiqua"/>
          <w:color w:val="000000"/>
        </w:rPr>
        <w:t>Khanuja</w:t>
      </w:r>
      <w:proofErr w:type="spellEnd"/>
      <w:r w:rsidRPr="00A725BB">
        <w:rPr>
          <w:rFonts w:ascii="Book Antiqua" w:eastAsia="Book Antiqua" w:hAnsi="Book Antiqua" w:cs="Book Antiqua"/>
          <w:color w:val="000000"/>
        </w:rPr>
        <w:t xml:space="preserve"> HS, Sterling RS, Ness PM, Frank SM. Patient Blood Management Program Improves Blood Use and Clinical Outcomes in Orthopedic Surgery. </w:t>
      </w:r>
      <w:r w:rsidRPr="00A725BB">
        <w:rPr>
          <w:rFonts w:ascii="Book Antiqua" w:eastAsia="Book Antiqua" w:hAnsi="Book Antiqua" w:cs="Book Antiqua"/>
          <w:i/>
          <w:iCs/>
          <w:color w:val="000000"/>
        </w:rPr>
        <w:t>Anesthesiology</w:t>
      </w:r>
      <w:r w:rsidRPr="00A725BB">
        <w:rPr>
          <w:rFonts w:ascii="Book Antiqua" w:eastAsia="Book Antiqua" w:hAnsi="Book Antiqua" w:cs="Book Antiqua"/>
          <w:color w:val="000000"/>
        </w:rPr>
        <w:t xml:space="preserve"> 2018; </w:t>
      </w:r>
      <w:r w:rsidRPr="00A725BB">
        <w:rPr>
          <w:rFonts w:ascii="Book Antiqua" w:eastAsia="Book Antiqua" w:hAnsi="Book Antiqua" w:cs="Book Antiqua"/>
          <w:b/>
          <w:bCs/>
          <w:color w:val="000000"/>
        </w:rPr>
        <w:t>129</w:t>
      </w:r>
      <w:r w:rsidRPr="00A725BB">
        <w:rPr>
          <w:rFonts w:ascii="Book Antiqua" w:eastAsia="Book Antiqua" w:hAnsi="Book Antiqua" w:cs="Book Antiqua"/>
          <w:color w:val="000000"/>
        </w:rPr>
        <w:t>: 1082-1091 [PMID: 30124488 DOI: 10.1097/ALN.0000000000002397]</w:t>
      </w:r>
    </w:p>
    <w:p w14:paraId="5A0468D2"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25 </w:t>
      </w:r>
      <w:r w:rsidRPr="00A725BB">
        <w:rPr>
          <w:rFonts w:ascii="Book Antiqua" w:eastAsia="Book Antiqua" w:hAnsi="Book Antiqua" w:cs="Book Antiqua"/>
          <w:b/>
          <w:bCs/>
          <w:color w:val="000000"/>
        </w:rPr>
        <w:t>Nuttall GA,</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Santrach</w:t>
      </w:r>
      <w:proofErr w:type="spellEnd"/>
      <w:r w:rsidRPr="00A725BB">
        <w:rPr>
          <w:rFonts w:ascii="Book Antiqua" w:eastAsia="Book Antiqua" w:hAnsi="Book Antiqua" w:cs="Book Antiqua"/>
          <w:color w:val="000000"/>
        </w:rPr>
        <w:t xml:space="preserve"> PJ, Oliver WC, Jr.</w:t>
      </w:r>
      <w:proofErr w:type="gramStart"/>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Horlocker</w:t>
      </w:r>
      <w:proofErr w:type="spellEnd"/>
      <w:proofErr w:type="gramEnd"/>
      <w:r w:rsidRPr="00A725BB">
        <w:rPr>
          <w:rFonts w:ascii="Book Antiqua" w:eastAsia="Book Antiqua" w:hAnsi="Book Antiqua" w:cs="Book Antiqua"/>
          <w:color w:val="000000"/>
        </w:rPr>
        <w:t xml:space="preserve"> TT, Shaughnessy WJ, </w:t>
      </w:r>
      <w:proofErr w:type="spellStart"/>
      <w:r w:rsidRPr="00A725BB">
        <w:rPr>
          <w:rFonts w:ascii="Book Antiqua" w:eastAsia="Book Antiqua" w:hAnsi="Book Antiqua" w:cs="Book Antiqua"/>
          <w:color w:val="000000"/>
        </w:rPr>
        <w:t>Cabanela</w:t>
      </w:r>
      <w:proofErr w:type="spellEnd"/>
      <w:r w:rsidRPr="00A725BB">
        <w:rPr>
          <w:rFonts w:ascii="Book Antiqua" w:eastAsia="Book Antiqua" w:hAnsi="Book Antiqua" w:cs="Book Antiqua"/>
          <w:color w:val="000000"/>
        </w:rPr>
        <w:t xml:space="preserve"> ME, Bryant S. The predictors of red cell transfusions in total hip arthroplasties. </w:t>
      </w:r>
      <w:r w:rsidRPr="00A725BB">
        <w:rPr>
          <w:rFonts w:ascii="Book Antiqua" w:eastAsia="Book Antiqua" w:hAnsi="Book Antiqua" w:cs="Book Antiqua"/>
          <w:i/>
          <w:iCs/>
          <w:color w:val="000000"/>
        </w:rPr>
        <w:t>Transfusion</w:t>
      </w:r>
      <w:r w:rsidRPr="00A725BB">
        <w:rPr>
          <w:rFonts w:ascii="Book Antiqua" w:eastAsia="Book Antiqua" w:hAnsi="Book Antiqua" w:cs="Book Antiqua"/>
          <w:color w:val="000000"/>
        </w:rPr>
        <w:t xml:space="preserve"> 1996; </w:t>
      </w:r>
      <w:r w:rsidRPr="00A725BB">
        <w:rPr>
          <w:rFonts w:ascii="Book Antiqua" w:eastAsia="Book Antiqua" w:hAnsi="Book Antiqua" w:cs="Book Antiqua"/>
          <w:b/>
          <w:bCs/>
          <w:color w:val="000000"/>
        </w:rPr>
        <w:t>36</w:t>
      </w:r>
      <w:r w:rsidRPr="00A725BB">
        <w:rPr>
          <w:rFonts w:ascii="Book Antiqua" w:eastAsia="Book Antiqua" w:hAnsi="Book Antiqua" w:cs="Book Antiqua"/>
          <w:color w:val="000000"/>
        </w:rPr>
        <w:t>: 144-149 [PMID: 8614965 DOI: 10.1046/j.1537-2995.1996.36296181927.x]</w:t>
      </w:r>
    </w:p>
    <w:p w14:paraId="76362D28"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26 </w:t>
      </w:r>
      <w:r w:rsidRPr="00A725BB">
        <w:rPr>
          <w:rFonts w:ascii="Book Antiqua" w:eastAsia="Book Antiqua" w:hAnsi="Book Antiqua" w:cs="Book Antiqua"/>
          <w:b/>
          <w:bCs/>
          <w:color w:val="000000"/>
        </w:rPr>
        <w:t>Madsen CM,</w:t>
      </w:r>
      <w:r w:rsidRPr="00A725BB">
        <w:rPr>
          <w:rFonts w:ascii="Book Antiqua" w:eastAsia="Book Antiqua" w:hAnsi="Book Antiqua" w:cs="Book Antiqua"/>
          <w:color w:val="000000"/>
        </w:rPr>
        <w:t xml:space="preserve"> Jorgensen HL, Norgaard A, </w:t>
      </w:r>
      <w:proofErr w:type="spellStart"/>
      <w:r w:rsidRPr="00A725BB">
        <w:rPr>
          <w:rFonts w:ascii="Book Antiqua" w:eastAsia="Book Antiqua" w:hAnsi="Book Antiqua" w:cs="Book Antiqua"/>
          <w:color w:val="000000"/>
        </w:rPr>
        <w:t>Riss</w:t>
      </w:r>
      <w:proofErr w:type="spellEnd"/>
      <w:r w:rsidRPr="00A725BB">
        <w:rPr>
          <w:rFonts w:ascii="Book Antiqua" w:eastAsia="Book Antiqua" w:hAnsi="Book Antiqua" w:cs="Book Antiqua"/>
          <w:color w:val="000000"/>
        </w:rPr>
        <w:t xml:space="preserve"> T, Jantzen C, Pedersen OB, </w:t>
      </w:r>
      <w:proofErr w:type="spellStart"/>
      <w:r w:rsidRPr="00A725BB">
        <w:rPr>
          <w:rFonts w:ascii="Book Antiqua" w:eastAsia="Book Antiqua" w:hAnsi="Book Antiqua" w:cs="Book Antiqua"/>
          <w:color w:val="000000"/>
        </w:rPr>
        <w:t>Duss</w:t>
      </w:r>
      <w:proofErr w:type="spellEnd"/>
      <w:r w:rsidRPr="00A725BB">
        <w:rPr>
          <w:rFonts w:ascii="Book Antiqua" w:eastAsia="Book Antiqua" w:hAnsi="Book Antiqua" w:cs="Book Antiqua"/>
          <w:color w:val="000000"/>
        </w:rPr>
        <w:t xml:space="preserve"> BR, Lauritzen JB. Preoperative factors associated with red blood cell transfusion in hip fracture patients. </w:t>
      </w:r>
      <w:r w:rsidRPr="00A725BB">
        <w:rPr>
          <w:rFonts w:ascii="Book Antiqua" w:eastAsia="Book Antiqua" w:hAnsi="Book Antiqua" w:cs="Book Antiqua"/>
          <w:i/>
          <w:iCs/>
          <w:color w:val="000000"/>
        </w:rPr>
        <w:t xml:space="preserve">Arch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i/>
          <w:iCs/>
          <w:color w:val="000000"/>
        </w:rPr>
        <w:t xml:space="preserve"> Trauma Surg</w:t>
      </w:r>
      <w:r w:rsidRPr="00A725BB">
        <w:rPr>
          <w:rFonts w:ascii="Book Antiqua" w:eastAsia="Book Antiqua" w:hAnsi="Book Antiqua" w:cs="Book Antiqua"/>
          <w:color w:val="000000"/>
        </w:rPr>
        <w:t xml:space="preserve"> 2014; </w:t>
      </w:r>
      <w:r w:rsidRPr="00A725BB">
        <w:rPr>
          <w:rFonts w:ascii="Book Antiqua" w:eastAsia="Book Antiqua" w:hAnsi="Book Antiqua" w:cs="Book Antiqua"/>
          <w:b/>
          <w:bCs/>
          <w:color w:val="000000"/>
        </w:rPr>
        <w:t>134</w:t>
      </w:r>
      <w:r w:rsidRPr="00A725BB">
        <w:rPr>
          <w:rFonts w:ascii="Book Antiqua" w:eastAsia="Book Antiqua" w:hAnsi="Book Antiqua" w:cs="Book Antiqua"/>
          <w:color w:val="000000"/>
        </w:rPr>
        <w:t>: 375-382 [PMID: 24337532 DOI: 10.1007/s00402-013-1906-3]</w:t>
      </w:r>
    </w:p>
    <w:p w14:paraId="176F54D0"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27 </w:t>
      </w:r>
      <w:proofErr w:type="spellStart"/>
      <w:r w:rsidRPr="00A725BB">
        <w:rPr>
          <w:rFonts w:ascii="Book Antiqua" w:eastAsia="Book Antiqua" w:hAnsi="Book Antiqua" w:cs="Book Antiqua"/>
          <w:b/>
          <w:bCs/>
          <w:color w:val="000000"/>
        </w:rPr>
        <w:t>Adunsky</w:t>
      </w:r>
      <w:proofErr w:type="spellEnd"/>
      <w:r w:rsidRPr="00A725BB">
        <w:rPr>
          <w:rFonts w:ascii="Book Antiqua" w:eastAsia="Book Antiqua" w:hAnsi="Book Antiqua" w:cs="Book Antiqua"/>
          <w:b/>
          <w:bCs/>
          <w:color w:val="000000"/>
        </w:rPr>
        <w:t xml:space="preserve"> A</w:t>
      </w:r>
      <w:r w:rsidRPr="00A725BB">
        <w:rPr>
          <w:rFonts w:ascii="Book Antiqua" w:eastAsia="Book Antiqua" w:hAnsi="Book Antiqua" w:cs="Book Antiqua"/>
          <w:color w:val="000000"/>
        </w:rPr>
        <w:t xml:space="preserve">, Lichtenstein A, Mizrahi E, Arad M, Heim M. Blood transfusion requirements in elderly hip fracture patients. </w:t>
      </w:r>
      <w:r w:rsidRPr="00A725BB">
        <w:rPr>
          <w:rFonts w:ascii="Book Antiqua" w:eastAsia="Book Antiqua" w:hAnsi="Book Antiqua" w:cs="Book Antiqua"/>
          <w:i/>
          <w:iCs/>
          <w:color w:val="000000"/>
        </w:rPr>
        <w:t xml:space="preserve">Arch </w:t>
      </w:r>
      <w:proofErr w:type="spellStart"/>
      <w:r w:rsidRPr="00A725BB">
        <w:rPr>
          <w:rFonts w:ascii="Book Antiqua" w:eastAsia="Book Antiqua" w:hAnsi="Book Antiqua" w:cs="Book Antiqua"/>
          <w:i/>
          <w:iCs/>
          <w:color w:val="000000"/>
        </w:rPr>
        <w:t>Gerontol</w:t>
      </w:r>
      <w:proofErr w:type="spellEnd"/>
      <w:r w:rsidRPr="00A725BB">
        <w:rPr>
          <w:rFonts w:ascii="Book Antiqua" w:eastAsia="Book Antiqua" w:hAnsi="Book Antiqua" w:cs="Book Antiqua"/>
          <w:i/>
          <w:iCs/>
          <w:color w:val="000000"/>
        </w:rPr>
        <w:t xml:space="preserve"> </w:t>
      </w:r>
      <w:proofErr w:type="spellStart"/>
      <w:r w:rsidRPr="00A725BB">
        <w:rPr>
          <w:rFonts w:ascii="Book Antiqua" w:eastAsia="Book Antiqua" w:hAnsi="Book Antiqua" w:cs="Book Antiqua"/>
          <w:i/>
          <w:iCs/>
          <w:color w:val="000000"/>
        </w:rPr>
        <w:t>Geriatr</w:t>
      </w:r>
      <w:proofErr w:type="spellEnd"/>
      <w:r w:rsidRPr="00A725BB">
        <w:rPr>
          <w:rFonts w:ascii="Book Antiqua" w:eastAsia="Book Antiqua" w:hAnsi="Book Antiqua" w:cs="Book Antiqua"/>
          <w:color w:val="000000"/>
        </w:rPr>
        <w:t xml:space="preserve"> 2003; </w:t>
      </w:r>
      <w:r w:rsidRPr="00A725BB">
        <w:rPr>
          <w:rFonts w:ascii="Book Antiqua" w:eastAsia="Book Antiqua" w:hAnsi="Book Antiqua" w:cs="Book Antiqua"/>
          <w:b/>
          <w:bCs/>
          <w:color w:val="000000"/>
        </w:rPr>
        <w:t>36</w:t>
      </w:r>
      <w:r w:rsidRPr="00A725BB">
        <w:rPr>
          <w:rFonts w:ascii="Book Antiqua" w:eastAsia="Book Antiqua" w:hAnsi="Book Antiqua" w:cs="Book Antiqua"/>
          <w:color w:val="000000"/>
        </w:rPr>
        <w:t>: 75-81 [PMID: 12849101 DOI: 10.1016/s0167-4943(02)00059-6]</w:t>
      </w:r>
    </w:p>
    <w:p w14:paraId="25157E04"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28 </w:t>
      </w:r>
      <w:proofErr w:type="spellStart"/>
      <w:r w:rsidRPr="00A725BB">
        <w:rPr>
          <w:rFonts w:ascii="Book Antiqua" w:eastAsia="Book Antiqua" w:hAnsi="Book Antiqua" w:cs="Book Antiqua"/>
          <w:b/>
          <w:bCs/>
          <w:color w:val="000000"/>
        </w:rPr>
        <w:t>Viberg</w:t>
      </w:r>
      <w:proofErr w:type="spellEnd"/>
      <w:r w:rsidRPr="00A725BB">
        <w:rPr>
          <w:rFonts w:ascii="Book Antiqua" w:eastAsia="Book Antiqua" w:hAnsi="Book Antiqua" w:cs="Book Antiqua"/>
          <w:b/>
          <w:bCs/>
          <w:color w:val="000000"/>
        </w:rPr>
        <w:t xml:space="preserve"> B</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Gundtoft</w:t>
      </w:r>
      <w:proofErr w:type="spellEnd"/>
      <w:r w:rsidRPr="00A725BB">
        <w:rPr>
          <w:rFonts w:ascii="Book Antiqua" w:eastAsia="Book Antiqua" w:hAnsi="Book Antiqua" w:cs="Book Antiqua"/>
          <w:color w:val="000000"/>
        </w:rPr>
        <w:t xml:space="preserve"> PH, </w:t>
      </w:r>
      <w:proofErr w:type="spellStart"/>
      <w:r w:rsidRPr="00A725BB">
        <w:rPr>
          <w:rFonts w:ascii="Book Antiqua" w:eastAsia="Book Antiqua" w:hAnsi="Book Antiqua" w:cs="Book Antiqua"/>
          <w:color w:val="000000"/>
        </w:rPr>
        <w:t>Schønnemann</w:t>
      </w:r>
      <w:proofErr w:type="spellEnd"/>
      <w:r w:rsidRPr="00A725BB">
        <w:rPr>
          <w:rFonts w:ascii="Book Antiqua" w:eastAsia="Book Antiqua" w:hAnsi="Book Antiqua" w:cs="Book Antiqua"/>
          <w:color w:val="000000"/>
        </w:rPr>
        <w:t xml:space="preserve"> J, Pedersen L, Andersen LR, </w:t>
      </w:r>
      <w:proofErr w:type="spellStart"/>
      <w:r w:rsidRPr="00A725BB">
        <w:rPr>
          <w:rFonts w:ascii="Book Antiqua" w:eastAsia="Book Antiqua" w:hAnsi="Book Antiqua" w:cs="Book Antiqua"/>
          <w:color w:val="000000"/>
        </w:rPr>
        <w:t>Titlestad</w:t>
      </w:r>
      <w:proofErr w:type="spellEnd"/>
      <w:r w:rsidRPr="00A725BB">
        <w:rPr>
          <w:rFonts w:ascii="Book Antiqua" w:eastAsia="Book Antiqua" w:hAnsi="Book Antiqua" w:cs="Book Antiqua"/>
          <w:color w:val="000000"/>
        </w:rPr>
        <w:t xml:space="preserve"> K, Madsen CF, Lauritsen J, Overgaard S. Introduction of national guidelines for restrictive blood transfusion threshold for hip fracture patients--a consecutive cohort study based on complete follow-up in national databases. </w:t>
      </w:r>
      <w:r w:rsidRPr="00A725BB">
        <w:rPr>
          <w:rFonts w:ascii="Book Antiqua" w:eastAsia="Book Antiqua" w:hAnsi="Book Antiqua" w:cs="Book Antiqua"/>
          <w:i/>
          <w:iCs/>
          <w:color w:val="000000"/>
        </w:rPr>
        <w:t xml:space="preserve">J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i/>
          <w:iCs/>
          <w:color w:val="000000"/>
        </w:rPr>
        <w:t xml:space="preserve"> Surg Res</w:t>
      </w:r>
      <w:r w:rsidRPr="00A725BB">
        <w:rPr>
          <w:rFonts w:ascii="Book Antiqua" w:eastAsia="Book Antiqua" w:hAnsi="Book Antiqua" w:cs="Book Antiqua"/>
          <w:color w:val="000000"/>
        </w:rPr>
        <w:t xml:space="preserve"> 2018; </w:t>
      </w:r>
      <w:r w:rsidRPr="00A725BB">
        <w:rPr>
          <w:rFonts w:ascii="Book Antiqua" w:eastAsia="Book Antiqua" w:hAnsi="Book Antiqua" w:cs="Book Antiqua"/>
          <w:b/>
          <w:bCs/>
          <w:color w:val="000000"/>
        </w:rPr>
        <w:t>13</w:t>
      </w:r>
      <w:r w:rsidRPr="00A725BB">
        <w:rPr>
          <w:rFonts w:ascii="Book Antiqua" w:eastAsia="Book Antiqua" w:hAnsi="Book Antiqua" w:cs="Book Antiqua"/>
          <w:color w:val="000000"/>
        </w:rPr>
        <w:t>: 116 [PMID: 29776419 DOI: 10.1186/s13018-018-0828-8]</w:t>
      </w:r>
    </w:p>
    <w:p w14:paraId="449019BF"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29 </w:t>
      </w:r>
      <w:r w:rsidRPr="00A725BB">
        <w:rPr>
          <w:rFonts w:ascii="Book Antiqua" w:eastAsia="Book Antiqua" w:hAnsi="Book Antiqua" w:cs="Book Antiqua"/>
          <w:b/>
          <w:bCs/>
          <w:color w:val="000000"/>
        </w:rPr>
        <w:t>Kumar D,</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Mbako</w:t>
      </w:r>
      <w:proofErr w:type="spellEnd"/>
      <w:r w:rsidRPr="00A725BB">
        <w:rPr>
          <w:rFonts w:ascii="Book Antiqua" w:eastAsia="Book Antiqua" w:hAnsi="Book Antiqua" w:cs="Book Antiqua"/>
          <w:color w:val="000000"/>
        </w:rPr>
        <w:t xml:space="preserve"> AN, Riddick A, Patil S, Williams P. On admission </w:t>
      </w:r>
      <w:proofErr w:type="spellStart"/>
      <w:r w:rsidRPr="00A725BB">
        <w:rPr>
          <w:rFonts w:ascii="Book Antiqua" w:eastAsia="Book Antiqua" w:hAnsi="Book Antiqua" w:cs="Book Antiqua"/>
          <w:color w:val="000000"/>
        </w:rPr>
        <w:t>haemoglobin</w:t>
      </w:r>
      <w:proofErr w:type="spellEnd"/>
      <w:r w:rsidRPr="00A725BB">
        <w:rPr>
          <w:rFonts w:ascii="Book Antiqua" w:eastAsia="Book Antiqua" w:hAnsi="Book Antiqua" w:cs="Book Antiqua"/>
          <w:color w:val="000000"/>
        </w:rPr>
        <w:t xml:space="preserve"> in patients with hip fracture. </w:t>
      </w:r>
      <w:r w:rsidRPr="00A725BB">
        <w:rPr>
          <w:rFonts w:ascii="Book Antiqua" w:eastAsia="Book Antiqua" w:hAnsi="Book Antiqua" w:cs="Book Antiqua"/>
          <w:i/>
          <w:iCs/>
          <w:color w:val="000000"/>
        </w:rPr>
        <w:t>Injury</w:t>
      </w:r>
      <w:r w:rsidRPr="00A725BB">
        <w:rPr>
          <w:rFonts w:ascii="Book Antiqua" w:eastAsia="Book Antiqua" w:hAnsi="Book Antiqua" w:cs="Book Antiqua"/>
          <w:color w:val="000000"/>
        </w:rPr>
        <w:t xml:space="preserve"> 2011; </w:t>
      </w:r>
      <w:r w:rsidRPr="00A725BB">
        <w:rPr>
          <w:rFonts w:ascii="Book Antiqua" w:eastAsia="Book Antiqua" w:hAnsi="Book Antiqua" w:cs="Book Antiqua"/>
          <w:b/>
          <w:bCs/>
          <w:color w:val="000000"/>
        </w:rPr>
        <w:t>42</w:t>
      </w:r>
      <w:r w:rsidRPr="00A725BB">
        <w:rPr>
          <w:rFonts w:ascii="Book Antiqua" w:eastAsia="Book Antiqua" w:hAnsi="Book Antiqua" w:cs="Book Antiqua"/>
          <w:color w:val="000000"/>
        </w:rPr>
        <w:t>: 167-170 [PMID: 20691443 DOI: 10.1016/j.injury.2010.07.239]</w:t>
      </w:r>
    </w:p>
    <w:p w14:paraId="67389A5D"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lastRenderedPageBreak/>
        <w:t xml:space="preserve">30 </w:t>
      </w:r>
      <w:r w:rsidRPr="00A725BB">
        <w:rPr>
          <w:rFonts w:ascii="Book Antiqua" w:eastAsia="Book Antiqua" w:hAnsi="Book Antiqua" w:cs="Book Antiqua"/>
          <w:b/>
          <w:bCs/>
          <w:color w:val="000000"/>
        </w:rPr>
        <w:t>Dillon MF,</w:t>
      </w:r>
      <w:r w:rsidRPr="00A725BB">
        <w:rPr>
          <w:rFonts w:ascii="Book Antiqua" w:eastAsia="Book Antiqua" w:hAnsi="Book Antiqua" w:cs="Book Antiqua"/>
          <w:color w:val="000000"/>
        </w:rPr>
        <w:t xml:space="preserve"> Collins D, Rice J, Murphy PG, Nicholson P, </w:t>
      </w:r>
      <w:proofErr w:type="spellStart"/>
      <w:r w:rsidRPr="00A725BB">
        <w:rPr>
          <w:rFonts w:ascii="Book Antiqua" w:eastAsia="Book Antiqua" w:hAnsi="Book Antiqua" w:cs="Book Antiqua"/>
          <w:color w:val="000000"/>
        </w:rPr>
        <w:t>Elwaine</w:t>
      </w:r>
      <w:proofErr w:type="spellEnd"/>
      <w:r w:rsidRPr="00A725BB">
        <w:rPr>
          <w:rFonts w:ascii="Book Antiqua" w:eastAsia="Book Antiqua" w:hAnsi="Book Antiqua" w:cs="Book Antiqua"/>
          <w:color w:val="000000"/>
        </w:rPr>
        <w:t xml:space="preserve"> JM. Preoperative characteristics identify patients with hip fractures at risk of transfusion.</w:t>
      </w:r>
      <w:r w:rsidRPr="00A725BB">
        <w:rPr>
          <w:rFonts w:ascii="Book Antiqua" w:eastAsia="Book Antiqua" w:hAnsi="Book Antiqua" w:cs="Book Antiqua"/>
          <w:i/>
          <w:iCs/>
          <w:color w:val="000000"/>
        </w:rPr>
        <w:t xml:space="preserve"> Clin </w:t>
      </w:r>
      <w:proofErr w:type="spellStart"/>
      <w:r w:rsidRPr="00A725BB">
        <w:rPr>
          <w:rFonts w:ascii="Book Antiqua" w:eastAsia="Book Antiqua" w:hAnsi="Book Antiqua" w:cs="Book Antiqua"/>
          <w:i/>
          <w:iCs/>
          <w:color w:val="000000"/>
        </w:rPr>
        <w:t>Orthop</w:t>
      </w:r>
      <w:proofErr w:type="spellEnd"/>
      <w:r w:rsidRPr="00A725BB">
        <w:rPr>
          <w:rFonts w:ascii="Book Antiqua" w:eastAsia="Book Antiqua" w:hAnsi="Book Antiqua" w:cs="Book Antiqua"/>
          <w:i/>
          <w:iCs/>
          <w:color w:val="000000"/>
        </w:rPr>
        <w:t xml:space="preserve"> </w:t>
      </w:r>
      <w:proofErr w:type="spellStart"/>
      <w:r w:rsidRPr="00A725BB">
        <w:rPr>
          <w:rFonts w:ascii="Book Antiqua" w:eastAsia="Book Antiqua" w:hAnsi="Book Antiqua" w:cs="Book Antiqua"/>
          <w:i/>
          <w:iCs/>
          <w:color w:val="000000"/>
        </w:rPr>
        <w:t>Relat</w:t>
      </w:r>
      <w:proofErr w:type="spellEnd"/>
      <w:r w:rsidRPr="00A725BB">
        <w:rPr>
          <w:rFonts w:ascii="Book Antiqua" w:eastAsia="Book Antiqua" w:hAnsi="Book Antiqua" w:cs="Book Antiqua"/>
          <w:i/>
          <w:iCs/>
          <w:color w:val="000000"/>
        </w:rPr>
        <w:t xml:space="preserve"> Res</w:t>
      </w:r>
      <w:r w:rsidRPr="00A725BB">
        <w:rPr>
          <w:rFonts w:ascii="Book Antiqua" w:eastAsia="Book Antiqua" w:hAnsi="Book Antiqua" w:cs="Book Antiqua"/>
          <w:color w:val="000000"/>
        </w:rPr>
        <w:t xml:space="preserve"> 2005; </w:t>
      </w:r>
      <w:r w:rsidRPr="00A725BB">
        <w:rPr>
          <w:rFonts w:ascii="Book Antiqua" w:eastAsia="Book Antiqua" w:hAnsi="Book Antiqua" w:cs="Book Antiqua"/>
          <w:b/>
          <w:bCs/>
          <w:color w:val="000000"/>
        </w:rPr>
        <w:t>439</w:t>
      </w:r>
      <w:r w:rsidRPr="00A725BB">
        <w:rPr>
          <w:rFonts w:ascii="Book Antiqua" w:eastAsia="Book Antiqua" w:hAnsi="Book Antiqua" w:cs="Book Antiqua"/>
          <w:color w:val="000000"/>
        </w:rPr>
        <w:t>: 201-206 [PMID: 16205160 DOI: 10.1097/01.blo.0000173253.59827.7b]</w:t>
      </w:r>
    </w:p>
    <w:p w14:paraId="0186C3CC"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31 </w:t>
      </w:r>
      <w:proofErr w:type="spellStart"/>
      <w:r w:rsidRPr="00A725BB">
        <w:rPr>
          <w:rFonts w:ascii="Book Antiqua" w:eastAsia="Book Antiqua" w:hAnsi="Book Antiqua" w:cs="Book Antiqua"/>
          <w:b/>
          <w:bCs/>
          <w:color w:val="000000"/>
        </w:rPr>
        <w:t>Morritt</w:t>
      </w:r>
      <w:proofErr w:type="spellEnd"/>
      <w:r w:rsidRPr="00A725BB">
        <w:rPr>
          <w:rFonts w:ascii="Book Antiqua" w:eastAsia="Book Antiqua" w:hAnsi="Book Antiqua" w:cs="Book Antiqua"/>
          <w:b/>
          <w:bCs/>
          <w:color w:val="000000"/>
        </w:rPr>
        <w:t xml:space="preserve"> DG,</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Morritt</w:t>
      </w:r>
      <w:proofErr w:type="spellEnd"/>
      <w:r w:rsidRPr="00A725BB">
        <w:rPr>
          <w:rFonts w:ascii="Book Antiqua" w:eastAsia="Book Antiqua" w:hAnsi="Book Antiqua" w:cs="Book Antiqua"/>
          <w:color w:val="000000"/>
        </w:rPr>
        <w:t xml:space="preserve"> AN, Kelley SP, Stone MH. Blood ordering protocol based on proposed surgical implant in fractured neck of femur patients. </w:t>
      </w:r>
      <w:r w:rsidRPr="00A725BB">
        <w:rPr>
          <w:rFonts w:ascii="Book Antiqua" w:eastAsia="Book Antiqua" w:hAnsi="Book Antiqua" w:cs="Book Antiqua"/>
          <w:i/>
          <w:iCs/>
          <w:color w:val="000000"/>
        </w:rPr>
        <w:t xml:space="preserve">Ann R Coll Surg </w:t>
      </w:r>
      <w:proofErr w:type="spellStart"/>
      <w:r w:rsidRPr="00A725BB">
        <w:rPr>
          <w:rFonts w:ascii="Book Antiqua" w:eastAsia="Book Antiqua" w:hAnsi="Book Antiqua" w:cs="Book Antiqua"/>
          <w:i/>
          <w:iCs/>
          <w:color w:val="000000"/>
        </w:rPr>
        <w:t>Engl</w:t>
      </w:r>
      <w:proofErr w:type="spellEnd"/>
      <w:r w:rsidRPr="00A725BB">
        <w:rPr>
          <w:rFonts w:ascii="Book Antiqua" w:eastAsia="Book Antiqua" w:hAnsi="Book Antiqua" w:cs="Book Antiqua"/>
          <w:i/>
          <w:iCs/>
          <w:color w:val="000000"/>
        </w:rPr>
        <w:t xml:space="preserve"> </w:t>
      </w:r>
      <w:r w:rsidRPr="00A725BB">
        <w:rPr>
          <w:rFonts w:ascii="Book Antiqua" w:eastAsia="Book Antiqua" w:hAnsi="Book Antiqua" w:cs="Book Antiqua"/>
          <w:color w:val="000000"/>
        </w:rPr>
        <w:t xml:space="preserve">2005; </w:t>
      </w:r>
      <w:r w:rsidRPr="00A725BB">
        <w:rPr>
          <w:rFonts w:ascii="Book Antiqua" w:eastAsia="Book Antiqua" w:hAnsi="Book Antiqua" w:cs="Book Antiqua"/>
          <w:b/>
          <w:bCs/>
          <w:color w:val="000000"/>
        </w:rPr>
        <w:t>87</w:t>
      </w:r>
      <w:r w:rsidRPr="00A725BB">
        <w:rPr>
          <w:rFonts w:ascii="Book Antiqua" w:eastAsia="Book Antiqua" w:hAnsi="Book Antiqua" w:cs="Book Antiqua"/>
          <w:color w:val="000000"/>
        </w:rPr>
        <w:t>: 445-448 [PMID: 16263014 DOI: 10.1308/003588405X71036]</w:t>
      </w:r>
    </w:p>
    <w:p w14:paraId="2A120CB4"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32 </w:t>
      </w:r>
      <w:r w:rsidRPr="00A725BB">
        <w:rPr>
          <w:rFonts w:ascii="Book Antiqua" w:eastAsia="Book Antiqua" w:hAnsi="Book Antiqua" w:cs="Book Antiqua"/>
          <w:b/>
          <w:bCs/>
          <w:color w:val="000000"/>
        </w:rPr>
        <w:t>Garcia-</w:t>
      </w:r>
      <w:proofErr w:type="spellStart"/>
      <w:r w:rsidRPr="00A725BB">
        <w:rPr>
          <w:rFonts w:ascii="Book Antiqua" w:eastAsia="Book Antiqua" w:hAnsi="Book Antiqua" w:cs="Book Antiqua"/>
          <w:b/>
          <w:bCs/>
          <w:color w:val="000000"/>
        </w:rPr>
        <w:t>Erce</w:t>
      </w:r>
      <w:proofErr w:type="spellEnd"/>
      <w:r w:rsidRPr="00A725BB">
        <w:rPr>
          <w:rFonts w:ascii="Book Antiqua" w:eastAsia="Book Antiqua" w:hAnsi="Book Antiqua" w:cs="Book Antiqua"/>
          <w:b/>
          <w:bCs/>
          <w:color w:val="000000"/>
        </w:rPr>
        <w:t xml:space="preserve"> JA,</w:t>
      </w:r>
      <w:r w:rsidRPr="00A725BB">
        <w:rPr>
          <w:rFonts w:ascii="Book Antiqua" w:eastAsia="Book Antiqua" w:hAnsi="Book Antiqua" w:cs="Book Antiqua"/>
          <w:color w:val="000000"/>
        </w:rPr>
        <w:t xml:space="preserve"> Cuenca J, Solano VM. [Predictive factors for transfusion requirements in patients over 65 years old with </w:t>
      </w:r>
      <w:proofErr w:type="spellStart"/>
      <w:r w:rsidRPr="00A725BB">
        <w:rPr>
          <w:rFonts w:ascii="Book Antiqua" w:eastAsia="Book Antiqua" w:hAnsi="Book Antiqua" w:cs="Book Antiqua"/>
          <w:color w:val="000000"/>
        </w:rPr>
        <w:t>subcapital</w:t>
      </w:r>
      <w:proofErr w:type="spellEnd"/>
      <w:r w:rsidRPr="00A725BB">
        <w:rPr>
          <w:rFonts w:ascii="Book Antiqua" w:eastAsia="Book Antiqua" w:hAnsi="Book Antiqua" w:cs="Book Antiqua"/>
          <w:color w:val="000000"/>
        </w:rPr>
        <w:t xml:space="preserve"> hip fracture]. </w:t>
      </w:r>
      <w:r w:rsidRPr="00A725BB">
        <w:rPr>
          <w:rFonts w:ascii="Book Antiqua" w:eastAsia="Book Antiqua" w:hAnsi="Book Antiqua" w:cs="Book Antiqua"/>
          <w:i/>
          <w:iCs/>
          <w:color w:val="000000"/>
        </w:rPr>
        <w:t>Med Clin (</w:t>
      </w:r>
      <w:proofErr w:type="spellStart"/>
      <w:r w:rsidRPr="00A725BB">
        <w:rPr>
          <w:rFonts w:ascii="Book Antiqua" w:eastAsia="Book Antiqua" w:hAnsi="Book Antiqua" w:cs="Book Antiqua"/>
          <w:i/>
          <w:iCs/>
          <w:color w:val="000000"/>
        </w:rPr>
        <w:t>Barc</w:t>
      </w:r>
      <w:proofErr w:type="spellEnd"/>
      <w:r w:rsidRPr="00A725BB">
        <w:rPr>
          <w:rFonts w:ascii="Book Antiqua" w:eastAsia="Book Antiqua" w:hAnsi="Book Antiqua" w:cs="Book Antiqua"/>
          <w:i/>
          <w:iCs/>
          <w:color w:val="000000"/>
        </w:rPr>
        <w:t>)</w:t>
      </w:r>
      <w:r w:rsidRPr="00A725BB">
        <w:rPr>
          <w:rFonts w:ascii="Book Antiqua" w:eastAsia="Book Antiqua" w:hAnsi="Book Antiqua" w:cs="Book Antiqua"/>
          <w:color w:val="000000"/>
        </w:rPr>
        <w:t xml:space="preserve"> 2003; </w:t>
      </w:r>
      <w:r w:rsidRPr="00A725BB">
        <w:rPr>
          <w:rFonts w:ascii="Book Antiqua" w:eastAsia="Book Antiqua" w:hAnsi="Book Antiqua" w:cs="Book Antiqua"/>
          <w:b/>
          <w:bCs/>
          <w:color w:val="000000"/>
        </w:rPr>
        <w:t>120</w:t>
      </w:r>
      <w:r w:rsidRPr="00A725BB">
        <w:rPr>
          <w:rFonts w:ascii="Book Antiqua" w:eastAsia="Book Antiqua" w:hAnsi="Book Antiqua" w:cs="Book Antiqua"/>
          <w:color w:val="000000"/>
        </w:rPr>
        <w:t>: 161-166 [PMID: 12605821 DOI: 10.1016/s0025-7753(03)73637-9]</w:t>
      </w:r>
    </w:p>
    <w:p w14:paraId="117E1396"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33 </w:t>
      </w:r>
      <w:proofErr w:type="spellStart"/>
      <w:r w:rsidRPr="00A725BB">
        <w:rPr>
          <w:rFonts w:ascii="Book Antiqua" w:eastAsia="Book Antiqua" w:hAnsi="Book Antiqua" w:cs="Book Antiqua"/>
          <w:b/>
          <w:bCs/>
          <w:color w:val="000000"/>
        </w:rPr>
        <w:t>Norouzi</w:t>
      </w:r>
      <w:proofErr w:type="spellEnd"/>
      <w:r w:rsidRPr="00A725BB">
        <w:rPr>
          <w:rFonts w:ascii="Book Antiqua" w:eastAsia="Book Antiqua" w:hAnsi="Book Antiqua" w:cs="Book Antiqua"/>
          <w:b/>
          <w:bCs/>
          <w:color w:val="000000"/>
        </w:rPr>
        <w:t xml:space="preserve"> A</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Behrouzibakhsh</w:t>
      </w:r>
      <w:proofErr w:type="spellEnd"/>
      <w:r w:rsidRPr="00A725BB">
        <w:rPr>
          <w:rFonts w:ascii="Book Antiqua" w:eastAsia="Book Antiqua" w:hAnsi="Book Antiqua" w:cs="Book Antiqua"/>
          <w:color w:val="000000"/>
        </w:rPr>
        <w:t xml:space="preserve"> F, </w:t>
      </w:r>
      <w:proofErr w:type="spellStart"/>
      <w:r w:rsidRPr="00A725BB">
        <w:rPr>
          <w:rFonts w:ascii="Book Antiqua" w:eastAsia="Book Antiqua" w:hAnsi="Book Antiqua" w:cs="Book Antiqua"/>
          <w:color w:val="000000"/>
        </w:rPr>
        <w:t>Kamali</w:t>
      </w:r>
      <w:proofErr w:type="spellEnd"/>
      <w:r w:rsidRPr="00A725BB">
        <w:rPr>
          <w:rFonts w:ascii="Book Antiqua" w:eastAsia="Book Antiqua" w:hAnsi="Book Antiqua" w:cs="Book Antiqua"/>
          <w:color w:val="000000"/>
        </w:rPr>
        <w:t xml:space="preserve"> A, </w:t>
      </w:r>
      <w:proofErr w:type="spellStart"/>
      <w:r w:rsidRPr="00A725BB">
        <w:rPr>
          <w:rFonts w:ascii="Book Antiqua" w:eastAsia="Book Antiqua" w:hAnsi="Book Antiqua" w:cs="Book Antiqua"/>
          <w:color w:val="000000"/>
        </w:rPr>
        <w:t>Yazdi</w:t>
      </w:r>
      <w:proofErr w:type="spellEnd"/>
      <w:r w:rsidRPr="00A725BB">
        <w:rPr>
          <w:rFonts w:ascii="Book Antiqua" w:eastAsia="Book Antiqua" w:hAnsi="Book Antiqua" w:cs="Book Antiqua"/>
          <w:color w:val="000000"/>
        </w:rPr>
        <w:t xml:space="preserve"> B, </w:t>
      </w:r>
      <w:proofErr w:type="spellStart"/>
      <w:r w:rsidRPr="00A725BB">
        <w:rPr>
          <w:rFonts w:ascii="Book Antiqua" w:eastAsia="Book Antiqua" w:hAnsi="Book Antiqua" w:cs="Book Antiqua"/>
          <w:color w:val="000000"/>
        </w:rPr>
        <w:t>Ghaffari</w:t>
      </w:r>
      <w:proofErr w:type="spellEnd"/>
      <w:r w:rsidRPr="00A725BB">
        <w:rPr>
          <w:rFonts w:ascii="Book Antiqua" w:eastAsia="Book Antiqua" w:hAnsi="Book Antiqua" w:cs="Book Antiqua"/>
          <w:color w:val="000000"/>
        </w:rPr>
        <w:t xml:space="preserve"> B. Short-term complications of anesthetic technique used in hip fracture surgery in elderly people. </w:t>
      </w:r>
      <w:r w:rsidRPr="00A725BB">
        <w:rPr>
          <w:rFonts w:ascii="Book Antiqua" w:eastAsia="Book Antiqua" w:hAnsi="Book Antiqua" w:cs="Book Antiqua"/>
          <w:i/>
          <w:iCs/>
          <w:color w:val="000000"/>
        </w:rPr>
        <w:t xml:space="preserve">Eur J </w:t>
      </w:r>
      <w:proofErr w:type="spellStart"/>
      <w:r w:rsidRPr="00A725BB">
        <w:rPr>
          <w:rFonts w:ascii="Book Antiqua" w:eastAsia="Book Antiqua" w:hAnsi="Book Antiqua" w:cs="Book Antiqua"/>
          <w:i/>
          <w:iCs/>
          <w:color w:val="000000"/>
        </w:rPr>
        <w:t>Transl</w:t>
      </w:r>
      <w:proofErr w:type="spellEnd"/>
      <w:r w:rsidRPr="00A725BB">
        <w:rPr>
          <w:rFonts w:ascii="Book Antiqua" w:eastAsia="Book Antiqua" w:hAnsi="Book Antiqua" w:cs="Book Antiqua"/>
          <w:i/>
          <w:iCs/>
          <w:color w:val="000000"/>
        </w:rPr>
        <w:t xml:space="preserve"> </w:t>
      </w:r>
      <w:proofErr w:type="spellStart"/>
      <w:r w:rsidRPr="00A725BB">
        <w:rPr>
          <w:rFonts w:ascii="Book Antiqua" w:eastAsia="Book Antiqua" w:hAnsi="Book Antiqua" w:cs="Book Antiqua"/>
          <w:i/>
          <w:iCs/>
          <w:color w:val="000000"/>
        </w:rPr>
        <w:t>Myol</w:t>
      </w:r>
      <w:proofErr w:type="spellEnd"/>
      <w:r w:rsidRPr="00A725BB">
        <w:rPr>
          <w:rFonts w:ascii="Book Antiqua" w:eastAsia="Book Antiqua" w:hAnsi="Book Antiqua" w:cs="Book Antiqua"/>
          <w:color w:val="000000"/>
        </w:rPr>
        <w:t xml:space="preserve"> 2018; </w:t>
      </w:r>
      <w:r w:rsidRPr="00A725BB">
        <w:rPr>
          <w:rFonts w:ascii="Book Antiqua" w:eastAsia="Book Antiqua" w:hAnsi="Book Antiqua" w:cs="Book Antiqua"/>
          <w:b/>
          <w:bCs/>
          <w:color w:val="000000"/>
        </w:rPr>
        <w:t>28</w:t>
      </w:r>
      <w:r w:rsidRPr="00A725BB">
        <w:rPr>
          <w:rFonts w:ascii="Book Antiqua" w:eastAsia="Book Antiqua" w:hAnsi="Book Antiqua" w:cs="Book Antiqua"/>
          <w:color w:val="000000"/>
        </w:rPr>
        <w:t>: 7355 [PMID: 30344972 DOI: 10.4081/ejtm.2018.7355]</w:t>
      </w:r>
    </w:p>
    <w:p w14:paraId="2CC21754"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34 </w:t>
      </w:r>
      <w:proofErr w:type="spellStart"/>
      <w:r w:rsidRPr="00A725BB">
        <w:rPr>
          <w:rFonts w:ascii="Book Antiqua" w:eastAsia="Book Antiqua" w:hAnsi="Book Antiqua" w:cs="Book Antiqua"/>
          <w:b/>
          <w:bCs/>
          <w:color w:val="000000"/>
        </w:rPr>
        <w:t>Bardyn</w:t>
      </w:r>
      <w:proofErr w:type="spellEnd"/>
      <w:r w:rsidRPr="00A725BB">
        <w:rPr>
          <w:rFonts w:ascii="Book Antiqua" w:eastAsia="Book Antiqua" w:hAnsi="Book Antiqua" w:cs="Book Antiqua"/>
          <w:b/>
          <w:bCs/>
          <w:color w:val="000000"/>
        </w:rPr>
        <w:t xml:space="preserve"> M</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Rappaz</w:t>
      </w:r>
      <w:proofErr w:type="spellEnd"/>
      <w:r w:rsidRPr="00A725BB">
        <w:rPr>
          <w:rFonts w:ascii="Book Antiqua" w:eastAsia="Book Antiqua" w:hAnsi="Book Antiqua" w:cs="Book Antiqua"/>
          <w:color w:val="000000"/>
        </w:rPr>
        <w:t xml:space="preserve"> B, </w:t>
      </w:r>
      <w:proofErr w:type="spellStart"/>
      <w:r w:rsidRPr="00A725BB">
        <w:rPr>
          <w:rFonts w:ascii="Book Antiqua" w:eastAsia="Book Antiqua" w:hAnsi="Book Antiqua" w:cs="Book Antiqua"/>
          <w:color w:val="000000"/>
        </w:rPr>
        <w:t>Jaferzadeh</w:t>
      </w:r>
      <w:proofErr w:type="spellEnd"/>
      <w:r w:rsidRPr="00A725BB">
        <w:rPr>
          <w:rFonts w:ascii="Book Antiqua" w:eastAsia="Book Antiqua" w:hAnsi="Book Antiqua" w:cs="Book Antiqua"/>
          <w:color w:val="000000"/>
        </w:rPr>
        <w:t xml:space="preserve"> K, </w:t>
      </w:r>
      <w:proofErr w:type="spellStart"/>
      <w:r w:rsidRPr="00A725BB">
        <w:rPr>
          <w:rFonts w:ascii="Book Antiqua" w:eastAsia="Book Antiqua" w:hAnsi="Book Antiqua" w:cs="Book Antiqua"/>
          <w:color w:val="000000"/>
        </w:rPr>
        <w:t>Crettaz</w:t>
      </w:r>
      <w:proofErr w:type="spellEnd"/>
      <w:r w:rsidRPr="00A725BB">
        <w:rPr>
          <w:rFonts w:ascii="Book Antiqua" w:eastAsia="Book Antiqua" w:hAnsi="Book Antiqua" w:cs="Book Antiqua"/>
          <w:color w:val="000000"/>
        </w:rPr>
        <w:t xml:space="preserve"> D, Tissot JD, Moon I, </w:t>
      </w:r>
      <w:proofErr w:type="spellStart"/>
      <w:r w:rsidRPr="00A725BB">
        <w:rPr>
          <w:rFonts w:ascii="Book Antiqua" w:eastAsia="Book Antiqua" w:hAnsi="Book Antiqua" w:cs="Book Antiqua"/>
          <w:color w:val="000000"/>
        </w:rPr>
        <w:t>Turcatti</w:t>
      </w:r>
      <w:proofErr w:type="spellEnd"/>
      <w:r w:rsidRPr="00A725BB">
        <w:rPr>
          <w:rFonts w:ascii="Book Antiqua" w:eastAsia="Book Antiqua" w:hAnsi="Book Antiqua" w:cs="Book Antiqua"/>
          <w:color w:val="000000"/>
        </w:rPr>
        <w:t xml:space="preserve"> G, Lion N, Prudent M. Red blood cells ageing markers: a multi-parametric analysis. </w:t>
      </w:r>
      <w:r w:rsidRPr="00A725BB">
        <w:rPr>
          <w:rFonts w:ascii="Book Antiqua" w:eastAsia="Book Antiqua" w:hAnsi="Book Antiqua" w:cs="Book Antiqua"/>
          <w:i/>
          <w:iCs/>
          <w:color w:val="000000"/>
        </w:rPr>
        <w:t xml:space="preserve">Blood </w:t>
      </w:r>
      <w:proofErr w:type="spellStart"/>
      <w:r w:rsidRPr="00A725BB">
        <w:rPr>
          <w:rFonts w:ascii="Book Antiqua" w:eastAsia="Book Antiqua" w:hAnsi="Book Antiqua" w:cs="Book Antiqua"/>
          <w:i/>
          <w:iCs/>
          <w:color w:val="000000"/>
        </w:rPr>
        <w:t>Transfus</w:t>
      </w:r>
      <w:proofErr w:type="spellEnd"/>
      <w:r w:rsidRPr="00A725BB">
        <w:rPr>
          <w:rFonts w:ascii="Book Antiqua" w:eastAsia="Book Antiqua" w:hAnsi="Book Antiqua" w:cs="Book Antiqua"/>
          <w:color w:val="000000"/>
        </w:rPr>
        <w:t xml:space="preserve"> 2017; </w:t>
      </w:r>
      <w:r w:rsidRPr="00A725BB">
        <w:rPr>
          <w:rFonts w:ascii="Book Antiqua" w:eastAsia="Book Antiqua" w:hAnsi="Book Antiqua" w:cs="Book Antiqua"/>
          <w:b/>
          <w:bCs/>
          <w:color w:val="000000"/>
        </w:rPr>
        <w:t>15</w:t>
      </w:r>
      <w:r w:rsidRPr="00A725BB">
        <w:rPr>
          <w:rFonts w:ascii="Book Antiqua" w:eastAsia="Book Antiqua" w:hAnsi="Book Antiqua" w:cs="Book Antiqua"/>
          <w:color w:val="000000"/>
        </w:rPr>
        <w:t>: 239-248 [PMID: 28518051 DOI: 10.2450/2017.0318-16]</w:t>
      </w:r>
    </w:p>
    <w:p w14:paraId="2D05CBB1"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35 </w:t>
      </w:r>
      <w:r w:rsidRPr="00A725BB">
        <w:rPr>
          <w:rFonts w:ascii="Book Antiqua" w:eastAsia="Book Antiqua" w:hAnsi="Book Antiqua" w:cs="Book Antiqua"/>
          <w:b/>
          <w:bCs/>
          <w:color w:val="000000"/>
        </w:rPr>
        <w:t>Heddle NM</w:t>
      </w:r>
      <w:r w:rsidRPr="00A725BB">
        <w:rPr>
          <w:rFonts w:ascii="Book Antiqua" w:eastAsia="Book Antiqua" w:hAnsi="Book Antiqua" w:cs="Book Antiqua"/>
          <w:color w:val="000000"/>
        </w:rPr>
        <w:t xml:space="preserve">, Cook RJ, Arnold DM, Liu Y, </w:t>
      </w:r>
      <w:proofErr w:type="spellStart"/>
      <w:r w:rsidRPr="00A725BB">
        <w:rPr>
          <w:rFonts w:ascii="Book Antiqua" w:eastAsia="Book Antiqua" w:hAnsi="Book Antiqua" w:cs="Book Antiqua"/>
          <w:color w:val="000000"/>
        </w:rPr>
        <w:t>Barty</w:t>
      </w:r>
      <w:proofErr w:type="spellEnd"/>
      <w:r w:rsidRPr="00A725BB">
        <w:rPr>
          <w:rFonts w:ascii="Book Antiqua" w:eastAsia="Book Antiqua" w:hAnsi="Book Antiqua" w:cs="Book Antiqua"/>
          <w:color w:val="000000"/>
        </w:rPr>
        <w:t xml:space="preserve"> R, Crowther MA, Devereaux PJ, Hirsh J, Warkentin TE, </w:t>
      </w:r>
      <w:proofErr w:type="spellStart"/>
      <w:r w:rsidRPr="00A725BB">
        <w:rPr>
          <w:rFonts w:ascii="Book Antiqua" w:eastAsia="Book Antiqua" w:hAnsi="Book Antiqua" w:cs="Book Antiqua"/>
          <w:color w:val="000000"/>
        </w:rPr>
        <w:t>Webert</w:t>
      </w:r>
      <w:proofErr w:type="spellEnd"/>
      <w:r w:rsidRPr="00A725BB">
        <w:rPr>
          <w:rFonts w:ascii="Book Antiqua" w:eastAsia="Book Antiqua" w:hAnsi="Book Antiqua" w:cs="Book Antiqua"/>
          <w:color w:val="000000"/>
        </w:rPr>
        <w:t xml:space="preserve"> KE, Roxby D, </w:t>
      </w:r>
      <w:proofErr w:type="spellStart"/>
      <w:r w:rsidRPr="00A725BB">
        <w:rPr>
          <w:rFonts w:ascii="Book Antiqua" w:eastAsia="Book Antiqua" w:hAnsi="Book Antiqua" w:cs="Book Antiqua"/>
          <w:color w:val="000000"/>
        </w:rPr>
        <w:t>Sobieraj</w:t>
      </w:r>
      <w:proofErr w:type="spellEnd"/>
      <w:r w:rsidRPr="00A725BB">
        <w:rPr>
          <w:rFonts w:ascii="Book Antiqua" w:eastAsia="Book Antiqua" w:hAnsi="Book Antiqua" w:cs="Book Antiqua"/>
          <w:color w:val="000000"/>
        </w:rPr>
        <w:t xml:space="preserve">-Teague M, Kurz A, Sessler DI, Figueroa P, Ellis M, </w:t>
      </w:r>
      <w:proofErr w:type="spellStart"/>
      <w:r w:rsidRPr="00A725BB">
        <w:rPr>
          <w:rFonts w:ascii="Book Antiqua" w:eastAsia="Book Antiqua" w:hAnsi="Book Antiqua" w:cs="Book Antiqua"/>
          <w:color w:val="000000"/>
        </w:rPr>
        <w:t>Eikelboom</w:t>
      </w:r>
      <w:proofErr w:type="spellEnd"/>
      <w:r w:rsidRPr="00A725BB">
        <w:rPr>
          <w:rFonts w:ascii="Book Antiqua" w:eastAsia="Book Antiqua" w:hAnsi="Book Antiqua" w:cs="Book Antiqua"/>
          <w:color w:val="000000"/>
        </w:rPr>
        <w:t xml:space="preserve"> JW. Effect of Short-Term vs. Long-Term Blood Storage on Mortality after Transfusion. </w:t>
      </w:r>
      <w:r w:rsidRPr="00A725BB">
        <w:rPr>
          <w:rFonts w:ascii="Book Antiqua" w:eastAsia="Book Antiqua" w:hAnsi="Book Antiqua" w:cs="Book Antiqua"/>
          <w:i/>
          <w:iCs/>
          <w:color w:val="000000"/>
        </w:rPr>
        <w:t xml:space="preserve">N </w:t>
      </w:r>
      <w:proofErr w:type="spellStart"/>
      <w:r w:rsidRPr="00A725BB">
        <w:rPr>
          <w:rFonts w:ascii="Book Antiqua" w:eastAsia="Book Antiqua" w:hAnsi="Book Antiqua" w:cs="Book Antiqua"/>
          <w:i/>
          <w:iCs/>
          <w:color w:val="000000"/>
        </w:rPr>
        <w:t>Engl</w:t>
      </w:r>
      <w:proofErr w:type="spellEnd"/>
      <w:r w:rsidRPr="00A725BB">
        <w:rPr>
          <w:rFonts w:ascii="Book Antiqua" w:eastAsia="Book Antiqua" w:hAnsi="Book Antiqua" w:cs="Book Antiqua"/>
          <w:i/>
          <w:iCs/>
          <w:color w:val="000000"/>
        </w:rPr>
        <w:t xml:space="preserve"> J Med</w:t>
      </w:r>
      <w:r w:rsidRPr="00A725BB">
        <w:rPr>
          <w:rFonts w:ascii="Book Antiqua" w:eastAsia="Book Antiqua" w:hAnsi="Book Antiqua" w:cs="Book Antiqua"/>
          <w:color w:val="000000"/>
        </w:rPr>
        <w:t xml:space="preserve"> 2016; </w:t>
      </w:r>
      <w:r w:rsidRPr="00A725BB">
        <w:rPr>
          <w:rFonts w:ascii="Book Antiqua" w:eastAsia="Book Antiqua" w:hAnsi="Book Antiqua" w:cs="Book Antiqua"/>
          <w:b/>
          <w:bCs/>
          <w:color w:val="000000"/>
        </w:rPr>
        <w:t>375</w:t>
      </w:r>
      <w:r w:rsidRPr="00A725BB">
        <w:rPr>
          <w:rFonts w:ascii="Book Antiqua" w:eastAsia="Book Antiqua" w:hAnsi="Book Antiqua" w:cs="Book Antiqua"/>
          <w:color w:val="000000"/>
        </w:rPr>
        <w:t>: 1937-1945 [PMID: 27775503 DOI: 10.1056/NEJMoa1609014]</w:t>
      </w:r>
    </w:p>
    <w:p w14:paraId="52642326"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36 </w:t>
      </w:r>
      <w:r w:rsidRPr="00A725BB">
        <w:rPr>
          <w:rFonts w:ascii="Book Antiqua" w:eastAsia="Book Antiqua" w:hAnsi="Book Antiqua" w:cs="Book Antiqua"/>
          <w:b/>
          <w:bCs/>
          <w:color w:val="000000"/>
        </w:rPr>
        <w:t>Steiner ME,</w:t>
      </w:r>
      <w:r w:rsidRPr="00A725BB">
        <w:rPr>
          <w:rFonts w:ascii="Book Antiqua" w:eastAsia="Book Antiqua" w:hAnsi="Book Antiqua" w:cs="Book Antiqua"/>
          <w:color w:val="000000"/>
        </w:rPr>
        <w:t xml:space="preserve"> Ness PM, </w:t>
      </w:r>
      <w:proofErr w:type="spellStart"/>
      <w:r w:rsidRPr="00A725BB">
        <w:rPr>
          <w:rFonts w:ascii="Book Antiqua" w:eastAsia="Book Antiqua" w:hAnsi="Book Antiqua" w:cs="Book Antiqua"/>
          <w:color w:val="000000"/>
        </w:rPr>
        <w:t>Assmann</w:t>
      </w:r>
      <w:proofErr w:type="spellEnd"/>
      <w:r w:rsidRPr="00A725BB">
        <w:rPr>
          <w:rFonts w:ascii="Book Antiqua" w:eastAsia="Book Antiqua" w:hAnsi="Book Antiqua" w:cs="Book Antiqua"/>
          <w:color w:val="000000"/>
        </w:rPr>
        <w:t xml:space="preserve"> SF, </w:t>
      </w:r>
      <w:proofErr w:type="spellStart"/>
      <w:r w:rsidRPr="00A725BB">
        <w:rPr>
          <w:rFonts w:ascii="Book Antiqua" w:eastAsia="Book Antiqua" w:hAnsi="Book Antiqua" w:cs="Book Antiqua"/>
          <w:color w:val="000000"/>
        </w:rPr>
        <w:t>Triulzi</w:t>
      </w:r>
      <w:proofErr w:type="spellEnd"/>
      <w:r w:rsidRPr="00A725BB">
        <w:rPr>
          <w:rFonts w:ascii="Book Antiqua" w:eastAsia="Book Antiqua" w:hAnsi="Book Antiqua" w:cs="Book Antiqua"/>
          <w:color w:val="000000"/>
        </w:rPr>
        <w:t xml:space="preserve"> DJ, Sloan SR, Delaney M, Granger S, Bennett-Guerrero E, </w:t>
      </w:r>
      <w:proofErr w:type="spellStart"/>
      <w:r w:rsidRPr="00A725BB">
        <w:rPr>
          <w:rFonts w:ascii="Book Antiqua" w:eastAsia="Book Antiqua" w:hAnsi="Book Antiqua" w:cs="Book Antiqua"/>
          <w:color w:val="000000"/>
        </w:rPr>
        <w:t>Blajchman</w:t>
      </w:r>
      <w:proofErr w:type="spellEnd"/>
      <w:r w:rsidRPr="00A725BB">
        <w:rPr>
          <w:rFonts w:ascii="Book Antiqua" w:eastAsia="Book Antiqua" w:hAnsi="Book Antiqua" w:cs="Book Antiqua"/>
          <w:color w:val="000000"/>
        </w:rPr>
        <w:t xml:space="preserve"> MA, </w:t>
      </w:r>
      <w:proofErr w:type="spellStart"/>
      <w:r w:rsidRPr="00A725BB">
        <w:rPr>
          <w:rFonts w:ascii="Book Antiqua" w:eastAsia="Book Antiqua" w:hAnsi="Book Antiqua" w:cs="Book Antiqua"/>
          <w:color w:val="000000"/>
        </w:rPr>
        <w:t>Scavo</w:t>
      </w:r>
      <w:proofErr w:type="spellEnd"/>
      <w:r w:rsidRPr="00A725BB">
        <w:rPr>
          <w:rFonts w:ascii="Book Antiqua" w:eastAsia="Book Antiqua" w:hAnsi="Book Antiqua" w:cs="Book Antiqua"/>
          <w:color w:val="000000"/>
        </w:rPr>
        <w:t xml:space="preserve"> V, Carson JL, Levy JH, Whitman G, </w:t>
      </w:r>
      <w:proofErr w:type="spellStart"/>
      <w:r w:rsidRPr="00A725BB">
        <w:rPr>
          <w:rFonts w:ascii="Book Antiqua" w:eastAsia="Book Antiqua" w:hAnsi="Book Antiqua" w:cs="Book Antiqua"/>
          <w:color w:val="000000"/>
        </w:rPr>
        <w:t>D’Andrea</w:t>
      </w:r>
      <w:proofErr w:type="spellEnd"/>
      <w:r w:rsidRPr="00A725BB">
        <w:rPr>
          <w:rFonts w:ascii="Book Antiqua" w:eastAsia="Book Antiqua" w:hAnsi="Book Antiqua" w:cs="Book Antiqua"/>
          <w:color w:val="000000"/>
        </w:rPr>
        <w:t xml:space="preserve"> P, </w:t>
      </w:r>
      <w:proofErr w:type="spellStart"/>
      <w:r w:rsidRPr="00A725BB">
        <w:rPr>
          <w:rFonts w:ascii="Book Antiqua" w:eastAsia="Book Antiqua" w:hAnsi="Book Antiqua" w:cs="Book Antiqua"/>
          <w:color w:val="000000"/>
        </w:rPr>
        <w:t>Pulkrabek</w:t>
      </w:r>
      <w:proofErr w:type="spellEnd"/>
      <w:r w:rsidRPr="00A725BB">
        <w:rPr>
          <w:rFonts w:ascii="Book Antiqua" w:eastAsia="Book Antiqua" w:hAnsi="Book Antiqua" w:cs="Book Antiqua"/>
          <w:color w:val="000000"/>
        </w:rPr>
        <w:t xml:space="preserve"> S, </w:t>
      </w:r>
      <w:proofErr w:type="spellStart"/>
      <w:r w:rsidRPr="00A725BB">
        <w:rPr>
          <w:rFonts w:ascii="Book Antiqua" w:eastAsia="Book Antiqua" w:hAnsi="Book Antiqua" w:cs="Book Antiqua"/>
          <w:color w:val="000000"/>
        </w:rPr>
        <w:t>Ortel</w:t>
      </w:r>
      <w:proofErr w:type="spellEnd"/>
      <w:r w:rsidRPr="00A725BB">
        <w:rPr>
          <w:rFonts w:ascii="Book Antiqua" w:eastAsia="Book Antiqua" w:hAnsi="Book Antiqua" w:cs="Book Antiqua"/>
          <w:color w:val="000000"/>
        </w:rPr>
        <w:t xml:space="preserve"> TL, </w:t>
      </w:r>
      <w:proofErr w:type="spellStart"/>
      <w:r w:rsidRPr="00A725BB">
        <w:rPr>
          <w:rFonts w:ascii="Book Antiqua" w:eastAsia="Book Antiqua" w:hAnsi="Book Antiqua" w:cs="Book Antiqua"/>
          <w:color w:val="000000"/>
        </w:rPr>
        <w:t>Bornikova</w:t>
      </w:r>
      <w:proofErr w:type="spellEnd"/>
      <w:r w:rsidRPr="00A725BB">
        <w:rPr>
          <w:rFonts w:ascii="Book Antiqua" w:eastAsia="Book Antiqua" w:hAnsi="Book Antiqua" w:cs="Book Antiqua"/>
          <w:color w:val="000000"/>
        </w:rPr>
        <w:t xml:space="preserve"> L, </w:t>
      </w:r>
      <w:proofErr w:type="spellStart"/>
      <w:r w:rsidRPr="00A725BB">
        <w:rPr>
          <w:rFonts w:ascii="Book Antiqua" w:eastAsia="Book Antiqua" w:hAnsi="Book Antiqua" w:cs="Book Antiqua"/>
          <w:color w:val="000000"/>
        </w:rPr>
        <w:t>Raife</w:t>
      </w:r>
      <w:proofErr w:type="spellEnd"/>
      <w:r w:rsidRPr="00A725BB">
        <w:rPr>
          <w:rFonts w:ascii="Book Antiqua" w:eastAsia="Book Antiqua" w:hAnsi="Book Antiqua" w:cs="Book Antiqua"/>
          <w:color w:val="000000"/>
        </w:rPr>
        <w:t xml:space="preserve"> T, </w:t>
      </w:r>
      <w:proofErr w:type="spellStart"/>
      <w:r w:rsidRPr="00A725BB">
        <w:rPr>
          <w:rFonts w:ascii="Book Antiqua" w:eastAsia="Book Antiqua" w:hAnsi="Book Antiqua" w:cs="Book Antiqua"/>
          <w:color w:val="000000"/>
        </w:rPr>
        <w:t>Puca</w:t>
      </w:r>
      <w:proofErr w:type="spellEnd"/>
      <w:r w:rsidRPr="00A725BB">
        <w:rPr>
          <w:rFonts w:ascii="Book Antiqua" w:eastAsia="Book Antiqua" w:hAnsi="Book Antiqua" w:cs="Book Antiqua"/>
          <w:color w:val="000000"/>
        </w:rPr>
        <w:t xml:space="preserve"> KE, Kaufman RM, Nuttall GA, Young PP, Youssef S, Engelman R, </w:t>
      </w:r>
      <w:proofErr w:type="spellStart"/>
      <w:r w:rsidRPr="00A725BB">
        <w:rPr>
          <w:rFonts w:ascii="Book Antiqua" w:eastAsia="Book Antiqua" w:hAnsi="Book Antiqua" w:cs="Book Antiqua"/>
          <w:color w:val="000000"/>
        </w:rPr>
        <w:t>Greilech</w:t>
      </w:r>
      <w:proofErr w:type="spellEnd"/>
      <w:r w:rsidRPr="00A725BB">
        <w:rPr>
          <w:rFonts w:ascii="Book Antiqua" w:eastAsia="Book Antiqua" w:hAnsi="Book Antiqua" w:cs="Book Antiqua"/>
          <w:color w:val="000000"/>
        </w:rPr>
        <w:t xml:space="preserve"> PE, Miles R, Josephson CD, Bracey A, Cooke R, McCullough J, Hunsaker R, </w:t>
      </w:r>
      <w:proofErr w:type="spellStart"/>
      <w:r w:rsidRPr="00A725BB">
        <w:rPr>
          <w:rFonts w:ascii="Book Antiqua" w:eastAsia="Book Antiqua" w:hAnsi="Book Antiqua" w:cs="Book Antiqua"/>
          <w:color w:val="000000"/>
        </w:rPr>
        <w:t>Uhl</w:t>
      </w:r>
      <w:proofErr w:type="spellEnd"/>
      <w:r w:rsidRPr="00A725BB">
        <w:rPr>
          <w:rFonts w:ascii="Book Antiqua" w:eastAsia="Book Antiqua" w:hAnsi="Book Antiqua" w:cs="Book Antiqua"/>
          <w:color w:val="000000"/>
        </w:rPr>
        <w:t xml:space="preserve"> L, McFarland JG, Park Y, Cushing MM, </w:t>
      </w:r>
      <w:proofErr w:type="spellStart"/>
      <w:r w:rsidRPr="00A725BB">
        <w:rPr>
          <w:rFonts w:ascii="Book Antiqua" w:eastAsia="Book Antiqua" w:hAnsi="Book Antiqua" w:cs="Book Antiqua"/>
          <w:color w:val="000000"/>
        </w:rPr>
        <w:t>Klodell</w:t>
      </w:r>
      <w:proofErr w:type="spellEnd"/>
      <w:r w:rsidRPr="00A725BB">
        <w:rPr>
          <w:rFonts w:ascii="Book Antiqua" w:eastAsia="Book Antiqua" w:hAnsi="Book Antiqua" w:cs="Book Antiqua"/>
          <w:color w:val="000000"/>
        </w:rPr>
        <w:t xml:space="preserve"> CT, Karanam R, Roberts PR, Dyke C, Hod EA, Stowell CP. Effects of red-cell storage duration on patients undergoing cardiac surgery. </w:t>
      </w:r>
      <w:r w:rsidRPr="00A725BB">
        <w:rPr>
          <w:rFonts w:ascii="Book Antiqua" w:eastAsia="Book Antiqua" w:hAnsi="Book Antiqua" w:cs="Book Antiqua"/>
          <w:i/>
          <w:iCs/>
          <w:color w:val="000000"/>
        </w:rPr>
        <w:t xml:space="preserve">N </w:t>
      </w:r>
      <w:proofErr w:type="spellStart"/>
      <w:r w:rsidRPr="00A725BB">
        <w:rPr>
          <w:rFonts w:ascii="Book Antiqua" w:eastAsia="Book Antiqua" w:hAnsi="Book Antiqua" w:cs="Book Antiqua"/>
          <w:i/>
          <w:iCs/>
          <w:color w:val="000000"/>
        </w:rPr>
        <w:t>Engl</w:t>
      </w:r>
      <w:proofErr w:type="spellEnd"/>
      <w:r w:rsidRPr="00A725BB">
        <w:rPr>
          <w:rFonts w:ascii="Book Antiqua" w:eastAsia="Book Antiqua" w:hAnsi="Book Antiqua" w:cs="Book Antiqua"/>
          <w:i/>
          <w:iCs/>
          <w:color w:val="000000"/>
        </w:rPr>
        <w:t xml:space="preserve"> J Med</w:t>
      </w:r>
      <w:r w:rsidRPr="00A725BB">
        <w:rPr>
          <w:rFonts w:ascii="Book Antiqua" w:eastAsia="Book Antiqua" w:hAnsi="Book Antiqua" w:cs="Book Antiqua"/>
          <w:color w:val="000000"/>
        </w:rPr>
        <w:t xml:space="preserve"> 2015; </w:t>
      </w:r>
      <w:r w:rsidRPr="00A725BB">
        <w:rPr>
          <w:rFonts w:ascii="Book Antiqua" w:eastAsia="Book Antiqua" w:hAnsi="Book Antiqua" w:cs="Book Antiqua"/>
          <w:b/>
          <w:bCs/>
          <w:color w:val="000000"/>
        </w:rPr>
        <w:t>372</w:t>
      </w:r>
      <w:r w:rsidRPr="00A725BB">
        <w:rPr>
          <w:rFonts w:ascii="Book Antiqua" w:eastAsia="Book Antiqua" w:hAnsi="Book Antiqua" w:cs="Book Antiqua"/>
          <w:color w:val="000000"/>
        </w:rPr>
        <w:t>: 1419-1429 [PMID: 25853746 DOI: 10.1056/NEJMoa1414219]</w:t>
      </w:r>
    </w:p>
    <w:p w14:paraId="66A542D4"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37 </w:t>
      </w:r>
      <w:r w:rsidRPr="00A725BB">
        <w:rPr>
          <w:rFonts w:ascii="Book Antiqua" w:eastAsia="Book Antiqua" w:hAnsi="Book Antiqua" w:cs="Book Antiqua"/>
          <w:b/>
          <w:bCs/>
          <w:color w:val="000000"/>
        </w:rPr>
        <w:t>Frank SM,</w:t>
      </w:r>
      <w:r w:rsidRPr="00A725BB">
        <w:rPr>
          <w:rFonts w:ascii="Book Antiqua" w:eastAsia="Book Antiqua" w:hAnsi="Book Antiqua" w:cs="Book Antiqua"/>
          <w:color w:val="000000"/>
        </w:rPr>
        <w:t xml:space="preserve"> </w:t>
      </w:r>
      <w:proofErr w:type="spellStart"/>
      <w:r w:rsidRPr="00A725BB">
        <w:rPr>
          <w:rFonts w:ascii="Book Antiqua" w:eastAsia="Book Antiqua" w:hAnsi="Book Antiqua" w:cs="Book Antiqua"/>
          <w:color w:val="000000"/>
        </w:rPr>
        <w:t>Oleyar</w:t>
      </w:r>
      <w:proofErr w:type="spellEnd"/>
      <w:r w:rsidRPr="00A725BB">
        <w:rPr>
          <w:rFonts w:ascii="Book Antiqua" w:eastAsia="Book Antiqua" w:hAnsi="Book Antiqua" w:cs="Book Antiqua"/>
          <w:color w:val="000000"/>
        </w:rPr>
        <w:t xml:space="preserve"> MJ, Ness PM, </w:t>
      </w:r>
      <w:proofErr w:type="spellStart"/>
      <w:r w:rsidRPr="00A725BB">
        <w:rPr>
          <w:rFonts w:ascii="Book Antiqua" w:eastAsia="Book Antiqua" w:hAnsi="Book Antiqua" w:cs="Book Antiqua"/>
          <w:color w:val="000000"/>
        </w:rPr>
        <w:t>Tobian</w:t>
      </w:r>
      <w:proofErr w:type="spellEnd"/>
      <w:r w:rsidRPr="00A725BB">
        <w:rPr>
          <w:rFonts w:ascii="Book Antiqua" w:eastAsia="Book Antiqua" w:hAnsi="Book Antiqua" w:cs="Book Antiqua"/>
          <w:color w:val="000000"/>
        </w:rPr>
        <w:t xml:space="preserve"> AAR. Reducing unnecessary preoperative blood orders and costs by implementing an updated institution-specific maximum </w:t>
      </w:r>
      <w:r w:rsidRPr="00A725BB">
        <w:rPr>
          <w:rFonts w:ascii="Book Antiqua" w:eastAsia="Book Antiqua" w:hAnsi="Book Antiqua" w:cs="Book Antiqua"/>
          <w:color w:val="000000"/>
        </w:rPr>
        <w:lastRenderedPageBreak/>
        <w:t xml:space="preserve">surgical blood order schedule and a remote electronic blood release system. </w:t>
      </w:r>
      <w:r w:rsidRPr="00A725BB">
        <w:rPr>
          <w:rFonts w:ascii="Book Antiqua" w:eastAsia="Book Antiqua" w:hAnsi="Book Antiqua" w:cs="Book Antiqua"/>
          <w:i/>
          <w:iCs/>
          <w:color w:val="000000"/>
        </w:rPr>
        <w:t>Anesthesiology</w:t>
      </w:r>
      <w:r w:rsidRPr="00A725BB">
        <w:rPr>
          <w:rFonts w:ascii="Book Antiqua" w:eastAsia="Book Antiqua" w:hAnsi="Book Antiqua" w:cs="Book Antiqua"/>
          <w:color w:val="000000"/>
        </w:rPr>
        <w:t xml:space="preserve"> 2014; </w:t>
      </w:r>
      <w:r w:rsidRPr="00A725BB">
        <w:rPr>
          <w:rFonts w:ascii="Book Antiqua" w:eastAsia="Book Antiqua" w:hAnsi="Book Antiqua" w:cs="Book Antiqua"/>
          <w:b/>
          <w:bCs/>
          <w:color w:val="000000"/>
        </w:rPr>
        <w:t>121</w:t>
      </w:r>
      <w:r w:rsidRPr="00A725BB">
        <w:rPr>
          <w:rFonts w:ascii="Book Antiqua" w:eastAsia="Book Antiqua" w:hAnsi="Book Antiqua" w:cs="Book Antiqua"/>
          <w:color w:val="000000"/>
        </w:rPr>
        <w:t>: 501-509 [PMID: 24932853 DOI: 10.1097/ALN.0000000000000338]</w:t>
      </w:r>
    </w:p>
    <w:p w14:paraId="6D01B540"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38 </w:t>
      </w:r>
      <w:r w:rsidRPr="00A725BB">
        <w:rPr>
          <w:rFonts w:ascii="Book Antiqua" w:eastAsia="Book Antiqua" w:hAnsi="Book Antiqua" w:cs="Book Antiqua"/>
          <w:b/>
          <w:bCs/>
          <w:color w:val="000000"/>
        </w:rPr>
        <w:t>Staves J,</w:t>
      </w:r>
      <w:r w:rsidRPr="00A725BB">
        <w:rPr>
          <w:rFonts w:ascii="Book Antiqua" w:eastAsia="Book Antiqua" w:hAnsi="Book Antiqua" w:cs="Book Antiqua"/>
          <w:color w:val="000000"/>
        </w:rPr>
        <w:t xml:space="preserve"> Davies A, Kay J, Pearson O, Johnson T, Murphy MF. Electronic remote blood issue: a combination of remote blood issue with a system for end-to-end electronic control of transfusion to provide a "total solution" for a safe and timely hospital blood transfusion service. </w:t>
      </w:r>
      <w:r w:rsidRPr="00A725BB">
        <w:rPr>
          <w:rFonts w:ascii="Book Antiqua" w:eastAsia="Book Antiqua" w:hAnsi="Book Antiqua" w:cs="Book Antiqua"/>
          <w:i/>
          <w:iCs/>
          <w:color w:val="000000"/>
        </w:rPr>
        <w:t>Transfusion</w:t>
      </w:r>
      <w:r w:rsidRPr="00A725BB">
        <w:rPr>
          <w:rFonts w:ascii="Book Antiqua" w:eastAsia="Book Antiqua" w:hAnsi="Book Antiqua" w:cs="Book Antiqua"/>
          <w:color w:val="000000"/>
        </w:rPr>
        <w:t xml:space="preserve"> 2008; </w:t>
      </w:r>
      <w:r w:rsidRPr="00A725BB">
        <w:rPr>
          <w:rFonts w:ascii="Book Antiqua" w:eastAsia="Book Antiqua" w:hAnsi="Book Antiqua" w:cs="Book Antiqua"/>
          <w:b/>
          <w:bCs/>
          <w:color w:val="000000"/>
        </w:rPr>
        <w:t>48</w:t>
      </w:r>
      <w:r w:rsidRPr="00A725BB">
        <w:rPr>
          <w:rFonts w:ascii="Book Antiqua" w:eastAsia="Book Antiqua" w:hAnsi="Book Antiqua" w:cs="Book Antiqua"/>
          <w:color w:val="000000"/>
        </w:rPr>
        <w:t>: 415-424 [PMID: 18067511 DOI: 10.1111/j.1537-2995.2007.01545.x]</w:t>
      </w:r>
    </w:p>
    <w:p w14:paraId="75934A37"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39 </w:t>
      </w:r>
      <w:r w:rsidRPr="00A725BB">
        <w:rPr>
          <w:rFonts w:ascii="Book Antiqua" w:eastAsia="Book Antiqua" w:hAnsi="Book Antiqua" w:cs="Book Antiqua"/>
          <w:b/>
          <w:bCs/>
          <w:color w:val="000000"/>
        </w:rPr>
        <w:t>White MJ,</w:t>
      </w:r>
      <w:r w:rsidRPr="00A725BB">
        <w:rPr>
          <w:rFonts w:ascii="Book Antiqua" w:eastAsia="Book Antiqua" w:hAnsi="Book Antiqua" w:cs="Book Antiqua"/>
          <w:color w:val="000000"/>
        </w:rPr>
        <w:t xml:space="preserve"> Hazard SW, 3rd, Frank SM, Boyd JS, Wick EC, Ness PM, </w:t>
      </w:r>
      <w:proofErr w:type="spellStart"/>
      <w:r w:rsidRPr="00A725BB">
        <w:rPr>
          <w:rFonts w:ascii="Book Antiqua" w:eastAsia="Book Antiqua" w:hAnsi="Book Antiqua" w:cs="Book Antiqua"/>
          <w:color w:val="000000"/>
        </w:rPr>
        <w:t>Tobian</w:t>
      </w:r>
      <w:proofErr w:type="spellEnd"/>
      <w:r w:rsidRPr="00A725BB">
        <w:rPr>
          <w:rFonts w:ascii="Book Antiqua" w:eastAsia="Book Antiqua" w:hAnsi="Book Antiqua" w:cs="Book Antiqua"/>
          <w:color w:val="000000"/>
        </w:rPr>
        <w:t xml:space="preserve"> AAR. The evolution of perioperative transfusion testing and blood ordering.</w:t>
      </w:r>
      <w:r w:rsidRPr="00A725BB">
        <w:rPr>
          <w:rFonts w:ascii="Book Antiqua" w:eastAsia="Book Antiqua" w:hAnsi="Book Antiqua" w:cs="Book Antiqua"/>
          <w:i/>
          <w:iCs/>
          <w:color w:val="000000"/>
        </w:rPr>
        <w:t xml:space="preserve"> </w:t>
      </w:r>
      <w:proofErr w:type="spellStart"/>
      <w:r w:rsidRPr="00A725BB">
        <w:rPr>
          <w:rFonts w:ascii="Book Antiqua" w:eastAsia="Book Antiqua" w:hAnsi="Book Antiqua" w:cs="Book Antiqua"/>
          <w:i/>
          <w:iCs/>
          <w:color w:val="000000"/>
        </w:rPr>
        <w:t>Anesth</w:t>
      </w:r>
      <w:proofErr w:type="spellEnd"/>
      <w:r w:rsidRPr="00A725BB">
        <w:rPr>
          <w:rFonts w:ascii="Book Antiqua" w:eastAsia="Book Antiqua" w:hAnsi="Book Antiqua" w:cs="Book Antiqua"/>
          <w:i/>
          <w:iCs/>
          <w:color w:val="000000"/>
        </w:rPr>
        <w:t xml:space="preserve"> </w:t>
      </w:r>
      <w:proofErr w:type="spellStart"/>
      <w:r w:rsidRPr="00A725BB">
        <w:rPr>
          <w:rFonts w:ascii="Book Antiqua" w:eastAsia="Book Antiqua" w:hAnsi="Book Antiqua" w:cs="Book Antiqua"/>
          <w:i/>
          <w:iCs/>
          <w:color w:val="000000"/>
        </w:rPr>
        <w:t>Analg</w:t>
      </w:r>
      <w:proofErr w:type="spellEnd"/>
      <w:r w:rsidRPr="00A725BB">
        <w:rPr>
          <w:rFonts w:ascii="Book Antiqua" w:eastAsia="Book Antiqua" w:hAnsi="Book Antiqua" w:cs="Book Antiqua"/>
          <w:color w:val="000000"/>
        </w:rPr>
        <w:t xml:space="preserve"> 2015; </w:t>
      </w:r>
      <w:r w:rsidRPr="00A725BB">
        <w:rPr>
          <w:rFonts w:ascii="Book Antiqua" w:eastAsia="Book Antiqua" w:hAnsi="Book Antiqua" w:cs="Book Antiqua"/>
          <w:b/>
          <w:bCs/>
          <w:color w:val="000000"/>
        </w:rPr>
        <w:t>120</w:t>
      </w:r>
      <w:r w:rsidRPr="00A725BB">
        <w:rPr>
          <w:rFonts w:ascii="Book Antiqua" w:eastAsia="Book Antiqua" w:hAnsi="Book Antiqua" w:cs="Book Antiqua"/>
          <w:color w:val="000000"/>
        </w:rPr>
        <w:t>: 1196-1203 [PMID: 25988630 DOI: 10.1213/ANE.0000000000000619]</w:t>
      </w:r>
    </w:p>
    <w:p w14:paraId="2E930476"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40 </w:t>
      </w:r>
      <w:r w:rsidRPr="00A725BB">
        <w:rPr>
          <w:rFonts w:ascii="Book Antiqua" w:eastAsia="Book Antiqua" w:hAnsi="Book Antiqua" w:cs="Book Antiqua"/>
          <w:b/>
          <w:bCs/>
          <w:color w:val="000000"/>
        </w:rPr>
        <w:t>Dutton RP,</w:t>
      </w:r>
      <w:r w:rsidRPr="00A725BB">
        <w:rPr>
          <w:rFonts w:ascii="Book Antiqua" w:eastAsia="Book Antiqua" w:hAnsi="Book Antiqua" w:cs="Book Antiqua"/>
          <w:color w:val="000000"/>
        </w:rPr>
        <w:t xml:space="preserve"> Shih D, Edelman BB, Hess J, </w:t>
      </w:r>
      <w:proofErr w:type="spellStart"/>
      <w:r w:rsidRPr="00A725BB">
        <w:rPr>
          <w:rFonts w:ascii="Book Antiqua" w:eastAsia="Book Antiqua" w:hAnsi="Book Antiqua" w:cs="Book Antiqua"/>
          <w:color w:val="000000"/>
        </w:rPr>
        <w:t>Scalea</w:t>
      </w:r>
      <w:proofErr w:type="spellEnd"/>
      <w:r w:rsidRPr="00A725BB">
        <w:rPr>
          <w:rFonts w:ascii="Book Antiqua" w:eastAsia="Book Antiqua" w:hAnsi="Book Antiqua" w:cs="Book Antiqua"/>
          <w:color w:val="000000"/>
        </w:rPr>
        <w:t xml:space="preserve"> TM. Safety of </w:t>
      </w:r>
      <w:proofErr w:type="spellStart"/>
      <w:r w:rsidRPr="00A725BB">
        <w:rPr>
          <w:rFonts w:ascii="Book Antiqua" w:eastAsia="Book Antiqua" w:hAnsi="Book Antiqua" w:cs="Book Antiqua"/>
          <w:color w:val="000000"/>
        </w:rPr>
        <w:t>uncrossmatched</w:t>
      </w:r>
      <w:proofErr w:type="spellEnd"/>
      <w:r w:rsidRPr="00A725BB">
        <w:rPr>
          <w:rFonts w:ascii="Book Antiqua" w:eastAsia="Book Antiqua" w:hAnsi="Book Antiqua" w:cs="Book Antiqua"/>
          <w:color w:val="000000"/>
        </w:rPr>
        <w:t xml:space="preserve"> type-O red cells for resuscitation from hemorrhagic shock. </w:t>
      </w:r>
      <w:r w:rsidRPr="00A725BB">
        <w:rPr>
          <w:rFonts w:ascii="Book Antiqua" w:eastAsia="Book Antiqua" w:hAnsi="Book Antiqua" w:cs="Book Antiqua"/>
          <w:i/>
          <w:iCs/>
          <w:color w:val="000000"/>
        </w:rPr>
        <w:t>J Trauma</w:t>
      </w:r>
      <w:r w:rsidRPr="00A725BB">
        <w:rPr>
          <w:rFonts w:ascii="Book Antiqua" w:eastAsia="Book Antiqua" w:hAnsi="Book Antiqua" w:cs="Book Antiqua"/>
          <w:color w:val="000000"/>
        </w:rPr>
        <w:t xml:space="preserve"> 2005; </w:t>
      </w:r>
      <w:r w:rsidRPr="00A725BB">
        <w:rPr>
          <w:rFonts w:ascii="Book Antiqua" w:eastAsia="Book Antiqua" w:hAnsi="Book Antiqua" w:cs="Book Antiqua"/>
          <w:b/>
          <w:bCs/>
          <w:color w:val="000000"/>
        </w:rPr>
        <w:t>59</w:t>
      </w:r>
      <w:r w:rsidRPr="00A725BB">
        <w:rPr>
          <w:rFonts w:ascii="Book Antiqua" w:eastAsia="Book Antiqua" w:hAnsi="Book Antiqua" w:cs="Book Antiqua"/>
          <w:color w:val="000000"/>
        </w:rPr>
        <w:t>: 1445-1449 [PMID: 16394920 DOI: 10.1097/01.ta.0000198373.97217.94]</w:t>
      </w:r>
    </w:p>
    <w:p w14:paraId="591EECAC"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 xml:space="preserve">41 </w:t>
      </w:r>
      <w:proofErr w:type="spellStart"/>
      <w:r w:rsidRPr="00A725BB">
        <w:rPr>
          <w:rFonts w:ascii="Book Antiqua" w:eastAsia="Book Antiqua" w:hAnsi="Book Antiqua" w:cs="Book Antiqua"/>
          <w:b/>
          <w:bCs/>
          <w:color w:val="000000"/>
        </w:rPr>
        <w:t>Flommersfeld</w:t>
      </w:r>
      <w:proofErr w:type="spellEnd"/>
      <w:r w:rsidRPr="00A725BB">
        <w:rPr>
          <w:rFonts w:ascii="Book Antiqua" w:eastAsia="Book Antiqua" w:hAnsi="Book Antiqua" w:cs="Book Antiqua"/>
          <w:b/>
          <w:bCs/>
          <w:color w:val="000000"/>
        </w:rPr>
        <w:t xml:space="preserve"> S</w:t>
      </w:r>
      <w:r w:rsidRPr="00A725BB">
        <w:rPr>
          <w:rFonts w:ascii="Book Antiqua" w:eastAsia="Book Antiqua" w:hAnsi="Book Antiqua" w:cs="Book Antiqua"/>
          <w:color w:val="000000"/>
        </w:rPr>
        <w:t xml:space="preserve">, Mand C, </w:t>
      </w:r>
      <w:proofErr w:type="spellStart"/>
      <w:r w:rsidRPr="00A725BB">
        <w:rPr>
          <w:rFonts w:ascii="Book Antiqua" w:eastAsia="Book Antiqua" w:hAnsi="Book Antiqua" w:cs="Book Antiqua"/>
          <w:color w:val="000000"/>
        </w:rPr>
        <w:t>Kühne</w:t>
      </w:r>
      <w:proofErr w:type="spellEnd"/>
      <w:r w:rsidRPr="00A725BB">
        <w:rPr>
          <w:rFonts w:ascii="Book Antiqua" w:eastAsia="Book Antiqua" w:hAnsi="Book Antiqua" w:cs="Book Antiqua"/>
          <w:color w:val="000000"/>
        </w:rPr>
        <w:t xml:space="preserve"> CA, </w:t>
      </w:r>
      <w:proofErr w:type="spellStart"/>
      <w:r w:rsidRPr="00A725BB">
        <w:rPr>
          <w:rFonts w:ascii="Book Antiqua" w:eastAsia="Book Antiqua" w:hAnsi="Book Antiqua" w:cs="Book Antiqua"/>
          <w:color w:val="000000"/>
        </w:rPr>
        <w:t>Bein</w:t>
      </w:r>
      <w:proofErr w:type="spellEnd"/>
      <w:r w:rsidRPr="00A725BB">
        <w:rPr>
          <w:rFonts w:ascii="Book Antiqua" w:eastAsia="Book Antiqua" w:hAnsi="Book Antiqua" w:cs="Book Antiqua"/>
          <w:color w:val="000000"/>
        </w:rPr>
        <w:t xml:space="preserve"> G, </w:t>
      </w:r>
      <w:proofErr w:type="spellStart"/>
      <w:r w:rsidRPr="00A725BB">
        <w:rPr>
          <w:rFonts w:ascii="Book Antiqua" w:eastAsia="Book Antiqua" w:hAnsi="Book Antiqua" w:cs="Book Antiqua"/>
          <w:color w:val="000000"/>
        </w:rPr>
        <w:t>Ruchholtz</w:t>
      </w:r>
      <w:proofErr w:type="spellEnd"/>
      <w:r w:rsidRPr="00A725BB">
        <w:rPr>
          <w:rFonts w:ascii="Book Antiqua" w:eastAsia="Book Antiqua" w:hAnsi="Book Antiqua" w:cs="Book Antiqua"/>
          <w:color w:val="000000"/>
        </w:rPr>
        <w:t xml:space="preserve"> S, Sachs UJ. Unmatched Type O </w:t>
      </w:r>
      <w:proofErr w:type="spellStart"/>
      <w:r w:rsidRPr="00A725BB">
        <w:rPr>
          <w:rFonts w:ascii="Book Antiqua" w:eastAsia="Book Antiqua" w:hAnsi="Book Antiqua" w:cs="Book Antiqua"/>
          <w:color w:val="000000"/>
        </w:rPr>
        <w:t>RhD</w:t>
      </w:r>
      <w:proofErr w:type="spellEnd"/>
      <w:r w:rsidRPr="00A725BB">
        <w:rPr>
          <w:rFonts w:ascii="Book Antiqua" w:eastAsia="Book Antiqua" w:hAnsi="Book Antiqua" w:cs="Book Antiqua"/>
          <w:color w:val="000000"/>
        </w:rPr>
        <w:t xml:space="preserve">+ Red Blood Cells in Multiple Injured Patients. </w:t>
      </w:r>
      <w:proofErr w:type="spellStart"/>
      <w:r w:rsidRPr="00A725BB">
        <w:rPr>
          <w:rFonts w:ascii="Book Antiqua" w:eastAsia="Book Antiqua" w:hAnsi="Book Antiqua" w:cs="Book Antiqua"/>
          <w:i/>
          <w:iCs/>
          <w:color w:val="000000"/>
        </w:rPr>
        <w:t>Transfus</w:t>
      </w:r>
      <w:proofErr w:type="spellEnd"/>
      <w:r w:rsidRPr="00A725BB">
        <w:rPr>
          <w:rFonts w:ascii="Book Antiqua" w:eastAsia="Book Antiqua" w:hAnsi="Book Antiqua" w:cs="Book Antiqua"/>
          <w:i/>
          <w:iCs/>
          <w:color w:val="000000"/>
        </w:rPr>
        <w:t xml:space="preserve"> Med </w:t>
      </w:r>
      <w:proofErr w:type="spellStart"/>
      <w:r w:rsidRPr="00A725BB">
        <w:rPr>
          <w:rFonts w:ascii="Book Antiqua" w:eastAsia="Book Antiqua" w:hAnsi="Book Antiqua" w:cs="Book Antiqua"/>
          <w:i/>
          <w:iCs/>
          <w:color w:val="000000"/>
        </w:rPr>
        <w:t>Hemother</w:t>
      </w:r>
      <w:proofErr w:type="spellEnd"/>
      <w:r w:rsidRPr="00A725BB">
        <w:rPr>
          <w:rFonts w:ascii="Book Antiqua" w:eastAsia="Book Antiqua" w:hAnsi="Book Antiqua" w:cs="Book Antiqua"/>
          <w:color w:val="000000"/>
        </w:rPr>
        <w:t xml:space="preserve"> 2018; </w:t>
      </w:r>
      <w:r w:rsidRPr="00A725BB">
        <w:rPr>
          <w:rFonts w:ascii="Book Antiqua" w:eastAsia="Book Antiqua" w:hAnsi="Book Antiqua" w:cs="Book Antiqua"/>
          <w:b/>
          <w:bCs/>
          <w:color w:val="000000"/>
        </w:rPr>
        <w:t>45</w:t>
      </w:r>
      <w:r w:rsidRPr="00A725BB">
        <w:rPr>
          <w:rFonts w:ascii="Book Antiqua" w:eastAsia="Book Antiqua" w:hAnsi="Book Antiqua" w:cs="Book Antiqua"/>
          <w:color w:val="000000"/>
        </w:rPr>
        <w:t>: 158-161 [PMID: 29928169 DOI: 10.1159/000485388]</w:t>
      </w:r>
    </w:p>
    <w:p w14:paraId="70F6ABDB" w14:textId="77777777" w:rsidR="00A77B3E" w:rsidRPr="00A725BB" w:rsidRDefault="00A77B3E" w:rsidP="00A725BB">
      <w:pPr>
        <w:adjustRightInd w:val="0"/>
        <w:snapToGrid w:val="0"/>
        <w:spacing w:line="360" w:lineRule="auto"/>
        <w:jc w:val="both"/>
        <w:rPr>
          <w:rFonts w:ascii="Book Antiqua" w:hAnsi="Book Antiqua"/>
        </w:rPr>
        <w:sectPr w:rsidR="00A77B3E" w:rsidRPr="00A725BB">
          <w:pgSz w:w="12240" w:h="15840"/>
          <w:pgMar w:top="1440" w:right="1440" w:bottom="1440" w:left="1440" w:header="720" w:footer="720" w:gutter="0"/>
          <w:cols w:space="720"/>
          <w:docGrid w:linePitch="360"/>
        </w:sectPr>
      </w:pPr>
    </w:p>
    <w:p w14:paraId="422BEDFD"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lastRenderedPageBreak/>
        <w:t>Footnotes</w:t>
      </w:r>
    </w:p>
    <w:p w14:paraId="2A55DF73"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Institutional review board statement: </w:t>
      </w:r>
      <w:r w:rsidRPr="00A725BB">
        <w:rPr>
          <w:rFonts w:ascii="Book Antiqua" w:eastAsia="Book Antiqua" w:hAnsi="Book Antiqua" w:cs="Book Antiqua"/>
          <w:color w:val="000000"/>
        </w:rPr>
        <w:t>Institutional review board approval was obtained for this study (IRB CR00016216).</w:t>
      </w:r>
    </w:p>
    <w:p w14:paraId="3B69FEC4" w14:textId="77777777" w:rsidR="00A77B3E" w:rsidRPr="00A725BB" w:rsidRDefault="00A77B3E" w:rsidP="00A725BB">
      <w:pPr>
        <w:adjustRightInd w:val="0"/>
        <w:snapToGrid w:val="0"/>
        <w:spacing w:line="360" w:lineRule="auto"/>
        <w:jc w:val="both"/>
        <w:rPr>
          <w:rFonts w:ascii="Book Antiqua" w:hAnsi="Book Antiqua"/>
        </w:rPr>
      </w:pPr>
    </w:p>
    <w:p w14:paraId="6C5F83AF"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Conflict-of-interest statement: </w:t>
      </w:r>
      <w:proofErr w:type="spellStart"/>
      <w:r w:rsidRPr="00A725BB">
        <w:rPr>
          <w:rFonts w:ascii="Book Antiqua" w:eastAsia="Book Antiqua" w:hAnsi="Book Antiqua" w:cs="Book Antiqua"/>
          <w:color w:val="000000"/>
        </w:rPr>
        <w:t>Hasenboehler</w:t>
      </w:r>
      <w:proofErr w:type="spellEnd"/>
      <w:r w:rsidRPr="00A725BB">
        <w:rPr>
          <w:rFonts w:ascii="Book Antiqua" w:eastAsia="Book Antiqua" w:hAnsi="Book Antiqua" w:cs="Book Antiqua"/>
          <w:color w:val="000000"/>
        </w:rPr>
        <w:t xml:space="preserve"> EA is a paid consultant for </w:t>
      </w:r>
      <w:proofErr w:type="spellStart"/>
      <w:r w:rsidRPr="00A725BB">
        <w:rPr>
          <w:rFonts w:ascii="Book Antiqua" w:eastAsia="Book Antiqua" w:hAnsi="Book Antiqua" w:cs="Book Antiqua"/>
          <w:color w:val="000000"/>
        </w:rPr>
        <w:t>DePuy</w:t>
      </w:r>
      <w:proofErr w:type="spellEnd"/>
      <w:r w:rsidRPr="00A725BB">
        <w:rPr>
          <w:rFonts w:ascii="Book Antiqua" w:eastAsia="Book Antiqua" w:hAnsi="Book Antiqua" w:cs="Book Antiqua"/>
          <w:color w:val="000000"/>
        </w:rPr>
        <w:t xml:space="preserve"> Synthes Trauma. He receives grant support as well as a grant for a research fellow from </w:t>
      </w:r>
      <w:proofErr w:type="spellStart"/>
      <w:r w:rsidRPr="00A725BB">
        <w:rPr>
          <w:rFonts w:ascii="Book Antiqua" w:eastAsia="Book Antiqua" w:hAnsi="Book Antiqua" w:cs="Book Antiqua"/>
          <w:color w:val="000000"/>
        </w:rPr>
        <w:t>DePuy</w:t>
      </w:r>
      <w:proofErr w:type="spellEnd"/>
      <w:r w:rsidRPr="00A725BB">
        <w:rPr>
          <w:rFonts w:ascii="Book Antiqua" w:eastAsia="Book Antiqua" w:hAnsi="Book Antiqua" w:cs="Book Antiqua"/>
          <w:color w:val="000000"/>
        </w:rPr>
        <w:t xml:space="preserve"> Synthes Trauma. He is also a paid lecturer and faculty for AO North America Trauma and has stock ownership in Summit Med Ventures. Other authors have no conflict-of-interest to disclose.</w:t>
      </w:r>
    </w:p>
    <w:p w14:paraId="274BD2A7" w14:textId="77777777" w:rsidR="00A77B3E" w:rsidRPr="00A725BB" w:rsidRDefault="00A77B3E" w:rsidP="00A725BB">
      <w:pPr>
        <w:adjustRightInd w:val="0"/>
        <w:snapToGrid w:val="0"/>
        <w:spacing w:line="360" w:lineRule="auto"/>
        <w:jc w:val="both"/>
        <w:rPr>
          <w:rFonts w:ascii="Book Antiqua" w:hAnsi="Book Antiqua"/>
        </w:rPr>
      </w:pPr>
    </w:p>
    <w:p w14:paraId="22DD10BC"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Data sharing statement: </w:t>
      </w:r>
      <w:r w:rsidRPr="00A725BB">
        <w:rPr>
          <w:rFonts w:ascii="Book Antiqua" w:eastAsia="Book Antiqua" w:hAnsi="Book Antiqua" w:cs="Book Antiqua"/>
          <w:color w:val="000000"/>
        </w:rPr>
        <w:t>No additional data are available.</w:t>
      </w:r>
    </w:p>
    <w:p w14:paraId="15D7BB64" w14:textId="77777777" w:rsidR="00A77B3E" w:rsidRPr="00A725BB" w:rsidRDefault="00A77B3E" w:rsidP="00A725BB">
      <w:pPr>
        <w:adjustRightInd w:val="0"/>
        <w:snapToGrid w:val="0"/>
        <w:spacing w:line="360" w:lineRule="auto"/>
        <w:jc w:val="both"/>
        <w:rPr>
          <w:rFonts w:ascii="Book Antiqua" w:hAnsi="Book Antiqua"/>
        </w:rPr>
      </w:pPr>
    </w:p>
    <w:p w14:paraId="103C9C8F"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bCs/>
          <w:color w:val="000000"/>
        </w:rPr>
        <w:t xml:space="preserve">Open-Access: </w:t>
      </w:r>
      <w:r w:rsidRPr="00A725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25BB">
        <w:rPr>
          <w:rFonts w:ascii="Book Antiqua" w:eastAsia="Book Antiqua" w:hAnsi="Book Antiqua" w:cs="Book Antiqua"/>
          <w:color w:val="000000"/>
        </w:rPr>
        <w:t>NonCommercial</w:t>
      </w:r>
      <w:proofErr w:type="spellEnd"/>
      <w:r w:rsidRPr="00A725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4EDA64" w14:textId="77777777" w:rsidR="00A77B3E" w:rsidRPr="00A725BB" w:rsidRDefault="00A77B3E" w:rsidP="00A725BB">
      <w:pPr>
        <w:adjustRightInd w:val="0"/>
        <w:snapToGrid w:val="0"/>
        <w:spacing w:line="360" w:lineRule="auto"/>
        <w:jc w:val="both"/>
        <w:rPr>
          <w:rFonts w:ascii="Book Antiqua" w:hAnsi="Book Antiqua"/>
        </w:rPr>
      </w:pPr>
    </w:p>
    <w:p w14:paraId="6C1CE9E5" w14:textId="02809D85"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 xml:space="preserve">Manuscript source: </w:t>
      </w:r>
      <w:r w:rsidRPr="00A725BB">
        <w:rPr>
          <w:rFonts w:ascii="Book Antiqua" w:eastAsia="Book Antiqua" w:hAnsi="Book Antiqua" w:cs="Book Antiqua"/>
          <w:color w:val="000000"/>
        </w:rPr>
        <w:t xml:space="preserve">Unsolicited </w:t>
      </w:r>
      <w:r w:rsidR="00A725BB" w:rsidRPr="00A725BB">
        <w:rPr>
          <w:rFonts w:ascii="Book Antiqua" w:eastAsia="Book Antiqua" w:hAnsi="Book Antiqua" w:cs="Book Antiqua"/>
          <w:color w:val="000000"/>
        </w:rPr>
        <w:t>m</w:t>
      </w:r>
      <w:r w:rsidRPr="00A725BB">
        <w:rPr>
          <w:rFonts w:ascii="Book Antiqua" w:eastAsia="Book Antiqua" w:hAnsi="Book Antiqua" w:cs="Book Antiqua"/>
          <w:color w:val="000000"/>
        </w:rPr>
        <w:t>anuscript</w:t>
      </w:r>
    </w:p>
    <w:p w14:paraId="2C45DF8B" w14:textId="77777777" w:rsidR="00A77B3E" w:rsidRPr="00A725BB" w:rsidRDefault="00A77B3E" w:rsidP="00A725BB">
      <w:pPr>
        <w:adjustRightInd w:val="0"/>
        <w:snapToGrid w:val="0"/>
        <w:spacing w:line="360" w:lineRule="auto"/>
        <w:jc w:val="both"/>
        <w:rPr>
          <w:rFonts w:ascii="Book Antiqua" w:hAnsi="Book Antiqua"/>
        </w:rPr>
      </w:pPr>
    </w:p>
    <w:p w14:paraId="0F9DA832"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 xml:space="preserve">Peer-review started: </w:t>
      </w:r>
      <w:r w:rsidRPr="00A725BB">
        <w:rPr>
          <w:rFonts w:ascii="Book Antiqua" w:eastAsia="Book Antiqua" w:hAnsi="Book Antiqua" w:cs="Book Antiqua"/>
          <w:color w:val="000000"/>
        </w:rPr>
        <w:t>January 16, 2021</w:t>
      </w:r>
    </w:p>
    <w:p w14:paraId="2E4A51B1"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 xml:space="preserve">First decision: </w:t>
      </w:r>
      <w:r w:rsidRPr="00A725BB">
        <w:rPr>
          <w:rFonts w:ascii="Book Antiqua" w:eastAsia="Book Antiqua" w:hAnsi="Book Antiqua" w:cs="Book Antiqua"/>
          <w:color w:val="000000"/>
        </w:rPr>
        <w:t>January 24, 2021</w:t>
      </w:r>
    </w:p>
    <w:p w14:paraId="742CD0BC"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 xml:space="preserve">Article in press: </w:t>
      </w:r>
    </w:p>
    <w:p w14:paraId="7650A98A" w14:textId="77777777" w:rsidR="00A77B3E" w:rsidRPr="00A725BB" w:rsidRDefault="00A77B3E" w:rsidP="00A725BB">
      <w:pPr>
        <w:adjustRightInd w:val="0"/>
        <w:snapToGrid w:val="0"/>
        <w:spacing w:line="360" w:lineRule="auto"/>
        <w:jc w:val="both"/>
        <w:rPr>
          <w:rFonts w:ascii="Book Antiqua" w:hAnsi="Book Antiqua"/>
        </w:rPr>
      </w:pPr>
    </w:p>
    <w:p w14:paraId="0F850D0B"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 xml:space="preserve">Specialty type: </w:t>
      </w:r>
      <w:r w:rsidRPr="00A725BB">
        <w:rPr>
          <w:rFonts w:ascii="Book Antiqua" w:eastAsia="Book Antiqua" w:hAnsi="Book Antiqua" w:cs="Book Antiqua"/>
          <w:color w:val="000000"/>
        </w:rPr>
        <w:t>Orthopedics</w:t>
      </w:r>
    </w:p>
    <w:p w14:paraId="7E5226D9"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 xml:space="preserve">Country/Territory of origin: </w:t>
      </w:r>
      <w:r w:rsidRPr="00A725BB">
        <w:rPr>
          <w:rFonts w:ascii="Book Antiqua" w:eastAsia="Book Antiqua" w:hAnsi="Book Antiqua" w:cs="Book Antiqua"/>
          <w:color w:val="000000"/>
        </w:rPr>
        <w:t>United States</w:t>
      </w:r>
    </w:p>
    <w:p w14:paraId="30A95A74"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t>Peer-review report’s scientific quality classification</w:t>
      </w:r>
    </w:p>
    <w:p w14:paraId="6BFFE549"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Grade A (Excellent): 0</w:t>
      </w:r>
    </w:p>
    <w:p w14:paraId="530C16DB"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Grade B (Very good): 0</w:t>
      </w:r>
    </w:p>
    <w:p w14:paraId="11D5BAC9"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lastRenderedPageBreak/>
        <w:t>Grade C (Good): C</w:t>
      </w:r>
    </w:p>
    <w:p w14:paraId="4F6B61B9"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Grade D (Fair): 0</w:t>
      </w:r>
    </w:p>
    <w:p w14:paraId="6590D297"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color w:val="000000"/>
        </w:rPr>
        <w:t>Grade E (Poor): 0</w:t>
      </w:r>
    </w:p>
    <w:p w14:paraId="7FEBE9A1" w14:textId="77777777" w:rsidR="00A77B3E" w:rsidRPr="00A725BB" w:rsidRDefault="00A77B3E" w:rsidP="00A725BB">
      <w:pPr>
        <w:adjustRightInd w:val="0"/>
        <w:snapToGrid w:val="0"/>
        <w:spacing w:line="360" w:lineRule="auto"/>
        <w:jc w:val="both"/>
        <w:rPr>
          <w:rFonts w:ascii="Book Antiqua" w:hAnsi="Book Antiqua"/>
        </w:rPr>
      </w:pPr>
    </w:p>
    <w:p w14:paraId="186ED295" w14:textId="77777777" w:rsidR="00A77B3E" w:rsidRDefault="00944988" w:rsidP="00A725BB">
      <w:pPr>
        <w:adjustRightInd w:val="0"/>
        <w:snapToGrid w:val="0"/>
        <w:spacing w:line="360" w:lineRule="auto"/>
        <w:jc w:val="both"/>
        <w:rPr>
          <w:rFonts w:ascii="Book Antiqua" w:eastAsia="Book Antiqua" w:hAnsi="Book Antiqua" w:cs="Book Antiqua"/>
          <w:b/>
          <w:color w:val="000000"/>
        </w:rPr>
      </w:pPr>
      <w:r w:rsidRPr="00A725BB">
        <w:rPr>
          <w:rFonts w:ascii="Book Antiqua" w:eastAsia="Book Antiqua" w:hAnsi="Book Antiqua" w:cs="Book Antiqua"/>
          <w:b/>
          <w:color w:val="000000"/>
        </w:rPr>
        <w:t xml:space="preserve">P-Reviewer: </w:t>
      </w:r>
      <w:r w:rsidRPr="00A725BB">
        <w:rPr>
          <w:rFonts w:ascii="Book Antiqua" w:eastAsia="Book Antiqua" w:hAnsi="Book Antiqua" w:cs="Book Antiqua"/>
          <w:color w:val="000000"/>
        </w:rPr>
        <w:t>Zhu CT</w:t>
      </w:r>
      <w:r w:rsidRPr="00A725BB">
        <w:rPr>
          <w:rFonts w:ascii="Book Antiqua" w:eastAsia="Book Antiqua" w:hAnsi="Book Antiqua" w:cs="Book Antiqua"/>
          <w:b/>
          <w:color w:val="000000"/>
        </w:rPr>
        <w:t xml:space="preserve"> S-Editor: </w:t>
      </w:r>
      <w:r w:rsidRPr="00A725BB">
        <w:rPr>
          <w:rFonts w:ascii="Book Antiqua" w:eastAsia="Book Antiqua" w:hAnsi="Book Antiqua" w:cs="Book Antiqua"/>
          <w:color w:val="000000"/>
        </w:rPr>
        <w:t>Liu M</w:t>
      </w:r>
      <w:r w:rsidRPr="00A725BB">
        <w:rPr>
          <w:rFonts w:ascii="Book Antiqua" w:eastAsia="Book Antiqua" w:hAnsi="Book Antiqua" w:cs="Book Antiqua"/>
          <w:b/>
          <w:color w:val="000000"/>
        </w:rPr>
        <w:t xml:space="preserve"> L-Editor:  P-Editor: </w:t>
      </w:r>
    </w:p>
    <w:p w14:paraId="259CE4BE" w14:textId="77777777" w:rsidR="00E80A3B" w:rsidRPr="00A725BB" w:rsidRDefault="00E80A3B" w:rsidP="00A725BB">
      <w:pPr>
        <w:adjustRightInd w:val="0"/>
        <w:snapToGrid w:val="0"/>
        <w:spacing w:line="360" w:lineRule="auto"/>
        <w:jc w:val="both"/>
        <w:rPr>
          <w:rFonts w:ascii="Book Antiqua" w:hAnsi="Book Antiqua"/>
        </w:rPr>
        <w:sectPr w:rsidR="00E80A3B" w:rsidRPr="00A725BB">
          <w:pgSz w:w="12240" w:h="15840"/>
          <w:pgMar w:top="1440" w:right="1440" w:bottom="1440" w:left="1440" w:header="720" w:footer="720" w:gutter="0"/>
          <w:cols w:space="720"/>
          <w:docGrid w:linePitch="360"/>
        </w:sectPr>
      </w:pPr>
    </w:p>
    <w:p w14:paraId="6E9152CD" w14:textId="77777777" w:rsidR="00A77B3E" w:rsidRPr="00A725BB" w:rsidRDefault="00944988" w:rsidP="00A725BB">
      <w:pPr>
        <w:adjustRightInd w:val="0"/>
        <w:snapToGrid w:val="0"/>
        <w:spacing w:line="360" w:lineRule="auto"/>
        <w:jc w:val="both"/>
        <w:rPr>
          <w:rFonts w:ascii="Book Antiqua" w:hAnsi="Book Antiqua"/>
        </w:rPr>
      </w:pPr>
      <w:r w:rsidRPr="00A725BB">
        <w:rPr>
          <w:rFonts w:ascii="Book Antiqua" w:eastAsia="Book Antiqua" w:hAnsi="Book Antiqua" w:cs="Book Antiqua"/>
          <w:b/>
          <w:color w:val="000000"/>
        </w:rPr>
        <w:lastRenderedPageBreak/>
        <w:t>Figure Legends</w:t>
      </w:r>
    </w:p>
    <w:p w14:paraId="14E5BA74" w14:textId="77777777" w:rsidR="00A725BB" w:rsidRPr="00A725BB" w:rsidRDefault="00A725BB" w:rsidP="00A725BB">
      <w:pPr>
        <w:adjustRightInd w:val="0"/>
        <w:snapToGrid w:val="0"/>
        <w:spacing w:line="360" w:lineRule="auto"/>
        <w:jc w:val="both"/>
        <w:rPr>
          <w:rFonts w:ascii="Book Antiqua" w:eastAsia="Book Antiqua" w:hAnsi="Book Antiqua" w:cs="Book Antiqua"/>
          <w:b/>
          <w:color w:val="000000"/>
        </w:rPr>
      </w:pPr>
      <w:r w:rsidRPr="00A725BB">
        <w:rPr>
          <w:rFonts w:ascii="Book Antiqua" w:eastAsia="Book Antiqua" w:hAnsi="Book Antiqua" w:cs="Book Antiqua"/>
          <w:b/>
          <w:noProof/>
          <w:color w:val="000000"/>
          <w:lang w:eastAsia="zh-CN"/>
        </w:rPr>
        <w:drawing>
          <wp:inline distT="0" distB="0" distL="0" distR="0" wp14:anchorId="26D87371" wp14:editId="58D19090">
            <wp:extent cx="3942916" cy="29765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0091" cy="2981971"/>
                    </a:xfrm>
                    <a:prstGeom prst="rect">
                      <a:avLst/>
                    </a:prstGeom>
                    <a:noFill/>
                  </pic:spPr>
                </pic:pic>
              </a:graphicData>
            </a:graphic>
          </wp:inline>
        </w:drawing>
      </w:r>
    </w:p>
    <w:p w14:paraId="4C2EA2BF" w14:textId="77777777" w:rsidR="00A725BB" w:rsidRPr="00A725BB" w:rsidRDefault="00A725BB" w:rsidP="00A725BB">
      <w:pPr>
        <w:adjustRightInd w:val="0"/>
        <w:snapToGrid w:val="0"/>
        <w:spacing w:line="360" w:lineRule="auto"/>
        <w:jc w:val="both"/>
        <w:rPr>
          <w:rFonts w:ascii="Book Antiqua" w:hAnsi="Book Antiqua"/>
          <w:b/>
          <w:bCs/>
        </w:rPr>
      </w:pPr>
      <w:r w:rsidRPr="00A725BB">
        <w:rPr>
          <w:rFonts w:ascii="Book Antiqua" w:hAnsi="Book Antiqua"/>
          <w:b/>
          <w:bCs/>
        </w:rPr>
        <w:t xml:space="preserve">Figure 1 Percentage of patients transfused ≥ 1 </w:t>
      </w:r>
      <w:r w:rsidRPr="00A725BB">
        <w:rPr>
          <w:rFonts w:ascii="Book Antiqua" w:eastAsia="Book Antiqua" w:hAnsi="Book Antiqua" w:cs="Book Antiqua"/>
          <w:b/>
          <w:bCs/>
          <w:color w:val="000000"/>
        </w:rPr>
        <w:t>red blood cell</w:t>
      </w:r>
      <w:r w:rsidRPr="00A725BB">
        <w:rPr>
          <w:rFonts w:ascii="Book Antiqua" w:hAnsi="Book Antiqua"/>
          <w:b/>
          <w:bCs/>
        </w:rPr>
        <w:t xml:space="preserve"> units in the pre (</w:t>
      </w:r>
      <w:r w:rsidRPr="00A725BB">
        <w:rPr>
          <w:rFonts w:ascii="Book Antiqua" w:hAnsi="Book Antiqua"/>
          <w:b/>
          <w:bCs/>
          <w:i/>
          <w:iCs/>
        </w:rPr>
        <w:t>n</w:t>
      </w:r>
      <w:r w:rsidRPr="00A725BB">
        <w:rPr>
          <w:rFonts w:ascii="Book Antiqua" w:hAnsi="Book Antiqua"/>
          <w:b/>
          <w:bCs/>
        </w:rPr>
        <w:t xml:space="preserve"> = 201) and post (</w:t>
      </w:r>
      <w:r w:rsidRPr="00A725BB">
        <w:rPr>
          <w:rFonts w:ascii="Book Antiqua" w:hAnsi="Book Antiqua"/>
          <w:b/>
          <w:bCs/>
          <w:i/>
          <w:iCs/>
        </w:rPr>
        <w:t xml:space="preserve">n </w:t>
      </w:r>
      <w:r w:rsidRPr="00A725BB">
        <w:rPr>
          <w:rFonts w:ascii="Book Antiqua" w:hAnsi="Book Antiqua"/>
          <w:b/>
          <w:bCs/>
        </w:rPr>
        <w:t xml:space="preserve">= 297) </w:t>
      </w:r>
      <w:r w:rsidRPr="00A725BB">
        <w:rPr>
          <w:rFonts w:ascii="Book Antiqua" w:eastAsia="Book Antiqua" w:hAnsi="Book Antiqua" w:cs="Book Antiqua"/>
          <w:b/>
          <w:bCs/>
          <w:color w:val="000000"/>
        </w:rPr>
        <w:t>patient blood management</w:t>
      </w:r>
      <w:r w:rsidRPr="00A725BB">
        <w:rPr>
          <w:rFonts w:ascii="Book Antiqua" w:hAnsi="Book Antiqua"/>
          <w:b/>
          <w:bCs/>
        </w:rPr>
        <w:t xml:space="preserve"> cohorts stratified by pre-operative hemoglobin</w:t>
      </w:r>
      <w:r w:rsidRPr="00A725BB">
        <w:rPr>
          <w:rFonts w:ascii="Book Antiqua" w:hAnsi="Book Antiqua"/>
          <w:b/>
          <w:bCs/>
          <w:lang w:eastAsia="zh-CN"/>
        </w:rPr>
        <w:t xml:space="preserve">. </w:t>
      </w:r>
      <w:r w:rsidRPr="00A725BB">
        <w:rPr>
          <w:rFonts w:ascii="Book Antiqua" w:hAnsi="Book Antiqua"/>
        </w:rPr>
        <w:t xml:space="preserve">RBC: Red blood cell; PBM: </w:t>
      </w:r>
      <w:r w:rsidRPr="00A725BB">
        <w:rPr>
          <w:rFonts w:ascii="Book Antiqua" w:eastAsia="Book Antiqua" w:hAnsi="Book Antiqua" w:cs="Book Antiqua"/>
          <w:color w:val="000000"/>
        </w:rPr>
        <w:t>Patient blood management.</w:t>
      </w:r>
    </w:p>
    <w:p w14:paraId="3426527A"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hAnsi="Book Antiqua"/>
        </w:rPr>
        <w:br w:type="page"/>
      </w:r>
      <w:r w:rsidRPr="00A725BB">
        <w:rPr>
          <w:rFonts w:ascii="Book Antiqua" w:hAnsi="Book Antiqua"/>
          <w:noProof/>
          <w:lang w:eastAsia="zh-CN"/>
        </w:rPr>
        <w:lastRenderedPageBreak/>
        <w:drawing>
          <wp:inline distT="0" distB="0" distL="0" distR="0" wp14:anchorId="7AA3CE55" wp14:editId="792F93E7">
            <wp:extent cx="4722663" cy="3675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2112" cy="3683095"/>
                    </a:xfrm>
                    <a:prstGeom prst="rect">
                      <a:avLst/>
                    </a:prstGeom>
                    <a:noFill/>
                  </pic:spPr>
                </pic:pic>
              </a:graphicData>
            </a:graphic>
          </wp:inline>
        </w:drawing>
      </w:r>
    </w:p>
    <w:p w14:paraId="3D36EB09" w14:textId="77777777" w:rsidR="00A725BB" w:rsidRPr="00A725BB" w:rsidRDefault="00A725BB" w:rsidP="00A725BB">
      <w:pPr>
        <w:adjustRightInd w:val="0"/>
        <w:snapToGrid w:val="0"/>
        <w:spacing w:line="360" w:lineRule="auto"/>
        <w:jc w:val="both"/>
        <w:rPr>
          <w:rFonts w:ascii="Book Antiqua" w:hAnsi="Book Antiqua"/>
        </w:rPr>
      </w:pPr>
      <w:r w:rsidRPr="00A725BB">
        <w:rPr>
          <w:rFonts w:ascii="Book Antiqua" w:hAnsi="Book Antiqua"/>
          <w:b/>
          <w:bCs/>
        </w:rPr>
        <w:t>Figure 2 Percentage of patients transfused &gt; 1 unit red blood cell in the pre (</w:t>
      </w:r>
      <w:r w:rsidRPr="00A725BB">
        <w:rPr>
          <w:rFonts w:ascii="Book Antiqua" w:hAnsi="Book Antiqua"/>
          <w:b/>
          <w:bCs/>
          <w:i/>
          <w:iCs/>
        </w:rPr>
        <w:t>n</w:t>
      </w:r>
      <w:r w:rsidRPr="00A725BB">
        <w:rPr>
          <w:rFonts w:ascii="Book Antiqua" w:hAnsi="Book Antiqua"/>
          <w:b/>
          <w:bCs/>
        </w:rPr>
        <w:t xml:space="preserve"> = 201) and post (</w:t>
      </w:r>
      <w:r w:rsidRPr="00A725BB">
        <w:rPr>
          <w:rFonts w:ascii="Book Antiqua" w:hAnsi="Book Antiqua"/>
          <w:b/>
          <w:bCs/>
          <w:i/>
          <w:iCs/>
        </w:rPr>
        <w:t>n</w:t>
      </w:r>
      <w:r w:rsidRPr="00A725BB">
        <w:rPr>
          <w:rFonts w:ascii="Book Antiqua" w:hAnsi="Book Antiqua"/>
          <w:b/>
          <w:bCs/>
        </w:rPr>
        <w:t xml:space="preserve"> = 297) patient blood management cohorts stratified by pre-operative hemoglobin. </w:t>
      </w:r>
      <w:r w:rsidRPr="00A725BB">
        <w:rPr>
          <w:rFonts w:ascii="Book Antiqua" w:hAnsi="Book Antiqua"/>
        </w:rPr>
        <w:t xml:space="preserve">RBC: Red blood cell; PBM: </w:t>
      </w:r>
      <w:r w:rsidRPr="00A725BB">
        <w:rPr>
          <w:rFonts w:ascii="Book Antiqua" w:eastAsia="Book Antiqua" w:hAnsi="Book Antiqua" w:cs="Book Antiqua"/>
          <w:color w:val="000000"/>
        </w:rPr>
        <w:t>Patient blood management.</w:t>
      </w:r>
    </w:p>
    <w:p w14:paraId="7EE39481" w14:textId="77777777" w:rsidR="00A725BB" w:rsidRPr="00A725BB" w:rsidRDefault="00A725BB" w:rsidP="00A725BB">
      <w:pPr>
        <w:adjustRightInd w:val="0"/>
        <w:snapToGrid w:val="0"/>
        <w:spacing w:line="360" w:lineRule="auto"/>
        <w:jc w:val="both"/>
        <w:rPr>
          <w:rFonts w:ascii="Book Antiqua" w:hAnsi="Book Antiqua"/>
          <w:b/>
        </w:rPr>
      </w:pPr>
      <w:r w:rsidRPr="00A725BB">
        <w:rPr>
          <w:rFonts w:ascii="Book Antiqua" w:hAnsi="Book Antiqua"/>
        </w:rPr>
        <w:br w:type="page"/>
      </w:r>
      <w:r w:rsidRPr="00A725BB">
        <w:rPr>
          <w:rFonts w:ascii="Book Antiqua" w:hAnsi="Book Antiqua"/>
          <w:b/>
        </w:rPr>
        <w:lastRenderedPageBreak/>
        <w:t xml:space="preserve">Table 1 Preoperative characteristics of 498 hip fracture cases before </w:t>
      </w:r>
      <w:r w:rsidRPr="00A725BB">
        <w:rPr>
          <w:rFonts w:ascii="Book Antiqua" w:hAnsi="Book Antiqua"/>
          <w:b/>
          <w:i/>
          <w:iCs/>
        </w:rPr>
        <w:t>vs</w:t>
      </w:r>
      <w:r w:rsidRPr="00A725BB">
        <w:rPr>
          <w:rFonts w:ascii="Book Antiqua" w:hAnsi="Book Antiqua"/>
          <w:b/>
        </w:rPr>
        <w:t xml:space="preserve"> after implementation of a patient blood management program, </w:t>
      </w:r>
      <w:r w:rsidRPr="00A725BB">
        <w:rPr>
          <w:rFonts w:ascii="Book Antiqua" w:hAnsi="Book Antiqua"/>
          <w:b/>
          <w:i/>
          <w:iCs/>
        </w:rPr>
        <w:t>n</w:t>
      </w:r>
      <w:r w:rsidRPr="00A725BB">
        <w:rPr>
          <w:rFonts w:ascii="Book Antiqua" w:hAnsi="Book Antiqua"/>
          <w:b/>
        </w:rPr>
        <w:t xml:space="preserve"> (%)</w:t>
      </w:r>
    </w:p>
    <w:tbl>
      <w:tblPr>
        <w:tblW w:w="9805" w:type="dxa"/>
        <w:tblBorders>
          <w:top w:val="single" w:sz="4" w:space="0" w:color="auto"/>
          <w:bottom w:val="single" w:sz="4" w:space="0" w:color="auto"/>
        </w:tblBorders>
        <w:tblLayout w:type="fixed"/>
        <w:tblLook w:val="04A0" w:firstRow="1" w:lastRow="0" w:firstColumn="1" w:lastColumn="0" w:noHBand="0" w:noVBand="1"/>
      </w:tblPr>
      <w:tblGrid>
        <w:gridCol w:w="3235"/>
        <w:gridCol w:w="1350"/>
        <w:gridCol w:w="1260"/>
        <w:gridCol w:w="1530"/>
        <w:gridCol w:w="1350"/>
        <w:gridCol w:w="1080"/>
      </w:tblGrid>
      <w:tr w:rsidR="00A725BB" w:rsidRPr="00A725BB" w14:paraId="0014C86E" w14:textId="77777777" w:rsidTr="00ED25FF">
        <w:trPr>
          <w:trHeight w:val="300"/>
        </w:trPr>
        <w:tc>
          <w:tcPr>
            <w:tcW w:w="3235" w:type="dxa"/>
            <w:vMerge w:val="restart"/>
            <w:tcBorders>
              <w:top w:val="single" w:sz="4" w:space="0" w:color="auto"/>
              <w:bottom w:val="single" w:sz="4" w:space="0" w:color="auto"/>
            </w:tcBorders>
            <w:shd w:val="clear" w:color="auto" w:fill="auto"/>
            <w:noWrap/>
          </w:tcPr>
          <w:p w14:paraId="7BC509B4" w14:textId="77777777" w:rsidR="00A725BB" w:rsidRPr="00A725BB" w:rsidRDefault="00A725BB" w:rsidP="00A725BB">
            <w:pPr>
              <w:adjustRightInd w:val="0"/>
              <w:snapToGrid w:val="0"/>
              <w:spacing w:line="360" w:lineRule="auto"/>
              <w:jc w:val="both"/>
              <w:rPr>
                <w:rFonts w:ascii="Book Antiqua" w:eastAsia="Times New Roman" w:hAnsi="Book Antiqua"/>
                <w:b/>
                <w:bCs/>
                <w:color w:val="000000"/>
              </w:rPr>
            </w:pPr>
            <w:r w:rsidRPr="00A725BB">
              <w:rPr>
                <w:rFonts w:ascii="Book Antiqua" w:eastAsia="Times New Roman" w:hAnsi="Book Antiqua"/>
                <w:b/>
                <w:bCs/>
                <w:color w:val="000000"/>
              </w:rPr>
              <w:t>Variable</w:t>
            </w:r>
          </w:p>
        </w:tc>
        <w:tc>
          <w:tcPr>
            <w:tcW w:w="2610" w:type="dxa"/>
            <w:gridSpan w:val="2"/>
            <w:tcBorders>
              <w:top w:val="single" w:sz="4" w:space="0" w:color="auto"/>
              <w:bottom w:val="single" w:sz="4" w:space="0" w:color="auto"/>
            </w:tcBorders>
            <w:shd w:val="clear" w:color="auto" w:fill="auto"/>
            <w:noWrap/>
          </w:tcPr>
          <w:p w14:paraId="51122D82" w14:textId="7E1ADC6A" w:rsidR="00A725BB" w:rsidRPr="00A725BB" w:rsidRDefault="00A725BB" w:rsidP="00A725BB">
            <w:pPr>
              <w:adjustRightInd w:val="0"/>
              <w:snapToGrid w:val="0"/>
              <w:spacing w:line="360" w:lineRule="auto"/>
              <w:jc w:val="both"/>
              <w:rPr>
                <w:rFonts w:ascii="Book Antiqua" w:eastAsia="Times New Roman" w:hAnsi="Book Antiqua"/>
                <w:b/>
                <w:bCs/>
                <w:color w:val="000000"/>
              </w:rPr>
            </w:pPr>
            <w:r w:rsidRPr="00A725BB">
              <w:rPr>
                <w:rFonts w:ascii="Book Antiqua" w:eastAsia="Times New Roman" w:hAnsi="Book Antiqua"/>
                <w:b/>
                <w:bCs/>
                <w:color w:val="000000"/>
              </w:rPr>
              <w:t>Pre</w:t>
            </w:r>
            <w:r w:rsidR="00AB49C7">
              <w:rPr>
                <w:rFonts w:ascii="Book Antiqua" w:eastAsia="Times New Roman" w:hAnsi="Book Antiqua"/>
                <w:b/>
                <w:bCs/>
                <w:color w:val="000000"/>
              </w:rPr>
              <w:t>-</w:t>
            </w:r>
            <w:r w:rsidRPr="00A725BB">
              <w:rPr>
                <w:rFonts w:ascii="Book Antiqua" w:hAnsi="Book Antiqua"/>
                <w:b/>
                <w:bCs/>
              </w:rPr>
              <w:t xml:space="preserve">PBM </w:t>
            </w:r>
            <w:r w:rsidRPr="00A725BB">
              <w:rPr>
                <w:rFonts w:ascii="Book Antiqua" w:eastAsia="Times New Roman" w:hAnsi="Book Antiqua"/>
                <w:b/>
                <w:bCs/>
                <w:color w:val="000000"/>
              </w:rPr>
              <w:t>(</w:t>
            </w:r>
            <w:r w:rsidRPr="00A725BB">
              <w:rPr>
                <w:rFonts w:ascii="Book Antiqua" w:eastAsia="Times New Roman" w:hAnsi="Book Antiqua"/>
                <w:b/>
                <w:bCs/>
                <w:i/>
                <w:iCs/>
                <w:color w:val="000000"/>
              </w:rPr>
              <w:t>n</w:t>
            </w:r>
            <w:r w:rsidRPr="00A725BB">
              <w:rPr>
                <w:rFonts w:ascii="Book Antiqua" w:eastAsia="Times New Roman" w:hAnsi="Book Antiqua"/>
                <w:b/>
                <w:bCs/>
                <w:color w:val="000000"/>
              </w:rPr>
              <w:t xml:space="preserve"> = 201)</w:t>
            </w:r>
          </w:p>
          <w:p w14:paraId="4168BC74" w14:textId="497EDD71" w:rsidR="00A725BB" w:rsidRPr="00A725BB" w:rsidRDefault="00A725BB" w:rsidP="00A725BB">
            <w:pPr>
              <w:adjustRightInd w:val="0"/>
              <w:snapToGrid w:val="0"/>
              <w:spacing w:line="360" w:lineRule="auto"/>
              <w:ind w:left="241" w:hangingChars="100" w:hanging="241"/>
              <w:jc w:val="both"/>
              <w:rPr>
                <w:rFonts w:ascii="Book Antiqua" w:eastAsia="Times New Roman" w:hAnsi="Book Antiqua"/>
                <w:b/>
                <w:bCs/>
                <w:color w:val="000000"/>
              </w:rPr>
            </w:pPr>
            <w:r w:rsidRPr="00A725BB">
              <w:rPr>
                <w:rFonts w:ascii="Book Antiqua" w:eastAsia="Times New Roman" w:hAnsi="Book Antiqua"/>
                <w:b/>
                <w:bCs/>
                <w:color w:val="000000"/>
              </w:rPr>
              <w:t xml:space="preserve">(January 2013 </w:t>
            </w:r>
            <w:r w:rsidR="00AB49C7" w:rsidRPr="00A725BB">
              <w:rPr>
                <w:rFonts w:ascii="Book Antiqua" w:eastAsia="Times New Roman" w:hAnsi="Book Antiqua"/>
                <w:b/>
                <w:bCs/>
                <w:color w:val="000000"/>
              </w:rPr>
              <w:t>–</w:t>
            </w:r>
            <w:r w:rsidRPr="00A725BB">
              <w:rPr>
                <w:rFonts w:ascii="Book Antiqua" w:eastAsia="Times New Roman" w:hAnsi="Book Antiqua"/>
                <w:b/>
                <w:bCs/>
                <w:color w:val="000000"/>
              </w:rPr>
              <w:t>December 2014)</w:t>
            </w:r>
          </w:p>
        </w:tc>
        <w:tc>
          <w:tcPr>
            <w:tcW w:w="2880" w:type="dxa"/>
            <w:gridSpan w:val="2"/>
            <w:tcBorders>
              <w:top w:val="single" w:sz="4" w:space="0" w:color="auto"/>
              <w:bottom w:val="single" w:sz="4" w:space="0" w:color="auto"/>
            </w:tcBorders>
            <w:shd w:val="clear" w:color="auto" w:fill="auto"/>
            <w:noWrap/>
          </w:tcPr>
          <w:p w14:paraId="6A127B04" w14:textId="3947B2C7" w:rsidR="00A725BB" w:rsidRPr="00A725BB" w:rsidRDefault="00A725BB" w:rsidP="00A725BB">
            <w:pPr>
              <w:adjustRightInd w:val="0"/>
              <w:snapToGrid w:val="0"/>
              <w:spacing w:line="360" w:lineRule="auto"/>
              <w:jc w:val="both"/>
              <w:rPr>
                <w:rFonts w:ascii="Book Antiqua" w:eastAsia="Times New Roman" w:hAnsi="Book Antiqua"/>
                <w:b/>
                <w:bCs/>
                <w:color w:val="000000"/>
              </w:rPr>
            </w:pPr>
            <w:r w:rsidRPr="00A725BB">
              <w:rPr>
                <w:rFonts w:ascii="Book Antiqua" w:eastAsia="Times New Roman" w:hAnsi="Book Antiqua"/>
                <w:b/>
                <w:bCs/>
                <w:color w:val="000000"/>
              </w:rPr>
              <w:t>Post</w:t>
            </w:r>
            <w:r w:rsidR="00AB49C7">
              <w:rPr>
                <w:rFonts w:ascii="Book Antiqua" w:eastAsia="Times New Roman" w:hAnsi="Book Antiqua"/>
                <w:b/>
                <w:bCs/>
                <w:color w:val="000000"/>
              </w:rPr>
              <w:t>-</w:t>
            </w:r>
            <w:r w:rsidRPr="00A725BB">
              <w:rPr>
                <w:rFonts w:ascii="Book Antiqua" w:eastAsia="Times New Roman" w:hAnsi="Book Antiqua"/>
                <w:b/>
                <w:bCs/>
                <w:color w:val="000000"/>
              </w:rPr>
              <w:t>PBM</w:t>
            </w:r>
            <w:r w:rsidRPr="00A725BB">
              <w:rPr>
                <w:rFonts w:ascii="Book Antiqua" w:hAnsi="Book Antiqua"/>
                <w:b/>
                <w:bCs/>
              </w:rPr>
              <w:t xml:space="preserve"> </w:t>
            </w:r>
            <w:r w:rsidRPr="00A725BB">
              <w:rPr>
                <w:rFonts w:ascii="Book Antiqua" w:eastAsia="Times New Roman" w:hAnsi="Book Antiqua"/>
                <w:b/>
                <w:bCs/>
                <w:color w:val="000000"/>
              </w:rPr>
              <w:t>(</w:t>
            </w:r>
            <w:r w:rsidRPr="00A725BB">
              <w:rPr>
                <w:rFonts w:ascii="Book Antiqua" w:eastAsia="Times New Roman" w:hAnsi="Book Antiqua"/>
                <w:b/>
                <w:bCs/>
                <w:i/>
                <w:iCs/>
                <w:color w:val="000000"/>
              </w:rPr>
              <w:t xml:space="preserve">n </w:t>
            </w:r>
            <w:r w:rsidRPr="00A725BB">
              <w:rPr>
                <w:rFonts w:ascii="Book Antiqua" w:eastAsia="Times New Roman" w:hAnsi="Book Antiqua"/>
                <w:b/>
                <w:bCs/>
                <w:color w:val="000000"/>
              </w:rPr>
              <w:t>= 297)</w:t>
            </w:r>
          </w:p>
          <w:p w14:paraId="6206303A" w14:textId="212D63BD" w:rsidR="00A725BB" w:rsidRPr="00A725BB" w:rsidRDefault="00A725BB" w:rsidP="00A725BB">
            <w:pPr>
              <w:adjustRightInd w:val="0"/>
              <w:snapToGrid w:val="0"/>
              <w:spacing w:line="360" w:lineRule="auto"/>
              <w:jc w:val="both"/>
              <w:rPr>
                <w:rFonts w:ascii="Book Antiqua" w:eastAsia="Times New Roman" w:hAnsi="Book Antiqua"/>
                <w:b/>
                <w:bCs/>
                <w:color w:val="000000"/>
              </w:rPr>
            </w:pPr>
            <w:r w:rsidRPr="00A725BB">
              <w:rPr>
                <w:rFonts w:ascii="Book Antiqua" w:eastAsia="Times New Roman" w:hAnsi="Book Antiqua"/>
                <w:b/>
                <w:bCs/>
                <w:color w:val="000000"/>
              </w:rPr>
              <w:t xml:space="preserve">(January 2015 </w:t>
            </w:r>
            <w:r w:rsidR="00AB49C7" w:rsidRPr="00A725BB">
              <w:rPr>
                <w:rFonts w:ascii="Book Antiqua" w:eastAsia="Times New Roman" w:hAnsi="Book Antiqua"/>
                <w:b/>
                <w:bCs/>
                <w:color w:val="000000"/>
              </w:rPr>
              <w:t>–</w:t>
            </w:r>
            <w:r w:rsidRPr="00A725BB">
              <w:rPr>
                <w:rFonts w:ascii="Book Antiqua" w:eastAsia="Times New Roman" w:hAnsi="Book Antiqua"/>
                <w:b/>
                <w:bCs/>
                <w:color w:val="000000"/>
              </w:rPr>
              <w:t xml:space="preserve"> May 2017)</w:t>
            </w:r>
          </w:p>
        </w:tc>
        <w:tc>
          <w:tcPr>
            <w:tcW w:w="1080" w:type="dxa"/>
            <w:vMerge w:val="restart"/>
            <w:tcBorders>
              <w:top w:val="single" w:sz="4" w:space="0" w:color="auto"/>
              <w:bottom w:val="single" w:sz="4" w:space="0" w:color="auto"/>
            </w:tcBorders>
            <w:shd w:val="clear" w:color="auto" w:fill="auto"/>
            <w:noWrap/>
          </w:tcPr>
          <w:p w14:paraId="227510DE" w14:textId="44DE1594" w:rsidR="00A725BB" w:rsidRPr="00A725BB" w:rsidRDefault="00A725BB" w:rsidP="00A725BB">
            <w:pPr>
              <w:adjustRightInd w:val="0"/>
              <w:snapToGrid w:val="0"/>
              <w:spacing w:line="360" w:lineRule="auto"/>
              <w:jc w:val="both"/>
              <w:rPr>
                <w:rFonts w:ascii="Book Antiqua" w:eastAsia="Times New Roman" w:hAnsi="Book Antiqua"/>
                <w:b/>
                <w:bCs/>
                <w:color w:val="000000"/>
              </w:rPr>
            </w:pPr>
            <w:r w:rsidRPr="00A725BB">
              <w:rPr>
                <w:rFonts w:ascii="Book Antiqua" w:eastAsia="Times New Roman" w:hAnsi="Book Antiqua"/>
                <w:b/>
                <w:bCs/>
                <w:i/>
                <w:iCs/>
                <w:color w:val="000000"/>
              </w:rPr>
              <w:t>P</w:t>
            </w:r>
            <w:r w:rsidRPr="00A725BB">
              <w:rPr>
                <w:rFonts w:ascii="Book Antiqua" w:eastAsia="Times New Roman" w:hAnsi="Book Antiqua"/>
                <w:b/>
                <w:bCs/>
                <w:color w:val="000000"/>
              </w:rPr>
              <w:t xml:space="preserve"> </w:t>
            </w:r>
            <w:r w:rsidR="003A1ADD" w:rsidRPr="00A725BB">
              <w:rPr>
                <w:rFonts w:ascii="Book Antiqua" w:eastAsia="Times New Roman" w:hAnsi="Book Antiqua"/>
                <w:b/>
                <w:bCs/>
                <w:color w:val="000000"/>
              </w:rPr>
              <w:t>v</w:t>
            </w:r>
            <w:r w:rsidRPr="00A725BB">
              <w:rPr>
                <w:rFonts w:ascii="Book Antiqua" w:eastAsia="Times New Roman" w:hAnsi="Book Antiqua"/>
                <w:b/>
                <w:bCs/>
                <w:color w:val="000000"/>
              </w:rPr>
              <w:t>alue</w:t>
            </w:r>
          </w:p>
        </w:tc>
      </w:tr>
      <w:tr w:rsidR="00A725BB" w:rsidRPr="00A725BB" w14:paraId="57FE48E1" w14:textId="77777777" w:rsidTr="00ED25FF">
        <w:trPr>
          <w:trHeight w:val="300"/>
        </w:trPr>
        <w:tc>
          <w:tcPr>
            <w:tcW w:w="3235" w:type="dxa"/>
            <w:vMerge/>
            <w:tcBorders>
              <w:top w:val="nil"/>
              <w:bottom w:val="single" w:sz="4" w:space="0" w:color="auto"/>
            </w:tcBorders>
            <w:shd w:val="clear" w:color="auto" w:fill="auto"/>
            <w:noWrap/>
          </w:tcPr>
          <w:p w14:paraId="3859C4C8" w14:textId="77777777" w:rsidR="00A725BB" w:rsidRPr="00A725BB" w:rsidRDefault="00A725BB" w:rsidP="00A725BB">
            <w:pPr>
              <w:adjustRightInd w:val="0"/>
              <w:snapToGrid w:val="0"/>
              <w:spacing w:line="360" w:lineRule="auto"/>
              <w:jc w:val="both"/>
              <w:rPr>
                <w:rFonts w:ascii="Book Antiqua" w:eastAsia="Times New Roman" w:hAnsi="Book Antiqua"/>
                <w:b/>
                <w:bCs/>
                <w:color w:val="000000"/>
              </w:rPr>
            </w:pPr>
          </w:p>
        </w:tc>
        <w:tc>
          <w:tcPr>
            <w:tcW w:w="1350" w:type="dxa"/>
            <w:tcBorders>
              <w:top w:val="single" w:sz="4" w:space="0" w:color="auto"/>
              <w:bottom w:val="single" w:sz="4" w:space="0" w:color="auto"/>
            </w:tcBorders>
            <w:shd w:val="clear" w:color="auto" w:fill="auto"/>
            <w:noWrap/>
          </w:tcPr>
          <w:p w14:paraId="66DEF590" w14:textId="77777777" w:rsidR="00A725BB" w:rsidRPr="00A725BB" w:rsidRDefault="00A725BB" w:rsidP="00A725BB">
            <w:pPr>
              <w:adjustRightInd w:val="0"/>
              <w:snapToGrid w:val="0"/>
              <w:spacing w:line="360" w:lineRule="auto"/>
              <w:jc w:val="both"/>
              <w:rPr>
                <w:rFonts w:ascii="Book Antiqua" w:eastAsia="Times New Roman" w:hAnsi="Book Antiqua"/>
                <w:b/>
                <w:bCs/>
                <w:color w:val="000000"/>
              </w:rPr>
            </w:pPr>
            <w:r w:rsidRPr="00A725BB">
              <w:rPr>
                <w:rFonts w:ascii="Book Antiqua" w:eastAsia="Times New Roman" w:hAnsi="Book Antiqua"/>
                <w:b/>
                <w:bCs/>
                <w:color w:val="000000"/>
              </w:rPr>
              <w:t>Mean ± SD</w:t>
            </w:r>
          </w:p>
        </w:tc>
        <w:tc>
          <w:tcPr>
            <w:tcW w:w="1260" w:type="dxa"/>
            <w:tcBorders>
              <w:top w:val="single" w:sz="4" w:space="0" w:color="auto"/>
              <w:bottom w:val="single" w:sz="4" w:space="0" w:color="auto"/>
            </w:tcBorders>
          </w:tcPr>
          <w:p w14:paraId="127F72AD" w14:textId="77777777" w:rsidR="00A725BB" w:rsidRPr="00A725BB" w:rsidRDefault="00A725BB" w:rsidP="00A725BB">
            <w:pPr>
              <w:adjustRightInd w:val="0"/>
              <w:snapToGrid w:val="0"/>
              <w:spacing w:line="360" w:lineRule="auto"/>
              <w:jc w:val="both"/>
              <w:rPr>
                <w:rFonts w:ascii="Book Antiqua" w:eastAsia="Times New Roman" w:hAnsi="Book Antiqua"/>
                <w:b/>
                <w:bCs/>
                <w:color w:val="000000"/>
              </w:rPr>
            </w:pPr>
          </w:p>
        </w:tc>
        <w:tc>
          <w:tcPr>
            <w:tcW w:w="1530" w:type="dxa"/>
            <w:tcBorders>
              <w:top w:val="single" w:sz="4" w:space="0" w:color="auto"/>
              <w:bottom w:val="single" w:sz="4" w:space="0" w:color="auto"/>
            </w:tcBorders>
            <w:shd w:val="clear" w:color="auto" w:fill="auto"/>
            <w:noWrap/>
          </w:tcPr>
          <w:p w14:paraId="3E5F16C3" w14:textId="77777777" w:rsidR="00A725BB" w:rsidRPr="00A725BB" w:rsidRDefault="00A725BB" w:rsidP="00A725BB">
            <w:pPr>
              <w:adjustRightInd w:val="0"/>
              <w:snapToGrid w:val="0"/>
              <w:spacing w:line="360" w:lineRule="auto"/>
              <w:jc w:val="both"/>
              <w:rPr>
                <w:rFonts w:ascii="Book Antiqua" w:eastAsia="Times New Roman" w:hAnsi="Book Antiqua"/>
                <w:b/>
                <w:bCs/>
                <w:color w:val="000000"/>
              </w:rPr>
            </w:pPr>
            <w:r w:rsidRPr="00A725BB">
              <w:rPr>
                <w:rFonts w:ascii="Book Antiqua" w:eastAsia="Times New Roman" w:hAnsi="Book Antiqua"/>
                <w:b/>
                <w:bCs/>
                <w:color w:val="000000"/>
              </w:rPr>
              <w:t>Mean ± SD</w:t>
            </w:r>
          </w:p>
        </w:tc>
        <w:tc>
          <w:tcPr>
            <w:tcW w:w="1350" w:type="dxa"/>
            <w:tcBorders>
              <w:top w:val="single" w:sz="4" w:space="0" w:color="auto"/>
              <w:bottom w:val="single" w:sz="4" w:space="0" w:color="auto"/>
            </w:tcBorders>
          </w:tcPr>
          <w:p w14:paraId="60F90E5B"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080" w:type="dxa"/>
            <w:vMerge/>
            <w:tcBorders>
              <w:top w:val="nil"/>
              <w:bottom w:val="single" w:sz="4" w:space="0" w:color="auto"/>
            </w:tcBorders>
            <w:shd w:val="clear" w:color="auto" w:fill="auto"/>
            <w:noWrap/>
          </w:tcPr>
          <w:p w14:paraId="4DA898E4"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r>
      <w:tr w:rsidR="00A725BB" w:rsidRPr="00A725BB" w14:paraId="0D5116D9" w14:textId="77777777" w:rsidTr="0081223C">
        <w:trPr>
          <w:trHeight w:val="300"/>
        </w:trPr>
        <w:tc>
          <w:tcPr>
            <w:tcW w:w="3235" w:type="dxa"/>
            <w:tcBorders>
              <w:top w:val="single" w:sz="4" w:space="0" w:color="auto"/>
            </w:tcBorders>
            <w:shd w:val="clear" w:color="auto" w:fill="auto"/>
            <w:noWrap/>
            <w:hideMark/>
          </w:tcPr>
          <w:p w14:paraId="513EC8B6"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Age (</w:t>
            </w:r>
            <w:proofErr w:type="spellStart"/>
            <w:r w:rsidRPr="00A725BB">
              <w:rPr>
                <w:rFonts w:ascii="Book Antiqua" w:eastAsia="Times New Roman" w:hAnsi="Book Antiqua"/>
                <w:color w:val="000000"/>
              </w:rPr>
              <w:t>yr</w:t>
            </w:r>
            <w:proofErr w:type="spellEnd"/>
            <w:r w:rsidRPr="00A725BB">
              <w:rPr>
                <w:rFonts w:ascii="Book Antiqua" w:eastAsia="Times New Roman" w:hAnsi="Book Antiqua"/>
                <w:color w:val="000000"/>
              </w:rPr>
              <w:t>)</w:t>
            </w:r>
          </w:p>
        </w:tc>
        <w:tc>
          <w:tcPr>
            <w:tcW w:w="1350" w:type="dxa"/>
            <w:tcBorders>
              <w:top w:val="single" w:sz="4" w:space="0" w:color="auto"/>
            </w:tcBorders>
            <w:shd w:val="clear" w:color="auto" w:fill="auto"/>
            <w:noWrap/>
            <w:hideMark/>
          </w:tcPr>
          <w:p w14:paraId="70A6DA50"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77 ± 15</w:t>
            </w:r>
          </w:p>
        </w:tc>
        <w:tc>
          <w:tcPr>
            <w:tcW w:w="1260" w:type="dxa"/>
            <w:tcBorders>
              <w:top w:val="single" w:sz="4" w:space="0" w:color="auto"/>
            </w:tcBorders>
          </w:tcPr>
          <w:p w14:paraId="4C1213FE"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530" w:type="dxa"/>
            <w:tcBorders>
              <w:top w:val="single" w:sz="4" w:space="0" w:color="auto"/>
            </w:tcBorders>
            <w:shd w:val="clear" w:color="auto" w:fill="auto"/>
            <w:noWrap/>
            <w:hideMark/>
          </w:tcPr>
          <w:p w14:paraId="6C95C486"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76 ± 16</w:t>
            </w:r>
          </w:p>
        </w:tc>
        <w:tc>
          <w:tcPr>
            <w:tcW w:w="1350" w:type="dxa"/>
            <w:tcBorders>
              <w:top w:val="single" w:sz="4" w:space="0" w:color="auto"/>
            </w:tcBorders>
          </w:tcPr>
          <w:p w14:paraId="48A12CEF"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080" w:type="dxa"/>
            <w:tcBorders>
              <w:top w:val="single" w:sz="4" w:space="0" w:color="auto"/>
            </w:tcBorders>
            <w:shd w:val="clear" w:color="auto" w:fill="auto"/>
            <w:noWrap/>
            <w:hideMark/>
          </w:tcPr>
          <w:p w14:paraId="6A45A829"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0.68</w:t>
            </w:r>
          </w:p>
        </w:tc>
      </w:tr>
      <w:tr w:rsidR="00A725BB" w:rsidRPr="00A725BB" w14:paraId="7A26093C" w14:textId="77777777" w:rsidTr="0081223C">
        <w:trPr>
          <w:trHeight w:val="300"/>
        </w:trPr>
        <w:tc>
          <w:tcPr>
            <w:tcW w:w="3235" w:type="dxa"/>
            <w:shd w:val="clear" w:color="auto" w:fill="auto"/>
            <w:noWrap/>
          </w:tcPr>
          <w:p w14:paraId="7AE63029" w14:textId="2F123A80" w:rsidR="00A725BB" w:rsidRPr="00A725BB" w:rsidRDefault="00A725BB" w:rsidP="00431CA1">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Case mix index</w:t>
            </w:r>
            <w:r w:rsidR="00431CA1">
              <w:rPr>
                <w:rFonts w:ascii="Book Antiqua" w:eastAsia="Times New Roman" w:hAnsi="Book Antiqua"/>
                <w:color w:val="000000"/>
                <w:vertAlign w:val="superscript"/>
              </w:rPr>
              <w:t>1</w:t>
            </w:r>
          </w:p>
        </w:tc>
        <w:tc>
          <w:tcPr>
            <w:tcW w:w="1350" w:type="dxa"/>
            <w:shd w:val="clear" w:color="auto" w:fill="auto"/>
            <w:noWrap/>
          </w:tcPr>
          <w:p w14:paraId="6BD290F9"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1.9 ± 0.6</w:t>
            </w:r>
          </w:p>
        </w:tc>
        <w:tc>
          <w:tcPr>
            <w:tcW w:w="1260" w:type="dxa"/>
          </w:tcPr>
          <w:p w14:paraId="081098DF"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530" w:type="dxa"/>
            <w:shd w:val="clear" w:color="auto" w:fill="auto"/>
            <w:noWrap/>
          </w:tcPr>
          <w:p w14:paraId="7FC55296"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1.9 ± 0.9</w:t>
            </w:r>
          </w:p>
        </w:tc>
        <w:tc>
          <w:tcPr>
            <w:tcW w:w="1350" w:type="dxa"/>
          </w:tcPr>
          <w:p w14:paraId="4FFE51CE"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080" w:type="dxa"/>
            <w:shd w:val="clear" w:color="auto" w:fill="auto"/>
            <w:noWrap/>
          </w:tcPr>
          <w:p w14:paraId="6A953BDA"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0.36</w:t>
            </w:r>
          </w:p>
        </w:tc>
      </w:tr>
      <w:tr w:rsidR="00A725BB" w:rsidRPr="00A725BB" w14:paraId="4D96654A" w14:textId="77777777" w:rsidTr="0081223C">
        <w:trPr>
          <w:trHeight w:val="300"/>
        </w:trPr>
        <w:tc>
          <w:tcPr>
            <w:tcW w:w="3235" w:type="dxa"/>
            <w:shd w:val="clear" w:color="auto" w:fill="auto"/>
            <w:noWrap/>
          </w:tcPr>
          <w:p w14:paraId="203D4A58"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Preoperative Hb, g/dL</w:t>
            </w:r>
          </w:p>
        </w:tc>
        <w:tc>
          <w:tcPr>
            <w:tcW w:w="1350" w:type="dxa"/>
            <w:shd w:val="clear" w:color="auto" w:fill="auto"/>
            <w:noWrap/>
          </w:tcPr>
          <w:p w14:paraId="6A59DC12"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12.1 ± 1.9</w:t>
            </w:r>
          </w:p>
        </w:tc>
        <w:tc>
          <w:tcPr>
            <w:tcW w:w="1260" w:type="dxa"/>
          </w:tcPr>
          <w:p w14:paraId="145C9108"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530" w:type="dxa"/>
            <w:shd w:val="clear" w:color="auto" w:fill="auto"/>
            <w:noWrap/>
          </w:tcPr>
          <w:p w14:paraId="3E34A85D"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12.1 ± 2.0</w:t>
            </w:r>
          </w:p>
        </w:tc>
        <w:tc>
          <w:tcPr>
            <w:tcW w:w="1350" w:type="dxa"/>
          </w:tcPr>
          <w:p w14:paraId="052BC411"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080" w:type="dxa"/>
            <w:shd w:val="clear" w:color="auto" w:fill="auto"/>
            <w:noWrap/>
          </w:tcPr>
          <w:p w14:paraId="7B0D7034"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0.96</w:t>
            </w:r>
          </w:p>
        </w:tc>
      </w:tr>
      <w:tr w:rsidR="00A725BB" w:rsidRPr="00A725BB" w14:paraId="38731DC1" w14:textId="77777777" w:rsidTr="0081223C">
        <w:trPr>
          <w:trHeight w:val="300"/>
        </w:trPr>
        <w:tc>
          <w:tcPr>
            <w:tcW w:w="3235" w:type="dxa"/>
            <w:shd w:val="clear" w:color="auto" w:fill="auto"/>
            <w:noWrap/>
            <w:hideMark/>
          </w:tcPr>
          <w:p w14:paraId="1DB89F07"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 xml:space="preserve">Male sex </w:t>
            </w:r>
          </w:p>
        </w:tc>
        <w:tc>
          <w:tcPr>
            <w:tcW w:w="1350" w:type="dxa"/>
            <w:shd w:val="clear" w:color="auto" w:fill="auto"/>
            <w:noWrap/>
            <w:hideMark/>
          </w:tcPr>
          <w:p w14:paraId="4EB98C89"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3F513810"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58 (29)</w:t>
            </w:r>
          </w:p>
        </w:tc>
        <w:tc>
          <w:tcPr>
            <w:tcW w:w="1530" w:type="dxa"/>
            <w:shd w:val="clear" w:color="auto" w:fill="auto"/>
            <w:noWrap/>
            <w:hideMark/>
          </w:tcPr>
          <w:p w14:paraId="29E0A4EA"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2A237C73"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110 (37)</w:t>
            </w:r>
          </w:p>
        </w:tc>
        <w:tc>
          <w:tcPr>
            <w:tcW w:w="1080" w:type="dxa"/>
            <w:shd w:val="clear" w:color="auto" w:fill="auto"/>
            <w:noWrap/>
            <w:hideMark/>
          </w:tcPr>
          <w:p w14:paraId="2E6A20A5"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0.26</w:t>
            </w:r>
          </w:p>
        </w:tc>
      </w:tr>
      <w:tr w:rsidR="00A725BB" w:rsidRPr="00A725BB" w14:paraId="405D8D6C" w14:textId="77777777" w:rsidTr="0081223C">
        <w:trPr>
          <w:trHeight w:val="269"/>
        </w:trPr>
        <w:tc>
          <w:tcPr>
            <w:tcW w:w="3235" w:type="dxa"/>
            <w:shd w:val="clear" w:color="auto" w:fill="auto"/>
            <w:noWrap/>
          </w:tcPr>
          <w:p w14:paraId="3349375A"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Cardiac disease</w:t>
            </w:r>
          </w:p>
        </w:tc>
        <w:tc>
          <w:tcPr>
            <w:tcW w:w="1350" w:type="dxa"/>
            <w:shd w:val="clear" w:color="auto" w:fill="auto"/>
            <w:noWrap/>
          </w:tcPr>
          <w:p w14:paraId="1ADD410D"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351562E5"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42 (20.3)</w:t>
            </w:r>
          </w:p>
        </w:tc>
        <w:tc>
          <w:tcPr>
            <w:tcW w:w="1530" w:type="dxa"/>
            <w:shd w:val="clear" w:color="auto" w:fill="auto"/>
            <w:noWrap/>
          </w:tcPr>
          <w:p w14:paraId="107FB67F"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0E88EEAC"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67 (23.0)</w:t>
            </w:r>
          </w:p>
        </w:tc>
        <w:tc>
          <w:tcPr>
            <w:tcW w:w="1080" w:type="dxa"/>
            <w:shd w:val="clear" w:color="auto" w:fill="auto"/>
            <w:noWrap/>
          </w:tcPr>
          <w:p w14:paraId="3638E95E"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r>
      <w:tr w:rsidR="00A725BB" w:rsidRPr="00A725BB" w14:paraId="68E83FED" w14:textId="77777777" w:rsidTr="0081223C">
        <w:trPr>
          <w:trHeight w:val="269"/>
        </w:trPr>
        <w:tc>
          <w:tcPr>
            <w:tcW w:w="3235" w:type="dxa"/>
            <w:shd w:val="clear" w:color="auto" w:fill="auto"/>
            <w:noWrap/>
            <w:vAlign w:val="center"/>
          </w:tcPr>
          <w:p w14:paraId="60072CA4" w14:textId="3FE42823" w:rsidR="00A725BB" w:rsidRPr="00A725BB" w:rsidRDefault="00A725BB" w:rsidP="0068672A">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Congestive heart failure</w:t>
            </w:r>
          </w:p>
        </w:tc>
        <w:tc>
          <w:tcPr>
            <w:tcW w:w="1350" w:type="dxa"/>
            <w:shd w:val="clear" w:color="auto" w:fill="auto"/>
            <w:noWrap/>
          </w:tcPr>
          <w:p w14:paraId="0E488991"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0FD22811"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11 (5.3)</w:t>
            </w:r>
          </w:p>
        </w:tc>
        <w:tc>
          <w:tcPr>
            <w:tcW w:w="1530" w:type="dxa"/>
            <w:shd w:val="clear" w:color="auto" w:fill="auto"/>
            <w:noWrap/>
          </w:tcPr>
          <w:p w14:paraId="0C57C3FC"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1E0649AE"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19 (6.5)</w:t>
            </w:r>
          </w:p>
        </w:tc>
        <w:tc>
          <w:tcPr>
            <w:tcW w:w="1080" w:type="dxa"/>
            <w:shd w:val="clear" w:color="auto" w:fill="auto"/>
            <w:noWrap/>
          </w:tcPr>
          <w:p w14:paraId="7245555A"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0.04</w:t>
            </w:r>
          </w:p>
        </w:tc>
      </w:tr>
      <w:tr w:rsidR="00A725BB" w:rsidRPr="00A725BB" w14:paraId="5A5FD531" w14:textId="77777777" w:rsidTr="0081223C">
        <w:trPr>
          <w:trHeight w:val="269"/>
        </w:trPr>
        <w:tc>
          <w:tcPr>
            <w:tcW w:w="3235" w:type="dxa"/>
            <w:shd w:val="clear" w:color="auto" w:fill="auto"/>
            <w:noWrap/>
            <w:vAlign w:val="center"/>
          </w:tcPr>
          <w:p w14:paraId="30E94608" w14:textId="2EE4983D" w:rsidR="00A725BB" w:rsidRPr="00A725BB" w:rsidRDefault="00A725BB" w:rsidP="0068672A">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Pacemaker</w:t>
            </w:r>
          </w:p>
        </w:tc>
        <w:tc>
          <w:tcPr>
            <w:tcW w:w="1350" w:type="dxa"/>
            <w:shd w:val="clear" w:color="auto" w:fill="auto"/>
            <w:noWrap/>
          </w:tcPr>
          <w:p w14:paraId="00308012"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5FADD9E0"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18 (8.7)</w:t>
            </w:r>
          </w:p>
        </w:tc>
        <w:tc>
          <w:tcPr>
            <w:tcW w:w="1530" w:type="dxa"/>
            <w:shd w:val="clear" w:color="auto" w:fill="auto"/>
            <w:noWrap/>
          </w:tcPr>
          <w:p w14:paraId="2B8C4E14"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409C261D"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37 (12.7)</w:t>
            </w:r>
          </w:p>
        </w:tc>
        <w:tc>
          <w:tcPr>
            <w:tcW w:w="1080" w:type="dxa"/>
            <w:shd w:val="clear" w:color="auto" w:fill="auto"/>
            <w:noWrap/>
          </w:tcPr>
          <w:p w14:paraId="416F0000"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0.57</w:t>
            </w:r>
          </w:p>
        </w:tc>
      </w:tr>
      <w:tr w:rsidR="00A725BB" w:rsidRPr="00A725BB" w14:paraId="04BA83D0" w14:textId="77777777" w:rsidTr="0081223C">
        <w:trPr>
          <w:trHeight w:val="269"/>
        </w:trPr>
        <w:tc>
          <w:tcPr>
            <w:tcW w:w="3235" w:type="dxa"/>
            <w:shd w:val="clear" w:color="auto" w:fill="auto"/>
            <w:noWrap/>
          </w:tcPr>
          <w:p w14:paraId="2982A6CC"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Chronic kidney disease</w:t>
            </w:r>
          </w:p>
        </w:tc>
        <w:tc>
          <w:tcPr>
            <w:tcW w:w="1350" w:type="dxa"/>
            <w:shd w:val="clear" w:color="auto" w:fill="auto"/>
            <w:noWrap/>
          </w:tcPr>
          <w:p w14:paraId="1445AC77"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4FF6083A"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18 (8.7)</w:t>
            </w:r>
          </w:p>
        </w:tc>
        <w:tc>
          <w:tcPr>
            <w:tcW w:w="1530" w:type="dxa"/>
            <w:shd w:val="clear" w:color="auto" w:fill="auto"/>
            <w:noWrap/>
          </w:tcPr>
          <w:p w14:paraId="2CA67F59"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0A7050DA"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37 (12.7)</w:t>
            </w:r>
          </w:p>
        </w:tc>
        <w:tc>
          <w:tcPr>
            <w:tcW w:w="1080" w:type="dxa"/>
            <w:shd w:val="clear" w:color="auto" w:fill="auto"/>
            <w:noWrap/>
          </w:tcPr>
          <w:p w14:paraId="11DA74AB"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0.15</w:t>
            </w:r>
          </w:p>
        </w:tc>
      </w:tr>
      <w:tr w:rsidR="00A725BB" w:rsidRPr="00A725BB" w14:paraId="4369E690" w14:textId="77777777" w:rsidTr="0081223C">
        <w:trPr>
          <w:trHeight w:val="269"/>
        </w:trPr>
        <w:tc>
          <w:tcPr>
            <w:tcW w:w="3235" w:type="dxa"/>
            <w:shd w:val="clear" w:color="auto" w:fill="auto"/>
            <w:noWrap/>
            <w:vAlign w:val="center"/>
          </w:tcPr>
          <w:p w14:paraId="025F852E"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COPD</w:t>
            </w:r>
          </w:p>
        </w:tc>
        <w:tc>
          <w:tcPr>
            <w:tcW w:w="1350" w:type="dxa"/>
            <w:shd w:val="clear" w:color="auto" w:fill="auto"/>
            <w:noWrap/>
          </w:tcPr>
          <w:p w14:paraId="2584D52F"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73F32AA4"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30 (14.5)</w:t>
            </w:r>
          </w:p>
        </w:tc>
        <w:tc>
          <w:tcPr>
            <w:tcW w:w="1530" w:type="dxa"/>
            <w:shd w:val="clear" w:color="auto" w:fill="auto"/>
            <w:noWrap/>
          </w:tcPr>
          <w:p w14:paraId="52B7B9C2"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6D5E1BC5"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47 (16.2)</w:t>
            </w:r>
          </w:p>
        </w:tc>
        <w:tc>
          <w:tcPr>
            <w:tcW w:w="1080" w:type="dxa"/>
            <w:shd w:val="clear" w:color="auto" w:fill="auto"/>
            <w:noWrap/>
          </w:tcPr>
          <w:p w14:paraId="4E5C3BAB"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r>
      <w:tr w:rsidR="00A725BB" w:rsidRPr="00A725BB" w14:paraId="0F8E960D" w14:textId="77777777" w:rsidTr="0081223C">
        <w:trPr>
          <w:trHeight w:val="269"/>
        </w:trPr>
        <w:tc>
          <w:tcPr>
            <w:tcW w:w="3235" w:type="dxa"/>
            <w:shd w:val="clear" w:color="auto" w:fill="auto"/>
            <w:noWrap/>
            <w:vAlign w:val="center"/>
          </w:tcPr>
          <w:p w14:paraId="50BEFB2D" w14:textId="12B1279E" w:rsidR="00A725BB" w:rsidRPr="00A725BB" w:rsidRDefault="00A725BB" w:rsidP="0068672A">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Requiring home oxygen</w:t>
            </w:r>
          </w:p>
        </w:tc>
        <w:tc>
          <w:tcPr>
            <w:tcW w:w="1350" w:type="dxa"/>
            <w:shd w:val="clear" w:color="auto" w:fill="auto"/>
            <w:noWrap/>
          </w:tcPr>
          <w:p w14:paraId="49B6D785"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0676F1EC"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9 (4.3)</w:t>
            </w:r>
          </w:p>
        </w:tc>
        <w:tc>
          <w:tcPr>
            <w:tcW w:w="1530" w:type="dxa"/>
            <w:shd w:val="clear" w:color="auto" w:fill="auto"/>
            <w:noWrap/>
          </w:tcPr>
          <w:p w14:paraId="1C2B8DBA"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4DE8EBBD"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14 (4.8)</w:t>
            </w:r>
          </w:p>
        </w:tc>
        <w:tc>
          <w:tcPr>
            <w:tcW w:w="1080" w:type="dxa"/>
            <w:shd w:val="clear" w:color="auto" w:fill="auto"/>
            <w:noWrap/>
          </w:tcPr>
          <w:p w14:paraId="7BA8A353"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r>
      <w:tr w:rsidR="00A725BB" w:rsidRPr="00A725BB" w14:paraId="20FAEBA5" w14:textId="77777777" w:rsidTr="0081223C">
        <w:trPr>
          <w:trHeight w:val="269"/>
        </w:trPr>
        <w:tc>
          <w:tcPr>
            <w:tcW w:w="3235" w:type="dxa"/>
            <w:shd w:val="clear" w:color="auto" w:fill="auto"/>
            <w:noWrap/>
          </w:tcPr>
          <w:p w14:paraId="6C1F1D9A"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Anti-platelet agent use</w:t>
            </w:r>
          </w:p>
        </w:tc>
        <w:tc>
          <w:tcPr>
            <w:tcW w:w="1350" w:type="dxa"/>
            <w:shd w:val="clear" w:color="auto" w:fill="auto"/>
            <w:noWrap/>
          </w:tcPr>
          <w:p w14:paraId="00BF9596"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50DA39B0"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80 (38.7)</w:t>
            </w:r>
          </w:p>
        </w:tc>
        <w:tc>
          <w:tcPr>
            <w:tcW w:w="1530" w:type="dxa"/>
            <w:shd w:val="clear" w:color="auto" w:fill="auto"/>
            <w:noWrap/>
          </w:tcPr>
          <w:p w14:paraId="5EE3F67E"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6A74381B"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103 (35.4)</w:t>
            </w:r>
          </w:p>
        </w:tc>
        <w:tc>
          <w:tcPr>
            <w:tcW w:w="1080" w:type="dxa"/>
            <w:shd w:val="clear" w:color="auto" w:fill="auto"/>
            <w:noWrap/>
          </w:tcPr>
          <w:p w14:paraId="07995913"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0.57</w:t>
            </w:r>
          </w:p>
        </w:tc>
      </w:tr>
      <w:tr w:rsidR="00A725BB" w:rsidRPr="00A725BB" w14:paraId="1D6BE001" w14:textId="77777777" w:rsidTr="0081223C">
        <w:trPr>
          <w:trHeight w:val="269"/>
        </w:trPr>
        <w:tc>
          <w:tcPr>
            <w:tcW w:w="3235" w:type="dxa"/>
            <w:shd w:val="clear" w:color="auto" w:fill="auto"/>
            <w:noWrap/>
          </w:tcPr>
          <w:p w14:paraId="552EE631"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Anticoagulation use</w:t>
            </w:r>
          </w:p>
        </w:tc>
        <w:tc>
          <w:tcPr>
            <w:tcW w:w="1350" w:type="dxa"/>
            <w:shd w:val="clear" w:color="auto" w:fill="auto"/>
            <w:noWrap/>
          </w:tcPr>
          <w:p w14:paraId="0341CA0F"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0DF15647"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27 (12.0)</w:t>
            </w:r>
          </w:p>
        </w:tc>
        <w:tc>
          <w:tcPr>
            <w:tcW w:w="1530" w:type="dxa"/>
            <w:shd w:val="clear" w:color="auto" w:fill="auto"/>
            <w:noWrap/>
          </w:tcPr>
          <w:p w14:paraId="7E879771"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32C9BCFE"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48 (16.5)</w:t>
            </w:r>
          </w:p>
        </w:tc>
        <w:tc>
          <w:tcPr>
            <w:tcW w:w="1080" w:type="dxa"/>
            <w:shd w:val="clear" w:color="auto" w:fill="auto"/>
            <w:noWrap/>
          </w:tcPr>
          <w:p w14:paraId="00642854"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0.29</w:t>
            </w:r>
          </w:p>
        </w:tc>
      </w:tr>
      <w:tr w:rsidR="00A725BB" w:rsidRPr="00A725BB" w14:paraId="57BB47E6" w14:textId="77777777" w:rsidTr="0081223C">
        <w:trPr>
          <w:trHeight w:val="269"/>
        </w:trPr>
        <w:tc>
          <w:tcPr>
            <w:tcW w:w="3235" w:type="dxa"/>
            <w:shd w:val="clear" w:color="auto" w:fill="auto"/>
            <w:noWrap/>
            <w:vAlign w:val="bottom"/>
          </w:tcPr>
          <w:p w14:paraId="4E7D56C3"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iCs/>
                <w:color w:val="000000"/>
              </w:rPr>
              <w:t>Extracapsular Fracture</w:t>
            </w:r>
          </w:p>
        </w:tc>
        <w:tc>
          <w:tcPr>
            <w:tcW w:w="1350" w:type="dxa"/>
            <w:shd w:val="clear" w:color="auto" w:fill="auto"/>
            <w:noWrap/>
            <w:vAlign w:val="bottom"/>
          </w:tcPr>
          <w:p w14:paraId="39765B3F"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vAlign w:val="bottom"/>
          </w:tcPr>
          <w:p w14:paraId="0C9742A7"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127 (61)</w:t>
            </w:r>
          </w:p>
        </w:tc>
        <w:tc>
          <w:tcPr>
            <w:tcW w:w="1530" w:type="dxa"/>
            <w:shd w:val="clear" w:color="auto" w:fill="auto"/>
            <w:noWrap/>
            <w:vAlign w:val="center"/>
          </w:tcPr>
          <w:p w14:paraId="21E4AE14"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vAlign w:val="bottom"/>
          </w:tcPr>
          <w:p w14:paraId="5CF6EB96"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169 (58)</w:t>
            </w:r>
          </w:p>
        </w:tc>
        <w:tc>
          <w:tcPr>
            <w:tcW w:w="1080" w:type="dxa"/>
            <w:shd w:val="clear" w:color="auto" w:fill="auto"/>
            <w:noWrap/>
            <w:vAlign w:val="center"/>
          </w:tcPr>
          <w:p w14:paraId="07B8CDC9"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0.46</w:t>
            </w:r>
          </w:p>
        </w:tc>
      </w:tr>
      <w:tr w:rsidR="00A725BB" w:rsidRPr="00A725BB" w14:paraId="4A726D47" w14:textId="77777777" w:rsidTr="0081223C">
        <w:trPr>
          <w:trHeight w:val="269"/>
        </w:trPr>
        <w:tc>
          <w:tcPr>
            <w:tcW w:w="3235" w:type="dxa"/>
            <w:shd w:val="clear" w:color="auto" w:fill="auto"/>
            <w:noWrap/>
          </w:tcPr>
          <w:p w14:paraId="46C21F04"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Independent in ADL</w:t>
            </w:r>
          </w:p>
        </w:tc>
        <w:tc>
          <w:tcPr>
            <w:tcW w:w="1350" w:type="dxa"/>
            <w:shd w:val="clear" w:color="auto" w:fill="auto"/>
            <w:noWrap/>
          </w:tcPr>
          <w:p w14:paraId="202CBBD7"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6F2EE358"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152 (73.4)</w:t>
            </w:r>
          </w:p>
        </w:tc>
        <w:tc>
          <w:tcPr>
            <w:tcW w:w="1530" w:type="dxa"/>
            <w:shd w:val="clear" w:color="auto" w:fill="auto"/>
            <w:noWrap/>
          </w:tcPr>
          <w:p w14:paraId="74D4A8AB"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1D579226"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215 (73.9)</w:t>
            </w:r>
          </w:p>
        </w:tc>
        <w:tc>
          <w:tcPr>
            <w:tcW w:w="1080" w:type="dxa"/>
            <w:shd w:val="clear" w:color="auto" w:fill="auto"/>
            <w:noWrap/>
          </w:tcPr>
          <w:p w14:paraId="438E702E"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0.91</w:t>
            </w:r>
          </w:p>
        </w:tc>
      </w:tr>
      <w:tr w:rsidR="00A725BB" w:rsidRPr="00A725BB" w14:paraId="24E64648" w14:textId="77777777" w:rsidTr="0081223C">
        <w:trPr>
          <w:trHeight w:val="269"/>
        </w:trPr>
        <w:tc>
          <w:tcPr>
            <w:tcW w:w="3235" w:type="dxa"/>
            <w:shd w:val="clear" w:color="auto" w:fill="auto"/>
            <w:noWrap/>
            <w:vAlign w:val="bottom"/>
          </w:tcPr>
          <w:p w14:paraId="22D70B18" w14:textId="77777777" w:rsidR="00A725BB" w:rsidRPr="00A725BB" w:rsidRDefault="00A725BB" w:rsidP="00A725BB">
            <w:pPr>
              <w:adjustRightInd w:val="0"/>
              <w:snapToGrid w:val="0"/>
              <w:spacing w:line="360" w:lineRule="auto"/>
              <w:jc w:val="both"/>
              <w:rPr>
                <w:rFonts w:ascii="Book Antiqua" w:eastAsia="Times New Roman" w:hAnsi="Book Antiqua"/>
                <w:iCs/>
                <w:color w:val="000000"/>
              </w:rPr>
            </w:pPr>
            <w:proofErr w:type="spellStart"/>
            <w:r w:rsidRPr="00A725BB">
              <w:rPr>
                <w:rFonts w:ascii="Book Antiqua" w:eastAsia="Times New Roman" w:hAnsi="Book Antiqua"/>
                <w:iCs/>
                <w:color w:val="000000"/>
              </w:rPr>
              <w:t>Cephalomedullary</w:t>
            </w:r>
            <w:proofErr w:type="spellEnd"/>
            <w:r w:rsidRPr="00A725BB">
              <w:rPr>
                <w:rFonts w:ascii="Book Antiqua" w:eastAsia="Times New Roman" w:hAnsi="Book Antiqua"/>
                <w:iCs/>
                <w:color w:val="000000"/>
              </w:rPr>
              <w:t xml:space="preserve"> nail</w:t>
            </w:r>
          </w:p>
        </w:tc>
        <w:tc>
          <w:tcPr>
            <w:tcW w:w="1350" w:type="dxa"/>
            <w:shd w:val="clear" w:color="auto" w:fill="auto"/>
            <w:noWrap/>
            <w:vAlign w:val="bottom"/>
          </w:tcPr>
          <w:p w14:paraId="2ED16A71"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260" w:type="dxa"/>
            <w:vAlign w:val="bottom"/>
          </w:tcPr>
          <w:p w14:paraId="32ED38E8"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122 (59)</w:t>
            </w:r>
          </w:p>
        </w:tc>
        <w:tc>
          <w:tcPr>
            <w:tcW w:w="1530" w:type="dxa"/>
            <w:shd w:val="clear" w:color="auto" w:fill="auto"/>
            <w:noWrap/>
          </w:tcPr>
          <w:p w14:paraId="51ACFD8A"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p>
        </w:tc>
        <w:tc>
          <w:tcPr>
            <w:tcW w:w="1350" w:type="dxa"/>
            <w:vAlign w:val="bottom"/>
          </w:tcPr>
          <w:p w14:paraId="74876821"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161 (55)</w:t>
            </w:r>
          </w:p>
        </w:tc>
        <w:tc>
          <w:tcPr>
            <w:tcW w:w="1080" w:type="dxa"/>
            <w:shd w:val="clear" w:color="auto" w:fill="auto"/>
            <w:noWrap/>
          </w:tcPr>
          <w:p w14:paraId="09B2A165" w14:textId="77777777" w:rsidR="00A725BB" w:rsidRPr="00A725BB" w:rsidRDefault="00A725BB" w:rsidP="00A725BB">
            <w:pPr>
              <w:adjustRightInd w:val="0"/>
              <w:snapToGrid w:val="0"/>
              <w:spacing w:line="360" w:lineRule="auto"/>
              <w:jc w:val="both"/>
              <w:rPr>
                <w:rFonts w:ascii="Book Antiqua" w:eastAsia="Times New Roman" w:hAnsi="Book Antiqua"/>
                <w:color w:val="000000"/>
              </w:rPr>
            </w:pPr>
            <w:r w:rsidRPr="00A725BB">
              <w:rPr>
                <w:rFonts w:ascii="Book Antiqua" w:eastAsia="Times New Roman" w:hAnsi="Book Antiqua"/>
                <w:color w:val="000000"/>
              </w:rPr>
              <w:t>0.78</w:t>
            </w:r>
          </w:p>
        </w:tc>
      </w:tr>
    </w:tbl>
    <w:p w14:paraId="3123008A" w14:textId="625143DA" w:rsidR="00A725BB" w:rsidRPr="00A725BB" w:rsidRDefault="00431CA1" w:rsidP="00A725BB">
      <w:pPr>
        <w:adjustRightInd w:val="0"/>
        <w:snapToGrid w:val="0"/>
        <w:spacing w:line="360" w:lineRule="auto"/>
        <w:jc w:val="both"/>
        <w:rPr>
          <w:rFonts w:ascii="Book Antiqua" w:hAnsi="Book Antiqua"/>
        </w:rPr>
      </w:pPr>
      <w:r>
        <w:rPr>
          <w:rFonts w:ascii="Book Antiqua" w:hAnsi="Book Antiqua"/>
          <w:vertAlign w:val="superscript"/>
        </w:rPr>
        <w:t>1</w:t>
      </w:r>
      <w:r w:rsidR="00A725BB" w:rsidRPr="00A725BB">
        <w:rPr>
          <w:rFonts w:ascii="Book Antiqua" w:hAnsi="Book Antiqua"/>
        </w:rPr>
        <w:t>Case mix index is the weighted all patients refined diagnosis related group score. COPD: Chronic obstructive pulmonary disease; ADL: Activities of daily living;</w:t>
      </w:r>
      <w:r w:rsidR="00A725BB" w:rsidRPr="00A725BB">
        <w:rPr>
          <w:rFonts w:ascii="Book Antiqua" w:eastAsia="Book Antiqua" w:hAnsi="Book Antiqua" w:cs="Book Antiqua"/>
          <w:color w:val="000000"/>
        </w:rPr>
        <w:t xml:space="preserve"> PBM: Patient blood management.</w:t>
      </w:r>
    </w:p>
    <w:p w14:paraId="582276E9" w14:textId="7AE5D91C" w:rsidR="00A77B3E" w:rsidRPr="00A725BB" w:rsidRDefault="00A77B3E" w:rsidP="00A725BB">
      <w:pPr>
        <w:adjustRightInd w:val="0"/>
        <w:snapToGrid w:val="0"/>
        <w:spacing w:line="360" w:lineRule="auto"/>
        <w:jc w:val="both"/>
        <w:rPr>
          <w:rFonts w:ascii="Book Antiqua" w:hAnsi="Book Antiqua"/>
        </w:rPr>
      </w:pPr>
    </w:p>
    <w:sectPr w:rsidR="00A77B3E" w:rsidRPr="00A72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4D05" w14:textId="77777777" w:rsidR="00A9451F" w:rsidRDefault="00A9451F" w:rsidP="00A725BB">
      <w:r>
        <w:separator/>
      </w:r>
    </w:p>
  </w:endnote>
  <w:endnote w:type="continuationSeparator" w:id="0">
    <w:p w14:paraId="00CBEAA6" w14:textId="77777777" w:rsidR="00A9451F" w:rsidRDefault="00A9451F" w:rsidP="00A7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30698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CD19D55" w14:textId="64912360" w:rsidR="00944988" w:rsidRPr="00944988" w:rsidRDefault="00944988" w:rsidP="00944988">
            <w:pPr>
              <w:pStyle w:val="Footer"/>
              <w:jc w:val="right"/>
              <w:rPr>
                <w:rFonts w:ascii="Book Antiqua" w:hAnsi="Book Antiqua"/>
                <w:sz w:val="24"/>
                <w:szCs w:val="24"/>
              </w:rPr>
            </w:pPr>
            <w:r w:rsidRPr="00944988">
              <w:rPr>
                <w:rFonts w:ascii="Book Antiqua" w:hAnsi="Book Antiqua"/>
                <w:sz w:val="24"/>
                <w:szCs w:val="24"/>
                <w:lang w:val="zh-CN" w:eastAsia="zh-CN"/>
              </w:rPr>
              <w:t xml:space="preserve"> </w:t>
            </w:r>
            <w:r w:rsidRPr="00944988">
              <w:rPr>
                <w:rFonts w:ascii="Book Antiqua" w:hAnsi="Book Antiqua"/>
                <w:b/>
                <w:bCs/>
                <w:sz w:val="24"/>
                <w:szCs w:val="24"/>
              </w:rPr>
              <w:fldChar w:fldCharType="begin"/>
            </w:r>
            <w:r w:rsidRPr="00944988">
              <w:rPr>
                <w:rFonts w:ascii="Book Antiqua" w:hAnsi="Book Antiqua"/>
                <w:b/>
                <w:bCs/>
                <w:sz w:val="24"/>
                <w:szCs w:val="24"/>
              </w:rPr>
              <w:instrText>PAGE</w:instrText>
            </w:r>
            <w:r w:rsidRPr="00944988">
              <w:rPr>
                <w:rFonts w:ascii="Book Antiqua" w:hAnsi="Book Antiqua"/>
                <w:b/>
                <w:bCs/>
                <w:sz w:val="24"/>
                <w:szCs w:val="24"/>
              </w:rPr>
              <w:fldChar w:fldCharType="separate"/>
            </w:r>
            <w:r w:rsidR="0068672A">
              <w:rPr>
                <w:rFonts w:ascii="Book Antiqua" w:hAnsi="Book Antiqua"/>
                <w:b/>
                <w:bCs/>
                <w:noProof/>
                <w:sz w:val="24"/>
                <w:szCs w:val="24"/>
              </w:rPr>
              <w:t>22</w:t>
            </w:r>
            <w:r w:rsidRPr="00944988">
              <w:rPr>
                <w:rFonts w:ascii="Book Antiqua" w:hAnsi="Book Antiqua"/>
                <w:b/>
                <w:bCs/>
                <w:sz w:val="24"/>
                <w:szCs w:val="24"/>
              </w:rPr>
              <w:fldChar w:fldCharType="end"/>
            </w:r>
            <w:r w:rsidRPr="00944988">
              <w:rPr>
                <w:rFonts w:ascii="Book Antiqua" w:hAnsi="Book Antiqua"/>
                <w:sz w:val="24"/>
                <w:szCs w:val="24"/>
                <w:lang w:val="zh-CN" w:eastAsia="zh-CN"/>
              </w:rPr>
              <w:t xml:space="preserve"> / </w:t>
            </w:r>
            <w:r w:rsidRPr="00944988">
              <w:rPr>
                <w:rFonts w:ascii="Book Antiqua" w:hAnsi="Book Antiqua"/>
                <w:b/>
                <w:bCs/>
                <w:sz w:val="24"/>
                <w:szCs w:val="24"/>
              </w:rPr>
              <w:fldChar w:fldCharType="begin"/>
            </w:r>
            <w:r w:rsidRPr="00944988">
              <w:rPr>
                <w:rFonts w:ascii="Book Antiqua" w:hAnsi="Book Antiqua"/>
                <w:b/>
                <w:bCs/>
                <w:sz w:val="24"/>
                <w:szCs w:val="24"/>
              </w:rPr>
              <w:instrText>NUMPAGES</w:instrText>
            </w:r>
            <w:r w:rsidRPr="00944988">
              <w:rPr>
                <w:rFonts w:ascii="Book Antiqua" w:hAnsi="Book Antiqua"/>
                <w:b/>
                <w:bCs/>
                <w:sz w:val="24"/>
                <w:szCs w:val="24"/>
              </w:rPr>
              <w:fldChar w:fldCharType="separate"/>
            </w:r>
            <w:r w:rsidR="0068672A">
              <w:rPr>
                <w:rFonts w:ascii="Book Antiqua" w:hAnsi="Book Antiqua"/>
                <w:b/>
                <w:bCs/>
                <w:noProof/>
                <w:sz w:val="24"/>
                <w:szCs w:val="24"/>
              </w:rPr>
              <w:t>23</w:t>
            </w:r>
            <w:r w:rsidRPr="00944988">
              <w:rPr>
                <w:rFonts w:ascii="Book Antiqua" w:hAnsi="Book Antiqua"/>
                <w:b/>
                <w:bCs/>
                <w:sz w:val="24"/>
                <w:szCs w:val="24"/>
              </w:rPr>
              <w:fldChar w:fldCharType="end"/>
            </w:r>
          </w:p>
        </w:sdtContent>
      </w:sdt>
    </w:sdtContent>
  </w:sdt>
  <w:p w14:paraId="66AD4808" w14:textId="77777777" w:rsidR="00944988" w:rsidRDefault="00944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2C8B7" w14:textId="77777777" w:rsidR="00A9451F" w:rsidRDefault="00A9451F" w:rsidP="00A725BB">
      <w:r>
        <w:separator/>
      </w:r>
    </w:p>
  </w:footnote>
  <w:footnote w:type="continuationSeparator" w:id="0">
    <w:p w14:paraId="1B084A27" w14:textId="77777777" w:rsidR="00A9451F" w:rsidRDefault="00A9451F" w:rsidP="00A7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4D93"/>
    <w:rsid w:val="00235A30"/>
    <w:rsid w:val="00295572"/>
    <w:rsid w:val="0038137A"/>
    <w:rsid w:val="003A1ADD"/>
    <w:rsid w:val="00414F1D"/>
    <w:rsid w:val="00431CA1"/>
    <w:rsid w:val="004506C8"/>
    <w:rsid w:val="004812B9"/>
    <w:rsid w:val="006471ED"/>
    <w:rsid w:val="0068672A"/>
    <w:rsid w:val="00850909"/>
    <w:rsid w:val="008A4846"/>
    <w:rsid w:val="00944988"/>
    <w:rsid w:val="009F02CB"/>
    <w:rsid w:val="00A725BB"/>
    <w:rsid w:val="00A77B3E"/>
    <w:rsid w:val="00A9451F"/>
    <w:rsid w:val="00AB49C7"/>
    <w:rsid w:val="00CA2A55"/>
    <w:rsid w:val="00D33052"/>
    <w:rsid w:val="00DB4799"/>
    <w:rsid w:val="00E80A3B"/>
    <w:rsid w:val="00ED25FF"/>
    <w:rsid w:val="00FA4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E5EEF"/>
  <w15:docId w15:val="{56D0D71C-C0CA-485C-B324-8218158A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25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725BB"/>
    <w:rPr>
      <w:sz w:val="18"/>
      <w:szCs w:val="18"/>
    </w:rPr>
  </w:style>
  <w:style w:type="paragraph" w:styleId="Footer">
    <w:name w:val="footer"/>
    <w:basedOn w:val="Normal"/>
    <w:link w:val="FooterChar"/>
    <w:uiPriority w:val="99"/>
    <w:unhideWhenUsed/>
    <w:rsid w:val="00A725B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725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2021-04-09T17:42:00Z</dcterms:created>
  <dcterms:modified xsi:type="dcterms:W3CDTF">2021-04-09T17:49:00Z</dcterms:modified>
</cp:coreProperties>
</file>