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23F13"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2AA1F4"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61530</w:t>
      </w:r>
    </w:p>
    <w:p w14:paraId="0393F69F"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E68D13B" w14:textId="77777777" w:rsidR="00A77B3E" w:rsidRDefault="00A77B3E" w:rsidP="00567499">
      <w:pPr>
        <w:snapToGrid w:val="0"/>
        <w:spacing w:line="360" w:lineRule="auto"/>
        <w:jc w:val="both"/>
      </w:pPr>
    </w:p>
    <w:p w14:paraId="762FA95C" w14:textId="4EDCFD06" w:rsidR="00A77B3E" w:rsidRDefault="006A7556" w:rsidP="00567499">
      <w:pPr>
        <w:snapToGrid w:val="0"/>
        <w:spacing w:line="360" w:lineRule="auto"/>
        <w:jc w:val="both"/>
      </w:pPr>
      <w:r>
        <w:rPr>
          <w:rFonts w:ascii="Book Antiqua" w:eastAsia="Book Antiqua" w:hAnsi="Book Antiqua" w:cs="Book Antiqua"/>
          <w:b/>
          <w:i/>
          <w:color w:val="000000"/>
        </w:rPr>
        <w:t>Basic</w:t>
      </w:r>
      <w:r w:rsidR="001D27AD">
        <w:rPr>
          <w:rFonts w:ascii="Book Antiqua" w:eastAsia="Book Antiqua" w:hAnsi="Book Antiqua" w:cs="Book Antiqua"/>
          <w:b/>
          <w:i/>
          <w:color w:val="000000"/>
        </w:rPr>
        <w:t xml:space="preserve"> Study</w:t>
      </w:r>
    </w:p>
    <w:p w14:paraId="1D8121F7"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Identification of the </w:t>
      </w:r>
      <w:proofErr w:type="spellStart"/>
      <w:r>
        <w:rPr>
          <w:rFonts w:ascii="Book Antiqua" w:eastAsia="Book Antiqua" w:hAnsi="Book Antiqua" w:cs="Book Antiqua"/>
          <w:b/>
          <w:bCs/>
          <w:color w:val="000000"/>
        </w:rPr>
        <w:t>circRNA</w:t>
      </w:r>
      <w:proofErr w:type="spellEnd"/>
      <w:r>
        <w:rPr>
          <w:rFonts w:ascii="Book Antiqua" w:eastAsia="Book Antiqua" w:hAnsi="Book Antiqua" w:cs="Book Antiqua"/>
          <w:b/>
          <w:bCs/>
          <w:color w:val="000000"/>
        </w:rPr>
        <w:t>-miRNA-mRNA regulatory network and its prognostic effect in colorectal cancer</w:t>
      </w:r>
    </w:p>
    <w:p w14:paraId="7E00B7CD" w14:textId="77777777" w:rsidR="00A77B3E" w:rsidRDefault="00A77B3E" w:rsidP="00567499">
      <w:pPr>
        <w:snapToGrid w:val="0"/>
        <w:spacing w:line="360" w:lineRule="auto"/>
        <w:jc w:val="both"/>
      </w:pPr>
    </w:p>
    <w:p w14:paraId="7C9820B7" w14:textId="6429003C" w:rsidR="00A77B3E" w:rsidRDefault="00B4108C" w:rsidP="00567499">
      <w:pPr>
        <w:snapToGrid w:val="0"/>
        <w:spacing w:line="360" w:lineRule="auto"/>
        <w:jc w:val="both"/>
      </w:pPr>
      <w:r>
        <w:rPr>
          <w:rFonts w:ascii="Book Antiqua" w:eastAsia="Book Antiqua" w:hAnsi="Book Antiqua" w:cs="Book Antiqua"/>
          <w:color w:val="000000"/>
        </w:rPr>
        <w:t xml:space="preserve">Yin TF </w:t>
      </w:r>
      <w:r w:rsidRPr="00B4108C">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1D27AD">
        <w:rPr>
          <w:rFonts w:ascii="Book Antiqua" w:eastAsia="Book Antiqua" w:hAnsi="Book Antiqua" w:cs="Book Antiqua"/>
          <w:color w:val="000000"/>
        </w:rPr>
        <w:t>CircRNA</w:t>
      </w:r>
      <w:proofErr w:type="spellEnd"/>
      <w:r w:rsidR="001D27AD">
        <w:rPr>
          <w:rFonts w:ascii="Book Antiqua" w:eastAsia="Book Antiqua" w:hAnsi="Book Antiqua" w:cs="Book Antiqua"/>
          <w:color w:val="000000"/>
        </w:rPr>
        <w:t>-miRNA-mRNA network in CRC</w:t>
      </w:r>
    </w:p>
    <w:p w14:paraId="732C0663" w14:textId="77777777" w:rsidR="00A77B3E" w:rsidRDefault="00A77B3E" w:rsidP="00567499">
      <w:pPr>
        <w:snapToGrid w:val="0"/>
        <w:spacing w:line="360" w:lineRule="auto"/>
        <w:jc w:val="both"/>
      </w:pPr>
    </w:p>
    <w:p w14:paraId="7AFDF22E" w14:textId="77777777" w:rsidR="00A77B3E" w:rsidRDefault="001D27AD" w:rsidP="00567499">
      <w:pPr>
        <w:snapToGrid w:val="0"/>
        <w:spacing w:line="360" w:lineRule="auto"/>
        <w:jc w:val="both"/>
      </w:pPr>
      <w:r>
        <w:rPr>
          <w:rFonts w:ascii="Book Antiqua" w:eastAsia="Book Antiqua" w:hAnsi="Book Antiqua" w:cs="Book Antiqua"/>
          <w:color w:val="000000"/>
        </w:rPr>
        <w:t>Teng-Fei Yin, Dong-Yan Zhao, Yuan-Chen Zhou, Qian-Qian Wang, Shu-</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Yao</w:t>
      </w:r>
    </w:p>
    <w:p w14:paraId="7B40D667" w14:textId="77777777" w:rsidR="00A77B3E" w:rsidRDefault="00A77B3E" w:rsidP="00567499">
      <w:pPr>
        <w:snapToGrid w:val="0"/>
        <w:spacing w:line="360" w:lineRule="auto"/>
        <w:jc w:val="both"/>
      </w:pPr>
    </w:p>
    <w:p w14:paraId="148CCF3D" w14:textId="0905EC2C" w:rsidR="00E33F9F" w:rsidRPr="00E33F9F" w:rsidRDefault="001D27AD" w:rsidP="00E33F9F">
      <w:pPr>
        <w:snapToGrid w:val="0"/>
        <w:spacing w:line="360" w:lineRule="auto"/>
        <w:jc w:val="both"/>
      </w:pPr>
      <w:bookmarkStart w:id="0" w:name="_Hlk70493153"/>
      <w:r>
        <w:rPr>
          <w:rFonts w:ascii="Book Antiqua" w:eastAsia="Book Antiqua" w:hAnsi="Book Antiqua" w:cs="Book Antiqua"/>
          <w:b/>
          <w:bCs/>
          <w:color w:val="000000"/>
        </w:rPr>
        <w:t>Teng-Fei Yin, Yuan-Chen Zhou, Qian-Qian Wang,</w:t>
      </w:r>
      <w:r w:rsidR="00342406" w:rsidRPr="00342406">
        <w:rPr>
          <w:rFonts w:ascii="Book Antiqua" w:eastAsia="Book Antiqua" w:hAnsi="Book Antiqua" w:cs="Book Antiqua"/>
          <w:b/>
          <w:bCs/>
          <w:color w:val="000000"/>
        </w:rPr>
        <w:t xml:space="preserve"> </w:t>
      </w:r>
      <w:r w:rsidR="00342406">
        <w:rPr>
          <w:rFonts w:ascii="Book Antiqua" w:eastAsia="Book Antiqua" w:hAnsi="Book Antiqua" w:cs="Book Antiqua"/>
          <w:b/>
          <w:bCs/>
          <w:color w:val="000000"/>
        </w:rPr>
        <w:t>Shu-</w:t>
      </w:r>
      <w:proofErr w:type="spellStart"/>
      <w:r w:rsidR="00342406">
        <w:rPr>
          <w:rFonts w:ascii="Book Antiqua" w:eastAsia="Book Antiqua" w:hAnsi="Book Antiqua" w:cs="Book Antiqua"/>
          <w:b/>
          <w:bCs/>
          <w:color w:val="000000"/>
        </w:rPr>
        <w:t>Kun</w:t>
      </w:r>
      <w:proofErr w:type="spellEnd"/>
      <w:r w:rsidR="00342406">
        <w:rPr>
          <w:rFonts w:ascii="Book Antiqua" w:eastAsia="Book Antiqua" w:hAnsi="Book Antiqua" w:cs="Book Antiqua"/>
          <w:b/>
          <w:bCs/>
          <w:color w:val="000000"/>
        </w:rPr>
        <w:t xml:space="preserve"> Yao,</w:t>
      </w:r>
      <w:r>
        <w:rPr>
          <w:rFonts w:ascii="Book Antiqua" w:eastAsia="Book Antiqua" w:hAnsi="Book Antiqua" w:cs="Book Antiqua"/>
          <w:b/>
          <w:bCs/>
          <w:color w:val="000000"/>
        </w:rPr>
        <w:t xml:space="preserve"> </w:t>
      </w:r>
      <w:r w:rsidR="00E33F9F">
        <w:rPr>
          <w:rFonts w:ascii="Book Antiqua" w:hAnsi="Book Antiqua"/>
          <w:color w:val="000000"/>
          <w:shd w:val="clear" w:color="auto" w:fill="FFFFFF"/>
        </w:rPr>
        <w:t>G</w:t>
      </w:r>
      <w:r w:rsidR="00E33F9F">
        <w:rPr>
          <w:rFonts w:ascii="Book Antiqua" w:hAnsi="Book Antiqua" w:hint="eastAsia"/>
          <w:color w:val="000000"/>
          <w:shd w:val="clear" w:color="auto" w:fill="FFFFFF"/>
          <w:lang w:eastAsia="zh-CN"/>
        </w:rPr>
        <w:t>rad</w:t>
      </w:r>
      <w:r w:rsidR="00E33F9F">
        <w:rPr>
          <w:rFonts w:ascii="Book Antiqua" w:hAnsi="Book Antiqua"/>
          <w:color w:val="000000"/>
          <w:shd w:val="clear" w:color="auto" w:fill="FFFFFF"/>
        </w:rPr>
        <w:t>uate school</w:t>
      </w:r>
      <w:r w:rsidR="00BD3C0C">
        <w:rPr>
          <w:rFonts w:ascii="Book Antiqua" w:hAnsi="Book Antiqua"/>
          <w:color w:val="000000"/>
          <w:shd w:val="clear" w:color="auto" w:fill="FFFFFF"/>
        </w:rPr>
        <w:t xml:space="preserve">, </w:t>
      </w:r>
      <w:r w:rsidR="00BD3C0C">
        <w:rPr>
          <w:rFonts w:ascii="Book Antiqua" w:hAnsi="Book Antiqua"/>
          <w:color w:val="000000"/>
        </w:rPr>
        <w:t>Peking University China-Japan Friendship School of Clinical Medicine</w:t>
      </w:r>
      <w:r>
        <w:rPr>
          <w:rFonts w:ascii="Book Antiqua" w:eastAsia="Book Antiqua" w:hAnsi="Book Antiqua" w:cs="Book Antiqua"/>
          <w:color w:val="000000"/>
        </w:rPr>
        <w:t>, Beijing 100029, China</w:t>
      </w:r>
    </w:p>
    <w:bookmarkEnd w:id="0"/>
    <w:p w14:paraId="7A94019C" w14:textId="77777777" w:rsidR="00A77B3E" w:rsidRDefault="00A77B3E" w:rsidP="00567499">
      <w:pPr>
        <w:snapToGrid w:val="0"/>
        <w:spacing w:line="360" w:lineRule="auto"/>
        <w:jc w:val="both"/>
      </w:pPr>
    </w:p>
    <w:p w14:paraId="1B0EB436"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Dong-Yan Zhao, </w:t>
      </w:r>
      <w:r>
        <w:rPr>
          <w:rFonts w:ascii="Book Antiqua" w:eastAsia="Book Antiqua" w:hAnsi="Book Antiqua" w:cs="Book Antiqua"/>
          <w:color w:val="000000"/>
        </w:rPr>
        <w:t>Graduate School, Peking Union Medical College and Chinese Academy of Medical Sciences, Beijing 100730, China</w:t>
      </w:r>
    </w:p>
    <w:p w14:paraId="1E244845" w14:textId="77777777" w:rsidR="00A77B3E" w:rsidRDefault="00A77B3E" w:rsidP="00567499">
      <w:pPr>
        <w:snapToGrid w:val="0"/>
        <w:spacing w:line="360" w:lineRule="auto"/>
        <w:jc w:val="both"/>
      </w:pPr>
    </w:p>
    <w:p w14:paraId="70F551EF" w14:textId="374A11D9" w:rsidR="00A77B3E" w:rsidRDefault="001D27AD" w:rsidP="00567499">
      <w:pPr>
        <w:snapToGrid w:val="0"/>
        <w:spacing w:line="360" w:lineRule="auto"/>
        <w:jc w:val="both"/>
      </w:pPr>
      <w:r>
        <w:rPr>
          <w:rFonts w:ascii="Book Antiqua" w:eastAsia="Book Antiqua" w:hAnsi="Book Antiqua" w:cs="Book Antiqua"/>
          <w:b/>
          <w:bCs/>
          <w:color w:val="000000"/>
        </w:rPr>
        <w:t>Dong-Yan Zhao,</w:t>
      </w:r>
      <w:r w:rsidR="00C13EEC">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China-Japan Friendship Hospital, Beijing 100029, China</w:t>
      </w:r>
    </w:p>
    <w:p w14:paraId="0E5539FC" w14:textId="77777777" w:rsidR="00A77B3E" w:rsidRDefault="00A77B3E" w:rsidP="00567499">
      <w:pPr>
        <w:snapToGrid w:val="0"/>
        <w:spacing w:line="360" w:lineRule="auto"/>
        <w:jc w:val="both"/>
      </w:pPr>
    </w:p>
    <w:p w14:paraId="769E2B45"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Yin TF conceived and designed the study, performed formal analysis and prepared the original draft; Zhao DY participated in data analysis and manuscript revision; Zhou YC and Wang QQ reviewed and edited the manuscript critically; Yao SK designed and supervised the study, revised the manuscript, and obtained the funding; all authors read and approved the final manuscript.</w:t>
      </w:r>
    </w:p>
    <w:p w14:paraId="2CEEF525" w14:textId="77777777" w:rsidR="00A77B3E" w:rsidRDefault="00A77B3E" w:rsidP="00567499">
      <w:pPr>
        <w:snapToGrid w:val="0"/>
        <w:spacing w:line="360" w:lineRule="auto"/>
        <w:jc w:val="both"/>
      </w:pPr>
    </w:p>
    <w:p w14:paraId="663F68AD"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Key Development Plan for Precision Medicine Research, No. 2017YFC0910002.</w:t>
      </w:r>
    </w:p>
    <w:p w14:paraId="299FA5B1" w14:textId="77777777" w:rsidR="00A77B3E" w:rsidRDefault="00A77B3E" w:rsidP="00567499">
      <w:pPr>
        <w:snapToGrid w:val="0"/>
        <w:spacing w:line="360" w:lineRule="auto"/>
        <w:jc w:val="both"/>
      </w:pPr>
    </w:p>
    <w:p w14:paraId="6CA43FE7" w14:textId="30B72DCF" w:rsidR="00A77B3E" w:rsidRDefault="001D27AD" w:rsidP="00567499">
      <w:pPr>
        <w:snapToGrid w:val="0"/>
        <w:spacing w:line="360" w:lineRule="auto"/>
        <w:jc w:val="both"/>
      </w:pPr>
      <w:r>
        <w:rPr>
          <w:rFonts w:ascii="Book Antiqua" w:eastAsia="Book Antiqua" w:hAnsi="Book Antiqua" w:cs="Book Antiqua"/>
          <w:b/>
          <w:bCs/>
          <w:color w:val="000000"/>
        </w:rPr>
        <w:t>Corresponding author: Shu-</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Yao, MD, PhD, Professor, </w:t>
      </w:r>
      <w:r w:rsidR="00E33F9F" w:rsidRPr="00E33F9F">
        <w:rPr>
          <w:rFonts w:ascii="Book Antiqua" w:hAnsi="Book Antiqua"/>
          <w:color w:val="000000"/>
        </w:rPr>
        <w:t xml:space="preserve">Graduate School, Peking University China-Japan Friendship School of Clinical Medicine, No. 2 </w:t>
      </w:r>
      <w:proofErr w:type="spellStart"/>
      <w:r w:rsidR="00E33F9F" w:rsidRPr="00E33F9F">
        <w:rPr>
          <w:rFonts w:ascii="Book Antiqua" w:hAnsi="Book Antiqua"/>
          <w:color w:val="000000"/>
        </w:rPr>
        <w:t>Yinghua</w:t>
      </w:r>
      <w:proofErr w:type="spellEnd"/>
      <w:r w:rsidR="00E33F9F" w:rsidRPr="00E33F9F">
        <w:rPr>
          <w:rFonts w:ascii="Book Antiqua" w:hAnsi="Book Antiqua"/>
          <w:color w:val="000000"/>
        </w:rPr>
        <w:t xml:space="preserve"> East Road, Chaoyang District, Beijing 100029, China</w:t>
      </w:r>
      <w:r>
        <w:rPr>
          <w:rFonts w:ascii="Book Antiqua" w:eastAsia="Book Antiqua" w:hAnsi="Book Antiqua" w:cs="Book Antiqua"/>
          <w:color w:val="000000"/>
        </w:rPr>
        <w:t>. shukunyao@126.com</w:t>
      </w:r>
    </w:p>
    <w:p w14:paraId="7434817E" w14:textId="77777777" w:rsidR="00A77B3E" w:rsidRDefault="00A77B3E" w:rsidP="00567499">
      <w:pPr>
        <w:snapToGrid w:val="0"/>
        <w:spacing w:line="360" w:lineRule="auto"/>
        <w:jc w:val="both"/>
      </w:pPr>
    </w:p>
    <w:p w14:paraId="1D58B34A"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11, 2020</w:t>
      </w:r>
    </w:p>
    <w:p w14:paraId="6EE2E2BD"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26, 2021</w:t>
      </w:r>
    </w:p>
    <w:p w14:paraId="11216A18" w14:textId="421A3D68" w:rsidR="00A77B3E" w:rsidRDefault="001D27AD" w:rsidP="00567499">
      <w:pPr>
        <w:snapToGrid w:val="0"/>
        <w:spacing w:line="360" w:lineRule="auto"/>
        <w:jc w:val="both"/>
      </w:pPr>
      <w:r>
        <w:rPr>
          <w:rFonts w:ascii="Book Antiqua" w:eastAsia="Book Antiqua" w:hAnsi="Book Antiqua" w:cs="Book Antiqua"/>
          <w:b/>
          <w:bCs/>
          <w:color w:val="000000"/>
        </w:rPr>
        <w:t xml:space="preserve">Accepted: </w:t>
      </w:r>
      <w:r w:rsidR="00BE5000" w:rsidRPr="00BE5000">
        <w:rPr>
          <w:rFonts w:ascii="Book Antiqua" w:eastAsia="Book Antiqua" w:hAnsi="Book Antiqua" w:cs="Book Antiqua"/>
          <w:color w:val="000000"/>
        </w:rPr>
        <w:t>February 26, 2021</w:t>
      </w:r>
    </w:p>
    <w:p w14:paraId="49EFD0E4"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Published online: </w:t>
      </w:r>
    </w:p>
    <w:p w14:paraId="102DA12F" w14:textId="77777777" w:rsidR="00A77B3E" w:rsidRDefault="00A77B3E" w:rsidP="00567499">
      <w:pPr>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418D4032" w14:textId="77777777" w:rsidR="00A77B3E" w:rsidRDefault="001D27AD" w:rsidP="00567499">
      <w:pPr>
        <w:snapToGrid w:val="0"/>
        <w:spacing w:line="360" w:lineRule="auto"/>
        <w:jc w:val="both"/>
      </w:pPr>
      <w:r>
        <w:rPr>
          <w:rFonts w:ascii="Book Antiqua" w:eastAsia="Book Antiqua" w:hAnsi="Book Antiqua" w:cs="Book Antiqua"/>
          <w:b/>
          <w:color w:val="000000"/>
        </w:rPr>
        <w:lastRenderedPageBreak/>
        <w:t>Abstract</w:t>
      </w:r>
    </w:p>
    <w:p w14:paraId="62E499E0" w14:textId="77777777" w:rsidR="00A77B3E" w:rsidRDefault="001D27AD" w:rsidP="00567499">
      <w:pPr>
        <w:snapToGrid w:val="0"/>
        <w:spacing w:line="360" w:lineRule="auto"/>
        <w:jc w:val="both"/>
      </w:pPr>
      <w:r>
        <w:rPr>
          <w:rFonts w:ascii="Book Antiqua" w:eastAsia="Book Antiqua" w:hAnsi="Book Antiqua" w:cs="Book Antiqua"/>
          <w:color w:val="000000"/>
        </w:rPr>
        <w:t>BACKGROUND</w:t>
      </w:r>
    </w:p>
    <w:p w14:paraId="76F00CCD" w14:textId="428011F6" w:rsidR="00A77B3E" w:rsidRDefault="001D27AD" w:rsidP="00567499">
      <w:pPr>
        <w:snapToGrid w:val="0"/>
        <w:spacing w:line="360" w:lineRule="auto"/>
        <w:jc w:val="both"/>
      </w:pPr>
      <w:r>
        <w:rPr>
          <w:rFonts w:ascii="Book Antiqua" w:eastAsia="Book Antiqua" w:hAnsi="Book Antiqua" w:cs="Book Antiqua"/>
          <w:color w:val="000000"/>
        </w:rPr>
        <w:t xml:space="preserve">The high morbidity and mortality of colorectal cancer (CRC) have posed great threats to human health. </w:t>
      </w:r>
      <w:proofErr w:type="spellStart"/>
      <w:r w:rsidR="00B4108C">
        <w:rPr>
          <w:rFonts w:ascii="Book Antiqua" w:eastAsia="Book Antiqua" w:hAnsi="Book Antiqua" w:cs="Book Antiqua"/>
          <w:color w:val="000000"/>
        </w:rPr>
        <w:t>C</w:t>
      </w:r>
      <w:r>
        <w:rPr>
          <w:rFonts w:ascii="Book Antiqua" w:eastAsia="Book Antiqua" w:hAnsi="Book Antiqua" w:cs="Book Antiqua"/>
          <w:color w:val="000000"/>
        </w:rPr>
        <w:t>ircRNA</w:t>
      </w:r>
      <w:proofErr w:type="spellEnd"/>
      <w:r>
        <w:rPr>
          <w:rFonts w:ascii="Book Antiqua" w:eastAsia="Book Antiqua" w:hAnsi="Book Antiqua" w:cs="Book Antiqua"/>
          <w:color w:val="000000"/>
        </w:rPr>
        <w:t xml:space="preserve"> and miRNA, acting as competing endogenous RNAs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have been found to play vital roles in carcinogenesis. However, the biological function of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in CRC pathogenesis and prognosis remains largely unexplored.</w:t>
      </w:r>
    </w:p>
    <w:p w14:paraId="7227F9EC" w14:textId="77777777" w:rsidR="00A77B3E" w:rsidRDefault="00A77B3E" w:rsidP="00567499">
      <w:pPr>
        <w:snapToGrid w:val="0"/>
        <w:spacing w:line="360" w:lineRule="auto"/>
        <w:jc w:val="both"/>
      </w:pPr>
    </w:p>
    <w:p w14:paraId="02ABD0D8" w14:textId="77777777" w:rsidR="00A77B3E" w:rsidRDefault="001D27AD" w:rsidP="00567499">
      <w:pPr>
        <w:snapToGrid w:val="0"/>
        <w:spacing w:line="360" w:lineRule="auto"/>
        <w:jc w:val="both"/>
      </w:pPr>
      <w:r>
        <w:rPr>
          <w:rFonts w:ascii="Book Antiqua" w:eastAsia="Book Antiqua" w:hAnsi="Book Antiqua" w:cs="Book Antiqua"/>
          <w:color w:val="000000"/>
        </w:rPr>
        <w:t>AIM</w:t>
      </w:r>
    </w:p>
    <w:p w14:paraId="1477968F" w14:textId="77777777" w:rsidR="00A77B3E" w:rsidRDefault="001D27AD" w:rsidP="00567499">
      <w:pPr>
        <w:snapToGrid w:val="0"/>
        <w:spacing w:line="360" w:lineRule="auto"/>
        <w:jc w:val="both"/>
      </w:pPr>
      <w:r>
        <w:rPr>
          <w:rFonts w:ascii="Book Antiqua" w:eastAsia="Book Antiqua" w:hAnsi="Book Antiqua" w:cs="Book Antiqua"/>
          <w:color w:val="000000"/>
        </w:rPr>
        <w:t xml:space="preserve">To identify the CRC-specific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-miRNA-mRNA regulatory network and uncover the subnetwork associated with its prognosis.</w:t>
      </w:r>
    </w:p>
    <w:p w14:paraId="4AD7A63F" w14:textId="77777777" w:rsidR="00A77B3E" w:rsidRDefault="00A77B3E" w:rsidP="00567499">
      <w:pPr>
        <w:snapToGrid w:val="0"/>
        <w:spacing w:line="360" w:lineRule="auto"/>
        <w:jc w:val="both"/>
      </w:pPr>
    </w:p>
    <w:p w14:paraId="4E119581" w14:textId="77777777" w:rsidR="00A77B3E" w:rsidRDefault="001D27AD" w:rsidP="00567499">
      <w:pPr>
        <w:snapToGrid w:val="0"/>
        <w:spacing w:line="360" w:lineRule="auto"/>
        <w:jc w:val="both"/>
      </w:pPr>
      <w:r>
        <w:rPr>
          <w:rFonts w:ascii="Book Antiqua" w:eastAsia="Book Antiqua" w:hAnsi="Book Antiqua" w:cs="Book Antiqua"/>
          <w:color w:val="000000"/>
        </w:rPr>
        <w:t>METHODS</w:t>
      </w:r>
    </w:p>
    <w:p w14:paraId="13A14ECE" w14:textId="7276DFC1" w:rsidR="00A77B3E" w:rsidRDefault="001D27AD" w:rsidP="00567499">
      <w:pPr>
        <w:snapToGrid w:val="0"/>
        <w:spacing w:line="360" w:lineRule="auto"/>
        <w:jc w:val="both"/>
      </w:pP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miRNAs and mRNAs differentially expressed (DE) in CRC tissues were selected by expression file analysis in the Group on Earth Observations (GEO) database, and the downstream target molecules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miRNAs were predicted. Then, the intersection of differentially expressed RNA molecules with the predicted targets was determined to obtain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GO and KEGG pathway analyses were conducted to elucidate the possible mechanism of pathogenesis. A survival analysis using the gene profiles and clinical information in The Cancer Genome Atlas (TCGA) database was performed to identify the mRNAs associated with the clinical outcome of CRC patients and construct a prognostic subnetwork.</w:t>
      </w:r>
    </w:p>
    <w:p w14:paraId="2E58FF9E" w14:textId="77777777" w:rsidR="00A77B3E" w:rsidRDefault="00A77B3E" w:rsidP="00567499">
      <w:pPr>
        <w:snapToGrid w:val="0"/>
        <w:spacing w:line="360" w:lineRule="auto"/>
        <w:jc w:val="both"/>
      </w:pPr>
    </w:p>
    <w:p w14:paraId="27530E84" w14:textId="77777777" w:rsidR="00A77B3E" w:rsidRDefault="001D27AD" w:rsidP="00567499">
      <w:pPr>
        <w:snapToGrid w:val="0"/>
        <w:spacing w:line="360" w:lineRule="auto"/>
        <w:jc w:val="both"/>
      </w:pPr>
      <w:r>
        <w:rPr>
          <w:rFonts w:ascii="Book Antiqua" w:eastAsia="Book Antiqua" w:hAnsi="Book Antiqua" w:cs="Book Antiqua"/>
          <w:color w:val="000000"/>
        </w:rPr>
        <w:t>RESULTS</w:t>
      </w:r>
    </w:p>
    <w:p w14:paraId="3860A7AF" w14:textId="4B4CA531" w:rsidR="00A77B3E" w:rsidRDefault="001D27AD" w:rsidP="00567499">
      <w:pPr>
        <w:snapToGrid w:val="0"/>
        <w:spacing w:line="360" w:lineRule="auto"/>
        <w:jc w:val="both"/>
      </w:pPr>
      <w:r>
        <w:rPr>
          <w:rFonts w:ascii="Book Antiqua" w:eastAsia="Book Antiqua" w:hAnsi="Book Antiqua" w:cs="Book Antiqua"/>
          <w:color w:val="000000"/>
        </w:rPr>
        <w:t xml:space="preserve">We downloaded three datasets (GSE126095, GSE41655 and GSE41657) of large-scale CRC samples from the GEO database. There were 55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114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267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in CRC tissues compared with normal tissues. After intersecting these </w:t>
      </w:r>
      <w:r w:rsidR="00296ED2" w:rsidRPr="00551F4B">
        <w:rPr>
          <w:rFonts w:ascii="Book Antiqua" w:eastAsia="Book Antiqua" w:hAnsi="Book Antiqua" w:cs="Book Antiqua"/>
          <w:color w:val="000000"/>
        </w:rPr>
        <w:t>molecule</w:t>
      </w:r>
      <w:r w:rsidR="00296ED2">
        <w:rPr>
          <w:rFonts w:ascii="Book Antiqua" w:eastAsia="Book Antiqua" w:hAnsi="Book Antiqua" w:cs="Book Antiqua"/>
          <w:color w:val="000000"/>
        </w:rPr>
        <w:t>s</w:t>
      </w:r>
      <w:r>
        <w:rPr>
          <w:rFonts w:ascii="Book Antiqua" w:eastAsia="Book Antiqua" w:hAnsi="Book Antiqua" w:cs="Book Antiqua"/>
          <w:color w:val="000000"/>
        </w:rPr>
        <w:t xml:space="preserve"> with predicted targets, 19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13 miRNAs and 28 mRNAs were chosen to develop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network. GO and KEGG functional enrichment analyses indicated that the retinol metabolic process, leukocyte chemotaxis, extracellular matrix remodeling, endoplasmic reticulum stress, alcohol dehydrogenase activity, gastric </w:t>
      </w:r>
      <w:r>
        <w:rPr>
          <w:rFonts w:ascii="Book Antiqua" w:eastAsia="Book Antiqua" w:hAnsi="Book Antiqua" w:cs="Book Antiqua"/>
          <w:color w:val="000000"/>
        </w:rPr>
        <w:lastRenderedPageBreak/>
        <w:t>acid secretion, nitrogen metabolism and NOD-like receptor signaling pathway might participate in the tumorigenesis of CRC. After verifying the identified mRNA effect in the TCGA database, we finally recognized 3 mRNAs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xml:space="preserve">) that were significantly associated with the </w:t>
      </w:r>
      <w:r w:rsidR="00DF707E">
        <w:rPr>
          <w:rFonts w:ascii="Book Antiqua" w:eastAsia="Book Antiqua" w:hAnsi="Book Antiqua" w:cs="Book Antiqua"/>
          <w:color w:val="000000"/>
        </w:rPr>
        <w:t xml:space="preserve">overall </w:t>
      </w:r>
      <w:r>
        <w:rPr>
          <w:rFonts w:ascii="Book Antiqua" w:eastAsia="Book Antiqua" w:hAnsi="Book Antiqua" w:cs="Book Antiqua"/>
          <w:color w:val="000000"/>
        </w:rPr>
        <w:t xml:space="preserve">survival of CRC patients and constructed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subnetwork including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(hsa_circ_0080210, hsa_circ_0007158, hsa_circ_0000375, hsa_circ_0018909 and hsa_circ_0011536) and 3 miRNAs (hsa-miR-601, hsa-miR-671-5p and hsa-miR-765), which could contain innovative and noninvasive indicators for the early screening and prognostic prediction of CRC.</w:t>
      </w:r>
    </w:p>
    <w:p w14:paraId="6F0DB438" w14:textId="77777777" w:rsidR="00A77B3E" w:rsidRDefault="00A77B3E" w:rsidP="00567499">
      <w:pPr>
        <w:snapToGrid w:val="0"/>
        <w:spacing w:line="360" w:lineRule="auto"/>
        <w:jc w:val="both"/>
      </w:pPr>
    </w:p>
    <w:p w14:paraId="7BC7CBC4" w14:textId="77777777" w:rsidR="00A77B3E" w:rsidRDefault="001D27AD" w:rsidP="00567499">
      <w:pPr>
        <w:snapToGrid w:val="0"/>
        <w:spacing w:line="360" w:lineRule="auto"/>
        <w:jc w:val="both"/>
      </w:pPr>
      <w:r>
        <w:rPr>
          <w:rFonts w:ascii="Book Antiqua" w:eastAsia="Book Antiqua" w:hAnsi="Book Antiqua" w:cs="Book Antiqua"/>
          <w:color w:val="000000"/>
        </w:rPr>
        <w:t>CONCLUSION</w:t>
      </w:r>
    </w:p>
    <w:p w14:paraId="3AE10F1F" w14:textId="77777777" w:rsidR="00A77B3E" w:rsidRDefault="001D27AD" w:rsidP="00567499">
      <w:pPr>
        <w:snapToGrid w:val="0"/>
        <w:spacing w:line="360" w:lineRule="auto"/>
        <w:jc w:val="both"/>
      </w:pPr>
      <w:r>
        <w:rPr>
          <w:rFonts w:ascii="Book Antiqua" w:eastAsia="Book Antiqua" w:hAnsi="Book Antiqua" w:cs="Book Antiqua"/>
          <w:color w:val="000000"/>
        </w:rPr>
        <w:t xml:space="preserve">We proposed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-miRNA-mRNA regulatory network closely associated with the progression and clinical outcome of CRC that might include promising biomarkers for carcinogenesis and therapeutic targets.</w:t>
      </w:r>
    </w:p>
    <w:p w14:paraId="670DE7E9" w14:textId="77777777" w:rsidR="00A77B3E" w:rsidRDefault="00A77B3E" w:rsidP="00567499">
      <w:pPr>
        <w:snapToGrid w:val="0"/>
        <w:spacing w:line="360" w:lineRule="auto"/>
        <w:jc w:val="both"/>
      </w:pPr>
    </w:p>
    <w:p w14:paraId="1B86B2B5" w14:textId="570510BE" w:rsidR="00A77B3E" w:rsidRDefault="001D27AD" w:rsidP="00567499">
      <w:pPr>
        <w:snapToGrid w:val="0"/>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w:t>
      </w:r>
      <w:r w:rsidR="00281950">
        <w:rPr>
          <w:rFonts w:ascii="Book Antiqua" w:eastAsia="Book Antiqua" w:hAnsi="Book Antiqua" w:cs="Book Antiqua"/>
          <w:color w:val="000000"/>
        </w:rPr>
        <w:t>m</w:t>
      </w:r>
      <w:r>
        <w:rPr>
          <w:rFonts w:ascii="Book Antiqua" w:eastAsia="Book Antiqua" w:hAnsi="Book Antiqua" w:cs="Book Antiqua"/>
          <w:color w:val="000000"/>
        </w:rPr>
        <w:t>iRNA; Network; Colorectal cancer; Prognosis; Biomarkers</w:t>
      </w:r>
    </w:p>
    <w:p w14:paraId="19829429" w14:textId="77777777" w:rsidR="00A77B3E" w:rsidRDefault="00A77B3E" w:rsidP="00567499">
      <w:pPr>
        <w:snapToGrid w:val="0"/>
        <w:spacing w:line="360" w:lineRule="auto"/>
        <w:jc w:val="both"/>
      </w:pPr>
    </w:p>
    <w:p w14:paraId="417AAA88" w14:textId="77777777" w:rsidR="00A77B3E" w:rsidRDefault="001D27AD" w:rsidP="00567499">
      <w:pPr>
        <w:snapToGrid w:val="0"/>
        <w:spacing w:line="360" w:lineRule="auto"/>
        <w:jc w:val="both"/>
      </w:pPr>
      <w:r>
        <w:rPr>
          <w:rFonts w:ascii="Book Antiqua" w:eastAsia="Book Antiqua" w:hAnsi="Book Antiqua" w:cs="Book Antiqua"/>
          <w:color w:val="000000"/>
        </w:rPr>
        <w:t xml:space="preserve">Yin TF, Zhao DY, Zhou YC, Wang QQ, Yao SK. Identification of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regulatory network and its prognostic effect in colorectal cancer.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9ED01BE" w14:textId="77777777" w:rsidR="00A77B3E" w:rsidRDefault="00A77B3E" w:rsidP="00567499">
      <w:pPr>
        <w:snapToGrid w:val="0"/>
        <w:spacing w:line="360" w:lineRule="auto"/>
        <w:jc w:val="both"/>
      </w:pPr>
    </w:p>
    <w:p w14:paraId="3468A3CD" w14:textId="4E8DBB34" w:rsidR="00A77B3E" w:rsidRDefault="001D27AD" w:rsidP="00567499">
      <w:pPr>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biological functions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miRNA interactions and their potential as noninvasive biomarkers have not been well elucidated in colorectal cancer (CRC). In this study, we constructed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regulatory network with 19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13 miRNAs and 28 mRNAs. GO and KEGG analyses indicated several signaling pathways probably involved in tumorigenesis. After being combined with survival analysis, a prognostic subnetwork was constructed including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3 miRNAs and 3 mRNAs, which may represent novel diagnostic and prognostic candidate biomarkers, as well as therapeutic targets of CRC.</w:t>
      </w:r>
    </w:p>
    <w:p w14:paraId="727731FE" w14:textId="2E539322" w:rsidR="00A77B3E" w:rsidRDefault="004F2577" w:rsidP="00567499">
      <w:pPr>
        <w:snapToGrid w:val="0"/>
        <w:spacing w:line="360" w:lineRule="auto"/>
        <w:jc w:val="both"/>
      </w:pPr>
      <w:r>
        <w:rPr>
          <w:rFonts w:ascii="Book Antiqua" w:eastAsia="Book Antiqua" w:hAnsi="Book Antiqua" w:cs="Book Antiqua"/>
          <w:b/>
          <w:caps/>
          <w:color w:val="000000"/>
          <w:u w:val="single"/>
        </w:rPr>
        <w:br w:type="page"/>
      </w:r>
      <w:r w:rsidR="001D27AD">
        <w:rPr>
          <w:rFonts w:ascii="Book Antiqua" w:eastAsia="Book Antiqua" w:hAnsi="Book Antiqua" w:cs="Book Antiqua"/>
          <w:b/>
          <w:caps/>
          <w:color w:val="000000"/>
          <w:u w:val="single"/>
        </w:rPr>
        <w:lastRenderedPageBreak/>
        <w:t>INTRODUCTION</w:t>
      </w:r>
    </w:p>
    <w:p w14:paraId="61C5E245" w14:textId="33E419D7" w:rsidR="00A77B3E" w:rsidRDefault="001D27AD" w:rsidP="00567499">
      <w:pPr>
        <w:snapToGrid w:val="0"/>
        <w:spacing w:line="360" w:lineRule="auto"/>
        <w:jc w:val="both"/>
      </w:pPr>
      <w:r>
        <w:rPr>
          <w:rFonts w:ascii="Book Antiqua" w:eastAsia="Book Antiqua" w:hAnsi="Book Antiqua" w:cs="Book Antiqua"/>
          <w:color w:val="000000"/>
        </w:rPr>
        <w:t xml:space="preserve">Colorectal cancer (CRC) is one of the most common tumors worldwide. The global cancer burden report in 2018 showed that the incidence and mortality of CRC ranked third and second,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Conventional therapeutic options for CRC, such as chemotherapy and radiotherapy, cannot satisfy the ever-rising demand for overall and disease-free survival. At present, the high morbidity and mortality of CRC pose a great threat to the health of humans. Early screening and prevention should be actively and urgently carried out. The pathogenesis of CRC remains largely unexplored, and gene regulation disorders may play an important role in it. </w:t>
      </w:r>
    </w:p>
    <w:p w14:paraId="7F865AC9" w14:textId="566A17C6" w:rsidR="00A77B3E" w:rsidRDefault="001D27AD" w:rsidP="00567499">
      <w:pPr>
        <w:snapToGrid w:val="0"/>
        <w:spacing w:line="360" w:lineRule="auto"/>
        <w:ind w:firstLine="480"/>
        <w:jc w:val="both"/>
      </w:pPr>
      <w:r>
        <w:rPr>
          <w:rFonts w:ascii="Book Antiqua" w:eastAsia="Book Antiqua" w:hAnsi="Book Antiqua" w:cs="Book Antiqua"/>
          <w:color w:val="000000"/>
        </w:rPr>
        <w:t xml:space="preserve">In recent years,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miRNAs, acting as noncoding RNAs, have attracted considerable research attention in a variety of diseases. These RNA molecules could regulate gene expression through complex mechanisms and interactions.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is a newly identified class of single-stranded circular, noncoding RNA molecules without 5′ poly-A and 3′ cap ends, which makes it resistant to degradation by RNA exonucleases and more stable than the linear RNA </w:t>
      </w:r>
      <w:proofErr w:type="gramStart"/>
      <w:r>
        <w:rPr>
          <w:rFonts w:ascii="Book Antiqua" w:eastAsia="Book Antiqua" w:hAnsi="Book Antiqua" w:cs="Book Antiqua"/>
          <w:color w:val="000000"/>
        </w:rPr>
        <w:t>class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Emerging evidence has proven that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are widely expressed in eukaryotic cells and can be implicated in physiological and pathological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Salmena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first hypothesized that competing endogenous RNAs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contain adequate miRNA response elements and may act as miRNA sponges to bind and compete with corresponding miRNAs, thereby sequestering miRNAs and regulating mRNA expression at the posttranslational level. MiRNAs are small, noncoding RNAs of approximately 20-22 nucleotides that can play a vital role in the regulation of gene expression, such as decreasing mRNA stability in various biological and pathological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6055DC89" w14:textId="1C904FA9" w:rsidR="00A77B3E" w:rsidRDefault="001D27AD" w:rsidP="00567499">
      <w:pPr>
        <w:snapToGrid w:val="0"/>
        <w:spacing w:line="360" w:lineRule="auto"/>
        <w:ind w:firstLine="480"/>
        <w:jc w:val="both"/>
      </w:pPr>
      <w:r>
        <w:rPr>
          <w:rFonts w:ascii="Book Antiqua" w:eastAsia="Book Antiqua" w:hAnsi="Book Antiqua" w:cs="Book Antiqua"/>
          <w:color w:val="000000"/>
        </w:rPr>
        <w:t xml:space="preserve">Accumulating evidence has revealed that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network could play a significantly important role in the development and progression of many diseases, especially cancer. For example, Song </w:t>
      </w:r>
      <w:r w:rsidR="003B23CD">
        <w:rPr>
          <w:rFonts w:ascii="Book Antiqua" w:eastAsia="Book Antiqua" w:hAnsi="Book Antiqua" w:cs="Book Antiqua"/>
          <w:color w:val="000000"/>
        </w:rPr>
        <w:t xml:space="preserve">and </w:t>
      </w:r>
      <w:proofErr w:type="gramStart"/>
      <w:r w:rsidR="003B23CD">
        <w:rPr>
          <w:rFonts w:ascii="Book Antiqua" w:eastAsia="Book Antiqua" w:hAnsi="Book Antiqua" w:cs="Book Antiqua"/>
          <w:color w:val="000000"/>
        </w:rPr>
        <w:t>Fu</w:t>
      </w:r>
      <w:r w:rsidRPr="003B23CD">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discovered that the hsa_circ_00001666/has-mir-1229/</w:t>
      </w:r>
      <w:r>
        <w:rPr>
          <w:rFonts w:ascii="Book Antiqua" w:eastAsia="Book Antiqua" w:hAnsi="Book Antiqua" w:cs="Book Antiqua"/>
          <w:i/>
          <w:iCs/>
          <w:color w:val="000000"/>
        </w:rPr>
        <w:t>CXCR5</w:t>
      </w:r>
      <w:r>
        <w:rPr>
          <w:rFonts w:ascii="Book Antiqua" w:eastAsia="Book Antiqua" w:hAnsi="Book Antiqua" w:cs="Book Antiqua"/>
          <w:color w:val="000000"/>
        </w:rPr>
        <w:t xml:space="preserve"> axis could participate in the pathogenesis of CRC and act as a promising biomarker for targeted treatment. A related study indicated that hsa_circ_0005100 has pivotal value in the progression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miR-1182/</w:t>
      </w:r>
      <w:r>
        <w:rPr>
          <w:rFonts w:ascii="Book Antiqua" w:eastAsia="Book Antiqua" w:hAnsi="Book Antiqua" w:cs="Book Antiqua"/>
          <w:i/>
          <w:iCs/>
          <w:color w:val="000000"/>
        </w:rPr>
        <w:t>hTERT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axis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Hsa_circ_000984 could sequester miR-106b and consequently </w:t>
      </w:r>
      <w:r>
        <w:rPr>
          <w:rFonts w:ascii="Book Antiqua" w:eastAsia="Book Antiqua" w:hAnsi="Book Antiqua" w:cs="Book Antiqua"/>
          <w:color w:val="000000"/>
        </w:rPr>
        <w:lastRenderedPageBreak/>
        <w:t xml:space="preserve">intensify the proliferation and migration of CRC cell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These studies indicate that dysregulated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miRNAs and mRNAs are closely related to the progression and prognosis of CRC and could be used as potential CRC-specific predictors, but the competitive regulatory pattern and biological function mechanism among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miRNAs and mRNAs are still complicated and need further verification.</w:t>
      </w:r>
    </w:p>
    <w:p w14:paraId="58FA5600" w14:textId="77777777" w:rsidR="00A77B3E" w:rsidRDefault="001D27AD" w:rsidP="00567499">
      <w:pPr>
        <w:snapToGrid w:val="0"/>
        <w:spacing w:line="360" w:lineRule="auto"/>
        <w:ind w:firstLine="480"/>
        <w:jc w:val="both"/>
      </w:pPr>
      <w:r>
        <w:rPr>
          <w:rFonts w:ascii="Book Antiqua" w:eastAsia="Book Antiqua" w:hAnsi="Book Antiqua" w:cs="Book Antiqua"/>
          <w:color w:val="000000"/>
        </w:rPr>
        <w:t>Along with the enormous advancement of RNA-sequencing technology, many public databases, such as Group on Earth Observations (GEO) and The Cancer Genome Atlas (TCGA), have been established, and a surge of large-scale RNA sequence data are available. Recently, bioinformatics analysis has been widely used to help screen key genes, construct regulatory models, and select therapeutic targets that may participate in tumor development and prognosis as well as provide guidance for basic and clinical research, which is helpful to clarify the pathogenesis of tumors and guide clinical treatment options.</w:t>
      </w:r>
    </w:p>
    <w:p w14:paraId="16C21CDD" w14:textId="77777777" w:rsidR="00A77B3E" w:rsidRDefault="001D27AD" w:rsidP="00567499">
      <w:pPr>
        <w:snapToGrid w:val="0"/>
        <w:spacing w:line="360" w:lineRule="auto"/>
        <w:ind w:firstLine="480"/>
        <w:jc w:val="both"/>
      </w:pPr>
      <w:r>
        <w:rPr>
          <w:rFonts w:ascii="Book Antiqua" w:eastAsia="Book Antiqua" w:hAnsi="Book Antiqua" w:cs="Book Antiqua"/>
          <w:color w:val="000000"/>
        </w:rPr>
        <w:t xml:space="preserve">The objective of this study was to explore a competitive regulatory model among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miRNAs and mRNAs and discover promising indicators for driving factors and mechanisms that induce the progression and affect the prognosis of CRC. To achieve this goal, we downloaded three datasets (GSE126095, GSE41655 and GSE41657) of large-scale CRC samples in the GEO database, selected differentially expressed (DE)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in CRC tissues compared with normal controls, and predicted the downstream target molecules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miRNAs. After intersection with the differentially expressed RNA molecules and predicted targets,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network was identified. Functional enrichment analyses were conducted to identify the underlying mechanism involved in the pathogenesis of CRC. To verify the prognostic effect of the mRNAs found above, we performed survival analysis using the gene profiles and clinical information in the TCGA database. Finally, survival-related genes were determined, and a prognostic subnetwork was developed. Our results revealed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-miRNA-mRNA regulatory interaction and provided guidance for expanding the understanding of CRC progression, prognosis and therapeutic options. The flow chart of the procedure in our study is illustrated in Figure 1.</w:t>
      </w:r>
    </w:p>
    <w:p w14:paraId="2FD9FC1D" w14:textId="77777777" w:rsidR="00A77B3E" w:rsidRDefault="00A77B3E" w:rsidP="00567499">
      <w:pPr>
        <w:snapToGrid w:val="0"/>
        <w:spacing w:line="360" w:lineRule="auto"/>
        <w:ind w:firstLine="480"/>
        <w:jc w:val="both"/>
      </w:pPr>
    </w:p>
    <w:p w14:paraId="58A9B65B"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lastRenderedPageBreak/>
        <w:t>MATERIALS AND METHODS</w:t>
      </w:r>
    </w:p>
    <w:p w14:paraId="01C5A864" w14:textId="77777777" w:rsidR="00A77B3E" w:rsidRDefault="001D27AD" w:rsidP="00567499">
      <w:pPr>
        <w:snapToGrid w:val="0"/>
        <w:spacing w:line="360" w:lineRule="auto"/>
        <w:jc w:val="both"/>
      </w:pPr>
      <w:r>
        <w:rPr>
          <w:rFonts w:ascii="Book Antiqua" w:eastAsia="Book Antiqua" w:hAnsi="Book Antiqua" w:cs="Book Antiqua"/>
          <w:b/>
          <w:bCs/>
          <w:i/>
          <w:iCs/>
          <w:color w:val="000000"/>
        </w:rPr>
        <w:t>Dataset retrieval</w:t>
      </w:r>
    </w:p>
    <w:p w14:paraId="16D9A3F3" w14:textId="3E51F4D5" w:rsidR="00A77B3E" w:rsidRDefault="001D27AD" w:rsidP="00567499">
      <w:pPr>
        <w:snapToGrid w:val="0"/>
        <w:spacing w:line="360" w:lineRule="auto"/>
        <w:jc w:val="both"/>
      </w:pPr>
      <w:r>
        <w:rPr>
          <w:rFonts w:ascii="Book Antiqua" w:eastAsia="Book Antiqua" w:hAnsi="Book Antiqua" w:cs="Book Antiqua"/>
          <w:color w:val="000000"/>
        </w:rPr>
        <w:t>The expression profiles of three datasets (GSE126095, GSE41655 and GSE41657) were downloaded from the GEO database (http://www.ncbi.nlm.nih.gov/geo). Referring to the annotation information on the platform, probes were transformed to corresponding gene symbols. The GSE126095 dataset included 10 CRC and 10 normal tissues. The GSE41655 dataset contained 33 CRC tissues, 15 normal tissues and 59 colorectal adenomas, and GSE41657 included 25 CRC tissues, 12 normal tissues and 51 colorectal adenomas. CRC and normal tissue data in the two datasets above were chosen for comprehensive analysis. Moreover, clinical information and mRNA expression profiles were obtained from the TCGA database (https://portal.gdc.cancer.gov/). A total of 530 samples of patients (488 CRC tissues and 42 normal tissues), which had complete clinical characteristics, including age, sex, stage, survival time and survival state, and survival or follow-up time ≥</w:t>
      </w:r>
      <w:r w:rsidR="00A45291">
        <w:rPr>
          <w:rFonts w:ascii="Book Antiqua" w:eastAsia="Book Antiqua" w:hAnsi="Book Antiqua" w:cs="Book Antiqua"/>
          <w:color w:val="000000"/>
        </w:rPr>
        <w:t xml:space="preserve"> </w:t>
      </w:r>
      <w:r>
        <w:rPr>
          <w:rFonts w:ascii="Book Antiqua" w:eastAsia="Book Antiqua" w:hAnsi="Book Antiqua" w:cs="Book Antiqua"/>
          <w:color w:val="000000"/>
        </w:rPr>
        <w:t>30 d, were selected for further analysis. This study was approved by the Ethics Committee of China-Japan Friendship Hospital (No. 2018-116-K85-1). An informed consent statement was not necessary because all data were acquired from the GEO and TCGA databases and available to the public.</w:t>
      </w:r>
    </w:p>
    <w:p w14:paraId="36736DC8" w14:textId="77777777" w:rsidR="00A77B3E" w:rsidRDefault="00A77B3E" w:rsidP="00567499">
      <w:pPr>
        <w:snapToGrid w:val="0"/>
        <w:spacing w:line="360" w:lineRule="auto"/>
        <w:jc w:val="both"/>
      </w:pPr>
    </w:p>
    <w:p w14:paraId="05476D99" w14:textId="77777777" w:rsidR="00A77B3E" w:rsidRDefault="001D27AD" w:rsidP="00567499">
      <w:pPr>
        <w:snapToGrid w:val="0"/>
        <w:spacing w:line="360" w:lineRule="auto"/>
        <w:jc w:val="both"/>
      </w:pPr>
      <w:r>
        <w:rPr>
          <w:rFonts w:ascii="Book Antiqua" w:eastAsia="Book Antiqua" w:hAnsi="Book Antiqua" w:cs="Book Antiqua"/>
          <w:b/>
          <w:bCs/>
          <w:i/>
          <w:iCs/>
          <w:color w:val="000000"/>
        </w:rPr>
        <w:t xml:space="preserve">Identification of differentially expressed </w:t>
      </w:r>
      <w:proofErr w:type="spellStart"/>
      <w:r>
        <w:rPr>
          <w:rFonts w:ascii="Book Antiqua" w:eastAsia="Book Antiqua" w:hAnsi="Book Antiqua" w:cs="Book Antiqua"/>
          <w:b/>
          <w:bCs/>
          <w:i/>
          <w:iCs/>
          <w:color w:val="000000"/>
        </w:rPr>
        <w:t>circRNAs</w:t>
      </w:r>
      <w:proofErr w:type="spellEnd"/>
      <w:r>
        <w:rPr>
          <w:rFonts w:ascii="Book Antiqua" w:eastAsia="Book Antiqua" w:hAnsi="Book Antiqua" w:cs="Book Antiqua"/>
          <w:b/>
          <w:bCs/>
          <w:i/>
          <w:iCs/>
          <w:color w:val="000000"/>
        </w:rPr>
        <w:t>, miRNAs and mRNAs</w:t>
      </w:r>
    </w:p>
    <w:p w14:paraId="20443531" w14:textId="2442B7FC" w:rsidR="00A77B3E" w:rsidRDefault="001D27AD" w:rsidP="00567499">
      <w:pPr>
        <w:snapToGrid w:val="0"/>
        <w:spacing w:line="360" w:lineRule="auto"/>
        <w:jc w:val="both"/>
      </w:pPr>
      <w:r>
        <w:rPr>
          <w:rFonts w:ascii="Book Antiqua" w:eastAsia="Book Antiqua" w:hAnsi="Book Antiqua" w:cs="Book Antiqua"/>
          <w:color w:val="000000"/>
        </w:rPr>
        <w:t>After downloading data from the GEO database,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was utilized for background correction and normalization of the raw read counts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miRNA and mRNA as well as identification of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between tumor samples and normal controls. The cut-off criteria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mRNA were set at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F5B49">
        <w:rPr>
          <w:rFonts w:ascii="Book Antiqua" w:eastAsia="Book Antiqua" w:hAnsi="Book Antiqua" w:cs="Book Antiqua"/>
          <w:color w:val="000000"/>
        </w:rPr>
        <w:t xml:space="preserve"> </w:t>
      </w:r>
      <w:r>
        <w:rPr>
          <w:rFonts w:ascii="Book Antiqua" w:eastAsia="Book Antiqua" w:hAnsi="Book Antiqua" w:cs="Book Antiqua"/>
          <w:color w:val="000000"/>
        </w:rPr>
        <w:t>0.05 and |log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fold change (FC)|</w:t>
      </w:r>
      <w:r w:rsidR="00EF5B49">
        <w:rPr>
          <w:rFonts w:ascii="Book Antiqua" w:eastAsia="Book Antiqua" w:hAnsi="Book Antiqua" w:cs="Book Antiqua"/>
          <w:color w:val="000000"/>
        </w:rPr>
        <w:t xml:space="preserve"> </w:t>
      </w:r>
      <w:r>
        <w:rPr>
          <w:rFonts w:ascii="Book Antiqua" w:eastAsia="Book Antiqua" w:hAnsi="Book Antiqua" w:cs="Book Antiqua"/>
          <w:color w:val="000000"/>
        </w:rPr>
        <w:t>&gt;</w:t>
      </w:r>
      <w:r w:rsidR="00EF5B49">
        <w:rPr>
          <w:rFonts w:ascii="Book Antiqua" w:eastAsia="Book Antiqua" w:hAnsi="Book Antiqua" w:cs="Book Antiqua"/>
          <w:color w:val="000000"/>
        </w:rPr>
        <w:t xml:space="preserve"> </w:t>
      </w:r>
      <w:r>
        <w:rPr>
          <w:rFonts w:ascii="Book Antiqua" w:eastAsia="Book Antiqua" w:hAnsi="Book Antiqua" w:cs="Book Antiqua"/>
          <w:color w:val="000000"/>
        </w:rPr>
        <w:t xml:space="preserve">2, while the cut-off value of miRNA was set at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F5B49">
        <w:rPr>
          <w:rFonts w:ascii="Book Antiqua" w:eastAsia="Book Antiqua" w:hAnsi="Book Antiqua" w:cs="Book Antiqua"/>
          <w:color w:val="000000"/>
        </w:rPr>
        <w:t xml:space="preserve"> </w:t>
      </w:r>
      <w:r>
        <w:rPr>
          <w:rFonts w:ascii="Book Antiqua" w:eastAsia="Book Antiqua" w:hAnsi="Book Antiqua" w:cs="Book Antiqua"/>
          <w:color w:val="000000"/>
        </w:rPr>
        <w:t>0.05 and |log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FC|&gt;1.</w:t>
      </w:r>
    </w:p>
    <w:p w14:paraId="73B94B86" w14:textId="77777777" w:rsidR="00A77B3E" w:rsidRDefault="00A77B3E" w:rsidP="00567499">
      <w:pPr>
        <w:snapToGrid w:val="0"/>
        <w:spacing w:line="360" w:lineRule="auto"/>
        <w:jc w:val="both"/>
      </w:pPr>
    </w:p>
    <w:p w14:paraId="269352C3" w14:textId="77777777" w:rsidR="00A77B3E" w:rsidRDefault="001D27AD" w:rsidP="00567499">
      <w:pPr>
        <w:snapToGrid w:val="0"/>
        <w:spacing w:line="360" w:lineRule="auto"/>
        <w:jc w:val="both"/>
      </w:pPr>
      <w:r>
        <w:rPr>
          <w:rFonts w:ascii="Book Antiqua" w:eastAsia="Book Antiqua" w:hAnsi="Book Antiqua" w:cs="Book Antiqua"/>
          <w:b/>
          <w:bCs/>
          <w:i/>
          <w:iCs/>
          <w:color w:val="000000"/>
        </w:rPr>
        <w:t xml:space="preserve">Target prediction and intersection for </w:t>
      </w:r>
      <w:proofErr w:type="spellStart"/>
      <w:r>
        <w:rPr>
          <w:rFonts w:ascii="Book Antiqua" w:eastAsia="Book Antiqua" w:hAnsi="Book Antiqua" w:cs="Book Antiqua"/>
          <w:b/>
          <w:bCs/>
          <w:i/>
          <w:iCs/>
          <w:color w:val="000000"/>
        </w:rPr>
        <w:t>ceRNA</w:t>
      </w:r>
      <w:proofErr w:type="spellEnd"/>
      <w:r>
        <w:rPr>
          <w:rFonts w:ascii="Book Antiqua" w:eastAsia="Book Antiqua" w:hAnsi="Book Antiqua" w:cs="Book Antiqua"/>
          <w:b/>
          <w:bCs/>
          <w:i/>
          <w:iCs/>
          <w:color w:val="000000"/>
        </w:rPr>
        <w:t xml:space="preserve"> network construction</w:t>
      </w:r>
    </w:p>
    <w:p w14:paraId="7CDAB8B6" w14:textId="77777777" w:rsidR="00A77B3E" w:rsidRDefault="001D27AD" w:rsidP="00567499">
      <w:pPr>
        <w:snapToGrid w:val="0"/>
        <w:spacing w:line="360" w:lineRule="auto"/>
        <w:jc w:val="both"/>
      </w:pP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circBase</w:t>
      </w:r>
      <w:proofErr w:type="spellEnd"/>
      <w:r>
        <w:rPr>
          <w:rFonts w:ascii="Book Antiqua" w:eastAsia="Book Antiqua" w:hAnsi="Book Antiqua" w:cs="Book Antiqua"/>
          <w:color w:val="000000"/>
        </w:rPr>
        <w:t xml:space="preserve"> database (http://www.circb ase.org/), specific information on the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was available, and then the Cancer-Specific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database (CSCD) (http://gb.whu.edu.cn/CSCD/) was used to obtain structural patterns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predict the binding relationship between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miRNAs. After intersection with the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promising miRNAs were finally identified, and their target mRNAs were predicted in the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databases. When both databases supported mRNAs as candidate targets, these targets and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intersected to obtain the final mRNA. After removing unconnected nodes,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network was developed based on the results above and visualized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w:t>
      </w:r>
    </w:p>
    <w:p w14:paraId="6DED0EF5" w14:textId="77777777" w:rsidR="00A77B3E" w:rsidRDefault="00A77B3E" w:rsidP="00567499">
      <w:pPr>
        <w:snapToGrid w:val="0"/>
        <w:spacing w:line="360" w:lineRule="auto"/>
        <w:jc w:val="both"/>
      </w:pPr>
    </w:p>
    <w:p w14:paraId="3A63BC20" w14:textId="77777777" w:rsidR="00A77B3E" w:rsidRDefault="001D27AD" w:rsidP="00567499">
      <w:pPr>
        <w:snapToGrid w:val="0"/>
        <w:spacing w:line="360" w:lineRule="auto"/>
        <w:jc w:val="both"/>
      </w:pPr>
      <w:r>
        <w:rPr>
          <w:rFonts w:ascii="Book Antiqua" w:eastAsia="Book Antiqua" w:hAnsi="Book Antiqua" w:cs="Book Antiqua"/>
          <w:b/>
          <w:bCs/>
          <w:i/>
          <w:iCs/>
          <w:color w:val="000000"/>
        </w:rPr>
        <w:t>GO and KEGG functional enrichment analysis</w:t>
      </w:r>
    </w:p>
    <w:p w14:paraId="1F34D97D" w14:textId="346A3B16" w:rsidR="00A77B3E" w:rsidRDefault="001D27AD" w:rsidP="00567499">
      <w:pPr>
        <w:snapToGrid w:val="0"/>
        <w:spacing w:line="360" w:lineRule="auto"/>
        <w:jc w:val="both"/>
      </w:pPr>
      <w:r>
        <w:rPr>
          <w:rFonts w:ascii="Book Antiqua" w:eastAsia="Book Antiqua" w:hAnsi="Book Antiqua" w:cs="Book Antiqua"/>
          <w:color w:val="000000"/>
        </w:rPr>
        <w:t>To reveal the pathophysiological processes and critical signaling pathways involved in the carcinogenesis of CRC, two widely used bioinformatics analysis methods, GO and KEGG, were conducted.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package in R/Bioconductor was used for analyzing GO term and KEGG pathway enrichment.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regarded as a statistical criterion.</w:t>
      </w:r>
    </w:p>
    <w:p w14:paraId="49885D49" w14:textId="77777777" w:rsidR="00A77B3E" w:rsidRDefault="00A77B3E" w:rsidP="00567499">
      <w:pPr>
        <w:snapToGrid w:val="0"/>
        <w:spacing w:line="360" w:lineRule="auto"/>
        <w:jc w:val="both"/>
      </w:pPr>
    </w:p>
    <w:p w14:paraId="0F6FA14C" w14:textId="77777777" w:rsidR="00A77B3E" w:rsidRDefault="001D27AD" w:rsidP="00567499">
      <w:pPr>
        <w:snapToGrid w:val="0"/>
        <w:spacing w:line="360" w:lineRule="auto"/>
        <w:jc w:val="both"/>
      </w:pPr>
      <w:r>
        <w:rPr>
          <w:rFonts w:ascii="Book Antiqua" w:eastAsia="Book Antiqua" w:hAnsi="Book Antiqua" w:cs="Book Antiqua"/>
          <w:b/>
          <w:bCs/>
          <w:i/>
          <w:iCs/>
          <w:color w:val="000000"/>
        </w:rPr>
        <w:t>Survival analysis and prognostic subnetwork construction</w:t>
      </w:r>
    </w:p>
    <w:p w14:paraId="488BAA0A" w14:textId="721707A5" w:rsidR="00A77B3E" w:rsidRDefault="001D27AD" w:rsidP="00567499">
      <w:pPr>
        <w:snapToGrid w:val="0"/>
        <w:spacing w:line="360" w:lineRule="auto"/>
        <w:jc w:val="both"/>
      </w:pPr>
      <w:r>
        <w:rPr>
          <w:rFonts w:ascii="Book Antiqua" w:eastAsia="Book Antiqua" w:hAnsi="Book Antiqua" w:cs="Book Antiqua"/>
          <w:color w:val="000000"/>
        </w:rPr>
        <w:t xml:space="preserve">To assess the value of the identified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and determine the mRNAs related to prognosis, the mRNA expression profile and clinical information for CRC patients were downloaded from the TCGA database. Kaplan–Meier curves were generated for survival analysis. The log-rank test was utilized for statistical analysis. The cut-off criterion was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Finally,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subnetwork was developed on the basis of the above verified mRNAs.</w:t>
      </w:r>
    </w:p>
    <w:p w14:paraId="31071BC6" w14:textId="77777777" w:rsidR="00A77B3E" w:rsidRDefault="00A77B3E" w:rsidP="00567499">
      <w:pPr>
        <w:snapToGrid w:val="0"/>
        <w:spacing w:line="360" w:lineRule="auto"/>
        <w:jc w:val="both"/>
      </w:pPr>
    </w:p>
    <w:p w14:paraId="78C1421C"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RESULTS</w:t>
      </w:r>
    </w:p>
    <w:p w14:paraId="29121B71" w14:textId="77777777" w:rsidR="00A77B3E" w:rsidRDefault="001D27AD" w:rsidP="00567499">
      <w:pPr>
        <w:snapToGrid w:val="0"/>
        <w:spacing w:line="360" w:lineRule="auto"/>
        <w:jc w:val="both"/>
      </w:pPr>
      <w:r>
        <w:rPr>
          <w:rFonts w:ascii="Book Antiqua" w:eastAsia="Book Antiqua" w:hAnsi="Book Antiqua" w:cs="Book Antiqua"/>
          <w:b/>
          <w:bCs/>
          <w:i/>
          <w:iCs/>
          <w:color w:val="000000"/>
        </w:rPr>
        <w:t xml:space="preserve">Identification of differentially expressed and intersecting </w:t>
      </w:r>
      <w:proofErr w:type="spellStart"/>
      <w:r>
        <w:rPr>
          <w:rFonts w:ascii="Book Antiqua" w:eastAsia="Book Antiqua" w:hAnsi="Book Antiqua" w:cs="Book Antiqua"/>
          <w:b/>
          <w:bCs/>
          <w:i/>
          <w:iCs/>
          <w:color w:val="000000"/>
        </w:rPr>
        <w:t>circRNAs</w:t>
      </w:r>
      <w:proofErr w:type="spellEnd"/>
      <w:r>
        <w:rPr>
          <w:rFonts w:ascii="Book Antiqua" w:eastAsia="Book Antiqua" w:hAnsi="Book Antiqua" w:cs="Book Antiqua"/>
          <w:b/>
          <w:bCs/>
          <w:i/>
          <w:iCs/>
          <w:color w:val="000000"/>
        </w:rPr>
        <w:t>, miRNAs and mRNAs</w:t>
      </w:r>
    </w:p>
    <w:p w14:paraId="36B38DDA" w14:textId="2E98F732" w:rsidR="00A77B3E" w:rsidRDefault="001D27AD" w:rsidP="00567499">
      <w:pPr>
        <w:snapToGrid w:val="0"/>
        <w:spacing w:line="360" w:lineRule="auto"/>
        <w:jc w:val="both"/>
      </w:pPr>
      <w:r>
        <w:rPr>
          <w:rFonts w:ascii="Book Antiqua" w:eastAsia="Book Antiqua" w:hAnsi="Book Antiqua" w:cs="Book Antiqua"/>
          <w:color w:val="000000"/>
        </w:rPr>
        <w:t xml:space="preserve">The basic characteristics of the three GEO datasets (GSE126095, GSE41655 and GSE41657) and the TCGA is shown in Table 1. In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profile data of GSE126095, there were a total of 55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between the CRC samples and normal controls</w:t>
      </w:r>
      <w:r w:rsidR="00D74B8C">
        <w:rPr>
          <w:rFonts w:ascii="Book Antiqua" w:eastAsia="Book Antiqua" w:hAnsi="Book Antiqua" w:cs="Book Antiqua"/>
          <w:color w:val="000000"/>
        </w:rPr>
        <w:t xml:space="preserve">, among which </w:t>
      </w:r>
      <w:r>
        <w:rPr>
          <w:rFonts w:ascii="Book Antiqua" w:eastAsia="Book Antiqua" w:hAnsi="Book Antiqua" w:cs="Book Antiqua"/>
          <w:color w:val="000000"/>
        </w:rPr>
        <w:t xml:space="preserve">22 upregulated and 33 downregulated </w:t>
      </w:r>
      <w:r w:rsidR="00D74B8C">
        <w:rPr>
          <w:rFonts w:ascii="Book Antiqua" w:eastAsia="Book Antiqua" w:hAnsi="Book Antiqua" w:cs="Book Antiqua"/>
          <w:color w:val="000000"/>
        </w:rPr>
        <w:t xml:space="preserve">in CRC </w:t>
      </w:r>
      <w:r>
        <w:rPr>
          <w:rFonts w:ascii="Book Antiqua" w:eastAsia="Book Antiqua" w:hAnsi="Book Antiqua" w:cs="Book Antiqua"/>
          <w:color w:val="000000"/>
        </w:rPr>
        <w:t xml:space="preserve">tissues (Figure 2). After removing 6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that did not have details in the CSCD database, the structural models of 49 </w:t>
      </w:r>
      <w:proofErr w:type="spellStart"/>
      <w:r>
        <w:rPr>
          <w:rFonts w:ascii="Book Antiqua" w:eastAsia="Book Antiqua" w:hAnsi="Book Antiqua" w:cs="Book Antiqua"/>
          <w:color w:val="000000"/>
        </w:rPr>
        <w:lastRenderedPageBreak/>
        <w:t>DEcircRNAs</w:t>
      </w:r>
      <w:proofErr w:type="spellEnd"/>
      <w:r>
        <w:rPr>
          <w:rFonts w:ascii="Book Antiqua" w:eastAsia="Book Antiqua" w:hAnsi="Book Antiqua" w:cs="Book Antiqua"/>
          <w:color w:val="000000"/>
        </w:rPr>
        <w:t xml:space="preserve"> obtained from CSCD database are depicted in Figure 3, and the basic information of the these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is listed in Supplementary Table 1. Based on this, we successfully predicted that 1602 miRNAs might be the targets of these 49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For miRNAs with aberrant expression in GSE41655, 114 miRNAs were investigated to be differentially expressed in CRC, among which 58 were overexpressed and 56 were downregulated (Supplementary Table 2). A total of 25 miRNAs were identified from the intersection of 114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1602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targets predicted by the CSCD database (Supplementary Table 3). According to the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databases, 7190 potential target genes for the 25 intersecting miRNAs were found. In the GSE41657 mRNA expression profile, 267 mRNAs were differentially expressed, among which 112 were highly expressed and 155 were expressed at low levels in CRC compared with normal tissues (Supplementary Table 4). A total of 77 intersecting mRNAs were generated (Supplementary Table 5). We utilized Venn diagram</w:t>
      </w:r>
      <w:r w:rsidR="00D74B8C">
        <w:rPr>
          <w:rFonts w:ascii="Book Antiqua" w:eastAsia="Book Antiqua" w:hAnsi="Book Antiqua" w:cs="Book Antiqua"/>
          <w:color w:val="000000"/>
        </w:rPr>
        <w:t>s</w:t>
      </w:r>
      <w:r>
        <w:rPr>
          <w:rFonts w:ascii="Book Antiqua" w:eastAsia="Book Antiqua" w:hAnsi="Book Antiqua" w:cs="Book Antiqua"/>
          <w:color w:val="000000"/>
        </w:rPr>
        <w:t xml:space="preserve"> to illustrate the intersecting states of miRNA and mRNA (Figure 4A and B) and took the 20 miRNAs and 20 mRNAs expressing the most significant upregulation and downregulation, respectively, to draw heat maps (Figure 4C and D).</w:t>
      </w:r>
    </w:p>
    <w:p w14:paraId="2155A8D5" w14:textId="77777777" w:rsidR="00A77B3E" w:rsidRDefault="00A77B3E" w:rsidP="00567499">
      <w:pPr>
        <w:snapToGrid w:val="0"/>
        <w:spacing w:line="360" w:lineRule="auto"/>
        <w:jc w:val="both"/>
      </w:pPr>
    </w:p>
    <w:p w14:paraId="6E3AB58A" w14:textId="77777777" w:rsidR="00A77B3E" w:rsidRDefault="001D27AD" w:rsidP="00567499">
      <w:pPr>
        <w:snapToGrid w:val="0"/>
        <w:spacing w:line="360" w:lineRule="auto"/>
        <w:jc w:val="both"/>
      </w:pPr>
      <w:r>
        <w:rPr>
          <w:rFonts w:ascii="Book Antiqua" w:eastAsia="Book Antiqua" w:hAnsi="Book Antiqua" w:cs="Book Antiqua"/>
          <w:b/>
          <w:bCs/>
          <w:i/>
          <w:iCs/>
          <w:color w:val="000000"/>
        </w:rPr>
        <w:t xml:space="preserve">Construction of the CRC-specific </w:t>
      </w:r>
      <w:proofErr w:type="spellStart"/>
      <w:r>
        <w:rPr>
          <w:rFonts w:ascii="Book Antiqua" w:eastAsia="Book Antiqua" w:hAnsi="Book Antiqua" w:cs="Book Antiqua"/>
          <w:b/>
          <w:bCs/>
          <w:i/>
          <w:iCs/>
          <w:color w:val="000000"/>
        </w:rPr>
        <w:t>ceRNA</w:t>
      </w:r>
      <w:proofErr w:type="spellEnd"/>
      <w:r>
        <w:rPr>
          <w:rFonts w:ascii="Book Antiqua" w:eastAsia="Book Antiqua" w:hAnsi="Book Antiqua" w:cs="Book Antiqua"/>
          <w:b/>
          <w:bCs/>
          <w:i/>
          <w:iCs/>
          <w:color w:val="000000"/>
        </w:rPr>
        <w:t xml:space="preserve"> network</w:t>
      </w:r>
    </w:p>
    <w:p w14:paraId="5D5357E2" w14:textId="77777777" w:rsidR="00A77B3E" w:rsidRDefault="001D27AD" w:rsidP="00567499">
      <w:pPr>
        <w:snapToGrid w:val="0"/>
        <w:spacing w:line="360" w:lineRule="auto"/>
        <w:jc w:val="both"/>
      </w:pPr>
      <w:r>
        <w:rPr>
          <w:rFonts w:ascii="Book Antiqua" w:eastAsia="Book Antiqua" w:hAnsi="Book Antiqua" w:cs="Book Antiqua"/>
          <w:color w:val="000000"/>
        </w:rPr>
        <w:t xml:space="preserve">Based on the recognized 49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25 miRNAs and 77 mRNAs, we removed unconnected nodes and chose 19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(hsa_circ_0000520, hsa_circ_0000519, hsa_circ_0001955, hsa_circ_0028198, hsa_circ_0080210, hsa_circ_0007158, hsa_circ_0000375, hsa_circ_0000026, hsa_circ_0023685, hsa_circ_0000370, hsa_circ_0061817, hsa_circ_0005927, hsa_circ_0072088, hsa_circ_0018909, hsa_circ_0013912, hsa_circ_0071681, hsa_circ_0011536, hsa_circ_0043278, and hsa_circ_0006220), 13 miRNAs (hsa-miR-423-5p, hsa-miR-532-3p, hsa-miR-765, hsa-miR-1224-5p, hsa-miR-650, hsa-miR-769-5p, hsa-miR-671-5p, hsa-miR-1290, hsa-miR-125a-3p, hsa-miR-601, hsa-miR-198, hsa-miR-1202, and hsa-miR-1182) and 28 mRNAs (</w:t>
      </w:r>
      <w:r>
        <w:rPr>
          <w:rFonts w:ascii="Book Antiqua" w:eastAsia="Book Antiqua" w:hAnsi="Book Antiqua" w:cs="Book Antiqua"/>
          <w:i/>
          <w:iCs/>
          <w:color w:val="000000"/>
        </w:rPr>
        <w:t xml:space="preserve">RNF43, DSG3, AZGP1, SST, DES, TCF21, MFAP4, EREG, BCAS1, C1QA, SPARCL1, CXCL3, EPHB3, TRAF3IP3, TRPM2, CA2, LRRC19, SCG2, C16orf89, ADH1A, MZB1, HAPLN1, S100A2, GPR34, MS4A12, ITLN1, DHRS9, </w:t>
      </w:r>
      <w:r>
        <w:rPr>
          <w:rFonts w:ascii="Book Antiqua" w:eastAsia="Book Antiqua" w:hAnsi="Book Antiqua" w:cs="Book Antiqua"/>
          <w:color w:val="000000"/>
        </w:rPr>
        <w:t>and</w:t>
      </w:r>
      <w:r>
        <w:rPr>
          <w:rFonts w:ascii="Book Antiqua" w:eastAsia="Book Antiqua" w:hAnsi="Book Antiqua" w:cs="Book Antiqua"/>
          <w:i/>
          <w:iCs/>
          <w:color w:val="000000"/>
        </w:rPr>
        <w:t xml:space="preserve"> CHGB</w:t>
      </w:r>
      <w:r>
        <w:rPr>
          <w:rFonts w:ascii="Book Antiqua" w:eastAsia="Book Antiqua" w:hAnsi="Book Antiqua" w:cs="Book Antiqua"/>
          <w:color w:val="000000"/>
        </w:rPr>
        <w:t xml:space="preserve">) in to construct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-miRNA-</w:t>
      </w:r>
      <w:r>
        <w:rPr>
          <w:rFonts w:ascii="Book Antiqua" w:eastAsia="Book Antiqua" w:hAnsi="Book Antiqua" w:cs="Book Antiqua"/>
          <w:color w:val="000000"/>
        </w:rPr>
        <w:lastRenderedPageBreak/>
        <w:t xml:space="preserve">mRNA regulatory network utilizing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 (Figure 5). The expression levels of these RNA molecules are shown in Figure 6.</w:t>
      </w:r>
    </w:p>
    <w:p w14:paraId="615F508B" w14:textId="77777777" w:rsidR="00A77B3E" w:rsidRDefault="00A77B3E" w:rsidP="00567499">
      <w:pPr>
        <w:snapToGrid w:val="0"/>
        <w:spacing w:line="360" w:lineRule="auto"/>
        <w:jc w:val="both"/>
      </w:pPr>
    </w:p>
    <w:p w14:paraId="20A1BD5D" w14:textId="77777777" w:rsidR="00A77B3E" w:rsidRDefault="001D27AD" w:rsidP="00567499">
      <w:pPr>
        <w:snapToGrid w:val="0"/>
        <w:spacing w:line="360" w:lineRule="auto"/>
        <w:jc w:val="both"/>
      </w:pPr>
      <w:r>
        <w:rPr>
          <w:rFonts w:ascii="Book Antiqua" w:eastAsia="Book Antiqua" w:hAnsi="Book Antiqua" w:cs="Book Antiqua"/>
          <w:b/>
          <w:bCs/>
          <w:i/>
          <w:iCs/>
          <w:color w:val="000000"/>
        </w:rPr>
        <w:t>GO and KEGG functional enrichment analysis</w:t>
      </w:r>
    </w:p>
    <w:p w14:paraId="77EA5C98" w14:textId="3F65169E" w:rsidR="00A77B3E" w:rsidRDefault="001D27AD" w:rsidP="00567499">
      <w:pPr>
        <w:snapToGrid w:val="0"/>
        <w:spacing w:line="360" w:lineRule="auto"/>
        <w:jc w:val="both"/>
      </w:pPr>
      <w:r>
        <w:rPr>
          <w:rFonts w:ascii="Book Antiqua" w:eastAsia="Book Antiqua" w:hAnsi="Book Antiqua" w:cs="Book Antiqua"/>
          <w:color w:val="000000"/>
        </w:rPr>
        <w:t xml:space="preserve">GO analysis revealed that the enrichments of the identified mRNAs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were mainly in the ‘retinoic acid metabolic process’, ‘retinol metabolic process’, ‘digestive tract morphogenesis’, and ‘leukocyte chemotaxis’ (biological processes;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0.005) (Figure 7A); ‘collagen-containing extracellular matrix’, ‘endoplasmic reticulum lumen’ and ‘endoplasmic reticulum chaperone complex’ (cellular components;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0.02) (Figure 7B); and ‘alcohol dehydrogenase (ADH) [NAD(P)</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activity’, ‘retinol dehydrogenase activity’ and ‘oxidoreductase activity’ (molecular functions;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0.02) (Figure 7C). The results of KEGG pathway analysis involving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indicated that the target genes were mainly enriched in ‘retinol metabolism’, ‘gastric acid secretion’, ‘nitrogen metabolism’, ‘NOD-like receptor signaling pathway’, ‘proximal tubule bicarbonate reclamation’, ‘collecting duct acid secretion’ and ‘tyrosine metabolism’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7D). According to these results, the retinol metabolic process, leukocyte chemotaxis, extracellular matrix remodeling, endoplasmic reticulum stress, ADH activity, gastric acid secretion, nitrogen metabolism and NOD-like receptor signaling pathway might participate in the tumorigenesis of CRC.</w:t>
      </w:r>
    </w:p>
    <w:p w14:paraId="74EF1BD1" w14:textId="77777777" w:rsidR="00A77B3E" w:rsidRDefault="00A77B3E" w:rsidP="00567499">
      <w:pPr>
        <w:snapToGrid w:val="0"/>
        <w:spacing w:line="360" w:lineRule="auto"/>
        <w:jc w:val="both"/>
      </w:pPr>
    </w:p>
    <w:p w14:paraId="140B10A6" w14:textId="77777777" w:rsidR="00A77B3E" w:rsidRDefault="001D27AD" w:rsidP="00567499">
      <w:pPr>
        <w:snapToGrid w:val="0"/>
        <w:spacing w:line="360" w:lineRule="auto"/>
        <w:jc w:val="both"/>
      </w:pPr>
      <w:r>
        <w:rPr>
          <w:rFonts w:ascii="Book Antiqua" w:eastAsia="Book Antiqua" w:hAnsi="Book Antiqua" w:cs="Book Antiqua"/>
          <w:b/>
          <w:bCs/>
          <w:i/>
          <w:iCs/>
          <w:color w:val="000000"/>
        </w:rPr>
        <w:t xml:space="preserve">Survival analysis and construction of the prognostic </w:t>
      </w:r>
      <w:proofErr w:type="spellStart"/>
      <w:r>
        <w:rPr>
          <w:rFonts w:ascii="Book Antiqua" w:eastAsia="Book Antiqua" w:hAnsi="Book Antiqua" w:cs="Book Antiqua"/>
          <w:b/>
          <w:bCs/>
          <w:i/>
          <w:iCs/>
          <w:color w:val="000000"/>
        </w:rPr>
        <w:t>ceRNA</w:t>
      </w:r>
      <w:proofErr w:type="spellEnd"/>
      <w:r>
        <w:rPr>
          <w:rFonts w:ascii="Book Antiqua" w:eastAsia="Book Antiqua" w:hAnsi="Book Antiqua" w:cs="Book Antiqua"/>
          <w:b/>
          <w:bCs/>
          <w:i/>
          <w:iCs/>
          <w:color w:val="000000"/>
        </w:rPr>
        <w:t xml:space="preserve"> subnetwork</w:t>
      </w:r>
    </w:p>
    <w:p w14:paraId="078A5D31" w14:textId="49F1AC26" w:rsidR="00A77B3E" w:rsidRDefault="001D27AD" w:rsidP="00567499">
      <w:pPr>
        <w:snapToGrid w:val="0"/>
        <w:spacing w:line="360" w:lineRule="auto"/>
        <w:jc w:val="both"/>
      </w:pPr>
      <w:r>
        <w:rPr>
          <w:rFonts w:ascii="Book Antiqua" w:eastAsia="Book Antiqua" w:hAnsi="Book Antiqua" w:cs="Book Antiqua"/>
          <w:color w:val="000000"/>
        </w:rPr>
        <w:t xml:space="preserve">We obtained mRNA profiles and clinical information of CRC patients in the TCGA database and performed survival analysis for each mRNA in the obtained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Finally, we recognized that 3 mRNAs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xml:space="preserve">) were significantly correlated with the clinical outcome of CRC patients (Figure 8). The patients with the upregulation of </w:t>
      </w:r>
      <w:r>
        <w:rPr>
          <w:rFonts w:ascii="Book Antiqua" w:eastAsia="Book Antiqua" w:hAnsi="Book Antiqua" w:cs="Book Antiqua"/>
          <w:i/>
          <w:iCs/>
          <w:color w:val="000000"/>
        </w:rPr>
        <w:t>CA2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B6725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B6725D">
        <w:rPr>
          <w:rFonts w:ascii="Book Antiqua" w:eastAsia="Book Antiqua" w:hAnsi="Book Antiqua" w:cs="Book Antiqua"/>
          <w:color w:val="000000"/>
        </w:rPr>
        <w:t xml:space="preserve"> </w:t>
      </w:r>
      <w:r>
        <w:rPr>
          <w:rFonts w:ascii="Book Antiqua" w:eastAsia="Book Antiqua" w:hAnsi="Book Antiqua" w:cs="Book Antiqua"/>
          <w:color w:val="000000"/>
        </w:rPr>
        <w:t xml:space="preserve">0.002), </w:t>
      </w:r>
      <w:r>
        <w:rPr>
          <w:rFonts w:ascii="Book Antiqua" w:eastAsia="Book Antiqua" w:hAnsi="Book Antiqua" w:cs="Book Antiqua"/>
          <w:i/>
          <w:iCs/>
          <w:color w:val="000000"/>
        </w:rPr>
        <w:t>ITLN1</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B6725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B6725D">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w:t>
      </w:r>
      <w:r>
        <w:rPr>
          <w:rFonts w:ascii="Book Antiqua" w:eastAsia="Book Antiqua" w:hAnsi="Book Antiqua" w:cs="Book Antiqua"/>
          <w:i/>
          <w:iCs/>
          <w:color w:val="000000"/>
        </w:rPr>
        <w:t>LRRC19</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B6725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B6725D">
        <w:rPr>
          <w:rFonts w:ascii="Book Antiqua" w:eastAsia="Book Antiqua" w:hAnsi="Book Antiqua" w:cs="Book Antiqua"/>
          <w:color w:val="000000"/>
        </w:rPr>
        <w:t xml:space="preserve"> </w:t>
      </w:r>
      <w:r>
        <w:rPr>
          <w:rFonts w:ascii="Book Antiqua" w:eastAsia="Book Antiqua" w:hAnsi="Book Antiqua" w:cs="Book Antiqua"/>
          <w:color w:val="000000"/>
        </w:rPr>
        <w:t xml:space="preserve">0.032) had a better prognosis than the corresponding group with low expression. Considering the 3 mRNAs identified above, we successfully constructed and visualized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subnetwork including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(hsa_circ_0080210, hsa_circ_0007158, </w:t>
      </w:r>
      <w:r>
        <w:rPr>
          <w:rFonts w:ascii="Book Antiqua" w:eastAsia="Book Antiqua" w:hAnsi="Book Antiqua" w:cs="Book Antiqua"/>
          <w:color w:val="000000"/>
        </w:rPr>
        <w:lastRenderedPageBreak/>
        <w:t>hsa_circ_0000375, hsa_circ_0018909 and hsa_circ_0011536) and 3 miRNAs (hsa-miR-601, hsa-miR-671-5p and hsa-miR-765) (Figure 9).</w:t>
      </w:r>
    </w:p>
    <w:p w14:paraId="6225CCB5" w14:textId="77777777" w:rsidR="00A77B3E" w:rsidRDefault="00A77B3E" w:rsidP="00567499">
      <w:pPr>
        <w:snapToGrid w:val="0"/>
        <w:spacing w:line="360" w:lineRule="auto"/>
        <w:jc w:val="both"/>
      </w:pPr>
    </w:p>
    <w:p w14:paraId="5F2B2686"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DISCUSSION</w:t>
      </w:r>
    </w:p>
    <w:p w14:paraId="1571DCAA" w14:textId="77777777" w:rsidR="00A77B3E" w:rsidRDefault="001D27AD" w:rsidP="00567499">
      <w:pPr>
        <w:snapToGrid w:val="0"/>
        <w:spacing w:line="360" w:lineRule="auto"/>
        <w:jc w:val="both"/>
      </w:pPr>
      <w:r>
        <w:rPr>
          <w:rFonts w:ascii="Book Antiqua" w:eastAsia="Book Antiqua" w:hAnsi="Book Antiqua" w:cs="Book Antiqua"/>
          <w:color w:val="000000"/>
        </w:rPr>
        <w:t xml:space="preserve">We identified the intersection of CRC-specific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in the GEO database with the target molecules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miRNAs predicted by relevant databases. Then, 19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13 miRNAs and 28 mRNAs were identified to develop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regulatory network that may play a pivotal role in the progression of CRC. Subsequently, we conducted GO and KEGG pathway analyses for the 28 mRNAs to expand our understanding of the vital pathophysiological process of CRC initiation and progression. Finally, we verified the differential expression of the identified mRNAs in the TCGA database, screened prognosis-related mRNAs by conducting a survival analysis, and constructed a prognostic subnetwork using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3 miRNAs and 3 mRNAs.</w:t>
      </w:r>
    </w:p>
    <w:p w14:paraId="4C2B3482" w14:textId="01488AB8" w:rsidR="00A77B3E" w:rsidRDefault="001D27AD" w:rsidP="00567499">
      <w:pPr>
        <w:snapToGrid w:val="0"/>
        <w:spacing w:line="360" w:lineRule="auto"/>
        <w:ind w:firstLine="480"/>
        <w:jc w:val="both"/>
      </w:pP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as stable, abundant and conserved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that act as miRNA sponges, could be identified as valuable indicators for the diagnosis and pathogenesis of CRC. Similar studies also supported the evidence that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identified in our study could be vital components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which modulate crucial gene expression in the initiation and progression of cancer, especially CRC. For example, the dysregulation of hsa_circ_0000520 could affect the tumorigenesis of cervical cancer and breast cancer through the miRNA-mRNA </w:t>
      </w:r>
      <w:proofErr w:type="gramStart"/>
      <w:r>
        <w:rPr>
          <w:rFonts w:ascii="Book Antiqua" w:eastAsia="Book Antiqua" w:hAnsi="Book Antiqua" w:cs="Book Antiqua"/>
          <w:color w:val="000000"/>
        </w:rPr>
        <w:t>axis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The hsa_circ_0072088 in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network was identified as being related to CRC and lung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xml:space="preserve">. The hsa_circ_0001955 was found to mediate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in CRC by bioinformatics analysis and experimental </w:t>
      </w:r>
      <w:proofErr w:type="gramStart"/>
      <w:r>
        <w:rPr>
          <w:rFonts w:ascii="Book Antiqua" w:eastAsia="Book Antiqua" w:hAnsi="Book Antiqua" w:cs="Book Antiqua"/>
          <w:color w:val="000000"/>
        </w:rPr>
        <w:t>validation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hsa_circ_0005927 was verified in gastric cancer and could be a biomarker for gastric cancer </w:t>
      </w:r>
      <w:proofErr w:type="gramStart"/>
      <w:r>
        <w:rPr>
          <w:rFonts w:ascii="Book Antiqua" w:eastAsia="Book Antiqua" w:hAnsi="Book Antiqua" w:cs="Book Antiqua"/>
          <w:color w:val="000000"/>
        </w:rPr>
        <w:t>screening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 hsa_circ_0000026 was found to be expressed at low levels in gastric cancer and may correlate with the progression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The hsa_circ_0000370 in plasma showed diagnostic value for CRC and might be involved in </w:t>
      </w:r>
      <w:proofErr w:type="gramStart"/>
      <w:r>
        <w:rPr>
          <w:rFonts w:ascii="Book Antiqua" w:eastAsia="Book Antiqua" w:hAnsi="Book Antiqua" w:cs="Book Antiqua"/>
          <w:color w:val="000000"/>
        </w:rPr>
        <w:t>tumorigenesis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All of these studies indicate that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may participate in CRC progression and could be vital biomarkers for diagnosis as well as therapeutic targets. The majority of 55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identified in </w:t>
      </w:r>
      <w:r>
        <w:rPr>
          <w:rFonts w:ascii="Book Antiqua" w:eastAsia="Book Antiqua" w:hAnsi="Book Antiqua" w:cs="Book Antiqua"/>
          <w:color w:val="000000"/>
        </w:rPr>
        <w:lastRenderedPageBreak/>
        <w:t>our study were innovative biomarkers in CRC and still require further investigation in the future.</w:t>
      </w:r>
    </w:p>
    <w:p w14:paraId="308A3565" w14:textId="6E6AC4E1" w:rsidR="00A77B3E" w:rsidRDefault="001D27AD" w:rsidP="00567499">
      <w:pPr>
        <w:snapToGrid w:val="0"/>
        <w:spacing w:line="360" w:lineRule="auto"/>
        <w:ind w:firstLine="480"/>
        <w:jc w:val="both"/>
      </w:pPr>
      <w:r>
        <w:rPr>
          <w:rFonts w:ascii="Book Antiqua" w:eastAsia="Book Antiqua" w:hAnsi="Book Antiqua" w:cs="Book Antiqua"/>
          <w:color w:val="000000"/>
        </w:rPr>
        <w:t xml:space="preserve">To further explore signaling pathways that might play an important role in the tumorigenesis and progression of CRC, we conducted GO and KEGG analyses of 28 identified genes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Growing studies have confirmed that the signaling pathways uncovered in our study participate in crucial pathological processes in many kinds of cancer. Bhattacharya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reported that the inhibition of retinoic acid signaling, a key regulator of intestinal immunity, could promote the tumorigenesis of CRC by cytotoxic T cells, and retinoic acid catabolizing enzyme was a promising negative predictor for the prognosis of CRC patients. Retinol dehydrogenase 16, one of the isoforms of the rate-limiting enzyme of the retinol cycle, was reported to increase the level of retinoic acid, and associate with the tumor size of hepatocellular carcinoma and poor overall survival of patients as </w:t>
      </w:r>
      <w:proofErr w:type="gramStart"/>
      <w:r>
        <w:rPr>
          <w:rFonts w:ascii="Book Antiqua" w:eastAsia="Book Antiqua" w:hAnsi="Book Antiqua" w:cs="Book Antiqua"/>
          <w:color w:val="000000"/>
        </w:rPr>
        <w:t>well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Mesenchymal cells in the intestine, called cancer-associated fibroblasts, exert critical functions to regulate a variety of activities, including intestinal inflammation, epithelial proliferation, extracellular matrix remodeling and metastasis, which could affect the microenvironment and promote CRC development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 recent study revealed that leukocyte chemotaxis and adhesion were distinctly reduced in the vasculature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and some miRNAs, including miR-15A and miR-16-1, were able to modulate the pathway of immune regulatory B cell chemotaxis in CRC, which could affect the tumor growth and survival time</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Endoplasmic reticulum stress is one of the pivotal processes in carcinogenesis and could represent an innovative therapeutic target in resistant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Chen</w:t>
      </w:r>
      <w:r w:rsidR="00B6725D">
        <w:rPr>
          <w:rFonts w:ascii="Book Antiqua" w:eastAsia="Book Antiqua" w:hAnsi="Book Antiqua" w:cs="Book Antiqua"/>
          <w:color w:val="000000"/>
        </w:rPr>
        <w:t>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found that endoplasmic reticulum stress participated in the apoptosis and autophagy in CRC induced by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a novel tyrosine kinase inhibitor. The consumption of alcohol was reported to increase the risk of colorectal adenomas, and ADH might modify the correlation between alcohol consumption and colorectal </w:t>
      </w:r>
      <w:proofErr w:type="gramStart"/>
      <w:r>
        <w:rPr>
          <w:rFonts w:ascii="Book Antiqua" w:eastAsia="Book Antiqua" w:hAnsi="Book Antiqua" w:cs="Book Antiqua"/>
          <w:color w:val="000000"/>
        </w:rPr>
        <w:t>adenomas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ADH expression has the potential to be a prognostic marker of pancreatic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and acetaldehyde is recognized to elevate the possibility of chemically induced rectal carcinogenesis</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A recent meta-analysis revealed that gastric acid suppressant use showed a significant correlation with poor survival for patients receiving oral </w:t>
      </w:r>
      <w:r>
        <w:rPr>
          <w:rFonts w:ascii="Book Antiqua" w:eastAsia="Book Antiqua" w:hAnsi="Book Antiqua" w:cs="Book Antiqua"/>
          <w:color w:val="000000"/>
        </w:rPr>
        <w:lastRenderedPageBreak/>
        <w:t xml:space="preserve">chemotherapy for gastrointestinal tract cancer, supporting a possible negative impact of gastric acid suppressants on the survival outcome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As one of the most fundamental requirements for biosynthesis, nitrogen metabolism is utilized and modulated to sustain the increased demand for nitrogen sources in cancer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The regulation of nitrogen metabolism participates in the process of obesity-associated pancreatic cancer, small cell lung cancer and CRC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29-31]</w:t>
      </w:r>
      <w:r>
        <w:rPr>
          <w:rFonts w:ascii="Book Antiqua" w:eastAsia="Book Antiqua" w:hAnsi="Book Antiqua" w:cs="Book Antiqua"/>
          <w:color w:val="000000"/>
        </w:rPr>
        <w:t xml:space="preserve">. The NOD-like receptor signaling pathway was one of the enriched pathways of genes with aberrant expression among pancreatic, thyroid, and renal cancer compared with healthy controls through bioinformatics </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32-34]</w:t>
      </w:r>
      <w:r>
        <w:rPr>
          <w:rFonts w:ascii="Book Antiqua" w:eastAsia="Book Antiqua" w:hAnsi="Book Antiqua" w:cs="Book Antiqua"/>
          <w:color w:val="000000"/>
        </w:rPr>
        <w:t xml:space="preserve">. </w:t>
      </w:r>
      <w:r w:rsidRPr="00B6725D">
        <w:rPr>
          <w:rFonts w:ascii="Book Antiqua" w:eastAsia="Book Antiqua" w:hAnsi="Book Antiqua" w:cs="Book Antiqua"/>
          <w:color w:val="000000"/>
        </w:rPr>
        <w:t xml:space="preserve">Furthermore, KEGG website (http://www.kegg.jp/) was utilized to analyze the specific steps of these biological processes affected by identified mRNAs in </w:t>
      </w:r>
      <w:proofErr w:type="spellStart"/>
      <w:r w:rsidRPr="00B6725D">
        <w:rPr>
          <w:rFonts w:ascii="Book Antiqua" w:eastAsia="Book Antiqua" w:hAnsi="Book Antiqua" w:cs="Book Antiqua"/>
          <w:color w:val="000000"/>
        </w:rPr>
        <w:t>ceRNA</w:t>
      </w:r>
      <w:proofErr w:type="spellEnd"/>
      <w:r w:rsidRPr="00B6725D">
        <w:rPr>
          <w:rFonts w:ascii="Book Antiqua" w:eastAsia="Book Antiqua" w:hAnsi="Book Antiqua" w:cs="Book Antiqua"/>
          <w:color w:val="000000"/>
        </w:rPr>
        <w:t xml:space="preserve"> network. It is well-known that </w:t>
      </w:r>
      <w:r w:rsidRPr="00551F4B">
        <w:rPr>
          <w:rFonts w:ascii="Book Antiqua" w:eastAsia="Book Antiqua" w:hAnsi="Book Antiqua" w:cs="Book Antiqua"/>
          <w:color w:val="000000"/>
        </w:rPr>
        <w:t>CA2</w:t>
      </w:r>
      <w:r w:rsidRPr="00B6725D">
        <w:rPr>
          <w:rFonts w:ascii="Book Antiqua" w:eastAsia="Book Antiqua" w:hAnsi="Book Antiqua" w:cs="Book Antiqua"/>
          <w:color w:val="000000"/>
        </w:rPr>
        <w:t xml:space="preserve"> participates in the processes of combining water and carbon dioxide to generate carbonic acid, acting as one of the key enzymes in the proximal tubule bicarbonate reclamation and collecting duct acid secretion. According to the pathway diagrams in KEGG website, </w:t>
      </w:r>
      <w:r w:rsidRPr="00551F4B">
        <w:rPr>
          <w:rFonts w:ascii="Book Antiqua" w:eastAsia="Book Antiqua" w:hAnsi="Book Antiqua" w:cs="Book Antiqua"/>
          <w:color w:val="000000"/>
        </w:rPr>
        <w:t>CA2</w:t>
      </w:r>
      <w:r w:rsidRPr="00B6725D">
        <w:rPr>
          <w:rFonts w:ascii="Book Antiqua" w:eastAsia="Book Antiqua" w:hAnsi="Book Antiqua" w:cs="Book Antiqua"/>
          <w:color w:val="000000"/>
        </w:rPr>
        <w:t xml:space="preserve"> also involves in gastric acid secretion and arginine biosynthesis in nitrogen metabolism. </w:t>
      </w:r>
      <w:r w:rsidRPr="00551F4B">
        <w:rPr>
          <w:rFonts w:ascii="Book Antiqua" w:eastAsia="Book Antiqua" w:hAnsi="Book Antiqua" w:cs="Book Antiqua"/>
          <w:color w:val="000000"/>
        </w:rPr>
        <w:t>CXCXL3</w:t>
      </w:r>
      <w:r w:rsidRPr="00B6725D">
        <w:rPr>
          <w:rFonts w:ascii="Book Antiqua" w:eastAsia="Book Antiqua" w:hAnsi="Book Antiqua" w:cs="Book Antiqua"/>
          <w:color w:val="000000"/>
        </w:rPr>
        <w:t xml:space="preserve"> is one of the downstream chemokines of NOD-</w:t>
      </w:r>
      <w:r w:rsidR="00B6725D" w:rsidRPr="00B6725D">
        <w:rPr>
          <w:rFonts w:ascii="Book Antiqua" w:eastAsia="Book Antiqua" w:hAnsi="Book Antiqua" w:cs="Book Antiqua"/>
          <w:color w:val="000000"/>
        </w:rPr>
        <w:t>nuclear factor-</w:t>
      </w:r>
      <w:proofErr w:type="spellStart"/>
      <w:r w:rsidR="00B6725D" w:rsidRPr="00B6725D">
        <w:rPr>
          <w:rFonts w:ascii="Book Antiqua" w:eastAsia="Book Antiqua" w:hAnsi="Book Antiqua" w:cs="Book Antiqua"/>
          <w:color w:val="000000"/>
        </w:rPr>
        <w:t>kappaB</w:t>
      </w:r>
      <w:proofErr w:type="spellEnd"/>
      <w:r w:rsidRPr="00B6725D">
        <w:rPr>
          <w:rFonts w:ascii="Book Antiqua" w:eastAsia="Book Antiqua" w:hAnsi="Book Antiqua" w:cs="Book Antiqua"/>
          <w:color w:val="000000"/>
        </w:rPr>
        <w:t xml:space="preserve"> pathway in NOD-like receptor signaling pathway. ADH, as one of the key enzymes for the mutual transformation of all-trans-retinal and all-trans-retinol (vitamin A), participates in the final metabolic process of dopamine to 3-methoxy-4-hydroxy-phenylethylene-glycol in tyrosine metabolism.</w:t>
      </w:r>
      <w:r>
        <w:rPr>
          <w:rFonts w:ascii="Book Antiqua" w:eastAsia="Book Antiqua" w:hAnsi="Book Antiqua" w:cs="Book Antiqua"/>
          <w:color w:val="000000"/>
        </w:rPr>
        <w:t xml:space="preserve"> In summary, the retinol metabolic process, leukocyte chemotaxis, extracellular matrix remodeling, endoplasmic reticulum stress, ADH activity, gastric acid secretion, nitrogen metabolism and NOD-like receptor signaling pathway might represent essential signaling pathways involved in the pathogenesis of CRC. However, the molecular mechanism of tumorigenesis and progression is quite complicated and still requires further exploration.</w:t>
      </w:r>
    </w:p>
    <w:p w14:paraId="412F392F" w14:textId="110FCDD3" w:rsidR="00A77B3E" w:rsidRDefault="001D27AD" w:rsidP="00567499">
      <w:pPr>
        <w:snapToGrid w:val="0"/>
        <w:spacing w:line="360" w:lineRule="auto"/>
        <w:ind w:firstLine="480"/>
        <w:jc w:val="both"/>
      </w:pPr>
      <w:r>
        <w:rPr>
          <w:rFonts w:ascii="Book Antiqua" w:eastAsia="Book Antiqua" w:hAnsi="Book Antiqua" w:cs="Book Antiqua"/>
          <w:color w:val="000000"/>
        </w:rPr>
        <w:t xml:space="preserve">We verified the differential expression of the mRNAs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using the TCGA database, combined the results of the survival analysis, screened prognosis-related mRNAs, and finally used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3 miRNAs and 3 mRNAs to construct a prognostic subnetwork. The roles of the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(hsa_circ_0080210, hsa_circ_0007158, hsa_circ_0000375, hsa_circ_0018909 and hsa_circ_0011536) involved in tumorigenesis </w:t>
      </w:r>
      <w:r>
        <w:rPr>
          <w:rFonts w:ascii="Book Antiqua" w:eastAsia="Book Antiqua" w:hAnsi="Book Antiqua" w:cs="Book Antiqua"/>
          <w:color w:val="000000"/>
        </w:rPr>
        <w:lastRenderedPageBreak/>
        <w:t xml:space="preserve">require investigation, which implies that these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might have the potential to become novel indicators for CRC diagnosis and targeted treatment. Some studies were consistent with our result that 3 miRNAs (hsa-miR-601, hsa-miR-671-5p and hsa-miR-765) might represent promising biomarkers of cancer progression and prognosis. MiR-601 was identified to hold diagnostic value for CRC with 69.2% sensitivity and 72.4% specificity for CRC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and might suppress the proliferation and invasion of esophageal squamous cell carcinoma and breast cancer</w:t>
      </w:r>
      <w:r>
        <w:rPr>
          <w:rFonts w:ascii="Book Antiqua" w:eastAsia="Book Antiqua" w:hAnsi="Book Antiqua" w:cs="Book Antiqua"/>
          <w:color w:val="000000"/>
          <w:szCs w:val="20"/>
          <w:vertAlign w:val="superscript"/>
        </w:rPr>
        <w:t>[36,37]</w:t>
      </w:r>
      <w:r>
        <w:rPr>
          <w:rFonts w:ascii="Book Antiqua" w:eastAsia="Book Antiqua" w:hAnsi="Book Antiqua" w:cs="Book Antiqua"/>
          <w:color w:val="000000"/>
        </w:rPr>
        <w:t xml:space="preserve">. Some studies revealed that miR-671-5p could promote and maintain the oncogenesis and progression of various cancers, such as esophageal cancer, breast cancer, glioblastoma and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38-41]</w:t>
      </w:r>
      <w:r>
        <w:rPr>
          <w:rFonts w:ascii="Book Antiqua" w:eastAsia="Book Antiqua" w:hAnsi="Book Antiqua" w:cs="Book Antiqua"/>
          <w:color w:val="000000"/>
        </w:rPr>
        <w:t>, and act as a prognostic predictor of locally advanced rectal cancer due to the significant upregulation in pathological response to neoadjuvant chemoradiotherapy</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The expression level of hsa-miR-765 could be utilized to independently predict overall survival and disease-free survival and correlate with the tumor stage, clinical stage and lymph node metastasis in esophageal squamous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Hsa-miR-765 could also promote the aggressiveness of hepatocellular carcinoma and </w:t>
      </w:r>
      <w:proofErr w:type="gramStart"/>
      <w:r>
        <w:rPr>
          <w:rFonts w:ascii="Book Antiqua" w:eastAsia="Book Antiqua" w:hAnsi="Book Antiqua" w:cs="Book Antiqua"/>
          <w:color w:val="000000"/>
        </w:rPr>
        <w:t>osteosarcoma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44,45]</w:t>
      </w:r>
      <w:r>
        <w:rPr>
          <w:rFonts w:ascii="Book Antiqua" w:eastAsia="Book Antiqua" w:hAnsi="Book Antiqua" w:cs="Book Antiqua"/>
          <w:color w:val="000000"/>
        </w:rPr>
        <w:t>. To date, although some studies have focused attention on the roles of these 3 miRNAs in many types of cancer, hsa-miR-671-5p and hsa-miR-765 have not been recognized as promising biomarkers of CRC before our study.</w:t>
      </w:r>
    </w:p>
    <w:p w14:paraId="4BB1A394" w14:textId="2657C24A" w:rsidR="00A77B3E" w:rsidRDefault="001D27AD" w:rsidP="00567499">
      <w:pPr>
        <w:snapToGrid w:val="0"/>
        <w:spacing w:line="360" w:lineRule="auto"/>
        <w:ind w:firstLine="480"/>
        <w:jc w:val="both"/>
      </w:pPr>
      <w:r>
        <w:rPr>
          <w:rFonts w:ascii="Book Antiqua" w:eastAsia="Book Antiqua" w:hAnsi="Book Antiqua" w:cs="Book Antiqua"/>
          <w:color w:val="000000"/>
        </w:rPr>
        <w:t xml:space="preserve">We found that the upregulation of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xml:space="preserve"> might be related to better clinical outcomes in CRC patients. </w:t>
      </w:r>
      <w:r>
        <w:rPr>
          <w:rFonts w:ascii="Book Antiqua" w:eastAsia="Book Antiqua" w:hAnsi="Book Antiqua" w:cs="Book Antiqua"/>
          <w:i/>
          <w:iCs/>
          <w:color w:val="000000"/>
        </w:rPr>
        <w:t>CA2</w:t>
      </w:r>
      <w:r>
        <w:rPr>
          <w:rFonts w:ascii="Book Antiqua" w:eastAsia="Book Antiqua" w:hAnsi="Book Antiqua" w:cs="Book Antiqua"/>
          <w:color w:val="000000"/>
        </w:rPr>
        <w:t xml:space="preserve">, the gene that encodes carbonic anhydrase Ⅱ, was validated to be downregulated in CRC tissue and cell lines compared with healthy controls through experimental assays, and the overexpression of </w:t>
      </w:r>
      <w:r>
        <w:rPr>
          <w:rFonts w:ascii="Book Antiqua" w:eastAsia="Book Antiqua" w:hAnsi="Book Antiqua" w:cs="Book Antiqua"/>
          <w:i/>
          <w:iCs/>
          <w:color w:val="000000"/>
        </w:rPr>
        <w:t>CA2</w:t>
      </w:r>
      <w:r>
        <w:rPr>
          <w:rFonts w:ascii="Book Antiqua" w:eastAsia="Book Antiqua" w:hAnsi="Book Antiqua" w:cs="Book Antiqua"/>
          <w:color w:val="000000"/>
        </w:rPr>
        <w:t xml:space="preserve"> suppressed tumor cell growth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elevated the sensitivity of CRC cells to chemotherapy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w:t>
      </w:r>
      <w:r>
        <w:rPr>
          <w:rFonts w:ascii="Book Antiqua" w:eastAsia="Book Antiqua" w:hAnsi="Book Antiqua" w:cs="Book Antiqua"/>
          <w:i/>
          <w:iCs/>
          <w:color w:val="000000"/>
        </w:rPr>
        <w:t>CA2</w:t>
      </w:r>
      <w:r>
        <w:rPr>
          <w:rFonts w:ascii="Book Antiqua" w:eastAsia="Book Antiqua" w:hAnsi="Book Antiqua" w:cs="Book Antiqua"/>
          <w:color w:val="000000"/>
        </w:rPr>
        <w:t xml:space="preserve"> might also be useful for the survival prediction of CRC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Other carbonic anhydrase isoforms, such as </w:t>
      </w:r>
      <w:r>
        <w:rPr>
          <w:rFonts w:ascii="Book Antiqua" w:eastAsia="Book Antiqua" w:hAnsi="Book Antiqua" w:cs="Book Antiqua"/>
          <w:i/>
          <w:iCs/>
          <w:color w:val="000000"/>
        </w:rPr>
        <w:t>CA1</w:t>
      </w:r>
      <w:r>
        <w:rPr>
          <w:rFonts w:ascii="Book Antiqua" w:eastAsia="Book Antiqua" w:hAnsi="Book Antiqua" w:cs="Book Antiqua"/>
          <w:color w:val="000000"/>
        </w:rPr>
        <w:t xml:space="preserve">, </w:t>
      </w:r>
      <w:r>
        <w:rPr>
          <w:rFonts w:ascii="Book Antiqua" w:eastAsia="Book Antiqua" w:hAnsi="Book Antiqua" w:cs="Book Antiqua"/>
          <w:i/>
          <w:iCs/>
          <w:color w:val="000000"/>
        </w:rPr>
        <w:t>CA4</w:t>
      </w:r>
      <w:r>
        <w:rPr>
          <w:rFonts w:ascii="Book Antiqua" w:eastAsia="Book Antiqua" w:hAnsi="Book Antiqua" w:cs="Book Antiqua"/>
          <w:color w:val="000000"/>
        </w:rPr>
        <w:t xml:space="preserve">, </w:t>
      </w:r>
      <w:r>
        <w:rPr>
          <w:rFonts w:ascii="Book Antiqua" w:eastAsia="Book Antiqua" w:hAnsi="Book Antiqua" w:cs="Book Antiqua"/>
          <w:i/>
          <w:iCs/>
          <w:color w:val="000000"/>
        </w:rPr>
        <w:t>CA9</w:t>
      </w:r>
      <w:r>
        <w:rPr>
          <w:rFonts w:ascii="Book Antiqua" w:eastAsia="Book Antiqua" w:hAnsi="Book Antiqua" w:cs="Book Antiqua"/>
          <w:color w:val="000000"/>
        </w:rPr>
        <w:t xml:space="preserve"> and </w:t>
      </w:r>
      <w:r>
        <w:rPr>
          <w:rFonts w:ascii="Book Antiqua" w:eastAsia="Book Antiqua" w:hAnsi="Book Antiqua" w:cs="Book Antiqua"/>
          <w:i/>
          <w:iCs/>
          <w:color w:val="000000"/>
        </w:rPr>
        <w:t>CA12</w:t>
      </w:r>
      <w:r>
        <w:rPr>
          <w:rFonts w:ascii="Book Antiqua" w:eastAsia="Book Antiqua" w:hAnsi="Book Antiqua" w:cs="Book Antiqua"/>
          <w:color w:val="000000"/>
        </w:rPr>
        <w:t xml:space="preserve">, could exert effects on favorable outcomes or rescue the tumor progression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48-50]</w:t>
      </w:r>
      <w:r>
        <w:rPr>
          <w:rFonts w:ascii="Book Antiqua" w:eastAsia="Book Antiqua" w:hAnsi="Book Antiqua" w:cs="Book Antiqua"/>
          <w:color w:val="000000"/>
        </w:rPr>
        <w:t xml:space="preserve">. In summary, </w:t>
      </w:r>
      <w:r>
        <w:rPr>
          <w:rFonts w:ascii="Book Antiqua" w:eastAsia="Book Antiqua" w:hAnsi="Book Antiqua" w:cs="Book Antiqua"/>
          <w:i/>
          <w:iCs/>
          <w:color w:val="000000"/>
        </w:rPr>
        <w:t>CA2</w:t>
      </w:r>
      <w:r>
        <w:rPr>
          <w:rFonts w:ascii="Book Antiqua" w:eastAsia="Book Antiqua" w:hAnsi="Book Antiqua" w:cs="Book Antiqua"/>
          <w:color w:val="000000"/>
        </w:rPr>
        <w:t xml:space="preserve"> could be a beneficial predictor for CRC diagnosis and prognosis. The expression of </w:t>
      </w:r>
      <w:r>
        <w:rPr>
          <w:rFonts w:ascii="Book Antiqua" w:eastAsia="Book Antiqua" w:hAnsi="Book Antiqua" w:cs="Book Antiqua"/>
          <w:i/>
          <w:iCs/>
          <w:color w:val="000000"/>
        </w:rPr>
        <w:t>ITLN1</w:t>
      </w:r>
      <w:r>
        <w:rPr>
          <w:rFonts w:ascii="Book Antiqua" w:eastAsia="Book Antiqua" w:hAnsi="Book Antiqua" w:cs="Book Antiqua"/>
          <w:color w:val="000000"/>
        </w:rPr>
        <w:t xml:space="preserve">, which encodes intelectin-1 (also known as omentin-1), presented a sequentially descending trend with the mucosa-adenoma-carcinoma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The downregulation of </w:t>
      </w:r>
      <w:r>
        <w:rPr>
          <w:rFonts w:ascii="Book Antiqua" w:eastAsia="Book Antiqua" w:hAnsi="Book Antiqua" w:cs="Book Antiqua"/>
          <w:i/>
          <w:iCs/>
          <w:color w:val="000000"/>
        </w:rPr>
        <w:t>ITLN1</w:t>
      </w:r>
      <w:r>
        <w:rPr>
          <w:rFonts w:ascii="Book Antiqua" w:eastAsia="Book Antiqua" w:hAnsi="Book Antiqua" w:cs="Book Antiqua"/>
          <w:color w:val="000000"/>
        </w:rPr>
        <w:t xml:space="preserve"> was reported to be related to poor prognosis among CRC patients at advanced </w:t>
      </w:r>
      <w:proofErr w:type="gramStart"/>
      <w:r>
        <w:rPr>
          <w:rFonts w:ascii="Book Antiqua" w:eastAsia="Book Antiqua" w:hAnsi="Book Antiqua" w:cs="Book Antiqua"/>
          <w:color w:val="000000"/>
        </w:rPr>
        <w:lastRenderedPageBreak/>
        <w:t>stages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ITLN1 </w:t>
      </w:r>
      <w:r>
        <w:rPr>
          <w:rFonts w:ascii="Book Antiqua" w:eastAsia="Book Antiqua" w:hAnsi="Book Antiqua" w:cs="Book Antiqua"/>
          <w:color w:val="000000"/>
        </w:rPr>
        <w:t>could also</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suppress tumorigenesis and correlate with a better prognosis probability of neuroblastoma and ovarian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53,54]</w:t>
      </w:r>
      <w:r>
        <w:rPr>
          <w:rFonts w:ascii="Book Antiqua" w:eastAsia="Book Antiqua" w:hAnsi="Book Antiqua" w:cs="Book Antiqua"/>
          <w:color w:val="000000"/>
        </w:rPr>
        <w:t xml:space="preserve">. The low expression of </w:t>
      </w:r>
      <w:r>
        <w:rPr>
          <w:rFonts w:ascii="Book Antiqua" w:eastAsia="Book Antiqua" w:hAnsi="Book Antiqua" w:cs="Book Antiqua"/>
          <w:i/>
          <w:iCs/>
          <w:color w:val="000000"/>
        </w:rPr>
        <w:t xml:space="preserve">LRRC19 </w:t>
      </w:r>
      <w:r>
        <w:rPr>
          <w:rFonts w:ascii="Book Antiqua" w:eastAsia="Book Antiqua" w:hAnsi="Book Antiqua" w:cs="Book Antiqua"/>
          <w:color w:val="000000"/>
        </w:rPr>
        <w:t xml:space="preserve">(leucine-rich repeat containing 19) was identified as an independent risk factor and prognostic biomarker of kidney renal clear cell carcinoma and was involved in selenium adjuvant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In addition, </w:t>
      </w:r>
      <w:r>
        <w:rPr>
          <w:rFonts w:ascii="Book Antiqua" w:eastAsia="Book Antiqua" w:hAnsi="Book Antiqua" w:cs="Book Antiqua"/>
          <w:i/>
          <w:iCs/>
          <w:color w:val="000000"/>
        </w:rPr>
        <w:t xml:space="preserve">LRRC19 </w:t>
      </w:r>
      <w:r>
        <w:rPr>
          <w:rFonts w:ascii="Book Antiqua" w:eastAsia="Book Antiqua" w:hAnsi="Book Antiqua" w:cs="Book Antiqua"/>
          <w:color w:val="000000"/>
        </w:rPr>
        <w:t>could have predictive power for sensitivity to AZD0530</w:t>
      </w:r>
      <w:r w:rsidR="001451D3">
        <w:rPr>
          <w:rFonts w:ascii="Book Antiqua" w:eastAsia="Book Antiqua" w:hAnsi="Book Antiqua" w:cs="Book Antiqua"/>
          <w:color w:val="000000"/>
        </w:rPr>
        <w:t xml:space="preserve"> in pancreatic tumor</w:t>
      </w:r>
      <w:r>
        <w:rPr>
          <w:rFonts w:ascii="Book Antiqua" w:eastAsia="Book Antiqua" w:hAnsi="Book Antiqua" w:cs="Book Antiqua"/>
          <w:color w:val="000000"/>
        </w:rPr>
        <w:t xml:space="preserve"> and promote the elimination of pathogenic bacteria from the </w:t>
      </w:r>
      <w:proofErr w:type="gramStart"/>
      <w:r>
        <w:rPr>
          <w:rFonts w:ascii="Book Antiqua" w:eastAsia="Book Antiqua" w:hAnsi="Book Antiqua" w:cs="Book Antiqua"/>
          <w:color w:val="000000"/>
        </w:rPr>
        <w:t>kidneys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56,57]</w:t>
      </w:r>
      <w:r>
        <w:rPr>
          <w:rFonts w:ascii="Book Antiqua" w:eastAsia="Book Antiqua" w:hAnsi="Book Antiqua" w:cs="Book Antiqua"/>
          <w:color w:val="000000"/>
        </w:rPr>
        <w:t xml:space="preserve">. However, whether </w:t>
      </w:r>
      <w:r>
        <w:rPr>
          <w:rFonts w:ascii="Book Antiqua" w:eastAsia="Book Antiqua" w:hAnsi="Book Antiqua" w:cs="Book Antiqua"/>
          <w:i/>
          <w:iCs/>
          <w:color w:val="000000"/>
        </w:rPr>
        <w:t>LRRC19</w:t>
      </w:r>
      <w:r>
        <w:rPr>
          <w:rFonts w:ascii="Book Antiqua" w:eastAsia="Book Antiqua" w:hAnsi="Book Antiqua" w:cs="Book Antiqua"/>
          <w:color w:val="000000"/>
        </w:rPr>
        <w:t xml:space="preserve"> could be regarded as an indicator of oncogenesis and the clinical outcome of CRC has not been illustrated before. In summary,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LRRC19 </w:t>
      </w:r>
      <w:r>
        <w:rPr>
          <w:rFonts w:ascii="Book Antiqua" w:eastAsia="Book Antiqua" w:hAnsi="Book Antiqua" w:cs="Book Antiqua"/>
          <w:color w:val="000000"/>
        </w:rPr>
        <w:t>might have the potential to become novel biomarkers for CRC diagnosis, especially early screening, as well as patient prognosis. At present, the hsa_circ_0011536/hsa-miR-601/</w:t>
      </w:r>
      <w:r>
        <w:rPr>
          <w:rFonts w:ascii="Book Antiqua" w:eastAsia="Book Antiqua" w:hAnsi="Book Antiqua" w:cs="Book Antiqua"/>
          <w:i/>
          <w:iCs/>
          <w:color w:val="000000"/>
        </w:rPr>
        <w:t>CA2</w:t>
      </w:r>
      <w:r>
        <w:rPr>
          <w:rFonts w:ascii="Book Antiqua" w:eastAsia="Book Antiqua" w:hAnsi="Book Antiqua" w:cs="Book Antiqua"/>
          <w:color w:val="000000"/>
        </w:rPr>
        <w:t xml:space="preserve"> axis and the complex interaction among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(hsa_circ_0080210, hsa_circ_0007158, hsa_circ_0000375 and hsa_circ_0018909), miRNAs (hsa-miR-671-5p and hsa-miR-765) and mRNAs (</w:t>
      </w:r>
      <w:r>
        <w:rPr>
          <w:rFonts w:ascii="Book Antiqua" w:eastAsia="Book Antiqua" w:hAnsi="Book Antiqua" w:cs="Book Antiqua"/>
          <w:i/>
          <w:iCs/>
          <w:color w:val="000000"/>
        </w:rPr>
        <w:t xml:space="preserve">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could provide novel insights into the pathogenesis of and therapeutic options for CRC and need further investigation.</w:t>
      </w:r>
    </w:p>
    <w:p w14:paraId="78DD46FE" w14:textId="0FC551ED" w:rsidR="00A77B3E" w:rsidRDefault="001D27AD" w:rsidP="00567499">
      <w:pPr>
        <w:snapToGrid w:val="0"/>
        <w:spacing w:line="360" w:lineRule="auto"/>
        <w:ind w:firstLine="480"/>
        <w:jc w:val="both"/>
      </w:pPr>
      <w:r>
        <w:rPr>
          <w:rFonts w:ascii="Book Antiqua" w:eastAsia="Book Antiqua" w:hAnsi="Book Antiqua" w:cs="Book Antiqua"/>
          <w:color w:val="000000"/>
        </w:rPr>
        <w:t xml:space="preserve">Collectively, we have provided a deeper understanding of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-related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mechanism of CRC by developing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regulatory network. Through GO and KEGG functional enrichment analysis, the retinol metabolic process, leukocyte chemotaxis, extracellular matrix remodeling, endoplasmic reticulum stress, ADH activity, gastric acid secretion, nitrogen metabolism and the NOD-like receptor signaling pathway might play critical roles in the initiation and progression of CRC. After being combined with survival analysis, a prognostic subnetwork was constructed, including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3 miRNAs and 3 mRNAs, which could be novel candidate biomarkers for the clinical outcome of CRC. Our research still has some shortcomings. First, molecular-level verification in clinical samples and CRC cell lines should be applied to validate biomarkers and clarify the actual significance of the regulatory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and prognostic subnetwork. In addition, the lack of research on the downstream target molecules of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makes it difficult to completely elucidate the specific mechanism in the occurrence and development of CRC. </w:t>
      </w:r>
      <w:r>
        <w:rPr>
          <w:rFonts w:ascii="Book Antiqua" w:eastAsia="Book Antiqua" w:hAnsi="Book Antiqua" w:cs="Book Antiqua"/>
          <w:color w:val="000000"/>
        </w:rPr>
        <w:lastRenderedPageBreak/>
        <w:t>Moreover, due to the sample size of the datasets, the sample size of this study is not too large.</w:t>
      </w:r>
    </w:p>
    <w:p w14:paraId="5BF9837F" w14:textId="77777777" w:rsidR="00A77B3E" w:rsidRDefault="00A77B3E" w:rsidP="00567499">
      <w:pPr>
        <w:snapToGrid w:val="0"/>
        <w:spacing w:line="360" w:lineRule="auto"/>
        <w:ind w:firstLine="480"/>
        <w:jc w:val="both"/>
      </w:pPr>
    </w:p>
    <w:p w14:paraId="0E36777B"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CONCLUSION</w:t>
      </w:r>
    </w:p>
    <w:p w14:paraId="5A926314" w14:textId="77777777" w:rsidR="00A77B3E" w:rsidRDefault="001D27AD" w:rsidP="00567499">
      <w:pPr>
        <w:snapToGrid w:val="0"/>
        <w:spacing w:line="360" w:lineRule="auto"/>
        <w:jc w:val="both"/>
      </w:pPr>
      <w:r>
        <w:rPr>
          <w:rFonts w:ascii="Book Antiqua" w:eastAsia="Book Antiqua" w:hAnsi="Book Antiqua" w:cs="Book Antiqua"/>
          <w:color w:val="000000"/>
        </w:rPr>
        <w:t xml:space="preserve">In summary, we constructed a CRC-specific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regulatory network and performed functional enrichment analysis, which may assist in revealing the mechanism of carcinogenesis. A prognostic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subnetwork was successfully developed, thereby identifying several RNA molecules that could serve as innovative and noninvasive indicators for the RNA-based early screening and prognostic prediction of CRC. Comprehensive experimental studies are still required to enrich the understanding of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which is essential to illustrate the pathogenesis and prognosis of CRC and provide new opportunities for targeted therapeutics.</w:t>
      </w:r>
    </w:p>
    <w:p w14:paraId="3CEFD55A" w14:textId="77777777" w:rsidR="00A77B3E" w:rsidRDefault="00A77B3E" w:rsidP="00567499">
      <w:pPr>
        <w:snapToGrid w:val="0"/>
        <w:spacing w:line="360" w:lineRule="auto"/>
        <w:jc w:val="both"/>
      </w:pPr>
    </w:p>
    <w:p w14:paraId="57D8A46D"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ARTICLE HIGHLIGHTS</w:t>
      </w:r>
    </w:p>
    <w:p w14:paraId="2D28D56C" w14:textId="77777777" w:rsidR="00A77B3E" w:rsidRDefault="001D27AD" w:rsidP="00567499">
      <w:pPr>
        <w:snapToGrid w:val="0"/>
        <w:spacing w:line="360" w:lineRule="auto"/>
        <w:jc w:val="both"/>
      </w:pPr>
      <w:r>
        <w:rPr>
          <w:rFonts w:ascii="Book Antiqua" w:eastAsia="Book Antiqua" w:hAnsi="Book Antiqua" w:cs="Book Antiqua"/>
          <w:b/>
          <w:i/>
          <w:color w:val="000000"/>
        </w:rPr>
        <w:t>Research background</w:t>
      </w:r>
    </w:p>
    <w:p w14:paraId="12905253" w14:textId="0492317C" w:rsidR="00A77B3E" w:rsidRDefault="001D27AD" w:rsidP="00567499">
      <w:pPr>
        <w:snapToGrid w:val="0"/>
        <w:spacing w:line="360" w:lineRule="auto"/>
        <w:jc w:val="both"/>
      </w:pPr>
      <w:r>
        <w:rPr>
          <w:rFonts w:ascii="Book Antiqua" w:eastAsia="Book Antiqua" w:hAnsi="Book Antiqua" w:cs="Book Antiqua"/>
          <w:color w:val="000000"/>
        </w:rPr>
        <w:t xml:space="preserve">Colorectal cancer (CRC) is one of the most common malignant tumors worldwide.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miRNA, acting as competing endogenous RNAs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have been investigated to play vital roles in carcinogenesis. Accumulating evidence highlights that it is necessary to further explore the biological function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miRNA in CRC pathogenesis and prognosis.</w:t>
      </w:r>
    </w:p>
    <w:p w14:paraId="45B2F592" w14:textId="77777777" w:rsidR="00A77B3E" w:rsidRDefault="00A77B3E" w:rsidP="00567499">
      <w:pPr>
        <w:snapToGrid w:val="0"/>
        <w:spacing w:line="360" w:lineRule="auto"/>
        <w:jc w:val="both"/>
      </w:pPr>
    </w:p>
    <w:p w14:paraId="7D83BD73" w14:textId="77777777" w:rsidR="00A77B3E" w:rsidRDefault="001D27AD" w:rsidP="00567499">
      <w:pPr>
        <w:snapToGrid w:val="0"/>
        <w:spacing w:line="360" w:lineRule="auto"/>
        <w:jc w:val="both"/>
      </w:pPr>
      <w:r>
        <w:rPr>
          <w:rFonts w:ascii="Book Antiqua" w:eastAsia="Book Antiqua" w:hAnsi="Book Antiqua" w:cs="Book Antiqua"/>
          <w:b/>
          <w:i/>
          <w:color w:val="000000"/>
        </w:rPr>
        <w:t>Research motivation</w:t>
      </w:r>
    </w:p>
    <w:p w14:paraId="4207D5B2" w14:textId="77777777" w:rsidR="00A77B3E" w:rsidRDefault="001D27AD" w:rsidP="00567499">
      <w:pPr>
        <w:snapToGrid w:val="0"/>
        <w:spacing w:line="360" w:lineRule="auto"/>
        <w:jc w:val="both"/>
      </w:pPr>
      <w:r>
        <w:rPr>
          <w:rFonts w:ascii="Book Antiqua" w:eastAsia="Book Antiqua" w:hAnsi="Book Antiqua" w:cs="Book Antiqua"/>
          <w:color w:val="000000"/>
        </w:rPr>
        <w:t xml:space="preserve">Dysregulated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miRNAs and mRNAs could closely associate with the progression and prognosis of CRC and act as potential CRC-specific predictors, but the competitive regulatory pattern and biological function mechanism among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miRNAs and mRNAs are still complicated and have not yet been elucidated.</w:t>
      </w:r>
    </w:p>
    <w:p w14:paraId="419DDD50" w14:textId="77777777" w:rsidR="00A77B3E" w:rsidRDefault="00A77B3E" w:rsidP="00567499">
      <w:pPr>
        <w:snapToGrid w:val="0"/>
        <w:spacing w:line="360" w:lineRule="auto"/>
        <w:jc w:val="both"/>
      </w:pPr>
    </w:p>
    <w:p w14:paraId="6040231F" w14:textId="77777777" w:rsidR="00A77B3E" w:rsidRDefault="001D27AD" w:rsidP="00567499">
      <w:pPr>
        <w:snapToGrid w:val="0"/>
        <w:spacing w:line="360" w:lineRule="auto"/>
        <w:jc w:val="both"/>
      </w:pPr>
      <w:r>
        <w:rPr>
          <w:rFonts w:ascii="Book Antiqua" w:eastAsia="Book Antiqua" w:hAnsi="Book Antiqua" w:cs="Book Antiqua"/>
          <w:b/>
          <w:i/>
          <w:color w:val="000000"/>
        </w:rPr>
        <w:t>Research objectives</w:t>
      </w:r>
    </w:p>
    <w:p w14:paraId="17904D08" w14:textId="77777777" w:rsidR="00A77B3E" w:rsidRDefault="001D27AD" w:rsidP="00567499">
      <w:pPr>
        <w:snapToGrid w:val="0"/>
        <w:spacing w:line="360" w:lineRule="auto"/>
        <w:jc w:val="both"/>
      </w:pPr>
      <w:r>
        <w:rPr>
          <w:rFonts w:ascii="Book Antiqua" w:eastAsia="Book Antiqua" w:hAnsi="Book Antiqua" w:cs="Book Antiqua"/>
          <w:color w:val="000000"/>
        </w:rPr>
        <w:lastRenderedPageBreak/>
        <w:t xml:space="preserve">This study aimed to uncover a CRC-specific competitive regulatory model among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miRNAs and mRNAs and explore the subnetwork associated with CRC prognosis.</w:t>
      </w:r>
    </w:p>
    <w:p w14:paraId="15E7ED8C" w14:textId="77777777" w:rsidR="00A77B3E" w:rsidRDefault="00A77B3E" w:rsidP="00567499">
      <w:pPr>
        <w:snapToGrid w:val="0"/>
        <w:spacing w:line="360" w:lineRule="auto"/>
        <w:jc w:val="both"/>
      </w:pPr>
    </w:p>
    <w:p w14:paraId="7D90CBD4" w14:textId="77777777" w:rsidR="00A77B3E" w:rsidRDefault="001D27AD" w:rsidP="00567499">
      <w:pPr>
        <w:snapToGrid w:val="0"/>
        <w:spacing w:line="360" w:lineRule="auto"/>
        <w:jc w:val="both"/>
      </w:pPr>
      <w:r>
        <w:rPr>
          <w:rFonts w:ascii="Book Antiqua" w:eastAsia="Book Antiqua" w:hAnsi="Book Antiqua" w:cs="Book Antiqua"/>
          <w:b/>
          <w:i/>
          <w:color w:val="000000"/>
        </w:rPr>
        <w:t>Research methods</w:t>
      </w:r>
    </w:p>
    <w:p w14:paraId="36E87828" w14:textId="67A32420" w:rsidR="00A77B3E" w:rsidRDefault="001D27AD" w:rsidP="00567499">
      <w:pPr>
        <w:snapToGrid w:val="0"/>
        <w:spacing w:line="360" w:lineRule="auto"/>
        <w:jc w:val="both"/>
      </w:pPr>
      <w:r>
        <w:rPr>
          <w:rFonts w:ascii="Book Antiqua" w:eastAsia="Book Antiqua" w:hAnsi="Book Antiqua" w:cs="Book Antiqua"/>
          <w:color w:val="000000"/>
        </w:rPr>
        <w:t xml:space="preserve">Expression profiles of </w:t>
      </w:r>
      <w:proofErr w:type="spellStart"/>
      <w:r w:rsidR="00E731B9">
        <w:rPr>
          <w:rFonts w:ascii="Book Antiqua" w:eastAsia="Book Antiqua" w:hAnsi="Book Antiqua" w:cs="Book Antiqua"/>
          <w:color w:val="000000"/>
        </w:rPr>
        <w:t>c</w:t>
      </w:r>
      <w:r>
        <w:rPr>
          <w:rFonts w:ascii="Book Antiqua" w:eastAsia="Book Antiqua" w:hAnsi="Book Antiqua" w:cs="Book Antiqua"/>
          <w:color w:val="000000"/>
        </w:rPr>
        <w:t>ircRNAs</w:t>
      </w:r>
      <w:proofErr w:type="spellEnd"/>
      <w:r>
        <w:rPr>
          <w:rFonts w:ascii="Book Antiqua" w:eastAsia="Book Antiqua" w:hAnsi="Book Antiqua" w:cs="Book Antiqua"/>
          <w:color w:val="000000"/>
        </w:rPr>
        <w:t xml:space="preserve">, miRNAs and mRNAs were downloaded from the Group on Earth Observations (GEO) database. Differentially expressed (DE)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miRNAs and mRNAs in CRC tissues and the predicted target molecules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miRNAs were intersected to obtain a CRC-specific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GO and KEGG pathway analyses were conducted to explore the mechanism of CRC pathogenesis. Based on the survival analysis using the gene profiles and clinical information in The Cancer Genome Atlas (TCGA) database, the mRNAs significantly associated with the clinical outcome of CRC patients were identified and a prognostic subnetwork was constructed.</w:t>
      </w:r>
    </w:p>
    <w:p w14:paraId="0F565EFD" w14:textId="77777777" w:rsidR="00A77B3E" w:rsidRDefault="00A77B3E" w:rsidP="00567499">
      <w:pPr>
        <w:snapToGrid w:val="0"/>
        <w:spacing w:line="360" w:lineRule="auto"/>
        <w:jc w:val="both"/>
      </w:pPr>
    </w:p>
    <w:p w14:paraId="7F86DC2F" w14:textId="77777777" w:rsidR="00A77B3E" w:rsidRDefault="001D27AD" w:rsidP="00567499">
      <w:pPr>
        <w:snapToGrid w:val="0"/>
        <w:spacing w:line="360" w:lineRule="auto"/>
        <w:jc w:val="both"/>
      </w:pPr>
      <w:r>
        <w:rPr>
          <w:rFonts w:ascii="Book Antiqua" w:eastAsia="Book Antiqua" w:hAnsi="Book Antiqua" w:cs="Book Antiqua"/>
          <w:b/>
          <w:i/>
          <w:color w:val="000000"/>
        </w:rPr>
        <w:t>Research results</w:t>
      </w:r>
    </w:p>
    <w:p w14:paraId="73B9F3D4" w14:textId="77777777" w:rsidR="00A77B3E" w:rsidRDefault="001D27AD" w:rsidP="00567499">
      <w:pPr>
        <w:snapToGrid w:val="0"/>
        <w:spacing w:line="360" w:lineRule="auto"/>
        <w:jc w:val="both"/>
      </w:pPr>
      <w:r>
        <w:rPr>
          <w:rFonts w:ascii="Book Antiqua" w:eastAsia="Book Antiqua" w:hAnsi="Book Antiqua" w:cs="Book Antiqua"/>
          <w:color w:val="000000"/>
        </w:rPr>
        <w:t xml:space="preserve">There were 55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114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267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of CRC in three datasets (GSE126095, GSE41655 and GSE41657) from GEO database. After intersected with predicted targets, 19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13 miRNAs and 28 mRNAs were chosen to develop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Go and KEGG analyses indicated that several signaling pathways might participate in the tumorigenesis. After verifying effect in TCGA database by survival analysis, we finally recognized 3 mRNAs (</w:t>
      </w:r>
      <w:r>
        <w:rPr>
          <w:rFonts w:ascii="Book Antiqua" w:eastAsia="Book Antiqua" w:hAnsi="Book Antiqua" w:cs="Book Antiqua"/>
          <w:i/>
          <w:iCs/>
          <w:color w:val="000000"/>
        </w:rPr>
        <w:t>CA2, ITLN1</w:t>
      </w:r>
      <w:r>
        <w:rPr>
          <w:rFonts w:ascii="Book Antiqua" w:eastAsia="Book Antiqua" w:hAnsi="Book Antiqua" w:cs="Book Antiqua"/>
          <w:color w:val="000000"/>
        </w:rPr>
        <w:t xml:space="preserve"> and </w:t>
      </w:r>
      <w:r>
        <w:rPr>
          <w:rFonts w:ascii="Book Antiqua" w:eastAsia="Book Antiqua" w:hAnsi="Book Antiqua" w:cs="Book Antiqua"/>
          <w:i/>
          <w:iCs/>
          <w:color w:val="000000"/>
        </w:rPr>
        <w:t>LRRC19</w:t>
      </w:r>
      <w:r>
        <w:rPr>
          <w:rFonts w:ascii="Book Antiqua" w:eastAsia="Book Antiqua" w:hAnsi="Book Antiqua" w:cs="Book Antiqua"/>
          <w:color w:val="000000"/>
        </w:rPr>
        <w:t xml:space="preserve">) associated with prognosis, and constructed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subnetwork including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(hsa_circ_0080210, hsa_circ_0007158, hsa_circ_0000375, hsa_circ_0018909 and hsa_circ_0011536) and 3 miRNAs (hsa-miR-601, hsa-miR-671-5p and hsa-miR-765).</w:t>
      </w:r>
    </w:p>
    <w:p w14:paraId="3FCBF67D" w14:textId="77777777" w:rsidR="00A77B3E" w:rsidRDefault="00A77B3E" w:rsidP="00567499">
      <w:pPr>
        <w:snapToGrid w:val="0"/>
        <w:spacing w:line="360" w:lineRule="auto"/>
        <w:jc w:val="both"/>
      </w:pPr>
    </w:p>
    <w:p w14:paraId="0EBBF799" w14:textId="77777777" w:rsidR="00A77B3E" w:rsidRDefault="001D27AD" w:rsidP="00567499">
      <w:pPr>
        <w:snapToGrid w:val="0"/>
        <w:spacing w:line="360" w:lineRule="auto"/>
        <w:jc w:val="both"/>
      </w:pPr>
      <w:r>
        <w:rPr>
          <w:rFonts w:ascii="Book Antiqua" w:eastAsia="Book Antiqua" w:hAnsi="Book Antiqua" w:cs="Book Antiqua"/>
          <w:b/>
          <w:i/>
          <w:color w:val="000000"/>
        </w:rPr>
        <w:t>Research conclusions</w:t>
      </w:r>
    </w:p>
    <w:p w14:paraId="5C16686B" w14:textId="77777777" w:rsidR="00A77B3E" w:rsidRDefault="001D27AD" w:rsidP="00567499">
      <w:pPr>
        <w:snapToGrid w:val="0"/>
        <w:spacing w:line="360" w:lineRule="auto"/>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-miRNA-mRNA regulatory network closely associated with the progression and clinical outcome of CRC was identified, which might include promising biomarkers for carcinogenesis and therapeutic targets.</w:t>
      </w:r>
    </w:p>
    <w:p w14:paraId="62B0C7C8" w14:textId="77777777" w:rsidR="00A77B3E" w:rsidRDefault="00A77B3E" w:rsidP="00567499">
      <w:pPr>
        <w:snapToGrid w:val="0"/>
        <w:spacing w:line="360" w:lineRule="auto"/>
        <w:jc w:val="both"/>
      </w:pPr>
    </w:p>
    <w:p w14:paraId="32ED279D" w14:textId="77777777" w:rsidR="00A77B3E" w:rsidRDefault="001D27AD" w:rsidP="00567499">
      <w:pPr>
        <w:snapToGrid w:val="0"/>
        <w:spacing w:line="360" w:lineRule="auto"/>
        <w:jc w:val="both"/>
      </w:pPr>
      <w:r>
        <w:rPr>
          <w:rFonts w:ascii="Book Antiqua" w:eastAsia="Book Antiqua" w:hAnsi="Book Antiqua" w:cs="Book Antiqua"/>
          <w:b/>
          <w:i/>
          <w:color w:val="000000"/>
        </w:rPr>
        <w:lastRenderedPageBreak/>
        <w:t>Research perspectives</w:t>
      </w:r>
    </w:p>
    <w:p w14:paraId="4F157159" w14:textId="77777777" w:rsidR="00A77B3E" w:rsidRDefault="001D27AD" w:rsidP="00567499">
      <w:pPr>
        <w:snapToGrid w:val="0"/>
        <w:spacing w:line="360" w:lineRule="auto"/>
        <w:jc w:val="both"/>
      </w:pPr>
      <w:r>
        <w:rPr>
          <w:rFonts w:ascii="Book Antiqua" w:eastAsia="Book Antiqua" w:hAnsi="Book Antiqua" w:cs="Book Antiqua"/>
          <w:color w:val="000000"/>
        </w:rPr>
        <w:t xml:space="preserve">We have provided a deeper understanding of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-related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mechanism of CRC by developing 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-miRNA-mRNA regulatory network. Comprehensive experimental studies are still required to confirm our findings and provide new opportunities for targeted therapeutics.</w:t>
      </w:r>
    </w:p>
    <w:p w14:paraId="04AA4FD5" w14:textId="77777777" w:rsidR="00A77B3E" w:rsidRDefault="00A77B3E" w:rsidP="00567499">
      <w:pPr>
        <w:snapToGrid w:val="0"/>
        <w:spacing w:line="360" w:lineRule="auto"/>
        <w:jc w:val="both"/>
      </w:pPr>
    </w:p>
    <w:p w14:paraId="14C55275"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ACKNOWLEDGEMENTS</w:t>
      </w:r>
    </w:p>
    <w:p w14:paraId="70F90F31" w14:textId="647A506F" w:rsidR="00A77B3E" w:rsidRDefault="001D27AD" w:rsidP="00567499">
      <w:pPr>
        <w:snapToGrid w:val="0"/>
        <w:spacing w:line="360" w:lineRule="auto"/>
        <w:jc w:val="both"/>
      </w:pPr>
      <w:r>
        <w:rPr>
          <w:rFonts w:ascii="Book Antiqua" w:eastAsia="Book Antiqua" w:hAnsi="Book Antiqua" w:cs="Book Antiqua"/>
          <w:color w:val="000000"/>
        </w:rPr>
        <w:t>We thank The Group on Earth Observations</w:t>
      </w:r>
      <w:r w:rsidR="00CE083D">
        <w:rPr>
          <w:rFonts w:ascii="Book Antiqua" w:eastAsia="Book Antiqua" w:hAnsi="Book Antiqua" w:cs="Book Antiqua"/>
          <w:color w:val="000000"/>
        </w:rPr>
        <w:t xml:space="preserve"> </w:t>
      </w:r>
      <w:r>
        <w:rPr>
          <w:rFonts w:ascii="Book Antiqua" w:eastAsia="Book Antiqua" w:hAnsi="Book Antiqua" w:cs="Book Antiqua"/>
          <w:color w:val="000000"/>
        </w:rPr>
        <w:t>and The Cancer Genome Atlas project for providing invaluable datasets for statistical analyses.</w:t>
      </w:r>
    </w:p>
    <w:p w14:paraId="1DC8CFF3" w14:textId="77777777" w:rsidR="00A77B3E" w:rsidRDefault="00A77B3E" w:rsidP="00567499">
      <w:pPr>
        <w:snapToGrid w:val="0"/>
        <w:spacing w:line="360" w:lineRule="auto"/>
        <w:jc w:val="both"/>
      </w:pPr>
    </w:p>
    <w:p w14:paraId="3BDE6E93" w14:textId="77777777" w:rsidR="00A77B3E" w:rsidRDefault="001D27AD" w:rsidP="00567499">
      <w:pPr>
        <w:snapToGrid w:val="0"/>
        <w:spacing w:line="360" w:lineRule="auto"/>
        <w:jc w:val="both"/>
      </w:pPr>
      <w:r>
        <w:rPr>
          <w:rFonts w:ascii="Book Antiqua" w:eastAsia="Book Antiqua" w:hAnsi="Book Antiqua" w:cs="Book Antiqua"/>
          <w:b/>
          <w:color w:val="000000"/>
        </w:rPr>
        <w:t>REFERENCES</w:t>
      </w:r>
    </w:p>
    <w:p w14:paraId="5F44DA50" w14:textId="77777777" w:rsidR="00A77B3E" w:rsidRDefault="001D27AD" w:rsidP="00567499">
      <w:pPr>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6F7811E4" w14:textId="77777777" w:rsidR="00A77B3E" w:rsidRDefault="001D27AD" w:rsidP="00567499">
      <w:pPr>
        <w:snapToGrid w:val="0"/>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Xiao Y, Ma J, Tang Y, Tian B, Zhang Y, Li X, Wu Z, Yang D, Zhou Y, Wang H, Liao Q, Wang W. Circular RNAs in Cancer: emerging functions in hallmarks, stemness, resistance and roles as potential biomarkers.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90 [PMID: 30999909 DOI: 10.1186/s12943-019-1002-6]</w:t>
      </w:r>
    </w:p>
    <w:p w14:paraId="6C534811" w14:textId="77777777" w:rsidR="00A77B3E" w:rsidRDefault="001D27AD" w:rsidP="00567499">
      <w:pPr>
        <w:snapToGrid w:val="0"/>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Memczak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Jens M, </w:t>
      </w:r>
      <w:proofErr w:type="spellStart"/>
      <w:r>
        <w:rPr>
          <w:rFonts w:ascii="Book Antiqua" w:eastAsia="Book Antiqua" w:hAnsi="Book Antiqua" w:cs="Book Antiqua"/>
          <w:color w:val="000000"/>
        </w:rPr>
        <w:t>Elefsinioti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Torti</w:t>
      </w:r>
      <w:proofErr w:type="spellEnd"/>
      <w:r>
        <w:rPr>
          <w:rFonts w:ascii="Book Antiqua" w:eastAsia="Book Antiqua" w:hAnsi="Book Antiqua" w:cs="Book Antiqua"/>
          <w:color w:val="000000"/>
        </w:rPr>
        <w:t xml:space="preserve"> F, Krueger J, Rybak A, Maier L, </w:t>
      </w:r>
      <w:proofErr w:type="spellStart"/>
      <w:r>
        <w:rPr>
          <w:rFonts w:ascii="Book Antiqua" w:eastAsia="Book Antiqua" w:hAnsi="Book Antiqua" w:cs="Book Antiqua"/>
          <w:color w:val="000000"/>
        </w:rPr>
        <w:t>Mackowiak</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Gregersen</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Munschauer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Loewer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Ziebold</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Landthaler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Kocks</w:t>
      </w:r>
      <w:proofErr w:type="spellEnd"/>
      <w:r>
        <w:rPr>
          <w:rFonts w:ascii="Book Antiqua" w:eastAsia="Book Antiqua" w:hAnsi="Book Antiqua" w:cs="Book Antiqua"/>
          <w:color w:val="000000"/>
        </w:rPr>
        <w:t xml:space="preserve"> C, le Noble F, </w:t>
      </w:r>
      <w:proofErr w:type="spellStart"/>
      <w:r>
        <w:rPr>
          <w:rFonts w:ascii="Book Antiqua" w:eastAsia="Book Antiqua" w:hAnsi="Book Antiqua" w:cs="Book Antiqua"/>
          <w:color w:val="000000"/>
        </w:rPr>
        <w:t>Rajewsky</w:t>
      </w:r>
      <w:proofErr w:type="spellEnd"/>
      <w:r>
        <w:rPr>
          <w:rFonts w:ascii="Book Antiqua" w:eastAsia="Book Antiqua" w:hAnsi="Book Antiqua" w:cs="Book Antiqua"/>
          <w:color w:val="000000"/>
        </w:rPr>
        <w:t xml:space="preserve"> N. Circular RNAs are a large class of animal RNAs with regulatory potency.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333-338 [PMID: 23446348 DOI: 10.1038/nature11928]</w:t>
      </w:r>
    </w:p>
    <w:p w14:paraId="5200B846" w14:textId="77777777" w:rsidR="00A77B3E" w:rsidRDefault="001D27AD" w:rsidP="00567499">
      <w:pPr>
        <w:snapToGrid w:val="0"/>
        <w:spacing w:line="360" w:lineRule="auto"/>
        <w:jc w:val="both"/>
      </w:pPr>
      <w:r w:rsidRPr="003B23CD">
        <w:rPr>
          <w:rFonts w:ascii="Book Antiqua" w:eastAsia="Book Antiqua" w:hAnsi="Book Antiqua" w:cs="Book Antiqua"/>
          <w:color w:val="000000"/>
        </w:rPr>
        <w:t xml:space="preserve">4 </w:t>
      </w:r>
      <w:proofErr w:type="spellStart"/>
      <w:r w:rsidRPr="003B23CD">
        <w:rPr>
          <w:rFonts w:ascii="Book Antiqua" w:eastAsia="Book Antiqua" w:hAnsi="Book Antiqua" w:cs="Book Antiqua"/>
          <w:b/>
          <w:bCs/>
          <w:color w:val="000000"/>
        </w:rPr>
        <w:t>Salmena</w:t>
      </w:r>
      <w:proofErr w:type="spellEnd"/>
      <w:r w:rsidRPr="003B23CD">
        <w:rPr>
          <w:rFonts w:ascii="Book Antiqua" w:eastAsia="Book Antiqua" w:hAnsi="Book Antiqua" w:cs="Book Antiqua"/>
          <w:b/>
          <w:bCs/>
          <w:color w:val="000000"/>
        </w:rPr>
        <w:t xml:space="preserve"> L</w:t>
      </w:r>
      <w:r w:rsidRPr="003B23CD">
        <w:rPr>
          <w:rFonts w:ascii="Book Antiqua" w:eastAsia="Book Antiqua" w:hAnsi="Book Antiqua" w:cs="Book Antiqua"/>
          <w:color w:val="000000"/>
        </w:rPr>
        <w:t xml:space="preserve">, </w:t>
      </w:r>
      <w:proofErr w:type="spellStart"/>
      <w:r w:rsidRPr="003B23CD">
        <w:rPr>
          <w:rFonts w:ascii="Book Antiqua" w:eastAsia="Book Antiqua" w:hAnsi="Book Antiqua" w:cs="Book Antiqua"/>
          <w:color w:val="000000"/>
        </w:rPr>
        <w:t>Poliseno</w:t>
      </w:r>
      <w:proofErr w:type="spellEnd"/>
      <w:r w:rsidRPr="003B23CD">
        <w:rPr>
          <w:rFonts w:ascii="Book Antiqua" w:eastAsia="Book Antiqua" w:hAnsi="Book Antiqua" w:cs="Book Antiqua"/>
          <w:color w:val="000000"/>
        </w:rPr>
        <w:t xml:space="preserve"> L, Tay Y, Kats L, </w:t>
      </w:r>
      <w:proofErr w:type="spellStart"/>
      <w:r w:rsidRPr="003B23CD">
        <w:rPr>
          <w:rFonts w:ascii="Book Antiqua" w:eastAsia="Book Antiqua" w:hAnsi="Book Antiqua" w:cs="Book Antiqua"/>
          <w:color w:val="000000"/>
        </w:rPr>
        <w:t>Pandolfi</w:t>
      </w:r>
      <w:proofErr w:type="spellEnd"/>
      <w:r w:rsidRPr="003B23CD">
        <w:rPr>
          <w:rFonts w:ascii="Book Antiqua" w:eastAsia="Book Antiqua" w:hAnsi="Book Antiqua" w:cs="Book Antiqua"/>
          <w:color w:val="000000"/>
        </w:rPr>
        <w:t xml:space="preserve"> PP.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hypothesis: the Rosetta Stone of a hidden RNA language?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146</w:t>
      </w:r>
      <w:r>
        <w:rPr>
          <w:rFonts w:ascii="Book Antiqua" w:eastAsia="Book Antiqua" w:hAnsi="Book Antiqua" w:cs="Book Antiqua"/>
          <w:color w:val="000000"/>
        </w:rPr>
        <w:t>: 353-358 [PMID: 21802130 DOI: 10.1016/j.cell.2011.07.014]</w:t>
      </w:r>
    </w:p>
    <w:p w14:paraId="00AA3844" w14:textId="77777777" w:rsidR="00A77B3E" w:rsidRDefault="001D27AD" w:rsidP="00567499">
      <w:pPr>
        <w:snapToGrid w:val="0"/>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Lu TX</w:t>
      </w:r>
      <w:r>
        <w:rPr>
          <w:rFonts w:ascii="Book Antiqua" w:eastAsia="Book Antiqua" w:hAnsi="Book Antiqua" w:cs="Book Antiqua"/>
          <w:color w:val="000000"/>
        </w:rPr>
        <w:t xml:space="preserve">, Rothenberg ME. MicroRNA.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1202-1207 [PMID: 29074454 DOI: 10.1016/j.jaci.2017.08.034]</w:t>
      </w:r>
    </w:p>
    <w:p w14:paraId="1D3D2C39" w14:textId="77777777" w:rsidR="00A77B3E" w:rsidRDefault="001D27AD" w:rsidP="00567499">
      <w:pPr>
        <w:snapToGri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Song W</w:t>
      </w:r>
      <w:r>
        <w:rPr>
          <w:rFonts w:ascii="Book Antiqua" w:eastAsia="Book Antiqua" w:hAnsi="Book Antiqua" w:cs="Book Antiqua"/>
          <w:color w:val="000000"/>
        </w:rPr>
        <w:t xml:space="preserve">, Fu T. Circular RNA-Associated Competing Endogenous RNA Network and Prognostic Nomogram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Colorectal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1181 [PMID: 31781492 DOI: 10.3389/fonc.2019.01181]</w:t>
      </w:r>
    </w:p>
    <w:p w14:paraId="4ED63DEE" w14:textId="77777777" w:rsidR="00A77B3E" w:rsidRDefault="001D27AD" w:rsidP="00567499">
      <w:pPr>
        <w:snapToGrid w:val="0"/>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Li Y</w:t>
      </w:r>
      <w:r>
        <w:rPr>
          <w:rFonts w:ascii="Book Antiqua" w:eastAsia="Book Antiqua" w:hAnsi="Book Antiqua" w:cs="Book Antiqua"/>
          <w:color w:val="000000"/>
        </w:rPr>
        <w:t xml:space="preserve">, Li C, Xu R, Wang Y, Li D, Zhang B. A novel circFMN2 promotes tumor proliferation in CRC by regulating the miR-1182/hTERT signaling pathways.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133</w:t>
      </w:r>
      <w:r>
        <w:rPr>
          <w:rFonts w:ascii="Book Antiqua" w:eastAsia="Book Antiqua" w:hAnsi="Book Antiqua" w:cs="Book Antiqua"/>
          <w:color w:val="000000"/>
        </w:rPr>
        <w:t>: 2463-2479 [PMID: 31738400 DOI: 10.1042/CS20190715]</w:t>
      </w:r>
    </w:p>
    <w:p w14:paraId="0C12B3C9" w14:textId="77777777" w:rsidR="00A77B3E" w:rsidRDefault="001D27AD" w:rsidP="00567499">
      <w:pPr>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Xu XW</w:t>
      </w:r>
      <w:r>
        <w:rPr>
          <w:rFonts w:ascii="Book Antiqua" w:eastAsia="Book Antiqua" w:hAnsi="Book Antiqua" w:cs="Book Antiqua"/>
          <w:color w:val="000000"/>
        </w:rPr>
        <w:t xml:space="preserve">, Zheng BA, Hu ZM, Qian ZY, Huang CJ, Liu XQ, Wu WD. Circular RNA hsa_circ_000984 promotes colon cancer growth and metastasis by sponging miR-106b.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91674-91683 [PMID: 29207676 DOI: 10.18632/oncotarget.21748]</w:t>
      </w:r>
    </w:p>
    <w:p w14:paraId="4487D96C" w14:textId="77777777" w:rsidR="00A77B3E" w:rsidRDefault="001D27AD" w:rsidP="00567499">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Cai R, Zhang Y, Wang X. Involvement of a novel </w:t>
      </w:r>
      <w:proofErr w:type="spellStart"/>
      <w:r>
        <w:rPr>
          <w:rFonts w:ascii="Book Antiqua" w:eastAsia="Book Antiqua" w:hAnsi="Book Antiqua" w:cs="Book Antiqua"/>
          <w:color w:val="000000"/>
        </w:rPr>
        <w:t>circularRNA</w:t>
      </w:r>
      <w:proofErr w:type="spellEnd"/>
      <w:r>
        <w:rPr>
          <w:rFonts w:ascii="Book Antiqua" w:eastAsia="Book Antiqua" w:hAnsi="Book Antiqua" w:cs="Book Antiqua"/>
          <w:color w:val="000000"/>
        </w:rPr>
        <w:t xml:space="preserve">, hsa_circ_0000520, attenuates tumorigenesis of cervical cancer cell through competitively binding with miR-146b-3p.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8480-8490 [PMID: 32592222 DOI: 10.1111/jcmm.15414]</w:t>
      </w:r>
    </w:p>
    <w:p w14:paraId="2AACCEF1" w14:textId="77777777" w:rsidR="00A77B3E" w:rsidRDefault="001D27AD" w:rsidP="00567499">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Zang H</w:t>
      </w:r>
      <w:r>
        <w:rPr>
          <w:rFonts w:ascii="Book Antiqua" w:eastAsia="Book Antiqua" w:hAnsi="Book Antiqua" w:cs="Book Antiqua"/>
          <w:color w:val="000000"/>
        </w:rPr>
        <w:t xml:space="preserve">, Li Y, Zhang X, Huang G. Blocking circ_0000520 Suppressed Breast Cancer Cell Growth, Migration and Invasion Partially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miR-1296/SP1 Axis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7783-7795 [PMID: 32922078 DOI: 10.2147/CMAR.S251666]</w:t>
      </w:r>
    </w:p>
    <w:p w14:paraId="428BAAB3" w14:textId="77777777" w:rsidR="00A77B3E" w:rsidRDefault="001D27AD" w:rsidP="00567499">
      <w:pPr>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Liang L</w:t>
      </w:r>
      <w:r>
        <w:rPr>
          <w:rFonts w:ascii="Book Antiqua" w:eastAsia="Book Antiqua" w:hAnsi="Book Antiqua" w:cs="Book Antiqua"/>
          <w:color w:val="000000"/>
        </w:rPr>
        <w:t xml:space="preserve">, Zhang L, Zhang J, Bai S, Fu H. Identification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-miRNA-mRNA Networks for Exploring the Fundamental Mechanism in Lung Adenocarcinoma.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2945-2955 [PMID: 32308427 DOI: 10.2147/OTT.S235664]</w:t>
      </w:r>
    </w:p>
    <w:p w14:paraId="032062E2" w14:textId="77777777" w:rsidR="00A77B3E" w:rsidRDefault="001D27AD" w:rsidP="00567499">
      <w:pPr>
        <w:snapToGrid w:val="0"/>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X, Ma L, Zhang J, Chen P, Sun S, Li J, Sun Y, Qin J. Hsa_circRNA_103809 regulated the cell proliferation and migration in colorectal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miR-532-3p / FOXO4 axis.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505</w:t>
      </w:r>
      <w:r>
        <w:rPr>
          <w:rFonts w:ascii="Book Antiqua" w:eastAsia="Book Antiqua" w:hAnsi="Book Antiqua" w:cs="Book Antiqua"/>
          <w:color w:val="000000"/>
        </w:rPr>
        <w:t>: 346-352 [PMID: 30249393 DOI: 10.1016/j.bbrc.2018.09.073]</w:t>
      </w:r>
    </w:p>
    <w:p w14:paraId="0C7E2104" w14:textId="77777777" w:rsidR="00A77B3E" w:rsidRDefault="001D27AD" w:rsidP="00567499">
      <w:pPr>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Ding B</w:t>
      </w:r>
      <w:r>
        <w:rPr>
          <w:rFonts w:ascii="Book Antiqua" w:eastAsia="Book Antiqua" w:hAnsi="Book Antiqua" w:cs="Book Antiqua"/>
          <w:color w:val="000000"/>
        </w:rPr>
        <w:t xml:space="preserve">, Yao M, Fan W, Lou W. Whole-transcriptome analysis reveals a potential hsa_circ_0001955/hsa_circ_0000977-mediated miRNA-mRNA regulatory sub-network in colorectal cancer.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5259-5279 [PMID: 32221048 DOI: 10.18632/aging.102945]</w:t>
      </w:r>
    </w:p>
    <w:p w14:paraId="5DC550AC" w14:textId="77777777" w:rsidR="00A77B3E" w:rsidRDefault="001D27AD" w:rsidP="00567499">
      <w:pPr>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Ding HX</w:t>
      </w:r>
      <w:r>
        <w:rPr>
          <w:rFonts w:ascii="Book Antiqua" w:eastAsia="Book Antiqua" w:hAnsi="Book Antiqua" w:cs="Book Antiqua"/>
          <w:color w:val="000000"/>
        </w:rPr>
        <w:t xml:space="preserve">, Xu Q, Wang BG,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 Yuan Y. </w:t>
      </w:r>
      <w:proofErr w:type="spellStart"/>
      <w:r>
        <w:rPr>
          <w:rFonts w:ascii="Book Antiqua" w:eastAsia="Book Antiqua" w:hAnsi="Book Antiqua" w:cs="Book Antiqua"/>
          <w:color w:val="000000"/>
        </w:rPr>
        <w:t>MetaDE</w:t>
      </w:r>
      <w:proofErr w:type="spellEnd"/>
      <w:r>
        <w:rPr>
          <w:rFonts w:ascii="Book Antiqua" w:eastAsia="Book Antiqua" w:hAnsi="Book Antiqua" w:cs="Book Antiqua"/>
          <w:color w:val="000000"/>
        </w:rPr>
        <w:t xml:space="preserve">-Based Analysis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Profiles Involved in Gastric Cancer.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2884-2895 [PMID: 31894486 DOI: 10.1007/s10620-019-06014-6]</w:t>
      </w:r>
    </w:p>
    <w:p w14:paraId="75B4CC7C" w14:textId="77777777" w:rsidR="00A77B3E" w:rsidRDefault="001D27AD" w:rsidP="00567499">
      <w:pPr>
        <w:snapToGrid w:val="0"/>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Huang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N, Zou KJ, Weng Y. Expression profile of circular RNAs in human gastric cancer tissues.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2469-2476 [PMID: 28737829 DOI: 10.3892/mmr.2017.6916]</w:t>
      </w:r>
    </w:p>
    <w:p w14:paraId="3415A530" w14:textId="77777777" w:rsidR="00A77B3E" w:rsidRDefault="001D27AD" w:rsidP="00567499">
      <w:pPr>
        <w:snapToGrid w:val="0"/>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Ye DX</w:t>
      </w:r>
      <w:r>
        <w:rPr>
          <w:rFonts w:ascii="Book Antiqua" w:eastAsia="Book Antiqua" w:hAnsi="Book Antiqua" w:cs="Book Antiqua"/>
          <w:color w:val="000000"/>
        </w:rPr>
        <w:t xml:space="preserve">, Wang SS, Huang Y, Chi P. A 3-circular RNA signature as a noninvasive biomarker for diagnosis of colorectal cancer.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276 [PMID: 31700498 DOI: 10.1186/s12935-019-0995-7]</w:t>
      </w:r>
    </w:p>
    <w:p w14:paraId="3D6EEAE5" w14:textId="77777777" w:rsidR="00A77B3E" w:rsidRDefault="001D27AD" w:rsidP="00567499">
      <w:pPr>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Bhattacharya N</w:t>
      </w:r>
      <w:r>
        <w:rPr>
          <w:rFonts w:ascii="Book Antiqua" w:eastAsia="Book Antiqua" w:hAnsi="Book Antiqua" w:cs="Book Antiqua"/>
          <w:color w:val="000000"/>
        </w:rPr>
        <w:t xml:space="preserve">, Yuan R, Prestwood TR, Penny HL, </w:t>
      </w:r>
      <w:proofErr w:type="spellStart"/>
      <w:r>
        <w:rPr>
          <w:rFonts w:ascii="Book Antiqua" w:eastAsia="Book Antiqua" w:hAnsi="Book Antiqua" w:cs="Book Antiqua"/>
          <w:color w:val="000000"/>
        </w:rPr>
        <w:t>DiMaio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Reticker</w:t>
      </w:r>
      <w:proofErr w:type="spellEnd"/>
      <w:r>
        <w:rPr>
          <w:rFonts w:ascii="Book Antiqua" w:eastAsia="Book Antiqua" w:hAnsi="Book Antiqua" w:cs="Book Antiqua"/>
          <w:color w:val="000000"/>
        </w:rPr>
        <w:t xml:space="preserve">-Flynn NE, </w:t>
      </w:r>
      <w:proofErr w:type="spellStart"/>
      <w:r>
        <w:rPr>
          <w:rFonts w:ascii="Book Antiqua" w:eastAsia="Book Antiqua" w:hAnsi="Book Antiqua" w:cs="Book Antiqua"/>
          <w:color w:val="000000"/>
        </w:rPr>
        <w:t>Krois</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Kenkel</w:t>
      </w:r>
      <w:proofErr w:type="spellEnd"/>
      <w:r>
        <w:rPr>
          <w:rFonts w:ascii="Book Antiqua" w:eastAsia="Book Antiqua" w:hAnsi="Book Antiqua" w:cs="Book Antiqua"/>
          <w:color w:val="000000"/>
        </w:rPr>
        <w:t xml:space="preserve"> JA, Pham TD, Carmi Y, Tolentino L, Choi O, </w:t>
      </w:r>
      <w:proofErr w:type="spellStart"/>
      <w:r>
        <w:rPr>
          <w:rFonts w:ascii="Book Antiqua" w:eastAsia="Book Antiqua" w:hAnsi="Book Antiqua" w:cs="Book Antiqua"/>
          <w:color w:val="000000"/>
        </w:rPr>
        <w:t>Hulett</w:t>
      </w:r>
      <w:proofErr w:type="spellEnd"/>
      <w:r>
        <w:rPr>
          <w:rFonts w:ascii="Book Antiqua" w:eastAsia="Book Antiqua" w:hAnsi="Book Antiqua" w:cs="Book Antiqua"/>
          <w:color w:val="000000"/>
        </w:rPr>
        <w:t xml:space="preserve"> R, Wang J, Winer DA, Napoli JL, </w:t>
      </w:r>
      <w:proofErr w:type="spellStart"/>
      <w:r>
        <w:rPr>
          <w:rFonts w:ascii="Book Antiqua" w:eastAsia="Book Antiqua" w:hAnsi="Book Antiqua" w:cs="Book Antiqua"/>
          <w:color w:val="000000"/>
        </w:rPr>
        <w:t>Engleman</w:t>
      </w:r>
      <w:proofErr w:type="spellEnd"/>
      <w:r>
        <w:rPr>
          <w:rFonts w:ascii="Book Antiqua" w:eastAsia="Book Antiqua" w:hAnsi="Book Antiqua" w:cs="Book Antiqua"/>
          <w:color w:val="000000"/>
        </w:rPr>
        <w:t xml:space="preserve"> EG. Normalizing Microbiota-Induced Retinoic Acid Deficiency Stimulates Protective CD8(+) T Cell-Mediated Immunity in Colorectal Cancer.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641-655 [PMID: 27590114 DOI: 10.1016/j.immuni.2016.08.008]</w:t>
      </w:r>
    </w:p>
    <w:p w14:paraId="63361F77" w14:textId="77777777" w:rsidR="00A77B3E" w:rsidRDefault="001D27AD" w:rsidP="00567499">
      <w:pPr>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Zhu YH</w:t>
      </w:r>
      <w:r>
        <w:rPr>
          <w:rFonts w:ascii="Book Antiqua" w:eastAsia="Book Antiqua" w:hAnsi="Book Antiqua" w:cs="Book Antiqua"/>
          <w:color w:val="000000"/>
        </w:rPr>
        <w:t xml:space="preserve">, Li JB, Wu RY, Yu Y, Li X, Li ZL, Zhang HL, Feng GK, Deng R, Zhu XF. Clinical significance and function of RDH16 as a tumor-suppressing gene in hepatocellular carcinoma.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110-120 [PMID: 31661588 DOI: 10.1111/hepr.13432]</w:t>
      </w:r>
    </w:p>
    <w:p w14:paraId="2E6214FD" w14:textId="77777777" w:rsidR="00A77B3E" w:rsidRDefault="001D27AD" w:rsidP="00567499">
      <w:pPr>
        <w:snapToGrid w:val="0"/>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Koliaraki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Pallangyo</w:t>
      </w:r>
      <w:proofErr w:type="spellEnd"/>
      <w:r>
        <w:rPr>
          <w:rFonts w:ascii="Book Antiqua" w:eastAsia="Book Antiqua" w:hAnsi="Book Antiqua" w:cs="Book Antiqua"/>
          <w:color w:val="000000"/>
        </w:rPr>
        <w:t xml:space="preserve"> CK,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FR, </w:t>
      </w:r>
      <w:proofErr w:type="spellStart"/>
      <w:r>
        <w:rPr>
          <w:rFonts w:ascii="Book Antiqua" w:eastAsia="Book Antiqua" w:hAnsi="Book Antiqua" w:cs="Book Antiqua"/>
          <w:color w:val="000000"/>
        </w:rPr>
        <w:t>Kollias</w:t>
      </w:r>
      <w:proofErr w:type="spellEnd"/>
      <w:r>
        <w:rPr>
          <w:rFonts w:ascii="Book Antiqua" w:eastAsia="Book Antiqua" w:hAnsi="Book Antiqua" w:cs="Book Antiqua"/>
          <w:color w:val="000000"/>
        </w:rPr>
        <w:t xml:space="preserve"> G. Mesenchymal Cells in Colon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964-979 [PMID: 28111227 DOI: 10.1053/j.gastro.2016.11.049]</w:t>
      </w:r>
    </w:p>
    <w:p w14:paraId="03CBF1F3" w14:textId="77777777" w:rsidR="00A77B3E" w:rsidRDefault="001D27AD" w:rsidP="00567499">
      <w:pPr>
        <w:snapToGrid w:val="0"/>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Bessa</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Elizalde JI, </w:t>
      </w:r>
      <w:proofErr w:type="spellStart"/>
      <w:r>
        <w:rPr>
          <w:rFonts w:ascii="Book Antiqua" w:eastAsia="Book Antiqua" w:hAnsi="Book Antiqua" w:cs="Book Antiqua"/>
          <w:color w:val="000000"/>
        </w:rPr>
        <w:t>Mitjans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Piñol</w:t>
      </w:r>
      <w:proofErr w:type="spellEnd"/>
      <w:r>
        <w:rPr>
          <w:rFonts w:ascii="Book Antiqua" w:eastAsia="Book Antiqua" w:hAnsi="Book Antiqua" w:cs="Book Antiqua"/>
          <w:color w:val="000000"/>
        </w:rPr>
        <w:t xml:space="preserve"> V, Miquel R,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Piulats</w:t>
      </w:r>
      <w:proofErr w:type="spellEnd"/>
      <w:r>
        <w:rPr>
          <w:rFonts w:ascii="Book Antiqua" w:eastAsia="Book Antiqua" w:hAnsi="Book Antiqua" w:cs="Book Antiqua"/>
          <w:color w:val="000000"/>
        </w:rPr>
        <w:t xml:space="preserve"> J, Piqué JM, Castells A. Leukocyte recruitment in colon cancer: role of cell adhesion molecules, nitric oxide, and transforming growth factor beta1.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122</w:t>
      </w:r>
      <w:r>
        <w:rPr>
          <w:rFonts w:ascii="Book Antiqua" w:eastAsia="Book Antiqua" w:hAnsi="Book Antiqua" w:cs="Book Antiqua"/>
          <w:color w:val="000000"/>
        </w:rPr>
        <w:t>: 1122-1132 [PMID: 11910362 DOI: 10.1053/gast.2002.32369]</w:t>
      </w:r>
    </w:p>
    <w:p w14:paraId="420DA80E" w14:textId="77777777" w:rsidR="00A77B3E" w:rsidRDefault="001D27AD" w:rsidP="00567499">
      <w:pPr>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R</w:t>
      </w:r>
      <w:r>
        <w:rPr>
          <w:rFonts w:ascii="Book Antiqua" w:eastAsia="Book Antiqua" w:hAnsi="Book Antiqua" w:cs="Book Antiqua"/>
          <w:color w:val="000000"/>
        </w:rPr>
        <w:t xml:space="preserve">, Lu Z, Gu J, Liu J, Huang E, Liu X, Wang L, Yang J, Deng Y, Qian J, Luo F, Wang Z, Zhang H, Jiang X, Zhang D, Qian J, Liu G, Zhu H, Qian Y, Liu Z, Chu Y. MicroRNAs 15A and 16-1 Activate Signaling Pathways That Mediate Chemotaxis of Immune Regulatory B cells to Colorectal Tumors.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637-651.e7 [PMID: 29031499 DOI: 10.1053/j.gastro.2017.09.045]</w:t>
      </w:r>
    </w:p>
    <w:p w14:paraId="20F50471" w14:textId="77777777" w:rsidR="00A77B3E" w:rsidRDefault="001D27AD" w:rsidP="00567499">
      <w:pPr>
        <w:snapToGrid w:val="0"/>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Salaroglio</w:t>
      </w:r>
      <w:proofErr w:type="spellEnd"/>
      <w:r>
        <w:rPr>
          <w:rFonts w:ascii="Book Antiqua" w:eastAsia="Book Antiqua" w:hAnsi="Book Antiqua" w:cs="Book Antiqua"/>
          <w:b/>
          <w:bCs/>
          <w:color w:val="000000"/>
        </w:rPr>
        <w:t xml:space="preserve"> IC</w:t>
      </w:r>
      <w:r>
        <w:rPr>
          <w:rFonts w:ascii="Book Antiqua" w:eastAsia="Book Antiqua" w:hAnsi="Book Antiqua" w:cs="Book Antiqua"/>
          <w:color w:val="000000"/>
        </w:rPr>
        <w:t xml:space="preserve">, Panada E, Moiso E, </w:t>
      </w:r>
      <w:proofErr w:type="spellStart"/>
      <w:r>
        <w:rPr>
          <w:rFonts w:ascii="Book Antiqua" w:eastAsia="Book Antiqua" w:hAnsi="Book Antiqua" w:cs="Book Antiqua"/>
          <w:color w:val="000000"/>
        </w:rPr>
        <w:t>Buondonno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Provero</w:t>
      </w:r>
      <w:proofErr w:type="spellEnd"/>
      <w:r>
        <w:rPr>
          <w:rFonts w:ascii="Book Antiqua" w:eastAsia="Book Antiqua" w:hAnsi="Book Antiqua" w:cs="Book Antiqua"/>
          <w:color w:val="000000"/>
        </w:rPr>
        <w:t xml:space="preserve"> P, Rubinstein M, </w:t>
      </w:r>
      <w:proofErr w:type="spellStart"/>
      <w:r>
        <w:rPr>
          <w:rFonts w:ascii="Book Antiqua" w:eastAsia="Book Antiqua" w:hAnsi="Book Antiqua" w:cs="Book Antiqua"/>
          <w:color w:val="000000"/>
        </w:rPr>
        <w:t>Kopecka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Riganti</w:t>
      </w:r>
      <w:proofErr w:type="spellEnd"/>
      <w:r>
        <w:rPr>
          <w:rFonts w:ascii="Book Antiqua" w:eastAsia="Book Antiqua" w:hAnsi="Book Antiqua" w:cs="Book Antiqua"/>
          <w:color w:val="000000"/>
        </w:rPr>
        <w:t xml:space="preserve"> C. PERK induces resistance to cell death elicited by endoplasmic reticulum stress and chemotherapy.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91 [PMID: 28499449 DOI: 10.1186/s12943-017-0657-0]</w:t>
      </w:r>
    </w:p>
    <w:p w14:paraId="72B83758" w14:textId="77777777" w:rsidR="00A77B3E" w:rsidRDefault="001D27AD" w:rsidP="00567499">
      <w:pPr>
        <w:snapToGrid w:val="0"/>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Cheng X</w:t>
      </w:r>
      <w:r>
        <w:rPr>
          <w:rFonts w:ascii="Book Antiqua" w:eastAsia="Book Antiqua" w:hAnsi="Book Antiqua" w:cs="Book Antiqua"/>
          <w:color w:val="000000"/>
        </w:rPr>
        <w:t xml:space="preserve">, Feng H, Wu 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Shen X,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 Chen X, Gao H, Ye F, Ji X, Jing X, Zhang Y, Zhang T,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 Zhao R. Targeting autophagy enhances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endoplasmic reticulum stress for human colorectal cancer.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431</w:t>
      </w:r>
      <w:r>
        <w:rPr>
          <w:rFonts w:ascii="Book Antiqua" w:eastAsia="Book Antiqua" w:hAnsi="Book Antiqua" w:cs="Book Antiqua"/>
          <w:color w:val="000000"/>
        </w:rPr>
        <w:t>: 105-114 [PMID: 29859300 DOI: 10.1016/j.canlet.2018.05.046]</w:t>
      </w:r>
    </w:p>
    <w:p w14:paraId="20301213" w14:textId="77777777" w:rsidR="00A77B3E" w:rsidRDefault="001D27AD" w:rsidP="00567499">
      <w:pPr>
        <w:snapToGrid w:val="0"/>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Tiemersma</w:t>
      </w:r>
      <w:proofErr w:type="spellEnd"/>
      <w:r>
        <w:rPr>
          <w:rFonts w:ascii="Book Antiqua" w:eastAsia="Book Antiqua" w:hAnsi="Book Antiqua" w:cs="Book Antiqua"/>
          <w:b/>
          <w:bCs/>
          <w:color w:val="000000"/>
        </w:rPr>
        <w:t xml:space="preserve"> EW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Wark</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Ocké</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Bunschoten</w:t>
      </w:r>
      <w:proofErr w:type="spellEnd"/>
      <w:r>
        <w:rPr>
          <w:rFonts w:ascii="Book Antiqua" w:eastAsia="Book Antiqua" w:hAnsi="Book Antiqua" w:cs="Book Antiqua"/>
          <w:color w:val="000000"/>
        </w:rPr>
        <w:t xml:space="preserve"> A, Otten MH, </w:t>
      </w:r>
      <w:proofErr w:type="spellStart"/>
      <w:r>
        <w:rPr>
          <w:rFonts w:ascii="Book Antiqua" w:eastAsia="Book Antiqua" w:hAnsi="Book Antiqua" w:cs="Book Antiqua"/>
          <w:color w:val="000000"/>
        </w:rPr>
        <w:t>Kok</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Kampman</w:t>
      </w:r>
      <w:proofErr w:type="spellEnd"/>
      <w:r>
        <w:rPr>
          <w:rFonts w:ascii="Book Antiqua" w:eastAsia="Book Antiqua" w:hAnsi="Book Antiqua" w:cs="Book Antiqua"/>
          <w:color w:val="000000"/>
        </w:rPr>
        <w:t xml:space="preserve"> E. Alcohol consumption, alcohol dehydrogenase 3 polymorphism, and colorectal adenomas. </w:t>
      </w:r>
      <w:r>
        <w:rPr>
          <w:rFonts w:ascii="Book Antiqua" w:eastAsia="Book Antiqua" w:hAnsi="Book Antiqua" w:cs="Book Antiqua"/>
          <w:i/>
          <w:iCs/>
          <w:color w:val="000000"/>
        </w:rPr>
        <w:t xml:space="preserve">Cancer Epidemiol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12</w:t>
      </w:r>
      <w:r>
        <w:rPr>
          <w:rFonts w:ascii="Book Antiqua" w:eastAsia="Book Antiqua" w:hAnsi="Book Antiqua" w:cs="Book Antiqua"/>
          <w:color w:val="000000"/>
        </w:rPr>
        <w:t>: 419-425 [PMID: 12750236]</w:t>
      </w:r>
    </w:p>
    <w:p w14:paraId="6F3213FA" w14:textId="77777777" w:rsidR="00A77B3E" w:rsidRDefault="001D27AD" w:rsidP="00567499">
      <w:pPr>
        <w:snapToGrid w:val="0"/>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Liao X</w:t>
      </w:r>
      <w:r>
        <w:rPr>
          <w:rFonts w:ascii="Book Antiqua" w:eastAsia="Book Antiqua" w:hAnsi="Book Antiqua" w:cs="Book Antiqua"/>
          <w:color w:val="000000"/>
        </w:rPr>
        <w:t xml:space="preserve">, Huang R, Liu X, Han C, Yu L, Wang S, Sun N, Li B, Ning X, Peng T. Distinct prognostic values of alcohol dehydrogenase mRNA expression in pancreatic adenocarcinoma.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3719-3732 [PMID: 28769575 DOI: 10.2147/OTT.S140221]</w:t>
      </w:r>
    </w:p>
    <w:p w14:paraId="6F355D0C" w14:textId="77777777" w:rsidR="00A77B3E" w:rsidRDefault="001D27AD" w:rsidP="00567499">
      <w:pPr>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Seitz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Simanowski</w:t>
      </w:r>
      <w:proofErr w:type="spellEnd"/>
      <w:r>
        <w:rPr>
          <w:rFonts w:ascii="Book Antiqua" w:eastAsia="Book Antiqua" w:hAnsi="Book Antiqua" w:cs="Book Antiqua"/>
          <w:color w:val="000000"/>
        </w:rPr>
        <w:t xml:space="preserve"> UA, Garzon FT, Rideout JM, Peters TJ, Koch A, Berger MR, </w:t>
      </w:r>
      <w:proofErr w:type="spellStart"/>
      <w:r>
        <w:rPr>
          <w:rFonts w:ascii="Book Antiqua" w:eastAsia="Book Antiqua" w:hAnsi="Book Antiqua" w:cs="Book Antiqua"/>
          <w:color w:val="000000"/>
        </w:rPr>
        <w:t>Einecke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Maiwald</w:t>
      </w:r>
      <w:proofErr w:type="spellEnd"/>
      <w:r>
        <w:rPr>
          <w:rFonts w:ascii="Book Antiqua" w:eastAsia="Book Antiqua" w:hAnsi="Book Antiqua" w:cs="Book Antiqua"/>
          <w:color w:val="000000"/>
        </w:rPr>
        <w:t xml:space="preserve"> M. Possible role of acetaldehyde in ethanol-related rectal </w:t>
      </w:r>
      <w:proofErr w:type="spellStart"/>
      <w:r>
        <w:rPr>
          <w:rFonts w:ascii="Book Antiqua" w:eastAsia="Book Antiqua" w:hAnsi="Book Antiqua" w:cs="Book Antiqua"/>
          <w:color w:val="000000"/>
        </w:rPr>
        <w:t>cocarcinogenesis</w:t>
      </w:r>
      <w:proofErr w:type="spellEnd"/>
      <w:r>
        <w:rPr>
          <w:rFonts w:ascii="Book Antiqua" w:eastAsia="Book Antiqua" w:hAnsi="Book Antiqua" w:cs="Book Antiqua"/>
          <w:color w:val="000000"/>
        </w:rPr>
        <w:t xml:space="preserve"> in the rat.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98</w:t>
      </w:r>
      <w:r>
        <w:rPr>
          <w:rFonts w:ascii="Book Antiqua" w:eastAsia="Book Antiqua" w:hAnsi="Book Antiqua" w:cs="Book Antiqua"/>
          <w:color w:val="000000"/>
        </w:rPr>
        <w:t>: 406-413 [PMID: 2295396 DOI: 10.1016/0016-5085(90)90832-l]</w:t>
      </w:r>
    </w:p>
    <w:p w14:paraId="6D3F7FAE" w14:textId="77777777" w:rsidR="00A77B3E" w:rsidRDefault="001D27AD" w:rsidP="00567499">
      <w:pPr>
        <w:snapToGrid w:val="0"/>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Indini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Tomasello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Rijavec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Facciorusso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Grossi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Ghidini</w:t>
      </w:r>
      <w:proofErr w:type="spellEnd"/>
      <w:r>
        <w:rPr>
          <w:rFonts w:ascii="Book Antiqua" w:eastAsia="Book Antiqua" w:hAnsi="Book Antiqua" w:cs="Book Antiqua"/>
          <w:color w:val="000000"/>
        </w:rPr>
        <w:t xml:space="preserve"> M. Impact of Use of Gastric-Acid Suppressants and Oral Anti-Cancer Agents on Survival Outcomes: A Systematic Review and Meta-Analysis.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32325628 DOI: 10.3390/cancers12040998]</w:t>
      </w:r>
    </w:p>
    <w:p w14:paraId="38122CD3" w14:textId="77777777" w:rsidR="00A77B3E" w:rsidRDefault="001D27AD" w:rsidP="00567499">
      <w:pPr>
        <w:snapToGrid w:val="0"/>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Kurmi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Haigis</w:t>
      </w:r>
      <w:proofErr w:type="spellEnd"/>
      <w:r>
        <w:rPr>
          <w:rFonts w:ascii="Book Antiqua" w:eastAsia="Book Antiqua" w:hAnsi="Book Antiqua" w:cs="Book Antiqua"/>
          <w:color w:val="000000"/>
        </w:rPr>
        <w:t xml:space="preserve"> MC. Nitrogen Metabolism in Cancer and Immunity.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408-424 [PMID: 32302552 DOI: 10.1016/j.tcb.2020.02.005]</w:t>
      </w:r>
    </w:p>
    <w:p w14:paraId="2C4E62CF" w14:textId="77777777" w:rsidR="00A77B3E" w:rsidRDefault="001D27AD" w:rsidP="00567499">
      <w:pPr>
        <w:snapToGrid w:val="0"/>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Zaytouni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Tsai PY, Hitchcock DS, DuBois CD, </w:t>
      </w:r>
      <w:proofErr w:type="spellStart"/>
      <w:r>
        <w:rPr>
          <w:rFonts w:ascii="Book Antiqua" w:eastAsia="Book Antiqua" w:hAnsi="Book Antiqua" w:cs="Book Antiqua"/>
          <w:color w:val="000000"/>
        </w:rPr>
        <w:t>Freinkman</w:t>
      </w:r>
      <w:proofErr w:type="spellEnd"/>
      <w:r>
        <w:rPr>
          <w:rFonts w:ascii="Book Antiqua" w:eastAsia="Book Antiqua" w:hAnsi="Book Antiqua" w:cs="Book Antiqua"/>
          <w:color w:val="000000"/>
        </w:rPr>
        <w:t xml:space="preserve"> E, Lin L, Morales-</w:t>
      </w:r>
      <w:proofErr w:type="spellStart"/>
      <w:r>
        <w:rPr>
          <w:rFonts w:ascii="Book Antiqua" w:eastAsia="Book Antiqua" w:hAnsi="Book Antiqua" w:cs="Book Antiqua"/>
          <w:color w:val="000000"/>
        </w:rPr>
        <w:t>Oyarvide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Lenehan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Wolpin</w:t>
      </w:r>
      <w:proofErr w:type="spellEnd"/>
      <w:r>
        <w:rPr>
          <w:rFonts w:ascii="Book Antiqua" w:eastAsia="Book Antiqua" w:hAnsi="Book Antiqua" w:cs="Book Antiqua"/>
          <w:color w:val="000000"/>
        </w:rPr>
        <w:t xml:space="preserve"> BM,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Torres EM, </w:t>
      </w:r>
      <w:proofErr w:type="spellStart"/>
      <w:r>
        <w:rPr>
          <w:rFonts w:ascii="Book Antiqua" w:eastAsia="Book Antiqua" w:hAnsi="Book Antiqua" w:cs="Book Antiqua"/>
          <w:color w:val="000000"/>
        </w:rPr>
        <w:t>Stylopoulos</w:t>
      </w:r>
      <w:proofErr w:type="spellEnd"/>
      <w:r>
        <w:rPr>
          <w:rFonts w:ascii="Book Antiqua" w:eastAsia="Book Antiqua" w:hAnsi="Book Antiqua" w:cs="Book Antiqua"/>
          <w:color w:val="000000"/>
        </w:rPr>
        <w:t xml:space="preserve"> N, Clish CB, </w:t>
      </w:r>
      <w:proofErr w:type="spellStart"/>
      <w:r>
        <w:rPr>
          <w:rFonts w:ascii="Book Antiqua" w:eastAsia="Book Antiqua" w:hAnsi="Book Antiqua" w:cs="Book Antiqua"/>
          <w:color w:val="000000"/>
        </w:rPr>
        <w:t>Kalaany</w:t>
      </w:r>
      <w:proofErr w:type="spellEnd"/>
      <w:r>
        <w:rPr>
          <w:rFonts w:ascii="Book Antiqua" w:eastAsia="Book Antiqua" w:hAnsi="Book Antiqua" w:cs="Book Antiqua"/>
          <w:color w:val="000000"/>
        </w:rPr>
        <w:t xml:space="preserve"> NY. Critical role for arginase 2 in obesity-associated pancreatic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242 [PMID: 28808255 DOI: 10.1038/s41467-017-00331-y]</w:t>
      </w:r>
    </w:p>
    <w:p w14:paraId="563175F7" w14:textId="77777777" w:rsidR="00A77B3E" w:rsidRDefault="001D27AD" w:rsidP="00567499">
      <w:pPr>
        <w:snapToGrid w:val="0"/>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Gmeiner</w:t>
      </w:r>
      <w:proofErr w:type="spellEnd"/>
      <w:r>
        <w:rPr>
          <w:rFonts w:ascii="Book Antiqua" w:eastAsia="Book Antiqua" w:hAnsi="Book Antiqua" w:cs="Book Antiqua"/>
          <w:b/>
          <w:bCs/>
          <w:color w:val="000000"/>
        </w:rPr>
        <w:t xml:space="preserve"> WH</w:t>
      </w:r>
      <w:r>
        <w:rPr>
          <w:rFonts w:ascii="Book Antiqua" w:eastAsia="Book Antiqua" w:hAnsi="Book Antiqua" w:cs="Book Antiqua"/>
          <w:color w:val="000000"/>
        </w:rPr>
        <w:t xml:space="preserve">, Hellmann GM, Shen P. Tissue-dependent and -independent gene expression changes in metastatic colon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245-251 [PMID: 18097602]</w:t>
      </w:r>
    </w:p>
    <w:p w14:paraId="42876B9B" w14:textId="77777777" w:rsidR="00A77B3E" w:rsidRDefault="001D27AD" w:rsidP="00567499">
      <w:pPr>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Kodama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Oshikawa</w:t>
      </w:r>
      <w:proofErr w:type="spellEnd"/>
      <w:r>
        <w:rPr>
          <w:rFonts w:ascii="Book Antiqua" w:eastAsia="Book Antiqua" w:hAnsi="Book Antiqua" w:cs="Book Antiqua"/>
          <w:color w:val="000000"/>
        </w:rPr>
        <w:t xml:space="preserve"> K, Shimizu H, Yoshioka S, Takahashi M, Izumi Y, Bamba T,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Tomonaga</w:t>
      </w:r>
      <w:proofErr w:type="spellEnd"/>
      <w:r>
        <w:rPr>
          <w:rFonts w:ascii="Book Antiqua" w:eastAsia="Book Antiqua" w:hAnsi="Book Antiqua" w:cs="Book Antiqua"/>
          <w:color w:val="000000"/>
        </w:rPr>
        <w:t xml:space="preserve"> T, Matsumoto M, Nakayama KI. A shift in glutamine nitrogen </w:t>
      </w:r>
      <w:r>
        <w:rPr>
          <w:rFonts w:ascii="Book Antiqua" w:eastAsia="Book Antiqua" w:hAnsi="Book Antiqua" w:cs="Book Antiqua"/>
          <w:color w:val="000000"/>
        </w:rPr>
        <w:lastRenderedPageBreak/>
        <w:t xml:space="preserve">metabolism contributes to the malignant progression of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1320 [PMID: 32184390 DOI: 10.1038/s41467-020-15136-9]</w:t>
      </w:r>
    </w:p>
    <w:p w14:paraId="60380235" w14:textId="77777777" w:rsidR="00A77B3E" w:rsidRDefault="001D27AD" w:rsidP="00567499">
      <w:pPr>
        <w:snapToGrid w:val="0"/>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Yang Y</w:t>
      </w:r>
      <w:r>
        <w:rPr>
          <w:rFonts w:ascii="Book Antiqua" w:eastAsia="Book Antiqua" w:hAnsi="Book Antiqua" w:cs="Book Antiqua"/>
          <w:color w:val="000000"/>
        </w:rPr>
        <w:t xml:space="preserve">, Zheng Y, Liu X, Ji R, Chen Z, Guo Q, Wu G, Wang Y, Zhou Y. Comprehensive analysis of gene regulation network and immune signatures of prognostic biomarker YAP1 in pancreatic cancer.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6960-6969 [PMID: 33123286 DOI: 10.7150/jca.49117]</w:t>
      </w:r>
    </w:p>
    <w:p w14:paraId="5FB9907B" w14:textId="77777777" w:rsidR="00A77B3E" w:rsidRDefault="001D27AD" w:rsidP="00567499">
      <w:pPr>
        <w:snapToGri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Shen Y</w:t>
      </w:r>
      <w:r>
        <w:rPr>
          <w:rFonts w:ascii="Book Antiqua" w:eastAsia="Book Antiqua" w:hAnsi="Book Antiqua" w:cs="Book Antiqua"/>
          <w:color w:val="000000"/>
        </w:rPr>
        <w:t xml:space="preserve">, Lai Y, Xu D, Xu L, Song L, Zhou J, Song C, Wang J. Diagnosis of thyroid neoplasm using support vector machine algorithms based on platelet RNA-seq.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2020 [PMID: 33179221 DOI: 10.1007/s12020-020-02523-x]</w:t>
      </w:r>
    </w:p>
    <w:p w14:paraId="6CE8A7BB" w14:textId="77777777" w:rsidR="00A77B3E" w:rsidRDefault="001D27AD" w:rsidP="00567499">
      <w:pPr>
        <w:snapToGrid w:val="0"/>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Zhou L</w:t>
      </w:r>
      <w:r>
        <w:rPr>
          <w:rFonts w:ascii="Book Antiqua" w:eastAsia="Book Antiqua" w:hAnsi="Book Antiqua" w:cs="Book Antiqua"/>
          <w:color w:val="000000"/>
        </w:rPr>
        <w:t xml:space="preserve">, Li Y, Li Z, Huang Q. Mining therapeutic and prognostic significance of STATs in renal cell carcinoma with bioinformatics analysis. </w:t>
      </w:r>
      <w:r>
        <w:rPr>
          <w:rFonts w:ascii="Book Antiqua" w:eastAsia="Book Antiqua" w:hAnsi="Book Antiqua" w:cs="Book Antiqua"/>
          <w:i/>
          <w:iCs/>
          <w:color w:val="000000"/>
        </w:rPr>
        <w:t>Genomics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112</w:t>
      </w:r>
      <w:r>
        <w:rPr>
          <w:rFonts w:ascii="Book Antiqua" w:eastAsia="Book Antiqua" w:hAnsi="Book Antiqua" w:cs="Book Antiqua"/>
          <w:color w:val="000000"/>
        </w:rPr>
        <w:t>: 4100-4114 [PMID: 32640276 DOI: 10.1016/j.ygeno.2020.06.032]</w:t>
      </w:r>
    </w:p>
    <w:p w14:paraId="3477A419" w14:textId="77777777" w:rsidR="00A77B3E" w:rsidRDefault="001D27AD" w:rsidP="00567499">
      <w:pPr>
        <w:snapToGrid w:val="0"/>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Lee K</w:t>
      </w:r>
      <w:r>
        <w:rPr>
          <w:rFonts w:ascii="Book Antiqua" w:eastAsia="Book Antiqua" w:hAnsi="Book Antiqua" w:cs="Book Antiqua"/>
          <w:color w:val="000000"/>
        </w:rPr>
        <w:t xml:space="preserve">, Ferguson LR. MicroRNA biomarkers predicting risk, initiation and progression of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7389-7401 [PMID: 27672263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33.7389]</w:t>
      </w:r>
    </w:p>
    <w:p w14:paraId="6CDF33F6" w14:textId="77777777" w:rsidR="00A77B3E" w:rsidRDefault="001D27AD" w:rsidP="00567499">
      <w:pPr>
        <w:snapToGrid w:val="0"/>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Liu C</w:t>
      </w:r>
      <w:r>
        <w:rPr>
          <w:rFonts w:ascii="Book Antiqua" w:eastAsia="Book Antiqua" w:hAnsi="Book Antiqua" w:cs="Book Antiqua"/>
          <w:color w:val="000000"/>
        </w:rPr>
        <w:t xml:space="preserve">, Tian X, Sun HB, Wang ZF, Jiang LF, Li ZX. MiR-601 inhibits the proliferation and metastasis of esophageal squamous cell carcinoma (ESCC) by targeting HDAC6. </w:t>
      </w:r>
      <w:r>
        <w:rPr>
          <w:rFonts w:ascii="Book Antiqua" w:eastAsia="Book Antiqua" w:hAnsi="Book Antiqua" w:cs="Book Antiqua"/>
          <w:i/>
          <w:iCs/>
          <w:color w:val="000000"/>
        </w:rPr>
        <w:t xml:space="preserve">Eur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1069-1076 [PMID: 30779074 DOI: 10.26355/eurrev_201902_16995]</w:t>
      </w:r>
    </w:p>
    <w:p w14:paraId="49D95F40" w14:textId="77777777" w:rsidR="00A77B3E" w:rsidRDefault="001D27AD" w:rsidP="00567499">
      <w:pPr>
        <w:snapToGrid w:val="0"/>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Hu JY</w:t>
      </w:r>
      <w:r>
        <w:rPr>
          <w:rFonts w:ascii="Book Antiqua" w:eastAsia="Book Antiqua" w:hAnsi="Book Antiqua" w:cs="Book Antiqua"/>
          <w:color w:val="000000"/>
        </w:rPr>
        <w:t xml:space="preserve">, Yi W, Wei X, Zhang MY, Xu R, Zeng LS, Huang ZJ, Chen JS. miR-601 is a prognostic marker and suppresses cell growth and invasion by targeting PTP4A1 in breast cancer.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79</w:t>
      </w:r>
      <w:r>
        <w:rPr>
          <w:rFonts w:ascii="Book Antiqua" w:eastAsia="Book Antiqua" w:hAnsi="Book Antiqua" w:cs="Book Antiqua"/>
          <w:color w:val="000000"/>
        </w:rPr>
        <w:t>: 247-253 [PMID: 27044835 DOI: 10.1016/j.biopha.2016.02.014]</w:t>
      </w:r>
    </w:p>
    <w:p w14:paraId="3327EFE5" w14:textId="77777777" w:rsidR="00A77B3E" w:rsidRDefault="001D27AD" w:rsidP="00567499">
      <w:pPr>
        <w:snapToGrid w:val="0"/>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C, Tian B, Tan X, Han W, Wang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Li Y, Guan X, Hong A, Chen X. miR-671-5p Blocks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Progression Of Human Esophageal Squamous Cell Carcinoma By Suppressing FGFR2.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1892-1904 [PMID: 31523191 DOI: 10.7150/ijbs.32429]</w:t>
      </w:r>
    </w:p>
    <w:p w14:paraId="1E2AEF46" w14:textId="77777777" w:rsidR="00A77B3E" w:rsidRDefault="001D27AD" w:rsidP="00567499">
      <w:pPr>
        <w:snapToGrid w:val="0"/>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Tan X</w:t>
      </w:r>
      <w:r>
        <w:rPr>
          <w:rFonts w:ascii="Book Antiqua" w:eastAsia="Book Antiqua" w:hAnsi="Book Antiqua" w:cs="Book Antiqua"/>
          <w:color w:val="000000"/>
        </w:rPr>
        <w:t xml:space="preserve">, Li Z, Ren S, Rezaei K, Pan Q, Goldstein AT, </w:t>
      </w:r>
      <w:proofErr w:type="spellStart"/>
      <w:r>
        <w:rPr>
          <w:rFonts w:ascii="Book Antiqua" w:eastAsia="Book Antiqua" w:hAnsi="Book Antiqua" w:cs="Book Antiqua"/>
          <w:color w:val="000000"/>
        </w:rPr>
        <w:t>Macri</w:t>
      </w:r>
      <w:proofErr w:type="spellEnd"/>
      <w:r>
        <w:rPr>
          <w:rFonts w:ascii="Book Antiqua" w:eastAsia="Book Antiqua" w:hAnsi="Book Antiqua" w:cs="Book Antiqua"/>
          <w:color w:val="000000"/>
        </w:rPr>
        <w:t xml:space="preserve"> CJ, Cao D, </w:t>
      </w:r>
      <w:proofErr w:type="spellStart"/>
      <w:r>
        <w:rPr>
          <w:rFonts w:ascii="Book Antiqua" w:eastAsia="Book Antiqua" w:hAnsi="Book Antiqua" w:cs="Book Antiqua"/>
          <w:color w:val="000000"/>
        </w:rPr>
        <w:t>Brem</w:t>
      </w:r>
      <w:proofErr w:type="spellEnd"/>
      <w:r>
        <w:rPr>
          <w:rFonts w:ascii="Book Antiqua" w:eastAsia="Book Antiqua" w:hAnsi="Book Antiqua" w:cs="Book Antiqua"/>
          <w:color w:val="000000"/>
        </w:rPr>
        <w:t xml:space="preserve"> RF, Fu SW. Dynamically decreased miR-671-5p expression is associated with oncogenic </w:t>
      </w:r>
      <w:r>
        <w:rPr>
          <w:rFonts w:ascii="Book Antiqua" w:eastAsia="Book Antiqua" w:hAnsi="Book Antiqua" w:cs="Book Antiqua"/>
          <w:color w:val="000000"/>
        </w:rPr>
        <w:lastRenderedPageBreak/>
        <w:t xml:space="preserve">transformation and </w:t>
      </w:r>
      <w:proofErr w:type="spellStart"/>
      <w:r>
        <w:rPr>
          <w:rFonts w:ascii="Book Antiqua" w:eastAsia="Book Antiqua" w:hAnsi="Book Antiqua" w:cs="Book Antiqua"/>
          <w:color w:val="000000"/>
        </w:rPr>
        <w:t>radiochemoresistance</w:t>
      </w:r>
      <w:proofErr w:type="spellEnd"/>
      <w:r>
        <w:rPr>
          <w:rFonts w:ascii="Book Antiqua" w:eastAsia="Book Antiqua" w:hAnsi="Book Antiqua" w:cs="Book Antiqua"/>
          <w:color w:val="000000"/>
        </w:rPr>
        <w:t xml:space="preserve"> in breast cancer. </w:t>
      </w:r>
      <w:r>
        <w:rPr>
          <w:rFonts w:ascii="Book Antiqua" w:eastAsia="Book Antiqua" w:hAnsi="Book Antiqua" w:cs="Book Antiqua"/>
          <w:i/>
          <w:iCs/>
          <w:color w:val="000000"/>
        </w:rPr>
        <w:t>Breast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89 [PMID: 31391072 DOI: 10.1186/s13058-019-1173-5]</w:t>
      </w:r>
    </w:p>
    <w:p w14:paraId="702A040D" w14:textId="77777777" w:rsidR="00A77B3E" w:rsidRDefault="001D27AD" w:rsidP="00567499">
      <w:pPr>
        <w:snapToGrid w:val="0"/>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H. Circular RNA circ_0001946 acts as a competing endogenous RNA to inhibit glioblastoma progression by modulating miR-671-5p and CDR1.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13807-13819 [PMID: 30663767 DOI: 10.1002/jcp.28061]</w:t>
      </w:r>
    </w:p>
    <w:p w14:paraId="16EA6CB3" w14:textId="5127460B" w:rsidR="00A77B3E" w:rsidRDefault="001D27AD" w:rsidP="00567499">
      <w:pPr>
        <w:snapToGrid w:val="0"/>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Gartner JJ</w:t>
      </w:r>
      <w:r>
        <w:rPr>
          <w:rFonts w:ascii="Book Antiqua" w:eastAsia="Book Antiqua" w:hAnsi="Book Antiqua" w:cs="Book Antiqua"/>
          <w:color w:val="000000"/>
        </w:rPr>
        <w:t>, Parker SC, Prickett TD, Dutton-</w:t>
      </w:r>
      <w:proofErr w:type="spellStart"/>
      <w:r>
        <w:rPr>
          <w:rFonts w:ascii="Book Antiqua" w:eastAsia="Book Antiqua" w:hAnsi="Book Antiqua" w:cs="Book Antiqua"/>
          <w:color w:val="000000"/>
        </w:rPr>
        <w:t>Regester</w:t>
      </w:r>
      <w:proofErr w:type="spellEnd"/>
      <w:r>
        <w:rPr>
          <w:rFonts w:ascii="Book Antiqua" w:eastAsia="Book Antiqua" w:hAnsi="Book Antiqua" w:cs="Book Antiqua"/>
          <w:color w:val="000000"/>
        </w:rPr>
        <w:t xml:space="preserve"> K, Stitzel ML, Lin JC, Davis S, </w:t>
      </w:r>
      <w:proofErr w:type="spellStart"/>
      <w:r>
        <w:rPr>
          <w:rFonts w:ascii="Book Antiqua" w:eastAsia="Book Antiqua" w:hAnsi="Book Antiqua" w:cs="Book Antiqua"/>
          <w:color w:val="000000"/>
        </w:rPr>
        <w:t>Simhadri</w:t>
      </w:r>
      <w:proofErr w:type="spellEnd"/>
      <w:r>
        <w:rPr>
          <w:rFonts w:ascii="Book Antiqua" w:eastAsia="Book Antiqua" w:hAnsi="Book Antiqua" w:cs="Book Antiqua"/>
          <w:color w:val="000000"/>
        </w:rPr>
        <w:t xml:space="preserve"> VL, Jha S,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Gotea</w:t>
      </w:r>
      <w:proofErr w:type="spellEnd"/>
      <w:r>
        <w:rPr>
          <w:rFonts w:ascii="Book Antiqua" w:eastAsia="Book Antiqua" w:hAnsi="Book Antiqua" w:cs="Book Antiqua"/>
          <w:color w:val="000000"/>
        </w:rPr>
        <w:t xml:space="preserve"> V, Teer JK, Wei X, </w:t>
      </w:r>
      <w:proofErr w:type="spellStart"/>
      <w:r>
        <w:rPr>
          <w:rFonts w:ascii="Book Antiqua" w:eastAsia="Book Antiqua" w:hAnsi="Book Antiqua" w:cs="Book Antiqua"/>
          <w:color w:val="000000"/>
        </w:rPr>
        <w:t>Morken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Bhanot</w:t>
      </w:r>
      <w:proofErr w:type="spellEnd"/>
      <w:r>
        <w:rPr>
          <w:rFonts w:ascii="Book Antiqua" w:eastAsia="Book Antiqua" w:hAnsi="Book Antiqua" w:cs="Book Antiqua"/>
          <w:color w:val="000000"/>
        </w:rPr>
        <w:t xml:space="preserve"> UK; NISC Comparative Sequencing Program, Chen G, </w:t>
      </w:r>
      <w:proofErr w:type="spellStart"/>
      <w:r>
        <w:rPr>
          <w:rFonts w:ascii="Book Antiqua" w:eastAsia="Book Antiqua" w:hAnsi="Book Antiqua" w:cs="Book Antiqua"/>
          <w:color w:val="000000"/>
        </w:rPr>
        <w:t>Elnitski</w:t>
      </w:r>
      <w:proofErr w:type="spellEnd"/>
      <w:r>
        <w:rPr>
          <w:rFonts w:ascii="Book Antiqua" w:eastAsia="Book Antiqua" w:hAnsi="Book Antiqua" w:cs="Book Antiqua"/>
          <w:color w:val="000000"/>
        </w:rPr>
        <w:t xml:space="preserve"> LL, Davies MA,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Carter H, </w:t>
      </w:r>
      <w:proofErr w:type="spellStart"/>
      <w:r>
        <w:rPr>
          <w:rFonts w:ascii="Book Antiqua" w:eastAsia="Book Antiqua" w:hAnsi="Book Antiqua" w:cs="Book Antiqua"/>
          <w:color w:val="000000"/>
        </w:rPr>
        <w:t>Karchin</w:t>
      </w:r>
      <w:proofErr w:type="spellEnd"/>
      <w:r>
        <w:rPr>
          <w:rFonts w:ascii="Book Antiqua" w:eastAsia="Book Antiqua" w:hAnsi="Book Antiqua" w:cs="Book Antiqua"/>
          <w:color w:val="000000"/>
        </w:rPr>
        <w:t xml:space="preserve"> R, Robinson W, Robinson S, Rosenberg SA, Collins FS, </w:t>
      </w:r>
      <w:proofErr w:type="spellStart"/>
      <w:r>
        <w:rPr>
          <w:rFonts w:ascii="Book Antiqua" w:eastAsia="Book Antiqua" w:hAnsi="Book Antiqua" w:cs="Book Antiqua"/>
          <w:color w:val="000000"/>
        </w:rPr>
        <w:t>Parmigiani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Komar</w:t>
      </w:r>
      <w:proofErr w:type="spellEnd"/>
      <w:r>
        <w:rPr>
          <w:rFonts w:ascii="Book Antiqua" w:eastAsia="Book Antiqua" w:hAnsi="Book Antiqua" w:cs="Book Antiqua"/>
          <w:color w:val="000000"/>
        </w:rPr>
        <w:t xml:space="preserve"> AA, Kimchi-</w:t>
      </w:r>
      <w:proofErr w:type="spellStart"/>
      <w:r>
        <w:rPr>
          <w:rFonts w:ascii="Book Antiqua" w:eastAsia="Book Antiqua" w:hAnsi="Book Antiqua" w:cs="Book Antiqua"/>
          <w:color w:val="000000"/>
        </w:rPr>
        <w:t>Sarfaty</w:t>
      </w:r>
      <w:proofErr w:type="spellEnd"/>
      <w:r>
        <w:rPr>
          <w:rFonts w:ascii="Book Antiqua" w:eastAsia="Book Antiqua" w:hAnsi="Book Antiqua" w:cs="Book Antiqua"/>
          <w:color w:val="000000"/>
        </w:rPr>
        <w:t xml:space="preserve"> C, Hayward NK, Margulies EH, Samuels Y. Whole-genome sequencing identifies a recurrent functional synonymous mutation in melanoma. </w:t>
      </w:r>
      <w:r>
        <w:rPr>
          <w:rFonts w:ascii="Book Antiqua" w:eastAsia="Book Antiqua" w:hAnsi="Book Antiqua" w:cs="Book Antiqua"/>
          <w:i/>
          <w:iCs/>
          <w:color w:val="000000"/>
        </w:rPr>
        <w:t>Proc</w:t>
      </w:r>
      <w:r w:rsidR="009D39A7">
        <w:rPr>
          <w:rFonts w:ascii="Book Antiqua" w:eastAsia="Book Antiqua" w:hAnsi="Book Antiqua" w:cs="Book Antiqua"/>
          <w:i/>
          <w:iCs/>
          <w:color w:val="000000"/>
        </w:rPr>
        <w:t xml:space="preserve"> Natl </w:t>
      </w:r>
      <w:proofErr w:type="spellStart"/>
      <w:r w:rsidR="009D39A7">
        <w:rPr>
          <w:rFonts w:ascii="Book Antiqua" w:eastAsia="Book Antiqua" w:hAnsi="Book Antiqua" w:cs="Book Antiqua"/>
          <w:i/>
          <w:iCs/>
          <w:color w:val="000000"/>
        </w:rPr>
        <w:t>Acad</w:t>
      </w:r>
      <w:proofErr w:type="spellEnd"/>
      <w:r w:rsidR="009D39A7">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13481-13486 [PMID: 23901115 DOI: 10.1073/pnas.1304227110]</w:t>
      </w:r>
    </w:p>
    <w:p w14:paraId="3A58B9D0" w14:textId="77777777" w:rsidR="00A77B3E" w:rsidRDefault="001D27AD" w:rsidP="00567499">
      <w:pPr>
        <w:snapToGrid w:val="0"/>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 xml:space="preserve">Della Vittoria </w:t>
      </w:r>
      <w:proofErr w:type="spellStart"/>
      <w:r>
        <w:rPr>
          <w:rFonts w:ascii="Book Antiqua" w:eastAsia="Book Antiqua" w:hAnsi="Book Antiqua" w:cs="Book Antiqua"/>
          <w:b/>
          <w:bCs/>
          <w:color w:val="000000"/>
        </w:rPr>
        <w:t>Scarpati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Falcetta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Carlomagno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Ubezio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Marchini</w:t>
      </w:r>
      <w:proofErr w:type="spellEnd"/>
      <w:r>
        <w:rPr>
          <w:rFonts w:ascii="Book Antiqua" w:eastAsia="Book Antiqua" w:hAnsi="Book Antiqua" w:cs="Book Antiqua"/>
          <w:color w:val="000000"/>
        </w:rPr>
        <w:t xml:space="preserve"> S, De Stefano A, Singh VK, </w:t>
      </w:r>
      <w:proofErr w:type="spellStart"/>
      <w:r>
        <w:rPr>
          <w:rFonts w:ascii="Book Antiqua" w:eastAsia="Book Antiqua" w:hAnsi="Book Antiqua" w:cs="Book Antiqua"/>
          <w:color w:val="000000"/>
        </w:rPr>
        <w:t>D'Incalci</w:t>
      </w:r>
      <w:proofErr w:type="spellEnd"/>
      <w:r>
        <w:rPr>
          <w:rFonts w:ascii="Book Antiqua" w:eastAsia="Book Antiqua" w:hAnsi="Book Antiqua" w:cs="Book Antiqua"/>
          <w:color w:val="000000"/>
        </w:rPr>
        <w:t xml:space="preserve"> M, De Placido S, Pepe S. A specific miRNA signature correlates with complete pathological response to neoadjuvant chemoradiotherapy in locally advanced rectal cancer.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2012; </w:t>
      </w:r>
      <w:r>
        <w:rPr>
          <w:rFonts w:ascii="Book Antiqua" w:eastAsia="Book Antiqua" w:hAnsi="Book Antiqua" w:cs="Book Antiqua"/>
          <w:b/>
          <w:bCs/>
          <w:color w:val="000000"/>
        </w:rPr>
        <w:t>83</w:t>
      </w:r>
      <w:r>
        <w:rPr>
          <w:rFonts w:ascii="Book Antiqua" w:eastAsia="Book Antiqua" w:hAnsi="Book Antiqua" w:cs="Book Antiqua"/>
          <w:color w:val="000000"/>
        </w:rPr>
        <w:t>: 1113-1119 [PMID: 22172905 DOI: 10.1016/j.ijrobp.2011.09.030]</w:t>
      </w:r>
    </w:p>
    <w:p w14:paraId="78DD2F89" w14:textId="77777777" w:rsidR="00A77B3E" w:rsidRDefault="001D27AD" w:rsidP="00567499">
      <w:pPr>
        <w:snapToGrid w:val="0"/>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Jiang B</w:t>
      </w:r>
      <w:r>
        <w:rPr>
          <w:rFonts w:ascii="Book Antiqua" w:eastAsia="Book Antiqua" w:hAnsi="Book Antiqua" w:cs="Book Antiqua"/>
          <w:color w:val="000000"/>
        </w:rPr>
        <w:t xml:space="preserve">, Xu G,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HQ, Huang M, Li Z. Up-regulation of miR-765 predicts a poor prognosis in patients with esophageal squamous cell carcinoma. </w:t>
      </w:r>
      <w:r>
        <w:rPr>
          <w:rFonts w:ascii="Book Antiqua" w:eastAsia="Book Antiqua" w:hAnsi="Book Antiqua" w:cs="Book Antiqua"/>
          <w:i/>
          <w:iCs/>
          <w:color w:val="000000"/>
        </w:rPr>
        <w:t xml:space="preserve">Eur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3789-3794 [PMID: 29949154 DOI: 10.26355/eurrev_201806_15261]</w:t>
      </w:r>
    </w:p>
    <w:p w14:paraId="587585D7" w14:textId="77777777" w:rsidR="00A77B3E" w:rsidRDefault="001D27AD" w:rsidP="00567499">
      <w:pPr>
        <w:snapToGrid w:val="0"/>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BH</w:t>
      </w:r>
      <w:r>
        <w:rPr>
          <w:rFonts w:ascii="Book Antiqua" w:eastAsia="Book Antiqua" w:hAnsi="Book Antiqua" w:cs="Book Antiqua"/>
          <w:color w:val="000000"/>
        </w:rPr>
        <w:t xml:space="preserve">, He X, Hua RX, Zhang B, Tan GS,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SQ, Liu LS, Chen W, Yang JY, Wang XN, Li HP. Mir-765 promotes cell proliferation by downregulating INPP4B expression in human hepatocellular carcinoma.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Biomark</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405-413 [PMID: 27062697 DOI: 10.3233/CBM-160579]</w:t>
      </w:r>
    </w:p>
    <w:p w14:paraId="2F9C78AD" w14:textId="77777777" w:rsidR="00A77B3E" w:rsidRDefault="001D27AD" w:rsidP="00567499">
      <w:pPr>
        <w:snapToGrid w:val="0"/>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DB</w:t>
      </w:r>
      <w:r>
        <w:rPr>
          <w:rFonts w:ascii="Book Antiqua" w:eastAsia="Book Antiqua" w:hAnsi="Book Antiqua" w:cs="Book Antiqua"/>
          <w:color w:val="000000"/>
        </w:rPr>
        <w:t xml:space="preserve">, Zhang JY, Gao K, Yu ZH, Sheng WC, Yang G, Gao YZ. MicroRNA-765 targets MTUS1 to promote the progression of osteosarcoma </w:t>
      </w:r>
      <w:r>
        <w:rPr>
          <w:rFonts w:ascii="Book Antiqua" w:eastAsia="Book Antiqua" w:hAnsi="Book Antiqua" w:cs="Book Antiqua"/>
          <w:i/>
          <w:iCs/>
          <w:color w:val="000000"/>
        </w:rPr>
        <w:t>via</w:t>
      </w:r>
      <w:r>
        <w:rPr>
          <w:rFonts w:ascii="Book Antiqua" w:eastAsia="Book Antiqua" w:hAnsi="Book Antiqua" w:cs="Book Antiqua"/>
          <w:color w:val="000000"/>
        </w:rPr>
        <w:t xml:space="preserve"> mediating ERK/EMT pathway. </w:t>
      </w:r>
      <w:r>
        <w:rPr>
          <w:rFonts w:ascii="Book Antiqua" w:eastAsia="Book Antiqua" w:hAnsi="Book Antiqua" w:cs="Book Antiqua"/>
          <w:i/>
          <w:iCs/>
          <w:color w:val="000000"/>
        </w:rPr>
        <w:t xml:space="preserve">Eur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4618-4628 [PMID: 31210288 DOI: 10.26355/eurrev_201906_18040]</w:t>
      </w:r>
    </w:p>
    <w:p w14:paraId="20CE4A15" w14:textId="77777777" w:rsidR="00A77B3E" w:rsidRDefault="001D27AD" w:rsidP="00567499">
      <w:pPr>
        <w:snapToGrid w:val="0"/>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Zhou R</w:t>
      </w:r>
      <w:r>
        <w:rPr>
          <w:rFonts w:ascii="Book Antiqua" w:eastAsia="Book Antiqua" w:hAnsi="Book Antiqua" w:cs="Book Antiqua"/>
          <w:color w:val="000000"/>
        </w:rPr>
        <w:t xml:space="preserve">, Huang W, Yao Y, Wang Y, Li Z, Shao B, Zhong J, Tang M, Liang S, Zhao X, Tong A, Yang J. CA II, a potential biomarker by proteomic analysis, exerts significant inhibitory effect on the growth of colorectal cancer cells.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611-621 [PMID: 23727877 DOI: 10.3892/ijo.2013.1972]</w:t>
      </w:r>
    </w:p>
    <w:p w14:paraId="24FCDB2D" w14:textId="77777777" w:rsidR="00A77B3E" w:rsidRDefault="001D27AD" w:rsidP="00567499">
      <w:pPr>
        <w:snapToGrid w:val="0"/>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Viikilä</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Kivelä</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Mustonen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Koskensalo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Waheed</w:t>
      </w:r>
      <w:proofErr w:type="spellEnd"/>
      <w:r>
        <w:rPr>
          <w:rFonts w:ascii="Book Antiqua" w:eastAsia="Book Antiqua" w:hAnsi="Book Antiqua" w:cs="Book Antiqua"/>
          <w:color w:val="000000"/>
        </w:rPr>
        <w:t xml:space="preserve"> A, Sly WS, </w:t>
      </w:r>
      <w:proofErr w:type="spellStart"/>
      <w:r>
        <w:rPr>
          <w:rFonts w:ascii="Book Antiqua" w:eastAsia="Book Antiqua" w:hAnsi="Book Antiqua" w:cs="Book Antiqua"/>
          <w:color w:val="000000"/>
        </w:rPr>
        <w:t>Pastorek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Pastorekova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Parkkila</w:t>
      </w:r>
      <w:proofErr w:type="spellEnd"/>
      <w:r>
        <w:rPr>
          <w:rFonts w:ascii="Book Antiqua" w:eastAsia="Book Antiqua" w:hAnsi="Book Antiqua" w:cs="Book Antiqua"/>
          <w:color w:val="000000"/>
        </w:rPr>
        <w:t xml:space="preserve"> S, Haglund C. Carbonic anhydrase enzymes II, VII, IX and XII in colorectal carcinomas.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8168-8177 [PMID: 27688658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36.8168]</w:t>
      </w:r>
    </w:p>
    <w:p w14:paraId="13711522" w14:textId="77777777" w:rsidR="00A77B3E" w:rsidRDefault="001D27AD" w:rsidP="00567499">
      <w:pPr>
        <w:snapToGrid w:val="0"/>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Mori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Staniunas</w:t>
      </w:r>
      <w:proofErr w:type="spellEnd"/>
      <w:r>
        <w:rPr>
          <w:rFonts w:ascii="Book Antiqua" w:eastAsia="Book Antiqua" w:hAnsi="Book Antiqua" w:cs="Book Antiqua"/>
          <w:color w:val="000000"/>
        </w:rPr>
        <w:t xml:space="preserve"> RJ, Barnard GF, Jessup JM, Steele GD Jr, Chen LB. The significance of carbonic anhydrase expression in human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105</w:t>
      </w:r>
      <w:r>
        <w:rPr>
          <w:rFonts w:ascii="Book Antiqua" w:eastAsia="Book Antiqua" w:hAnsi="Book Antiqua" w:cs="Book Antiqua"/>
          <w:color w:val="000000"/>
        </w:rPr>
        <w:t>: 820-826 [PMID: 8359652 DOI: 10.1016/0016-5085(93)90900-w]</w:t>
      </w:r>
    </w:p>
    <w:p w14:paraId="74446D46" w14:textId="77777777" w:rsidR="00A77B3E" w:rsidRDefault="001D27AD" w:rsidP="00567499">
      <w:pPr>
        <w:snapToGrid w:val="0"/>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Tsoi H, Li X, Wang H, Gao J, Wang K, Go MY, Ng SC, Chan FK, Sung JJ, Yu J. Carbonic anhydrase IV inhibits colon cancer development by inhibiting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through targeting the WTAP-WT1-TBL1 axis.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1482-1493 [PMID: 26071132 DOI: 10.1136/gutjnl-2014-308614]</w:t>
      </w:r>
    </w:p>
    <w:p w14:paraId="002111EA" w14:textId="77777777" w:rsidR="00A77B3E" w:rsidRDefault="001D27AD" w:rsidP="00567499">
      <w:pPr>
        <w:snapToGrid w:val="0"/>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Zengin</w:t>
      </w:r>
      <w:proofErr w:type="spellEnd"/>
      <w:r>
        <w:rPr>
          <w:rFonts w:ascii="Book Antiqua" w:eastAsia="Book Antiqua" w:hAnsi="Book Antiqua" w:cs="Book Antiqua"/>
          <w:b/>
          <w:bCs/>
          <w:color w:val="000000"/>
        </w:rPr>
        <w:t xml:space="preserve"> Kurt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Sonmez</w:t>
      </w:r>
      <w:proofErr w:type="spellEnd"/>
      <w:r>
        <w:rPr>
          <w:rFonts w:ascii="Book Antiqua" w:eastAsia="Book Antiqua" w:hAnsi="Book Antiqua" w:cs="Book Antiqua"/>
          <w:color w:val="000000"/>
        </w:rPr>
        <w:t xml:space="preserve"> F, Ozturk D, </w:t>
      </w:r>
      <w:proofErr w:type="spellStart"/>
      <w:r>
        <w:rPr>
          <w:rFonts w:ascii="Book Antiqua" w:eastAsia="Book Antiqua" w:hAnsi="Book Antiqua" w:cs="Book Antiqua"/>
          <w:color w:val="000000"/>
        </w:rPr>
        <w:t>Akdemir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Supuran</w:t>
      </w:r>
      <w:proofErr w:type="spellEnd"/>
      <w:r>
        <w:rPr>
          <w:rFonts w:ascii="Book Antiqua" w:eastAsia="Book Antiqua" w:hAnsi="Book Antiqua" w:cs="Book Antiqua"/>
          <w:color w:val="000000"/>
        </w:rPr>
        <w:t xml:space="preserve"> CT. Synthesis of coumarin-sulfonamide derivatives and determination of their cytotoxicity, carbonic anhydrase inhibitory and molecular docking studies. </w:t>
      </w:r>
      <w:r>
        <w:rPr>
          <w:rFonts w:ascii="Book Antiqua" w:eastAsia="Book Antiqua" w:hAnsi="Book Antiqua" w:cs="Book Antiqua"/>
          <w:i/>
          <w:iCs/>
          <w:color w:val="000000"/>
        </w:rPr>
        <w:t>Eur J Med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183</w:t>
      </w:r>
      <w:r>
        <w:rPr>
          <w:rFonts w:ascii="Book Antiqua" w:eastAsia="Book Antiqua" w:hAnsi="Book Antiqua" w:cs="Book Antiqua"/>
          <w:color w:val="000000"/>
        </w:rPr>
        <w:t>: 111702 [PMID: 31542715 DOI: 10.1016/j.ejmech.2019.111702]</w:t>
      </w:r>
    </w:p>
    <w:p w14:paraId="0FB8FEAD" w14:textId="77777777" w:rsidR="00A77B3E" w:rsidRDefault="001D27AD" w:rsidP="00567499">
      <w:pPr>
        <w:snapToGrid w:val="0"/>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Wu Z</w:t>
      </w:r>
      <w:r>
        <w:rPr>
          <w:rFonts w:ascii="Book Antiqua" w:eastAsia="Book Antiqua" w:hAnsi="Book Antiqua" w:cs="Book Antiqua"/>
          <w:color w:val="000000"/>
        </w:rPr>
        <w:t xml:space="preserve">, Liu Z, Ge W, Shou J, You L, Pan H, Han W. Analysis of potential genes and pathways associated with the colorectal normal mucosa-adenoma-carcinoma sequence.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2555-2566 [PMID: 29659199 DOI: 10.1002/cam4.1484]</w:t>
      </w:r>
    </w:p>
    <w:p w14:paraId="470EDCF5" w14:textId="77777777" w:rsidR="00A77B3E" w:rsidRDefault="001D27AD" w:rsidP="00567499">
      <w:pPr>
        <w:snapToGrid w:val="0"/>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Maeda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Saigo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Kito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Sakuratani</w:t>
      </w:r>
      <w:proofErr w:type="spellEnd"/>
      <w:r>
        <w:rPr>
          <w:rFonts w:ascii="Book Antiqua" w:eastAsia="Book Antiqua" w:hAnsi="Book Antiqua" w:cs="Book Antiqua"/>
          <w:color w:val="000000"/>
        </w:rPr>
        <w:t xml:space="preserve"> T, Yoshida K, Takeuchi T. Expression of TMEM207 in Colorectal Cancer: Relation between TMEM207 and Intelectin-1.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207-213 [PMID: 26819645 DOI: 10.7150/jca.13732]</w:t>
      </w:r>
    </w:p>
    <w:p w14:paraId="203F8E5C" w14:textId="77777777" w:rsidR="00A77B3E" w:rsidRDefault="001D27AD" w:rsidP="00567499">
      <w:pPr>
        <w:snapToGrid w:val="0"/>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Li D</w:t>
      </w:r>
      <w:r>
        <w:rPr>
          <w:rFonts w:ascii="Book Antiqua" w:eastAsia="Book Antiqua" w:hAnsi="Book Antiqua" w:cs="Book Antiqua"/>
          <w:color w:val="000000"/>
        </w:rPr>
        <w:t>, Mei H, Pu J, Xiang X, Zhao X, Qu H, Huang K, Zheng L, Tong Q. Intelectin 1 suppresses the growth, invasion and metastasis of neuroblastoma cells through up-regulation of N-</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downstream regulated gene 2.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47 [PMID: 25889839 DOI: 10.1186/s12943-015-0320-6]</w:t>
      </w:r>
    </w:p>
    <w:p w14:paraId="414525EE" w14:textId="77777777" w:rsidR="00A77B3E" w:rsidRDefault="001D27AD" w:rsidP="00567499">
      <w:pPr>
        <w:snapToGrid w:val="0"/>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Au-Yeung CL</w:t>
      </w:r>
      <w:r>
        <w:rPr>
          <w:rFonts w:ascii="Book Antiqua" w:eastAsia="Book Antiqua" w:hAnsi="Book Antiqua" w:cs="Book Antiqua"/>
          <w:color w:val="000000"/>
        </w:rPr>
        <w:t xml:space="preserve">, Yeung TL, </w:t>
      </w:r>
      <w:proofErr w:type="spellStart"/>
      <w:r>
        <w:rPr>
          <w:rFonts w:ascii="Book Antiqua" w:eastAsia="Book Antiqua" w:hAnsi="Book Antiqua" w:cs="Book Antiqua"/>
          <w:color w:val="000000"/>
        </w:rPr>
        <w:t>Achreja</w:t>
      </w:r>
      <w:proofErr w:type="spellEnd"/>
      <w:r>
        <w:rPr>
          <w:rFonts w:ascii="Book Antiqua" w:eastAsia="Book Antiqua" w:hAnsi="Book Antiqua" w:cs="Book Antiqua"/>
          <w:color w:val="000000"/>
        </w:rPr>
        <w:t xml:space="preserve"> A, Zhao H, Yip KP, Kwan SY, Onstad M, Sheng J, Zhu Y, </w:t>
      </w:r>
      <w:proofErr w:type="spellStart"/>
      <w:r>
        <w:rPr>
          <w:rFonts w:ascii="Book Antiqua" w:eastAsia="Book Antiqua" w:hAnsi="Book Antiqua" w:cs="Book Antiqua"/>
          <w:color w:val="000000"/>
        </w:rPr>
        <w:t>Baluya</w:t>
      </w:r>
      <w:proofErr w:type="spellEnd"/>
      <w:r>
        <w:rPr>
          <w:rFonts w:ascii="Book Antiqua" w:eastAsia="Book Antiqua" w:hAnsi="Book Antiqua" w:cs="Book Antiqua"/>
          <w:color w:val="000000"/>
        </w:rPr>
        <w:t xml:space="preserve"> DL, Co NN, </w:t>
      </w:r>
      <w:proofErr w:type="spellStart"/>
      <w:r>
        <w:rPr>
          <w:rFonts w:ascii="Book Antiqua" w:eastAsia="Book Antiqua" w:hAnsi="Book Antiqua" w:cs="Book Antiqua"/>
          <w:color w:val="000000"/>
        </w:rPr>
        <w:t>Rynne</w:t>
      </w:r>
      <w:proofErr w:type="spellEnd"/>
      <w:r>
        <w:rPr>
          <w:rFonts w:ascii="Book Antiqua" w:eastAsia="Book Antiqua" w:hAnsi="Book Antiqua" w:cs="Book Antiqua"/>
          <w:color w:val="000000"/>
        </w:rPr>
        <w:t xml:space="preserve">-Vidal A, </w:t>
      </w:r>
      <w:proofErr w:type="spellStart"/>
      <w:r>
        <w:rPr>
          <w:rFonts w:ascii="Book Antiqua" w:eastAsia="Book Antiqua" w:hAnsi="Book Antiqua" w:cs="Book Antiqua"/>
          <w:color w:val="000000"/>
        </w:rPr>
        <w:t>Schmandt</w:t>
      </w:r>
      <w:proofErr w:type="spellEnd"/>
      <w:r>
        <w:rPr>
          <w:rFonts w:ascii="Book Antiqua" w:eastAsia="Book Antiqua" w:hAnsi="Book Antiqua" w:cs="Book Antiqua"/>
          <w:color w:val="000000"/>
        </w:rPr>
        <w:t xml:space="preserve"> R, Anderson ML, Lu KH, Wong STC, </w:t>
      </w:r>
      <w:proofErr w:type="spellStart"/>
      <w:r>
        <w:rPr>
          <w:rFonts w:ascii="Book Antiqua" w:eastAsia="Book Antiqua" w:hAnsi="Book Antiqua" w:cs="Book Antiqua"/>
          <w:color w:val="000000"/>
        </w:rPr>
        <w:t>Nagrath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SC. ITLN1 modulates invasive potential and metabolic reprogramming of ovarian cancer cells in omental microenvironment.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3546 [PMID: 32669559 DOI: 10.1038/s41467-020-17383-2]</w:t>
      </w:r>
    </w:p>
    <w:p w14:paraId="14CCF261" w14:textId="77777777" w:rsidR="00A77B3E" w:rsidRDefault="001D27AD" w:rsidP="00567499">
      <w:pPr>
        <w:snapToGrid w:val="0"/>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Wang J, Liu X. LRRC19-A Bridge between Selenium Adjuvant Therapy and Renal Clear Cell Carcinoma: A Study Based on Datamining. </w:t>
      </w:r>
      <w:r>
        <w:rPr>
          <w:rFonts w:ascii="Book Antiqua" w:eastAsia="Book Antiqua" w:hAnsi="Book Antiqua" w:cs="Book Antiqua"/>
          <w:i/>
          <w:iCs/>
          <w:color w:val="000000"/>
        </w:rPr>
        <w:t>Genes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32316597 DOI: 10.3390/genes11040440]</w:t>
      </w:r>
    </w:p>
    <w:p w14:paraId="157B41B1" w14:textId="77777777" w:rsidR="00A77B3E" w:rsidRDefault="001D27AD" w:rsidP="00567499">
      <w:pPr>
        <w:snapToGrid w:val="0"/>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Payton S</w:t>
      </w:r>
      <w:r>
        <w:rPr>
          <w:rFonts w:ascii="Book Antiqua" w:eastAsia="Book Antiqua" w:hAnsi="Book Antiqua" w:cs="Book Antiqua"/>
          <w:color w:val="000000"/>
        </w:rPr>
        <w:t xml:space="preserve">. Infection: LRRC19 mediates elimination of </w:t>
      </w:r>
      <w:proofErr w:type="spellStart"/>
      <w:r>
        <w:rPr>
          <w:rFonts w:ascii="Book Antiqua" w:eastAsia="Book Antiqua" w:hAnsi="Book Antiqua" w:cs="Book Antiqua"/>
          <w:color w:val="000000"/>
        </w:rPr>
        <w:t>uropathogenic</w:t>
      </w:r>
      <w:proofErr w:type="spellEnd"/>
      <w:r>
        <w:rPr>
          <w:rFonts w:ascii="Book Antiqua" w:eastAsia="Book Antiqua" w:hAnsi="Book Antiqua" w:cs="Book Antiqua"/>
          <w:color w:val="000000"/>
        </w:rPr>
        <w:t xml:space="preserve"> bacteria from kidney.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482 [PMID: 25091007 DOI: 10.1038/nrurol.2014.199]</w:t>
      </w:r>
    </w:p>
    <w:p w14:paraId="3493DD99" w14:textId="77777777" w:rsidR="00A77B3E" w:rsidRDefault="001D27AD" w:rsidP="00567499">
      <w:pPr>
        <w:snapToGrid w:val="0"/>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Rajeshkumar</w:t>
      </w:r>
      <w:proofErr w:type="spellEnd"/>
      <w:r>
        <w:rPr>
          <w:rFonts w:ascii="Book Antiqua" w:eastAsia="Book Antiqua" w:hAnsi="Book Antiqua" w:cs="Book Antiqua"/>
          <w:b/>
          <w:bCs/>
          <w:color w:val="000000"/>
        </w:rPr>
        <w:t xml:space="preserve"> NV</w:t>
      </w:r>
      <w:r>
        <w:rPr>
          <w:rFonts w:ascii="Book Antiqua" w:eastAsia="Book Antiqua" w:hAnsi="Book Antiqua" w:cs="Book Antiqua"/>
          <w:color w:val="000000"/>
        </w:rPr>
        <w:t xml:space="preserve">, Tan AC, De Oliveira E, Womack C, Wombwell H, Morgan S, Warren MV, Walker J, Green TP, </w:t>
      </w:r>
      <w:proofErr w:type="spellStart"/>
      <w:r>
        <w:rPr>
          <w:rFonts w:ascii="Book Antiqua" w:eastAsia="Book Antiqua" w:hAnsi="Book Antiqua" w:cs="Book Antiqua"/>
          <w:color w:val="000000"/>
        </w:rPr>
        <w:t>Jimeno</w:t>
      </w:r>
      <w:proofErr w:type="spellEnd"/>
      <w:r>
        <w:rPr>
          <w:rFonts w:ascii="Book Antiqua" w:eastAsia="Book Antiqua" w:hAnsi="Book Antiqua" w:cs="Book Antiqua"/>
          <w:color w:val="000000"/>
        </w:rPr>
        <w:t xml:space="preserve"> A, Messersmith WA, Hidalgo M. Antitumor effects and biomarkers of activity of AZD0530, a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inhibitor, in pancreatic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4138-4146 [PMID: 19509160 DOI: 10.1158/1078-0432.CCR-08-3021]</w:t>
      </w:r>
    </w:p>
    <w:p w14:paraId="27A8F633" w14:textId="77777777" w:rsidR="00A77B3E" w:rsidRDefault="00A77B3E" w:rsidP="00567499">
      <w:pPr>
        <w:snapToGrid w:val="0"/>
        <w:spacing w:line="360" w:lineRule="auto"/>
        <w:jc w:val="both"/>
        <w:sectPr w:rsidR="00A77B3E">
          <w:pgSz w:w="12240" w:h="15840"/>
          <w:pgMar w:top="1440" w:right="1440" w:bottom="1440" w:left="1440" w:header="720" w:footer="720" w:gutter="0"/>
          <w:cols w:space="720"/>
          <w:docGrid w:linePitch="360"/>
        </w:sectPr>
      </w:pPr>
    </w:p>
    <w:p w14:paraId="17F9BE2C" w14:textId="77777777" w:rsidR="00A77B3E" w:rsidRDefault="001D27AD" w:rsidP="00567499">
      <w:pPr>
        <w:snapToGrid w:val="0"/>
        <w:spacing w:line="360" w:lineRule="auto"/>
        <w:jc w:val="both"/>
      </w:pPr>
      <w:r>
        <w:rPr>
          <w:rFonts w:ascii="Book Antiqua" w:eastAsia="Book Antiqua" w:hAnsi="Book Antiqua" w:cs="Book Antiqua"/>
          <w:b/>
          <w:color w:val="000000"/>
        </w:rPr>
        <w:lastRenderedPageBreak/>
        <w:t>Footnotes</w:t>
      </w:r>
    </w:p>
    <w:p w14:paraId="630167F0" w14:textId="1AAB90A9" w:rsidR="00A77B3E" w:rsidRDefault="001D27AD" w:rsidP="00567499">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China-Japan Friendship Hospital</w:t>
      </w:r>
      <w:r w:rsidR="002E4B1C">
        <w:rPr>
          <w:rFonts w:ascii="Book Antiqua" w:eastAsia="Book Antiqua" w:hAnsi="Book Antiqua" w:cs="Book Antiqua"/>
          <w:color w:val="000000"/>
        </w:rPr>
        <w:t xml:space="preserve">, </w:t>
      </w:r>
      <w:r>
        <w:rPr>
          <w:rFonts w:ascii="Book Antiqua" w:eastAsia="Book Antiqua" w:hAnsi="Book Antiqua" w:cs="Book Antiqua"/>
          <w:color w:val="000000"/>
        </w:rPr>
        <w:t>No. 2018-116-K85-1.</w:t>
      </w:r>
    </w:p>
    <w:p w14:paraId="5687FFBC" w14:textId="77777777" w:rsidR="00A77B3E" w:rsidRDefault="00A77B3E" w:rsidP="00567499">
      <w:pPr>
        <w:snapToGrid w:val="0"/>
        <w:spacing w:line="360" w:lineRule="auto"/>
        <w:jc w:val="both"/>
      </w:pPr>
    </w:p>
    <w:p w14:paraId="3A6AACBC"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29716F2E" w14:textId="77777777" w:rsidR="00A77B3E" w:rsidRDefault="00A77B3E" w:rsidP="00567499">
      <w:pPr>
        <w:snapToGrid w:val="0"/>
        <w:spacing w:line="360" w:lineRule="auto"/>
        <w:jc w:val="both"/>
      </w:pPr>
    </w:p>
    <w:p w14:paraId="7FC30B1A"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788DEB03" w14:textId="77777777" w:rsidR="00A77B3E" w:rsidRDefault="00A77B3E" w:rsidP="00567499">
      <w:pPr>
        <w:snapToGrid w:val="0"/>
        <w:spacing w:line="360" w:lineRule="auto"/>
        <w:jc w:val="both"/>
      </w:pPr>
    </w:p>
    <w:p w14:paraId="60BFE405"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9B9059" w14:textId="77777777" w:rsidR="00A77B3E" w:rsidRDefault="00A77B3E" w:rsidP="00567499">
      <w:pPr>
        <w:snapToGrid w:val="0"/>
        <w:spacing w:line="360" w:lineRule="auto"/>
        <w:jc w:val="both"/>
      </w:pPr>
    </w:p>
    <w:p w14:paraId="36FD7BD3" w14:textId="55482410" w:rsidR="00A77B3E" w:rsidRDefault="001D27AD" w:rsidP="00567499">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E4B1C">
        <w:rPr>
          <w:rFonts w:ascii="Book Antiqua" w:eastAsia="Book Antiqua" w:hAnsi="Book Antiqua" w:cs="Book Antiqua"/>
          <w:color w:val="000000"/>
        </w:rPr>
        <w:t>m</w:t>
      </w:r>
      <w:r>
        <w:rPr>
          <w:rFonts w:ascii="Book Antiqua" w:eastAsia="Book Antiqua" w:hAnsi="Book Antiqua" w:cs="Book Antiqua"/>
          <w:color w:val="000000"/>
        </w:rPr>
        <w:t>anuscript</w:t>
      </w:r>
    </w:p>
    <w:p w14:paraId="35843128" w14:textId="77777777" w:rsidR="00A77B3E" w:rsidRDefault="00A77B3E" w:rsidP="00567499">
      <w:pPr>
        <w:snapToGrid w:val="0"/>
        <w:spacing w:line="360" w:lineRule="auto"/>
        <w:jc w:val="both"/>
      </w:pPr>
    </w:p>
    <w:p w14:paraId="2B5EADC4"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11, 2020</w:t>
      </w:r>
    </w:p>
    <w:p w14:paraId="6A3CF0B2"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3EEADB38"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Article in press: </w:t>
      </w:r>
    </w:p>
    <w:p w14:paraId="52E8C52A" w14:textId="77777777" w:rsidR="00A77B3E" w:rsidRDefault="00A77B3E" w:rsidP="00567499">
      <w:pPr>
        <w:snapToGrid w:val="0"/>
        <w:spacing w:line="360" w:lineRule="auto"/>
        <w:jc w:val="both"/>
      </w:pPr>
    </w:p>
    <w:p w14:paraId="46E0C395" w14:textId="70ED90A2" w:rsidR="00A77B3E" w:rsidRDefault="001D27AD" w:rsidP="00567499">
      <w:pPr>
        <w:snapToGrid w:val="0"/>
        <w:spacing w:line="360" w:lineRule="auto"/>
        <w:jc w:val="both"/>
      </w:pPr>
      <w:r>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2E4B1C" w:rsidRPr="004E2923">
        <w:rPr>
          <w:rFonts w:ascii="Book Antiqua" w:eastAsia="Microsoft YaHei" w:hAnsi="Book Antiqua" w:cs="SimSun"/>
        </w:rPr>
        <w:t>Medicine, research and experimental</w:t>
      </w:r>
      <w:bookmarkEnd w:id="1"/>
      <w:bookmarkEnd w:id="2"/>
      <w:bookmarkEnd w:id="3"/>
    </w:p>
    <w:p w14:paraId="37BC177A"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5DD6FD2" w14:textId="77777777" w:rsidR="00A77B3E" w:rsidRDefault="001D27AD" w:rsidP="00567499">
      <w:pPr>
        <w:snapToGrid w:val="0"/>
        <w:spacing w:line="360" w:lineRule="auto"/>
        <w:jc w:val="both"/>
      </w:pPr>
      <w:r>
        <w:rPr>
          <w:rFonts w:ascii="Book Antiqua" w:eastAsia="Book Antiqua" w:hAnsi="Book Antiqua" w:cs="Book Antiqua"/>
          <w:b/>
          <w:color w:val="000000"/>
        </w:rPr>
        <w:t>Peer-review report’s scientific quality classification</w:t>
      </w:r>
    </w:p>
    <w:p w14:paraId="5B17B696" w14:textId="77777777" w:rsidR="00A77B3E" w:rsidRDefault="001D27AD" w:rsidP="00567499">
      <w:pPr>
        <w:snapToGrid w:val="0"/>
        <w:spacing w:line="360" w:lineRule="auto"/>
        <w:jc w:val="both"/>
      </w:pPr>
      <w:r>
        <w:rPr>
          <w:rFonts w:ascii="Book Antiqua" w:eastAsia="Book Antiqua" w:hAnsi="Book Antiqua" w:cs="Book Antiqua"/>
          <w:color w:val="000000"/>
        </w:rPr>
        <w:t>Grade A (Excellent): 0</w:t>
      </w:r>
    </w:p>
    <w:p w14:paraId="37C47687" w14:textId="77777777" w:rsidR="00A77B3E" w:rsidRDefault="001D27AD" w:rsidP="00567499">
      <w:pPr>
        <w:snapToGrid w:val="0"/>
        <w:spacing w:line="360" w:lineRule="auto"/>
        <w:jc w:val="both"/>
      </w:pPr>
      <w:r>
        <w:rPr>
          <w:rFonts w:ascii="Book Antiqua" w:eastAsia="Book Antiqua" w:hAnsi="Book Antiqua" w:cs="Book Antiqua"/>
          <w:color w:val="000000"/>
        </w:rPr>
        <w:t>Grade B (Very good): B</w:t>
      </w:r>
    </w:p>
    <w:p w14:paraId="0703F150" w14:textId="77777777" w:rsidR="00A77B3E" w:rsidRDefault="001D27AD" w:rsidP="00567499">
      <w:pPr>
        <w:snapToGrid w:val="0"/>
        <w:spacing w:line="360" w:lineRule="auto"/>
        <w:jc w:val="both"/>
      </w:pPr>
      <w:r>
        <w:rPr>
          <w:rFonts w:ascii="Book Antiqua" w:eastAsia="Book Antiqua" w:hAnsi="Book Antiqua" w:cs="Book Antiqua"/>
          <w:color w:val="000000"/>
        </w:rPr>
        <w:t>Grade C (Good): 0</w:t>
      </w:r>
    </w:p>
    <w:p w14:paraId="3D4D3C7D" w14:textId="77777777" w:rsidR="00A77B3E" w:rsidRDefault="001D27AD" w:rsidP="00567499">
      <w:pPr>
        <w:snapToGrid w:val="0"/>
        <w:spacing w:line="360" w:lineRule="auto"/>
        <w:jc w:val="both"/>
      </w:pPr>
      <w:r>
        <w:rPr>
          <w:rFonts w:ascii="Book Antiqua" w:eastAsia="Book Antiqua" w:hAnsi="Book Antiqua" w:cs="Book Antiqua"/>
          <w:color w:val="000000"/>
        </w:rPr>
        <w:t>Grade D (Fair): 0</w:t>
      </w:r>
    </w:p>
    <w:p w14:paraId="57166A9D" w14:textId="77777777" w:rsidR="00A77B3E" w:rsidRDefault="001D27AD" w:rsidP="00567499">
      <w:pPr>
        <w:snapToGrid w:val="0"/>
        <w:spacing w:line="360" w:lineRule="auto"/>
        <w:jc w:val="both"/>
      </w:pPr>
      <w:r>
        <w:rPr>
          <w:rFonts w:ascii="Book Antiqua" w:eastAsia="Book Antiqua" w:hAnsi="Book Antiqua" w:cs="Book Antiqua"/>
          <w:color w:val="000000"/>
        </w:rPr>
        <w:t>Grade E (Poor): 0</w:t>
      </w:r>
    </w:p>
    <w:p w14:paraId="1204F5C2" w14:textId="77777777" w:rsidR="00A77B3E" w:rsidRDefault="00A77B3E" w:rsidP="00567499">
      <w:pPr>
        <w:snapToGrid w:val="0"/>
        <w:spacing w:line="360" w:lineRule="auto"/>
        <w:jc w:val="both"/>
      </w:pPr>
    </w:p>
    <w:p w14:paraId="6354DC74" w14:textId="77777777" w:rsidR="00A77B3E" w:rsidRDefault="001D27AD" w:rsidP="00567499">
      <w:pPr>
        <w:snapToGrid w:val="0"/>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Koumarianou</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P-Editor: </w:t>
      </w:r>
    </w:p>
    <w:p w14:paraId="499A4B32" w14:textId="77777777" w:rsidR="00A77B3E" w:rsidRDefault="001D27AD" w:rsidP="00567499">
      <w:pPr>
        <w:snapToGrid w:val="0"/>
        <w:spacing w:line="360" w:lineRule="auto"/>
        <w:jc w:val="both"/>
      </w:pPr>
      <w:r>
        <w:rPr>
          <w:rFonts w:ascii="Book Antiqua" w:eastAsia="Book Antiqua" w:hAnsi="Book Antiqua" w:cs="Book Antiqua"/>
          <w:b/>
          <w:color w:val="000000"/>
        </w:rPr>
        <w:lastRenderedPageBreak/>
        <w:t>Figure Legends</w:t>
      </w:r>
    </w:p>
    <w:p w14:paraId="77E035F4" w14:textId="425DD7AB" w:rsidR="00C836E7" w:rsidRDefault="00C836E7" w:rsidP="00567499">
      <w:pPr>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2527936D" wp14:editId="4F9D81F2">
            <wp:extent cx="4515138" cy="4754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7758" cy="4757639"/>
                    </a:xfrm>
                    <a:prstGeom prst="rect">
                      <a:avLst/>
                    </a:prstGeom>
                  </pic:spPr>
                </pic:pic>
              </a:graphicData>
            </a:graphic>
          </wp:inline>
        </w:drawing>
      </w:r>
    </w:p>
    <w:p w14:paraId="3F439D13" w14:textId="18272226" w:rsidR="00A77B3E" w:rsidRDefault="001D27AD" w:rsidP="00567499">
      <w:pPr>
        <w:snapToGrid w:val="0"/>
        <w:spacing w:line="360" w:lineRule="auto"/>
        <w:jc w:val="both"/>
      </w:pPr>
      <w:r>
        <w:rPr>
          <w:rFonts w:ascii="Book Antiqua" w:eastAsia="Book Antiqua" w:hAnsi="Book Antiqua" w:cs="Book Antiqua"/>
          <w:b/>
          <w:bCs/>
          <w:color w:val="000000"/>
        </w:rPr>
        <w:t>Figure 1 Flow chart of the procedure applied in this study.</w:t>
      </w:r>
      <w:r>
        <w:rPr>
          <w:rFonts w:ascii="Book Antiqua" w:eastAsia="Book Antiqua" w:hAnsi="Book Antiqua" w:cs="Book Antiqua"/>
          <w:color w:val="000000"/>
        </w:rPr>
        <w:t xml:space="preserve"> We identified the </w:t>
      </w:r>
      <w:r w:rsidR="00F15DE3">
        <w:rPr>
          <w:rFonts w:ascii="Book Antiqua" w:eastAsia="Book Antiqua" w:hAnsi="Book Antiqua" w:cs="Book Antiqua"/>
          <w:color w:val="000000"/>
        </w:rPr>
        <w:t>differentially expressed (</w:t>
      </w:r>
      <w:r>
        <w:rPr>
          <w:rFonts w:ascii="Book Antiqua" w:eastAsia="Book Antiqua" w:hAnsi="Book Antiqua" w:cs="Book Antiqua"/>
          <w:color w:val="000000"/>
        </w:rPr>
        <w:t>DE</w:t>
      </w:r>
      <w:r w:rsidR="00F15DE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then took the intersection of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with the predicted targets of </w:t>
      </w:r>
      <w:proofErr w:type="spellStart"/>
      <w:r>
        <w:rPr>
          <w:rFonts w:ascii="Book Antiqua" w:eastAsia="Book Antiqua" w:hAnsi="Book Antiqua" w:cs="Book Antiqua"/>
          <w:color w:val="000000"/>
        </w:rPr>
        <w:t>DEcircRNAs</w:t>
      </w:r>
      <w:proofErr w:type="spellEnd"/>
      <w:r>
        <w:rPr>
          <w:rFonts w:ascii="Book Antiqua" w:eastAsia="Book Antiqua" w:hAnsi="Book Antiqua" w:cs="Book Antiqua"/>
          <w:color w:val="000000"/>
        </w:rPr>
        <w:t xml:space="preserve"> and intersected miRNA to obtain the </w:t>
      </w:r>
      <w:r w:rsidR="00AB5C83">
        <w:rPr>
          <w:rFonts w:ascii="Book Antiqua" w:eastAsia="Book Antiqua" w:hAnsi="Book Antiqua" w:cs="Book Antiqua"/>
          <w:color w:val="000000"/>
        </w:rPr>
        <w:t>competing endogenous RNA</w:t>
      </w:r>
      <w:r>
        <w:rPr>
          <w:rFonts w:ascii="Book Antiqua" w:eastAsia="Book Antiqua" w:hAnsi="Book Antiqua" w:cs="Book Antiqua"/>
          <w:color w:val="000000"/>
        </w:rPr>
        <w:t xml:space="preserve"> network in the </w:t>
      </w:r>
      <w:r w:rsidR="000B269A">
        <w:rPr>
          <w:rFonts w:ascii="Book Antiqua" w:eastAsia="Book Antiqua" w:hAnsi="Book Antiqua" w:cs="Book Antiqua"/>
          <w:color w:val="000000"/>
        </w:rPr>
        <w:t>Group on Earth Observations</w:t>
      </w:r>
      <w:r>
        <w:rPr>
          <w:rFonts w:ascii="Book Antiqua" w:eastAsia="Book Antiqua" w:hAnsi="Book Antiqua" w:cs="Book Antiqua"/>
          <w:color w:val="000000"/>
        </w:rPr>
        <w:t xml:space="preserve"> database, performed GO and KEGG enrichment analyses, and constructed a prognostic subnetwork based on survival analysis in </w:t>
      </w:r>
      <w:r w:rsidR="00EE4910">
        <w:rPr>
          <w:rFonts w:ascii="Book Antiqua" w:eastAsia="Book Antiqua" w:hAnsi="Book Antiqua" w:cs="Book Antiqua"/>
          <w:color w:val="000000"/>
        </w:rPr>
        <w:t>T</w:t>
      </w:r>
      <w:r>
        <w:rPr>
          <w:rFonts w:ascii="Book Antiqua" w:eastAsia="Book Antiqua" w:hAnsi="Book Antiqua" w:cs="Book Antiqua"/>
          <w:color w:val="000000"/>
        </w:rPr>
        <w:t xml:space="preserve">he </w:t>
      </w:r>
      <w:r w:rsidR="00DC13A0">
        <w:rPr>
          <w:rFonts w:ascii="Book Antiqua" w:eastAsia="Book Antiqua" w:hAnsi="Book Antiqua" w:cs="Book Antiqua"/>
          <w:color w:val="000000"/>
        </w:rPr>
        <w:t>Cancer Genome Atlas</w:t>
      </w:r>
      <w:r>
        <w:rPr>
          <w:rFonts w:ascii="Book Antiqua" w:eastAsia="Book Antiqua" w:hAnsi="Book Antiqua" w:cs="Book Antiqua"/>
          <w:color w:val="000000"/>
        </w:rPr>
        <w:t xml:space="preserve"> database. DE: </w:t>
      </w:r>
      <w:r w:rsidR="00BC514B">
        <w:rPr>
          <w:rFonts w:ascii="Book Antiqua" w:eastAsia="Book Antiqua" w:hAnsi="Book Antiqua" w:cs="Book Antiqua"/>
          <w:color w:val="000000"/>
        </w:rPr>
        <w:t>D</w:t>
      </w:r>
      <w:r>
        <w:rPr>
          <w:rFonts w:ascii="Book Antiqua" w:eastAsia="Book Antiqua" w:hAnsi="Book Antiqua" w:cs="Book Antiqua"/>
          <w:color w:val="000000"/>
        </w:rPr>
        <w:t>ifferentially expressed; TCGA: The Cancer Genome Atlas</w:t>
      </w:r>
      <w:r w:rsidR="00AB5C83">
        <w:rPr>
          <w:rFonts w:ascii="Book Antiqua" w:eastAsia="Book Antiqua" w:hAnsi="Book Antiqua" w:cs="Book Antiqua"/>
          <w:color w:val="000000"/>
        </w:rPr>
        <w:t xml:space="preserve">; </w:t>
      </w:r>
      <w:proofErr w:type="spellStart"/>
      <w:r w:rsidR="00AB5C83">
        <w:rPr>
          <w:rFonts w:ascii="Book Antiqua" w:eastAsia="Book Antiqua" w:hAnsi="Book Antiqua" w:cs="Book Antiqua"/>
          <w:color w:val="000000"/>
        </w:rPr>
        <w:t>ceRNA</w:t>
      </w:r>
      <w:proofErr w:type="spellEnd"/>
      <w:r w:rsidR="00AB5C83">
        <w:rPr>
          <w:rFonts w:ascii="Book Antiqua" w:eastAsia="Book Antiqua" w:hAnsi="Book Antiqua" w:cs="Book Antiqua"/>
          <w:color w:val="000000"/>
        </w:rPr>
        <w:t>: Competing endogenous RNA.</w:t>
      </w:r>
    </w:p>
    <w:p w14:paraId="1FEDA890" w14:textId="2A98721D" w:rsidR="00A77B3E" w:rsidRDefault="00C836E7" w:rsidP="00567499">
      <w:pPr>
        <w:snapToGrid w:val="0"/>
        <w:spacing w:line="360" w:lineRule="auto"/>
        <w:jc w:val="both"/>
      </w:pPr>
      <w:r>
        <w:br w:type="page"/>
      </w:r>
      <w:r>
        <w:rPr>
          <w:noProof/>
          <w:lang w:eastAsia="zh-CN"/>
        </w:rPr>
        <w:lastRenderedPageBreak/>
        <w:drawing>
          <wp:inline distT="0" distB="0" distL="0" distR="0" wp14:anchorId="355E88D2" wp14:editId="02D66550">
            <wp:extent cx="5943600" cy="5163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163820"/>
                    </a:xfrm>
                    <a:prstGeom prst="rect">
                      <a:avLst/>
                    </a:prstGeom>
                  </pic:spPr>
                </pic:pic>
              </a:graphicData>
            </a:graphic>
          </wp:inline>
        </w:drawing>
      </w:r>
    </w:p>
    <w:p w14:paraId="7B685ACD" w14:textId="11F86E27" w:rsidR="00A77B3E" w:rsidRDefault="001D27AD" w:rsidP="00567499">
      <w:pPr>
        <w:snapToGrid w:val="0"/>
        <w:spacing w:line="360" w:lineRule="auto"/>
        <w:jc w:val="both"/>
      </w:pPr>
      <w:r>
        <w:rPr>
          <w:rFonts w:ascii="Book Antiqua" w:eastAsia="Book Antiqua" w:hAnsi="Book Antiqua" w:cs="Book Antiqua"/>
          <w:b/>
          <w:bCs/>
          <w:color w:val="000000"/>
        </w:rPr>
        <w:t xml:space="preserve">Figure 2 Heat map of </w:t>
      </w:r>
      <w:proofErr w:type="spellStart"/>
      <w:r>
        <w:rPr>
          <w:rFonts w:ascii="Book Antiqua" w:eastAsia="Book Antiqua" w:hAnsi="Book Antiqua" w:cs="Book Antiqua"/>
          <w:b/>
          <w:bCs/>
          <w:color w:val="000000"/>
        </w:rPr>
        <w:t>circRNAs</w:t>
      </w:r>
      <w:proofErr w:type="spellEnd"/>
      <w:r>
        <w:rPr>
          <w:rFonts w:ascii="Book Antiqua" w:eastAsia="Book Antiqua" w:hAnsi="Book Antiqua" w:cs="Book Antiqua"/>
          <w:b/>
          <w:bCs/>
          <w:color w:val="000000"/>
        </w:rPr>
        <w:t xml:space="preserve"> differentially expressed in GSE126095.</w:t>
      </w:r>
      <w:r>
        <w:rPr>
          <w:rFonts w:ascii="Book Antiqua" w:eastAsia="Book Antiqua" w:hAnsi="Book Antiqua" w:cs="Book Antiqua"/>
          <w:color w:val="000000"/>
        </w:rPr>
        <w:t xml:space="preserve"> By analyzing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profile, 55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were obtained. Red indicates high expression, while blue indicates low expression. A deeper color indicates a more significant difference. The cut-off value was a |log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t>
      </w:r>
      <w:r w:rsidR="00DB6641">
        <w:rPr>
          <w:rFonts w:ascii="Book Antiqua" w:eastAsia="Book Antiqua" w:hAnsi="Book Antiqua" w:cs="Book Antiqua"/>
          <w:color w:val="000000"/>
        </w:rPr>
        <w:t>fold change</w:t>
      </w:r>
      <w:r>
        <w:rPr>
          <w:rFonts w:ascii="Book Antiqua" w:eastAsia="Book Antiqua" w:hAnsi="Book Antiqua" w:cs="Book Antiqua"/>
          <w:color w:val="000000"/>
        </w:rPr>
        <w:t>|</w:t>
      </w:r>
      <w:r w:rsidR="00F15DE3">
        <w:rPr>
          <w:rFonts w:ascii="Book Antiqua" w:eastAsia="Book Antiqua" w:hAnsi="Book Antiqua" w:cs="Book Antiqua"/>
          <w:color w:val="000000"/>
        </w:rPr>
        <w:t xml:space="preserve"> </w:t>
      </w:r>
      <w:r>
        <w:rPr>
          <w:rFonts w:ascii="Book Antiqua" w:eastAsia="Book Antiqua" w:hAnsi="Book Antiqua" w:cs="Book Antiqua"/>
          <w:color w:val="000000"/>
        </w:rPr>
        <w:t>&gt;</w:t>
      </w:r>
      <w:r w:rsidR="00F15DE3">
        <w:rPr>
          <w:rFonts w:ascii="Book Antiqua" w:eastAsia="Book Antiqua" w:hAnsi="Book Antiqua" w:cs="Book Antiqua"/>
          <w:color w:val="000000"/>
        </w:rPr>
        <w:t xml:space="preserve"> </w:t>
      </w:r>
      <w:r>
        <w:rPr>
          <w:rFonts w:ascii="Book Antiqua" w:eastAsia="Book Antiqua" w:hAnsi="Book Antiqua" w:cs="Book Antiqua"/>
          <w:color w:val="000000"/>
        </w:rPr>
        <w:t xml:space="preserve">2 and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F15DE3">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
    <w:p w14:paraId="6D70570B" w14:textId="46A70246" w:rsidR="00A77B3E" w:rsidRDefault="00C836E7" w:rsidP="00567499">
      <w:pPr>
        <w:snapToGrid w:val="0"/>
        <w:spacing w:line="360" w:lineRule="auto"/>
        <w:jc w:val="both"/>
      </w:pPr>
      <w:r>
        <w:br w:type="page"/>
      </w:r>
      <w:r>
        <w:rPr>
          <w:noProof/>
          <w:lang w:eastAsia="zh-CN"/>
        </w:rPr>
        <w:lastRenderedPageBreak/>
        <w:drawing>
          <wp:inline distT="0" distB="0" distL="0" distR="0" wp14:anchorId="100F1DDC" wp14:editId="35CAE1EF">
            <wp:extent cx="5943600" cy="5894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894070"/>
                    </a:xfrm>
                    <a:prstGeom prst="rect">
                      <a:avLst/>
                    </a:prstGeom>
                  </pic:spPr>
                </pic:pic>
              </a:graphicData>
            </a:graphic>
          </wp:inline>
        </w:drawing>
      </w:r>
    </w:p>
    <w:p w14:paraId="09C8227B" w14:textId="1B3175B2" w:rsidR="00A77B3E" w:rsidRPr="00D628EA" w:rsidRDefault="001D27AD" w:rsidP="00567499">
      <w:pPr>
        <w:snapToGrid w:val="0"/>
        <w:spacing w:line="360" w:lineRule="auto"/>
        <w:jc w:val="both"/>
        <w:rPr>
          <w:lang w:val="pt-BR"/>
        </w:rPr>
      </w:pPr>
      <w:r>
        <w:rPr>
          <w:rFonts w:ascii="Book Antiqua" w:eastAsia="Book Antiqua" w:hAnsi="Book Antiqua" w:cs="Book Antiqua"/>
          <w:b/>
          <w:bCs/>
          <w:color w:val="000000"/>
        </w:rPr>
        <w:t xml:space="preserve">Figure 3 Structural pattern of 49 differentially expressed </w:t>
      </w:r>
      <w:proofErr w:type="spellStart"/>
      <w:r>
        <w:rPr>
          <w:rFonts w:ascii="Book Antiqua" w:eastAsia="Book Antiqua" w:hAnsi="Book Antiqua" w:cs="Book Antiqua"/>
          <w:b/>
          <w:bCs/>
          <w:color w:val="000000"/>
        </w:rPr>
        <w:t>circRNAs</w:t>
      </w:r>
      <w:proofErr w:type="spellEnd"/>
      <w:r>
        <w:rPr>
          <w:rFonts w:ascii="Book Antiqua" w:eastAsia="Book Antiqua" w:hAnsi="Book Antiqua" w:cs="Book Antiqua"/>
          <w:b/>
          <w:bCs/>
          <w:color w:val="000000"/>
        </w:rPr>
        <w:t xml:space="preserve"> obtained from </w:t>
      </w:r>
      <w:r w:rsidR="00551F4B" w:rsidRPr="00EB00F8">
        <w:rPr>
          <w:rFonts w:ascii="Book Antiqua" w:eastAsia="Book Antiqua" w:hAnsi="Book Antiqua" w:cs="Book Antiqua"/>
          <w:b/>
          <w:bCs/>
          <w:color w:val="000000"/>
        </w:rPr>
        <w:t xml:space="preserve">Cancer-Specific </w:t>
      </w:r>
      <w:proofErr w:type="spellStart"/>
      <w:r w:rsidR="00551F4B" w:rsidRPr="00EB00F8">
        <w:rPr>
          <w:rFonts w:ascii="Book Antiqua" w:eastAsia="Book Antiqua" w:hAnsi="Book Antiqua" w:cs="Book Antiqua"/>
          <w:b/>
          <w:bCs/>
          <w:color w:val="000000"/>
        </w:rPr>
        <w:t>CircRNA</w:t>
      </w:r>
      <w:proofErr w:type="spellEnd"/>
      <w:r w:rsidR="00551F4B" w:rsidRPr="00EB00F8">
        <w:rPr>
          <w:rFonts w:ascii="Book Antiqua" w:eastAsia="Book Antiqua" w:hAnsi="Book Antiqua" w:cs="Book Antiqua"/>
          <w:b/>
          <w:bCs/>
          <w:color w:val="000000"/>
        </w:rPr>
        <w:t xml:space="preserve"> Database</w:t>
      </w:r>
      <w:r w:rsidRPr="00551F4B">
        <w:rPr>
          <w:rFonts w:ascii="Book Antiqua" w:eastAsia="Book Antiqua" w:hAnsi="Book Antiqua" w:cs="Book Antiqua"/>
          <w:b/>
          <w:bCs/>
          <w:color w:val="000000"/>
        </w:rPr>
        <w:t>.</w:t>
      </w:r>
      <w:r>
        <w:rPr>
          <w:rFonts w:ascii="Book Antiqua" w:eastAsia="Book Antiqua" w:hAnsi="Book Antiqua" w:cs="Book Antiqua"/>
          <w:color w:val="000000"/>
        </w:rPr>
        <w:t xml:space="preserve"> Red indicates the miRNA response element, blue indicates the RNA binding protein, and green indicates the open reading frame. </w:t>
      </w:r>
      <w:r w:rsidRPr="00D628EA">
        <w:rPr>
          <w:rFonts w:ascii="Book Antiqua" w:eastAsia="Book Antiqua" w:hAnsi="Book Antiqua" w:cs="Book Antiqua"/>
          <w:color w:val="000000"/>
          <w:lang w:val="pt-BR"/>
        </w:rPr>
        <w:t>CSCD: Cancer-Specific CircRNA Database</w:t>
      </w:r>
      <w:r w:rsidR="002C22C8">
        <w:rPr>
          <w:rFonts w:ascii="Book Antiqua" w:eastAsia="Book Antiqua" w:hAnsi="Book Antiqua" w:cs="Book Antiqua"/>
          <w:color w:val="000000"/>
          <w:lang w:val="pt-BR"/>
        </w:rPr>
        <w:t xml:space="preserve"> </w:t>
      </w:r>
      <w:r w:rsidR="002C22C8">
        <w:rPr>
          <w:rFonts w:ascii="Book Antiqua" w:eastAsia="Book Antiqua" w:hAnsi="Book Antiqua" w:cs="Book Antiqua"/>
          <w:color w:val="000000"/>
        </w:rPr>
        <w:t>(http://gb.whu.edu.cn/CSCD/)</w:t>
      </w:r>
      <w:r w:rsidRPr="00D628EA">
        <w:rPr>
          <w:rFonts w:ascii="Book Antiqua" w:eastAsia="Book Antiqua" w:hAnsi="Book Antiqua" w:cs="Book Antiqua"/>
          <w:color w:val="000000"/>
          <w:lang w:val="pt-BR"/>
        </w:rPr>
        <w:t>.</w:t>
      </w:r>
    </w:p>
    <w:p w14:paraId="5DDF884C" w14:textId="641FCE6B" w:rsidR="00A77B3E" w:rsidRDefault="00C836E7" w:rsidP="00567499">
      <w:pPr>
        <w:snapToGrid w:val="0"/>
        <w:spacing w:line="360" w:lineRule="auto"/>
        <w:jc w:val="both"/>
        <w:rPr>
          <w:noProof/>
        </w:rPr>
      </w:pPr>
      <w:r>
        <w:rPr>
          <w:lang w:val="pt-BR"/>
        </w:rPr>
        <w:br w:type="page"/>
      </w:r>
      <w:r>
        <w:rPr>
          <w:noProof/>
          <w:lang w:eastAsia="zh-CN"/>
        </w:rPr>
        <w:lastRenderedPageBreak/>
        <w:drawing>
          <wp:inline distT="0" distB="0" distL="0" distR="0" wp14:anchorId="01851AAE" wp14:editId="7BA74196">
            <wp:extent cx="2978150" cy="1847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5835" cy="1889846"/>
                    </a:xfrm>
                    <a:prstGeom prst="rect">
                      <a:avLst/>
                    </a:prstGeom>
                  </pic:spPr>
                </pic:pic>
              </a:graphicData>
            </a:graphic>
          </wp:inline>
        </w:drawing>
      </w:r>
      <w:r w:rsidRPr="00C836E7">
        <w:rPr>
          <w:noProof/>
        </w:rPr>
        <w:t xml:space="preserve"> </w:t>
      </w:r>
      <w:r>
        <w:rPr>
          <w:noProof/>
          <w:lang w:eastAsia="zh-CN"/>
        </w:rPr>
        <w:drawing>
          <wp:inline distT="0" distB="0" distL="0" distR="0" wp14:anchorId="770CB435" wp14:editId="7F6AABF1">
            <wp:extent cx="2838450" cy="17770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8718" cy="1808562"/>
                    </a:xfrm>
                    <a:prstGeom prst="rect">
                      <a:avLst/>
                    </a:prstGeom>
                  </pic:spPr>
                </pic:pic>
              </a:graphicData>
            </a:graphic>
          </wp:inline>
        </w:drawing>
      </w:r>
    </w:p>
    <w:p w14:paraId="333EC2C0" w14:textId="485B1204" w:rsidR="00C836E7" w:rsidRDefault="00C836E7" w:rsidP="00567499">
      <w:pPr>
        <w:snapToGrid w:val="0"/>
        <w:spacing w:line="360" w:lineRule="auto"/>
        <w:jc w:val="both"/>
        <w:rPr>
          <w:lang w:val="pt-BR"/>
        </w:rPr>
      </w:pPr>
      <w:r>
        <w:rPr>
          <w:noProof/>
          <w:lang w:eastAsia="zh-CN"/>
        </w:rPr>
        <w:drawing>
          <wp:inline distT="0" distB="0" distL="0" distR="0" wp14:anchorId="2CCB10E1" wp14:editId="306FDA17">
            <wp:extent cx="5943600" cy="5594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94350"/>
                    </a:xfrm>
                    <a:prstGeom prst="rect">
                      <a:avLst/>
                    </a:prstGeom>
                  </pic:spPr>
                </pic:pic>
              </a:graphicData>
            </a:graphic>
          </wp:inline>
        </w:drawing>
      </w:r>
    </w:p>
    <w:p w14:paraId="68CEFC64" w14:textId="054E74F7" w:rsidR="00C836E7" w:rsidRPr="00D628EA" w:rsidRDefault="00C836E7" w:rsidP="00567499">
      <w:pPr>
        <w:snapToGrid w:val="0"/>
        <w:spacing w:line="360" w:lineRule="auto"/>
        <w:jc w:val="both"/>
        <w:rPr>
          <w:lang w:val="pt-BR"/>
        </w:rPr>
      </w:pPr>
      <w:r>
        <w:rPr>
          <w:noProof/>
          <w:lang w:eastAsia="zh-CN"/>
        </w:rPr>
        <w:lastRenderedPageBreak/>
        <w:drawing>
          <wp:inline distT="0" distB="0" distL="0" distR="0" wp14:anchorId="2DE9E506" wp14:editId="06A2A1F1">
            <wp:extent cx="5943600" cy="61346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613" cy="6135714"/>
                    </a:xfrm>
                    <a:prstGeom prst="rect">
                      <a:avLst/>
                    </a:prstGeom>
                  </pic:spPr>
                </pic:pic>
              </a:graphicData>
            </a:graphic>
          </wp:inline>
        </w:drawing>
      </w:r>
    </w:p>
    <w:p w14:paraId="637CAD9D" w14:textId="7A937FB4" w:rsidR="00A77B3E" w:rsidRDefault="001D27AD" w:rsidP="00567499">
      <w:pPr>
        <w:snapToGrid w:val="0"/>
        <w:spacing w:line="360" w:lineRule="auto"/>
        <w:jc w:val="both"/>
      </w:pPr>
      <w:r>
        <w:rPr>
          <w:rFonts w:ascii="Book Antiqua" w:eastAsia="Book Antiqua" w:hAnsi="Book Antiqua" w:cs="Book Antiqua"/>
          <w:b/>
          <w:bCs/>
          <w:color w:val="000000"/>
        </w:rPr>
        <w:t>Figure 4 Venn diagrams and heat maps of miRNAs and mRNAs.</w:t>
      </w:r>
      <w:r>
        <w:rPr>
          <w:rFonts w:ascii="Book Antiqua" w:eastAsia="Book Antiqua" w:hAnsi="Book Antiqua" w:cs="Book Antiqua"/>
          <w:color w:val="000000"/>
        </w:rPr>
        <w:t xml:space="preserve"> A: Twenty-five miRNAs were identified from the intersection of 114 </w:t>
      </w:r>
      <w:r w:rsidR="000B269A">
        <w:rPr>
          <w:rFonts w:ascii="Book Antiqua" w:eastAsia="Book Antiqua" w:hAnsi="Book Antiqua" w:cs="Book Antiqua"/>
          <w:color w:val="000000"/>
        </w:rPr>
        <w:t>differentially expressed (</w:t>
      </w:r>
      <w:r>
        <w:rPr>
          <w:rFonts w:ascii="Book Antiqua" w:eastAsia="Book Antiqua" w:hAnsi="Book Antiqua" w:cs="Book Antiqua"/>
          <w:color w:val="000000"/>
        </w:rPr>
        <w:t>DE</w:t>
      </w:r>
      <w:r w:rsidR="000B269A">
        <w:rPr>
          <w:rFonts w:ascii="Book Antiqua" w:eastAsia="Book Antiqua" w:hAnsi="Book Antiqua" w:cs="Book Antiqua"/>
          <w:color w:val="000000"/>
        </w:rPr>
        <w:t xml:space="preserve">) </w:t>
      </w:r>
      <w:r>
        <w:rPr>
          <w:rFonts w:ascii="Book Antiqua" w:eastAsia="Book Antiqua" w:hAnsi="Book Antiqua" w:cs="Book Antiqua"/>
          <w:color w:val="000000"/>
        </w:rPr>
        <w:t xml:space="preserve">miRNAs with 1602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targets predicted by the </w:t>
      </w:r>
      <w:r w:rsidR="00F360B0">
        <w:rPr>
          <w:rFonts w:ascii="Book Antiqua" w:eastAsia="Book Antiqua" w:hAnsi="Book Antiqua" w:cs="Book Antiqua"/>
          <w:color w:val="000000"/>
        </w:rPr>
        <w:t xml:space="preserve">Cancer-Specific </w:t>
      </w:r>
      <w:proofErr w:type="spellStart"/>
      <w:r w:rsidR="00F360B0">
        <w:rPr>
          <w:rFonts w:ascii="Book Antiqua" w:eastAsia="Book Antiqua" w:hAnsi="Book Antiqua" w:cs="Book Antiqua"/>
          <w:color w:val="000000"/>
        </w:rPr>
        <w:t>CircRNA</w:t>
      </w:r>
      <w:proofErr w:type="spellEnd"/>
      <w:r w:rsidR="00F360B0">
        <w:rPr>
          <w:rFonts w:ascii="Book Antiqua" w:eastAsia="Book Antiqua" w:hAnsi="Book Antiqua" w:cs="Book Antiqua"/>
          <w:color w:val="000000"/>
        </w:rPr>
        <w:t xml:space="preserve"> Database</w:t>
      </w:r>
      <w:r>
        <w:rPr>
          <w:rFonts w:ascii="Book Antiqua" w:eastAsia="Book Antiqua" w:hAnsi="Book Antiqua" w:cs="Book Antiqua"/>
          <w:color w:val="000000"/>
        </w:rPr>
        <w:t xml:space="preserve">; B: 77 mRNAs were obtained from the intersection of 267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7190 miRNA targets predicted using the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databases; C: Each </w:t>
      </w:r>
      <w:r w:rsidR="002C22C8">
        <w:rPr>
          <w:rFonts w:ascii="Book Antiqua" w:eastAsia="Book Antiqua" w:hAnsi="Book Antiqua" w:cs="Book Antiqua"/>
          <w:color w:val="000000"/>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expressing the most significant upregulation and downregulation, respectively; D. Each </w:t>
      </w:r>
      <w:r w:rsidR="002C22C8">
        <w:rPr>
          <w:rFonts w:ascii="Book Antiqua" w:eastAsia="Book Antiqua" w:hAnsi="Book Antiqua" w:cs="Book Antiqua"/>
          <w:color w:val="000000"/>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expressing the most significant upregulation and downregulation, </w:t>
      </w:r>
      <w:r>
        <w:rPr>
          <w:rFonts w:ascii="Book Antiqua" w:eastAsia="Book Antiqua" w:hAnsi="Book Antiqua" w:cs="Book Antiqua"/>
          <w:color w:val="000000"/>
        </w:rPr>
        <w:lastRenderedPageBreak/>
        <w:t xml:space="preserve">respectively. </w:t>
      </w:r>
      <w:r w:rsidRPr="00F360B0">
        <w:rPr>
          <w:rFonts w:ascii="Book Antiqua" w:eastAsia="Book Antiqua" w:hAnsi="Book Antiqua" w:cs="Book Antiqua"/>
          <w:color w:val="000000" w:themeColor="text1"/>
        </w:rPr>
        <w:t>|</w:t>
      </w:r>
      <w:r>
        <w:rPr>
          <w:rFonts w:ascii="Book Antiqua" w:eastAsia="Book Antiqua" w:hAnsi="Book Antiqua" w:cs="Book Antiqua"/>
          <w:color w:val="000000"/>
        </w:rPr>
        <w:t>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t>
      </w:r>
      <w:r w:rsidR="00B578FF">
        <w:rPr>
          <w:rFonts w:ascii="Book Antiqua" w:eastAsia="Book Antiqua" w:hAnsi="Book Antiqua" w:cs="Book Antiqua"/>
          <w:color w:val="000000"/>
        </w:rPr>
        <w:t>fold change (</w:t>
      </w:r>
      <w:r>
        <w:rPr>
          <w:rFonts w:ascii="Book Antiqua" w:eastAsia="Book Antiqua" w:hAnsi="Book Antiqua" w:cs="Book Antiqua"/>
          <w:color w:val="000000"/>
        </w:rPr>
        <w:t>FC</w:t>
      </w:r>
      <w:r w:rsidR="00B578FF">
        <w:rPr>
          <w:rFonts w:ascii="Book Antiqua" w:eastAsia="Book Antiqua" w:hAnsi="Book Antiqua" w:cs="Book Antiqua"/>
          <w:color w:val="000000"/>
        </w:rPr>
        <w:t>)</w:t>
      </w:r>
      <w:r>
        <w:rPr>
          <w:rFonts w:ascii="Book Antiqua" w:eastAsia="Book Antiqua" w:hAnsi="Book Antiqua" w:cs="Book Antiqua"/>
          <w:color w:val="000000"/>
        </w:rPr>
        <w:t xml:space="preserve">| &gt; 1 and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the statistical criteria for </w:t>
      </w:r>
      <w:proofErr w:type="spellStart"/>
      <w:r>
        <w:rPr>
          <w:rFonts w:ascii="Book Antiqua" w:eastAsia="Book Antiqua" w:hAnsi="Book Antiqua" w:cs="Book Antiqua"/>
          <w:color w:val="000000"/>
        </w:rPr>
        <w:t>DEmiRNA</w:t>
      </w:r>
      <w:proofErr w:type="spellEnd"/>
      <w:r>
        <w:rPr>
          <w:rFonts w:ascii="Book Antiqua" w:eastAsia="Book Antiqua" w:hAnsi="Book Antiqua" w:cs="Book Antiqua"/>
          <w:color w:val="000000"/>
        </w:rPr>
        <w:t xml:space="preserve">;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F360B0">
        <w:rPr>
          <w:rFonts w:ascii="Book Antiqua" w:eastAsia="Book Antiqua" w:hAnsi="Book Antiqua" w:cs="Book Antiqua"/>
          <w:color w:val="000000"/>
        </w:rPr>
        <w:t xml:space="preserve"> </w:t>
      </w:r>
      <w:r>
        <w:rPr>
          <w:rFonts w:ascii="Book Antiqua" w:eastAsia="Book Antiqua" w:hAnsi="Book Antiqua" w:cs="Book Antiqua"/>
          <w:color w:val="000000"/>
        </w:rPr>
        <w:t>0.05 and |log</w:t>
      </w:r>
      <w:r>
        <w:rPr>
          <w:rFonts w:ascii="Book Antiqua" w:eastAsia="Book Antiqua" w:hAnsi="Book Antiqua" w:cs="Book Antiqua"/>
          <w:color w:val="000000"/>
          <w:szCs w:val="20"/>
          <w:vertAlign w:val="subscript"/>
        </w:rPr>
        <w:t>2</w:t>
      </w:r>
      <w:r w:rsidR="00F360B0">
        <w:rPr>
          <w:rFonts w:ascii="Book Antiqua" w:eastAsia="Book Antiqua" w:hAnsi="Book Antiqua" w:cs="Book Antiqua"/>
          <w:color w:val="000000"/>
          <w:szCs w:val="20"/>
          <w:vertAlign w:val="subscript"/>
        </w:rPr>
        <w:t xml:space="preserve"> </w:t>
      </w:r>
      <w:r>
        <w:rPr>
          <w:rFonts w:ascii="Book Antiqua" w:eastAsia="Book Antiqua" w:hAnsi="Book Antiqua" w:cs="Book Antiqua"/>
          <w:color w:val="000000"/>
        </w:rPr>
        <w:t>FC|</w:t>
      </w:r>
      <w:r w:rsidR="00F360B0">
        <w:rPr>
          <w:rFonts w:ascii="Book Antiqua" w:eastAsia="Book Antiqua" w:hAnsi="Book Antiqua" w:cs="Book Antiqua"/>
          <w:color w:val="000000"/>
        </w:rPr>
        <w:t xml:space="preserve"> </w:t>
      </w:r>
      <w:r>
        <w:rPr>
          <w:rFonts w:ascii="Book Antiqua" w:eastAsia="Book Antiqua" w:hAnsi="Book Antiqua" w:cs="Book Antiqua"/>
          <w:color w:val="000000"/>
        </w:rPr>
        <w:t>&gt;</w:t>
      </w:r>
      <w:r w:rsidR="00F360B0">
        <w:rPr>
          <w:rFonts w:ascii="Book Antiqua" w:eastAsia="Book Antiqua" w:hAnsi="Book Antiqua" w:cs="Book Antiqua"/>
          <w:color w:val="000000"/>
        </w:rPr>
        <w:t xml:space="preserve"> </w:t>
      </w:r>
      <w:r>
        <w:rPr>
          <w:rFonts w:ascii="Book Antiqua" w:eastAsia="Book Antiqua" w:hAnsi="Book Antiqua" w:cs="Book Antiqua"/>
          <w:color w:val="000000"/>
        </w:rPr>
        <w:t xml:space="preserve">2 were considered the statistical criteria for </w:t>
      </w:r>
      <w:proofErr w:type="spellStart"/>
      <w:r>
        <w:rPr>
          <w:rFonts w:ascii="Book Antiqua" w:eastAsia="Book Antiqua" w:hAnsi="Book Antiqua" w:cs="Book Antiqua"/>
          <w:color w:val="000000"/>
        </w:rPr>
        <w:t>DEmRNA</w:t>
      </w:r>
      <w:proofErr w:type="spellEnd"/>
      <w:r>
        <w:rPr>
          <w:rFonts w:ascii="Book Antiqua" w:eastAsia="Book Antiqua" w:hAnsi="Book Antiqua" w:cs="Book Antiqua"/>
          <w:color w:val="000000"/>
        </w:rPr>
        <w:t xml:space="preserve">. DE: </w:t>
      </w:r>
      <w:r w:rsidR="008E100E">
        <w:rPr>
          <w:rFonts w:ascii="Book Antiqua" w:eastAsia="Book Antiqua" w:hAnsi="Book Antiqua" w:cs="Book Antiqua"/>
          <w:color w:val="000000"/>
        </w:rPr>
        <w:t>D</w:t>
      </w:r>
      <w:r>
        <w:rPr>
          <w:rFonts w:ascii="Book Antiqua" w:eastAsia="Book Antiqua" w:hAnsi="Book Antiqua" w:cs="Book Antiqua"/>
          <w:color w:val="000000"/>
        </w:rPr>
        <w:t>ifferentially expressed.</w:t>
      </w:r>
    </w:p>
    <w:p w14:paraId="411D505A" w14:textId="27BB1634" w:rsidR="00A77B3E" w:rsidRDefault="00C836E7" w:rsidP="00567499">
      <w:pPr>
        <w:snapToGrid w:val="0"/>
        <w:spacing w:line="360" w:lineRule="auto"/>
        <w:jc w:val="both"/>
      </w:pPr>
      <w:r>
        <w:br w:type="page"/>
      </w:r>
      <w:r w:rsidR="00715379">
        <w:rPr>
          <w:noProof/>
          <w:lang w:eastAsia="zh-CN"/>
        </w:rPr>
        <w:lastRenderedPageBreak/>
        <w:drawing>
          <wp:inline distT="0" distB="0" distL="0" distR="0" wp14:anchorId="4F4F7E9D" wp14:editId="6BACA6CF">
            <wp:extent cx="5943600" cy="5553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553710"/>
                    </a:xfrm>
                    <a:prstGeom prst="rect">
                      <a:avLst/>
                    </a:prstGeom>
                  </pic:spPr>
                </pic:pic>
              </a:graphicData>
            </a:graphic>
          </wp:inline>
        </w:drawing>
      </w:r>
    </w:p>
    <w:p w14:paraId="1CA07140" w14:textId="03E8E44E" w:rsidR="00A77B3E" w:rsidRDefault="001D27AD" w:rsidP="00567499">
      <w:pPr>
        <w:snapToGrid w:val="0"/>
        <w:spacing w:line="360" w:lineRule="auto"/>
        <w:jc w:val="both"/>
      </w:pPr>
      <w:r>
        <w:rPr>
          <w:rFonts w:ascii="Book Antiqua" w:eastAsia="Book Antiqua" w:hAnsi="Book Antiqua" w:cs="Book Antiqua"/>
          <w:b/>
          <w:bCs/>
          <w:color w:val="000000"/>
        </w:rPr>
        <w:t xml:space="preserve">Figure 5 </w:t>
      </w:r>
      <w:proofErr w:type="spellStart"/>
      <w:r>
        <w:rPr>
          <w:rFonts w:ascii="Book Antiqua" w:eastAsia="Book Antiqua" w:hAnsi="Book Antiqua" w:cs="Book Antiqua"/>
          <w:b/>
          <w:bCs/>
          <w:color w:val="000000"/>
        </w:rPr>
        <w:t>CircRNA</w:t>
      </w:r>
      <w:proofErr w:type="spellEnd"/>
      <w:r>
        <w:rPr>
          <w:rFonts w:ascii="Book Antiqua" w:eastAsia="Book Antiqua" w:hAnsi="Book Antiqua" w:cs="Book Antiqua"/>
          <w:b/>
          <w:bCs/>
          <w:color w:val="000000"/>
        </w:rPr>
        <w:t xml:space="preserve">-miRNA-mRNA regulatory network of colorectal cancer.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miRNAs and mRNAs are represented by red diamonds, green triangles and blue ellipses, respectively. Dark colors represent overexpression, and light colors represent low expression. </w:t>
      </w:r>
    </w:p>
    <w:p w14:paraId="522574F2" w14:textId="051B931E" w:rsidR="00A77B3E" w:rsidRDefault="00715379" w:rsidP="00567499">
      <w:pPr>
        <w:snapToGrid w:val="0"/>
        <w:spacing w:line="360" w:lineRule="auto"/>
        <w:jc w:val="both"/>
      </w:pPr>
      <w:r>
        <w:br w:type="page"/>
      </w:r>
      <w:r>
        <w:rPr>
          <w:noProof/>
          <w:lang w:eastAsia="zh-CN"/>
        </w:rPr>
        <w:lastRenderedPageBreak/>
        <w:drawing>
          <wp:inline distT="0" distB="0" distL="0" distR="0" wp14:anchorId="4378F231" wp14:editId="28EF47B5">
            <wp:extent cx="4209615" cy="2957885"/>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0769" cy="2972749"/>
                    </a:xfrm>
                    <a:prstGeom prst="rect">
                      <a:avLst/>
                    </a:prstGeom>
                  </pic:spPr>
                </pic:pic>
              </a:graphicData>
            </a:graphic>
          </wp:inline>
        </w:drawing>
      </w:r>
    </w:p>
    <w:p w14:paraId="0DE78958" w14:textId="5C2FF097" w:rsidR="00715379" w:rsidRDefault="00715379" w:rsidP="00567499">
      <w:pPr>
        <w:snapToGrid w:val="0"/>
        <w:spacing w:line="360" w:lineRule="auto"/>
        <w:jc w:val="both"/>
      </w:pPr>
      <w:r>
        <w:rPr>
          <w:noProof/>
          <w:lang w:eastAsia="zh-CN"/>
        </w:rPr>
        <w:drawing>
          <wp:inline distT="0" distB="0" distL="0" distR="0" wp14:anchorId="44DDA5FE" wp14:editId="21C7F675">
            <wp:extent cx="4178300" cy="377162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7902" cy="3789323"/>
                    </a:xfrm>
                    <a:prstGeom prst="rect">
                      <a:avLst/>
                    </a:prstGeom>
                  </pic:spPr>
                </pic:pic>
              </a:graphicData>
            </a:graphic>
          </wp:inline>
        </w:drawing>
      </w:r>
    </w:p>
    <w:p w14:paraId="362DA586" w14:textId="45EEE70D" w:rsidR="00715379" w:rsidRDefault="00715379" w:rsidP="00567499">
      <w:pPr>
        <w:snapToGrid w:val="0"/>
        <w:spacing w:line="360" w:lineRule="auto"/>
        <w:jc w:val="both"/>
      </w:pPr>
      <w:r>
        <w:rPr>
          <w:noProof/>
          <w:lang w:eastAsia="zh-CN"/>
        </w:rPr>
        <w:lastRenderedPageBreak/>
        <w:drawing>
          <wp:inline distT="0" distB="0" distL="0" distR="0" wp14:anchorId="48A84F9F" wp14:editId="2F9D2A74">
            <wp:extent cx="5047848" cy="3307743"/>
            <wp:effectExtent l="0" t="0" r="63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9564" cy="3315420"/>
                    </a:xfrm>
                    <a:prstGeom prst="rect">
                      <a:avLst/>
                    </a:prstGeom>
                  </pic:spPr>
                </pic:pic>
              </a:graphicData>
            </a:graphic>
          </wp:inline>
        </w:drawing>
      </w:r>
    </w:p>
    <w:p w14:paraId="7922ACEB" w14:textId="54287B94" w:rsidR="00715379" w:rsidRDefault="00715379" w:rsidP="00567499">
      <w:pPr>
        <w:snapToGrid w:val="0"/>
        <w:spacing w:line="360" w:lineRule="auto"/>
        <w:jc w:val="both"/>
      </w:pPr>
      <w:r>
        <w:rPr>
          <w:noProof/>
          <w:lang w:eastAsia="zh-CN"/>
        </w:rPr>
        <w:drawing>
          <wp:inline distT="0" distB="0" distL="0" distR="0" wp14:anchorId="5EDCCCA5" wp14:editId="4FCCFEA8">
            <wp:extent cx="5385354" cy="3705308"/>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2477" cy="3710209"/>
                    </a:xfrm>
                    <a:prstGeom prst="rect">
                      <a:avLst/>
                    </a:prstGeom>
                  </pic:spPr>
                </pic:pic>
              </a:graphicData>
            </a:graphic>
          </wp:inline>
        </w:drawing>
      </w:r>
    </w:p>
    <w:p w14:paraId="3019D16E" w14:textId="61BC6288" w:rsidR="00715379" w:rsidRDefault="00715379" w:rsidP="00567499">
      <w:pPr>
        <w:snapToGrid w:val="0"/>
        <w:spacing w:line="360" w:lineRule="auto"/>
        <w:jc w:val="both"/>
      </w:pPr>
      <w:r>
        <w:rPr>
          <w:noProof/>
          <w:lang w:eastAsia="zh-CN"/>
        </w:rPr>
        <w:lastRenderedPageBreak/>
        <w:drawing>
          <wp:inline distT="0" distB="0" distL="0" distR="0" wp14:anchorId="3F1837BF" wp14:editId="7E077AFC">
            <wp:extent cx="5361105" cy="395179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7515" cy="3956523"/>
                    </a:xfrm>
                    <a:prstGeom prst="rect">
                      <a:avLst/>
                    </a:prstGeom>
                  </pic:spPr>
                </pic:pic>
              </a:graphicData>
            </a:graphic>
          </wp:inline>
        </w:drawing>
      </w:r>
    </w:p>
    <w:p w14:paraId="131CEE93" w14:textId="1C15E01A" w:rsidR="00715379" w:rsidRDefault="00715379" w:rsidP="00567499">
      <w:pPr>
        <w:snapToGrid w:val="0"/>
        <w:spacing w:line="360" w:lineRule="auto"/>
        <w:jc w:val="both"/>
      </w:pPr>
      <w:r>
        <w:rPr>
          <w:noProof/>
          <w:lang w:eastAsia="zh-CN"/>
        </w:rPr>
        <w:drawing>
          <wp:inline distT="0" distB="0" distL="0" distR="0" wp14:anchorId="0E43001E" wp14:editId="75621DD0">
            <wp:extent cx="5693176" cy="365760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7289" cy="3673091"/>
                    </a:xfrm>
                    <a:prstGeom prst="rect">
                      <a:avLst/>
                    </a:prstGeom>
                  </pic:spPr>
                </pic:pic>
              </a:graphicData>
            </a:graphic>
          </wp:inline>
        </w:drawing>
      </w:r>
    </w:p>
    <w:p w14:paraId="020459CF" w14:textId="34E17332" w:rsidR="00A77B3E" w:rsidRDefault="001D27AD" w:rsidP="00567499">
      <w:pPr>
        <w:snapToGrid w:val="0"/>
        <w:spacing w:line="360" w:lineRule="auto"/>
        <w:jc w:val="both"/>
      </w:pPr>
      <w:r>
        <w:rPr>
          <w:rFonts w:ascii="Book Antiqua" w:eastAsia="Book Antiqua" w:hAnsi="Book Antiqua" w:cs="Book Antiqua"/>
          <w:b/>
          <w:bCs/>
          <w:color w:val="000000"/>
        </w:rPr>
        <w:lastRenderedPageBreak/>
        <w:t xml:space="preserve">Figure 6 The expression levels of </w:t>
      </w:r>
      <w:proofErr w:type="spellStart"/>
      <w:r>
        <w:rPr>
          <w:rFonts w:ascii="Book Antiqua" w:eastAsia="Book Antiqua" w:hAnsi="Book Antiqua" w:cs="Book Antiqua"/>
          <w:b/>
          <w:bCs/>
          <w:color w:val="000000"/>
        </w:rPr>
        <w:t>circRNAs</w:t>
      </w:r>
      <w:proofErr w:type="spellEnd"/>
      <w:r>
        <w:rPr>
          <w:rFonts w:ascii="Book Antiqua" w:eastAsia="Book Antiqua" w:hAnsi="Book Antiqua" w:cs="Book Antiqua"/>
          <w:b/>
          <w:bCs/>
          <w:color w:val="000000"/>
        </w:rPr>
        <w:t xml:space="preserve">, miRNAs and mRNAs in the </w:t>
      </w:r>
      <w:r w:rsidR="00F6524C">
        <w:rPr>
          <w:rFonts w:ascii="Book Antiqua" w:eastAsia="Book Antiqua" w:hAnsi="Book Antiqua" w:cs="Book Antiqua"/>
          <w:color w:val="000000"/>
        </w:rPr>
        <w:t>competing endogenous RNA</w:t>
      </w:r>
      <w:r>
        <w:rPr>
          <w:rFonts w:ascii="Book Antiqua" w:eastAsia="Book Antiqua" w:hAnsi="Book Antiqua" w:cs="Book Antiqua"/>
          <w:b/>
          <w:bCs/>
          <w:color w:val="000000"/>
        </w:rPr>
        <w:t xml:space="preserve"> network.</w:t>
      </w:r>
      <w:r>
        <w:rPr>
          <w:rFonts w:ascii="Book Antiqua" w:eastAsia="Book Antiqua" w:hAnsi="Book Antiqua" w:cs="Book Antiqua"/>
          <w:color w:val="000000"/>
        </w:rPr>
        <w:t xml:space="preserve"> A</w:t>
      </w:r>
      <w:r w:rsidR="00F6524C">
        <w:rPr>
          <w:rFonts w:ascii="Book Antiqua" w:eastAsia="Book Antiqua" w:hAnsi="Book Antiqua" w:cs="Book Antiqua"/>
          <w:color w:val="000000"/>
        </w:rPr>
        <w:t xml:space="preserve"> and </w:t>
      </w:r>
      <w:r>
        <w:rPr>
          <w:rFonts w:ascii="Book Antiqua" w:eastAsia="Book Antiqua" w:hAnsi="Book Antiqua" w:cs="Book Antiqua"/>
          <w:color w:val="000000"/>
        </w:rPr>
        <w:t xml:space="preserve">B: Expression levels of 19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the </w:t>
      </w:r>
      <w:r w:rsidR="00F6524C">
        <w:rPr>
          <w:rFonts w:ascii="Book Antiqua" w:eastAsia="Book Antiqua" w:hAnsi="Book Antiqua" w:cs="Book Antiqua"/>
          <w:color w:val="000000"/>
        </w:rPr>
        <w:t>competing endogenous RNA (</w:t>
      </w:r>
      <w:proofErr w:type="spellStart"/>
      <w:r>
        <w:rPr>
          <w:rFonts w:ascii="Book Antiqua" w:eastAsia="Book Antiqua" w:hAnsi="Book Antiqua" w:cs="Book Antiqua"/>
          <w:color w:val="000000"/>
        </w:rPr>
        <w:t>ceRNA</w:t>
      </w:r>
      <w:proofErr w:type="spellEnd"/>
      <w:r w:rsidR="00F6524C">
        <w:rPr>
          <w:rFonts w:ascii="Book Antiqua" w:eastAsia="Book Antiqua" w:hAnsi="Book Antiqua" w:cs="Book Antiqua"/>
          <w:color w:val="000000"/>
        </w:rPr>
        <w:t>)</w:t>
      </w:r>
      <w:r>
        <w:rPr>
          <w:rFonts w:ascii="Book Antiqua" w:eastAsia="Book Antiqua" w:hAnsi="Book Antiqua" w:cs="Book Antiqua"/>
          <w:color w:val="000000"/>
        </w:rPr>
        <w:t xml:space="preserve"> network; C</w:t>
      </w:r>
      <w:r w:rsidR="00F6524C">
        <w:rPr>
          <w:rFonts w:ascii="Book Antiqua" w:eastAsia="Book Antiqua" w:hAnsi="Book Antiqua" w:cs="Book Antiqua"/>
          <w:color w:val="000000"/>
        </w:rPr>
        <w:t xml:space="preserve"> and </w:t>
      </w:r>
      <w:r>
        <w:rPr>
          <w:rFonts w:ascii="Book Antiqua" w:eastAsia="Book Antiqua" w:hAnsi="Book Antiqua" w:cs="Book Antiqua"/>
          <w:color w:val="000000"/>
        </w:rPr>
        <w:t xml:space="preserve">D: Expression levels of 13 miRNAs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E</w:t>
      </w:r>
      <w:r w:rsidR="00F6524C">
        <w:rPr>
          <w:rFonts w:ascii="Book Antiqua" w:eastAsia="Book Antiqua" w:hAnsi="Book Antiqua" w:cs="Book Antiqua"/>
          <w:color w:val="000000"/>
        </w:rPr>
        <w:t xml:space="preserve"> and </w:t>
      </w:r>
      <w:r>
        <w:rPr>
          <w:rFonts w:ascii="Book Antiqua" w:eastAsia="Book Antiqua" w:hAnsi="Book Antiqua" w:cs="Book Antiqua"/>
          <w:color w:val="000000"/>
        </w:rPr>
        <w:t xml:space="preserve">F: Expression levels of 25 mRNAs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r w:rsidR="00AB5C8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sidR="00AB5C8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
    <w:p w14:paraId="7BF61145" w14:textId="694BCA2F" w:rsidR="00A77B3E" w:rsidRDefault="005D6960" w:rsidP="00567499">
      <w:pPr>
        <w:snapToGrid w:val="0"/>
        <w:spacing w:line="360" w:lineRule="auto"/>
        <w:jc w:val="both"/>
      </w:pPr>
      <w:r>
        <w:br w:type="page"/>
      </w:r>
      <w:r>
        <w:rPr>
          <w:noProof/>
          <w:lang w:eastAsia="zh-CN"/>
        </w:rPr>
        <w:lastRenderedPageBreak/>
        <w:drawing>
          <wp:inline distT="0" distB="0" distL="0" distR="0" wp14:anchorId="317D8C74" wp14:editId="4E0D24DB">
            <wp:extent cx="5302250" cy="2749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2250" cy="2749550"/>
                    </a:xfrm>
                    <a:prstGeom prst="rect">
                      <a:avLst/>
                    </a:prstGeom>
                  </pic:spPr>
                </pic:pic>
              </a:graphicData>
            </a:graphic>
          </wp:inline>
        </w:drawing>
      </w:r>
    </w:p>
    <w:p w14:paraId="1B986B1B" w14:textId="1A7630B5" w:rsidR="005D6960" w:rsidRDefault="005D6960" w:rsidP="00567499">
      <w:pPr>
        <w:snapToGrid w:val="0"/>
        <w:spacing w:line="360" w:lineRule="auto"/>
        <w:jc w:val="both"/>
      </w:pPr>
      <w:r>
        <w:rPr>
          <w:noProof/>
          <w:lang w:eastAsia="zh-CN"/>
        </w:rPr>
        <w:drawing>
          <wp:inline distT="0" distB="0" distL="0" distR="0" wp14:anchorId="43374541" wp14:editId="3A689C9D">
            <wp:extent cx="5209524" cy="368571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24" cy="3685714"/>
                    </a:xfrm>
                    <a:prstGeom prst="rect">
                      <a:avLst/>
                    </a:prstGeom>
                  </pic:spPr>
                </pic:pic>
              </a:graphicData>
            </a:graphic>
          </wp:inline>
        </w:drawing>
      </w:r>
    </w:p>
    <w:p w14:paraId="3A368EA9" w14:textId="6D87498A" w:rsidR="005D6960" w:rsidRDefault="005D6960" w:rsidP="00567499">
      <w:pPr>
        <w:snapToGrid w:val="0"/>
        <w:spacing w:line="360" w:lineRule="auto"/>
        <w:jc w:val="both"/>
      </w:pPr>
      <w:r>
        <w:rPr>
          <w:noProof/>
          <w:lang w:eastAsia="zh-CN"/>
        </w:rPr>
        <w:lastRenderedPageBreak/>
        <w:drawing>
          <wp:inline distT="0" distB="0" distL="0" distR="0" wp14:anchorId="75FD9ACA" wp14:editId="253496BB">
            <wp:extent cx="5943600" cy="33953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95345"/>
                    </a:xfrm>
                    <a:prstGeom prst="rect">
                      <a:avLst/>
                    </a:prstGeom>
                  </pic:spPr>
                </pic:pic>
              </a:graphicData>
            </a:graphic>
          </wp:inline>
        </w:drawing>
      </w:r>
    </w:p>
    <w:p w14:paraId="7A1D2984" w14:textId="1193B0C6" w:rsidR="005D6960" w:rsidRDefault="005D6960" w:rsidP="00567499">
      <w:pPr>
        <w:snapToGrid w:val="0"/>
        <w:spacing w:line="360" w:lineRule="auto"/>
        <w:jc w:val="both"/>
      </w:pPr>
      <w:r>
        <w:rPr>
          <w:noProof/>
          <w:lang w:eastAsia="zh-CN"/>
        </w:rPr>
        <w:drawing>
          <wp:inline distT="0" distB="0" distL="0" distR="0" wp14:anchorId="69F145BD" wp14:editId="680D4B22">
            <wp:extent cx="5304762" cy="3847619"/>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4762" cy="3847619"/>
                    </a:xfrm>
                    <a:prstGeom prst="rect">
                      <a:avLst/>
                    </a:prstGeom>
                  </pic:spPr>
                </pic:pic>
              </a:graphicData>
            </a:graphic>
          </wp:inline>
        </w:drawing>
      </w:r>
    </w:p>
    <w:p w14:paraId="0D7C0C4C" w14:textId="718484D5" w:rsidR="00C26309" w:rsidRDefault="001D27AD" w:rsidP="00567499">
      <w:pPr>
        <w:snapToGrid w:val="0"/>
        <w:spacing w:line="360" w:lineRule="auto"/>
        <w:jc w:val="both"/>
      </w:pPr>
      <w:r>
        <w:rPr>
          <w:rFonts w:ascii="Book Antiqua" w:eastAsia="Book Antiqua" w:hAnsi="Book Antiqua" w:cs="Book Antiqua"/>
          <w:b/>
          <w:bCs/>
          <w:color w:val="000000"/>
        </w:rPr>
        <w:t xml:space="preserve">Figure 7 GO and KEGG pathway analyses of the identified mRNAs in the </w:t>
      </w:r>
      <w:r w:rsidR="00F40510" w:rsidRPr="00F40510">
        <w:rPr>
          <w:rFonts w:ascii="Book Antiqua" w:eastAsia="Book Antiqua" w:hAnsi="Book Antiqua" w:cs="Book Antiqua"/>
          <w:b/>
          <w:bCs/>
          <w:color w:val="000000"/>
        </w:rPr>
        <w:t>competing endogenous RNA</w:t>
      </w:r>
      <w:r>
        <w:rPr>
          <w:rFonts w:ascii="Book Antiqua" w:eastAsia="Book Antiqua" w:hAnsi="Book Antiqua" w:cs="Book Antiqua"/>
          <w:b/>
          <w:bCs/>
          <w:color w:val="000000"/>
        </w:rPr>
        <w:t xml:space="preserve"> network.</w:t>
      </w:r>
      <w:r>
        <w:rPr>
          <w:rFonts w:ascii="Book Antiqua" w:eastAsia="Book Antiqua" w:hAnsi="Book Antiqua" w:cs="Book Antiqua"/>
          <w:color w:val="000000"/>
        </w:rPr>
        <w:t xml:space="preserve"> A: GO analysis of biological processes; B: GO analysis of </w:t>
      </w:r>
      <w:r>
        <w:rPr>
          <w:rFonts w:ascii="Book Antiqua" w:eastAsia="Book Antiqua" w:hAnsi="Book Antiqua" w:cs="Book Antiqua"/>
          <w:color w:val="000000"/>
        </w:rPr>
        <w:lastRenderedPageBreak/>
        <w:t xml:space="preserve">cellular components; C: GO analysis of molecular functions; D: KEGG pathway analysis. </w:t>
      </w:r>
      <w:r>
        <w:rPr>
          <w:rFonts w:ascii="Book Antiqua" w:eastAsia="Book Antiqua" w:hAnsi="Book Antiqua" w:cs="Book Antiqua"/>
          <w:i/>
          <w:iCs/>
          <w:color w:val="000000"/>
        </w:rPr>
        <w:t>P</w:t>
      </w:r>
      <w:r w:rsidR="00F40510">
        <w:rPr>
          <w:rFonts w:ascii="Book Antiqua" w:eastAsia="Book Antiqua" w:hAnsi="Book Antiqua" w:cs="Book Antiqua"/>
          <w:color w:val="000000"/>
        </w:rPr>
        <w:t xml:space="preserve"> </w:t>
      </w:r>
      <w:r>
        <w:rPr>
          <w:rFonts w:ascii="Book Antiqua" w:eastAsia="Book Antiqua" w:hAnsi="Book Antiqua" w:cs="Book Antiqua"/>
          <w:color w:val="000000"/>
        </w:rPr>
        <w:t xml:space="preserve">&lt; 0.05 were considered significant. </w:t>
      </w:r>
    </w:p>
    <w:p w14:paraId="2A017151" w14:textId="6AF0797D" w:rsidR="00A77B3E" w:rsidRDefault="00A77B3E" w:rsidP="00567499">
      <w:pPr>
        <w:snapToGrid w:val="0"/>
        <w:spacing w:line="360" w:lineRule="auto"/>
        <w:jc w:val="both"/>
      </w:pPr>
    </w:p>
    <w:p w14:paraId="1464F48A" w14:textId="7DC82F48" w:rsidR="00A77B3E" w:rsidRDefault="005D6960" w:rsidP="00567499">
      <w:pPr>
        <w:snapToGrid w:val="0"/>
        <w:spacing w:line="360" w:lineRule="auto"/>
        <w:jc w:val="both"/>
      </w:pPr>
      <w:r>
        <w:br w:type="page"/>
      </w:r>
      <w:r w:rsidR="00EB00F8">
        <w:rPr>
          <w:noProof/>
          <w:lang w:eastAsia="zh-CN"/>
        </w:rPr>
        <w:lastRenderedPageBreak/>
        <w:drawing>
          <wp:inline distT="0" distB="0" distL="0" distR="0" wp14:anchorId="13138C7B" wp14:editId="3322B84A">
            <wp:extent cx="2770496" cy="188958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0393" cy="1909973"/>
                    </a:xfrm>
                    <a:prstGeom prst="rect">
                      <a:avLst/>
                    </a:prstGeom>
                  </pic:spPr>
                </pic:pic>
              </a:graphicData>
            </a:graphic>
          </wp:inline>
        </w:drawing>
      </w:r>
      <w:r w:rsidR="00EB00F8" w:rsidRPr="00EB00F8">
        <w:rPr>
          <w:noProof/>
        </w:rPr>
        <w:t xml:space="preserve"> </w:t>
      </w:r>
      <w:r w:rsidR="00EB00F8">
        <w:rPr>
          <w:noProof/>
          <w:lang w:eastAsia="zh-CN"/>
        </w:rPr>
        <w:drawing>
          <wp:inline distT="0" distB="0" distL="0" distR="0" wp14:anchorId="188AEF70" wp14:editId="062EFC5D">
            <wp:extent cx="2947916" cy="1904209"/>
            <wp:effectExtent l="0" t="0" r="508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6614" cy="1909827"/>
                    </a:xfrm>
                    <a:prstGeom prst="rect">
                      <a:avLst/>
                    </a:prstGeom>
                  </pic:spPr>
                </pic:pic>
              </a:graphicData>
            </a:graphic>
          </wp:inline>
        </w:drawing>
      </w:r>
    </w:p>
    <w:p w14:paraId="000052BD" w14:textId="671E104F" w:rsidR="004D6065" w:rsidRDefault="00EB00F8" w:rsidP="00567499">
      <w:pPr>
        <w:snapToGrid w:val="0"/>
        <w:spacing w:line="360" w:lineRule="auto"/>
        <w:jc w:val="both"/>
      </w:pPr>
      <w:r>
        <w:rPr>
          <w:noProof/>
          <w:lang w:eastAsia="zh-CN"/>
        </w:rPr>
        <w:drawing>
          <wp:inline distT="0" distB="0" distL="0" distR="0" wp14:anchorId="076494D9" wp14:editId="37CC91FF">
            <wp:extent cx="3189768" cy="204716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5224" cy="2057083"/>
                    </a:xfrm>
                    <a:prstGeom prst="rect">
                      <a:avLst/>
                    </a:prstGeom>
                  </pic:spPr>
                </pic:pic>
              </a:graphicData>
            </a:graphic>
          </wp:inline>
        </w:drawing>
      </w:r>
    </w:p>
    <w:p w14:paraId="000609E2" w14:textId="114AA469" w:rsidR="00A77B3E" w:rsidRPr="00D465BC" w:rsidRDefault="001D27AD" w:rsidP="00567499">
      <w:pPr>
        <w:snapToGrid w:val="0"/>
        <w:spacing w:line="360" w:lineRule="auto"/>
        <w:jc w:val="both"/>
      </w:pPr>
      <w:r>
        <w:rPr>
          <w:rFonts w:ascii="Book Antiqua" w:eastAsia="Book Antiqua" w:hAnsi="Book Antiqua" w:cs="Book Antiqua"/>
          <w:b/>
          <w:bCs/>
          <w:color w:val="000000"/>
        </w:rPr>
        <w:t xml:space="preserve">Figure 8 Survival analysis of the identified mRNAs in the </w:t>
      </w:r>
      <w:proofErr w:type="spellStart"/>
      <w:r>
        <w:rPr>
          <w:rFonts w:ascii="Book Antiqua" w:eastAsia="Book Antiqua" w:hAnsi="Book Antiqua" w:cs="Book Antiqua"/>
          <w:b/>
          <w:bCs/>
          <w:color w:val="000000"/>
        </w:rPr>
        <w:t>circRNA</w:t>
      </w:r>
      <w:proofErr w:type="spellEnd"/>
      <w:r>
        <w:rPr>
          <w:rFonts w:ascii="Book Antiqua" w:eastAsia="Book Antiqua" w:hAnsi="Book Antiqua" w:cs="Book Antiqua"/>
          <w:b/>
          <w:bCs/>
          <w:color w:val="000000"/>
        </w:rPr>
        <w:t>-miRNA-mRNA regulatory network using the</w:t>
      </w:r>
      <w:r w:rsidR="00D465BC" w:rsidRPr="00D465BC">
        <w:rPr>
          <w:rFonts w:ascii="Book Antiqua" w:eastAsia="Book Antiqua" w:hAnsi="Book Antiqua" w:cs="Book Antiqua"/>
          <w:b/>
          <w:bCs/>
          <w:color w:val="000000"/>
        </w:rPr>
        <w:t xml:space="preserve"> cancer genome atlas </w:t>
      </w:r>
      <w:r>
        <w:rPr>
          <w:rFonts w:ascii="Book Antiqua" w:eastAsia="Book Antiqua" w:hAnsi="Book Antiqua" w:cs="Book Antiqua"/>
          <w:b/>
          <w:bCs/>
          <w:color w:val="000000"/>
        </w:rPr>
        <w:t>database</w:t>
      </w:r>
      <w:r>
        <w:rPr>
          <w:rFonts w:ascii="Book Antiqua" w:eastAsia="Book Antiqua" w:hAnsi="Book Antiqua" w:cs="Book Antiqua"/>
          <w:color w:val="000000"/>
        </w:rPr>
        <w:t xml:space="preserve">. A: Comparison between patients with upregulation or downregulation of </w:t>
      </w:r>
      <w:r>
        <w:rPr>
          <w:rFonts w:ascii="Book Antiqua" w:eastAsia="Book Antiqua" w:hAnsi="Book Antiqua" w:cs="Book Antiqua"/>
          <w:i/>
          <w:iCs/>
          <w:color w:val="000000"/>
        </w:rPr>
        <w:t>CA2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465B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465BC">
        <w:rPr>
          <w:rFonts w:ascii="Book Antiqua" w:eastAsia="Book Antiqua" w:hAnsi="Book Antiqua" w:cs="Book Antiqua"/>
          <w:color w:val="000000"/>
        </w:rPr>
        <w:t xml:space="preserve"> </w:t>
      </w:r>
      <w:r>
        <w:rPr>
          <w:rFonts w:ascii="Book Antiqua" w:eastAsia="Book Antiqua" w:hAnsi="Book Antiqua" w:cs="Book Antiqua"/>
          <w:color w:val="000000"/>
        </w:rPr>
        <w:t xml:space="preserve">0.002); B: Comparison between patients with upregulation or downregulation of </w:t>
      </w:r>
      <w:r>
        <w:rPr>
          <w:rFonts w:ascii="Book Antiqua" w:eastAsia="Book Antiqua" w:hAnsi="Book Antiqua" w:cs="Book Antiqua"/>
          <w:i/>
          <w:iCs/>
          <w:color w:val="000000"/>
        </w:rPr>
        <w:t>ITLN1</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465B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465BC">
        <w:rPr>
          <w:rFonts w:ascii="Book Antiqua" w:eastAsia="Book Antiqua" w:hAnsi="Book Antiqua" w:cs="Book Antiqua"/>
          <w:color w:val="000000"/>
        </w:rPr>
        <w:t xml:space="preserve"> </w:t>
      </w:r>
      <w:r>
        <w:rPr>
          <w:rFonts w:ascii="Book Antiqua" w:eastAsia="Book Antiqua" w:hAnsi="Book Antiqua" w:cs="Book Antiqua"/>
          <w:color w:val="000000"/>
        </w:rPr>
        <w:t xml:space="preserve">0.001); C: Comparison between patients with upregulation or downregulation of </w:t>
      </w:r>
      <w:r>
        <w:rPr>
          <w:rFonts w:ascii="Book Antiqua" w:eastAsia="Book Antiqua" w:hAnsi="Book Antiqua" w:cs="Book Antiqua"/>
          <w:i/>
          <w:iCs/>
          <w:color w:val="000000"/>
        </w:rPr>
        <w:t>LRRC19</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465B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465BC">
        <w:rPr>
          <w:rFonts w:ascii="Book Antiqua" w:eastAsia="Book Antiqua" w:hAnsi="Book Antiqua" w:cs="Book Antiqua"/>
          <w:color w:val="000000"/>
        </w:rPr>
        <w:t xml:space="preserve"> </w:t>
      </w:r>
      <w:r>
        <w:rPr>
          <w:rFonts w:ascii="Book Antiqua" w:eastAsia="Book Antiqua" w:hAnsi="Book Antiqua" w:cs="Book Antiqua"/>
          <w:color w:val="000000"/>
        </w:rPr>
        <w:t xml:space="preserve">0.032). </w:t>
      </w:r>
    </w:p>
    <w:p w14:paraId="02B5DBFA" w14:textId="167418D8" w:rsidR="00A77B3E" w:rsidRPr="00D628EA" w:rsidRDefault="004D6065" w:rsidP="00567499">
      <w:pPr>
        <w:snapToGrid w:val="0"/>
        <w:spacing w:line="360" w:lineRule="auto"/>
        <w:jc w:val="both"/>
        <w:rPr>
          <w:lang w:val="pt-BR"/>
        </w:rPr>
      </w:pPr>
      <w:r w:rsidRPr="00D465BC">
        <w:br w:type="page"/>
      </w:r>
      <w:r>
        <w:rPr>
          <w:noProof/>
          <w:lang w:eastAsia="zh-CN"/>
        </w:rPr>
        <w:lastRenderedPageBreak/>
        <w:drawing>
          <wp:inline distT="0" distB="0" distL="0" distR="0" wp14:anchorId="7EE9E66A" wp14:editId="4EE1D3AB">
            <wp:extent cx="4691655" cy="337930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7946" cy="3383836"/>
                    </a:xfrm>
                    <a:prstGeom prst="rect">
                      <a:avLst/>
                    </a:prstGeom>
                  </pic:spPr>
                </pic:pic>
              </a:graphicData>
            </a:graphic>
          </wp:inline>
        </w:drawing>
      </w:r>
    </w:p>
    <w:p w14:paraId="15C4B421" w14:textId="2FCFA167" w:rsidR="00A77B3E" w:rsidRDefault="001D27AD" w:rsidP="00567499">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9 The </w:t>
      </w:r>
      <w:r w:rsidR="007E1246" w:rsidRPr="007E1246">
        <w:rPr>
          <w:rFonts w:ascii="Book Antiqua" w:eastAsia="Book Antiqua" w:hAnsi="Book Antiqua" w:cs="Book Antiqua"/>
          <w:b/>
          <w:bCs/>
          <w:color w:val="000000"/>
        </w:rPr>
        <w:t>competing endogenous RNA</w:t>
      </w:r>
      <w:r>
        <w:rPr>
          <w:rFonts w:ascii="Book Antiqua" w:eastAsia="Book Antiqua" w:hAnsi="Book Antiqua" w:cs="Book Antiqua"/>
          <w:b/>
          <w:bCs/>
          <w:color w:val="000000"/>
        </w:rPr>
        <w:t xml:space="preserve"> subnetwork associated with colorectal cancer prognosis.</w:t>
      </w:r>
      <w:r>
        <w:rPr>
          <w:rFonts w:ascii="Book Antiqua" w:eastAsia="Book Antiqua" w:hAnsi="Book Antiqua" w:cs="Book Antiqua"/>
          <w:color w:val="000000"/>
        </w:rPr>
        <w:t xml:space="preserve"> Based on mRNAs with potential for the clinical outcome prediction of colorectal cancer, a prognostic </w:t>
      </w:r>
      <w:r w:rsidR="007E1246">
        <w:rPr>
          <w:rFonts w:ascii="Book Antiqua" w:eastAsia="Book Antiqua" w:hAnsi="Book Antiqua" w:cs="Book Antiqua"/>
          <w:color w:val="000000"/>
        </w:rPr>
        <w:t>competing endogenous RNA</w:t>
      </w:r>
      <w:r>
        <w:rPr>
          <w:rFonts w:ascii="Book Antiqua" w:eastAsia="Book Antiqua" w:hAnsi="Book Antiqua" w:cs="Book Antiqua"/>
          <w:color w:val="000000"/>
        </w:rPr>
        <w:t xml:space="preserve"> subnetwork was successfully developed. Diamonds, triangles and ellipses represent </w:t>
      </w:r>
      <w:proofErr w:type="spellStart"/>
      <w:r w:rsidR="004932ED">
        <w:rPr>
          <w:rFonts w:ascii="Book Antiqua" w:eastAsia="Book Antiqua" w:hAnsi="Book Antiqua" w:cs="Book Antiqua"/>
          <w:color w:val="000000"/>
        </w:rPr>
        <w:t>circRNA</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4932ED">
        <w:rPr>
          <w:rFonts w:ascii="Book Antiqua" w:eastAsia="Book Antiqua" w:hAnsi="Book Antiqua" w:cs="Book Antiqua"/>
          <w:color w:val="000000"/>
        </w:rPr>
        <w:t>miRNA</w:t>
      </w:r>
      <w:r>
        <w:rPr>
          <w:rFonts w:ascii="Book Antiqua" w:eastAsia="Book Antiqua" w:hAnsi="Book Antiqua" w:cs="Book Antiqua"/>
          <w:color w:val="000000"/>
        </w:rPr>
        <w:t xml:space="preserve">s and mRNAs, respectively. </w:t>
      </w:r>
    </w:p>
    <w:p w14:paraId="01686FE8" w14:textId="78E0299E" w:rsidR="00792615" w:rsidRPr="005079AF" w:rsidRDefault="00792615" w:rsidP="00567499">
      <w:pPr>
        <w:snapToGrid w:val="0"/>
        <w:spacing w:line="360" w:lineRule="auto"/>
        <w:rPr>
          <w:rFonts w:ascii="Book Antiqua" w:hAnsi="Book Antiqua"/>
          <w:b/>
          <w:bCs/>
          <w:szCs w:val="28"/>
        </w:rPr>
      </w:pPr>
      <w:r>
        <w:rPr>
          <w:rFonts w:ascii="Book Antiqua" w:eastAsia="Book Antiqua" w:hAnsi="Book Antiqua" w:cs="Book Antiqua"/>
          <w:color w:val="000000"/>
        </w:rPr>
        <w:br w:type="page"/>
      </w:r>
      <w:r w:rsidRPr="005079AF">
        <w:rPr>
          <w:rFonts w:ascii="Book Antiqua" w:hAnsi="Book Antiqua"/>
          <w:b/>
          <w:bCs/>
          <w:szCs w:val="28"/>
        </w:rPr>
        <w:lastRenderedPageBreak/>
        <w:t xml:space="preserve">Table 1 Basic characteristics of 4 microarray datasets in </w:t>
      </w:r>
      <w:r w:rsidR="00EE4910">
        <w:rPr>
          <w:rFonts w:ascii="Book Antiqua" w:hAnsi="Book Antiqua"/>
          <w:b/>
          <w:bCs/>
          <w:szCs w:val="28"/>
        </w:rPr>
        <w:t>G</w:t>
      </w:r>
      <w:r w:rsidR="003E5E4E" w:rsidRPr="003E5E4E">
        <w:rPr>
          <w:rFonts w:ascii="Book Antiqua" w:hAnsi="Book Antiqua"/>
          <w:b/>
          <w:bCs/>
          <w:szCs w:val="28"/>
        </w:rPr>
        <w:t xml:space="preserve">roup on </w:t>
      </w:r>
      <w:r w:rsidR="00EE4910">
        <w:rPr>
          <w:rFonts w:ascii="Book Antiqua" w:hAnsi="Book Antiqua"/>
          <w:b/>
          <w:bCs/>
          <w:szCs w:val="28"/>
          <w:lang w:eastAsia="zh-CN"/>
        </w:rPr>
        <w:t>E</w:t>
      </w:r>
      <w:r w:rsidR="003E5E4E" w:rsidRPr="003E5E4E">
        <w:rPr>
          <w:rFonts w:ascii="Book Antiqua" w:hAnsi="Book Antiqua"/>
          <w:b/>
          <w:bCs/>
          <w:szCs w:val="28"/>
        </w:rPr>
        <w:t xml:space="preserve">arth </w:t>
      </w:r>
      <w:r w:rsidR="00EE4910">
        <w:rPr>
          <w:rFonts w:ascii="Book Antiqua" w:hAnsi="Book Antiqua"/>
          <w:b/>
          <w:bCs/>
          <w:szCs w:val="28"/>
        </w:rPr>
        <w:t>O</w:t>
      </w:r>
      <w:r w:rsidR="003E5E4E" w:rsidRPr="003E5E4E">
        <w:rPr>
          <w:rFonts w:ascii="Book Antiqua" w:hAnsi="Book Antiqua"/>
          <w:b/>
          <w:bCs/>
          <w:szCs w:val="28"/>
        </w:rPr>
        <w:t>bservations</w:t>
      </w:r>
      <w:r w:rsidRPr="003E5E4E">
        <w:rPr>
          <w:rFonts w:ascii="Book Antiqua" w:hAnsi="Book Antiqua"/>
          <w:b/>
          <w:bCs/>
          <w:szCs w:val="28"/>
        </w:rPr>
        <w:t xml:space="preserve"> </w:t>
      </w:r>
      <w:r w:rsidRPr="005079AF">
        <w:rPr>
          <w:rFonts w:ascii="Book Antiqua" w:hAnsi="Book Antiqua"/>
          <w:b/>
          <w:bCs/>
          <w:szCs w:val="28"/>
        </w:rPr>
        <w:t xml:space="preserve">and </w:t>
      </w:r>
      <w:r w:rsidR="00EE4910">
        <w:rPr>
          <w:rFonts w:ascii="Book Antiqua" w:hAnsi="Book Antiqua"/>
          <w:b/>
          <w:bCs/>
          <w:szCs w:val="28"/>
        </w:rPr>
        <w:t>T</w:t>
      </w:r>
      <w:r w:rsidR="003E5E4E" w:rsidRPr="003E5E4E">
        <w:rPr>
          <w:rFonts w:ascii="Book Antiqua" w:hAnsi="Book Antiqua"/>
          <w:b/>
          <w:bCs/>
          <w:szCs w:val="28"/>
        </w:rPr>
        <w:t xml:space="preserve">he </w:t>
      </w:r>
      <w:r w:rsidR="00EE4910">
        <w:rPr>
          <w:rFonts w:ascii="Book Antiqua" w:hAnsi="Book Antiqua"/>
          <w:b/>
          <w:bCs/>
          <w:szCs w:val="28"/>
        </w:rPr>
        <w:t>C</w:t>
      </w:r>
      <w:r w:rsidR="003E5E4E" w:rsidRPr="003E5E4E">
        <w:rPr>
          <w:rFonts w:ascii="Book Antiqua" w:hAnsi="Book Antiqua"/>
          <w:b/>
          <w:bCs/>
          <w:szCs w:val="28"/>
        </w:rPr>
        <w:t xml:space="preserve">ancer </w:t>
      </w:r>
      <w:r w:rsidR="00EE4910">
        <w:rPr>
          <w:rFonts w:ascii="Book Antiqua" w:hAnsi="Book Antiqua"/>
          <w:b/>
          <w:bCs/>
          <w:szCs w:val="28"/>
        </w:rPr>
        <w:t>G</w:t>
      </w:r>
      <w:r w:rsidR="003E5E4E" w:rsidRPr="003E5E4E">
        <w:rPr>
          <w:rFonts w:ascii="Book Antiqua" w:hAnsi="Book Antiqua"/>
          <w:b/>
          <w:bCs/>
          <w:szCs w:val="28"/>
        </w:rPr>
        <w:t xml:space="preserve">enome </w:t>
      </w:r>
      <w:r w:rsidR="00EE4910">
        <w:rPr>
          <w:rFonts w:ascii="Book Antiqua" w:hAnsi="Book Antiqua"/>
          <w:b/>
          <w:bCs/>
          <w:szCs w:val="28"/>
        </w:rPr>
        <w:t>A</w:t>
      </w:r>
      <w:r w:rsidR="003E5E4E" w:rsidRPr="003E5E4E">
        <w:rPr>
          <w:rFonts w:ascii="Book Antiqua" w:hAnsi="Book Antiqua"/>
          <w:b/>
          <w:bCs/>
          <w:szCs w:val="28"/>
        </w:rPr>
        <w:t>tlas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117"/>
        <w:gridCol w:w="2537"/>
        <w:gridCol w:w="1827"/>
        <w:gridCol w:w="1503"/>
        <w:gridCol w:w="1376"/>
      </w:tblGrid>
      <w:tr w:rsidR="00792615" w:rsidRPr="005079AF" w14:paraId="29C2D4C2" w14:textId="77777777" w:rsidTr="00D306C6">
        <w:trPr>
          <w:trHeight w:val="429"/>
        </w:trPr>
        <w:tc>
          <w:tcPr>
            <w:tcW w:w="1131" w:type="pct"/>
            <w:vMerge w:val="restart"/>
            <w:tcBorders>
              <w:top w:val="single" w:sz="4" w:space="0" w:color="auto"/>
              <w:left w:val="nil"/>
              <w:right w:val="nil"/>
            </w:tcBorders>
            <w:noWrap/>
            <w:hideMark/>
          </w:tcPr>
          <w:p w14:paraId="1E99C3F1" w14:textId="77777777" w:rsidR="00792615" w:rsidRPr="005079AF" w:rsidRDefault="00792615" w:rsidP="00567499">
            <w:pPr>
              <w:snapToGrid w:val="0"/>
              <w:spacing w:line="360" w:lineRule="auto"/>
              <w:jc w:val="both"/>
              <w:rPr>
                <w:rFonts w:ascii="Book Antiqua" w:eastAsia="SimSun" w:hAnsi="Book Antiqua"/>
                <w:b/>
                <w:bCs/>
                <w:color w:val="000000"/>
              </w:rPr>
            </w:pPr>
            <w:r w:rsidRPr="005079AF">
              <w:rPr>
                <w:rFonts w:ascii="Book Antiqua" w:hAnsi="Book Antiqua"/>
                <w:b/>
                <w:bCs/>
              </w:rPr>
              <w:t>Data source</w:t>
            </w:r>
          </w:p>
        </w:tc>
        <w:tc>
          <w:tcPr>
            <w:tcW w:w="1355" w:type="pct"/>
            <w:vMerge w:val="restart"/>
            <w:tcBorders>
              <w:top w:val="single" w:sz="4" w:space="0" w:color="auto"/>
              <w:left w:val="nil"/>
              <w:right w:val="nil"/>
            </w:tcBorders>
            <w:noWrap/>
            <w:hideMark/>
          </w:tcPr>
          <w:p w14:paraId="0BFEB1EC" w14:textId="77777777" w:rsidR="00792615" w:rsidRPr="005079AF" w:rsidRDefault="00792615" w:rsidP="00567499">
            <w:pPr>
              <w:snapToGrid w:val="0"/>
              <w:spacing w:line="360" w:lineRule="auto"/>
              <w:jc w:val="both"/>
              <w:rPr>
                <w:rFonts w:ascii="Book Antiqua" w:eastAsia="SimSun" w:hAnsi="Book Antiqua"/>
                <w:b/>
                <w:bCs/>
                <w:color w:val="000000"/>
              </w:rPr>
            </w:pPr>
            <w:r w:rsidRPr="005079AF">
              <w:rPr>
                <w:rFonts w:ascii="Book Antiqua" w:hAnsi="Book Antiqua"/>
                <w:b/>
                <w:bCs/>
              </w:rPr>
              <w:t>Platform</w:t>
            </w:r>
          </w:p>
        </w:tc>
        <w:tc>
          <w:tcPr>
            <w:tcW w:w="976" w:type="pct"/>
            <w:vMerge w:val="restart"/>
            <w:tcBorders>
              <w:top w:val="single" w:sz="4" w:space="0" w:color="auto"/>
              <w:left w:val="nil"/>
              <w:right w:val="nil"/>
            </w:tcBorders>
            <w:noWrap/>
            <w:hideMark/>
          </w:tcPr>
          <w:p w14:paraId="44FC60A5" w14:textId="77777777" w:rsidR="00792615" w:rsidRPr="005079AF" w:rsidRDefault="00792615" w:rsidP="00567499">
            <w:pPr>
              <w:snapToGrid w:val="0"/>
              <w:spacing w:line="360" w:lineRule="auto"/>
              <w:jc w:val="both"/>
              <w:rPr>
                <w:rFonts w:ascii="Book Antiqua" w:eastAsia="SimSun" w:hAnsi="Book Antiqua"/>
                <w:b/>
                <w:bCs/>
                <w:color w:val="000000"/>
              </w:rPr>
            </w:pPr>
            <w:r w:rsidRPr="005079AF">
              <w:rPr>
                <w:rFonts w:ascii="Book Antiqua" w:hAnsi="Book Antiqua"/>
                <w:b/>
                <w:bCs/>
              </w:rPr>
              <w:t>Series</w:t>
            </w:r>
          </w:p>
        </w:tc>
        <w:tc>
          <w:tcPr>
            <w:tcW w:w="1538" w:type="pct"/>
            <w:gridSpan w:val="2"/>
            <w:tcBorders>
              <w:top w:val="single" w:sz="4" w:space="0" w:color="auto"/>
              <w:left w:val="nil"/>
              <w:bottom w:val="single" w:sz="4" w:space="0" w:color="auto"/>
              <w:right w:val="nil"/>
            </w:tcBorders>
            <w:noWrap/>
            <w:hideMark/>
          </w:tcPr>
          <w:p w14:paraId="21147B17" w14:textId="77777777" w:rsidR="00792615" w:rsidRPr="005079AF" w:rsidRDefault="00792615" w:rsidP="00567499">
            <w:pPr>
              <w:snapToGrid w:val="0"/>
              <w:spacing w:line="360" w:lineRule="auto"/>
              <w:jc w:val="both"/>
              <w:rPr>
                <w:rFonts w:ascii="Book Antiqua" w:hAnsi="Book Antiqua"/>
                <w:b/>
                <w:bCs/>
              </w:rPr>
            </w:pPr>
            <w:r w:rsidRPr="005079AF">
              <w:rPr>
                <w:rFonts w:ascii="Book Antiqua" w:hAnsi="Book Antiqua"/>
                <w:b/>
                <w:bCs/>
              </w:rPr>
              <w:t>Sample size</w:t>
            </w:r>
          </w:p>
        </w:tc>
      </w:tr>
      <w:tr w:rsidR="00792615" w:rsidRPr="005079AF" w14:paraId="4EA18AC8" w14:textId="77777777" w:rsidTr="00D306C6">
        <w:trPr>
          <w:trHeight w:val="428"/>
        </w:trPr>
        <w:tc>
          <w:tcPr>
            <w:tcW w:w="1131" w:type="pct"/>
            <w:vMerge/>
            <w:tcBorders>
              <w:left w:val="nil"/>
              <w:bottom w:val="single" w:sz="4" w:space="0" w:color="auto"/>
              <w:right w:val="nil"/>
            </w:tcBorders>
            <w:noWrap/>
          </w:tcPr>
          <w:p w14:paraId="3268E12E" w14:textId="77777777" w:rsidR="00792615" w:rsidRPr="005079AF" w:rsidRDefault="00792615" w:rsidP="00567499">
            <w:pPr>
              <w:snapToGrid w:val="0"/>
              <w:spacing w:line="360" w:lineRule="auto"/>
              <w:jc w:val="both"/>
              <w:rPr>
                <w:rFonts w:ascii="Book Antiqua" w:hAnsi="Book Antiqua"/>
                <w:b/>
                <w:bCs/>
              </w:rPr>
            </w:pPr>
          </w:p>
        </w:tc>
        <w:tc>
          <w:tcPr>
            <w:tcW w:w="1355" w:type="pct"/>
            <w:vMerge/>
            <w:tcBorders>
              <w:left w:val="nil"/>
              <w:bottom w:val="single" w:sz="4" w:space="0" w:color="auto"/>
              <w:right w:val="nil"/>
            </w:tcBorders>
            <w:noWrap/>
          </w:tcPr>
          <w:p w14:paraId="7C937F38" w14:textId="77777777" w:rsidR="00792615" w:rsidRPr="005079AF" w:rsidRDefault="00792615" w:rsidP="00567499">
            <w:pPr>
              <w:snapToGrid w:val="0"/>
              <w:spacing w:line="360" w:lineRule="auto"/>
              <w:jc w:val="both"/>
              <w:rPr>
                <w:rFonts w:ascii="Book Antiqua" w:hAnsi="Book Antiqua"/>
                <w:b/>
                <w:bCs/>
              </w:rPr>
            </w:pPr>
          </w:p>
        </w:tc>
        <w:tc>
          <w:tcPr>
            <w:tcW w:w="976" w:type="pct"/>
            <w:vMerge/>
            <w:tcBorders>
              <w:left w:val="nil"/>
              <w:bottom w:val="single" w:sz="4" w:space="0" w:color="auto"/>
              <w:right w:val="nil"/>
            </w:tcBorders>
            <w:noWrap/>
          </w:tcPr>
          <w:p w14:paraId="41847B8F" w14:textId="77777777" w:rsidR="00792615" w:rsidRPr="005079AF" w:rsidRDefault="00792615" w:rsidP="00567499">
            <w:pPr>
              <w:snapToGrid w:val="0"/>
              <w:spacing w:line="360" w:lineRule="auto"/>
              <w:jc w:val="both"/>
              <w:rPr>
                <w:rFonts w:ascii="Book Antiqua" w:hAnsi="Book Antiqua"/>
                <w:b/>
                <w:bCs/>
              </w:rPr>
            </w:pPr>
          </w:p>
        </w:tc>
        <w:tc>
          <w:tcPr>
            <w:tcW w:w="803" w:type="pct"/>
            <w:tcBorders>
              <w:top w:val="single" w:sz="4" w:space="0" w:color="auto"/>
              <w:left w:val="nil"/>
              <w:bottom w:val="single" w:sz="4" w:space="0" w:color="auto"/>
              <w:right w:val="nil"/>
            </w:tcBorders>
            <w:noWrap/>
          </w:tcPr>
          <w:p w14:paraId="1284EC4D" w14:textId="77777777" w:rsidR="00792615" w:rsidRPr="005079AF" w:rsidRDefault="00792615" w:rsidP="00567499">
            <w:pPr>
              <w:snapToGrid w:val="0"/>
              <w:spacing w:line="360" w:lineRule="auto"/>
              <w:jc w:val="both"/>
              <w:rPr>
                <w:rFonts w:ascii="Book Antiqua" w:hAnsi="Book Antiqua"/>
                <w:b/>
                <w:bCs/>
              </w:rPr>
            </w:pPr>
            <w:r w:rsidRPr="005079AF">
              <w:rPr>
                <w:rFonts w:ascii="Book Antiqua" w:hAnsi="Book Antiqua"/>
                <w:b/>
                <w:bCs/>
              </w:rPr>
              <w:t>Tumor</w:t>
            </w:r>
          </w:p>
        </w:tc>
        <w:tc>
          <w:tcPr>
            <w:tcW w:w="735" w:type="pct"/>
            <w:tcBorders>
              <w:top w:val="single" w:sz="4" w:space="0" w:color="auto"/>
              <w:left w:val="nil"/>
              <w:bottom w:val="single" w:sz="4" w:space="0" w:color="auto"/>
              <w:right w:val="nil"/>
            </w:tcBorders>
          </w:tcPr>
          <w:p w14:paraId="106A072A" w14:textId="77777777" w:rsidR="00792615" w:rsidRPr="005079AF" w:rsidRDefault="00792615" w:rsidP="00567499">
            <w:pPr>
              <w:snapToGrid w:val="0"/>
              <w:spacing w:line="360" w:lineRule="auto"/>
              <w:jc w:val="both"/>
              <w:rPr>
                <w:rFonts w:ascii="Book Antiqua" w:hAnsi="Book Antiqua"/>
                <w:b/>
                <w:bCs/>
              </w:rPr>
            </w:pPr>
            <w:r w:rsidRPr="005079AF">
              <w:rPr>
                <w:rFonts w:ascii="Book Antiqua" w:hAnsi="Book Antiqua"/>
                <w:b/>
                <w:bCs/>
              </w:rPr>
              <w:t>Control</w:t>
            </w:r>
          </w:p>
        </w:tc>
      </w:tr>
      <w:tr w:rsidR="00792615" w:rsidRPr="005079AF" w14:paraId="3350BDC5" w14:textId="77777777" w:rsidTr="003E5E4E">
        <w:trPr>
          <w:trHeight w:val="521"/>
        </w:trPr>
        <w:tc>
          <w:tcPr>
            <w:tcW w:w="1131" w:type="pct"/>
            <w:tcBorders>
              <w:top w:val="single" w:sz="4" w:space="0" w:color="auto"/>
              <w:left w:val="nil"/>
              <w:bottom w:val="nil"/>
              <w:right w:val="nil"/>
            </w:tcBorders>
            <w:noWrap/>
            <w:hideMark/>
          </w:tcPr>
          <w:p w14:paraId="26560129" w14:textId="77777777" w:rsidR="00792615" w:rsidRPr="005079AF" w:rsidRDefault="00792615" w:rsidP="00567499">
            <w:pPr>
              <w:snapToGrid w:val="0"/>
              <w:spacing w:line="360" w:lineRule="auto"/>
              <w:jc w:val="both"/>
              <w:rPr>
                <w:rFonts w:ascii="Book Antiqua" w:eastAsia="SimSun" w:hAnsi="Book Antiqua"/>
                <w:color w:val="000000"/>
              </w:rPr>
            </w:pPr>
            <w:proofErr w:type="spellStart"/>
            <w:r w:rsidRPr="005079AF">
              <w:rPr>
                <w:rFonts w:ascii="Book Antiqua" w:hAnsi="Book Antiqua"/>
              </w:rPr>
              <w:t>circRNA</w:t>
            </w:r>
            <w:proofErr w:type="spellEnd"/>
          </w:p>
        </w:tc>
        <w:tc>
          <w:tcPr>
            <w:tcW w:w="1355" w:type="pct"/>
            <w:tcBorders>
              <w:top w:val="single" w:sz="4" w:space="0" w:color="auto"/>
              <w:left w:val="nil"/>
              <w:bottom w:val="nil"/>
              <w:right w:val="nil"/>
            </w:tcBorders>
            <w:noWrap/>
            <w:hideMark/>
          </w:tcPr>
          <w:p w14:paraId="4C7747F4" w14:textId="77777777" w:rsidR="00792615" w:rsidRPr="005079AF" w:rsidRDefault="00792615" w:rsidP="00567499">
            <w:pPr>
              <w:snapToGrid w:val="0"/>
              <w:spacing w:line="360" w:lineRule="auto"/>
              <w:ind w:right="960"/>
              <w:jc w:val="both"/>
              <w:rPr>
                <w:rFonts w:ascii="Book Antiqua" w:eastAsia="SimSun" w:hAnsi="Book Antiqua"/>
                <w:color w:val="000000"/>
              </w:rPr>
            </w:pPr>
            <w:r w:rsidRPr="005079AF">
              <w:rPr>
                <w:rFonts w:ascii="Book Antiqua" w:hAnsi="Book Antiqua"/>
              </w:rPr>
              <w:t>GPL19978</w:t>
            </w:r>
          </w:p>
        </w:tc>
        <w:tc>
          <w:tcPr>
            <w:tcW w:w="976" w:type="pct"/>
            <w:tcBorders>
              <w:top w:val="single" w:sz="4" w:space="0" w:color="auto"/>
              <w:left w:val="nil"/>
              <w:bottom w:val="nil"/>
              <w:right w:val="nil"/>
            </w:tcBorders>
            <w:noWrap/>
            <w:hideMark/>
          </w:tcPr>
          <w:p w14:paraId="17102F1D"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GSE126095</w:t>
            </w:r>
          </w:p>
        </w:tc>
        <w:tc>
          <w:tcPr>
            <w:tcW w:w="803" w:type="pct"/>
            <w:tcBorders>
              <w:top w:val="single" w:sz="4" w:space="0" w:color="auto"/>
              <w:left w:val="nil"/>
              <w:bottom w:val="nil"/>
              <w:right w:val="nil"/>
            </w:tcBorders>
            <w:noWrap/>
            <w:hideMark/>
          </w:tcPr>
          <w:p w14:paraId="62EC2C59"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10</w:t>
            </w:r>
          </w:p>
        </w:tc>
        <w:tc>
          <w:tcPr>
            <w:tcW w:w="735" w:type="pct"/>
            <w:tcBorders>
              <w:top w:val="single" w:sz="4" w:space="0" w:color="auto"/>
              <w:left w:val="nil"/>
              <w:bottom w:val="nil"/>
              <w:right w:val="nil"/>
            </w:tcBorders>
          </w:tcPr>
          <w:p w14:paraId="196E30BF"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eastAsia="SimSun" w:hAnsi="Book Antiqua"/>
                <w:color w:val="000000"/>
              </w:rPr>
              <w:t>10</w:t>
            </w:r>
          </w:p>
        </w:tc>
      </w:tr>
      <w:tr w:rsidR="00792615" w:rsidRPr="005079AF" w14:paraId="74579552" w14:textId="77777777" w:rsidTr="003E5E4E">
        <w:trPr>
          <w:trHeight w:val="424"/>
        </w:trPr>
        <w:tc>
          <w:tcPr>
            <w:tcW w:w="1131" w:type="pct"/>
            <w:tcBorders>
              <w:top w:val="nil"/>
              <w:left w:val="nil"/>
              <w:bottom w:val="nil"/>
              <w:right w:val="nil"/>
            </w:tcBorders>
            <w:noWrap/>
            <w:hideMark/>
          </w:tcPr>
          <w:p w14:paraId="3B8CF2C0"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miRNA</w:t>
            </w:r>
          </w:p>
        </w:tc>
        <w:tc>
          <w:tcPr>
            <w:tcW w:w="1355" w:type="pct"/>
            <w:tcBorders>
              <w:top w:val="nil"/>
              <w:left w:val="nil"/>
              <w:bottom w:val="nil"/>
              <w:right w:val="nil"/>
            </w:tcBorders>
            <w:noWrap/>
            <w:hideMark/>
          </w:tcPr>
          <w:p w14:paraId="294994D4"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GPL11487</w:t>
            </w:r>
          </w:p>
        </w:tc>
        <w:tc>
          <w:tcPr>
            <w:tcW w:w="976" w:type="pct"/>
            <w:tcBorders>
              <w:top w:val="nil"/>
              <w:left w:val="nil"/>
              <w:bottom w:val="nil"/>
              <w:right w:val="nil"/>
            </w:tcBorders>
            <w:noWrap/>
            <w:hideMark/>
          </w:tcPr>
          <w:p w14:paraId="06DF6422"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GSE41655</w:t>
            </w:r>
          </w:p>
        </w:tc>
        <w:tc>
          <w:tcPr>
            <w:tcW w:w="803" w:type="pct"/>
            <w:tcBorders>
              <w:top w:val="nil"/>
              <w:left w:val="nil"/>
              <w:bottom w:val="nil"/>
              <w:right w:val="nil"/>
            </w:tcBorders>
            <w:noWrap/>
            <w:hideMark/>
          </w:tcPr>
          <w:p w14:paraId="43111B08" w14:textId="77777777" w:rsidR="00792615" w:rsidRPr="005079AF" w:rsidRDefault="00792615" w:rsidP="00567499">
            <w:pPr>
              <w:snapToGrid w:val="0"/>
              <w:spacing w:line="360" w:lineRule="auto"/>
              <w:jc w:val="both"/>
              <w:rPr>
                <w:rFonts w:ascii="Book Antiqua" w:eastAsia="SimSun" w:hAnsi="Book Antiqua"/>
                <w:color w:val="000000"/>
              </w:rPr>
            </w:pPr>
            <w:r>
              <w:rPr>
                <w:rFonts w:ascii="Book Antiqua" w:hAnsi="Book Antiqua"/>
              </w:rPr>
              <w:t>3</w:t>
            </w:r>
            <w:r w:rsidRPr="005079AF">
              <w:rPr>
                <w:rFonts w:ascii="Book Antiqua" w:hAnsi="Book Antiqua"/>
              </w:rPr>
              <w:t>3</w:t>
            </w:r>
          </w:p>
        </w:tc>
        <w:tc>
          <w:tcPr>
            <w:tcW w:w="735" w:type="pct"/>
            <w:tcBorders>
              <w:top w:val="nil"/>
              <w:left w:val="nil"/>
              <w:bottom w:val="nil"/>
              <w:right w:val="nil"/>
            </w:tcBorders>
          </w:tcPr>
          <w:p w14:paraId="0246E1F8"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eastAsia="SimSun" w:hAnsi="Book Antiqua"/>
                <w:color w:val="000000"/>
              </w:rPr>
              <w:t>15</w:t>
            </w:r>
          </w:p>
        </w:tc>
      </w:tr>
      <w:tr w:rsidR="00792615" w:rsidRPr="005079AF" w14:paraId="2DA85359" w14:textId="77777777" w:rsidTr="003E5E4E">
        <w:trPr>
          <w:trHeight w:val="430"/>
        </w:trPr>
        <w:tc>
          <w:tcPr>
            <w:tcW w:w="1131" w:type="pct"/>
            <w:tcBorders>
              <w:top w:val="nil"/>
              <w:left w:val="nil"/>
              <w:bottom w:val="nil"/>
              <w:right w:val="nil"/>
            </w:tcBorders>
            <w:noWrap/>
            <w:hideMark/>
          </w:tcPr>
          <w:p w14:paraId="5F086DC4"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mRNA</w:t>
            </w:r>
          </w:p>
        </w:tc>
        <w:tc>
          <w:tcPr>
            <w:tcW w:w="1355" w:type="pct"/>
            <w:tcBorders>
              <w:top w:val="nil"/>
              <w:left w:val="nil"/>
              <w:bottom w:val="nil"/>
              <w:right w:val="nil"/>
            </w:tcBorders>
            <w:noWrap/>
            <w:hideMark/>
          </w:tcPr>
          <w:p w14:paraId="6167D63D"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GPL6480</w:t>
            </w:r>
          </w:p>
        </w:tc>
        <w:tc>
          <w:tcPr>
            <w:tcW w:w="976" w:type="pct"/>
            <w:tcBorders>
              <w:top w:val="nil"/>
              <w:left w:val="nil"/>
              <w:bottom w:val="nil"/>
              <w:right w:val="nil"/>
            </w:tcBorders>
            <w:noWrap/>
            <w:hideMark/>
          </w:tcPr>
          <w:p w14:paraId="6792BA6C"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GSE41657</w:t>
            </w:r>
          </w:p>
        </w:tc>
        <w:tc>
          <w:tcPr>
            <w:tcW w:w="803" w:type="pct"/>
            <w:tcBorders>
              <w:top w:val="nil"/>
              <w:left w:val="nil"/>
              <w:bottom w:val="nil"/>
              <w:right w:val="nil"/>
            </w:tcBorders>
            <w:noWrap/>
            <w:hideMark/>
          </w:tcPr>
          <w:p w14:paraId="0306C064"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25</w:t>
            </w:r>
          </w:p>
        </w:tc>
        <w:tc>
          <w:tcPr>
            <w:tcW w:w="735" w:type="pct"/>
            <w:tcBorders>
              <w:top w:val="nil"/>
              <w:left w:val="nil"/>
              <w:bottom w:val="nil"/>
              <w:right w:val="nil"/>
            </w:tcBorders>
          </w:tcPr>
          <w:p w14:paraId="350F792C"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eastAsia="SimSun" w:hAnsi="Book Antiqua"/>
                <w:color w:val="000000"/>
              </w:rPr>
              <w:t>12</w:t>
            </w:r>
          </w:p>
        </w:tc>
      </w:tr>
      <w:tr w:rsidR="00792615" w:rsidRPr="005079AF" w14:paraId="55FE970B" w14:textId="77777777" w:rsidTr="00D306C6">
        <w:trPr>
          <w:trHeight w:val="282"/>
        </w:trPr>
        <w:tc>
          <w:tcPr>
            <w:tcW w:w="1131" w:type="pct"/>
            <w:tcBorders>
              <w:top w:val="nil"/>
              <w:left w:val="nil"/>
              <w:bottom w:val="single" w:sz="4" w:space="0" w:color="auto"/>
              <w:right w:val="nil"/>
            </w:tcBorders>
            <w:noWrap/>
            <w:hideMark/>
          </w:tcPr>
          <w:p w14:paraId="2D9236F4"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mRNA</w:t>
            </w:r>
          </w:p>
        </w:tc>
        <w:tc>
          <w:tcPr>
            <w:tcW w:w="1355" w:type="pct"/>
            <w:tcBorders>
              <w:top w:val="nil"/>
              <w:left w:val="nil"/>
              <w:bottom w:val="single" w:sz="4" w:space="0" w:color="auto"/>
              <w:right w:val="nil"/>
            </w:tcBorders>
            <w:noWrap/>
            <w:hideMark/>
          </w:tcPr>
          <w:p w14:paraId="5D52FC44"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TCGA</w:t>
            </w:r>
          </w:p>
        </w:tc>
        <w:tc>
          <w:tcPr>
            <w:tcW w:w="976" w:type="pct"/>
            <w:tcBorders>
              <w:top w:val="nil"/>
              <w:left w:val="nil"/>
              <w:bottom w:val="single" w:sz="4" w:space="0" w:color="auto"/>
              <w:right w:val="nil"/>
            </w:tcBorders>
            <w:noWrap/>
            <w:hideMark/>
          </w:tcPr>
          <w:p w14:paraId="53A49D6F"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None</w:t>
            </w:r>
          </w:p>
        </w:tc>
        <w:tc>
          <w:tcPr>
            <w:tcW w:w="803" w:type="pct"/>
            <w:tcBorders>
              <w:top w:val="nil"/>
              <w:left w:val="nil"/>
              <w:bottom w:val="single" w:sz="4" w:space="0" w:color="auto"/>
              <w:right w:val="nil"/>
            </w:tcBorders>
            <w:noWrap/>
            <w:hideMark/>
          </w:tcPr>
          <w:p w14:paraId="6D389844"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hAnsi="Book Antiqua"/>
              </w:rPr>
              <w:t>488</w:t>
            </w:r>
          </w:p>
        </w:tc>
        <w:tc>
          <w:tcPr>
            <w:tcW w:w="735" w:type="pct"/>
            <w:tcBorders>
              <w:top w:val="nil"/>
              <w:left w:val="nil"/>
              <w:bottom w:val="single" w:sz="4" w:space="0" w:color="auto"/>
              <w:right w:val="nil"/>
            </w:tcBorders>
          </w:tcPr>
          <w:p w14:paraId="2F366CF4" w14:textId="77777777" w:rsidR="00792615" w:rsidRPr="005079AF" w:rsidRDefault="00792615" w:rsidP="00567499">
            <w:pPr>
              <w:snapToGrid w:val="0"/>
              <w:spacing w:line="360" w:lineRule="auto"/>
              <w:jc w:val="both"/>
              <w:rPr>
                <w:rFonts w:ascii="Book Antiqua" w:eastAsia="SimSun" w:hAnsi="Book Antiqua"/>
                <w:color w:val="000000"/>
              </w:rPr>
            </w:pPr>
            <w:r w:rsidRPr="005079AF">
              <w:rPr>
                <w:rFonts w:ascii="Book Antiqua" w:eastAsia="SimSun" w:hAnsi="Book Antiqua"/>
                <w:color w:val="000000"/>
              </w:rPr>
              <w:t>42</w:t>
            </w:r>
          </w:p>
        </w:tc>
      </w:tr>
    </w:tbl>
    <w:p w14:paraId="22F56900" w14:textId="1CC6791B" w:rsidR="00792615" w:rsidRPr="00AB5C83" w:rsidRDefault="00792615" w:rsidP="00567499">
      <w:pPr>
        <w:snapToGrid w:val="0"/>
        <w:spacing w:line="360" w:lineRule="auto"/>
        <w:jc w:val="both"/>
        <w:rPr>
          <w:rFonts w:ascii="Book Antiqua" w:hAnsi="Book Antiqua"/>
          <w:szCs w:val="28"/>
        </w:rPr>
      </w:pPr>
      <w:r w:rsidRPr="00AB5C83">
        <w:rPr>
          <w:rFonts w:ascii="Book Antiqua" w:hAnsi="Book Antiqua"/>
          <w:szCs w:val="28"/>
        </w:rPr>
        <w:t xml:space="preserve">TCGA: The </w:t>
      </w:r>
      <w:r w:rsidR="00EE4910">
        <w:rPr>
          <w:rFonts w:ascii="Book Antiqua" w:hAnsi="Book Antiqua"/>
          <w:szCs w:val="28"/>
        </w:rPr>
        <w:t>C</w:t>
      </w:r>
      <w:r w:rsidRPr="00AB5C83">
        <w:rPr>
          <w:rFonts w:ascii="Book Antiqua" w:hAnsi="Book Antiqua"/>
          <w:szCs w:val="28"/>
        </w:rPr>
        <w:t xml:space="preserve">ancer </w:t>
      </w:r>
      <w:r w:rsidR="00EE4910">
        <w:rPr>
          <w:rFonts w:ascii="Book Antiqua" w:hAnsi="Book Antiqua"/>
          <w:szCs w:val="28"/>
        </w:rPr>
        <w:t>G</w:t>
      </w:r>
      <w:r w:rsidRPr="00AB5C83">
        <w:rPr>
          <w:rFonts w:ascii="Book Antiqua" w:hAnsi="Book Antiqua"/>
          <w:szCs w:val="28"/>
        </w:rPr>
        <w:t xml:space="preserve">enome </w:t>
      </w:r>
      <w:r w:rsidR="00EE4910">
        <w:rPr>
          <w:rFonts w:ascii="Book Antiqua" w:hAnsi="Book Antiqua"/>
          <w:szCs w:val="28"/>
        </w:rPr>
        <w:t>A</w:t>
      </w:r>
      <w:r w:rsidRPr="00AB5C83">
        <w:rPr>
          <w:rFonts w:ascii="Book Antiqua" w:hAnsi="Book Antiqua"/>
          <w:szCs w:val="28"/>
        </w:rPr>
        <w:t>tlas.</w:t>
      </w:r>
    </w:p>
    <w:p w14:paraId="5AA254E9" w14:textId="3BC9DCF9" w:rsidR="00792615" w:rsidRPr="00AB5C83" w:rsidRDefault="00792615" w:rsidP="00567499">
      <w:pPr>
        <w:snapToGrid w:val="0"/>
        <w:spacing w:line="360" w:lineRule="auto"/>
        <w:jc w:val="both"/>
      </w:pPr>
    </w:p>
    <w:sectPr w:rsidR="00792615" w:rsidRPr="00AB5C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95BA8" w14:textId="77777777" w:rsidR="00902BA6" w:rsidRDefault="00902BA6" w:rsidP="00D628EA">
      <w:r>
        <w:separator/>
      </w:r>
    </w:p>
  </w:endnote>
  <w:endnote w:type="continuationSeparator" w:id="0">
    <w:p w14:paraId="540A6EF1" w14:textId="77777777" w:rsidR="00902BA6" w:rsidRDefault="00902BA6" w:rsidP="00D6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EA350" w14:textId="77777777" w:rsidR="009C1D09" w:rsidRPr="00D628EA" w:rsidRDefault="009C1D09" w:rsidP="00D628EA">
    <w:pPr>
      <w:pStyle w:val="Footer"/>
      <w:jc w:val="right"/>
      <w:rPr>
        <w:rFonts w:ascii="Book Antiqua" w:eastAsia="BatangChe" w:hAnsi="Book Antiqua"/>
        <w:color w:val="000000" w:themeColor="text1"/>
        <w:sz w:val="24"/>
        <w:szCs w:val="24"/>
      </w:rPr>
    </w:pPr>
    <w:r w:rsidRPr="00D628EA">
      <w:rPr>
        <w:rFonts w:ascii="Book Antiqua" w:eastAsia="BatangChe" w:hAnsi="Book Antiqua"/>
        <w:color w:val="000000" w:themeColor="text1"/>
        <w:sz w:val="24"/>
        <w:szCs w:val="24"/>
        <w:lang w:val="zh-CN" w:eastAsia="zh-CN"/>
      </w:rPr>
      <w:t xml:space="preserve"> </w:t>
    </w:r>
    <w:r w:rsidRPr="00D628EA">
      <w:rPr>
        <w:rFonts w:ascii="Book Antiqua" w:eastAsia="BatangChe" w:hAnsi="Book Antiqua"/>
        <w:color w:val="000000" w:themeColor="text1"/>
        <w:sz w:val="24"/>
        <w:szCs w:val="24"/>
      </w:rPr>
      <w:fldChar w:fldCharType="begin"/>
    </w:r>
    <w:r w:rsidRPr="00D628EA">
      <w:rPr>
        <w:rFonts w:ascii="Book Antiqua" w:eastAsia="BatangChe" w:hAnsi="Book Antiqua"/>
        <w:color w:val="000000" w:themeColor="text1"/>
        <w:sz w:val="24"/>
        <w:szCs w:val="24"/>
      </w:rPr>
      <w:instrText>PAGE  \* Arabic  \* MERGEFORMAT</w:instrText>
    </w:r>
    <w:r w:rsidRPr="00D628EA">
      <w:rPr>
        <w:rFonts w:ascii="Book Antiqua" w:eastAsia="BatangChe" w:hAnsi="Book Antiqua"/>
        <w:color w:val="000000" w:themeColor="text1"/>
        <w:sz w:val="24"/>
        <w:szCs w:val="24"/>
      </w:rPr>
      <w:fldChar w:fldCharType="separate"/>
    </w:r>
    <w:r w:rsidR="00B26DE0" w:rsidRPr="00B26DE0">
      <w:rPr>
        <w:rFonts w:ascii="Book Antiqua" w:eastAsia="BatangChe" w:hAnsi="Book Antiqua"/>
        <w:noProof/>
        <w:color w:val="000000" w:themeColor="text1"/>
        <w:sz w:val="24"/>
        <w:szCs w:val="24"/>
        <w:lang w:val="zh-CN" w:eastAsia="zh-CN"/>
      </w:rPr>
      <w:t>44</w:t>
    </w:r>
    <w:r w:rsidRPr="00D628EA">
      <w:rPr>
        <w:rFonts w:ascii="Book Antiqua" w:eastAsia="BatangChe" w:hAnsi="Book Antiqua"/>
        <w:color w:val="000000" w:themeColor="text1"/>
        <w:sz w:val="24"/>
        <w:szCs w:val="24"/>
      </w:rPr>
      <w:fldChar w:fldCharType="end"/>
    </w:r>
    <w:r w:rsidRPr="00D628EA">
      <w:rPr>
        <w:rFonts w:ascii="Book Antiqua" w:eastAsia="BatangChe" w:hAnsi="Book Antiqua"/>
        <w:color w:val="000000" w:themeColor="text1"/>
        <w:sz w:val="24"/>
        <w:szCs w:val="24"/>
        <w:lang w:val="zh-CN" w:eastAsia="zh-CN"/>
      </w:rPr>
      <w:t xml:space="preserve"> / </w:t>
    </w:r>
    <w:r w:rsidRPr="00D628EA">
      <w:rPr>
        <w:rFonts w:ascii="Book Antiqua" w:eastAsia="BatangChe" w:hAnsi="Book Antiqua"/>
        <w:color w:val="000000" w:themeColor="text1"/>
        <w:sz w:val="24"/>
        <w:szCs w:val="24"/>
      </w:rPr>
      <w:fldChar w:fldCharType="begin"/>
    </w:r>
    <w:r w:rsidRPr="00D628EA">
      <w:rPr>
        <w:rFonts w:ascii="Book Antiqua" w:eastAsia="BatangChe" w:hAnsi="Book Antiqua"/>
        <w:color w:val="000000" w:themeColor="text1"/>
        <w:sz w:val="24"/>
        <w:szCs w:val="24"/>
      </w:rPr>
      <w:instrText>NUMPAGES  \* Arabic  \* MERGEFORMAT</w:instrText>
    </w:r>
    <w:r w:rsidRPr="00D628EA">
      <w:rPr>
        <w:rFonts w:ascii="Book Antiqua" w:eastAsia="BatangChe" w:hAnsi="Book Antiqua"/>
        <w:color w:val="000000" w:themeColor="text1"/>
        <w:sz w:val="24"/>
        <w:szCs w:val="24"/>
      </w:rPr>
      <w:fldChar w:fldCharType="separate"/>
    </w:r>
    <w:r w:rsidR="00B26DE0" w:rsidRPr="00B26DE0">
      <w:rPr>
        <w:rFonts w:ascii="Book Antiqua" w:eastAsia="BatangChe" w:hAnsi="Book Antiqua"/>
        <w:noProof/>
        <w:color w:val="000000" w:themeColor="text1"/>
        <w:sz w:val="24"/>
        <w:szCs w:val="24"/>
        <w:lang w:val="zh-CN" w:eastAsia="zh-CN"/>
      </w:rPr>
      <w:t>44</w:t>
    </w:r>
    <w:r w:rsidRPr="00D628EA">
      <w:rPr>
        <w:rFonts w:ascii="Book Antiqua" w:eastAsia="BatangChe" w:hAnsi="Book Antiqua"/>
        <w:color w:val="000000" w:themeColor="text1"/>
        <w:sz w:val="24"/>
        <w:szCs w:val="24"/>
      </w:rPr>
      <w:fldChar w:fldCharType="end"/>
    </w:r>
  </w:p>
  <w:p w14:paraId="114DC553" w14:textId="77777777" w:rsidR="009C1D09" w:rsidRPr="00D628EA" w:rsidRDefault="009C1D09" w:rsidP="00D628EA">
    <w:pPr>
      <w:pStyle w:val="Footer"/>
      <w:jc w:val="right"/>
      <w:rPr>
        <w:rFonts w:ascii="Book Antiqua" w:eastAsia="BatangChe"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B90E5" w14:textId="77777777" w:rsidR="00902BA6" w:rsidRDefault="00902BA6" w:rsidP="00D628EA">
      <w:r>
        <w:separator/>
      </w:r>
    </w:p>
  </w:footnote>
  <w:footnote w:type="continuationSeparator" w:id="0">
    <w:p w14:paraId="0A4780D4" w14:textId="77777777" w:rsidR="00902BA6" w:rsidRDefault="00902BA6" w:rsidP="00D628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C46"/>
    <w:rsid w:val="00027E3E"/>
    <w:rsid w:val="000329F4"/>
    <w:rsid w:val="000B269A"/>
    <w:rsid w:val="000E6CA8"/>
    <w:rsid w:val="00135365"/>
    <w:rsid w:val="001451D3"/>
    <w:rsid w:val="001D27AD"/>
    <w:rsid w:val="001E5BD9"/>
    <w:rsid w:val="002572F9"/>
    <w:rsid w:val="00281950"/>
    <w:rsid w:val="00296ED2"/>
    <w:rsid w:val="002C22C8"/>
    <w:rsid w:val="002E4B1C"/>
    <w:rsid w:val="00302C96"/>
    <w:rsid w:val="00342406"/>
    <w:rsid w:val="00353074"/>
    <w:rsid w:val="003B23CD"/>
    <w:rsid w:val="003E5E4E"/>
    <w:rsid w:val="004932ED"/>
    <w:rsid w:val="004B1744"/>
    <w:rsid w:val="004D6065"/>
    <w:rsid w:val="004F2577"/>
    <w:rsid w:val="00532E94"/>
    <w:rsid w:val="00551F4B"/>
    <w:rsid w:val="00567499"/>
    <w:rsid w:val="005D6960"/>
    <w:rsid w:val="00675B98"/>
    <w:rsid w:val="006A7556"/>
    <w:rsid w:val="006F1AD4"/>
    <w:rsid w:val="006F3C78"/>
    <w:rsid w:val="00715379"/>
    <w:rsid w:val="0076690B"/>
    <w:rsid w:val="00792615"/>
    <w:rsid w:val="007C038C"/>
    <w:rsid w:val="007E1246"/>
    <w:rsid w:val="007E3EA8"/>
    <w:rsid w:val="0089024A"/>
    <w:rsid w:val="008B1699"/>
    <w:rsid w:val="008D6C5B"/>
    <w:rsid w:val="008E100E"/>
    <w:rsid w:val="00902BA6"/>
    <w:rsid w:val="009C1D09"/>
    <w:rsid w:val="009D39A7"/>
    <w:rsid w:val="00A45291"/>
    <w:rsid w:val="00A77B3E"/>
    <w:rsid w:val="00AB5C83"/>
    <w:rsid w:val="00B258D4"/>
    <w:rsid w:val="00B26DE0"/>
    <w:rsid w:val="00B27757"/>
    <w:rsid w:val="00B4108C"/>
    <w:rsid w:val="00B578FF"/>
    <w:rsid w:val="00B6725D"/>
    <w:rsid w:val="00BA542F"/>
    <w:rsid w:val="00BC514B"/>
    <w:rsid w:val="00BD3C0C"/>
    <w:rsid w:val="00BE5000"/>
    <w:rsid w:val="00C06C6F"/>
    <w:rsid w:val="00C13EEC"/>
    <w:rsid w:val="00C21FF6"/>
    <w:rsid w:val="00C26309"/>
    <w:rsid w:val="00C50360"/>
    <w:rsid w:val="00C57554"/>
    <w:rsid w:val="00C836E7"/>
    <w:rsid w:val="00C84E8A"/>
    <w:rsid w:val="00CA2A55"/>
    <w:rsid w:val="00CE083D"/>
    <w:rsid w:val="00CF62C6"/>
    <w:rsid w:val="00D306C6"/>
    <w:rsid w:val="00D465BC"/>
    <w:rsid w:val="00D628EA"/>
    <w:rsid w:val="00D74B8C"/>
    <w:rsid w:val="00DB4536"/>
    <w:rsid w:val="00DB6641"/>
    <w:rsid w:val="00DC13A0"/>
    <w:rsid w:val="00DF707E"/>
    <w:rsid w:val="00E33F9F"/>
    <w:rsid w:val="00E51255"/>
    <w:rsid w:val="00E731B9"/>
    <w:rsid w:val="00E931EA"/>
    <w:rsid w:val="00EB00F8"/>
    <w:rsid w:val="00EB1C60"/>
    <w:rsid w:val="00ED1874"/>
    <w:rsid w:val="00EE4910"/>
    <w:rsid w:val="00EF5B49"/>
    <w:rsid w:val="00F04AA4"/>
    <w:rsid w:val="00F15DE3"/>
    <w:rsid w:val="00F360B0"/>
    <w:rsid w:val="00F40510"/>
    <w:rsid w:val="00F6524C"/>
    <w:rsid w:val="00FE05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C7B86"/>
  <w15:docId w15:val="{F116E91C-67CC-401F-9234-A0B4B07E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8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628EA"/>
    <w:rPr>
      <w:sz w:val="18"/>
      <w:szCs w:val="18"/>
    </w:rPr>
  </w:style>
  <w:style w:type="paragraph" w:styleId="Footer">
    <w:name w:val="footer"/>
    <w:basedOn w:val="Normal"/>
    <w:link w:val="FooterChar"/>
    <w:uiPriority w:val="99"/>
    <w:unhideWhenUsed/>
    <w:rsid w:val="00D628E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628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8161</Words>
  <Characters>46193</Characters>
  <Application>Microsoft Office Word</Application>
  <DocSecurity>0</DocSecurity>
  <Lines>1649</Lines>
  <Paragraphs>1025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Tengfei Yin</dc:creator>
  <cp:lastModifiedBy>Donna Fox</cp:lastModifiedBy>
  <cp:revision>2</cp:revision>
  <dcterms:created xsi:type="dcterms:W3CDTF">2021-04-28T03:27:00Z</dcterms:created>
  <dcterms:modified xsi:type="dcterms:W3CDTF">2021-04-28T03:27:00Z</dcterms:modified>
</cp:coreProperties>
</file>