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23F13"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92AA1F4"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61530</w:t>
      </w:r>
    </w:p>
    <w:p w14:paraId="0393F69F"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E68D13B" w14:textId="77777777" w:rsidR="00A77B3E" w:rsidRDefault="00A77B3E" w:rsidP="00567499">
      <w:pPr>
        <w:snapToGrid w:val="0"/>
        <w:spacing w:line="360" w:lineRule="auto"/>
        <w:jc w:val="both"/>
      </w:pPr>
    </w:p>
    <w:p w14:paraId="762FA95C" w14:textId="4EDCFD06" w:rsidR="00A77B3E" w:rsidRDefault="006A7556" w:rsidP="00567499">
      <w:pPr>
        <w:snapToGrid w:val="0"/>
        <w:spacing w:line="360" w:lineRule="auto"/>
        <w:jc w:val="both"/>
      </w:pPr>
      <w:r>
        <w:rPr>
          <w:rFonts w:ascii="Book Antiqua" w:eastAsia="Book Antiqua" w:hAnsi="Book Antiqua" w:cs="Book Antiqua"/>
          <w:b/>
          <w:i/>
          <w:color w:val="000000"/>
        </w:rPr>
        <w:t>Basic</w:t>
      </w:r>
      <w:r w:rsidR="001D27AD">
        <w:rPr>
          <w:rFonts w:ascii="Book Antiqua" w:eastAsia="Book Antiqua" w:hAnsi="Book Antiqua" w:cs="Book Antiqua"/>
          <w:b/>
          <w:i/>
          <w:color w:val="000000"/>
        </w:rPr>
        <w:t xml:space="preserve"> Study</w:t>
      </w:r>
    </w:p>
    <w:p w14:paraId="1D8121F7" w14:textId="77777777" w:rsidR="00A77B3E" w:rsidRDefault="001D27AD" w:rsidP="00567499">
      <w:pPr>
        <w:snapToGrid w:val="0"/>
        <w:spacing w:line="360" w:lineRule="auto"/>
        <w:jc w:val="both"/>
      </w:pPr>
      <w:r>
        <w:rPr>
          <w:rFonts w:ascii="Book Antiqua" w:eastAsia="Book Antiqua" w:hAnsi="Book Antiqua" w:cs="Book Antiqua"/>
          <w:b/>
          <w:bCs/>
          <w:color w:val="000000"/>
        </w:rPr>
        <w:t>Identification of the circRNA-miRNA-mRNA regulatory network and its prognostic effect in colorectal cancer</w:t>
      </w:r>
    </w:p>
    <w:p w14:paraId="7E00B7CD" w14:textId="77777777" w:rsidR="00A77B3E" w:rsidRDefault="00A77B3E" w:rsidP="00567499">
      <w:pPr>
        <w:snapToGrid w:val="0"/>
        <w:spacing w:line="360" w:lineRule="auto"/>
        <w:jc w:val="both"/>
      </w:pPr>
    </w:p>
    <w:p w14:paraId="7C9820B7" w14:textId="6429003C" w:rsidR="00A77B3E" w:rsidRDefault="00B4108C" w:rsidP="00567499">
      <w:pPr>
        <w:snapToGrid w:val="0"/>
        <w:spacing w:line="360" w:lineRule="auto"/>
        <w:jc w:val="both"/>
      </w:pPr>
      <w:r>
        <w:rPr>
          <w:rFonts w:ascii="Book Antiqua" w:eastAsia="Book Antiqua" w:hAnsi="Book Antiqua" w:cs="Book Antiqua"/>
          <w:color w:val="000000"/>
        </w:rPr>
        <w:t xml:space="preserve">Yin TF </w:t>
      </w:r>
      <w:r w:rsidRPr="00B4108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D27AD">
        <w:rPr>
          <w:rFonts w:ascii="Book Antiqua" w:eastAsia="Book Antiqua" w:hAnsi="Book Antiqua" w:cs="Book Antiqua"/>
          <w:color w:val="000000"/>
        </w:rPr>
        <w:t>CircRNA-miRNA-mRNA network in CRC</w:t>
      </w:r>
    </w:p>
    <w:p w14:paraId="732C0663" w14:textId="77777777" w:rsidR="00A77B3E" w:rsidRDefault="00A77B3E" w:rsidP="00567499">
      <w:pPr>
        <w:snapToGrid w:val="0"/>
        <w:spacing w:line="360" w:lineRule="auto"/>
        <w:jc w:val="both"/>
      </w:pPr>
    </w:p>
    <w:p w14:paraId="7AFDF22E" w14:textId="77777777" w:rsidR="00A77B3E" w:rsidRDefault="001D27AD" w:rsidP="00567499">
      <w:pPr>
        <w:snapToGrid w:val="0"/>
        <w:spacing w:line="360" w:lineRule="auto"/>
        <w:jc w:val="both"/>
      </w:pPr>
      <w:r>
        <w:rPr>
          <w:rFonts w:ascii="Book Antiqua" w:eastAsia="Book Antiqua" w:hAnsi="Book Antiqua" w:cs="Book Antiqua"/>
          <w:color w:val="000000"/>
        </w:rPr>
        <w:t>Teng-Fei Yin, Dong-Yan Zhao, Yuan-Chen Zhou, Qian-Qian Wang, Shu-Kun Yao</w:t>
      </w:r>
    </w:p>
    <w:p w14:paraId="7B40D667" w14:textId="77777777" w:rsidR="00A77B3E" w:rsidRDefault="00A77B3E" w:rsidP="00567499">
      <w:pPr>
        <w:snapToGrid w:val="0"/>
        <w:spacing w:line="360" w:lineRule="auto"/>
        <w:jc w:val="both"/>
      </w:pPr>
    </w:p>
    <w:p w14:paraId="148CCF3D" w14:textId="0905EC2C" w:rsidR="00E33F9F" w:rsidRPr="00E33F9F" w:rsidRDefault="001D27AD" w:rsidP="00E33F9F">
      <w:pPr>
        <w:snapToGrid w:val="0"/>
        <w:spacing w:line="360" w:lineRule="auto"/>
        <w:jc w:val="both"/>
      </w:pPr>
      <w:bookmarkStart w:id="0" w:name="_Hlk70493153"/>
      <w:r>
        <w:rPr>
          <w:rFonts w:ascii="Book Antiqua" w:eastAsia="Book Antiqua" w:hAnsi="Book Antiqua" w:cs="Book Antiqua"/>
          <w:b/>
          <w:bCs/>
          <w:color w:val="000000"/>
        </w:rPr>
        <w:t>Teng-Fei Yin, Yuan-Chen Zhou, Qian-Qian Wang,</w:t>
      </w:r>
      <w:r w:rsidR="00342406" w:rsidRPr="00342406">
        <w:rPr>
          <w:rFonts w:ascii="Book Antiqua" w:eastAsia="Book Antiqua" w:hAnsi="Book Antiqua" w:cs="Book Antiqua"/>
          <w:b/>
          <w:bCs/>
          <w:color w:val="000000"/>
        </w:rPr>
        <w:t xml:space="preserve"> </w:t>
      </w:r>
      <w:r w:rsidR="00342406">
        <w:rPr>
          <w:rFonts w:ascii="Book Antiqua" w:eastAsia="Book Antiqua" w:hAnsi="Book Antiqua" w:cs="Book Antiqua"/>
          <w:b/>
          <w:bCs/>
          <w:color w:val="000000"/>
        </w:rPr>
        <w:t>Shu-Kun Yao,</w:t>
      </w:r>
      <w:r>
        <w:rPr>
          <w:rFonts w:ascii="Book Antiqua" w:eastAsia="Book Antiqua" w:hAnsi="Book Antiqua" w:cs="Book Antiqua"/>
          <w:b/>
          <w:bCs/>
          <w:color w:val="000000"/>
        </w:rPr>
        <w:t xml:space="preserve"> </w:t>
      </w:r>
      <w:r w:rsidR="00E33F9F">
        <w:rPr>
          <w:rFonts w:ascii="Book Antiqua" w:hAnsi="Book Antiqua"/>
          <w:color w:val="000000"/>
          <w:shd w:val="clear" w:color="auto" w:fill="FFFFFF"/>
        </w:rPr>
        <w:t>G</w:t>
      </w:r>
      <w:r w:rsidR="00E33F9F">
        <w:rPr>
          <w:rFonts w:ascii="Book Antiqua" w:hAnsi="Book Antiqua" w:hint="eastAsia"/>
          <w:color w:val="000000"/>
          <w:shd w:val="clear" w:color="auto" w:fill="FFFFFF"/>
          <w:lang w:eastAsia="zh-CN"/>
        </w:rPr>
        <w:t>rad</w:t>
      </w:r>
      <w:r w:rsidR="00E33F9F">
        <w:rPr>
          <w:rFonts w:ascii="Book Antiqua" w:hAnsi="Book Antiqua"/>
          <w:color w:val="000000"/>
          <w:shd w:val="clear" w:color="auto" w:fill="FFFFFF"/>
        </w:rPr>
        <w:t>uate school</w:t>
      </w:r>
      <w:r w:rsidR="00BD3C0C">
        <w:rPr>
          <w:rFonts w:ascii="Book Antiqua" w:hAnsi="Book Antiqua"/>
          <w:color w:val="000000"/>
          <w:shd w:val="clear" w:color="auto" w:fill="FFFFFF"/>
        </w:rPr>
        <w:t xml:space="preserve">, </w:t>
      </w:r>
      <w:r w:rsidR="00BD3C0C">
        <w:rPr>
          <w:rFonts w:ascii="Book Antiqua" w:hAnsi="Book Antiqua"/>
          <w:color w:val="000000"/>
        </w:rPr>
        <w:t>Peking University China-Japan Friendship School of Clinical Medicine</w:t>
      </w:r>
      <w:r>
        <w:rPr>
          <w:rFonts w:ascii="Book Antiqua" w:eastAsia="Book Antiqua" w:hAnsi="Book Antiqua" w:cs="Book Antiqua"/>
          <w:color w:val="000000"/>
        </w:rPr>
        <w:t>, Beijing 100029, China</w:t>
      </w:r>
    </w:p>
    <w:bookmarkEnd w:id="0"/>
    <w:p w14:paraId="7A94019C" w14:textId="77777777" w:rsidR="00A77B3E" w:rsidRDefault="00A77B3E" w:rsidP="00567499">
      <w:pPr>
        <w:snapToGrid w:val="0"/>
        <w:spacing w:line="360" w:lineRule="auto"/>
        <w:jc w:val="both"/>
      </w:pPr>
    </w:p>
    <w:p w14:paraId="1B0EB436"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Dong-Yan Zhao, </w:t>
      </w:r>
      <w:r>
        <w:rPr>
          <w:rFonts w:ascii="Book Antiqua" w:eastAsia="Book Antiqua" w:hAnsi="Book Antiqua" w:cs="Book Antiqua"/>
          <w:color w:val="000000"/>
        </w:rPr>
        <w:t>Graduate School, Peking Union Medical College and Chinese Academy of Medical Sciences, Beijing 100730, China</w:t>
      </w:r>
    </w:p>
    <w:p w14:paraId="1E244845" w14:textId="77777777" w:rsidR="00A77B3E" w:rsidRDefault="00A77B3E" w:rsidP="00567499">
      <w:pPr>
        <w:snapToGrid w:val="0"/>
        <w:spacing w:line="360" w:lineRule="auto"/>
        <w:jc w:val="both"/>
      </w:pPr>
    </w:p>
    <w:p w14:paraId="70F551EF" w14:textId="1A067A62" w:rsidR="00A77B3E" w:rsidRDefault="001D27AD" w:rsidP="00567499">
      <w:pPr>
        <w:snapToGrid w:val="0"/>
        <w:spacing w:line="360" w:lineRule="auto"/>
        <w:jc w:val="both"/>
      </w:pPr>
      <w:r>
        <w:rPr>
          <w:rFonts w:ascii="Book Antiqua" w:eastAsia="Book Antiqua" w:hAnsi="Book Antiqua" w:cs="Book Antiqua"/>
          <w:b/>
          <w:bCs/>
          <w:color w:val="000000"/>
        </w:rPr>
        <w:t>Dong-Yan Zhao,</w:t>
      </w:r>
      <w:r w:rsidR="00C13EEC">
        <w:rPr>
          <w:rFonts w:ascii="Book Antiqua" w:eastAsia="Book Antiqua" w:hAnsi="Book Antiqua" w:cs="Book Antiqua"/>
          <w:b/>
          <w:bCs/>
          <w:color w:val="000000"/>
        </w:rPr>
        <w:t xml:space="preserve"> </w:t>
      </w:r>
      <w:r w:rsidR="00837CE5">
        <w:rPr>
          <w:rFonts w:ascii="Book Antiqua" w:eastAsia="Book Antiqua" w:hAnsi="Book Antiqua" w:cs="Book Antiqua"/>
          <w:b/>
          <w:bCs/>
          <w:color w:val="000000"/>
        </w:rPr>
        <w:t xml:space="preserve">Shu-Kun Yao, </w:t>
      </w:r>
      <w:r>
        <w:rPr>
          <w:rFonts w:ascii="Book Antiqua" w:eastAsia="Book Antiqua" w:hAnsi="Book Antiqua" w:cs="Book Antiqua"/>
          <w:color w:val="000000"/>
        </w:rPr>
        <w:t>Department of Gastroenterology, China-Japan Friendship Hospital, Beijing 100029, China</w:t>
      </w:r>
    </w:p>
    <w:p w14:paraId="0E5539FC" w14:textId="77777777" w:rsidR="00A77B3E" w:rsidRDefault="00A77B3E" w:rsidP="00567499">
      <w:pPr>
        <w:snapToGrid w:val="0"/>
        <w:spacing w:line="360" w:lineRule="auto"/>
        <w:jc w:val="both"/>
      </w:pPr>
    </w:p>
    <w:p w14:paraId="769E2B45"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Yin TF conceived and designed the study, performed formal analysis and prepared the original draft; Zhao DY participated in data analysis and manuscript revision; Zhou YC and Wang QQ reviewed and edited the manuscript critically; Yao SK designed and supervised the study, revised the manuscript, and obtained the funding; all authors read and approved the final manuscript.</w:t>
      </w:r>
    </w:p>
    <w:p w14:paraId="2CEEF525" w14:textId="77777777" w:rsidR="00A77B3E" w:rsidRDefault="00A77B3E" w:rsidP="00567499">
      <w:pPr>
        <w:snapToGrid w:val="0"/>
        <w:spacing w:line="360" w:lineRule="auto"/>
        <w:jc w:val="both"/>
      </w:pPr>
    </w:p>
    <w:p w14:paraId="663F68AD"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Key Development Plan for Precision Medicine Research, No. 2017YFC0910002.</w:t>
      </w:r>
    </w:p>
    <w:p w14:paraId="299FA5B1" w14:textId="77777777" w:rsidR="00A77B3E" w:rsidRDefault="00A77B3E" w:rsidP="00567499">
      <w:pPr>
        <w:snapToGrid w:val="0"/>
        <w:spacing w:line="360" w:lineRule="auto"/>
        <w:jc w:val="both"/>
      </w:pPr>
    </w:p>
    <w:p w14:paraId="6CA43FE7" w14:textId="30B72DCF" w:rsidR="00A77B3E" w:rsidRDefault="001D27AD" w:rsidP="00567499">
      <w:pPr>
        <w:snapToGrid w:val="0"/>
        <w:spacing w:line="360" w:lineRule="auto"/>
        <w:jc w:val="both"/>
      </w:pPr>
      <w:r>
        <w:rPr>
          <w:rFonts w:ascii="Book Antiqua" w:eastAsia="Book Antiqua" w:hAnsi="Book Antiqua" w:cs="Book Antiqua"/>
          <w:b/>
          <w:bCs/>
          <w:color w:val="000000"/>
        </w:rPr>
        <w:t xml:space="preserve">Corresponding author: Shu-Kun Yao, MD, PhD, Professor, </w:t>
      </w:r>
      <w:r w:rsidR="00E33F9F" w:rsidRPr="00E33F9F">
        <w:rPr>
          <w:rFonts w:ascii="Book Antiqua" w:hAnsi="Book Antiqua"/>
          <w:color w:val="000000"/>
        </w:rPr>
        <w:t>Graduate School, Peking University China-Japan Friendship School of Clinical Medicine, No. 2 Yinghua East Road, Chaoyang District, Beijing 100029, China</w:t>
      </w:r>
      <w:r>
        <w:rPr>
          <w:rFonts w:ascii="Book Antiqua" w:eastAsia="Book Antiqua" w:hAnsi="Book Antiqua" w:cs="Book Antiqua"/>
          <w:color w:val="000000"/>
        </w:rPr>
        <w:t>. shukunyao@126.com</w:t>
      </w:r>
    </w:p>
    <w:p w14:paraId="7434817E" w14:textId="77777777" w:rsidR="00A77B3E" w:rsidRDefault="00A77B3E" w:rsidP="00567499">
      <w:pPr>
        <w:snapToGrid w:val="0"/>
        <w:spacing w:line="360" w:lineRule="auto"/>
        <w:jc w:val="both"/>
      </w:pPr>
    </w:p>
    <w:p w14:paraId="1D58B34A"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11, 2020</w:t>
      </w:r>
    </w:p>
    <w:p w14:paraId="6EE2E2BD"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26, 2021</w:t>
      </w:r>
    </w:p>
    <w:p w14:paraId="11216A18" w14:textId="421A3D68" w:rsidR="00A77B3E" w:rsidRDefault="001D27AD" w:rsidP="00567499">
      <w:pPr>
        <w:snapToGrid w:val="0"/>
        <w:spacing w:line="360" w:lineRule="auto"/>
        <w:jc w:val="both"/>
      </w:pPr>
      <w:r>
        <w:rPr>
          <w:rFonts w:ascii="Book Antiqua" w:eastAsia="Book Antiqua" w:hAnsi="Book Antiqua" w:cs="Book Antiqua"/>
          <w:b/>
          <w:bCs/>
          <w:color w:val="000000"/>
        </w:rPr>
        <w:t xml:space="preserve">Accepted: </w:t>
      </w:r>
      <w:r w:rsidR="00BE5000" w:rsidRPr="00BE5000">
        <w:rPr>
          <w:rFonts w:ascii="Book Antiqua" w:eastAsia="Book Antiqua" w:hAnsi="Book Antiqua" w:cs="Book Antiqua"/>
          <w:color w:val="000000"/>
        </w:rPr>
        <w:t>February 26, 2021</w:t>
      </w:r>
    </w:p>
    <w:p w14:paraId="2367EC14" w14:textId="606F6276" w:rsidR="00A77B3E" w:rsidRDefault="001D27AD" w:rsidP="00567499">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Published online: </w:t>
      </w:r>
      <w:r w:rsidR="00D975AA">
        <w:rPr>
          <w:rFonts w:ascii="Book Antiqua" w:eastAsia="Book Antiqua" w:hAnsi="Book Antiqua" w:cs="Book Antiqua"/>
          <w:color w:val="000000"/>
        </w:rPr>
        <w:t>June</w:t>
      </w:r>
      <w:r w:rsidR="00D975AA" w:rsidRPr="00BE5000">
        <w:rPr>
          <w:rFonts w:ascii="Book Antiqua" w:eastAsia="Book Antiqua" w:hAnsi="Book Antiqua" w:cs="Book Antiqua"/>
          <w:color w:val="000000"/>
        </w:rPr>
        <w:t xml:space="preserve"> 26, 2021</w:t>
      </w:r>
    </w:p>
    <w:p w14:paraId="7CF4CCEA" w14:textId="77777777" w:rsidR="00D975AA" w:rsidRDefault="00D975AA" w:rsidP="00567499">
      <w:pPr>
        <w:snapToGrid w:val="0"/>
        <w:spacing w:line="360" w:lineRule="auto"/>
        <w:jc w:val="both"/>
        <w:rPr>
          <w:rFonts w:ascii="Book Antiqua" w:eastAsia="Book Antiqua" w:hAnsi="Book Antiqua" w:cs="Book Antiqua"/>
          <w:color w:val="000000"/>
        </w:rPr>
      </w:pPr>
    </w:p>
    <w:p w14:paraId="102DA12F" w14:textId="639241D7" w:rsidR="00D975AA" w:rsidRDefault="00D975AA" w:rsidP="00567499">
      <w:pPr>
        <w:snapToGrid w:val="0"/>
        <w:spacing w:line="360" w:lineRule="auto"/>
        <w:jc w:val="both"/>
        <w:sectPr w:rsidR="00D975AA">
          <w:footerReference w:type="default" r:id="rId7"/>
          <w:pgSz w:w="12240" w:h="15840"/>
          <w:pgMar w:top="1440" w:right="1440" w:bottom="1440" w:left="1440" w:header="720" w:footer="720" w:gutter="0"/>
          <w:cols w:space="720"/>
          <w:docGrid w:linePitch="360"/>
        </w:sectPr>
      </w:pPr>
    </w:p>
    <w:p w14:paraId="418D4032" w14:textId="77777777" w:rsidR="00A77B3E" w:rsidRDefault="001D27AD" w:rsidP="00567499">
      <w:pPr>
        <w:snapToGrid w:val="0"/>
        <w:spacing w:line="360" w:lineRule="auto"/>
        <w:jc w:val="both"/>
      </w:pPr>
      <w:r>
        <w:rPr>
          <w:rFonts w:ascii="Book Antiqua" w:eastAsia="Book Antiqua" w:hAnsi="Book Antiqua" w:cs="Book Antiqua"/>
          <w:b/>
          <w:color w:val="000000"/>
        </w:rPr>
        <w:t>Abstract</w:t>
      </w:r>
    </w:p>
    <w:p w14:paraId="62E499E0" w14:textId="77777777" w:rsidR="00A77B3E" w:rsidRDefault="001D27AD" w:rsidP="00567499">
      <w:pPr>
        <w:snapToGrid w:val="0"/>
        <w:spacing w:line="360" w:lineRule="auto"/>
        <w:jc w:val="both"/>
      </w:pPr>
      <w:r>
        <w:rPr>
          <w:rFonts w:ascii="Book Antiqua" w:eastAsia="Book Antiqua" w:hAnsi="Book Antiqua" w:cs="Book Antiqua"/>
          <w:color w:val="000000"/>
        </w:rPr>
        <w:t>BACKGROUND</w:t>
      </w:r>
    </w:p>
    <w:p w14:paraId="76F00CCD" w14:textId="69C6E2DA" w:rsidR="00A77B3E" w:rsidRDefault="001D27AD" w:rsidP="00D60419">
      <w:pPr>
        <w:spacing w:line="360" w:lineRule="auto"/>
        <w:jc w:val="both"/>
      </w:pPr>
      <w:r>
        <w:rPr>
          <w:rFonts w:ascii="Book Antiqua" w:eastAsia="Book Antiqua" w:hAnsi="Book Antiqua" w:cs="Book Antiqua"/>
          <w:color w:val="000000"/>
        </w:rPr>
        <w:t xml:space="preserve">The high morbidity and mortality of colorectal cancer (CRC) have posed great threats to human health. </w:t>
      </w:r>
      <w:r w:rsidR="00EB1315">
        <w:rPr>
          <w:rFonts w:ascii="Book Antiqua" w:eastAsia="Book Antiqua" w:hAnsi="Book Antiqua" w:cs="Book Antiqua"/>
          <w:color w:val="000000"/>
        </w:rPr>
        <w:t>Circular RNA (</w:t>
      </w:r>
      <w:r w:rsidR="00B4108C">
        <w:rPr>
          <w:rFonts w:ascii="Book Antiqua" w:eastAsia="Book Antiqua" w:hAnsi="Book Antiqua" w:cs="Book Antiqua"/>
          <w:color w:val="000000"/>
        </w:rPr>
        <w:t>C</w:t>
      </w:r>
      <w:r>
        <w:rPr>
          <w:rFonts w:ascii="Book Antiqua" w:eastAsia="Book Antiqua" w:hAnsi="Book Antiqua" w:cs="Book Antiqua"/>
          <w:color w:val="000000"/>
        </w:rPr>
        <w:t>ircRNA</w:t>
      </w:r>
      <w:r w:rsidR="00EB1315">
        <w:rPr>
          <w:rFonts w:ascii="Book Antiqua" w:eastAsia="Book Antiqua" w:hAnsi="Book Antiqua" w:cs="Book Antiqua"/>
          <w:color w:val="000000"/>
        </w:rPr>
        <w:t>)</w:t>
      </w:r>
      <w:r>
        <w:rPr>
          <w:rFonts w:ascii="Book Antiqua" w:eastAsia="Book Antiqua" w:hAnsi="Book Antiqua" w:cs="Book Antiqua"/>
          <w:color w:val="000000"/>
        </w:rPr>
        <w:t xml:space="preserve"> and </w:t>
      </w:r>
      <w:r w:rsidR="00EB1315">
        <w:rPr>
          <w:rFonts w:ascii="Book Antiqua" w:eastAsia="Book Antiqua" w:hAnsi="Book Antiqua" w:cs="Book Antiqua"/>
          <w:color w:val="000000"/>
        </w:rPr>
        <w:t>microRNA (</w:t>
      </w:r>
      <w:r>
        <w:rPr>
          <w:rFonts w:ascii="Book Antiqua" w:eastAsia="Book Antiqua" w:hAnsi="Book Antiqua" w:cs="Book Antiqua"/>
          <w:color w:val="000000"/>
        </w:rPr>
        <w:t>miRNA</w:t>
      </w:r>
      <w:r w:rsidR="00EB1315">
        <w:rPr>
          <w:rFonts w:ascii="Book Antiqua" w:eastAsia="Book Antiqua" w:hAnsi="Book Antiqua" w:cs="Book Antiqua"/>
          <w:color w:val="000000"/>
        </w:rPr>
        <w:t>)</w:t>
      </w:r>
      <w:r>
        <w:rPr>
          <w:rFonts w:ascii="Book Antiqua" w:eastAsia="Book Antiqua" w:hAnsi="Book Antiqua" w:cs="Book Antiqua"/>
          <w:color w:val="000000"/>
        </w:rPr>
        <w:t>, acting as competing endogenous RNAs (ceRNAs), have been found to play vital roles in carcinogenesis. However, the biological function of ceRNAs in CRC pathogenesis and prognosis remains largely unexplored.</w:t>
      </w:r>
      <w:r w:rsidR="008E3BFF">
        <w:rPr>
          <w:rFonts w:ascii="Book Antiqua" w:eastAsia="Book Antiqua" w:hAnsi="Book Antiqua" w:cs="Book Antiqua"/>
          <w:color w:val="000000"/>
        </w:rPr>
        <w:t xml:space="preserve"> </w:t>
      </w:r>
    </w:p>
    <w:p w14:paraId="7227F9EC" w14:textId="77777777" w:rsidR="00A77B3E" w:rsidRDefault="00A77B3E" w:rsidP="00567499">
      <w:pPr>
        <w:snapToGrid w:val="0"/>
        <w:spacing w:line="360" w:lineRule="auto"/>
        <w:jc w:val="both"/>
      </w:pPr>
    </w:p>
    <w:p w14:paraId="02ABD0D8" w14:textId="77777777" w:rsidR="00A77B3E" w:rsidRDefault="001D27AD" w:rsidP="00567499">
      <w:pPr>
        <w:snapToGrid w:val="0"/>
        <w:spacing w:line="360" w:lineRule="auto"/>
        <w:jc w:val="both"/>
      </w:pPr>
      <w:r>
        <w:rPr>
          <w:rFonts w:ascii="Book Antiqua" w:eastAsia="Book Antiqua" w:hAnsi="Book Antiqua" w:cs="Book Antiqua"/>
          <w:color w:val="000000"/>
        </w:rPr>
        <w:t>AIM</w:t>
      </w:r>
    </w:p>
    <w:p w14:paraId="1477968F" w14:textId="77777777" w:rsidR="00A77B3E" w:rsidRDefault="001D27AD" w:rsidP="00567499">
      <w:pPr>
        <w:snapToGrid w:val="0"/>
        <w:spacing w:line="360" w:lineRule="auto"/>
        <w:jc w:val="both"/>
      </w:pPr>
      <w:r>
        <w:rPr>
          <w:rFonts w:ascii="Book Antiqua" w:eastAsia="Book Antiqua" w:hAnsi="Book Antiqua" w:cs="Book Antiqua"/>
          <w:color w:val="000000"/>
        </w:rPr>
        <w:t>To identify the CRC-specific circRNA-miRNA-mRNA regulatory network and uncover the subnetwork associated with its prognosis.</w:t>
      </w:r>
    </w:p>
    <w:p w14:paraId="4AD7A63F" w14:textId="77777777" w:rsidR="00A77B3E" w:rsidRDefault="00A77B3E" w:rsidP="00567499">
      <w:pPr>
        <w:snapToGrid w:val="0"/>
        <w:spacing w:line="360" w:lineRule="auto"/>
        <w:jc w:val="both"/>
      </w:pPr>
    </w:p>
    <w:p w14:paraId="4E119581" w14:textId="77777777" w:rsidR="00A77B3E" w:rsidRDefault="001D27AD" w:rsidP="00567499">
      <w:pPr>
        <w:snapToGrid w:val="0"/>
        <w:spacing w:line="360" w:lineRule="auto"/>
        <w:jc w:val="both"/>
      </w:pPr>
      <w:r>
        <w:rPr>
          <w:rFonts w:ascii="Book Antiqua" w:eastAsia="Book Antiqua" w:hAnsi="Book Antiqua" w:cs="Book Antiqua"/>
          <w:color w:val="000000"/>
        </w:rPr>
        <w:t>METHODS</w:t>
      </w:r>
    </w:p>
    <w:p w14:paraId="13A14ECE" w14:textId="3A1D082B" w:rsidR="00A77B3E" w:rsidRDefault="001D27AD" w:rsidP="00567499">
      <w:pPr>
        <w:snapToGrid w:val="0"/>
        <w:spacing w:line="360" w:lineRule="auto"/>
        <w:jc w:val="both"/>
      </w:pPr>
      <w:r>
        <w:rPr>
          <w:rFonts w:ascii="Book Antiqua" w:eastAsia="Book Antiqua" w:hAnsi="Book Antiqua" w:cs="Book Antiqua"/>
          <w:color w:val="000000"/>
        </w:rPr>
        <w:t xml:space="preserve">CircRNAs, miRNAs and mRNAs differentially expressed (DE) in CRC tissues were selected by expression file analysis in the </w:t>
      </w:r>
      <w:r w:rsidR="00925FB5">
        <w:rPr>
          <w:rFonts w:ascii="Book Antiqua" w:eastAsia="Book Antiqua" w:hAnsi="Book Antiqua" w:cs="Book Antiqua"/>
          <w:color w:val="000000"/>
        </w:rPr>
        <w:t>Gene Expression Omnibus</w:t>
      </w:r>
      <w:r>
        <w:rPr>
          <w:rFonts w:ascii="Book Antiqua" w:eastAsia="Book Antiqua" w:hAnsi="Book Antiqua" w:cs="Book Antiqua"/>
          <w:color w:val="000000"/>
        </w:rPr>
        <w:t xml:space="preserve"> (GEO) database, and the downstream target molecules of circRNAs and miRNAs were predicted. Then, the intersection of differentially expressed RNA molecules with the predicted targets was determined to obtain a ceRNA network. </w:t>
      </w:r>
      <w:bookmarkStart w:id="1" w:name="_Hlk58506922"/>
      <w:r w:rsidR="00837CE5" w:rsidRPr="005079AF">
        <w:rPr>
          <w:rFonts w:ascii="Book Antiqua" w:hAnsi="Book Antiqua"/>
          <w:szCs w:val="28"/>
        </w:rPr>
        <w:t>Gene ontology (GO) and Kyoto Encyclopedia of Genes and Genomes (KEGG)</w:t>
      </w:r>
      <w:bookmarkEnd w:id="1"/>
      <w:r>
        <w:rPr>
          <w:rFonts w:ascii="Book Antiqua" w:eastAsia="Book Antiqua" w:hAnsi="Book Antiqua" w:cs="Book Antiqua"/>
          <w:color w:val="000000"/>
        </w:rPr>
        <w:t xml:space="preserve"> pathway analyses were conducted to elucidate the possible mechanism of pathogenesis. A survival analysis using the gene profiles and clinical information in The Cancer Genome Atlas (TCGA) database was performed to identify the mRNAs associated with the clinical outcome of CRC patients and construct a prognostic subnetwork.</w:t>
      </w:r>
    </w:p>
    <w:p w14:paraId="2E58FF9E" w14:textId="77777777" w:rsidR="00A77B3E" w:rsidRDefault="00A77B3E" w:rsidP="00567499">
      <w:pPr>
        <w:snapToGrid w:val="0"/>
        <w:spacing w:line="360" w:lineRule="auto"/>
        <w:jc w:val="both"/>
      </w:pPr>
    </w:p>
    <w:p w14:paraId="27530E84" w14:textId="77777777" w:rsidR="00A77B3E" w:rsidRDefault="001D27AD" w:rsidP="00567499">
      <w:pPr>
        <w:snapToGrid w:val="0"/>
        <w:spacing w:line="360" w:lineRule="auto"/>
        <w:jc w:val="both"/>
      </w:pPr>
      <w:r>
        <w:rPr>
          <w:rFonts w:ascii="Book Antiqua" w:eastAsia="Book Antiqua" w:hAnsi="Book Antiqua" w:cs="Book Antiqua"/>
          <w:color w:val="000000"/>
        </w:rPr>
        <w:t>RESULTS</w:t>
      </w:r>
    </w:p>
    <w:p w14:paraId="3860A7AF" w14:textId="4B4CA531" w:rsidR="00A77B3E" w:rsidRDefault="001D27AD" w:rsidP="00567499">
      <w:pPr>
        <w:snapToGrid w:val="0"/>
        <w:spacing w:line="360" w:lineRule="auto"/>
        <w:jc w:val="both"/>
      </w:pPr>
      <w:r>
        <w:rPr>
          <w:rFonts w:ascii="Book Antiqua" w:eastAsia="Book Antiqua" w:hAnsi="Book Antiqua" w:cs="Book Antiqua"/>
          <w:color w:val="000000"/>
        </w:rPr>
        <w:t xml:space="preserve">We downloaded three datasets (GSE126095, GSE41655 and GSE41657) of large-scale CRC samples from the GEO database. There were 55 DEcircRNAs, 114 DEmiRNAs and 267 DEmRNAs in CRC tissues compared with normal tissues. After intersecting these </w:t>
      </w:r>
      <w:r w:rsidR="00296ED2" w:rsidRPr="00551F4B">
        <w:rPr>
          <w:rFonts w:ascii="Book Antiqua" w:eastAsia="Book Antiqua" w:hAnsi="Book Antiqua" w:cs="Book Antiqua"/>
          <w:color w:val="000000"/>
        </w:rPr>
        <w:t>molecule</w:t>
      </w:r>
      <w:r w:rsidR="00296ED2">
        <w:rPr>
          <w:rFonts w:ascii="Book Antiqua" w:eastAsia="Book Antiqua" w:hAnsi="Book Antiqua" w:cs="Book Antiqua"/>
          <w:color w:val="000000"/>
        </w:rPr>
        <w:t>s</w:t>
      </w:r>
      <w:r>
        <w:rPr>
          <w:rFonts w:ascii="Book Antiqua" w:eastAsia="Book Antiqua" w:hAnsi="Book Antiqua" w:cs="Book Antiqua"/>
          <w:color w:val="000000"/>
        </w:rPr>
        <w:t xml:space="preserve"> with predicted targets, 19 circRNAs, 13 miRNAs and 28 mRNAs were chosen to develop a circRNA-miRNA-mRNA network. GO and KEGG functional enrichment analyses indicated that the retinol metabolic process, leukocyte chemotaxis, extracellular matrix remodeling, endoplasmic reticulum stress, alcohol dehydrogenase activity, gastric acid secretion, nitrogen metabolism and NOD-like receptor signaling pathway might participate in the tumorigenesis of CRC. After verifying the identified mRNA effect in the TCGA database, we finally recognized 3 mRNAs (</w:t>
      </w:r>
      <w:r>
        <w:rPr>
          <w:rFonts w:ascii="Book Antiqua" w:eastAsia="Book Antiqua" w:hAnsi="Book Antiqua" w:cs="Book Antiqua"/>
          <w:i/>
          <w:iCs/>
          <w:color w:val="000000"/>
        </w:rPr>
        <w:t xml:space="preserve">CA2, ITLN1 </w:t>
      </w:r>
      <w:r>
        <w:rPr>
          <w:rFonts w:ascii="Book Antiqua" w:eastAsia="Book Antiqua" w:hAnsi="Book Antiqua" w:cs="Book Antiqua"/>
          <w:color w:val="000000"/>
        </w:rPr>
        <w:t>and</w:t>
      </w:r>
      <w:r>
        <w:rPr>
          <w:rFonts w:ascii="Book Antiqua" w:eastAsia="Book Antiqua" w:hAnsi="Book Antiqua" w:cs="Book Antiqua"/>
          <w:i/>
          <w:iCs/>
          <w:color w:val="000000"/>
        </w:rPr>
        <w:t xml:space="preserve"> LRRC19</w:t>
      </w:r>
      <w:r>
        <w:rPr>
          <w:rFonts w:ascii="Book Antiqua" w:eastAsia="Book Antiqua" w:hAnsi="Book Antiqua" w:cs="Book Antiqua"/>
          <w:color w:val="000000"/>
        </w:rPr>
        <w:t xml:space="preserve">) that were significantly associated with the </w:t>
      </w:r>
      <w:r w:rsidR="00DF707E">
        <w:rPr>
          <w:rFonts w:ascii="Book Antiqua" w:eastAsia="Book Antiqua" w:hAnsi="Book Antiqua" w:cs="Book Antiqua"/>
          <w:color w:val="000000"/>
        </w:rPr>
        <w:t xml:space="preserve">overall </w:t>
      </w:r>
      <w:r>
        <w:rPr>
          <w:rFonts w:ascii="Book Antiqua" w:eastAsia="Book Antiqua" w:hAnsi="Book Antiqua" w:cs="Book Antiqua"/>
          <w:color w:val="000000"/>
        </w:rPr>
        <w:t>survival of CRC patients and constructed a ceRNA subnetwork including 5 circRNAs (hsa_circ_0080210, hsa_circ_0007158, hsa_circ_0000375, hsa_circ_0018909 and hsa_circ_0011536) and 3 miRNAs (hsa-miR-601, hsa-miR-671-5p and hsa-miR-765), which could contain innovative and noninvasive indicators for the early screening and prognostic prediction of CRC.</w:t>
      </w:r>
    </w:p>
    <w:p w14:paraId="6F0DB438" w14:textId="77777777" w:rsidR="00A77B3E" w:rsidRDefault="00A77B3E" w:rsidP="00567499">
      <w:pPr>
        <w:snapToGrid w:val="0"/>
        <w:spacing w:line="360" w:lineRule="auto"/>
        <w:jc w:val="both"/>
      </w:pPr>
    </w:p>
    <w:p w14:paraId="7BC7CBC4" w14:textId="77777777" w:rsidR="00A77B3E" w:rsidRDefault="001D27AD" w:rsidP="00567499">
      <w:pPr>
        <w:snapToGrid w:val="0"/>
        <w:spacing w:line="360" w:lineRule="auto"/>
        <w:jc w:val="both"/>
      </w:pPr>
      <w:r>
        <w:rPr>
          <w:rFonts w:ascii="Book Antiqua" w:eastAsia="Book Antiqua" w:hAnsi="Book Antiqua" w:cs="Book Antiqua"/>
          <w:color w:val="000000"/>
        </w:rPr>
        <w:t>CONCLUSION</w:t>
      </w:r>
    </w:p>
    <w:p w14:paraId="3AE10F1F" w14:textId="77777777" w:rsidR="00A77B3E" w:rsidRDefault="001D27AD" w:rsidP="00567499">
      <w:pPr>
        <w:snapToGrid w:val="0"/>
        <w:spacing w:line="360" w:lineRule="auto"/>
        <w:jc w:val="both"/>
      </w:pPr>
      <w:r>
        <w:rPr>
          <w:rFonts w:ascii="Book Antiqua" w:eastAsia="Book Antiqua" w:hAnsi="Book Antiqua" w:cs="Book Antiqua"/>
          <w:color w:val="000000"/>
        </w:rPr>
        <w:t>We proposed a circRNA-miRNA-mRNA regulatory network closely associated with the progression and clinical outcome of CRC that might include promising biomarkers for carcinogenesis and therapeutic targets.</w:t>
      </w:r>
    </w:p>
    <w:p w14:paraId="670DE7E9" w14:textId="77777777" w:rsidR="00A77B3E" w:rsidRDefault="00A77B3E" w:rsidP="00567499">
      <w:pPr>
        <w:snapToGrid w:val="0"/>
        <w:spacing w:line="360" w:lineRule="auto"/>
        <w:jc w:val="both"/>
      </w:pPr>
    </w:p>
    <w:p w14:paraId="1B86B2B5" w14:textId="570510BE" w:rsidR="00A77B3E" w:rsidRDefault="001D27AD" w:rsidP="00567499">
      <w:pPr>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CircRNA; </w:t>
      </w:r>
      <w:r w:rsidR="00281950">
        <w:rPr>
          <w:rFonts w:ascii="Book Antiqua" w:eastAsia="Book Antiqua" w:hAnsi="Book Antiqua" w:cs="Book Antiqua"/>
          <w:color w:val="000000"/>
        </w:rPr>
        <w:t>m</w:t>
      </w:r>
      <w:r>
        <w:rPr>
          <w:rFonts w:ascii="Book Antiqua" w:eastAsia="Book Antiqua" w:hAnsi="Book Antiqua" w:cs="Book Antiqua"/>
          <w:color w:val="000000"/>
        </w:rPr>
        <w:t>iRNA; Network; Colorectal cancer; Prognosis; Biomarkers</w:t>
      </w:r>
    </w:p>
    <w:p w14:paraId="0127029D" w14:textId="77777777" w:rsidR="00885215" w:rsidRDefault="00885215" w:rsidP="00885215">
      <w:pPr>
        <w:spacing w:line="360" w:lineRule="auto"/>
        <w:jc w:val="both"/>
        <w:rPr>
          <w:lang w:eastAsia="zh-CN"/>
        </w:rPr>
      </w:pPr>
    </w:p>
    <w:p w14:paraId="19829429" w14:textId="509BFE1A" w:rsidR="00A77B3E" w:rsidRDefault="00885215" w:rsidP="00885215">
      <w:pPr>
        <w:snapToGrid w:val="0"/>
        <w:spacing w:line="360" w:lineRule="auto"/>
        <w:jc w:val="both"/>
        <w:rPr>
          <w:rFonts w:ascii="Book Antiqua" w:hAnsi="Book Antiqua" w:cs="Book Antiqua" w:hint="eastAsia"/>
          <w:color w:val="000000"/>
          <w:lang w:eastAsia="zh-CN"/>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Published by Baishideng Publishing Group Inc. All rights reserved.</w:t>
      </w:r>
    </w:p>
    <w:p w14:paraId="0B7006B6" w14:textId="77777777" w:rsidR="00885215" w:rsidRPr="00885215" w:rsidRDefault="00885215" w:rsidP="00885215">
      <w:pPr>
        <w:snapToGrid w:val="0"/>
        <w:spacing w:line="360" w:lineRule="auto"/>
        <w:jc w:val="both"/>
        <w:rPr>
          <w:rFonts w:hint="eastAsia"/>
          <w:lang w:eastAsia="zh-CN"/>
        </w:rPr>
      </w:pPr>
    </w:p>
    <w:p w14:paraId="6CD36DF4" w14:textId="742CFCED" w:rsidR="004D341C" w:rsidRDefault="004D341C" w:rsidP="00567499">
      <w:pPr>
        <w:snapToGrid w:val="0"/>
        <w:spacing w:line="360" w:lineRule="auto"/>
        <w:jc w:val="both"/>
        <w:rPr>
          <w:rFonts w:ascii="Book Antiqua" w:hAnsi="Book Antiqua" w:cs="Book Antiqua" w:hint="eastAsia"/>
          <w:color w:val="000000"/>
          <w:lang w:eastAsia="zh-CN"/>
        </w:rPr>
      </w:pPr>
      <w:r w:rsidRPr="004D341C">
        <w:rPr>
          <w:rFonts w:ascii="Book Antiqua" w:hAnsi="Book Antiqua" w:cs="Book Antiqua" w:hint="eastAsia"/>
          <w:b/>
          <w:color w:val="000000"/>
          <w:lang w:eastAsia="zh-CN"/>
        </w:rPr>
        <w:t xml:space="preserve">Citation: </w:t>
      </w:r>
      <w:r w:rsidR="001D27AD">
        <w:rPr>
          <w:rFonts w:ascii="Book Antiqua" w:eastAsia="Book Antiqua" w:hAnsi="Book Antiqua" w:cs="Book Antiqua"/>
          <w:color w:val="000000"/>
        </w:rPr>
        <w:t xml:space="preserve">Yin TF, Zhao DY, Zhou YC, Wang QQ, Yao SK. Identification of the circRNA-miRNA-mRNA regulatory network and its prognostic effect in colorectal cancer. </w:t>
      </w:r>
      <w:r w:rsidR="001D27AD">
        <w:rPr>
          <w:rFonts w:ascii="Book Antiqua" w:eastAsia="Book Antiqua" w:hAnsi="Book Antiqua" w:cs="Book Antiqua"/>
          <w:i/>
          <w:iCs/>
          <w:color w:val="000000"/>
        </w:rPr>
        <w:t>World J Clin Cases</w:t>
      </w:r>
      <w:r w:rsidR="001D27AD">
        <w:rPr>
          <w:rFonts w:ascii="Book Antiqua" w:eastAsia="Book Antiqua" w:hAnsi="Book Antiqua" w:cs="Book Antiqua"/>
          <w:color w:val="000000"/>
        </w:rPr>
        <w:t xml:space="preserve"> </w:t>
      </w:r>
      <w:r w:rsidR="00FE0583" w:rsidRPr="00735DD9">
        <w:rPr>
          <w:rFonts w:ascii="Book Antiqua" w:eastAsia="Book Antiqua" w:hAnsi="Book Antiqua" w:cs="Book Antiqua"/>
          <w:color w:val="000000"/>
        </w:rPr>
        <w:t xml:space="preserve">2021; </w:t>
      </w:r>
      <w:r w:rsidR="00FE0583" w:rsidRPr="00AC721D">
        <w:rPr>
          <w:rFonts w:ascii="Book Antiqua" w:eastAsia="Book Antiqua" w:hAnsi="Book Antiqua" w:cs="Book Antiqua"/>
          <w:color w:val="000000"/>
        </w:rPr>
        <w:t xml:space="preserve">9(18): </w:t>
      </w:r>
      <w:r w:rsidRPr="004D341C">
        <w:rPr>
          <w:rFonts w:ascii="Book Antiqua" w:eastAsia="Book Antiqua" w:hAnsi="Book Antiqua" w:cs="Book Antiqua"/>
          <w:color w:val="000000"/>
        </w:rPr>
        <w:t>4520-4541</w:t>
      </w:r>
      <w:r w:rsidR="00FE0583" w:rsidRPr="00AC721D">
        <w:rPr>
          <w:rFonts w:ascii="Book Antiqua" w:eastAsia="Book Antiqua" w:hAnsi="Book Antiqua" w:cs="Book Antiqua"/>
          <w:color w:val="000000"/>
        </w:rPr>
        <w:t xml:space="preserve"> </w:t>
      </w:r>
    </w:p>
    <w:p w14:paraId="3380FB38" w14:textId="77777777" w:rsidR="004D341C" w:rsidRDefault="00FE0583" w:rsidP="00567499">
      <w:pPr>
        <w:snapToGrid w:val="0"/>
        <w:spacing w:line="360" w:lineRule="auto"/>
        <w:jc w:val="both"/>
        <w:rPr>
          <w:rFonts w:ascii="Book Antiqua" w:hAnsi="Book Antiqua" w:cs="Book Antiqua" w:hint="eastAsia"/>
          <w:color w:val="000000"/>
          <w:lang w:eastAsia="zh-CN"/>
        </w:rPr>
      </w:pPr>
      <w:r w:rsidRPr="004D341C">
        <w:rPr>
          <w:rFonts w:ascii="Book Antiqua" w:eastAsia="Book Antiqua" w:hAnsi="Book Antiqua" w:cs="Book Antiqua"/>
          <w:b/>
          <w:color w:val="000000"/>
        </w:rPr>
        <w:t>URL:</w:t>
      </w:r>
      <w:r w:rsidRPr="00AC721D">
        <w:rPr>
          <w:rFonts w:ascii="Book Antiqua" w:eastAsia="Book Antiqua" w:hAnsi="Book Antiqua" w:cs="Book Antiqua"/>
          <w:color w:val="000000"/>
        </w:rPr>
        <w:t xml:space="preserve"> https://www.wjgnet.com/2307-8960/full/v9/i18/</w:t>
      </w:r>
      <w:r w:rsidR="004D341C" w:rsidRPr="004D341C">
        <w:rPr>
          <w:rFonts w:ascii="Book Antiqua" w:eastAsia="Book Antiqua" w:hAnsi="Book Antiqua" w:cs="Book Antiqua"/>
          <w:color w:val="000000"/>
        </w:rPr>
        <w:t>4520</w:t>
      </w:r>
      <w:r w:rsidRPr="00AC721D">
        <w:rPr>
          <w:rFonts w:ascii="Book Antiqua" w:eastAsia="Book Antiqua" w:hAnsi="Book Antiqua" w:cs="Book Antiqua"/>
          <w:color w:val="000000"/>
        </w:rPr>
        <w:t xml:space="preserve">.htm </w:t>
      </w:r>
    </w:p>
    <w:p w14:paraId="417AAA88" w14:textId="76326E9A" w:rsidR="00A77B3E" w:rsidRDefault="00FE0583" w:rsidP="00567499">
      <w:pPr>
        <w:snapToGrid w:val="0"/>
        <w:spacing w:line="360" w:lineRule="auto"/>
        <w:jc w:val="both"/>
      </w:pPr>
      <w:r w:rsidRPr="004D341C">
        <w:rPr>
          <w:rFonts w:ascii="Book Antiqua" w:eastAsia="Book Antiqua" w:hAnsi="Book Antiqua" w:cs="Book Antiqua"/>
          <w:b/>
          <w:color w:val="000000"/>
        </w:rPr>
        <w:t xml:space="preserve">DOI: </w:t>
      </w:r>
      <w:r w:rsidRPr="00AC721D">
        <w:rPr>
          <w:rFonts w:ascii="Book Antiqua" w:eastAsia="Book Antiqua" w:hAnsi="Book Antiqua" w:cs="Book Antiqua"/>
          <w:color w:val="000000"/>
        </w:rPr>
        <w:t>https://dx.doi.org/10.12998/wjcc.v9.i18.</w:t>
      </w:r>
      <w:r w:rsidR="004D341C" w:rsidRPr="004D341C">
        <w:rPr>
          <w:rFonts w:ascii="Book Antiqua" w:eastAsia="Book Antiqua" w:hAnsi="Book Antiqua" w:cs="Book Antiqua"/>
          <w:color w:val="000000"/>
        </w:rPr>
        <w:t>4520</w:t>
      </w:r>
    </w:p>
    <w:p w14:paraId="19ED01BE" w14:textId="77777777" w:rsidR="00A77B3E" w:rsidRDefault="00A77B3E" w:rsidP="00567499">
      <w:pPr>
        <w:snapToGrid w:val="0"/>
        <w:spacing w:line="360" w:lineRule="auto"/>
        <w:jc w:val="both"/>
      </w:pPr>
    </w:p>
    <w:p w14:paraId="3468A3CD" w14:textId="4E8DBB34" w:rsidR="00A77B3E" w:rsidRDefault="001D27AD" w:rsidP="00567499">
      <w:pPr>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The biological functions of circRNA and miRNA interactions and their potential as noninvasive biomarkers have not been well elucidated in colorectal cancer (CRC). In this study, we constructed a circRNA-miRNA-mRNA regulatory network with 19 circRNAs, 13 miRNAs and 28 mRNAs. GO and KEGG analyses indicated several signaling pathways probably involved in tumorigenesis. After being combined with survival analysis, a prognostic subnetwork was constructed including 5 circRNAs, 3 miRNAs and 3 mRNAs, which may represent novel diagnostic and prognostic candidate biomarkers, as well as therapeutic targets of CRC.</w:t>
      </w:r>
    </w:p>
    <w:p w14:paraId="727731FE" w14:textId="2E539322" w:rsidR="00A77B3E" w:rsidRDefault="004F2577" w:rsidP="00567499">
      <w:pPr>
        <w:snapToGrid w:val="0"/>
        <w:spacing w:line="360" w:lineRule="auto"/>
        <w:jc w:val="both"/>
      </w:pPr>
      <w:r>
        <w:rPr>
          <w:rFonts w:ascii="Book Antiqua" w:eastAsia="Book Antiqua" w:hAnsi="Book Antiqua" w:cs="Book Antiqua"/>
          <w:b/>
          <w:caps/>
          <w:color w:val="000000"/>
          <w:u w:val="single"/>
        </w:rPr>
        <w:br w:type="page"/>
      </w:r>
      <w:r w:rsidR="001D27AD">
        <w:rPr>
          <w:rFonts w:ascii="Book Antiqua" w:eastAsia="Book Antiqua" w:hAnsi="Book Antiqua" w:cs="Book Antiqua"/>
          <w:b/>
          <w:caps/>
          <w:color w:val="000000"/>
          <w:u w:val="single"/>
        </w:rPr>
        <w:t>INTRODUCTION</w:t>
      </w:r>
    </w:p>
    <w:p w14:paraId="61C5E245" w14:textId="33E419D7" w:rsidR="00A77B3E" w:rsidRDefault="001D27AD" w:rsidP="00567499">
      <w:pPr>
        <w:snapToGrid w:val="0"/>
        <w:spacing w:line="360" w:lineRule="auto"/>
        <w:jc w:val="both"/>
      </w:pPr>
      <w:r>
        <w:rPr>
          <w:rFonts w:ascii="Book Antiqua" w:eastAsia="Book Antiqua" w:hAnsi="Book Antiqua" w:cs="Book Antiqua"/>
          <w:color w:val="000000"/>
        </w:rPr>
        <w:t>Colorectal cancer (CRC) is one of the most common tumors worldwide. The global cancer burden report in 2018 showed that the incidence and mortality of CRC ranked third and second, respectively</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Conventional therapeutic options for CRC, such as chemotherapy and radiotherapy, cannot satisfy the ever-rising demand for overall and disease-free survival. At present, the high morbidity and mortality of CRC pose a great threat to the health of humans. Early screening and prevention should be actively and urgently carried out. The pathogenesis of CRC remains largely unexplored, and gene regulation disorders may play an important role in it. </w:t>
      </w:r>
    </w:p>
    <w:p w14:paraId="7F865AC9" w14:textId="216619B9" w:rsidR="00A77B3E" w:rsidRDefault="001D27AD" w:rsidP="00567499">
      <w:pPr>
        <w:snapToGrid w:val="0"/>
        <w:spacing w:line="360" w:lineRule="auto"/>
        <w:ind w:firstLine="480"/>
        <w:jc w:val="both"/>
      </w:pPr>
      <w:r>
        <w:rPr>
          <w:rFonts w:ascii="Book Antiqua" w:eastAsia="Book Antiqua" w:hAnsi="Book Antiqua" w:cs="Book Antiqua"/>
          <w:color w:val="000000"/>
        </w:rPr>
        <w:t>In recent years,</w:t>
      </w:r>
      <w:r w:rsidR="00837CE5">
        <w:rPr>
          <w:rFonts w:ascii="Book Antiqua" w:eastAsia="Book Antiqua" w:hAnsi="Book Antiqua" w:cs="Book Antiqua"/>
          <w:color w:val="000000"/>
        </w:rPr>
        <w:t xml:space="preserve"> circular RNA</w:t>
      </w:r>
      <w:r>
        <w:rPr>
          <w:rFonts w:ascii="Book Antiqua" w:eastAsia="Book Antiqua" w:hAnsi="Book Antiqua" w:cs="Book Antiqua"/>
          <w:color w:val="000000"/>
        </w:rPr>
        <w:t xml:space="preserve"> </w:t>
      </w:r>
      <w:r w:rsidR="00837CE5">
        <w:rPr>
          <w:rFonts w:ascii="Book Antiqua" w:eastAsia="Book Antiqua" w:hAnsi="Book Antiqua" w:cs="Book Antiqua"/>
          <w:color w:val="000000"/>
        </w:rPr>
        <w:t>(</w:t>
      </w:r>
      <w:r>
        <w:rPr>
          <w:rFonts w:ascii="Book Antiqua" w:eastAsia="Book Antiqua" w:hAnsi="Book Antiqua" w:cs="Book Antiqua"/>
          <w:color w:val="000000"/>
        </w:rPr>
        <w:t>circRNA</w:t>
      </w:r>
      <w:r w:rsidR="00837CE5">
        <w:rPr>
          <w:rFonts w:ascii="Book Antiqua" w:eastAsia="Book Antiqua" w:hAnsi="Book Antiqua" w:cs="Book Antiqua"/>
          <w:color w:val="000000"/>
        </w:rPr>
        <w:t>)</w:t>
      </w:r>
      <w:r>
        <w:rPr>
          <w:rFonts w:ascii="Book Antiqua" w:eastAsia="Book Antiqua" w:hAnsi="Book Antiqua" w:cs="Book Antiqua"/>
          <w:color w:val="000000"/>
        </w:rPr>
        <w:t xml:space="preserve"> and </w:t>
      </w:r>
      <w:r w:rsidR="00837CE5">
        <w:rPr>
          <w:rFonts w:ascii="Book Antiqua" w:eastAsia="Book Antiqua" w:hAnsi="Book Antiqua" w:cs="Book Antiqua"/>
          <w:color w:val="000000"/>
        </w:rPr>
        <w:t>microRNA (</w:t>
      </w:r>
      <w:r>
        <w:rPr>
          <w:rFonts w:ascii="Book Antiqua" w:eastAsia="Book Antiqua" w:hAnsi="Book Antiqua" w:cs="Book Antiqua"/>
          <w:color w:val="000000"/>
        </w:rPr>
        <w:t>miRNA</w:t>
      </w:r>
      <w:r w:rsidR="00837CE5">
        <w:rPr>
          <w:rFonts w:ascii="Book Antiqua" w:eastAsia="Book Antiqua" w:hAnsi="Book Antiqua" w:cs="Book Antiqua"/>
          <w:color w:val="000000"/>
        </w:rPr>
        <w:t>)</w:t>
      </w:r>
      <w:r>
        <w:rPr>
          <w:rFonts w:ascii="Book Antiqua" w:eastAsia="Book Antiqua" w:hAnsi="Book Antiqua" w:cs="Book Antiqua"/>
          <w:color w:val="000000"/>
        </w:rPr>
        <w:t>, acting as noncoding RNAs, have attracted considerable research attention in a variety of diseases. These RNA molecules could regulate gene expression through complex mechanisms and interactions. CircRNA is a newly identified class of single-stranded circular, noncoding RNA molecules without 5′ poly-A and 3′ cap ends, which makes it resistant to degradation by RNA exonucleases and more stable than the linear RNA class</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Emerging evidence has proven that circRNAs are widely expressed in eukaryotic cells and can be implicated in physiological and pathological processes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Salmena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first hypothesized that competing endogenous RNAs (ceRNAs) contain adequate miRNA response elements and may act as miRNA sponges to bind and compete with corresponding miRNAs, thereby sequestering miRNAs and regulating mRNA expression at the posttranslational level. MiRNAs are small, noncoding RNAs of approximately 20-22 nucleotides that can play a vital role in the regulation of gene expression, such as decreasing mRNA stability in various biological and pathological processes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6055DC89" w14:textId="64F5A3A0" w:rsidR="00A77B3E" w:rsidRDefault="001D27AD" w:rsidP="00567499">
      <w:pPr>
        <w:snapToGrid w:val="0"/>
        <w:spacing w:line="360" w:lineRule="auto"/>
        <w:ind w:firstLine="480"/>
        <w:jc w:val="both"/>
      </w:pPr>
      <w:r>
        <w:rPr>
          <w:rFonts w:ascii="Book Antiqua" w:eastAsia="Book Antiqua" w:hAnsi="Book Antiqua" w:cs="Book Antiqua"/>
          <w:color w:val="000000"/>
        </w:rPr>
        <w:t xml:space="preserve">Accumulating evidence has revealed that the circRNA-miRNA-mRNA network could play a significantly important role in the development and progression of many diseases, especially cancer. For example, Song </w:t>
      </w:r>
      <w:r w:rsidR="003B23CD">
        <w:rPr>
          <w:rFonts w:ascii="Book Antiqua" w:eastAsia="Book Antiqua" w:hAnsi="Book Antiqua" w:cs="Book Antiqua"/>
          <w:color w:val="000000"/>
        </w:rPr>
        <w:t>and Fu</w:t>
      </w:r>
      <w:r w:rsidRPr="003B23CD">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discovered that the hsa_circ_00001666/h</w:t>
      </w:r>
      <w:r w:rsidR="00951409">
        <w:rPr>
          <w:rFonts w:ascii="Book Antiqua" w:eastAsia="Book Antiqua" w:hAnsi="Book Antiqua" w:cs="Book Antiqua"/>
          <w:color w:val="000000"/>
        </w:rPr>
        <w:t>sa</w:t>
      </w:r>
      <w:r>
        <w:rPr>
          <w:rFonts w:ascii="Book Antiqua" w:eastAsia="Book Antiqua" w:hAnsi="Book Antiqua" w:cs="Book Antiqua"/>
          <w:color w:val="000000"/>
        </w:rPr>
        <w:t>-mir-1229/</w:t>
      </w:r>
      <w:r>
        <w:rPr>
          <w:rFonts w:ascii="Book Antiqua" w:eastAsia="Book Antiqua" w:hAnsi="Book Antiqua" w:cs="Book Antiqua"/>
          <w:i/>
          <w:iCs/>
          <w:color w:val="000000"/>
        </w:rPr>
        <w:t>CXCR5</w:t>
      </w:r>
      <w:r>
        <w:rPr>
          <w:rFonts w:ascii="Book Antiqua" w:eastAsia="Book Antiqua" w:hAnsi="Book Antiqua" w:cs="Book Antiqua"/>
          <w:color w:val="000000"/>
        </w:rPr>
        <w:t xml:space="preserve"> axis could participate in the pathogenesis of CRC and act as a promising biomarker for targeted treatment. A related study indicated that hsa_circ_0005100 has pivotal value in the progression of CRC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miR-1182/</w:t>
      </w:r>
      <w:r>
        <w:rPr>
          <w:rFonts w:ascii="Book Antiqua" w:eastAsia="Book Antiqua" w:hAnsi="Book Antiqua" w:cs="Book Antiqua"/>
          <w:i/>
          <w:iCs/>
          <w:color w:val="000000"/>
        </w:rPr>
        <w:t>hTERT</w:t>
      </w:r>
      <w:r>
        <w:rPr>
          <w:rFonts w:ascii="Book Antiqua" w:eastAsia="Book Antiqua" w:hAnsi="Book Antiqua" w:cs="Book Antiqua"/>
          <w:color w:val="000000"/>
        </w:rPr>
        <w:t xml:space="preserve"> axis</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Hsa_circ_000984 could sequester miR-106b and consequently intensify the proliferation and migration of CRC cell lines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These studies indicate that dysregulated circRNAs, miRNAs and mRNAs are closely related to the progression and prognosis of CRC and could be used as potential CRC-specific predictors, but the competitive regulatory pattern and biological function mechanism among circRNAs, miRNAs and mRNAs are still complicated and need further verification.</w:t>
      </w:r>
    </w:p>
    <w:p w14:paraId="58FA5600" w14:textId="2A7FF2C0" w:rsidR="00A77B3E" w:rsidRDefault="001D27AD" w:rsidP="00567499">
      <w:pPr>
        <w:snapToGrid w:val="0"/>
        <w:spacing w:line="360" w:lineRule="auto"/>
        <w:ind w:firstLine="480"/>
        <w:jc w:val="both"/>
      </w:pPr>
      <w:r>
        <w:rPr>
          <w:rFonts w:ascii="Book Antiqua" w:eastAsia="Book Antiqua" w:hAnsi="Book Antiqua" w:cs="Book Antiqua"/>
          <w:color w:val="000000"/>
        </w:rPr>
        <w:t xml:space="preserve">Along with the enormous advancement of RNA-sequencing technology, many public databases, such as </w:t>
      </w:r>
      <w:r w:rsidR="00925FB5">
        <w:rPr>
          <w:rFonts w:ascii="Book Antiqua" w:eastAsia="Book Antiqua" w:hAnsi="Book Antiqua" w:cs="Book Antiqua"/>
          <w:color w:val="000000"/>
        </w:rPr>
        <w:t>Gene Expression Omnibus</w:t>
      </w:r>
      <w:r>
        <w:rPr>
          <w:rFonts w:ascii="Book Antiqua" w:eastAsia="Book Antiqua" w:hAnsi="Book Antiqua" w:cs="Book Antiqua"/>
          <w:color w:val="000000"/>
        </w:rPr>
        <w:t xml:space="preserve"> (GEO) and The Cancer Genome Atlas (TCGA), have been established, and a surge of large-scale RNA sequence data are available. Recently, bioinformatics analysis has been widely used to help screen key genes, construct regulatory models, and select therapeutic targets that may participate in tumor development and prognosis as well as provide guidance for basic and clinical research, which is helpful to clarify the pathogenesis of tumors and guide clinical treatment options.</w:t>
      </w:r>
    </w:p>
    <w:p w14:paraId="16C21CDD" w14:textId="77777777" w:rsidR="00A77B3E" w:rsidRDefault="001D27AD" w:rsidP="00567499">
      <w:pPr>
        <w:snapToGrid w:val="0"/>
        <w:spacing w:line="360" w:lineRule="auto"/>
        <w:ind w:firstLine="480"/>
        <w:jc w:val="both"/>
      </w:pPr>
      <w:r>
        <w:rPr>
          <w:rFonts w:ascii="Book Antiqua" w:eastAsia="Book Antiqua" w:hAnsi="Book Antiqua" w:cs="Book Antiqua"/>
          <w:color w:val="000000"/>
        </w:rPr>
        <w:t>The objective of this study was to explore a competitive regulatory model among circRNAs, miRNAs and mRNAs and discover promising indicators for driving factors and mechanisms that induce the progression and affect the prognosis of CRC. To achieve this goal, we downloaded three datasets (GSE126095, GSE41655 and GSE41657) of large-scale CRC samples in the GEO database, selected differentially expressed (DE) circRNAs, DEmiRNAs and DEmRNAs in CRC tissues compared with normal controls, and predicted the downstream target molecules of circRNAs and miRNAs. After intersection with the differentially expressed RNA molecules and predicted targets, a circRNA-miRNA-mRNA network was identified. Functional enrichment analyses were conducted to identify the underlying mechanism involved in the pathogenesis of CRC. To verify the prognostic effect of the mRNAs found above, we performed survival analysis using the gene profiles and clinical information in the TCGA database. Finally, survival-related genes were determined, and a prognostic subnetwork was developed. Our results revealed the circRNA-miRNA-mRNA regulatory interaction and provided guidance for expanding the understanding of CRC progression, prognosis and therapeutic options. The flow chart of the procedure in our study is illustrated in Figure 1.</w:t>
      </w:r>
    </w:p>
    <w:p w14:paraId="2FD9FC1D" w14:textId="77777777" w:rsidR="00A77B3E" w:rsidRDefault="00A77B3E" w:rsidP="00567499">
      <w:pPr>
        <w:snapToGrid w:val="0"/>
        <w:spacing w:line="360" w:lineRule="auto"/>
        <w:ind w:firstLine="480"/>
        <w:jc w:val="both"/>
      </w:pPr>
    </w:p>
    <w:p w14:paraId="58A9B65B"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t>MATERIALS AND METHODS</w:t>
      </w:r>
    </w:p>
    <w:p w14:paraId="01C5A864" w14:textId="77777777" w:rsidR="00A77B3E" w:rsidRDefault="001D27AD" w:rsidP="00567499">
      <w:pPr>
        <w:snapToGrid w:val="0"/>
        <w:spacing w:line="360" w:lineRule="auto"/>
        <w:jc w:val="both"/>
      </w:pPr>
      <w:r>
        <w:rPr>
          <w:rFonts w:ascii="Book Antiqua" w:eastAsia="Book Antiqua" w:hAnsi="Book Antiqua" w:cs="Book Antiqua"/>
          <w:b/>
          <w:bCs/>
          <w:i/>
          <w:iCs/>
          <w:color w:val="000000"/>
        </w:rPr>
        <w:t>Dataset retrieval</w:t>
      </w:r>
    </w:p>
    <w:p w14:paraId="16D9A3F3" w14:textId="3E51F4D5" w:rsidR="00A77B3E" w:rsidRDefault="001D27AD" w:rsidP="00567499">
      <w:pPr>
        <w:snapToGrid w:val="0"/>
        <w:spacing w:line="360" w:lineRule="auto"/>
        <w:jc w:val="both"/>
      </w:pPr>
      <w:r>
        <w:rPr>
          <w:rFonts w:ascii="Book Antiqua" w:eastAsia="Book Antiqua" w:hAnsi="Book Antiqua" w:cs="Book Antiqua"/>
          <w:color w:val="000000"/>
        </w:rPr>
        <w:t>The expression profiles of three datasets (GSE126095, GSE41655 and GSE41657) were downloaded from the GEO database (http://www.ncbi.nlm.nih.gov/geo). Referring to the annotation information on the platform, probes were transformed to corresponding gene symbols. The GSE126095 dataset included 10 CRC and 10 normal tissues. The GSE41655 dataset contained 33 CRC tissues, 15 normal tissues and 59 colorectal adenomas, and GSE41657 included 25 CRC tissues, 12 normal tissues and 51 colorectal adenomas. CRC and normal tissue data in the two datasets above were chosen for comprehensive analysis. Moreover, clinical information and mRNA expression profiles were obtained from the TCGA database (https://portal.gdc.cancer.gov/). A total of 530 samples of patients (488 CRC tissues and 42 normal tissues), which had complete clinical characteristics, including age, sex, stage, survival time and survival state, and survival or follow-up time ≥</w:t>
      </w:r>
      <w:r w:rsidR="00A45291">
        <w:rPr>
          <w:rFonts w:ascii="Book Antiqua" w:eastAsia="Book Antiqua" w:hAnsi="Book Antiqua" w:cs="Book Antiqua"/>
          <w:color w:val="000000"/>
        </w:rPr>
        <w:t xml:space="preserve"> </w:t>
      </w:r>
      <w:r>
        <w:rPr>
          <w:rFonts w:ascii="Book Antiqua" w:eastAsia="Book Antiqua" w:hAnsi="Book Antiqua" w:cs="Book Antiqua"/>
          <w:color w:val="000000"/>
        </w:rPr>
        <w:t>30 d, were selected for further analysis. This study was approved by the Ethics Committee of China-Japan Friendship Hospital (No. 2018-116-K85-1). An informed consent statement was not necessary because all data were acquired from the GEO and TCGA databases and available to the public.</w:t>
      </w:r>
    </w:p>
    <w:p w14:paraId="36736DC8" w14:textId="77777777" w:rsidR="00A77B3E" w:rsidRDefault="00A77B3E" w:rsidP="00567499">
      <w:pPr>
        <w:snapToGrid w:val="0"/>
        <w:spacing w:line="360" w:lineRule="auto"/>
        <w:jc w:val="both"/>
      </w:pPr>
    </w:p>
    <w:p w14:paraId="05476D99" w14:textId="77777777" w:rsidR="00A77B3E" w:rsidRDefault="001D27AD" w:rsidP="00567499">
      <w:pPr>
        <w:snapToGrid w:val="0"/>
        <w:spacing w:line="360" w:lineRule="auto"/>
        <w:jc w:val="both"/>
      </w:pPr>
      <w:r>
        <w:rPr>
          <w:rFonts w:ascii="Book Antiqua" w:eastAsia="Book Antiqua" w:hAnsi="Book Antiqua" w:cs="Book Antiqua"/>
          <w:b/>
          <w:bCs/>
          <w:i/>
          <w:iCs/>
          <w:color w:val="000000"/>
        </w:rPr>
        <w:t>Identification of differentially expressed circRNAs, miRNAs and mRNAs</w:t>
      </w:r>
    </w:p>
    <w:p w14:paraId="20443531" w14:textId="2442B7FC" w:rsidR="00A77B3E" w:rsidRDefault="001D27AD" w:rsidP="00567499">
      <w:pPr>
        <w:snapToGrid w:val="0"/>
        <w:spacing w:line="360" w:lineRule="auto"/>
        <w:jc w:val="both"/>
      </w:pPr>
      <w:r>
        <w:rPr>
          <w:rFonts w:ascii="Book Antiqua" w:eastAsia="Book Antiqua" w:hAnsi="Book Antiqua" w:cs="Book Antiqua"/>
          <w:color w:val="000000"/>
        </w:rPr>
        <w:t xml:space="preserve">After downloading data from the GEO database, the “limma” package was utilized for background correction and normalization of the raw read counts of circRNA, miRNA and mRNA as well as identification of DEcircRNAs, DEmiRNAs and DEmRNAs between tumor samples and normal controls. The cut-off criteria of circRNA and mRNA were set at an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EF5B49">
        <w:rPr>
          <w:rFonts w:ascii="Book Antiqua" w:eastAsia="Book Antiqua" w:hAnsi="Book Antiqua" w:cs="Book Antiqua"/>
          <w:color w:val="000000"/>
        </w:rPr>
        <w:t xml:space="preserve"> </w:t>
      </w:r>
      <w:r>
        <w:rPr>
          <w:rFonts w:ascii="Book Antiqua" w:eastAsia="Book Antiqua" w:hAnsi="Book Antiqua" w:cs="Book Antiqua"/>
          <w:color w:val="000000"/>
        </w:rPr>
        <w:t>0.05 and |log</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fold change (FC)|</w:t>
      </w:r>
      <w:r w:rsidR="00EF5B49">
        <w:rPr>
          <w:rFonts w:ascii="Book Antiqua" w:eastAsia="Book Antiqua" w:hAnsi="Book Antiqua" w:cs="Book Antiqua"/>
          <w:color w:val="000000"/>
        </w:rPr>
        <w:t xml:space="preserve"> </w:t>
      </w:r>
      <w:r>
        <w:rPr>
          <w:rFonts w:ascii="Book Antiqua" w:eastAsia="Book Antiqua" w:hAnsi="Book Antiqua" w:cs="Book Antiqua"/>
          <w:color w:val="000000"/>
        </w:rPr>
        <w:t>&gt;</w:t>
      </w:r>
      <w:r w:rsidR="00EF5B49">
        <w:rPr>
          <w:rFonts w:ascii="Book Antiqua" w:eastAsia="Book Antiqua" w:hAnsi="Book Antiqua" w:cs="Book Antiqua"/>
          <w:color w:val="000000"/>
        </w:rPr>
        <w:t xml:space="preserve"> </w:t>
      </w:r>
      <w:r>
        <w:rPr>
          <w:rFonts w:ascii="Book Antiqua" w:eastAsia="Book Antiqua" w:hAnsi="Book Antiqua" w:cs="Book Antiqua"/>
          <w:color w:val="000000"/>
        </w:rPr>
        <w:t xml:space="preserve">2, while the cut-off value of miRNA was set at an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EF5B49">
        <w:rPr>
          <w:rFonts w:ascii="Book Antiqua" w:eastAsia="Book Antiqua" w:hAnsi="Book Antiqua" w:cs="Book Antiqua"/>
          <w:color w:val="000000"/>
        </w:rPr>
        <w:t xml:space="preserve"> </w:t>
      </w:r>
      <w:r>
        <w:rPr>
          <w:rFonts w:ascii="Book Antiqua" w:eastAsia="Book Antiqua" w:hAnsi="Book Antiqua" w:cs="Book Antiqua"/>
          <w:color w:val="000000"/>
        </w:rPr>
        <w:t>0.05 and |log</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FC|&gt;1.</w:t>
      </w:r>
    </w:p>
    <w:p w14:paraId="73B94B86" w14:textId="77777777" w:rsidR="00A77B3E" w:rsidRDefault="00A77B3E" w:rsidP="00567499">
      <w:pPr>
        <w:snapToGrid w:val="0"/>
        <w:spacing w:line="360" w:lineRule="auto"/>
        <w:jc w:val="both"/>
      </w:pPr>
    </w:p>
    <w:p w14:paraId="269352C3" w14:textId="77777777" w:rsidR="00A77B3E" w:rsidRDefault="001D27AD" w:rsidP="00567499">
      <w:pPr>
        <w:snapToGrid w:val="0"/>
        <w:spacing w:line="360" w:lineRule="auto"/>
        <w:jc w:val="both"/>
      </w:pPr>
      <w:r>
        <w:rPr>
          <w:rFonts w:ascii="Book Antiqua" w:eastAsia="Book Antiqua" w:hAnsi="Book Antiqua" w:cs="Book Antiqua"/>
          <w:b/>
          <w:bCs/>
          <w:i/>
          <w:iCs/>
          <w:color w:val="000000"/>
        </w:rPr>
        <w:t>Target prediction and intersection for ceRNA network construction</w:t>
      </w:r>
    </w:p>
    <w:p w14:paraId="7CDAB8B6" w14:textId="41BFAE3B" w:rsidR="00A77B3E" w:rsidRDefault="001D27AD" w:rsidP="00567499">
      <w:pPr>
        <w:snapToGrid w:val="0"/>
        <w:spacing w:line="360" w:lineRule="auto"/>
        <w:jc w:val="both"/>
      </w:pPr>
      <w:r>
        <w:rPr>
          <w:rFonts w:ascii="Book Antiqua" w:eastAsia="Book Antiqua" w:hAnsi="Book Antiqua" w:cs="Book Antiqua"/>
          <w:color w:val="000000"/>
        </w:rPr>
        <w:t>In the circBase database (http://www.circbase.org/), specific information on the DEcircRNAs was available, and then the Cancer-Specific CircRNA database (CSCD) (http://gb.whu.edu.cn/CSCD/) was used to obtain structural patterns of circRNAs and predict the binding relationship between circRNAs and miRNAs. After intersection with the DEmiRNAs, promising miRNAs were finally identified, and their target mRNAs were predicted in the TargetScan and miRDB databases. When both databases supported mRNAs as candidate targets, these targets and DEmRNAs were intersected to obtain the final mRNA. After removing unconnected nodes, the circRNA-miRNA-mRNA network was developed based on the results above and visualized using Cytoscape 3.7.2.</w:t>
      </w:r>
    </w:p>
    <w:p w14:paraId="6DED0EF5" w14:textId="77777777" w:rsidR="00A77B3E" w:rsidRDefault="00A77B3E" w:rsidP="00567499">
      <w:pPr>
        <w:snapToGrid w:val="0"/>
        <w:spacing w:line="360" w:lineRule="auto"/>
        <w:jc w:val="both"/>
      </w:pPr>
    </w:p>
    <w:p w14:paraId="3A63BC20" w14:textId="77777777" w:rsidR="00A77B3E" w:rsidRDefault="001D27AD" w:rsidP="00567499">
      <w:pPr>
        <w:snapToGrid w:val="0"/>
        <w:spacing w:line="360" w:lineRule="auto"/>
        <w:jc w:val="both"/>
      </w:pPr>
      <w:r>
        <w:rPr>
          <w:rFonts w:ascii="Book Antiqua" w:eastAsia="Book Antiqua" w:hAnsi="Book Antiqua" w:cs="Book Antiqua"/>
          <w:b/>
          <w:bCs/>
          <w:i/>
          <w:iCs/>
          <w:color w:val="000000"/>
        </w:rPr>
        <w:t>GO and KEGG functional enrichment analysis</w:t>
      </w:r>
    </w:p>
    <w:p w14:paraId="1F34D97D" w14:textId="099067E0" w:rsidR="00A77B3E" w:rsidRDefault="001D27AD" w:rsidP="00567499">
      <w:pPr>
        <w:snapToGrid w:val="0"/>
        <w:spacing w:line="360" w:lineRule="auto"/>
        <w:jc w:val="both"/>
      </w:pPr>
      <w:r>
        <w:rPr>
          <w:rFonts w:ascii="Book Antiqua" w:eastAsia="Book Antiqua" w:hAnsi="Book Antiqua" w:cs="Book Antiqua"/>
          <w:color w:val="000000"/>
        </w:rPr>
        <w:t xml:space="preserve">To reveal the pathophysiological processes and critical signaling pathways involved in the carcinogenesis of CRC, two widely used bioinformatics analysis methods, </w:t>
      </w:r>
      <w:r w:rsidR="00D60811">
        <w:rPr>
          <w:rFonts w:ascii="Book Antiqua" w:hAnsi="Book Antiqua"/>
          <w:szCs w:val="28"/>
        </w:rPr>
        <w:t>Gene ontology (GO) and Kyoto Encyclopedia of Genes and Genomes (KEGG)</w:t>
      </w:r>
      <w:r>
        <w:rPr>
          <w:rFonts w:ascii="Book Antiqua" w:eastAsia="Book Antiqua" w:hAnsi="Book Antiqua" w:cs="Book Antiqua"/>
          <w:color w:val="000000"/>
        </w:rPr>
        <w:t xml:space="preserve">, were conducted. The “clusterProfiler” package in R/Bioconductor was used for analyzing GO term and KEGG pathway enrichment. An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regarded as a statistical criterion.</w:t>
      </w:r>
    </w:p>
    <w:p w14:paraId="49885D49" w14:textId="77777777" w:rsidR="00A77B3E" w:rsidRDefault="00A77B3E" w:rsidP="00567499">
      <w:pPr>
        <w:snapToGrid w:val="0"/>
        <w:spacing w:line="360" w:lineRule="auto"/>
        <w:jc w:val="both"/>
      </w:pPr>
    </w:p>
    <w:p w14:paraId="0F6FA14C" w14:textId="77777777" w:rsidR="00A77B3E" w:rsidRDefault="001D27AD" w:rsidP="00567499">
      <w:pPr>
        <w:snapToGrid w:val="0"/>
        <w:spacing w:line="360" w:lineRule="auto"/>
        <w:jc w:val="both"/>
      </w:pPr>
      <w:r>
        <w:rPr>
          <w:rFonts w:ascii="Book Antiqua" w:eastAsia="Book Antiqua" w:hAnsi="Book Antiqua" w:cs="Book Antiqua"/>
          <w:b/>
          <w:bCs/>
          <w:i/>
          <w:iCs/>
          <w:color w:val="000000"/>
        </w:rPr>
        <w:t>Survival analysis and prognostic subnetwork construction</w:t>
      </w:r>
    </w:p>
    <w:p w14:paraId="488BAA0A" w14:textId="721707A5" w:rsidR="00A77B3E" w:rsidRDefault="001D27AD" w:rsidP="00567499">
      <w:pPr>
        <w:snapToGrid w:val="0"/>
        <w:spacing w:line="360" w:lineRule="auto"/>
        <w:jc w:val="both"/>
      </w:pPr>
      <w:r>
        <w:rPr>
          <w:rFonts w:ascii="Book Antiqua" w:eastAsia="Book Antiqua" w:hAnsi="Book Antiqua" w:cs="Book Antiqua"/>
          <w:color w:val="000000"/>
        </w:rPr>
        <w:t xml:space="preserve">To assess the value of the identified ceRNA network and determine the mRNAs related to prognosis, the mRNA expression profile and clinical information for CRC patients were downloaded from the TCGA database. Kaplan–Meier curves were generated for survival analysis. The log-rank test was utilized for statistical analysis. The cut-off criterion was 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Finally, a ceRNA subnetwork was developed on the basis of the above verified mRNAs.</w:t>
      </w:r>
    </w:p>
    <w:p w14:paraId="31071BC6" w14:textId="77777777" w:rsidR="00A77B3E" w:rsidRDefault="00A77B3E" w:rsidP="00567499">
      <w:pPr>
        <w:snapToGrid w:val="0"/>
        <w:spacing w:line="360" w:lineRule="auto"/>
        <w:jc w:val="both"/>
      </w:pPr>
    </w:p>
    <w:p w14:paraId="78C1421C"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t>RESULTS</w:t>
      </w:r>
    </w:p>
    <w:p w14:paraId="29121B71" w14:textId="77777777" w:rsidR="00A77B3E" w:rsidRDefault="001D27AD" w:rsidP="00567499">
      <w:pPr>
        <w:snapToGrid w:val="0"/>
        <w:spacing w:line="360" w:lineRule="auto"/>
        <w:jc w:val="both"/>
      </w:pPr>
      <w:r>
        <w:rPr>
          <w:rFonts w:ascii="Book Antiqua" w:eastAsia="Book Antiqua" w:hAnsi="Book Antiqua" w:cs="Book Antiqua"/>
          <w:b/>
          <w:bCs/>
          <w:i/>
          <w:iCs/>
          <w:color w:val="000000"/>
        </w:rPr>
        <w:t>Identification of differentially expressed and intersecting circRNAs, miRNAs and mRNAs</w:t>
      </w:r>
    </w:p>
    <w:p w14:paraId="36B38DDA" w14:textId="2497F34A" w:rsidR="00A77B3E" w:rsidRDefault="001D27AD" w:rsidP="00567499">
      <w:pPr>
        <w:snapToGrid w:val="0"/>
        <w:spacing w:line="360" w:lineRule="auto"/>
        <w:jc w:val="both"/>
      </w:pPr>
      <w:r>
        <w:rPr>
          <w:rFonts w:ascii="Book Antiqua" w:eastAsia="Book Antiqua" w:hAnsi="Book Antiqua" w:cs="Book Antiqua"/>
          <w:color w:val="000000"/>
        </w:rPr>
        <w:t>The basic characteristics of the three GEO datasets (GSE126095, GSE41655 and GSE41657) and the TCGA is shown in Table 1. In the circRNA profile data of GSE126095, there were a total of 55 DEcircRNAs between the CRC samples and normal controls</w:t>
      </w:r>
      <w:r w:rsidR="00D74B8C">
        <w:rPr>
          <w:rFonts w:ascii="Book Antiqua" w:eastAsia="Book Antiqua" w:hAnsi="Book Antiqua" w:cs="Book Antiqua"/>
          <w:color w:val="000000"/>
        </w:rPr>
        <w:t xml:space="preserve">, among which </w:t>
      </w:r>
      <w:r>
        <w:rPr>
          <w:rFonts w:ascii="Book Antiqua" w:eastAsia="Book Antiqua" w:hAnsi="Book Antiqua" w:cs="Book Antiqua"/>
          <w:color w:val="000000"/>
        </w:rPr>
        <w:t xml:space="preserve">22 upregulated and 33 downregulated </w:t>
      </w:r>
      <w:r w:rsidR="00D74B8C">
        <w:rPr>
          <w:rFonts w:ascii="Book Antiqua" w:eastAsia="Book Antiqua" w:hAnsi="Book Antiqua" w:cs="Book Antiqua"/>
          <w:color w:val="000000"/>
        </w:rPr>
        <w:t xml:space="preserve">in CRC </w:t>
      </w:r>
      <w:r>
        <w:rPr>
          <w:rFonts w:ascii="Book Antiqua" w:eastAsia="Book Antiqua" w:hAnsi="Book Antiqua" w:cs="Book Antiqua"/>
          <w:color w:val="000000"/>
        </w:rPr>
        <w:t>tissues (Figure 2). After removing 6 circRNAs that did not have details in the CSCD database, the structural models of 49 DEcircRNAs obtained from CSCD database are depicted in Figure 3, and the basic information of the these circRNAs is listed in Supplementary Table 1. Based on this, we successfully predicted that 1602 miRNAs might be the targets of these 49 circRNAs. For miRNAs with aberrant expression in GSE41655, 114 miRNAs were investigated to be differentially expressed in CRC, among which 58 were overexpressed and 56 were downregulated (Supplementary Table 2). A total of 25 miRNAs were identified from the intersection of 114 DEmiRNAs and 1602 circRNA targets predicted by the CSCD database (Supplementary Table 3). According to the TargetScan and miRDB databases, 7190 potential target genes for the 25 intersecting miRNAs were found. In the GSE41657 mRNA expression profile, 267 mRNAs were differentially expressed, among which 112 were highly expressed and 155 were expressed at low</w:t>
      </w:r>
      <w:r w:rsidR="00AC72ED">
        <w:rPr>
          <w:rFonts w:ascii="Book Antiqua" w:eastAsia="Book Antiqua" w:hAnsi="Book Antiqua" w:cs="Book Antiqua"/>
          <w:color w:val="000000"/>
        </w:rPr>
        <w:t>er</w:t>
      </w:r>
      <w:r>
        <w:rPr>
          <w:rFonts w:ascii="Book Antiqua" w:eastAsia="Book Antiqua" w:hAnsi="Book Antiqua" w:cs="Book Antiqua"/>
          <w:color w:val="000000"/>
        </w:rPr>
        <w:t xml:space="preserve"> levels in CRC compared with normal tissues (Supplementary Table 4). A total of 77 intersecting mRNAs were generated (Supplementary Table 5). We utilized Venn diagram</w:t>
      </w:r>
      <w:r w:rsidR="00D74B8C">
        <w:rPr>
          <w:rFonts w:ascii="Book Antiqua" w:eastAsia="Book Antiqua" w:hAnsi="Book Antiqua" w:cs="Book Antiqua"/>
          <w:color w:val="000000"/>
        </w:rPr>
        <w:t>s</w:t>
      </w:r>
      <w:r>
        <w:rPr>
          <w:rFonts w:ascii="Book Antiqua" w:eastAsia="Book Antiqua" w:hAnsi="Book Antiqua" w:cs="Book Antiqua"/>
          <w:color w:val="000000"/>
        </w:rPr>
        <w:t xml:space="preserve"> to illustrate the intersecting states of miRNA and mRNA (Figure 4A and B) and took the 20 miRNAs and 20 mRNAs expressing the most significant upregulation and downregulation, respectively, to draw heat maps (Figure 4C and D).</w:t>
      </w:r>
    </w:p>
    <w:p w14:paraId="2155A8D5" w14:textId="77777777" w:rsidR="00A77B3E" w:rsidRDefault="00A77B3E" w:rsidP="00567499">
      <w:pPr>
        <w:snapToGrid w:val="0"/>
        <w:spacing w:line="360" w:lineRule="auto"/>
        <w:jc w:val="both"/>
      </w:pPr>
    </w:p>
    <w:p w14:paraId="6E3AB58A" w14:textId="77777777" w:rsidR="00A77B3E" w:rsidRDefault="001D27AD" w:rsidP="00567499">
      <w:pPr>
        <w:snapToGrid w:val="0"/>
        <w:spacing w:line="360" w:lineRule="auto"/>
        <w:jc w:val="both"/>
      </w:pPr>
      <w:r>
        <w:rPr>
          <w:rFonts w:ascii="Book Antiqua" w:eastAsia="Book Antiqua" w:hAnsi="Book Antiqua" w:cs="Book Antiqua"/>
          <w:b/>
          <w:bCs/>
          <w:i/>
          <w:iCs/>
          <w:color w:val="000000"/>
        </w:rPr>
        <w:t>Construction of the CRC-specific ceRNA network</w:t>
      </w:r>
    </w:p>
    <w:p w14:paraId="5D5357E2" w14:textId="77777777" w:rsidR="00A77B3E" w:rsidRDefault="001D27AD" w:rsidP="00567499">
      <w:pPr>
        <w:snapToGrid w:val="0"/>
        <w:spacing w:line="360" w:lineRule="auto"/>
        <w:jc w:val="both"/>
      </w:pPr>
      <w:r>
        <w:rPr>
          <w:rFonts w:ascii="Book Antiqua" w:eastAsia="Book Antiqua" w:hAnsi="Book Antiqua" w:cs="Book Antiqua"/>
          <w:color w:val="000000"/>
        </w:rPr>
        <w:t>Based on the recognized 49 circRNAs, 25 miRNAs and 77 mRNAs, we removed unconnected nodes and chose 19 circRNAs (hsa_circ_0000520, hsa_circ_0000519, hsa_circ_0001955, hsa_circ_0028198, hsa_circ_0080210, hsa_circ_0007158, hsa_circ_0000375, hsa_circ_0000026, hsa_circ_0023685, hsa_circ_0000370, hsa_circ_0061817, hsa_circ_0005927, hsa_circ_0072088, hsa_circ_0018909, hsa_circ_0013912, hsa_circ_0071681, hsa_circ_0011536, hsa_circ_0043278, and hsa_circ_0006220), 13 miRNAs (hsa-miR-423-5p, hsa-miR-532-3p, hsa-miR-765, hsa-miR-1224-5p, hsa-miR-650, hsa-miR-769-5p, hsa-miR-671-5p, hsa-miR-1290, hsa-miR-125a-3p, hsa-miR-601, hsa-miR-198, hsa-miR-1202, and hsa-miR-1182) and 28 mRNAs (</w:t>
      </w:r>
      <w:r>
        <w:rPr>
          <w:rFonts w:ascii="Book Antiqua" w:eastAsia="Book Antiqua" w:hAnsi="Book Antiqua" w:cs="Book Antiqua"/>
          <w:i/>
          <w:iCs/>
          <w:color w:val="000000"/>
        </w:rPr>
        <w:t xml:space="preserve">RNF43, DSG3, AZGP1, SST, DES, TCF21, MFAP4, EREG, BCAS1, C1QA, SPARCL1, CXCL3, EPHB3, TRAF3IP3, TRPM2, CA2, LRRC19, SCG2, C16orf89, ADH1A, MZB1, HAPLN1, S100A2, GPR34, MS4A12, ITLN1, DHRS9, </w:t>
      </w:r>
      <w:r>
        <w:rPr>
          <w:rFonts w:ascii="Book Antiqua" w:eastAsia="Book Antiqua" w:hAnsi="Book Antiqua" w:cs="Book Antiqua"/>
          <w:color w:val="000000"/>
        </w:rPr>
        <w:t>and</w:t>
      </w:r>
      <w:r>
        <w:rPr>
          <w:rFonts w:ascii="Book Antiqua" w:eastAsia="Book Antiqua" w:hAnsi="Book Antiqua" w:cs="Book Antiqua"/>
          <w:i/>
          <w:iCs/>
          <w:color w:val="000000"/>
        </w:rPr>
        <w:t xml:space="preserve"> CHGB</w:t>
      </w:r>
      <w:r>
        <w:rPr>
          <w:rFonts w:ascii="Book Antiqua" w:eastAsia="Book Antiqua" w:hAnsi="Book Antiqua" w:cs="Book Antiqua"/>
          <w:color w:val="000000"/>
        </w:rPr>
        <w:t>) in to construct a circRNA-miRNA-mRNA regulatory network utilizing Cytoscape 3.7.2 (Figure 5). The expression levels of these RNA molecules are shown in Figure 6.</w:t>
      </w:r>
    </w:p>
    <w:p w14:paraId="615F508B" w14:textId="77777777" w:rsidR="00A77B3E" w:rsidRDefault="00A77B3E" w:rsidP="00567499">
      <w:pPr>
        <w:snapToGrid w:val="0"/>
        <w:spacing w:line="360" w:lineRule="auto"/>
        <w:jc w:val="both"/>
      </w:pPr>
    </w:p>
    <w:p w14:paraId="20A1BD5D" w14:textId="77777777" w:rsidR="00A77B3E" w:rsidRDefault="001D27AD" w:rsidP="00567499">
      <w:pPr>
        <w:snapToGrid w:val="0"/>
        <w:spacing w:line="360" w:lineRule="auto"/>
        <w:jc w:val="both"/>
      </w:pPr>
      <w:r>
        <w:rPr>
          <w:rFonts w:ascii="Book Antiqua" w:eastAsia="Book Antiqua" w:hAnsi="Book Antiqua" w:cs="Book Antiqua"/>
          <w:b/>
          <w:bCs/>
          <w:i/>
          <w:iCs/>
          <w:color w:val="000000"/>
        </w:rPr>
        <w:t>GO and KEGG functional enrichment analysis</w:t>
      </w:r>
    </w:p>
    <w:p w14:paraId="77EA5C98" w14:textId="3F65169E" w:rsidR="00A77B3E" w:rsidRDefault="001D27AD" w:rsidP="00567499">
      <w:pPr>
        <w:snapToGrid w:val="0"/>
        <w:spacing w:line="360" w:lineRule="auto"/>
        <w:jc w:val="both"/>
      </w:pPr>
      <w:r>
        <w:rPr>
          <w:rFonts w:ascii="Book Antiqua" w:eastAsia="Book Antiqua" w:hAnsi="Book Antiqua" w:cs="Book Antiqua"/>
          <w:color w:val="000000"/>
        </w:rPr>
        <w:t xml:space="preserve">GO analysis revealed that the enrichments of the identified mRNAs in the ceRNA network were mainly in the ‘retinoic acid metabolic process’, ‘retinol metabolic process’, ‘digestive tract morphogenesis’, and ‘leukocyte chemotaxis’ (biological processes;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0.005) (Figure 7A); ‘collagen-containing extracellular matrix’, ‘endoplasmic reticulum lumen’ and ‘endoplasmic reticulum chaperone complex’ (cellular components;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0.02) (Figure 7B); and ‘alcohol dehydrogenase (ADH) [NAD(P)</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activity’, ‘retinol dehydrogenase activity’ and ‘oxidoreductase activity’ (molecular functions;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0.02) (Figure 7C). The results of KEGG pathway analysis involving the ceRNA network indicated that the target genes were mainly enriched in ‘retinol metabolism’, ‘gastric acid secretion’, ‘nitrogen metabolism’, ‘NOD-like receptor signaling pathway’, ‘proximal tubule bicarbonate reclamation’, ‘collecting duct acid secretion’ and ‘tyrosine metabolism’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7D). According to these results, the retinol metabolic process, leukocyte chemotaxis, extracellular matrix remodeling, endoplasmic reticulum stress, ADH activity, gastric acid secretion, nitrogen metabolism and NOD-like receptor signaling pathway might participate in the tumorigenesis of CRC.</w:t>
      </w:r>
    </w:p>
    <w:p w14:paraId="74EF1BD1" w14:textId="77777777" w:rsidR="00A77B3E" w:rsidRDefault="00A77B3E" w:rsidP="00567499">
      <w:pPr>
        <w:snapToGrid w:val="0"/>
        <w:spacing w:line="360" w:lineRule="auto"/>
        <w:jc w:val="both"/>
      </w:pPr>
    </w:p>
    <w:p w14:paraId="140B10A6" w14:textId="77777777" w:rsidR="00A77B3E" w:rsidRDefault="001D27AD" w:rsidP="00567499">
      <w:pPr>
        <w:snapToGrid w:val="0"/>
        <w:spacing w:line="360" w:lineRule="auto"/>
        <w:jc w:val="both"/>
      </w:pPr>
      <w:r>
        <w:rPr>
          <w:rFonts w:ascii="Book Antiqua" w:eastAsia="Book Antiqua" w:hAnsi="Book Antiqua" w:cs="Book Antiqua"/>
          <w:b/>
          <w:bCs/>
          <w:i/>
          <w:iCs/>
          <w:color w:val="000000"/>
        </w:rPr>
        <w:t>Survival analysis and construction of the prognostic ceRNA subnetwork</w:t>
      </w:r>
    </w:p>
    <w:p w14:paraId="078A5D31" w14:textId="49F1AC26" w:rsidR="00A77B3E" w:rsidRDefault="001D27AD" w:rsidP="00567499">
      <w:pPr>
        <w:snapToGrid w:val="0"/>
        <w:spacing w:line="360" w:lineRule="auto"/>
        <w:jc w:val="both"/>
      </w:pPr>
      <w:r>
        <w:rPr>
          <w:rFonts w:ascii="Book Antiqua" w:eastAsia="Book Antiqua" w:hAnsi="Book Antiqua" w:cs="Book Antiqua"/>
          <w:color w:val="000000"/>
        </w:rPr>
        <w:t>We obtained mRNA profiles and clinical information of CRC patients in the TCGA database and performed survival analysis for each mRNA in the obtained ceRNA network. Finally, we recognized that 3 mRNAs (</w:t>
      </w:r>
      <w:r>
        <w:rPr>
          <w:rFonts w:ascii="Book Antiqua" w:eastAsia="Book Antiqua" w:hAnsi="Book Antiqua" w:cs="Book Antiqua"/>
          <w:i/>
          <w:iCs/>
          <w:color w:val="000000"/>
        </w:rPr>
        <w:t xml:space="preserve">CA2, ITLN1, </w:t>
      </w:r>
      <w:r>
        <w:rPr>
          <w:rFonts w:ascii="Book Antiqua" w:eastAsia="Book Antiqua" w:hAnsi="Book Antiqua" w:cs="Book Antiqua"/>
          <w:color w:val="000000"/>
        </w:rPr>
        <w:t>and</w:t>
      </w:r>
      <w:r>
        <w:rPr>
          <w:rFonts w:ascii="Book Antiqua" w:eastAsia="Book Antiqua" w:hAnsi="Book Antiqua" w:cs="Book Antiqua"/>
          <w:i/>
          <w:iCs/>
          <w:color w:val="000000"/>
        </w:rPr>
        <w:t xml:space="preserve"> LRRC19</w:t>
      </w:r>
      <w:r>
        <w:rPr>
          <w:rFonts w:ascii="Book Antiqua" w:eastAsia="Book Antiqua" w:hAnsi="Book Antiqua" w:cs="Book Antiqua"/>
          <w:color w:val="000000"/>
        </w:rPr>
        <w:t xml:space="preserve">) were significantly correlated with the clinical outcome of CRC patients (Figure 8). The patients with the upregulation of </w:t>
      </w:r>
      <w:r>
        <w:rPr>
          <w:rFonts w:ascii="Book Antiqua" w:eastAsia="Book Antiqua" w:hAnsi="Book Antiqua" w:cs="Book Antiqua"/>
          <w:i/>
          <w:iCs/>
          <w:color w:val="000000"/>
        </w:rPr>
        <w:t>CA2</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B6725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B6725D">
        <w:rPr>
          <w:rFonts w:ascii="Book Antiqua" w:eastAsia="Book Antiqua" w:hAnsi="Book Antiqua" w:cs="Book Antiqua"/>
          <w:color w:val="000000"/>
        </w:rPr>
        <w:t xml:space="preserve"> </w:t>
      </w:r>
      <w:r>
        <w:rPr>
          <w:rFonts w:ascii="Book Antiqua" w:eastAsia="Book Antiqua" w:hAnsi="Book Antiqua" w:cs="Book Antiqua"/>
          <w:color w:val="000000"/>
        </w:rPr>
        <w:t xml:space="preserve">0.002), </w:t>
      </w:r>
      <w:r>
        <w:rPr>
          <w:rFonts w:ascii="Book Antiqua" w:eastAsia="Book Antiqua" w:hAnsi="Book Antiqua" w:cs="Book Antiqua"/>
          <w:i/>
          <w:iCs/>
          <w:color w:val="000000"/>
        </w:rPr>
        <w:t>ITLN1</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B6725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B6725D">
        <w:rPr>
          <w:rFonts w:ascii="Book Antiqua" w:eastAsia="Book Antiqua" w:hAnsi="Book Antiqua" w:cs="Book Antiqua"/>
          <w:color w:val="000000"/>
        </w:rPr>
        <w:t xml:space="preserve"> </w:t>
      </w:r>
      <w:r>
        <w:rPr>
          <w:rFonts w:ascii="Book Antiqua" w:eastAsia="Book Antiqua" w:hAnsi="Book Antiqua" w:cs="Book Antiqua"/>
          <w:color w:val="000000"/>
        </w:rPr>
        <w:t xml:space="preserve">0.001) and </w:t>
      </w:r>
      <w:r>
        <w:rPr>
          <w:rFonts w:ascii="Book Antiqua" w:eastAsia="Book Antiqua" w:hAnsi="Book Antiqua" w:cs="Book Antiqua"/>
          <w:i/>
          <w:iCs/>
          <w:color w:val="000000"/>
        </w:rPr>
        <w:t>LRRC19</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B6725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B6725D">
        <w:rPr>
          <w:rFonts w:ascii="Book Antiqua" w:eastAsia="Book Antiqua" w:hAnsi="Book Antiqua" w:cs="Book Antiqua"/>
          <w:color w:val="000000"/>
        </w:rPr>
        <w:t xml:space="preserve"> </w:t>
      </w:r>
      <w:r>
        <w:rPr>
          <w:rFonts w:ascii="Book Antiqua" w:eastAsia="Book Antiqua" w:hAnsi="Book Antiqua" w:cs="Book Antiqua"/>
          <w:color w:val="000000"/>
        </w:rPr>
        <w:t>0.032) had a better prognosis than the corresponding group with low expression. Considering the 3 mRNAs identified above, we successfully constructed and visualized a ceRNA subnetwork including 5 circRNAs (hsa_circ_0080210, hsa_circ_0007158, hsa_circ_0000375, hsa_circ_0018909 and hsa_circ_0011536) and 3 miRNAs (hsa-miR-601, hsa-miR-671-5p and hsa-miR-765) (Figure 9).</w:t>
      </w:r>
    </w:p>
    <w:p w14:paraId="6225CCB5" w14:textId="77777777" w:rsidR="00A77B3E" w:rsidRDefault="00A77B3E" w:rsidP="00567499">
      <w:pPr>
        <w:snapToGrid w:val="0"/>
        <w:spacing w:line="360" w:lineRule="auto"/>
        <w:jc w:val="both"/>
      </w:pPr>
    </w:p>
    <w:p w14:paraId="5F2B2686"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t>DISCUSSION</w:t>
      </w:r>
    </w:p>
    <w:p w14:paraId="1571DCAA" w14:textId="77777777" w:rsidR="00A77B3E" w:rsidRDefault="001D27AD" w:rsidP="00567499">
      <w:pPr>
        <w:snapToGrid w:val="0"/>
        <w:spacing w:line="360" w:lineRule="auto"/>
        <w:jc w:val="both"/>
      </w:pPr>
      <w:r>
        <w:rPr>
          <w:rFonts w:ascii="Book Antiqua" w:eastAsia="Book Antiqua" w:hAnsi="Book Antiqua" w:cs="Book Antiqua"/>
          <w:color w:val="000000"/>
        </w:rPr>
        <w:t>We identified the intersection of CRC-specific DEcircRNAs, DEmiRNAs and DEmRNAs in the GEO database with the target molecules of circRNAs and miRNAs predicted by relevant databases. Then, 19 circRNAs, 13 miRNAs and 28 mRNAs were identified to develop a circRNA-miRNA-mRNA regulatory network that may play a pivotal role in the progression of CRC. Subsequently, we conducted GO and KEGG pathway analyses for the 28 mRNAs to expand our understanding of the vital pathophysiological process of CRC initiation and progression. Finally, we verified the differential expression of the identified mRNAs in the TCGA database, screened prognosis-related mRNAs by conducting a survival analysis, and constructed a prognostic subnetwork using 5 circRNAs, 3 miRNAs and 3 mRNAs.</w:t>
      </w:r>
    </w:p>
    <w:p w14:paraId="4C2B3482" w14:textId="01488AB8" w:rsidR="00A77B3E" w:rsidRDefault="001D27AD" w:rsidP="00567499">
      <w:pPr>
        <w:snapToGrid w:val="0"/>
        <w:spacing w:line="360" w:lineRule="auto"/>
        <w:ind w:firstLine="480"/>
        <w:jc w:val="both"/>
      </w:pPr>
      <w:r>
        <w:rPr>
          <w:rFonts w:ascii="Book Antiqua" w:eastAsia="Book Antiqua" w:hAnsi="Book Antiqua" w:cs="Book Antiqua"/>
          <w:color w:val="000000"/>
        </w:rPr>
        <w:t>CircRNAs, as stable, abundant and conserved ceRNAs that act as miRNA sponges, could be identified as valuable indicators for the diagnosis and pathogenesis of CRC. Similar studies also supported the evidence that DEcircRNAs identified in our study could be vital components in the ceRNA network, which modulate crucial gene expression in the initiation and progression of cancer, especially CRC. For example, the dysregulation of hsa_circ_0000520 could affect the tumorigenesis of cervical cancer and breast cancer through the miRNA-mRNA axis</w:t>
      </w:r>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The hsa_circ_0072088 in the circRNA-miRNA-mRNA network was identified as being related to CRC and lung cancer progression</w:t>
      </w:r>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The hsa_circ_0001955 was found to mediate a ceRNA network in CRC by bioinformatics analysis and experimental validation</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The hsa_circ_0005927 was verified in gastric cancer and could be a biomarker for gastric cancer screening</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The hsa_circ_0000026 was found to be expressed at low levels in gastric cancer and may correlate with the progression of CRC</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The hsa_circ_0000370 in plasma showed diagnostic value for CRC and might be involved in tumorigenesis</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All of these studies indicate that circRNAs may participate in CRC progression and could be vital biomarkers for diagnosis as well as therapeutic targets. The majority of 55 DEcircRNAs identified in our study were innovative biomarkers in CRC and still require further investigation in the future.</w:t>
      </w:r>
    </w:p>
    <w:p w14:paraId="308A3565" w14:textId="5F51E706" w:rsidR="00A77B3E" w:rsidRDefault="001D27AD" w:rsidP="00567499">
      <w:pPr>
        <w:snapToGrid w:val="0"/>
        <w:spacing w:line="360" w:lineRule="auto"/>
        <w:ind w:firstLine="480"/>
        <w:jc w:val="both"/>
      </w:pPr>
      <w:r>
        <w:rPr>
          <w:rFonts w:ascii="Book Antiqua" w:eastAsia="Book Antiqua" w:hAnsi="Book Antiqua" w:cs="Book Antiqua"/>
          <w:color w:val="000000"/>
        </w:rPr>
        <w:t xml:space="preserve">To further explore signaling pathways that might play an important role in the tumorigenesis and progression of CRC, we conducted GO and KEGG analyses of 28 identified genes in the ceRNA network. Growing studies have confirmed that the signaling pathways uncovered in our study participate in crucial pathological processes in many kinds of cancer. Bhattacharya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reported that the inhibition of retinoic acid signaling, a key regulator of intestinal immunity, could promote the tumorigenesis of CRC by cytotoxic T cells, and retinoic acid catabolizing enzyme was a promising negative predictor for the prognosis of CRC patients. Retinol dehydrogenase 16, one of the isoforms of the rate-limiting enzyme of the retinol cycle, was reported to increase the level of retinoic acid, and associate with the tumor size of hepatocellular carcinoma and poor overall survival of patients as well</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Mesenchymal cells in the intestine, called cancer-associated fibroblasts, exert critical functions to regulate a variety of activities, including intestinal inflammation, epithelial proliferation, extracellular matrix remodeling and metastasis, which could affect the microenvironment and promote CRC development and progression</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A recent study revealed that leukocyte chemotaxis and adhesion were distinctly reduced in the vasculature of CRC</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and some miRNAs, including miR-15A and miR-16-1, were able to modulate the pathway of immune regulatory B cell chemotaxis in CRC, which could affect the tumor growth and survival time</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Endoplasmic reticulum stress is one of the pivotal processes in carcinogenesis and could represent an innovative therapeutic target in resistant tumors</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Chen</w:t>
      </w:r>
      <w:r w:rsidR="00B6725D">
        <w:rPr>
          <w:rFonts w:ascii="Book Antiqua" w:eastAsia="Book Antiqua" w:hAnsi="Book Antiqua" w:cs="Book Antiqua"/>
          <w:color w:val="000000"/>
        </w:rPr>
        <w:t>g</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found that endoplasmic reticulum stress participated in the apoptosis and autophagy in CRC induced by apatinib, a novel tyrosine kinase inhibitor. The consumption of alcohol was reported to increase the risk of colorectal adenomas, and ADH might modify the correlation between alcohol consumption and colorectal adenomas</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ADH expression has the potential to be a prognostic marker of pancreatic adenocarcinoma</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and acetaldehyde is recognized to elevate the possibility of chemically induced rectal carcinogenesis</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A recent meta-analysis revealed that gastric acid suppressant use showed a significant correlation with poor survival for patients receiving oral chemotherapy for gastrointestinal tract cancer, supporting a possible negative impact of gastric acid suppressants on the survival outcome of CRC</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As one of the most fundamental requirements for biosynthesis, nitrogen metabolism is utilized and modulated to sustain the increased demand for nitrogen sources in cancer proliferation</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The regulation of nitrogen metabolism participates in the process of obesity-associated pancreatic cancer, small cell lung cancer and CRC metastasis</w:t>
      </w:r>
      <w:r>
        <w:rPr>
          <w:rFonts w:ascii="Book Antiqua" w:eastAsia="Book Antiqua" w:hAnsi="Book Antiqua" w:cs="Book Antiqua"/>
          <w:color w:val="000000"/>
          <w:szCs w:val="20"/>
          <w:vertAlign w:val="superscript"/>
        </w:rPr>
        <w:t>[29-31]</w:t>
      </w:r>
      <w:r>
        <w:rPr>
          <w:rFonts w:ascii="Book Antiqua" w:eastAsia="Book Antiqua" w:hAnsi="Book Antiqua" w:cs="Book Antiqua"/>
          <w:color w:val="000000"/>
        </w:rPr>
        <w:t>. The NOD-like receptor signaling pathway was one of the enriched pathways of genes with aberrant expression among pancreatic, thyroid, and renal cancer compared with healthy controls through bioinformatics analyses</w:t>
      </w:r>
      <w:r>
        <w:rPr>
          <w:rFonts w:ascii="Book Antiqua" w:eastAsia="Book Antiqua" w:hAnsi="Book Antiqua" w:cs="Book Antiqua"/>
          <w:color w:val="000000"/>
          <w:szCs w:val="20"/>
          <w:vertAlign w:val="superscript"/>
        </w:rPr>
        <w:t>[32-34]</w:t>
      </w:r>
      <w:r>
        <w:rPr>
          <w:rFonts w:ascii="Book Antiqua" w:eastAsia="Book Antiqua" w:hAnsi="Book Antiqua" w:cs="Book Antiqua"/>
          <w:color w:val="000000"/>
        </w:rPr>
        <w:t xml:space="preserve">. </w:t>
      </w:r>
      <w:r w:rsidRPr="00B6725D">
        <w:rPr>
          <w:rFonts w:ascii="Book Antiqua" w:eastAsia="Book Antiqua" w:hAnsi="Book Antiqua" w:cs="Book Antiqua"/>
          <w:color w:val="000000"/>
        </w:rPr>
        <w:t xml:space="preserve">Furthermore, KEGG website (http://www.kegg.jp/) was utilized to analyze the specific steps of these biological processes affected by identified mRNAs in ceRNA network. It is well-known that </w:t>
      </w:r>
      <w:r w:rsidRPr="00551F4B">
        <w:rPr>
          <w:rFonts w:ascii="Book Antiqua" w:eastAsia="Book Antiqua" w:hAnsi="Book Antiqua" w:cs="Book Antiqua"/>
          <w:color w:val="000000"/>
        </w:rPr>
        <w:t>CA2</w:t>
      </w:r>
      <w:r w:rsidRPr="00B6725D">
        <w:rPr>
          <w:rFonts w:ascii="Book Antiqua" w:eastAsia="Book Antiqua" w:hAnsi="Book Antiqua" w:cs="Book Antiqua"/>
          <w:color w:val="000000"/>
        </w:rPr>
        <w:t xml:space="preserve"> participates in the processes of combining water and carbon dioxide to generate carbonic acid, acting as one of the key enzymes in the proximal tubule bicarbonate reclamation and collecting duct acid secretion. According to the pathway diagrams in KEGG website, </w:t>
      </w:r>
      <w:r w:rsidRPr="00551F4B">
        <w:rPr>
          <w:rFonts w:ascii="Book Antiqua" w:eastAsia="Book Antiqua" w:hAnsi="Book Antiqua" w:cs="Book Antiqua"/>
          <w:color w:val="000000"/>
        </w:rPr>
        <w:t>CA2</w:t>
      </w:r>
      <w:r w:rsidRPr="00B6725D">
        <w:rPr>
          <w:rFonts w:ascii="Book Antiqua" w:eastAsia="Book Antiqua" w:hAnsi="Book Antiqua" w:cs="Book Antiqua"/>
          <w:color w:val="000000"/>
        </w:rPr>
        <w:t xml:space="preserve"> also involves in gastric acid secretion and arginine biosynthesis in nitrogen metabolism. </w:t>
      </w:r>
      <w:r w:rsidRPr="00551F4B">
        <w:rPr>
          <w:rFonts w:ascii="Book Antiqua" w:eastAsia="Book Antiqua" w:hAnsi="Book Antiqua" w:cs="Book Antiqua"/>
          <w:color w:val="000000"/>
        </w:rPr>
        <w:t>CXCXL3</w:t>
      </w:r>
      <w:r w:rsidRPr="00B6725D">
        <w:rPr>
          <w:rFonts w:ascii="Book Antiqua" w:eastAsia="Book Antiqua" w:hAnsi="Book Antiqua" w:cs="Book Antiqua"/>
          <w:color w:val="000000"/>
        </w:rPr>
        <w:t xml:space="preserve"> is one of the downstream chemokines of NOD-</w:t>
      </w:r>
      <w:r w:rsidR="00B6725D" w:rsidRPr="00B6725D">
        <w:rPr>
          <w:rFonts w:ascii="Book Antiqua" w:eastAsia="Book Antiqua" w:hAnsi="Book Antiqua" w:cs="Book Antiqua"/>
          <w:color w:val="000000"/>
        </w:rPr>
        <w:t>nuclear factor-kappa</w:t>
      </w:r>
      <w:r w:rsidR="0054203C">
        <w:rPr>
          <w:rFonts w:ascii="Book Antiqua" w:eastAsia="Book Antiqua" w:hAnsi="Book Antiqua" w:cs="Book Antiqua"/>
          <w:color w:val="000000"/>
        </w:rPr>
        <w:t xml:space="preserve"> </w:t>
      </w:r>
      <w:r w:rsidR="00B6725D" w:rsidRPr="00B6725D">
        <w:rPr>
          <w:rFonts w:ascii="Book Antiqua" w:eastAsia="Book Antiqua" w:hAnsi="Book Antiqua" w:cs="Book Antiqua"/>
          <w:color w:val="000000"/>
        </w:rPr>
        <w:t>B</w:t>
      </w:r>
      <w:r w:rsidRPr="00B6725D">
        <w:rPr>
          <w:rFonts w:ascii="Book Antiqua" w:eastAsia="Book Antiqua" w:hAnsi="Book Antiqua" w:cs="Book Antiqua"/>
          <w:color w:val="000000"/>
        </w:rPr>
        <w:t xml:space="preserve"> pathway in NOD-like receptor signaling pathway. ADH, as one of the key enzymes for the mutual transformation of all-trans-retinal and all-trans-retinol (vitamin A), participates in the final metabolic process of dopamine to 3-methoxy-4-hydroxy-phenylethylene-glycol in tyrosine metabolism.</w:t>
      </w:r>
      <w:r>
        <w:rPr>
          <w:rFonts w:ascii="Book Antiqua" w:eastAsia="Book Antiqua" w:hAnsi="Book Antiqua" w:cs="Book Antiqua"/>
          <w:color w:val="000000"/>
        </w:rPr>
        <w:t xml:space="preserve"> In summary, the retinol metabolic process, leukocyte chemotaxis, extracellular matrix remodeling, endoplasmic reticulum stress, ADH activity, gastric acid secretion, nitrogen metabolism and NOD-like receptor signaling pathway might represent essential signaling pathways involved in the pathogenesis of CRC. However, the molecular mechanism of tumorigenesis and progression is quite complicated and still requires further exploration.</w:t>
      </w:r>
    </w:p>
    <w:p w14:paraId="412F392F" w14:textId="110FCDD3" w:rsidR="00A77B3E" w:rsidRDefault="001D27AD" w:rsidP="00567499">
      <w:pPr>
        <w:snapToGrid w:val="0"/>
        <w:spacing w:line="360" w:lineRule="auto"/>
        <w:ind w:firstLine="480"/>
        <w:jc w:val="both"/>
      </w:pPr>
      <w:r>
        <w:rPr>
          <w:rFonts w:ascii="Book Antiqua" w:eastAsia="Book Antiqua" w:hAnsi="Book Antiqua" w:cs="Book Antiqua"/>
          <w:color w:val="000000"/>
        </w:rPr>
        <w:t>We verified the differential expression of the mRNAs in the ceRNA network using the TCGA database, combined the results of the survival analysis, screened prognosis-related mRNAs, and finally used 5 circRNAs, 3 miRNAs and 3 mRNAs to construct a prognostic subnetwork. The roles of the 5 circRNAs (hsa_circ_0080210, hsa_circ_0007158, hsa_circ_0000375, hsa_circ_0018909 and hsa_circ_0011536) involved in tumorigenesis require investigation, which implies that these circRNAs might have the potential to become novel indicators for CRC diagnosis and targeted treatment. Some studies were consistent with our result that 3 miRNAs (hsa-miR-601, hsa-miR-671-5p and hsa-miR-765) might represent promising biomarkers of cancer progression and prognosis. MiR-601 was identified to hold diagnostic value for CRC with 69.2% sensitivity and 72.4% specificity for CRC diagnosis</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and might suppress the proliferation and invasion of esophageal squamous cell carcinoma and breast cancer</w:t>
      </w:r>
      <w:r>
        <w:rPr>
          <w:rFonts w:ascii="Book Antiqua" w:eastAsia="Book Antiqua" w:hAnsi="Book Antiqua" w:cs="Book Antiqua"/>
          <w:color w:val="000000"/>
          <w:szCs w:val="20"/>
          <w:vertAlign w:val="superscript"/>
        </w:rPr>
        <w:t>[36,37]</w:t>
      </w:r>
      <w:r>
        <w:rPr>
          <w:rFonts w:ascii="Book Antiqua" w:eastAsia="Book Antiqua" w:hAnsi="Book Antiqua" w:cs="Book Antiqua"/>
          <w:color w:val="000000"/>
        </w:rPr>
        <w:t>. Some studies revealed that miR-671-5p could promote and maintain the oncogenesis and progression of various cancers, such as esophageal cancer, breast cancer, glioblastoma and melanoma</w:t>
      </w:r>
      <w:r>
        <w:rPr>
          <w:rFonts w:ascii="Book Antiqua" w:eastAsia="Book Antiqua" w:hAnsi="Book Antiqua" w:cs="Book Antiqua"/>
          <w:color w:val="000000"/>
          <w:szCs w:val="20"/>
          <w:vertAlign w:val="superscript"/>
        </w:rPr>
        <w:t>[38-41]</w:t>
      </w:r>
      <w:r>
        <w:rPr>
          <w:rFonts w:ascii="Book Antiqua" w:eastAsia="Book Antiqua" w:hAnsi="Book Antiqua" w:cs="Book Antiqua"/>
          <w:color w:val="000000"/>
        </w:rPr>
        <w:t>, and act as a prognostic predictor of locally advanced rectal cancer due to the significant upregulation in pathological response to neoadjuvant chemoradiotherapy</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The expression level of hsa-miR-765 could be utilized to independently predict overall survival and disease-free survival and correlate with the tumor stage, clinical stage and lymph node metastasis in esophageal squamous cell carcinoma</w:t>
      </w:r>
      <w:r>
        <w:rPr>
          <w:rFonts w:ascii="Book Antiqua" w:eastAsia="Book Antiqua" w:hAnsi="Book Antiqua" w:cs="Book Antiqua"/>
          <w:color w:val="000000"/>
          <w:szCs w:val="20"/>
          <w:vertAlign w:val="superscript"/>
        </w:rPr>
        <w:t>[43]</w:t>
      </w:r>
      <w:r>
        <w:rPr>
          <w:rFonts w:ascii="Book Antiqua" w:eastAsia="Book Antiqua" w:hAnsi="Book Antiqua" w:cs="Book Antiqua"/>
          <w:color w:val="000000"/>
        </w:rPr>
        <w:t>. Hsa-miR-765 could also promote the aggressiveness of hepatocellular carcinoma and osteosarcoma</w:t>
      </w:r>
      <w:r>
        <w:rPr>
          <w:rFonts w:ascii="Book Antiqua" w:eastAsia="Book Antiqua" w:hAnsi="Book Antiqua" w:cs="Book Antiqua"/>
          <w:color w:val="000000"/>
          <w:szCs w:val="20"/>
          <w:vertAlign w:val="superscript"/>
        </w:rPr>
        <w:t>[44,45]</w:t>
      </w:r>
      <w:r>
        <w:rPr>
          <w:rFonts w:ascii="Book Antiqua" w:eastAsia="Book Antiqua" w:hAnsi="Book Antiqua" w:cs="Book Antiqua"/>
          <w:color w:val="000000"/>
        </w:rPr>
        <w:t>. To date, although some studies have focused attention on the roles of these 3 miRNAs in many types of cancer, hsa-miR-671-5p and hsa-miR-765 have not been recognized as promising biomarkers of CRC before our study.</w:t>
      </w:r>
    </w:p>
    <w:p w14:paraId="4BB1A394" w14:textId="2657C24A" w:rsidR="00A77B3E" w:rsidRDefault="001D27AD" w:rsidP="00567499">
      <w:pPr>
        <w:snapToGrid w:val="0"/>
        <w:spacing w:line="360" w:lineRule="auto"/>
        <w:ind w:firstLine="480"/>
        <w:jc w:val="both"/>
      </w:pPr>
      <w:r>
        <w:rPr>
          <w:rFonts w:ascii="Book Antiqua" w:eastAsia="Book Antiqua" w:hAnsi="Book Antiqua" w:cs="Book Antiqua"/>
          <w:color w:val="000000"/>
        </w:rPr>
        <w:t xml:space="preserve">We found that the upregulation of </w:t>
      </w:r>
      <w:r>
        <w:rPr>
          <w:rFonts w:ascii="Book Antiqua" w:eastAsia="Book Antiqua" w:hAnsi="Book Antiqua" w:cs="Book Antiqua"/>
          <w:i/>
          <w:iCs/>
          <w:color w:val="000000"/>
        </w:rPr>
        <w:t xml:space="preserve">CA2, ITLN1 </w:t>
      </w:r>
      <w:r>
        <w:rPr>
          <w:rFonts w:ascii="Book Antiqua" w:eastAsia="Book Antiqua" w:hAnsi="Book Antiqua" w:cs="Book Antiqua"/>
          <w:color w:val="000000"/>
        </w:rPr>
        <w:t>and</w:t>
      </w:r>
      <w:r>
        <w:rPr>
          <w:rFonts w:ascii="Book Antiqua" w:eastAsia="Book Antiqua" w:hAnsi="Book Antiqua" w:cs="Book Antiqua"/>
          <w:i/>
          <w:iCs/>
          <w:color w:val="000000"/>
        </w:rPr>
        <w:t xml:space="preserve"> LRRC19</w:t>
      </w:r>
      <w:r>
        <w:rPr>
          <w:rFonts w:ascii="Book Antiqua" w:eastAsia="Book Antiqua" w:hAnsi="Book Antiqua" w:cs="Book Antiqua"/>
          <w:color w:val="000000"/>
        </w:rPr>
        <w:t xml:space="preserve"> might be related to better clinical outcomes in CRC patients. </w:t>
      </w:r>
      <w:r>
        <w:rPr>
          <w:rFonts w:ascii="Book Antiqua" w:eastAsia="Book Antiqua" w:hAnsi="Book Antiqua" w:cs="Book Antiqua"/>
          <w:i/>
          <w:iCs/>
          <w:color w:val="000000"/>
        </w:rPr>
        <w:t>CA2</w:t>
      </w:r>
      <w:r>
        <w:rPr>
          <w:rFonts w:ascii="Book Antiqua" w:eastAsia="Book Antiqua" w:hAnsi="Book Antiqua" w:cs="Book Antiqua"/>
          <w:color w:val="000000"/>
        </w:rPr>
        <w:t xml:space="preserve">, the gene that encodes carbonic anhydrase Ⅱ, was validated to be downregulated in CRC tissue and cell lines compared with healthy controls through experimental assays, and the overexpression of </w:t>
      </w:r>
      <w:r>
        <w:rPr>
          <w:rFonts w:ascii="Book Antiqua" w:eastAsia="Book Antiqua" w:hAnsi="Book Antiqua" w:cs="Book Antiqua"/>
          <w:i/>
          <w:iCs/>
          <w:color w:val="000000"/>
        </w:rPr>
        <w:t>CA2</w:t>
      </w:r>
      <w:r>
        <w:rPr>
          <w:rFonts w:ascii="Book Antiqua" w:eastAsia="Book Antiqua" w:hAnsi="Book Antiqua" w:cs="Book Antiqua"/>
          <w:color w:val="000000"/>
        </w:rPr>
        <w:t xml:space="preserve"> suppressed tumor cell growth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elevated the sensitivity of CRC cells to chemotherapy drugs</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w:t>
      </w:r>
      <w:r>
        <w:rPr>
          <w:rFonts w:ascii="Book Antiqua" w:eastAsia="Book Antiqua" w:hAnsi="Book Antiqua" w:cs="Book Antiqua"/>
          <w:i/>
          <w:iCs/>
          <w:color w:val="000000"/>
        </w:rPr>
        <w:t>CA2</w:t>
      </w:r>
      <w:r>
        <w:rPr>
          <w:rFonts w:ascii="Book Antiqua" w:eastAsia="Book Antiqua" w:hAnsi="Book Antiqua" w:cs="Book Antiqua"/>
          <w:color w:val="000000"/>
        </w:rPr>
        <w:t xml:space="preserve"> might also be useful for the survival prediction of CRC patients</w:t>
      </w:r>
      <w:r>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Other carbonic anhydrase isoforms, such as </w:t>
      </w:r>
      <w:r>
        <w:rPr>
          <w:rFonts w:ascii="Book Antiqua" w:eastAsia="Book Antiqua" w:hAnsi="Book Antiqua" w:cs="Book Antiqua"/>
          <w:i/>
          <w:iCs/>
          <w:color w:val="000000"/>
        </w:rPr>
        <w:t>CA1</w:t>
      </w:r>
      <w:r>
        <w:rPr>
          <w:rFonts w:ascii="Book Antiqua" w:eastAsia="Book Antiqua" w:hAnsi="Book Antiqua" w:cs="Book Antiqua"/>
          <w:color w:val="000000"/>
        </w:rPr>
        <w:t xml:space="preserve">, </w:t>
      </w:r>
      <w:r>
        <w:rPr>
          <w:rFonts w:ascii="Book Antiqua" w:eastAsia="Book Antiqua" w:hAnsi="Book Antiqua" w:cs="Book Antiqua"/>
          <w:i/>
          <w:iCs/>
          <w:color w:val="000000"/>
        </w:rPr>
        <w:t>CA4</w:t>
      </w:r>
      <w:r>
        <w:rPr>
          <w:rFonts w:ascii="Book Antiqua" w:eastAsia="Book Antiqua" w:hAnsi="Book Antiqua" w:cs="Book Antiqua"/>
          <w:color w:val="000000"/>
        </w:rPr>
        <w:t xml:space="preserve">, </w:t>
      </w:r>
      <w:r>
        <w:rPr>
          <w:rFonts w:ascii="Book Antiqua" w:eastAsia="Book Antiqua" w:hAnsi="Book Antiqua" w:cs="Book Antiqua"/>
          <w:i/>
          <w:iCs/>
          <w:color w:val="000000"/>
        </w:rPr>
        <w:t>CA9</w:t>
      </w:r>
      <w:r>
        <w:rPr>
          <w:rFonts w:ascii="Book Antiqua" w:eastAsia="Book Antiqua" w:hAnsi="Book Antiqua" w:cs="Book Antiqua"/>
          <w:color w:val="000000"/>
        </w:rPr>
        <w:t xml:space="preserve"> and </w:t>
      </w:r>
      <w:r>
        <w:rPr>
          <w:rFonts w:ascii="Book Antiqua" w:eastAsia="Book Antiqua" w:hAnsi="Book Antiqua" w:cs="Book Antiqua"/>
          <w:i/>
          <w:iCs/>
          <w:color w:val="000000"/>
        </w:rPr>
        <w:t>CA12</w:t>
      </w:r>
      <w:r>
        <w:rPr>
          <w:rFonts w:ascii="Book Antiqua" w:eastAsia="Book Antiqua" w:hAnsi="Book Antiqua" w:cs="Book Antiqua"/>
          <w:color w:val="000000"/>
        </w:rPr>
        <w:t>, could exert effects on favorable outcomes or rescue the tumor progression of CRC</w:t>
      </w:r>
      <w:r>
        <w:rPr>
          <w:rFonts w:ascii="Book Antiqua" w:eastAsia="Book Antiqua" w:hAnsi="Book Antiqua" w:cs="Book Antiqua"/>
          <w:color w:val="000000"/>
          <w:szCs w:val="20"/>
          <w:vertAlign w:val="superscript"/>
        </w:rPr>
        <w:t>[48-50]</w:t>
      </w:r>
      <w:r>
        <w:rPr>
          <w:rFonts w:ascii="Book Antiqua" w:eastAsia="Book Antiqua" w:hAnsi="Book Antiqua" w:cs="Book Antiqua"/>
          <w:color w:val="000000"/>
        </w:rPr>
        <w:t xml:space="preserve">. In summary, </w:t>
      </w:r>
      <w:r>
        <w:rPr>
          <w:rFonts w:ascii="Book Antiqua" w:eastAsia="Book Antiqua" w:hAnsi="Book Antiqua" w:cs="Book Antiqua"/>
          <w:i/>
          <w:iCs/>
          <w:color w:val="000000"/>
        </w:rPr>
        <w:t>CA2</w:t>
      </w:r>
      <w:r>
        <w:rPr>
          <w:rFonts w:ascii="Book Antiqua" w:eastAsia="Book Antiqua" w:hAnsi="Book Antiqua" w:cs="Book Antiqua"/>
          <w:color w:val="000000"/>
        </w:rPr>
        <w:t xml:space="preserve"> could be a beneficial predictor for CRC diagnosis and prognosis. The expression of </w:t>
      </w:r>
      <w:r>
        <w:rPr>
          <w:rFonts w:ascii="Book Antiqua" w:eastAsia="Book Antiqua" w:hAnsi="Book Antiqua" w:cs="Book Antiqua"/>
          <w:i/>
          <w:iCs/>
          <w:color w:val="000000"/>
        </w:rPr>
        <w:t>ITLN1</w:t>
      </w:r>
      <w:r>
        <w:rPr>
          <w:rFonts w:ascii="Book Antiqua" w:eastAsia="Book Antiqua" w:hAnsi="Book Antiqua" w:cs="Book Antiqua"/>
          <w:color w:val="000000"/>
        </w:rPr>
        <w:t>, which encodes intelectin-1 (also known as omentin-1), presented a sequentially descending trend with the mucosa-adenoma-carcinoma process</w:t>
      </w:r>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xml:space="preserve">. The downregulation of </w:t>
      </w:r>
      <w:r>
        <w:rPr>
          <w:rFonts w:ascii="Book Antiqua" w:eastAsia="Book Antiqua" w:hAnsi="Book Antiqua" w:cs="Book Antiqua"/>
          <w:i/>
          <w:iCs/>
          <w:color w:val="000000"/>
        </w:rPr>
        <w:t>ITLN1</w:t>
      </w:r>
      <w:r>
        <w:rPr>
          <w:rFonts w:ascii="Book Antiqua" w:eastAsia="Book Antiqua" w:hAnsi="Book Antiqua" w:cs="Book Antiqua"/>
          <w:color w:val="000000"/>
        </w:rPr>
        <w:t xml:space="preserve"> was reported to be related to poor prognosis among CRC patients at advanced stages</w:t>
      </w:r>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ITLN1 </w:t>
      </w:r>
      <w:r>
        <w:rPr>
          <w:rFonts w:ascii="Book Antiqua" w:eastAsia="Book Antiqua" w:hAnsi="Book Antiqua" w:cs="Book Antiqua"/>
          <w:color w:val="000000"/>
        </w:rPr>
        <w:t>could also</w:t>
      </w:r>
      <w:r>
        <w:rPr>
          <w:rFonts w:ascii="Book Antiqua" w:eastAsia="Book Antiqua" w:hAnsi="Book Antiqua" w:cs="Book Antiqua"/>
          <w:i/>
          <w:iCs/>
          <w:color w:val="000000"/>
        </w:rPr>
        <w:t xml:space="preserve"> </w:t>
      </w:r>
      <w:r>
        <w:rPr>
          <w:rFonts w:ascii="Book Antiqua" w:eastAsia="Book Antiqua" w:hAnsi="Book Antiqua" w:cs="Book Antiqua"/>
          <w:color w:val="000000"/>
        </w:rPr>
        <w:t>suppress tumorigenesis and correlate with a better prognosis probability of neuroblastoma and ovarian cancer</w:t>
      </w:r>
      <w:r>
        <w:rPr>
          <w:rFonts w:ascii="Book Antiqua" w:eastAsia="Book Antiqua" w:hAnsi="Book Antiqua" w:cs="Book Antiqua"/>
          <w:color w:val="000000"/>
          <w:szCs w:val="20"/>
          <w:vertAlign w:val="superscript"/>
        </w:rPr>
        <w:t>[53,54]</w:t>
      </w:r>
      <w:r>
        <w:rPr>
          <w:rFonts w:ascii="Book Antiqua" w:eastAsia="Book Antiqua" w:hAnsi="Book Antiqua" w:cs="Book Antiqua"/>
          <w:color w:val="000000"/>
        </w:rPr>
        <w:t xml:space="preserve">. The low expression of </w:t>
      </w:r>
      <w:r>
        <w:rPr>
          <w:rFonts w:ascii="Book Antiqua" w:eastAsia="Book Antiqua" w:hAnsi="Book Antiqua" w:cs="Book Antiqua"/>
          <w:i/>
          <w:iCs/>
          <w:color w:val="000000"/>
        </w:rPr>
        <w:t xml:space="preserve">LRRC19 </w:t>
      </w:r>
      <w:r>
        <w:rPr>
          <w:rFonts w:ascii="Book Antiqua" w:eastAsia="Book Antiqua" w:hAnsi="Book Antiqua" w:cs="Book Antiqua"/>
          <w:color w:val="000000"/>
        </w:rPr>
        <w:t>(leucine-rich repeat containing 19) was identified as an independent risk factor and prognostic biomarker of kidney renal clear cell carcinoma and was involved in selenium adjuvant therapy</w:t>
      </w:r>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 xml:space="preserve">. In addition, </w:t>
      </w:r>
      <w:r>
        <w:rPr>
          <w:rFonts w:ascii="Book Antiqua" w:eastAsia="Book Antiqua" w:hAnsi="Book Antiqua" w:cs="Book Antiqua"/>
          <w:i/>
          <w:iCs/>
          <w:color w:val="000000"/>
        </w:rPr>
        <w:t xml:space="preserve">LRRC19 </w:t>
      </w:r>
      <w:r>
        <w:rPr>
          <w:rFonts w:ascii="Book Antiqua" w:eastAsia="Book Antiqua" w:hAnsi="Book Antiqua" w:cs="Book Antiqua"/>
          <w:color w:val="000000"/>
        </w:rPr>
        <w:t>could have predictive power for sensitivity to AZD0530</w:t>
      </w:r>
      <w:r w:rsidR="001451D3">
        <w:rPr>
          <w:rFonts w:ascii="Book Antiqua" w:eastAsia="Book Antiqua" w:hAnsi="Book Antiqua" w:cs="Book Antiqua"/>
          <w:color w:val="000000"/>
        </w:rPr>
        <w:t xml:space="preserve"> in pancreatic tumor</w:t>
      </w:r>
      <w:r>
        <w:rPr>
          <w:rFonts w:ascii="Book Antiqua" w:eastAsia="Book Antiqua" w:hAnsi="Book Antiqua" w:cs="Book Antiqua"/>
          <w:color w:val="000000"/>
        </w:rPr>
        <w:t xml:space="preserve"> and promote the elimination of pathogenic bacteria from the kidneys</w:t>
      </w:r>
      <w:r>
        <w:rPr>
          <w:rFonts w:ascii="Book Antiqua" w:eastAsia="Book Antiqua" w:hAnsi="Book Antiqua" w:cs="Book Antiqua"/>
          <w:color w:val="000000"/>
          <w:szCs w:val="20"/>
          <w:vertAlign w:val="superscript"/>
        </w:rPr>
        <w:t>[56,57]</w:t>
      </w:r>
      <w:r>
        <w:rPr>
          <w:rFonts w:ascii="Book Antiqua" w:eastAsia="Book Antiqua" w:hAnsi="Book Antiqua" w:cs="Book Antiqua"/>
          <w:color w:val="000000"/>
        </w:rPr>
        <w:t xml:space="preserve">. However, whether </w:t>
      </w:r>
      <w:r>
        <w:rPr>
          <w:rFonts w:ascii="Book Antiqua" w:eastAsia="Book Antiqua" w:hAnsi="Book Antiqua" w:cs="Book Antiqua"/>
          <w:i/>
          <w:iCs/>
          <w:color w:val="000000"/>
        </w:rPr>
        <w:t>LRRC19</w:t>
      </w:r>
      <w:r>
        <w:rPr>
          <w:rFonts w:ascii="Book Antiqua" w:eastAsia="Book Antiqua" w:hAnsi="Book Antiqua" w:cs="Book Antiqua"/>
          <w:color w:val="000000"/>
        </w:rPr>
        <w:t xml:space="preserve"> could be regarded as an indicator of oncogenesis and the clinical outcome of CRC has not been illustrated before. In summary, </w:t>
      </w:r>
      <w:r>
        <w:rPr>
          <w:rFonts w:ascii="Book Antiqua" w:eastAsia="Book Antiqua" w:hAnsi="Book Antiqua" w:cs="Book Antiqua"/>
          <w:i/>
          <w:iCs/>
          <w:color w:val="000000"/>
        </w:rPr>
        <w:t xml:space="preserve">CA2, ITLN1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LRRC19 </w:t>
      </w:r>
      <w:r>
        <w:rPr>
          <w:rFonts w:ascii="Book Antiqua" w:eastAsia="Book Antiqua" w:hAnsi="Book Antiqua" w:cs="Book Antiqua"/>
          <w:color w:val="000000"/>
        </w:rPr>
        <w:t>might have the potential to become novel biomarkers for CRC diagnosis, especially early screening, as well as patient prognosis. At present, the hsa_circ_0011536/hsa-miR-601/</w:t>
      </w:r>
      <w:r>
        <w:rPr>
          <w:rFonts w:ascii="Book Antiqua" w:eastAsia="Book Antiqua" w:hAnsi="Book Antiqua" w:cs="Book Antiqua"/>
          <w:i/>
          <w:iCs/>
          <w:color w:val="000000"/>
        </w:rPr>
        <w:t>CA2</w:t>
      </w:r>
      <w:r>
        <w:rPr>
          <w:rFonts w:ascii="Book Antiqua" w:eastAsia="Book Antiqua" w:hAnsi="Book Antiqua" w:cs="Book Antiqua"/>
          <w:color w:val="000000"/>
        </w:rPr>
        <w:t xml:space="preserve"> axis and the complex interaction among circRNAs (hsa_circ_0080210, hsa_circ_0007158, hsa_circ_0000375 and hsa_circ_0018909), miRNAs (hsa-miR-671-5p and hsa-miR-765) and mRNAs (</w:t>
      </w:r>
      <w:r>
        <w:rPr>
          <w:rFonts w:ascii="Book Antiqua" w:eastAsia="Book Antiqua" w:hAnsi="Book Antiqua" w:cs="Book Antiqua"/>
          <w:i/>
          <w:iCs/>
          <w:color w:val="000000"/>
        </w:rPr>
        <w:t xml:space="preserve">ITLN1 </w:t>
      </w:r>
      <w:r>
        <w:rPr>
          <w:rFonts w:ascii="Book Antiqua" w:eastAsia="Book Antiqua" w:hAnsi="Book Antiqua" w:cs="Book Antiqua"/>
          <w:color w:val="000000"/>
        </w:rPr>
        <w:t>and</w:t>
      </w:r>
      <w:r>
        <w:rPr>
          <w:rFonts w:ascii="Book Antiqua" w:eastAsia="Book Antiqua" w:hAnsi="Book Antiqua" w:cs="Book Antiqua"/>
          <w:i/>
          <w:iCs/>
          <w:color w:val="000000"/>
        </w:rPr>
        <w:t xml:space="preserve"> LRRC19</w:t>
      </w:r>
      <w:r>
        <w:rPr>
          <w:rFonts w:ascii="Book Antiqua" w:eastAsia="Book Antiqua" w:hAnsi="Book Antiqua" w:cs="Book Antiqua"/>
          <w:color w:val="000000"/>
        </w:rPr>
        <w:t>) could provide novel insights into the pathogenesis of and therapeutic options for CRC and need further investigation.</w:t>
      </w:r>
    </w:p>
    <w:p w14:paraId="78DD46FE" w14:textId="0FC551ED" w:rsidR="00A77B3E" w:rsidRDefault="001D27AD" w:rsidP="00567499">
      <w:pPr>
        <w:snapToGrid w:val="0"/>
        <w:spacing w:line="360" w:lineRule="auto"/>
        <w:ind w:firstLine="480"/>
        <w:jc w:val="both"/>
      </w:pPr>
      <w:r>
        <w:rPr>
          <w:rFonts w:ascii="Book Antiqua" w:eastAsia="Book Antiqua" w:hAnsi="Book Antiqua" w:cs="Book Antiqua"/>
          <w:color w:val="000000"/>
        </w:rPr>
        <w:t>Collectively, we have provided a deeper understanding of the circRNA-related ceRNA mechanism of CRC by developing a circRNA-miRNA-mRNA regulatory network. Through GO and KEGG functional enrichment analysis, the retinol metabolic process, leukocyte chemotaxis, extracellular matrix remodeling, endoplasmic reticulum stress, ADH activity, gastric acid secretion, nitrogen metabolism and the NOD-like receptor signaling pathway might play critical roles in the initiation and progression of CRC. After being combined with survival analysis, a prognostic subnetwork was constructed, including 5 circRNAs, 3 miRNAs and 3 mRNAs, which could be novel candidate biomarkers for the clinical outcome of CRC. Our research still has some shortcomings. First, molecular-level verification in clinical samples and CRC cell lines should be applied to validate biomarkers and clarify the actual significance of the regulatory ceRNA network and prognostic subnetwork. In addition, the lack of research on the downstream target molecules of the ceRNA network makes it difficult to completely elucidate the specific mechanism in the occurrence and development of CRC. Moreover, due to the sample size of the datasets, the sample size of this study is not too large.</w:t>
      </w:r>
    </w:p>
    <w:p w14:paraId="5BF9837F" w14:textId="77777777" w:rsidR="00A77B3E" w:rsidRDefault="00A77B3E" w:rsidP="00567499">
      <w:pPr>
        <w:snapToGrid w:val="0"/>
        <w:spacing w:line="360" w:lineRule="auto"/>
        <w:ind w:firstLine="480"/>
        <w:jc w:val="both"/>
      </w:pPr>
    </w:p>
    <w:p w14:paraId="0E36777B"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t>CONCLUSION</w:t>
      </w:r>
    </w:p>
    <w:p w14:paraId="5A926314" w14:textId="77777777" w:rsidR="00A77B3E" w:rsidRDefault="001D27AD" w:rsidP="00567499">
      <w:pPr>
        <w:snapToGrid w:val="0"/>
        <w:spacing w:line="360" w:lineRule="auto"/>
        <w:jc w:val="both"/>
      </w:pPr>
      <w:r>
        <w:rPr>
          <w:rFonts w:ascii="Book Antiqua" w:eastAsia="Book Antiqua" w:hAnsi="Book Antiqua" w:cs="Book Antiqua"/>
          <w:color w:val="000000"/>
        </w:rPr>
        <w:t>In summary, we constructed a CRC-specific circRNA-miRNA-mRNA regulatory network and performed functional enrichment analysis, which may assist in revealing the mechanism of carcinogenesis. A prognostic ceRNA subnetwork was successfully developed, thereby identifying several RNA molecules that could serve as innovative and noninvasive indicators for the RNA-based early screening and prognostic prediction of CRC. Comprehensive experimental studies are still required to enrich the understanding of ceRNAs, which is essential to illustrate the pathogenesis and prognosis of CRC and provide new opportunities for targeted therapeutics.</w:t>
      </w:r>
    </w:p>
    <w:p w14:paraId="3CEFD55A" w14:textId="77777777" w:rsidR="00A77B3E" w:rsidRDefault="00A77B3E" w:rsidP="00567499">
      <w:pPr>
        <w:snapToGrid w:val="0"/>
        <w:spacing w:line="360" w:lineRule="auto"/>
        <w:jc w:val="both"/>
      </w:pPr>
    </w:p>
    <w:p w14:paraId="57D8A46D"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t>ARTICLE HIGHLIGHTS</w:t>
      </w:r>
    </w:p>
    <w:p w14:paraId="2D28D56C" w14:textId="77777777" w:rsidR="00A77B3E" w:rsidRDefault="001D27AD" w:rsidP="00567499">
      <w:pPr>
        <w:snapToGrid w:val="0"/>
        <w:spacing w:line="360" w:lineRule="auto"/>
        <w:jc w:val="both"/>
      </w:pPr>
      <w:r>
        <w:rPr>
          <w:rFonts w:ascii="Book Antiqua" w:eastAsia="Book Antiqua" w:hAnsi="Book Antiqua" w:cs="Book Antiqua"/>
          <w:b/>
          <w:i/>
          <w:color w:val="000000"/>
        </w:rPr>
        <w:t>Research background</w:t>
      </w:r>
    </w:p>
    <w:p w14:paraId="12905253" w14:textId="50C7ECA2" w:rsidR="00A77B3E" w:rsidRDefault="001D27AD" w:rsidP="00567499">
      <w:pPr>
        <w:snapToGrid w:val="0"/>
        <w:spacing w:line="360" w:lineRule="auto"/>
        <w:jc w:val="both"/>
      </w:pPr>
      <w:r>
        <w:rPr>
          <w:rFonts w:ascii="Book Antiqua" w:eastAsia="Book Antiqua" w:hAnsi="Book Antiqua" w:cs="Book Antiqua"/>
          <w:color w:val="000000"/>
        </w:rPr>
        <w:t xml:space="preserve">Colorectal cancer (CRC) is one of the most common malignant tumors worldwide. </w:t>
      </w:r>
      <w:r w:rsidR="00EB1315">
        <w:rPr>
          <w:rFonts w:ascii="Book Antiqua" w:eastAsia="Book Antiqua" w:hAnsi="Book Antiqua" w:cs="Book Antiqua"/>
          <w:color w:val="000000"/>
        </w:rPr>
        <w:t>Circular RNA (c</w:t>
      </w:r>
      <w:r>
        <w:rPr>
          <w:rFonts w:ascii="Book Antiqua" w:eastAsia="Book Antiqua" w:hAnsi="Book Antiqua" w:cs="Book Antiqua"/>
          <w:color w:val="000000"/>
        </w:rPr>
        <w:t>ircRNA</w:t>
      </w:r>
      <w:r w:rsidR="00EB1315">
        <w:rPr>
          <w:rFonts w:ascii="Book Antiqua" w:eastAsia="Book Antiqua" w:hAnsi="Book Antiqua" w:cs="Book Antiqua"/>
          <w:color w:val="000000"/>
        </w:rPr>
        <w:t>)</w:t>
      </w:r>
      <w:r>
        <w:rPr>
          <w:rFonts w:ascii="Book Antiqua" w:eastAsia="Book Antiqua" w:hAnsi="Book Antiqua" w:cs="Book Antiqua"/>
          <w:color w:val="000000"/>
        </w:rPr>
        <w:t xml:space="preserve"> and </w:t>
      </w:r>
      <w:r w:rsidR="00EB1315">
        <w:rPr>
          <w:rFonts w:ascii="Book Antiqua" w:eastAsia="Book Antiqua" w:hAnsi="Book Antiqua" w:cs="Book Antiqua"/>
          <w:color w:val="000000"/>
        </w:rPr>
        <w:t>microRNA (</w:t>
      </w:r>
      <w:r>
        <w:rPr>
          <w:rFonts w:ascii="Book Antiqua" w:eastAsia="Book Antiqua" w:hAnsi="Book Antiqua" w:cs="Book Antiqua"/>
          <w:color w:val="000000"/>
        </w:rPr>
        <w:t>miRNA</w:t>
      </w:r>
      <w:r w:rsidR="00EB1315">
        <w:rPr>
          <w:rFonts w:ascii="Book Antiqua" w:eastAsia="Book Antiqua" w:hAnsi="Book Antiqua" w:cs="Book Antiqua"/>
          <w:color w:val="000000"/>
        </w:rPr>
        <w:t>)</w:t>
      </w:r>
      <w:r>
        <w:rPr>
          <w:rFonts w:ascii="Book Antiqua" w:eastAsia="Book Antiqua" w:hAnsi="Book Antiqua" w:cs="Book Antiqua"/>
          <w:color w:val="000000"/>
        </w:rPr>
        <w:t>, acting as competing endogenous RNAs (ceRNAs), have been investigated to play vital roles in carcinogenesis. Accumulating evidence highlights that it is necessary to further explore the biological function of circRNA and miRNA in CRC pathogenesis and prognosis.</w:t>
      </w:r>
    </w:p>
    <w:p w14:paraId="45B2F592" w14:textId="77777777" w:rsidR="00A77B3E" w:rsidRDefault="00A77B3E" w:rsidP="00567499">
      <w:pPr>
        <w:snapToGrid w:val="0"/>
        <w:spacing w:line="360" w:lineRule="auto"/>
        <w:jc w:val="both"/>
      </w:pPr>
    </w:p>
    <w:p w14:paraId="7D83BD73" w14:textId="77777777" w:rsidR="00A77B3E" w:rsidRDefault="001D27AD" w:rsidP="00567499">
      <w:pPr>
        <w:snapToGrid w:val="0"/>
        <w:spacing w:line="360" w:lineRule="auto"/>
        <w:jc w:val="both"/>
      </w:pPr>
      <w:r>
        <w:rPr>
          <w:rFonts w:ascii="Book Antiqua" w:eastAsia="Book Antiqua" w:hAnsi="Book Antiqua" w:cs="Book Antiqua"/>
          <w:b/>
          <w:i/>
          <w:color w:val="000000"/>
        </w:rPr>
        <w:t>Research motivation</w:t>
      </w:r>
    </w:p>
    <w:p w14:paraId="4207D5B2" w14:textId="77777777" w:rsidR="00A77B3E" w:rsidRDefault="001D27AD" w:rsidP="00567499">
      <w:pPr>
        <w:snapToGrid w:val="0"/>
        <w:spacing w:line="360" w:lineRule="auto"/>
        <w:jc w:val="both"/>
      </w:pPr>
      <w:r>
        <w:rPr>
          <w:rFonts w:ascii="Book Antiqua" w:eastAsia="Book Antiqua" w:hAnsi="Book Antiqua" w:cs="Book Antiqua"/>
          <w:color w:val="000000"/>
        </w:rPr>
        <w:t>Dysregulated circRNAs, miRNAs and mRNAs could closely associate with the progression and prognosis of CRC and act as potential CRC-specific predictors, but the competitive regulatory pattern and biological function mechanism among circRNAs, miRNAs and mRNAs are still complicated and have not yet been elucidated.</w:t>
      </w:r>
    </w:p>
    <w:p w14:paraId="419DDD50" w14:textId="77777777" w:rsidR="00A77B3E" w:rsidRDefault="00A77B3E" w:rsidP="00567499">
      <w:pPr>
        <w:snapToGrid w:val="0"/>
        <w:spacing w:line="360" w:lineRule="auto"/>
        <w:jc w:val="both"/>
      </w:pPr>
    </w:p>
    <w:p w14:paraId="6040231F" w14:textId="77777777" w:rsidR="00A77B3E" w:rsidRDefault="001D27AD" w:rsidP="00567499">
      <w:pPr>
        <w:snapToGrid w:val="0"/>
        <w:spacing w:line="360" w:lineRule="auto"/>
        <w:jc w:val="both"/>
      </w:pPr>
      <w:r>
        <w:rPr>
          <w:rFonts w:ascii="Book Antiqua" w:eastAsia="Book Antiqua" w:hAnsi="Book Antiqua" w:cs="Book Antiqua"/>
          <w:b/>
          <w:i/>
          <w:color w:val="000000"/>
        </w:rPr>
        <w:t>Research objectives</w:t>
      </w:r>
    </w:p>
    <w:p w14:paraId="17904D08" w14:textId="77777777" w:rsidR="00A77B3E" w:rsidRDefault="001D27AD" w:rsidP="00567499">
      <w:pPr>
        <w:snapToGrid w:val="0"/>
        <w:spacing w:line="360" w:lineRule="auto"/>
        <w:jc w:val="both"/>
      </w:pPr>
      <w:r>
        <w:rPr>
          <w:rFonts w:ascii="Book Antiqua" w:eastAsia="Book Antiqua" w:hAnsi="Book Antiqua" w:cs="Book Antiqua"/>
          <w:color w:val="000000"/>
        </w:rPr>
        <w:t>This study aimed to uncover a CRC-specific competitive regulatory model among circRNAs, miRNAs and mRNAs and explore the subnetwork associated with CRC prognosis.</w:t>
      </w:r>
    </w:p>
    <w:p w14:paraId="15E7ED8C" w14:textId="77777777" w:rsidR="00A77B3E" w:rsidRDefault="00A77B3E" w:rsidP="00567499">
      <w:pPr>
        <w:snapToGrid w:val="0"/>
        <w:spacing w:line="360" w:lineRule="auto"/>
        <w:jc w:val="both"/>
      </w:pPr>
    </w:p>
    <w:p w14:paraId="7D90CBD4" w14:textId="77777777" w:rsidR="00A77B3E" w:rsidRDefault="001D27AD" w:rsidP="00567499">
      <w:pPr>
        <w:snapToGrid w:val="0"/>
        <w:spacing w:line="360" w:lineRule="auto"/>
        <w:jc w:val="both"/>
      </w:pPr>
      <w:r>
        <w:rPr>
          <w:rFonts w:ascii="Book Antiqua" w:eastAsia="Book Antiqua" w:hAnsi="Book Antiqua" w:cs="Book Antiqua"/>
          <w:b/>
          <w:i/>
          <w:color w:val="000000"/>
        </w:rPr>
        <w:t>Research methods</w:t>
      </w:r>
    </w:p>
    <w:p w14:paraId="36E87828" w14:textId="20CDE84F" w:rsidR="00A77B3E" w:rsidRDefault="001D27AD" w:rsidP="00567499">
      <w:pPr>
        <w:snapToGrid w:val="0"/>
        <w:spacing w:line="360" w:lineRule="auto"/>
        <w:jc w:val="both"/>
      </w:pPr>
      <w:r>
        <w:rPr>
          <w:rFonts w:ascii="Book Antiqua" w:eastAsia="Book Antiqua" w:hAnsi="Book Antiqua" w:cs="Book Antiqua"/>
          <w:color w:val="000000"/>
        </w:rPr>
        <w:t xml:space="preserve">Expression profiles of </w:t>
      </w:r>
      <w:r w:rsidR="00E731B9">
        <w:rPr>
          <w:rFonts w:ascii="Book Antiqua" w:eastAsia="Book Antiqua" w:hAnsi="Book Antiqua" w:cs="Book Antiqua"/>
          <w:color w:val="000000"/>
        </w:rPr>
        <w:t>c</w:t>
      </w:r>
      <w:r>
        <w:rPr>
          <w:rFonts w:ascii="Book Antiqua" w:eastAsia="Book Antiqua" w:hAnsi="Book Antiqua" w:cs="Book Antiqua"/>
          <w:color w:val="000000"/>
        </w:rPr>
        <w:t xml:space="preserve">ircRNAs, miRNAs and mRNAs were downloaded from the </w:t>
      </w:r>
      <w:r w:rsidR="00925FB5">
        <w:rPr>
          <w:rFonts w:ascii="Book Antiqua" w:eastAsia="Book Antiqua" w:hAnsi="Book Antiqua" w:cs="Book Antiqua"/>
          <w:color w:val="000000"/>
        </w:rPr>
        <w:t>Gene Expression Omnibus</w:t>
      </w:r>
      <w:r>
        <w:rPr>
          <w:rFonts w:ascii="Book Antiqua" w:eastAsia="Book Antiqua" w:hAnsi="Book Antiqua" w:cs="Book Antiqua"/>
          <w:color w:val="000000"/>
        </w:rPr>
        <w:t xml:space="preserve"> (GEO) database. Differentially expressed (DE) circRNAs, miRNAs and mRNAs in CRC tissues and the predicted target molecules of circRNAs and miRNAs were intersected to obtain a CRC-specific ceRNA network. GO and KEGG pathway analyses were conducted to explore the mechanism of CRC pathogenesis. Based on the survival analysis using the gene profiles and clinical information in The Cancer Genome Atlas (TCGA) database, the mRNAs significantly associated with the clinical outcome of CRC patients were identified and a prognostic subnetwork was constructed.</w:t>
      </w:r>
    </w:p>
    <w:p w14:paraId="0F565EFD" w14:textId="77777777" w:rsidR="00A77B3E" w:rsidRDefault="00A77B3E" w:rsidP="00567499">
      <w:pPr>
        <w:snapToGrid w:val="0"/>
        <w:spacing w:line="360" w:lineRule="auto"/>
        <w:jc w:val="both"/>
      </w:pPr>
    </w:p>
    <w:p w14:paraId="7F86DC2F" w14:textId="77777777" w:rsidR="00A77B3E" w:rsidRDefault="001D27AD" w:rsidP="00567499">
      <w:pPr>
        <w:snapToGrid w:val="0"/>
        <w:spacing w:line="360" w:lineRule="auto"/>
        <w:jc w:val="both"/>
      </w:pPr>
      <w:r>
        <w:rPr>
          <w:rFonts w:ascii="Book Antiqua" w:eastAsia="Book Antiqua" w:hAnsi="Book Antiqua" w:cs="Book Antiqua"/>
          <w:b/>
          <w:i/>
          <w:color w:val="000000"/>
        </w:rPr>
        <w:t>Research results</w:t>
      </w:r>
    </w:p>
    <w:p w14:paraId="73B9F3D4" w14:textId="77777777" w:rsidR="00A77B3E" w:rsidRDefault="001D27AD" w:rsidP="00567499">
      <w:pPr>
        <w:snapToGrid w:val="0"/>
        <w:spacing w:line="360" w:lineRule="auto"/>
        <w:jc w:val="both"/>
      </w:pPr>
      <w:r>
        <w:rPr>
          <w:rFonts w:ascii="Book Antiqua" w:eastAsia="Book Antiqua" w:hAnsi="Book Antiqua" w:cs="Book Antiqua"/>
          <w:color w:val="000000"/>
        </w:rPr>
        <w:t>There were 55 DEcircRNAs, 114 DEmiRNAs and 267 DEmRNAs of CRC in three datasets (GSE126095, GSE41655 and GSE41657) from GEO database. After intersected with predicted targets, 19 circRNAs, 13 miRNAs and 28 mRNAs were chosen to develop ceRNA network. Go and KEGG analyses indicated that several signaling pathways might participate in the tumorigenesis. After verifying effect in TCGA database by survival analysis, we finally recognized 3 mRNAs (</w:t>
      </w:r>
      <w:r>
        <w:rPr>
          <w:rFonts w:ascii="Book Antiqua" w:eastAsia="Book Antiqua" w:hAnsi="Book Antiqua" w:cs="Book Antiqua"/>
          <w:i/>
          <w:iCs/>
          <w:color w:val="000000"/>
        </w:rPr>
        <w:t>CA2, ITLN1</w:t>
      </w:r>
      <w:r>
        <w:rPr>
          <w:rFonts w:ascii="Book Antiqua" w:eastAsia="Book Antiqua" w:hAnsi="Book Antiqua" w:cs="Book Antiqua"/>
          <w:color w:val="000000"/>
        </w:rPr>
        <w:t xml:space="preserve"> and </w:t>
      </w:r>
      <w:r>
        <w:rPr>
          <w:rFonts w:ascii="Book Antiqua" w:eastAsia="Book Antiqua" w:hAnsi="Book Antiqua" w:cs="Book Antiqua"/>
          <w:i/>
          <w:iCs/>
          <w:color w:val="000000"/>
        </w:rPr>
        <w:t>LRRC19</w:t>
      </w:r>
      <w:r>
        <w:rPr>
          <w:rFonts w:ascii="Book Antiqua" w:eastAsia="Book Antiqua" w:hAnsi="Book Antiqua" w:cs="Book Antiqua"/>
          <w:color w:val="000000"/>
        </w:rPr>
        <w:t>) associated with prognosis, and constructed a ceRNA subnetwork including 5 circRNAs (hsa_circ_0080210, hsa_circ_0007158, hsa_circ_0000375, hsa_circ_0018909 and hsa_circ_0011536) and 3 miRNAs (hsa-miR-601, hsa-miR-671-5p and hsa-miR-765).</w:t>
      </w:r>
    </w:p>
    <w:p w14:paraId="3FCBF67D" w14:textId="77777777" w:rsidR="00A77B3E" w:rsidRDefault="00A77B3E" w:rsidP="00567499">
      <w:pPr>
        <w:snapToGrid w:val="0"/>
        <w:spacing w:line="360" w:lineRule="auto"/>
        <w:jc w:val="both"/>
      </w:pPr>
    </w:p>
    <w:p w14:paraId="0EBBF799" w14:textId="77777777" w:rsidR="00A77B3E" w:rsidRDefault="001D27AD" w:rsidP="00567499">
      <w:pPr>
        <w:snapToGrid w:val="0"/>
        <w:spacing w:line="360" w:lineRule="auto"/>
        <w:jc w:val="both"/>
      </w:pPr>
      <w:r>
        <w:rPr>
          <w:rFonts w:ascii="Book Antiqua" w:eastAsia="Book Antiqua" w:hAnsi="Book Antiqua" w:cs="Book Antiqua"/>
          <w:b/>
          <w:i/>
          <w:color w:val="000000"/>
        </w:rPr>
        <w:t>Research conclusions</w:t>
      </w:r>
    </w:p>
    <w:p w14:paraId="5C16686B" w14:textId="77777777" w:rsidR="00A77B3E" w:rsidRDefault="001D27AD" w:rsidP="00567499">
      <w:pPr>
        <w:snapToGrid w:val="0"/>
        <w:spacing w:line="360" w:lineRule="auto"/>
        <w:jc w:val="both"/>
      </w:pPr>
      <w:r>
        <w:rPr>
          <w:rFonts w:ascii="Book Antiqua" w:eastAsia="Book Antiqua" w:hAnsi="Book Antiqua" w:cs="Book Antiqua"/>
          <w:color w:val="000000"/>
        </w:rPr>
        <w:t>A circRNA-miRNA-mRNA regulatory network closely associated with the progression and clinical outcome of CRC was identified, which might include promising biomarkers for carcinogenesis and therapeutic targets.</w:t>
      </w:r>
    </w:p>
    <w:p w14:paraId="62B0C7C8" w14:textId="77777777" w:rsidR="00A77B3E" w:rsidRDefault="00A77B3E" w:rsidP="00567499">
      <w:pPr>
        <w:snapToGrid w:val="0"/>
        <w:spacing w:line="360" w:lineRule="auto"/>
        <w:jc w:val="both"/>
      </w:pPr>
    </w:p>
    <w:p w14:paraId="32ED279D" w14:textId="77777777" w:rsidR="00A77B3E" w:rsidRDefault="001D27AD" w:rsidP="00567499">
      <w:pPr>
        <w:snapToGrid w:val="0"/>
        <w:spacing w:line="360" w:lineRule="auto"/>
        <w:jc w:val="both"/>
      </w:pPr>
      <w:r>
        <w:rPr>
          <w:rFonts w:ascii="Book Antiqua" w:eastAsia="Book Antiqua" w:hAnsi="Book Antiqua" w:cs="Book Antiqua"/>
          <w:b/>
          <w:i/>
          <w:color w:val="000000"/>
        </w:rPr>
        <w:t>Research perspectives</w:t>
      </w:r>
    </w:p>
    <w:p w14:paraId="4F157159" w14:textId="77777777" w:rsidR="00A77B3E" w:rsidRDefault="001D27AD" w:rsidP="00567499">
      <w:pPr>
        <w:snapToGrid w:val="0"/>
        <w:spacing w:line="360" w:lineRule="auto"/>
        <w:jc w:val="both"/>
      </w:pPr>
      <w:r>
        <w:rPr>
          <w:rFonts w:ascii="Book Antiqua" w:eastAsia="Book Antiqua" w:hAnsi="Book Antiqua" w:cs="Book Antiqua"/>
          <w:color w:val="000000"/>
        </w:rPr>
        <w:t>We have provided a deeper understanding of the circRNA-related ceRNA mechanism of CRC by developing a circRNA-miRNA-mRNA regulatory network. Comprehensive experimental studies are still required to confirm our findings and provide new opportunities for targeted therapeutics.</w:t>
      </w:r>
    </w:p>
    <w:p w14:paraId="04AA4FD5" w14:textId="77777777" w:rsidR="00A77B3E" w:rsidRDefault="00A77B3E" w:rsidP="00567499">
      <w:pPr>
        <w:snapToGrid w:val="0"/>
        <w:spacing w:line="360" w:lineRule="auto"/>
        <w:jc w:val="both"/>
      </w:pPr>
    </w:p>
    <w:p w14:paraId="14C55275" w14:textId="77777777" w:rsidR="00A77B3E" w:rsidRDefault="001D27AD" w:rsidP="00567499">
      <w:pPr>
        <w:snapToGrid w:val="0"/>
        <w:spacing w:line="360" w:lineRule="auto"/>
        <w:jc w:val="both"/>
      </w:pPr>
      <w:r>
        <w:rPr>
          <w:rFonts w:ascii="Book Antiqua" w:eastAsia="Book Antiqua" w:hAnsi="Book Antiqua" w:cs="Book Antiqua"/>
          <w:b/>
          <w:caps/>
          <w:color w:val="000000"/>
          <w:u w:val="single"/>
        </w:rPr>
        <w:t>ACKNOWLEDGEMENTS</w:t>
      </w:r>
    </w:p>
    <w:p w14:paraId="70F90F31" w14:textId="1655CFEE" w:rsidR="00A77B3E" w:rsidRDefault="001D27AD" w:rsidP="00567499">
      <w:pPr>
        <w:snapToGrid w:val="0"/>
        <w:spacing w:line="360" w:lineRule="auto"/>
        <w:jc w:val="both"/>
      </w:pPr>
      <w:r>
        <w:rPr>
          <w:rFonts w:ascii="Book Antiqua" w:eastAsia="Book Antiqua" w:hAnsi="Book Antiqua" w:cs="Book Antiqua"/>
          <w:color w:val="000000"/>
        </w:rPr>
        <w:t xml:space="preserve">We thank The </w:t>
      </w:r>
      <w:r w:rsidR="00925FB5">
        <w:rPr>
          <w:rFonts w:ascii="Book Antiqua" w:eastAsia="Book Antiqua" w:hAnsi="Book Antiqua" w:cs="Book Antiqua"/>
          <w:color w:val="000000"/>
        </w:rPr>
        <w:t>Gene Expression Omnibus</w:t>
      </w:r>
      <w:r w:rsidR="00CE083D">
        <w:rPr>
          <w:rFonts w:ascii="Book Antiqua" w:eastAsia="Book Antiqua" w:hAnsi="Book Antiqua" w:cs="Book Antiqua"/>
          <w:color w:val="000000"/>
        </w:rPr>
        <w:t xml:space="preserve"> </w:t>
      </w:r>
      <w:r>
        <w:rPr>
          <w:rFonts w:ascii="Book Antiqua" w:eastAsia="Book Antiqua" w:hAnsi="Book Antiqua" w:cs="Book Antiqua"/>
          <w:color w:val="000000"/>
        </w:rPr>
        <w:t>and The Cancer Genome Atlas project for providing invaluable datasets for statistical analyses.</w:t>
      </w:r>
    </w:p>
    <w:p w14:paraId="1DC8CFF3" w14:textId="77777777" w:rsidR="00A77B3E" w:rsidRDefault="00A77B3E" w:rsidP="00567499">
      <w:pPr>
        <w:snapToGrid w:val="0"/>
        <w:spacing w:line="360" w:lineRule="auto"/>
        <w:jc w:val="both"/>
      </w:pPr>
    </w:p>
    <w:p w14:paraId="3BDE6E93" w14:textId="77777777" w:rsidR="00A77B3E" w:rsidRDefault="001D27AD" w:rsidP="00567499">
      <w:pPr>
        <w:snapToGrid w:val="0"/>
        <w:spacing w:line="360" w:lineRule="auto"/>
        <w:jc w:val="both"/>
      </w:pPr>
      <w:r>
        <w:rPr>
          <w:rFonts w:ascii="Book Antiqua" w:eastAsia="Book Antiqua" w:hAnsi="Book Antiqua" w:cs="Book Antiqua"/>
          <w:b/>
          <w:color w:val="000000"/>
        </w:rPr>
        <w:t>REFERENCES</w:t>
      </w:r>
    </w:p>
    <w:p w14:paraId="5F44DA50" w14:textId="77777777" w:rsidR="00A77B3E" w:rsidRDefault="001D27AD" w:rsidP="00567499">
      <w:pPr>
        <w:snapToGrid w:val="0"/>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6F7811E4" w14:textId="77777777" w:rsidR="00A77B3E" w:rsidRDefault="001D27AD" w:rsidP="00567499">
      <w:pPr>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Su M</w:t>
      </w:r>
      <w:r>
        <w:rPr>
          <w:rFonts w:ascii="Book Antiqua" w:eastAsia="Book Antiqua" w:hAnsi="Book Antiqua" w:cs="Book Antiqua"/>
          <w:color w:val="000000"/>
        </w:rPr>
        <w:t xml:space="preserve">, Xiao Y, Ma J, Tang Y, Tian B, Zhang Y, Li X, Wu Z, Yang D, Zhou Y, Wang H, Liao Q, Wang W. Circular RNAs in Cancer: emerging functions in hallmarks, stemness, resistance and roles as potential biomarkers.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90 [PMID: 30999909 DOI: 10.1186/s12943-019-1002-6]</w:t>
      </w:r>
    </w:p>
    <w:p w14:paraId="6C534811" w14:textId="77777777" w:rsidR="00A77B3E" w:rsidRDefault="001D27AD" w:rsidP="00567499">
      <w:pPr>
        <w:snapToGrid w:val="0"/>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Memczak S</w:t>
      </w:r>
      <w:r>
        <w:rPr>
          <w:rFonts w:ascii="Book Antiqua" w:eastAsia="Book Antiqua" w:hAnsi="Book Antiqua" w:cs="Book Antiqua"/>
          <w:color w:val="000000"/>
        </w:rPr>
        <w:t xml:space="preserve">, Jens M, Elefsinioti A, Torti F, Krueger J, Rybak A, Maier L, Mackowiak SD, Gregersen LH, Munschauer M, Loewer A, Ziebold U, Landthaler M, Kocks C, le Noble F, Rajewsky N. Circular RNAs are a large class of animal RNAs with regulatory potency.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495</w:t>
      </w:r>
      <w:r>
        <w:rPr>
          <w:rFonts w:ascii="Book Antiqua" w:eastAsia="Book Antiqua" w:hAnsi="Book Antiqua" w:cs="Book Antiqua"/>
          <w:color w:val="000000"/>
        </w:rPr>
        <w:t>: 333-338 [PMID: 23446348 DOI: 10.1038/nature11928]</w:t>
      </w:r>
    </w:p>
    <w:p w14:paraId="5200B846" w14:textId="77777777" w:rsidR="00A77B3E" w:rsidRDefault="001D27AD" w:rsidP="00567499">
      <w:pPr>
        <w:snapToGrid w:val="0"/>
        <w:spacing w:line="360" w:lineRule="auto"/>
        <w:jc w:val="both"/>
      </w:pPr>
      <w:r w:rsidRPr="003B23CD">
        <w:rPr>
          <w:rFonts w:ascii="Book Antiqua" w:eastAsia="Book Antiqua" w:hAnsi="Book Antiqua" w:cs="Book Antiqua"/>
          <w:color w:val="000000"/>
        </w:rPr>
        <w:t xml:space="preserve">4 </w:t>
      </w:r>
      <w:r w:rsidRPr="003B23CD">
        <w:rPr>
          <w:rFonts w:ascii="Book Antiqua" w:eastAsia="Book Antiqua" w:hAnsi="Book Antiqua" w:cs="Book Antiqua"/>
          <w:b/>
          <w:bCs/>
          <w:color w:val="000000"/>
        </w:rPr>
        <w:t>Salmena L</w:t>
      </w:r>
      <w:r w:rsidRPr="003B23CD">
        <w:rPr>
          <w:rFonts w:ascii="Book Antiqua" w:eastAsia="Book Antiqua" w:hAnsi="Book Antiqua" w:cs="Book Antiqua"/>
          <w:color w:val="000000"/>
        </w:rPr>
        <w:t xml:space="preserve">, Poliseno L, Tay Y, Kats L, Pandolfi PP. </w:t>
      </w:r>
      <w:r>
        <w:rPr>
          <w:rFonts w:ascii="Book Antiqua" w:eastAsia="Book Antiqua" w:hAnsi="Book Antiqua" w:cs="Book Antiqua"/>
          <w:color w:val="000000"/>
        </w:rPr>
        <w:t xml:space="preserve">A ceRNA hypothesis: the Rosetta Stone of a hidden RNA language?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146</w:t>
      </w:r>
      <w:r>
        <w:rPr>
          <w:rFonts w:ascii="Book Antiqua" w:eastAsia="Book Antiqua" w:hAnsi="Book Antiqua" w:cs="Book Antiqua"/>
          <w:color w:val="000000"/>
        </w:rPr>
        <w:t>: 353-358 [PMID: 21802130 DOI: 10.1016/j.cell.2011.07.014]</w:t>
      </w:r>
    </w:p>
    <w:p w14:paraId="00AA3844" w14:textId="77777777" w:rsidR="00A77B3E" w:rsidRDefault="001D27AD" w:rsidP="00567499">
      <w:pPr>
        <w:snapToGrid w:val="0"/>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Lu TX</w:t>
      </w:r>
      <w:r>
        <w:rPr>
          <w:rFonts w:ascii="Book Antiqua" w:eastAsia="Book Antiqua" w:hAnsi="Book Antiqua" w:cs="Book Antiqua"/>
          <w:color w:val="000000"/>
        </w:rPr>
        <w:t xml:space="preserve">, Rothenberg ME. MicroRNA.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141</w:t>
      </w:r>
      <w:r>
        <w:rPr>
          <w:rFonts w:ascii="Book Antiqua" w:eastAsia="Book Antiqua" w:hAnsi="Book Antiqua" w:cs="Book Antiqua"/>
          <w:color w:val="000000"/>
        </w:rPr>
        <w:t>: 1202-1207 [PMID: 29074454 DOI: 10.1016/j.jaci.2017.08.034]</w:t>
      </w:r>
    </w:p>
    <w:p w14:paraId="1D3D2C39" w14:textId="77777777" w:rsidR="00A77B3E" w:rsidRDefault="001D27AD" w:rsidP="00567499">
      <w:pPr>
        <w:snapToGrid w:val="0"/>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Song W</w:t>
      </w:r>
      <w:r>
        <w:rPr>
          <w:rFonts w:ascii="Book Antiqua" w:eastAsia="Book Antiqua" w:hAnsi="Book Antiqua" w:cs="Book Antiqua"/>
          <w:color w:val="000000"/>
        </w:rPr>
        <w:t xml:space="preserve">, Fu T. Circular RNA-Associated Competing Endogenous RNA Network and Prognostic Nomogram for Patients With Colorectal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1181 [PMID: 31781492 DOI: 10.3389/fonc.2019.01181]</w:t>
      </w:r>
    </w:p>
    <w:p w14:paraId="4ED63DEE" w14:textId="77777777" w:rsidR="00A77B3E" w:rsidRDefault="001D27AD" w:rsidP="00567499">
      <w:pPr>
        <w:snapToGrid w:val="0"/>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 Y</w:t>
      </w:r>
      <w:r>
        <w:rPr>
          <w:rFonts w:ascii="Book Antiqua" w:eastAsia="Book Antiqua" w:hAnsi="Book Antiqua" w:cs="Book Antiqua"/>
          <w:color w:val="000000"/>
        </w:rPr>
        <w:t xml:space="preserve">, Li C, Xu R, Wang Y, Li D, Zhang B. A novel circFMN2 promotes tumor proliferation in CRC by regulating the miR-1182/hTERT signaling pathways. </w:t>
      </w:r>
      <w:r>
        <w:rPr>
          <w:rFonts w:ascii="Book Antiqua" w:eastAsia="Book Antiqua" w:hAnsi="Book Antiqua" w:cs="Book Antiqua"/>
          <w:i/>
          <w:iCs/>
          <w:color w:val="000000"/>
        </w:rPr>
        <w:t>Clin Sci (Lond)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133</w:t>
      </w:r>
      <w:r>
        <w:rPr>
          <w:rFonts w:ascii="Book Antiqua" w:eastAsia="Book Antiqua" w:hAnsi="Book Antiqua" w:cs="Book Antiqua"/>
          <w:color w:val="000000"/>
        </w:rPr>
        <w:t>: 2463-2479 [PMID: 31738400 DOI: 10.1042/CS20190715]</w:t>
      </w:r>
    </w:p>
    <w:p w14:paraId="0C12B3C9" w14:textId="77777777" w:rsidR="00A77B3E" w:rsidRDefault="001D27AD" w:rsidP="00567499">
      <w:pPr>
        <w:snapToGrid w:val="0"/>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Xu XW</w:t>
      </w:r>
      <w:r>
        <w:rPr>
          <w:rFonts w:ascii="Book Antiqua" w:eastAsia="Book Antiqua" w:hAnsi="Book Antiqua" w:cs="Book Antiqua"/>
          <w:color w:val="000000"/>
        </w:rPr>
        <w:t xml:space="preserve">, Zheng BA, Hu ZM, Qian ZY, Huang CJ, Liu XQ, Wu WD. Circular RNA hsa_circ_000984 promotes colon cancer growth and metastasis by sponging miR-106b.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91674-91683 [PMID: 29207676 DOI: 10.18632/oncotarget.21748]</w:t>
      </w:r>
    </w:p>
    <w:p w14:paraId="4487D96C" w14:textId="77777777" w:rsidR="00A77B3E" w:rsidRDefault="001D27AD" w:rsidP="00567499">
      <w:pPr>
        <w:snapToGrid w:val="0"/>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Cai R, Zhang Y, Wang X. Involvement of a novel circularRNA, hsa_circ_0000520, attenuates tumorigenesis of cervical cancer cell through competitively binding with miR-146b-3p.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8480-8490 [PMID: 32592222 DOI: 10.1111/jcmm.15414]</w:t>
      </w:r>
    </w:p>
    <w:p w14:paraId="2AACCEF1" w14:textId="77777777" w:rsidR="00A77B3E" w:rsidRDefault="001D27AD" w:rsidP="00567499">
      <w:pPr>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Zang H</w:t>
      </w:r>
      <w:r>
        <w:rPr>
          <w:rFonts w:ascii="Book Antiqua" w:eastAsia="Book Antiqua" w:hAnsi="Book Antiqua" w:cs="Book Antiqua"/>
          <w:color w:val="000000"/>
        </w:rPr>
        <w:t xml:space="preserve">, Li Y, Zhang X, Huang G. Blocking circ_0000520 Suppressed Breast Cancer Cell Growth, Migration and Invasion Partially </w:t>
      </w:r>
      <w:r>
        <w:rPr>
          <w:rFonts w:ascii="Book Antiqua" w:eastAsia="Book Antiqua" w:hAnsi="Book Antiqua" w:cs="Book Antiqua"/>
          <w:i/>
          <w:iCs/>
          <w:color w:val="000000"/>
        </w:rPr>
        <w:t>via</w:t>
      </w:r>
      <w:r>
        <w:rPr>
          <w:rFonts w:ascii="Book Antiqua" w:eastAsia="Book Antiqua" w:hAnsi="Book Antiqua" w:cs="Book Antiqua"/>
          <w:color w:val="000000"/>
        </w:rPr>
        <w:t xml:space="preserve"> miR-1296/SP1 Axis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7783-7795 [PMID: 32922078 DOI: 10.2147/CMAR.S251666]</w:t>
      </w:r>
    </w:p>
    <w:p w14:paraId="428BAAB3" w14:textId="77777777" w:rsidR="00A77B3E" w:rsidRDefault="001D27AD" w:rsidP="00567499">
      <w:pPr>
        <w:snapToGri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Liang L</w:t>
      </w:r>
      <w:r>
        <w:rPr>
          <w:rFonts w:ascii="Book Antiqua" w:eastAsia="Book Antiqua" w:hAnsi="Book Antiqua" w:cs="Book Antiqua"/>
          <w:color w:val="000000"/>
        </w:rPr>
        <w:t xml:space="preserve">, Zhang L, Zhang J, Bai S, Fu H. Identification of circRNA-miRNA-mRNA Networks for Exploring the Fundamental Mechanism in Lung Adenocarcinoma.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2945-2955 [PMID: 32308427 DOI: 10.2147/OTT.S235664]</w:t>
      </w:r>
    </w:p>
    <w:p w14:paraId="032062E2" w14:textId="77777777" w:rsidR="00A77B3E" w:rsidRDefault="001D27AD" w:rsidP="00567499">
      <w:pPr>
        <w:snapToGrid w:val="0"/>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Bian L</w:t>
      </w:r>
      <w:r>
        <w:rPr>
          <w:rFonts w:ascii="Book Antiqua" w:eastAsia="Book Antiqua" w:hAnsi="Book Antiqua" w:cs="Book Antiqua"/>
          <w:color w:val="000000"/>
        </w:rPr>
        <w:t xml:space="preserve">, Zhi X, Ma L, Zhang J, Chen P, Sun S, Li J, Sun Y, Qin J. Hsa_circRNA_103809 regulated the cell proliferation and migration in colorectal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miR-532-3p / FOXO4 axis.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505</w:t>
      </w:r>
      <w:r>
        <w:rPr>
          <w:rFonts w:ascii="Book Antiqua" w:eastAsia="Book Antiqua" w:hAnsi="Book Antiqua" w:cs="Book Antiqua"/>
          <w:color w:val="000000"/>
        </w:rPr>
        <w:t>: 346-352 [PMID: 30249393 DOI: 10.1016/j.bbrc.2018.09.073]</w:t>
      </w:r>
    </w:p>
    <w:p w14:paraId="0C7E2104" w14:textId="77777777" w:rsidR="00A77B3E" w:rsidRDefault="001D27AD" w:rsidP="00567499">
      <w:pPr>
        <w:snapToGrid w:val="0"/>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Ding B</w:t>
      </w:r>
      <w:r>
        <w:rPr>
          <w:rFonts w:ascii="Book Antiqua" w:eastAsia="Book Antiqua" w:hAnsi="Book Antiqua" w:cs="Book Antiqua"/>
          <w:color w:val="000000"/>
        </w:rPr>
        <w:t xml:space="preserve">, Yao M, Fan W, Lou W. Whole-transcriptome analysis reveals a potential hsa_circ_0001955/hsa_circ_0000977-mediated miRNA-mRNA regulatory sub-network in colorectal cancer.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5259-5279 [PMID: 32221048 DOI: 10.18632/aging.102945]</w:t>
      </w:r>
    </w:p>
    <w:p w14:paraId="5DC550AC" w14:textId="77777777" w:rsidR="00A77B3E" w:rsidRDefault="001D27AD" w:rsidP="00567499">
      <w:pPr>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Ding HX</w:t>
      </w:r>
      <w:r>
        <w:rPr>
          <w:rFonts w:ascii="Book Antiqua" w:eastAsia="Book Antiqua" w:hAnsi="Book Antiqua" w:cs="Book Antiqua"/>
          <w:color w:val="000000"/>
        </w:rPr>
        <w:t xml:space="preserve">, Xu Q, Wang BG, Lv Z, Yuan Y. MetaDE-Based Analysis of circRNA Expression Profiles Involved in Gastric Cancer.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65</w:t>
      </w:r>
      <w:r>
        <w:rPr>
          <w:rFonts w:ascii="Book Antiqua" w:eastAsia="Book Antiqua" w:hAnsi="Book Antiqua" w:cs="Book Antiqua"/>
          <w:color w:val="000000"/>
        </w:rPr>
        <w:t>: 2884-2895 [PMID: 31894486 DOI: 10.1007/s10620-019-06014-6]</w:t>
      </w:r>
    </w:p>
    <w:p w14:paraId="75B4CC7C" w14:textId="77777777" w:rsidR="00A77B3E" w:rsidRDefault="001D27AD" w:rsidP="00567499">
      <w:pPr>
        <w:snapToGrid w:val="0"/>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Huang YS</w:t>
      </w:r>
      <w:r>
        <w:rPr>
          <w:rFonts w:ascii="Book Antiqua" w:eastAsia="Book Antiqua" w:hAnsi="Book Antiqua" w:cs="Book Antiqua"/>
          <w:color w:val="000000"/>
        </w:rPr>
        <w:t xml:space="preserve">, Jie N, Zou KJ, Weng Y. Expression profile of circular RNAs in human gastric cancer tissues.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2469-2476 [PMID: 28737829 DOI: 10.3892/mmr.2017.6916]</w:t>
      </w:r>
    </w:p>
    <w:p w14:paraId="3415A530" w14:textId="77777777" w:rsidR="00A77B3E" w:rsidRDefault="001D27AD" w:rsidP="00567499">
      <w:pPr>
        <w:snapToGrid w:val="0"/>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Ye DX</w:t>
      </w:r>
      <w:r>
        <w:rPr>
          <w:rFonts w:ascii="Book Antiqua" w:eastAsia="Book Antiqua" w:hAnsi="Book Antiqua" w:cs="Book Antiqua"/>
          <w:color w:val="000000"/>
        </w:rPr>
        <w:t xml:space="preserve">, Wang SS, Huang Y, Chi P. A 3-circular RNA signature as a noninvasive biomarker for diagnosis of colorectal cancer.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276 [PMID: 31700498 DOI: 10.1186/s12935-019-0995-7]</w:t>
      </w:r>
    </w:p>
    <w:p w14:paraId="3D6EEAE5" w14:textId="77777777" w:rsidR="00A77B3E" w:rsidRDefault="001D27AD" w:rsidP="00567499">
      <w:pPr>
        <w:snapToGrid w:val="0"/>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Bhattacharya N</w:t>
      </w:r>
      <w:r>
        <w:rPr>
          <w:rFonts w:ascii="Book Antiqua" w:eastAsia="Book Antiqua" w:hAnsi="Book Antiqua" w:cs="Book Antiqua"/>
          <w:color w:val="000000"/>
        </w:rPr>
        <w:t xml:space="preserve">, Yuan R, Prestwood TR, Penny HL, DiMaio MA, Reticker-Flynn NE, Krois CR, Kenkel JA, Pham TD, Carmi Y, Tolentino L, Choi O, Hulett R, Wang J, Winer DA, Napoli JL, Engleman EG. Normalizing Microbiota-Induced Retinoic Acid Deficiency Stimulates Protective CD8(+) T Cell-Mediated Immunity in Colorectal Cancer.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641-655 [PMID: 27590114 DOI: 10.1016/j.immuni.2016.08.008]</w:t>
      </w:r>
    </w:p>
    <w:p w14:paraId="63361F77" w14:textId="77777777" w:rsidR="00A77B3E" w:rsidRDefault="001D27AD" w:rsidP="00567499">
      <w:pPr>
        <w:snapToGrid w:val="0"/>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Zhu YH</w:t>
      </w:r>
      <w:r>
        <w:rPr>
          <w:rFonts w:ascii="Book Antiqua" w:eastAsia="Book Antiqua" w:hAnsi="Book Antiqua" w:cs="Book Antiqua"/>
          <w:color w:val="000000"/>
        </w:rPr>
        <w:t xml:space="preserve">, Li JB, Wu RY, Yu Y, Li X, Li ZL, Zhang HL, Feng GK, Deng R, Zhu XF. Clinical significance and function of RDH16 as a tumor-suppressing gene in hepatocellular carcinoma.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110-120 [PMID: 31661588 DOI: 10.1111/hepr.13432]</w:t>
      </w:r>
    </w:p>
    <w:p w14:paraId="2E6214FD" w14:textId="77777777" w:rsidR="00A77B3E" w:rsidRDefault="001D27AD" w:rsidP="00567499">
      <w:pPr>
        <w:snapToGrid w:val="0"/>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Koliaraki V</w:t>
      </w:r>
      <w:r>
        <w:rPr>
          <w:rFonts w:ascii="Book Antiqua" w:eastAsia="Book Antiqua" w:hAnsi="Book Antiqua" w:cs="Book Antiqua"/>
          <w:color w:val="000000"/>
        </w:rPr>
        <w:t xml:space="preserve">, Pallangyo CK, Greten FR, Kollias G. Mesenchymal Cells in Colon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152</w:t>
      </w:r>
      <w:r>
        <w:rPr>
          <w:rFonts w:ascii="Book Antiqua" w:eastAsia="Book Antiqua" w:hAnsi="Book Antiqua" w:cs="Book Antiqua"/>
          <w:color w:val="000000"/>
        </w:rPr>
        <w:t>: 964-979 [PMID: 28111227 DOI: 10.1053/j.gastro.2016.11.049]</w:t>
      </w:r>
    </w:p>
    <w:p w14:paraId="03CBF1F3" w14:textId="77777777" w:rsidR="00A77B3E" w:rsidRDefault="001D27AD" w:rsidP="00567499">
      <w:pPr>
        <w:snapToGrid w:val="0"/>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Bessa X</w:t>
      </w:r>
      <w:r>
        <w:rPr>
          <w:rFonts w:ascii="Book Antiqua" w:eastAsia="Book Antiqua" w:hAnsi="Book Antiqua" w:cs="Book Antiqua"/>
          <w:color w:val="000000"/>
        </w:rPr>
        <w:t xml:space="preserve">, Elizalde JI, Mitjans F, Piñol V, Miquel R, Panés J, Piulats J, Piqué JM, Castells A. Leukocyte recruitment in colon cancer: role of cell adhesion molecules, nitric oxide, and transforming growth factor beta1.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122</w:t>
      </w:r>
      <w:r>
        <w:rPr>
          <w:rFonts w:ascii="Book Antiqua" w:eastAsia="Book Antiqua" w:hAnsi="Book Antiqua" w:cs="Book Antiqua"/>
          <w:color w:val="000000"/>
        </w:rPr>
        <w:t>: 1122-1132 [PMID: 11910362 DOI: 10.1053/gast.2002.32369]</w:t>
      </w:r>
    </w:p>
    <w:p w14:paraId="420DA80E" w14:textId="77777777" w:rsidR="00A77B3E" w:rsidRDefault="001D27AD" w:rsidP="00567499">
      <w:pPr>
        <w:snapToGrid w:val="0"/>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R</w:t>
      </w:r>
      <w:r>
        <w:rPr>
          <w:rFonts w:ascii="Book Antiqua" w:eastAsia="Book Antiqua" w:hAnsi="Book Antiqua" w:cs="Book Antiqua"/>
          <w:color w:val="000000"/>
        </w:rPr>
        <w:t xml:space="preserve">, Lu Z, Gu J, Liu J, Huang E, Liu X, Wang L, Yang J, Deng Y, Qian J, Luo F, Wang Z, Zhang H, Jiang X, Zhang D, Qian J, Liu G, Zhu H, Qian Y, Liu Z, Chu Y. MicroRNAs 15A and 16-1 Activate Signaling Pathways That Mediate Chemotaxis of Immune Regulatory B cells to Colorectal Tumors.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637-651.e7 [PMID: 29031499 DOI: 10.1053/j.gastro.2017.09.045]</w:t>
      </w:r>
    </w:p>
    <w:p w14:paraId="20F50471" w14:textId="77777777" w:rsidR="00A77B3E" w:rsidRDefault="001D27AD" w:rsidP="00567499">
      <w:pPr>
        <w:snapToGrid w:val="0"/>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Salaroglio IC</w:t>
      </w:r>
      <w:r>
        <w:rPr>
          <w:rFonts w:ascii="Book Antiqua" w:eastAsia="Book Antiqua" w:hAnsi="Book Antiqua" w:cs="Book Antiqua"/>
          <w:color w:val="000000"/>
        </w:rPr>
        <w:t xml:space="preserve">, Panada E, Moiso E, Buondonno I, Provero P, Rubinstein M, Kopecka J, Riganti C. PERK induces resistance to cell death elicited by endoplasmic reticulum stress and chemotherapy.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91 [PMID: 28499449 DOI: 10.1186/s12943-017-0657-0]</w:t>
      </w:r>
    </w:p>
    <w:p w14:paraId="72B83758" w14:textId="77777777" w:rsidR="00A77B3E" w:rsidRDefault="001D27AD" w:rsidP="00567499">
      <w:pPr>
        <w:snapToGrid w:val="0"/>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Cheng X</w:t>
      </w:r>
      <w:r>
        <w:rPr>
          <w:rFonts w:ascii="Book Antiqua" w:eastAsia="Book Antiqua" w:hAnsi="Book Antiqua" w:cs="Book Antiqua"/>
          <w:color w:val="000000"/>
        </w:rPr>
        <w:t xml:space="preserve">, Feng H, Wu H, Jin Z, Shen X, Kuang J, Huo Z, Chen X, Gao H, Ye F, Ji X, Jing X, Zhang Y, Zhang T, Qiu W, Zhao R. Targeting autophagy enhances apatinib-induced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endoplasmic reticulum stress for human colorectal cancer.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431</w:t>
      </w:r>
      <w:r>
        <w:rPr>
          <w:rFonts w:ascii="Book Antiqua" w:eastAsia="Book Antiqua" w:hAnsi="Book Antiqua" w:cs="Book Antiqua"/>
          <w:color w:val="000000"/>
        </w:rPr>
        <w:t>: 105-114 [PMID: 29859300 DOI: 10.1016/j.canlet.2018.05.046]</w:t>
      </w:r>
    </w:p>
    <w:p w14:paraId="20301213" w14:textId="77777777" w:rsidR="00A77B3E" w:rsidRDefault="001D27AD" w:rsidP="00567499">
      <w:pPr>
        <w:snapToGrid w:val="0"/>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Tiemersma EW</w:t>
      </w:r>
      <w:r>
        <w:rPr>
          <w:rFonts w:ascii="Book Antiqua" w:eastAsia="Book Antiqua" w:hAnsi="Book Antiqua" w:cs="Book Antiqua"/>
          <w:color w:val="000000"/>
        </w:rPr>
        <w:t xml:space="preserve">, Wark PA, Ocké MC, Bunschoten A, Otten MH, Kok FJ, Kampman E. Alcohol consumption, alcohol dehydrogenase 3 polymorphism, and colorectal adenomas. </w:t>
      </w:r>
      <w:r>
        <w:rPr>
          <w:rFonts w:ascii="Book Antiqua" w:eastAsia="Book Antiqua" w:hAnsi="Book Antiqua" w:cs="Book Antiqua"/>
          <w:i/>
          <w:iCs/>
          <w:color w:val="000000"/>
        </w:rPr>
        <w:t>Cancer Epidemiol Biomarkers Prev</w:t>
      </w:r>
      <w:r>
        <w:rPr>
          <w:rFonts w:ascii="Book Antiqua" w:eastAsia="Book Antiqua" w:hAnsi="Book Antiqua" w:cs="Book Antiqua"/>
          <w:color w:val="000000"/>
        </w:rPr>
        <w:t xml:space="preserve"> 2003; </w:t>
      </w:r>
      <w:r>
        <w:rPr>
          <w:rFonts w:ascii="Book Antiqua" w:eastAsia="Book Antiqua" w:hAnsi="Book Antiqua" w:cs="Book Antiqua"/>
          <w:b/>
          <w:bCs/>
          <w:color w:val="000000"/>
        </w:rPr>
        <w:t>12</w:t>
      </w:r>
      <w:r>
        <w:rPr>
          <w:rFonts w:ascii="Book Antiqua" w:eastAsia="Book Antiqua" w:hAnsi="Book Antiqua" w:cs="Book Antiqua"/>
          <w:color w:val="000000"/>
        </w:rPr>
        <w:t>: 419-425 [PMID: 12750236]</w:t>
      </w:r>
    </w:p>
    <w:p w14:paraId="6F3213FA" w14:textId="77777777" w:rsidR="00A77B3E" w:rsidRDefault="001D27AD" w:rsidP="00567499">
      <w:pPr>
        <w:snapToGrid w:val="0"/>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Liao X</w:t>
      </w:r>
      <w:r>
        <w:rPr>
          <w:rFonts w:ascii="Book Antiqua" w:eastAsia="Book Antiqua" w:hAnsi="Book Antiqua" w:cs="Book Antiqua"/>
          <w:color w:val="000000"/>
        </w:rPr>
        <w:t xml:space="preserve">, Huang R, Liu X, Han C, Yu L, Wang S, Sun N, Li B, Ning X, Peng T. Distinct prognostic values of alcohol dehydrogenase mRNA expression in pancreatic adenocarcinoma.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3719-3732 [PMID: 28769575 DOI: 10.2147/OTT.S140221]</w:t>
      </w:r>
    </w:p>
    <w:p w14:paraId="6F355D0C" w14:textId="77777777" w:rsidR="00A77B3E" w:rsidRDefault="001D27AD" w:rsidP="00567499">
      <w:pPr>
        <w:snapToGrid w:val="0"/>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Seitz HK</w:t>
      </w:r>
      <w:r>
        <w:rPr>
          <w:rFonts w:ascii="Book Antiqua" w:eastAsia="Book Antiqua" w:hAnsi="Book Antiqua" w:cs="Book Antiqua"/>
          <w:color w:val="000000"/>
        </w:rPr>
        <w:t xml:space="preserve">, Simanowski UA, Garzon FT, Rideout JM, Peters TJ, Koch A, Berger MR, Einecke H, Maiwald M. Possible role of acetaldehyde in ethanol-related rectal cocarcinogenesis in the rat.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98</w:t>
      </w:r>
      <w:r>
        <w:rPr>
          <w:rFonts w:ascii="Book Antiqua" w:eastAsia="Book Antiqua" w:hAnsi="Book Antiqua" w:cs="Book Antiqua"/>
          <w:color w:val="000000"/>
        </w:rPr>
        <w:t>: 406-413 [PMID: 2295396 DOI: 10.1016/0016-5085(90)90832-l]</w:t>
      </w:r>
    </w:p>
    <w:p w14:paraId="6D3F7FAE" w14:textId="77777777" w:rsidR="00A77B3E" w:rsidRDefault="001D27AD" w:rsidP="00567499">
      <w:pPr>
        <w:snapToGrid w:val="0"/>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Indini A</w:t>
      </w:r>
      <w:r>
        <w:rPr>
          <w:rFonts w:ascii="Book Antiqua" w:eastAsia="Book Antiqua" w:hAnsi="Book Antiqua" w:cs="Book Antiqua"/>
          <w:color w:val="000000"/>
        </w:rPr>
        <w:t xml:space="preserve">, Petrelli F, Tomasello G, Rijavec E, Facciorusso A, Grossi F, Ghidini M. Impact of Use of Gastric-Acid Suppressants and Oral Anti-Cancer Agents on Survival Outcomes: A Systematic Review and Meta-Analysis.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32325628 DOI: 10.3390/cancers12040998]</w:t>
      </w:r>
    </w:p>
    <w:p w14:paraId="38122CD3" w14:textId="77777777" w:rsidR="00A77B3E" w:rsidRDefault="001D27AD" w:rsidP="00567499">
      <w:pPr>
        <w:snapToGrid w:val="0"/>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Kurmi K</w:t>
      </w:r>
      <w:r>
        <w:rPr>
          <w:rFonts w:ascii="Book Antiqua" w:eastAsia="Book Antiqua" w:hAnsi="Book Antiqua" w:cs="Book Antiqua"/>
          <w:color w:val="000000"/>
        </w:rPr>
        <w:t xml:space="preserve">, Haigis MC. Nitrogen Metabolism in Cancer and Immunity. </w:t>
      </w:r>
      <w:r>
        <w:rPr>
          <w:rFonts w:ascii="Book Antiqua" w:eastAsia="Book Antiqua" w:hAnsi="Book Antiqua" w:cs="Book Antiqua"/>
          <w:i/>
          <w:iCs/>
          <w:color w:val="000000"/>
        </w:rPr>
        <w:t>Trends Cell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408-424 [PMID: 32302552 DOI: 10.1016/j.tcb.2020.02.005]</w:t>
      </w:r>
    </w:p>
    <w:p w14:paraId="2C4E62CF" w14:textId="77777777" w:rsidR="00A77B3E" w:rsidRDefault="001D27AD" w:rsidP="00567499">
      <w:pPr>
        <w:snapToGrid w:val="0"/>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Zaytouni T</w:t>
      </w:r>
      <w:r>
        <w:rPr>
          <w:rFonts w:ascii="Book Antiqua" w:eastAsia="Book Antiqua" w:hAnsi="Book Antiqua" w:cs="Book Antiqua"/>
          <w:color w:val="000000"/>
        </w:rPr>
        <w:t xml:space="preserve">, Tsai PY, Hitchcock DS, DuBois CD, Freinkman E, Lin L, Morales-Oyarvide V, Lenehan PJ, Wolpin BM, Mino-Kenudson M, Torres EM, Stylopoulos N, Clish CB, Kalaany NY. Critical role for arginase 2 in obesity-associated pancreatic cancer.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242 [PMID: 28808255 DOI: 10.1038/s41467-017-00331-y]</w:t>
      </w:r>
    </w:p>
    <w:p w14:paraId="563175F7" w14:textId="77777777" w:rsidR="00A77B3E" w:rsidRDefault="001D27AD" w:rsidP="00567499">
      <w:pPr>
        <w:snapToGrid w:val="0"/>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Gmeiner WH</w:t>
      </w:r>
      <w:r>
        <w:rPr>
          <w:rFonts w:ascii="Book Antiqua" w:eastAsia="Book Antiqua" w:hAnsi="Book Antiqua" w:cs="Book Antiqua"/>
          <w:color w:val="000000"/>
        </w:rPr>
        <w:t xml:space="preserve">, Hellmann GM, Shen P. Tissue-dependent and -independent gene expression changes in metastatic colon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2008; </w:t>
      </w:r>
      <w:r>
        <w:rPr>
          <w:rFonts w:ascii="Book Antiqua" w:eastAsia="Book Antiqua" w:hAnsi="Book Antiqua" w:cs="Book Antiqua"/>
          <w:b/>
          <w:bCs/>
          <w:color w:val="000000"/>
        </w:rPr>
        <w:t>19</w:t>
      </w:r>
      <w:r>
        <w:rPr>
          <w:rFonts w:ascii="Book Antiqua" w:eastAsia="Book Antiqua" w:hAnsi="Book Antiqua" w:cs="Book Antiqua"/>
          <w:color w:val="000000"/>
        </w:rPr>
        <w:t>: 245-251 [PMID: 18097602]</w:t>
      </w:r>
    </w:p>
    <w:p w14:paraId="42876B9B" w14:textId="77777777" w:rsidR="00A77B3E" w:rsidRDefault="001D27AD" w:rsidP="00567499">
      <w:pPr>
        <w:snapToGrid w:val="0"/>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Kodama M</w:t>
      </w:r>
      <w:r>
        <w:rPr>
          <w:rFonts w:ascii="Book Antiqua" w:eastAsia="Book Antiqua" w:hAnsi="Book Antiqua" w:cs="Book Antiqua"/>
          <w:color w:val="000000"/>
        </w:rPr>
        <w:t xml:space="preserve">, Oshikawa K, Shimizu H, Yoshioka S, Takahashi M, Izumi Y, Bamba T, Tateishi C, Tomonaga T, Matsumoto M, Nakayama KI. A shift in glutamine nitrogen metabolism contributes to the malignant progression of cancer.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1320 [PMID: 32184390 DOI: 10.1038/s41467-020-15136-9]</w:t>
      </w:r>
    </w:p>
    <w:p w14:paraId="60380235" w14:textId="77777777" w:rsidR="00A77B3E" w:rsidRDefault="001D27AD" w:rsidP="00567499">
      <w:pPr>
        <w:snapToGrid w:val="0"/>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Yang Y</w:t>
      </w:r>
      <w:r>
        <w:rPr>
          <w:rFonts w:ascii="Book Antiqua" w:eastAsia="Book Antiqua" w:hAnsi="Book Antiqua" w:cs="Book Antiqua"/>
          <w:color w:val="000000"/>
        </w:rPr>
        <w:t xml:space="preserve">, Zheng Y, Liu X, Ji R, Chen Z, Guo Q, Wu G, Wang Y, Zhou Y. Comprehensive analysis of gene regulation network and immune signatures of prognostic biomarker YAP1 in pancreatic cancer.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6960-6969 [PMID: 33123286 DOI: 10.7150/jca.49117]</w:t>
      </w:r>
    </w:p>
    <w:p w14:paraId="5FB9907B" w14:textId="77777777" w:rsidR="00A77B3E" w:rsidRDefault="001D27AD" w:rsidP="00567499">
      <w:pPr>
        <w:snapToGrid w:val="0"/>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Shen Y</w:t>
      </w:r>
      <w:r>
        <w:rPr>
          <w:rFonts w:ascii="Book Antiqua" w:eastAsia="Book Antiqua" w:hAnsi="Book Antiqua" w:cs="Book Antiqua"/>
          <w:color w:val="000000"/>
        </w:rPr>
        <w:t xml:space="preserve">, Lai Y, Xu D, Xu L, Song L, Zhou J, Song C, Wang J. Diagnosis of thyroid neoplasm using support vector machine algorithms based on platelet RNA-seq.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2020 [PMID: 33179221 DOI: 10.1007/s12020-020-02523-x]</w:t>
      </w:r>
    </w:p>
    <w:p w14:paraId="6CE8A7BB" w14:textId="77777777" w:rsidR="00A77B3E" w:rsidRDefault="001D27AD" w:rsidP="00567499">
      <w:pPr>
        <w:snapToGrid w:val="0"/>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Zhou L</w:t>
      </w:r>
      <w:r>
        <w:rPr>
          <w:rFonts w:ascii="Book Antiqua" w:eastAsia="Book Antiqua" w:hAnsi="Book Antiqua" w:cs="Book Antiqua"/>
          <w:color w:val="000000"/>
        </w:rPr>
        <w:t xml:space="preserve">, Li Y, Li Z, Huang Q. Mining therapeutic and prognostic significance of STATs in renal cell carcinoma with bioinformatics analysis. </w:t>
      </w:r>
      <w:r>
        <w:rPr>
          <w:rFonts w:ascii="Book Antiqua" w:eastAsia="Book Antiqua" w:hAnsi="Book Antiqua" w:cs="Book Antiqua"/>
          <w:i/>
          <w:iCs/>
          <w:color w:val="000000"/>
        </w:rPr>
        <w:t>Genomics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112</w:t>
      </w:r>
      <w:r>
        <w:rPr>
          <w:rFonts w:ascii="Book Antiqua" w:eastAsia="Book Antiqua" w:hAnsi="Book Antiqua" w:cs="Book Antiqua"/>
          <w:color w:val="000000"/>
        </w:rPr>
        <w:t>: 4100-4114 [PMID: 32640276 DOI: 10.1016/j.ygeno.2020.06.032]</w:t>
      </w:r>
    </w:p>
    <w:p w14:paraId="3477A419" w14:textId="77777777" w:rsidR="00A77B3E" w:rsidRDefault="001D27AD" w:rsidP="00567499">
      <w:pPr>
        <w:snapToGrid w:val="0"/>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Lee K</w:t>
      </w:r>
      <w:r>
        <w:rPr>
          <w:rFonts w:ascii="Book Antiqua" w:eastAsia="Book Antiqua" w:hAnsi="Book Antiqua" w:cs="Book Antiqua"/>
          <w:color w:val="000000"/>
        </w:rPr>
        <w:t xml:space="preserve">, Ferguson LR. MicroRNA biomarkers predicting risk, initiation and progression of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7389-7401 [PMID: 27672263 DOI: 10.3748/wjg.v22.i33.7389]</w:t>
      </w:r>
    </w:p>
    <w:p w14:paraId="6CDF33F6" w14:textId="77777777" w:rsidR="00A77B3E" w:rsidRDefault="001D27AD" w:rsidP="00567499">
      <w:pPr>
        <w:snapToGrid w:val="0"/>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Liu C</w:t>
      </w:r>
      <w:r>
        <w:rPr>
          <w:rFonts w:ascii="Book Antiqua" w:eastAsia="Book Antiqua" w:hAnsi="Book Antiqua" w:cs="Book Antiqua"/>
          <w:color w:val="000000"/>
        </w:rPr>
        <w:t xml:space="preserve">, Tian X, Sun HB, Wang ZF, Jiang LF, Li ZX. MiR-601 inhibits the proliferation and metastasis of esophageal squamous cell carcinoma (ESCC) by targeting HDAC6. </w:t>
      </w:r>
      <w:r>
        <w:rPr>
          <w:rFonts w:ascii="Book Antiqua" w:eastAsia="Book Antiqua" w:hAnsi="Book Antiqua" w:cs="Book Antiqua"/>
          <w:i/>
          <w:iCs/>
          <w:color w:val="000000"/>
        </w:rPr>
        <w:t>Eur Rev Med Pharmacol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1069-1076 [PMID: 30779074 DOI: 10.26355/eurrev_201902_16995]</w:t>
      </w:r>
    </w:p>
    <w:p w14:paraId="49D95F40" w14:textId="77777777" w:rsidR="00A77B3E" w:rsidRDefault="001D27AD" w:rsidP="00567499">
      <w:pPr>
        <w:snapToGrid w:val="0"/>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Hu JY</w:t>
      </w:r>
      <w:r>
        <w:rPr>
          <w:rFonts w:ascii="Book Antiqua" w:eastAsia="Book Antiqua" w:hAnsi="Book Antiqua" w:cs="Book Antiqua"/>
          <w:color w:val="000000"/>
        </w:rPr>
        <w:t xml:space="preserve">, Yi W, Wei X, Zhang MY, Xu R, Zeng LS, Huang ZJ, Chen JS. miR-601 is a prognostic marker and suppresses cell growth and invasion by targeting PTP4A1 in breast cancer.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79</w:t>
      </w:r>
      <w:r>
        <w:rPr>
          <w:rFonts w:ascii="Book Antiqua" w:eastAsia="Book Antiqua" w:hAnsi="Book Antiqua" w:cs="Book Antiqua"/>
          <w:color w:val="000000"/>
        </w:rPr>
        <w:t>: 247-253 [PMID: 27044835 DOI: 10.1016/j.biopha.2016.02.014]</w:t>
      </w:r>
    </w:p>
    <w:p w14:paraId="3327EFE5" w14:textId="77777777" w:rsidR="00A77B3E" w:rsidRDefault="001D27AD" w:rsidP="00567499">
      <w:pPr>
        <w:snapToGrid w:val="0"/>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Li X</w:t>
      </w:r>
      <w:r>
        <w:rPr>
          <w:rFonts w:ascii="Book Antiqua" w:eastAsia="Book Antiqua" w:hAnsi="Book Antiqua" w:cs="Book Antiqua"/>
          <w:color w:val="000000"/>
        </w:rPr>
        <w:t xml:space="preserve">, Nie C, Tian B, Tan X, Han W, Wang J, Jin Y, Li Y, Guan X, Hong A, Chen X. miR-671-5p Blocks The Progression Of Human Esophageal Squamous Cell Carcinoma By Suppressing FGFR2. </w:t>
      </w:r>
      <w:r>
        <w:rPr>
          <w:rFonts w:ascii="Book Antiqua" w:eastAsia="Book Antiqua" w:hAnsi="Book Antiqua" w:cs="Book Antiqua"/>
          <w:i/>
          <w:iCs/>
          <w:color w:val="000000"/>
        </w:rPr>
        <w:t>Int J Biol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1892-1904 [PMID: 31523191 DOI: 10.7150/ijbs.32429]</w:t>
      </w:r>
    </w:p>
    <w:p w14:paraId="1E2AEF46" w14:textId="77777777" w:rsidR="00A77B3E" w:rsidRDefault="001D27AD" w:rsidP="00567499">
      <w:pPr>
        <w:snapToGrid w:val="0"/>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Tan X</w:t>
      </w:r>
      <w:r>
        <w:rPr>
          <w:rFonts w:ascii="Book Antiqua" w:eastAsia="Book Antiqua" w:hAnsi="Book Antiqua" w:cs="Book Antiqua"/>
          <w:color w:val="000000"/>
        </w:rPr>
        <w:t xml:space="preserve">, Li Z, Ren S, Rezaei K, Pan Q, Goldstein AT, Macri CJ, Cao D, Brem RF, Fu SW. Dynamically decreased miR-671-5p expression is associated with oncogenic transformation and radiochemoresistance in breast cancer. </w:t>
      </w:r>
      <w:r>
        <w:rPr>
          <w:rFonts w:ascii="Book Antiqua" w:eastAsia="Book Antiqua" w:hAnsi="Book Antiqua" w:cs="Book Antiqua"/>
          <w:i/>
          <w:iCs/>
          <w:color w:val="000000"/>
        </w:rPr>
        <w:t>Breast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89 [PMID: 31391072 DOI: 10.1186/s13058-019-1173-5]</w:t>
      </w:r>
    </w:p>
    <w:p w14:paraId="702A040D" w14:textId="77777777" w:rsidR="00A77B3E" w:rsidRDefault="001D27AD" w:rsidP="00567499">
      <w:pPr>
        <w:snapToGrid w:val="0"/>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Li X</w:t>
      </w:r>
      <w:r>
        <w:rPr>
          <w:rFonts w:ascii="Book Antiqua" w:eastAsia="Book Antiqua" w:hAnsi="Book Antiqua" w:cs="Book Antiqua"/>
          <w:color w:val="000000"/>
        </w:rPr>
        <w:t xml:space="preserve">, Diao H. Circular RNA circ_0001946 acts as a competing endogenous RNA to inhibit glioblastoma progression by modulating miR-671-5p and CDR1.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13807-13819 [PMID: 30663767 DOI: 10.1002/jcp.28061]</w:t>
      </w:r>
    </w:p>
    <w:p w14:paraId="16EA6CB3" w14:textId="5127460B" w:rsidR="00A77B3E" w:rsidRDefault="001D27AD" w:rsidP="00567499">
      <w:pPr>
        <w:snapToGrid w:val="0"/>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Gartner JJ</w:t>
      </w:r>
      <w:r>
        <w:rPr>
          <w:rFonts w:ascii="Book Antiqua" w:eastAsia="Book Antiqua" w:hAnsi="Book Antiqua" w:cs="Book Antiqua"/>
          <w:color w:val="000000"/>
        </w:rPr>
        <w:t xml:space="preserve">, Parker SC, Prickett TD, Dutton-Regester K, Stitzel ML, Lin JC, Davis S, Simhadri VL, Jha S, Katagiri N, Gotea V, Teer JK, Wei X, Morken MA, Bhanot UK; NISC Comparative Sequencing Program, Chen G, Elnitski LL, Davies MA, Gershenwald JE, Carter H, Karchin R, Robinson W, Robinson S, Rosenberg SA, Collins FS, Parmigiani G, Komar AA, Kimchi-Sarfaty C, Hayward NK, Margulies EH, Samuels Y. Whole-genome sequencing identifies a recurrent functional synonymous mutation in melanoma. </w:t>
      </w:r>
      <w:r>
        <w:rPr>
          <w:rFonts w:ascii="Book Antiqua" w:eastAsia="Book Antiqua" w:hAnsi="Book Antiqua" w:cs="Book Antiqua"/>
          <w:i/>
          <w:iCs/>
          <w:color w:val="000000"/>
        </w:rPr>
        <w:t>Proc</w:t>
      </w:r>
      <w:r w:rsidR="009D39A7">
        <w:rPr>
          <w:rFonts w:ascii="Book Antiqua" w:eastAsia="Book Antiqua" w:hAnsi="Book Antiqua" w:cs="Book Antiqua"/>
          <w:i/>
          <w:iCs/>
          <w:color w:val="000000"/>
        </w:rPr>
        <w:t xml:space="preserve"> Natl Acad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13481-13486 [PMID: 23901115 DOI: 10.1073/pnas.1304227110]</w:t>
      </w:r>
    </w:p>
    <w:p w14:paraId="3A58B9D0" w14:textId="77777777" w:rsidR="00A77B3E" w:rsidRDefault="001D27AD" w:rsidP="00567499">
      <w:pPr>
        <w:snapToGrid w:val="0"/>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Della Vittoria Scarpati G</w:t>
      </w:r>
      <w:r>
        <w:rPr>
          <w:rFonts w:ascii="Book Antiqua" w:eastAsia="Book Antiqua" w:hAnsi="Book Antiqua" w:cs="Book Antiqua"/>
          <w:color w:val="000000"/>
        </w:rPr>
        <w:t xml:space="preserve">, Falcetta F, Carlomagno C, Ubezio P, Marchini S, De Stefano A, Singh VK, D'Incalci M, De Placido S, Pepe S. A specific miRNA signature correlates with complete pathological response to neoadjuvant chemoradiotherapy in locally advanced rectal cancer. </w:t>
      </w:r>
      <w:r>
        <w:rPr>
          <w:rFonts w:ascii="Book Antiqua" w:eastAsia="Book Antiqua" w:hAnsi="Book Antiqua" w:cs="Book Antiqua"/>
          <w:i/>
          <w:iCs/>
          <w:color w:val="000000"/>
        </w:rPr>
        <w:t>Int J Radiat Oncol Biol Phys</w:t>
      </w:r>
      <w:r>
        <w:rPr>
          <w:rFonts w:ascii="Book Antiqua" w:eastAsia="Book Antiqua" w:hAnsi="Book Antiqua" w:cs="Book Antiqua"/>
          <w:color w:val="000000"/>
        </w:rPr>
        <w:t xml:space="preserve"> 2012; </w:t>
      </w:r>
      <w:r>
        <w:rPr>
          <w:rFonts w:ascii="Book Antiqua" w:eastAsia="Book Antiqua" w:hAnsi="Book Antiqua" w:cs="Book Antiqua"/>
          <w:b/>
          <w:bCs/>
          <w:color w:val="000000"/>
        </w:rPr>
        <w:t>83</w:t>
      </w:r>
      <w:r>
        <w:rPr>
          <w:rFonts w:ascii="Book Antiqua" w:eastAsia="Book Antiqua" w:hAnsi="Book Antiqua" w:cs="Book Antiqua"/>
          <w:color w:val="000000"/>
        </w:rPr>
        <w:t>: 1113-1119 [PMID: 22172905 DOI: 10.1016/j.ijrobp.2011.09.030]</w:t>
      </w:r>
    </w:p>
    <w:p w14:paraId="78DD2F89" w14:textId="77777777" w:rsidR="00A77B3E" w:rsidRDefault="001D27AD" w:rsidP="00567499">
      <w:pPr>
        <w:snapToGrid w:val="0"/>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Jiang B</w:t>
      </w:r>
      <w:r>
        <w:rPr>
          <w:rFonts w:ascii="Book Antiqua" w:eastAsia="Book Antiqua" w:hAnsi="Book Antiqua" w:cs="Book Antiqua"/>
          <w:color w:val="000000"/>
        </w:rPr>
        <w:t xml:space="preserve">, Xu G, Lv HQ, Huang M, Li Z. Up-regulation of miR-765 predicts a poor prognosis in patients with esophageal squamous cell carcinoma. </w:t>
      </w:r>
      <w:r>
        <w:rPr>
          <w:rFonts w:ascii="Book Antiqua" w:eastAsia="Book Antiqua" w:hAnsi="Book Antiqua" w:cs="Book Antiqua"/>
          <w:i/>
          <w:iCs/>
          <w:color w:val="000000"/>
        </w:rPr>
        <w:t>Eur Rev Med Pharmacol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3789-3794 [PMID: 29949154 DOI: 10.26355/eurrev_201806_15261]</w:t>
      </w:r>
    </w:p>
    <w:p w14:paraId="587585D7" w14:textId="77777777" w:rsidR="00A77B3E" w:rsidRDefault="001D27AD" w:rsidP="00567499">
      <w:pPr>
        <w:snapToGrid w:val="0"/>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Xie BH</w:t>
      </w:r>
      <w:r>
        <w:rPr>
          <w:rFonts w:ascii="Book Antiqua" w:eastAsia="Book Antiqua" w:hAnsi="Book Antiqua" w:cs="Book Antiqua"/>
          <w:color w:val="000000"/>
        </w:rPr>
        <w:t xml:space="preserve">, He X, Hua RX, Zhang B, Tan GS, Xiong SQ, Liu LS, Chen W, Yang JY, Wang XN, Li HP. Mir-765 promotes cell proliferation by downregulating INPP4B expression in human hepatocellular carcinoma. </w:t>
      </w:r>
      <w:r>
        <w:rPr>
          <w:rFonts w:ascii="Book Antiqua" w:eastAsia="Book Antiqua" w:hAnsi="Book Antiqua" w:cs="Book Antiqua"/>
          <w:i/>
          <w:iCs/>
          <w:color w:val="000000"/>
        </w:rPr>
        <w:t>Cancer Biomark</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405-413 [PMID: 27062697 DOI: 10.3233/CBM-160579]</w:t>
      </w:r>
    </w:p>
    <w:p w14:paraId="2F9C78AD" w14:textId="77777777" w:rsidR="00A77B3E" w:rsidRDefault="001D27AD" w:rsidP="00567499">
      <w:pPr>
        <w:snapToGrid w:val="0"/>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Lv DB</w:t>
      </w:r>
      <w:r>
        <w:rPr>
          <w:rFonts w:ascii="Book Antiqua" w:eastAsia="Book Antiqua" w:hAnsi="Book Antiqua" w:cs="Book Antiqua"/>
          <w:color w:val="000000"/>
        </w:rPr>
        <w:t xml:space="preserve">, Zhang JY, Gao K, Yu ZH, Sheng WC, Yang G, Gao YZ. MicroRNA-765 targets MTUS1 to promote the progression of osteosarcoma </w:t>
      </w:r>
      <w:r>
        <w:rPr>
          <w:rFonts w:ascii="Book Antiqua" w:eastAsia="Book Antiqua" w:hAnsi="Book Antiqua" w:cs="Book Antiqua"/>
          <w:i/>
          <w:iCs/>
          <w:color w:val="000000"/>
        </w:rPr>
        <w:t>via</w:t>
      </w:r>
      <w:r>
        <w:rPr>
          <w:rFonts w:ascii="Book Antiqua" w:eastAsia="Book Antiqua" w:hAnsi="Book Antiqua" w:cs="Book Antiqua"/>
          <w:color w:val="000000"/>
        </w:rPr>
        <w:t xml:space="preserve"> mediating ERK/EMT pathway. </w:t>
      </w:r>
      <w:r>
        <w:rPr>
          <w:rFonts w:ascii="Book Antiqua" w:eastAsia="Book Antiqua" w:hAnsi="Book Antiqua" w:cs="Book Antiqua"/>
          <w:i/>
          <w:iCs/>
          <w:color w:val="000000"/>
        </w:rPr>
        <w:t>Eur Rev Med Pharmacol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4618-4628 [PMID: 31210288 DOI: 10.26355/eurrev_201906_18040]</w:t>
      </w:r>
    </w:p>
    <w:p w14:paraId="20CE4A15" w14:textId="77777777" w:rsidR="00A77B3E" w:rsidRDefault="001D27AD" w:rsidP="00567499">
      <w:pPr>
        <w:snapToGrid w:val="0"/>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Zhou R</w:t>
      </w:r>
      <w:r>
        <w:rPr>
          <w:rFonts w:ascii="Book Antiqua" w:eastAsia="Book Antiqua" w:hAnsi="Book Antiqua" w:cs="Book Antiqua"/>
          <w:color w:val="000000"/>
        </w:rPr>
        <w:t xml:space="preserve">, Huang W, Yao Y, Wang Y, Li Z, Shao B, Zhong J, Tang M, Liang S, Zhao X, Tong A, Yang J. CA II, a potential biomarker by proteomic analysis, exerts significant inhibitory effect on the growth of colorectal cancer cells.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43</w:t>
      </w:r>
      <w:r>
        <w:rPr>
          <w:rFonts w:ascii="Book Antiqua" w:eastAsia="Book Antiqua" w:hAnsi="Book Antiqua" w:cs="Book Antiqua"/>
          <w:color w:val="000000"/>
        </w:rPr>
        <w:t>: 611-621 [PMID: 23727877 DOI: 10.3892/ijo.2013.1972]</w:t>
      </w:r>
    </w:p>
    <w:p w14:paraId="24FCDB2D" w14:textId="77777777" w:rsidR="00A77B3E" w:rsidRDefault="001D27AD" w:rsidP="00567499">
      <w:pPr>
        <w:snapToGrid w:val="0"/>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Viikilä P</w:t>
      </w:r>
      <w:r>
        <w:rPr>
          <w:rFonts w:ascii="Book Antiqua" w:eastAsia="Book Antiqua" w:hAnsi="Book Antiqua" w:cs="Book Antiqua"/>
          <w:color w:val="000000"/>
        </w:rPr>
        <w:t xml:space="preserve">, Kivelä AJ, Mustonen H, Koskensalo S, Waheed A, Sly WS, Pastorek J, Pastorekova S, Parkkila S, Haglund C. Carbonic anhydrase enzymes II, VII, IX and XII in colorectal carcinomas.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8168-8177 [PMID: 27688658 DOI: 10.3748/wjg.v22.i36.8168]</w:t>
      </w:r>
    </w:p>
    <w:p w14:paraId="13711522" w14:textId="77777777" w:rsidR="00A77B3E" w:rsidRDefault="001D27AD" w:rsidP="00567499">
      <w:pPr>
        <w:snapToGrid w:val="0"/>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Mori M</w:t>
      </w:r>
      <w:r>
        <w:rPr>
          <w:rFonts w:ascii="Book Antiqua" w:eastAsia="Book Antiqua" w:hAnsi="Book Antiqua" w:cs="Book Antiqua"/>
          <w:color w:val="000000"/>
        </w:rPr>
        <w:t xml:space="preserve">, Staniunas RJ, Barnard GF, Jessup JM, Steele GD Jr, Chen LB. The significance of carbonic anhydrase expression in human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105</w:t>
      </w:r>
      <w:r>
        <w:rPr>
          <w:rFonts w:ascii="Book Antiqua" w:eastAsia="Book Antiqua" w:hAnsi="Book Antiqua" w:cs="Book Antiqua"/>
          <w:color w:val="000000"/>
        </w:rPr>
        <w:t>: 820-826 [PMID: 8359652 DOI: 10.1016/0016-5085(93)90900-w]</w:t>
      </w:r>
    </w:p>
    <w:p w14:paraId="74446D46" w14:textId="77777777" w:rsidR="00A77B3E" w:rsidRDefault="001D27AD" w:rsidP="00567499">
      <w:pPr>
        <w:snapToGrid w:val="0"/>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Tsoi H, Li X, Wang H, Gao J, Wang K, Go MY, Ng SC, Chan FK, Sung JJ, Yu J. Carbonic anhydrase IV inhibits colon cancer development by inhibiting the Wnt signalling pathway through targeting the WTAP-WT1-TBL1 axis.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1482-1493 [PMID: 26071132 DOI: 10.1136/gutjnl-2014-308614]</w:t>
      </w:r>
    </w:p>
    <w:p w14:paraId="002111EA" w14:textId="77777777" w:rsidR="00A77B3E" w:rsidRDefault="001D27AD" w:rsidP="00567499">
      <w:pPr>
        <w:snapToGrid w:val="0"/>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Zengin Kurt B</w:t>
      </w:r>
      <w:r>
        <w:rPr>
          <w:rFonts w:ascii="Book Antiqua" w:eastAsia="Book Antiqua" w:hAnsi="Book Antiqua" w:cs="Book Antiqua"/>
          <w:color w:val="000000"/>
        </w:rPr>
        <w:t xml:space="preserve">, Sonmez F, Ozturk D, Akdemir A, Angeli A, Supuran CT. Synthesis of coumarin-sulfonamide derivatives and determination of their cytotoxicity, carbonic anhydrase inhibitory and molecular docking studies. </w:t>
      </w:r>
      <w:r>
        <w:rPr>
          <w:rFonts w:ascii="Book Antiqua" w:eastAsia="Book Antiqua" w:hAnsi="Book Antiqua" w:cs="Book Antiqua"/>
          <w:i/>
          <w:iCs/>
          <w:color w:val="000000"/>
        </w:rPr>
        <w:t>Eur J Med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183</w:t>
      </w:r>
      <w:r>
        <w:rPr>
          <w:rFonts w:ascii="Book Antiqua" w:eastAsia="Book Antiqua" w:hAnsi="Book Antiqua" w:cs="Book Antiqua"/>
          <w:color w:val="000000"/>
        </w:rPr>
        <w:t>: 111702 [PMID: 31542715 DOI: 10.1016/j.ejmech.2019.111702]</w:t>
      </w:r>
    </w:p>
    <w:p w14:paraId="0FB8FEAD" w14:textId="77777777" w:rsidR="00A77B3E" w:rsidRDefault="001D27AD" w:rsidP="00567499">
      <w:pPr>
        <w:snapToGrid w:val="0"/>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Wu Z</w:t>
      </w:r>
      <w:r>
        <w:rPr>
          <w:rFonts w:ascii="Book Antiqua" w:eastAsia="Book Antiqua" w:hAnsi="Book Antiqua" w:cs="Book Antiqua"/>
          <w:color w:val="000000"/>
        </w:rPr>
        <w:t xml:space="preserve">, Liu Z, Ge W, Shou J, You L, Pan H, Han W. Analysis of potential genes and pathways associated with the colorectal normal mucosa-adenoma-carcinoma sequence.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2555-2566 [PMID: 29659199 DOI: 10.1002/cam4.1484]</w:t>
      </w:r>
    </w:p>
    <w:p w14:paraId="470EDCF5" w14:textId="77777777" w:rsidR="00A77B3E" w:rsidRDefault="001D27AD" w:rsidP="00567499">
      <w:pPr>
        <w:snapToGrid w:val="0"/>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Maeda K</w:t>
      </w:r>
      <w:r>
        <w:rPr>
          <w:rFonts w:ascii="Book Antiqua" w:eastAsia="Book Antiqua" w:hAnsi="Book Antiqua" w:cs="Book Antiqua"/>
          <w:color w:val="000000"/>
        </w:rPr>
        <w:t xml:space="preserve">, Saigo C, Kito Y, Sakuratani T, Yoshida K, Takeuchi T. Expression of TMEM207 in Colorectal Cancer: Relation between TMEM207 and Intelectin-1.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207-213 [PMID: 26819645 DOI: 10.7150/jca.13732]</w:t>
      </w:r>
    </w:p>
    <w:p w14:paraId="203F8E5C" w14:textId="77777777" w:rsidR="00A77B3E" w:rsidRDefault="001D27AD" w:rsidP="00567499">
      <w:pPr>
        <w:snapToGrid w:val="0"/>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Li D</w:t>
      </w:r>
      <w:r>
        <w:rPr>
          <w:rFonts w:ascii="Book Antiqua" w:eastAsia="Book Antiqua" w:hAnsi="Book Antiqua" w:cs="Book Antiqua"/>
          <w:color w:val="000000"/>
        </w:rPr>
        <w:t xml:space="preserve">, Mei H, Pu J, Xiang X, Zhao X, Qu H, Huang K, Zheng L, Tong Q. Intelectin 1 suppresses the growth, invasion and metastasis of neuroblastoma cells through up-regulation of N-myc downstream regulated gene 2.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47 [PMID: 25889839 DOI: 10.1186/s12943-015-0320-6]</w:t>
      </w:r>
    </w:p>
    <w:p w14:paraId="414525EE" w14:textId="77777777" w:rsidR="00A77B3E" w:rsidRDefault="001D27AD" w:rsidP="00567499">
      <w:pPr>
        <w:snapToGrid w:val="0"/>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Au-Yeung CL</w:t>
      </w:r>
      <w:r>
        <w:rPr>
          <w:rFonts w:ascii="Book Antiqua" w:eastAsia="Book Antiqua" w:hAnsi="Book Antiqua" w:cs="Book Antiqua"/>
          <w:color w:val="000000"/>
        </w:rPr>
        <w:t xml:space="preserve">, Yeung TL, Achreja A, Zhao H, Yip KP, Kwan SY, Onstad M, Sheng J, Zhu Y, Baluya DL, Co NN, Rynne-Vidal A, Schmandt R, Anderson ML, Lu KH, Wong STC, Nagrath D, Mok SC. ITLN1 modulates invasive potential and metabolic reprogramming of ovarian cancer cells in omental microenvironment.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3546 [PMID: 32669559 DOI: 10.1038/s41467-020-17383-2]</w:t>
      </w:r>
    </w:p>
    <w:p w14:paraId="14CCF261" w14:textId="77777777" w:rsidR="00A77B3E" w:rsidRDefault="001D27AD" w:rsidP="00567499">
      <w:pPr>
        <w:snapToGrid w:val="0"/>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Wang J, Liu X. LRRC19-A Bridge between Selenium Adjuvant Therapy and Renal Clear Cell Carcinoma: A Study Based on Datamining. </w:t>
      </w:r>
      <w:r>
        <w:rPr>
          <w:rFonts w:ascii="Book Antiqua" w:eastAsia="Book Antiqua" w:hAnsi="Book Antiqua" w:cs="Book Antiqua"/>
          <w:i/>
          <w:iCs/>
          <w:color w:val="000000"/>
        </w:rPr>
        <w:t>Genes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32316597 DOI: 10.3390/genes11040440]</w:t>
      </w:r>
    </w:p>
    <w:p w14:paraId="157B41B1" w14:textId="77777777" w:rsidR="00A77B3E" w:rsidRDefault="001D27AD" w:rsidP="00567499">
      <w:pPr>
        <w:snapToGrid w:val="0"/>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Payton S</w:t>
      </w:r>
      <w:r>
        <w:rPr>
          <w:rFonts w:ascii="Book Antiqua" w:eastAsia="Book Antiqua" w:hAnsi="Book Antiqua" w:cs="Book Antiqua"/>
          <w:color w:val="000000"/>
        </w:rPr>
        <w:t xml:space="preserve">. Infection: LRRC19 mediates elimination of uropathogenic bacteria from kidney. </w:t>
      </w:r>
      <w:r>
        <w:rPr>
          <w:rFonts w:ascii="Book Antiqua" w:eastAsia="Book Antiqua" w:hAnsi="Book Antiqua" w:cs="Book Antiqua"/>
          <w:i/>
          <w:iCs/>
          <w:color w:val="000000"/>
        </w:rPr>
        <w:t>Nat Rev Urol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482 [PMID: 25091007 DOI: 10.1038/nrurol.2014.199]</w:t>
      </w:r>
    </w:p>
    <w:p w14:paraId="3493DD99" w14:textId="77777777" w:rsidR="00A77B3E" w:rsidRDefault="001D27AD" w:rsidP="00567499">
      <w:pPr>
        <w:snapToGrid w:val="0"/>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Rajeshkumar NV</w:t>
      </w:r>
      <w:r>
        <w:rPr>
          <w:rFonts w:ascii="Book Antiqua" w:eastAsia="Book Antiqua" w:hAnsi="Book Antiqua" w:cs="Book Antiqua"/>
          <w:color w:val="000000"/>
        </w:rPr>
        <w:t xml:space="preserve">, Tan AC, De Oliveira E, Womack C, Wombwell H, Morgan S, Warren MV, Walker J, Green TP, Jimeno A, Messersmith WA, Hidalgo M. Antitumor effects and biomarkers of activity of AZD0530, a Src inhibitor, in pancreatic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4138-4146 [PMID: 19509160 DOI: 10.1158/1078-0432.CCR-08-3021]</w:t>
      </w:r>
    </w:p>
    <w:p w14:paraId="27A8F633" w14:textId="77777777" w:rsidR="00A77B3E" w:rsidRDefault="00A77B3E" w:rsidP="00567499">
      <w:pPr>
        <w:snapToGrid w:val="0"/>
        <w:spacing w:line="360" w:lineRule="auto"/>
        <w:jc w:val="both"/>
        <w:sectPr w:rsidR="00A77B3E">
          <w:pgSz w:w="12240" w:h="15840"/>
          <w:pgMar w:top="1440" w:right="1440" w:bottom="1440" w:left="1440" w:header="720" w:footer="720" w:gutter="0"/>
          <w:cols w:space="720"/>
          <w:docGrid w:linePitch="360"/>
        </w:sectPr>
      </w:pPr>
    </w:p>
    <w:p w14:paraId="17F9BE2C" w14:textId="77777777" w:rsidR="00A77B3E" w:rsidRDefault="001D27AD" w:rsidP="00567499">
      <w:pPr>
        <w:snapToGrid w:val="0"/>
        <w:spacing w:line="360" w:lineRule="auto"/>
        <w:jc w:val="both"/>
      </w:pPr>
      <w:r>
        <w:rPr>
          <w:rFonts w:ascii="Book Antiqua" w:eastAsia="Book Antiqua" w:hAnsi="Book Antiqua" w:cs="Book Antiqua"/>
          <w:b/>
          <w:color w:val="000000"/>
        </w:rPr>
        <w:t>Footnotes</w:t>
      </w:r>
    </w:p>
    <w:p w14:paraId="630167F0" w14:textId="1AAB90A9" w:rsidR="00A77B3E" w:rsidRDefault="001D27AD" w:rsidP="00567499">
      <w:pPr>
        <w:snapToGrid w:val="0"/>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 China-Japan Friendship Hospital</w:t>
      </w:r>
      <w:r w:rsidR="002E4B1C">
        <w:rPr>
          <w:rFonts w:ascii="Book Antiqua" w:eastAsia="Book Antiqua" w:hAnsi="Book Antiqua" w:cs="Book Antiqua"/>
          <w:color w:val="000000"/>
        </w:rPr>
        <w:t xml:space="preserve">, </w:t>
      </w:r>
      <w:r>
        <w:rPr>
          <w:rFonts w:ascii="Book Antiqua" w:eastAsia="Book Antiqua" w:hAnsi="Book Antiqua" w:cs="Book Antiqua"/>
          <w:color w:val="000000"/>
        </w:rPr>
        <w:t>No. 2018-116-K85-1.</w:t>
      </w:r>
    </w:p>
    <w:p w14:paraId="5687FFBC" w14:textId="77777777" w:rsidR="00A77B3E" w:rsidRDefault="00A77B3E" w:rsidP="00567499">
      <w:pPr>
        <w:snapToGrid w:val="0"/>
        <w:spacing w:line="360" w:lineRule="auto"/>
        <w:jc w:val="both"/>
      </w:pPr>
    </w:p>
    <w:p w14:paraId="3A6AACBC"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14:paraId="29716F2E" w14:textId="77777777" w:rsidR="00A77B3E" w:rsidRDefault="00A77B3E" w:rsidP="00567499">
      <w:pPr>
        <w:snapToGrid w:val="0"/>
        <w:spacing w:line="360" w:lineRule="auto"/>
        <w:jc w:val="both"/>
      </w:pPr>
    </w:p>
    <w:p w14:paraId="7FC30B1A"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788DEB03" w14:textId="77777777" w:rsidR="00A77B3E" w:rsidRDefault="00A77B3E" w:rsidP="00567499">
      <w:pPr>
        <w:snapToGrid w:val="0"/>
        <w:spacing w:line="360" w:lineRule="auto"/>
        <w:jc w:val="both"/>
      </w:pPr>
    </w:p>
    <w:p w14:paraId="60BFE405" w14:textId="77777777" w:rsidR="00A77B3E" w:rsidRDefault="001D27AD" w:rsidP="00567499">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9B9059" w14:textId="77777777" w:rsidR="00A77B3E" w:rsidRDefault="00A77B3E" w:rsidP="00567499">
      <w:pPr>
        <w:snapToGrid w:val="0"/>
        <w:spacing w:line="360" w:lineRule="auto"/>
        <w:jc w:val="both"/>
      </w:pPr>
    </w:p>
    <w:p w14:paraId="36FD7BD3" w14:textId="55482410" w:rsidR="00A77B3E" w:rsidRDefault="001D27AD" w:rsidP="00567499">
      <w:pPr>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2E4B1C">
        <w:rPr>
          <w:rFonts w:ascii="Book Antiqua" w:eastAsia="Book Antiqua" w:hAnsi="Book Antiqua" w:cs="Book Antiqua"/>
          <w:color w:val="000000"/>
        </w:rPr>
        <w:t>m</w:t>
      </w:r>
      <w:r>
        <w:rPr>
          <w:rFonts w:ascii="Book Antiqua" w:eastAsia="Book Antiqua" w:hAnsi="Book Antiqua" w:cs="Book Antiqua"/>
          <w:color w:val="000000"/>
        </w:rPr>
        <w:t>anuscript</w:t>
      </w:r>
    </w:p>
    <w:p w14:paraId="35843128" w14:textId="77777777" w:rsidR="00A77B3E" w:rsidRDefault="00A77B3E" w:rsidP="00567499">
      <w:pPr>
        <w:snapToGrid w:val="0"/>
        <w:spacing w:line="360" w:lineRule="auto"/>
        <w:jc w:val="both"/>
      </w:pPr>
    </w:p>
    <w:p w14:paraId="2B5EADC4"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11, 2020</w:t>
      </w:r>
    </w:p>
    <w:p w14:paraId="6A3CF0B2"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3EEADB38" w14:textId="2C21233B" w:rsidR="00A77B3E" w:rsidRDefault="001D27AD" w:rsidP="00567499">
      <w:pPr>
        <w:snapToGrid w:val="0"/>
        <w:spacing w:line="360" w:lineRule="auto"/>
        <w:jc w:val="both"/>
      </w:pPr>
      <w:r>
        <w:rPr>
          <w:rFonts w:ascii="Book Antiqua" w:eastAsia="Book Antiqua" w:hAnsi="Book Antiqua" w:cs="Book Antiqua"/>
          <w:b/>
          <w:color w:val="000000"/>
        </w:rPr>
        <w:t xml:space="preserve">Article in press: </w:t>
      </w:r>
      <w:r w:rsidR="00D975AA" w:rsidRPr="00BE5000">
        <w:rPr>
          <w:rFonts w:ascii="Book Antiqua" w:eastAsia="Book Antiqua" w:hAnsi="Book Antiqua" w:cs="Book Antiqua"/>
          <w:color w:val="000000"/>
        </w:rPr>
        <w:t>February 26, 2021</w:t>
      </w:r>
    </w:p>
    <w:p w14:paraId="52E8C52A" w14:textId="77777777" w:rsidR="00A77B3E" w:rsidRDefault="00A77B3E" w:rsidP="00567499">
      <w:pPr>
        <w:snapToGrid w:val="0"/>
        <w:spacing w:line="360" w:lineRule="auto"/>
        <w:jc w:val="both"/>
      </w:pPr>
    </w:p>
    <w:p w14:paraId="46E0C395" w14:textId="70ED90A2" w:rsidR="00A77B3E" w:rsidRDefault="001D27AD" w:rsidP="00567499">
      <w:pPr>
        <w:snapToGrid w:val="0"/>
        <w:spacing w:line="360" w:lineRule="auto"/>
        <w:jc w:val="both"/>
      </w:pPr>
      <w:r>
        <w:rPr>
          <w:rFonts w:ascii="Book Antiqua" w:eastAsia="Book Antiqua" w:hAnsi="Book Antiqua" w:cs="Book Antiqua"/>
          <w:b/>
          <w:color w:val="000000"/>
        </w:rPr>
        <w:t xml:space="preserve">Specialty type: </w:t>
      </w:r>
      <w:bookmarkStart w:id="2" w:name="OLE_LINK1952"/>
      <w:bookmarkStart w:id="3" w:name="OLE_LINK1953"/>
      <w:bookmarkStart w:id="4" w:name="OLE_LINK2066"/>
      <w:r w:rsidR="002E4B1C" w:rsidRPr="004E2923">
        <w:rPr>
          <w:rFonts w:ascii="Book Antiqua" w:eastAsia="微软雅黑" w:hAnsi="Book Antiqua" w:cs="宋体"/>
        </w:rPr>
        <w:t>Medicine, research and experimental</w:t>
      </w:r>
      <w:bookmarkEnd w:id="2"/>
      <w:bookmarkEnd w:id="3"/>
      <w:bookmarkEnd w:id="4"/>
    </w:p>
    <w:p w14:paraId="37BC177A" w14:textId="77777777" w:rsidR="00A77B3E" w:rsidRDefault="001D27AD" w:rsidP="00567499">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5DD6FD2" w14:textId="77777777" w:rsidR="00A77B3E" w:rsidRDefault="001D27AD" w:rsidP="00567499">
      <w:pPr>
        <w:snapToGrid w:val="0"/>
        <w:spacing w:line="360" w:lineRule="auto"/>
        <w:jc w:val="both"/>
      </w:pPr>
      <w:r>
        <w:rPr>
          <w:rFonts w:ascii="Book Antiqua" w:eastAsia="Book Antiqua" w:hAnsi="Book Antiqua" w:cs="Book Antiqua"/>
          <w:b/>
          <w:color w:val="000000"/>
        </w:rPr>
        <w:t>Peer-review report’s scientific quality classification</w:t>
      </w:r>
    </w:p>
    <w:p w14:paraId="5B17B696" w14:textId="77777777" w:rsidR="00A77B3E" w:rsidRDefault="001D27AD" w:rsidP="00567499">
      <w:pPr>
        <w:snapToGrid w:val="0"/>
        <w:spacing w:line="360" w:lineRule="auto"/>
        <w:jc w:val="both"/>
      </w:pPr>
      <w:r>
        <w:rPr>
          <w:rFonts w:ascii="Book Antiqua" w:eastAsia="Book Antiqua" w:hAnsi="Book Antiqua" w:cs="Book Antiqua"/>
          <w:color w:val="000000"/>
        </w:rPr>
        <w:t>Grade A (Excellent): 0</w:t>
      </w:r>
    </w:p>
    <w:p w14:paraId="37C47687" w14:textId="77777777" w:rsidR="00A77B3E" w:rsidRDefault="001D27AD" w:rsidP="00567499">
      <w:pPr>
        <w:snapToGrid w:val="0"/>
        <w:spacing w:line="360" w:lineRule="auto"/>
        <w:jc w:val="both"/>
      </w:pPr>
      <w:r>
        <w:rPr>
          <w:rFonts w:ascii="Book Antiqua" w:eastAsia="Book Antiqua" w:hAnsi="Book Antiqua" w:cs="Book Antiqua"/>
          <w:color w:val="000000"/>
        </w:rPr>
        <w:t>Grade B (Very good): B</w:t>
      </w:r>
    </w:p>
    <w:p w14:paraId="0703F150" w14:textId="77777777" w:rsidR="00A77B3E" w:rsidRDefault="001D27AD" w:rsidP="00567499">
      <w:pPr>
        <w:snapToGrid w:val="0"/>
        <w:spacing w:line="360" w:lineRule="auto"/>
        <w:jc w:val="both"/>
      </w:pPr>
      <w:r>
        <w:rPr>
          <w:rFonts w:ascii="Book Antiqua" w:eastAsia="Book Antiqua" w:hAnsi="Book Antiqua" w:cs="Book Antiqua"/>
          <w:color w:val="000000"/>
        </w:rPr>
        <w:t>Grade C (Good): 0</w:t>
      </w:r>
    </w:p>
    <w:p w14:paraId="3D4D3C7D" w14:textId="77777777" w:rsidR="00A77B3E" w:rsidRDefault="001D27AD" w:rsidP="00567499">
      <w:pPr>
        <w:snapToGrid w:val="0"/>
        <w:spacing w:line="360" w:lineRule="auto"/>
        <w:jc w:val="both"/>
      </w:pPr>
      <w:r>
        <w:rPr>
          <w:rFonts w:ascii="Book Antiqua" w:eastAsia="Book Antiqua" w:hAnsi="Book Antiqua" w:cs="Book Antiqua"/>
          <w:color w:val="000000"/>
        </w:rPr>
        <w:t>Grade D (Fair): 0</w:t>
      </w:r>
    </w:p>
    <w:p w14:paraId="57166A9D" w14:textId="77777777" w:rsidR="00A77B3E" w:rsidRDefault="001D27AD" w:rsidP="00567499">
      <w:pPr>
        <w:snapToGrid w:val="0"/>
        <w:spacing w:line="360" w:lineRule="auto"/>
        <w:jc w:val="both"/>
      </w:pPr>
      <w:r>
        <w:rPr>
          <w:rFonts w:ascii="Book Antiqua" w:eastAsia="Book Antiqua" w:hAnsi="Book Antiqua" w:cs="Book Antiqua"/>
          <w:color w:val="000000"/>
        </w:rPr>
        <w:t>Grade E (Poor): 0</w:t>
      </w:r>
    </w:p>
    <w:p w14:paraId="1204F5C2" w14:textId="77777777" w:rsidR="00A77B3E" w:rsidRDefault="00A77B3E" w:rsidP="00567499">
      <w:pPr>
        <w:snapToGrid w:val="0"/>
        <w:spacing w:line="360" w:lineRule="auto"/>
        <w:jc w:val="both"/>
      </w:pPr>
    </w:p>
    <w:p w14:paraId="174B9BB8" w14:textId="77777777" w:rsidR="00D975AA" w:rsidRDefault="001D27AD" w:rsidP="00567499">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Koumarianou A</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D609DE" w:rsidRPr="00D609DE">
        <w:rPr>
          <w:rFonts w:ascii="Book Antiqua" w:eastAsia="Book Antiqua" w:hAnsi="Book Antiqua" w:cs="Book Antiqua"/>
          <w:bCs/>
          <w:color w:val="000000"/>
        </w:rPr>
        <w:t>Filipodia</w:t>
      </w:r>
      <w:r w:rsidR="00D609DE">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D975AA">
        <w:rPr>
          <w:rFonts w:ascii="Book Antiqua" w:eastAsia="Book Antiqua" w:hAnsi="Book Antiqua" w:cs="Book Antiqua"/>
          <w:b/>
          <w:color w:val="000000"/>
        </w:rPr>
        <w:t xml:space="preserve"> </w:t>
      </w:r>
      <w:r w:rsidR="00D975AA" w:rsidRPr="00D975AA">
        <w:rPr>
          <w:rFonts w:ascii="Book Antiqua" w:eastAsia="Book Antiqua" w:hAnsi="Book Antiqua" w:cs="Book Antiqua"/>
          <w:bCs/>
          <w:color w:val="000000"/>
        </w:rPr>
        <w:t>Li X</w:t>
      </w:r>
    </w:p>
    <w:p w14:paraId="34715662" w14:textId="77777777" w:rsidR="00D975AA" w:rsidRDefault="00D975AA" w:rsidP="00567499">
      <w:pPr>
        <w:snapToGrid w:val="0"/>
        <w:spacing w:line="360" w:lineRule="auto"/>
        <w:jc w:val="both"/>
        <w:rPr>
          <w:rFonts w:ascii="Book Antiqua" w:eastAsia="Book Antiqua" w:hAnsi="Book Antiqua" w:cs="Book Antiqua"/>
          <w:b/>
          <w:color w:val="000000"/>
        </w:rPr>
      </w:pPr>
    </w:p>
    <w:p w14:paraId="499A4B32" w14:textId="77777777" w:rsidR="00A77B3E" w:rsidRDefault="001D27AD" w:rsidP="00567499">
      <w:pPr>
        <w:snapToGrid w:val="0"/>
        <w:spacing w:line="360" w:lineRule="auto"/>
        <w:jc w:val="both"/>
      </w:pPr>
      <w:r>
        <w:rPr>
          <w:rFonts w:ascii="Book Antiqua" w:eastAsia="Book Antiqua" w:hAnsi="Book Antiqua" w:cs="Book Antiqua"/>
          <w:b/>
          <w:color w:val="000000"/>
        </w:rPr>
        <w:t>Figure Legends</w:t>
      </w:r>
    </w:p>
    <w:p w14:paraId="77E035F4" w14:textId="425DD7AB" w:rsidR="00C836E7" w:rsidRDefault="00C836E7" w:rsidP="00567499">
      <w:pPr>
        <w:snapToGrid w:val="0"/>
        <w:spacing w:line="360" w:lineRule="auto"/>
        <w:jc w:val="both"/>
        <w:rPr>
          <w:rFonts w:ascii="Book Antiqua" w:eastAsia="Book Antiqua" w:hAnsi="Book Antiqua" w:cs="Book Antiqua"/>
          <w:b/>
          <w:bCs/>
          <w:color w:val="000000"/>
        </w:rPr>
      </w:pPr>
      <w:r>
        <w:rPr>
          <w:noProof/>
          <w:lang w:eastAsia="zh-CN"/>
        </w:rPr>
        <w:drawing>
          <wp:inline distT="0" distB="0" distL="0" distR="0" wp14:anchorId="2527936D" wp14:editId="4F9D81F2">
            <wp:extent cx="4515138" cy="47548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7758" cy="4757639"/>
                    </a:xfrm>
                    <a:prstGeom prst="rect">
                      <a:avLst/>
                    </a:prstGeom>
                  </pic:spPr>
                </pic:pic>
              </a:graphicData>
            </a:graphic>
          </wp:inline>
        </w:drawing>
      </w:r>
    </w:p>
    <w:p w14:paraId="3F439D13" w14:textId="4B0C073C" w:rsidR="00A77B3E" w:rsidRDefault="001D27AD" w:rsidP="00567499">
      <w:pPr>
        <w:snapToGrid w:val="0"/>
        <w:spacing w:line="360" w:lineRule="auto"/>
        <w:jc w:val="both"/>
      </w:pPr>
      <w:r>
        <w:rPr>
          <w:rFonts w:ascii="Book Antiqua" w:eastAsia="Book Antiqua" w:hAnsi="Book Antiqua" w:cs="Book Antiqua"/>
          <w:b/>
          <w:bCs/>
          <w:color w:val="000000"/>
        </w:rPr>
        <w:t>Figure 1 Flow chart of the procedure applied in this study.</w:t>
      </w:r>
      <w:r>
        <w:rPr>
          <w:rFonts w:ascii="Book Antiqua" w:eastAsia="Book Antiqua" w:hAnsi="Book Antiqua" w:cs="Book Antiqua"/>
          <w:color w:val="000000"/>
        </w:rPr>
        <w:t xml:space="preserve"> We identified the </w:t>
      </w:r>
      <w:r w:rsidR="00F15DE3">
        <w:rPr>
          <w:rFonts w:ascii="Book Antiqua" w:eastAsia="Book Antiqua" w:hAnsi="Book Antiqua" w:cs="Book Antiqua"/>
          <w:color w:val="000000"/>
        </w:rPr>
        <w:t>differentially expressed (</w:t>
      </w:r>
      <w:r>
        <w:rPr>
          <w:rFonts w:ascii="Book Antiqua" w:eastAsia="Book Antiqua" w:hAnsi="Book Antiqua" w:cs="Book Antiqua"/>
          <w:color w:val="000000"/>
        </w:rPr>
        <w:t>DE</w:t>
      </w:r>
      <w:r w:rsidR="00F15DE3">
        <w:rPr>
          <w:rFonts w:ascii="Book Antiqua" w:eastAsia="Book Antiqua" w:hAnsi="Book Antiqua" w:cs="Book Antiqua"/>
          <w:color w:val="000000"/>
        </w:rPr>
        <w:t xml:space="preserve">) </w:t>
      </w:r>
      <w:r>
        <w:rPr>
          <w:rFonts w:ascii="Book Antiqua" w:eastAsia="Book Antiqua" w:hAnsi="Book Antiqua" w:cs="Book Antiqua"/>
          <w:color w:val="000000"/>
        </w:rPr>
        <w:t xml:space="preserve">circRNAs, DEmiRNAs and DEmRNAs and then took the intersection of DEmiRNAs and DEmRNAs with the predicted targets of DEcircRNAs and intersected miRNA to obtain the </w:t>
      </w:r>
      <w:r w:rsidR="00AB5C83">
        <w:rPr>
          <w:rFonts w:ascii="Book Antiqua" w:eastAsia="Book Antiqua" w:hAnsi="Book Antiqua" w:cs="Book Antiqua"/>
          <w:color w:val="000000"/>
        </w:rPr>
        <w:t>competing endogenous RNA</w:t>
      </w:r>
      <w:r>
        <w:rPr>
          <w:rFonts w:ascii="Book Antiqua" w:eastAsia="Book Antiqua" w:hAnsi="Book Antiqua" w:cs="Book Antiqua"/>
          <w:color w:val="000000"/>
        </w:rPr>
        <w:t xml:space="preserve"> network in the </w:t>
      </w:r>
      <w:r w:rsidR="00925FB5">
        <w:rPr>
          <w:rFonts w:ascii="Book Antiqua" w:eastAsia="Book Antiqua" w:hAnsi="Book Antiqua" w:cs="Book Antiqua"/>
          <w:color w:val="000000"/>
        </w:rPr>
        <w:t>Gene Expression Omnibus (GEO)</w:t>
      </w:r>
      <w:r>
        <w:rPr>
          <w:rFonts w:ascii="Book Antiqua" w:eastAsia="Book Antiqua" w:hAnsi="Book Antiqua" w:cs="Book Antiqua"/>
          <w:color w:val="000000"/>
        </w:rPr>
        <w:t xml:space="preserve"> database, performed GO and KEGG enrichment analyses, and constructed a prognostic subnetwork based on survival analysis in </w:t>
      </w:r>
      <w:r w:rsidR="00EE4910">
        <w:rPr>
          <w:rFonts w:ascii="Book Antiqua" w:eastAsia="Book Antiqua" w:hAnsi="Book Antiqua" w:cs="Book Antiqua"/>
          <w:color w:val="000000"/>
        </w:rPr>
        <w:t>T</w:t>
      </w:r>
      <w:r>
        <w:rPr>
          <w:rFonts w:ascii="Book Antiqua" w:eastAsia="Book Antiqua" w:hAnsi="Book Antiqua" w:cs="Book Antiqua"/>
          <w:color w:val="000000"/>
        </w:rPr>
        <w:t xml:space="preserve">he </w:t>
      </w:r>
      <w:r w:rsidR="00DC13A0">
        <w:rPr>
          <w:rFonts w:ascii="Book Antiqua" w:eastAsia="Book Antiqua" w:hAnsi="Book Antiqua" w:cs="Book Antiqua"/>
          <w:color w:val="000000"/>
        </w:rPr>
        <w:t>Cancer Genome Atlas</w:t>
      </w:r>
      <w:r w:rsidR="00925FB5">
        <w:rPr>
          <w:rFonts w:ascii="Book Antiqua" w:eastAsia="Book Antiqua" w:hAnsi="Book Antiqua" w:cs="Book Antiqua"/>
          <w:color w:val="000000"/>
        </w:rPr>
        <w:t xml:space="preserve"> (TCGA)</w:t>
      </w:r>
      <w:r>
        <w:rPr>
          <w:rFonts w:ascii="Book Antiqua" w:eastAsia="Book Antiqua" w:hAnsi="Book Antiqua" w:cs="Book Antiqua"/>
          <w:color w:val="000000"/>
        </w:rPr>
        <w:t xml:space="preserve"> database. </w:t>
      </w:r>
      <w:r w:rsidR="00AB5C83">
        <w:rPr>
          <w:rFonts w:ascii="Book Antiqua" w:eastAsia="Book Antiqua" w:hAnsi="Book Antiqua" w:cs="Book Antiqua"/>
          <w:color w:val="000000"/>
        </w:rPr>
        <w:t>ceRNA: Competing endogenous RNA.</w:t>
      </w:r>
    </w:p>
    <w:p w14:paraId="1FEDA890" w14:textId="2A98721D" w:rsidR="00A77B3E" w:rsidRDefault="00C836E7" w:rsidP="00567499">
      <w:pPr>
        <w:snapToGrid w:val="0"/>
        <w:spacing w:line="360" w:lineRule="auto"/>
        <w:jc w:val="both"/>
      </w:pPr>
      <w:r>
        <w:br w:type="page"/>
      </w:r>
      <w:r>
        <w:rPr>
          <w:noProof/>
          <w:lang w:eastAsia="zh-CN"/>
        </w:rPr>
        <w:drawing>
          <wp:inline distT="0" distB="0" distL="0" distR="0" wp14:anchorId="355E88D2" wp14:editId="02D66550">
            <wp:extent cx="5943600" cy="5163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163820"/>
                    </a:xfrm>
                    <a:prstGeom prst="rect">
                      <a:avLst/>
                    </a:prstGeom>
                  </pic:spPr>
                </pic:pic>
              </a:graphicData>
            </a:graphic>
          </wp:inline>
        </w:drawing>
      </w:r>
    </w:p>
    <w:p w14:paraId="7B685ACD" w14:textId="11F86E27" w:rsidR="00A77B3E" w:rsidRDefault="001D27AD" w:rsidP="00567499">
      <w:pPr>
        <w:snapToGrid w:val="0"/>
        <w:spacing w:line="360" w:lineRule="auto"/>
        <w:jc w:val="both"/>
      </w:pPr>
      <w:r>
        <w:rPr>
          <w:rFonts w:ascii="Book Antiqua" w:eastAsia="Book Antiqua" w:hAnsi="Book Antiqua" w:cs="Book Antiqua"/>
          <w:b/>
          <w:bCs/>
          <w:color w:val="000000"/>
        </w:rPr>
        <w:t>Figure 2 Heat map of circRNAs differentially expressed in GSE126095.</w:t>
      </w:r>
      <w:r>
        <w:rPr>
          <w:rFonts w:ascii="Book Antiqua" w:eastAsia="Book Antiqua" w:hAnsi="Book Antiqua" w:cs="Book Antiqua"/>
          <w:color w:val="000000"/>
        </w:rPr>
        <w:t xml:space="preserve"> By analyzing the circRNA profile, 55 differentially expressed circRNAs were obtained. Red indicates high expression, while blue indicates low expression. A deeper color indicates a more significant difference. The cut-off value was a |log</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w:t>
      </w:r>
      <w:r w:rsidR="00DB6641">
        <w:rPr>
          <w:rFonts w:ascii="Book Antiqua" w:eastAsia="Book Antiqua" w:hAnsi="Book Antiqua" w:cs="Book Antiqua"/>
          <w:color w:val="000000"/>
        </w:rPr>
        <w:t>fold change</w:t>
      </w:r>
      <w:r>
        <w:rPr>
          <w:rFonts w:ascii="Book Antiqua" w:eastAsia="Book Antiqua" w:hAnsi="Book Antiqua" w:cs="Book Antiqua"/>
          <w:color w:val="000000"/>
        </w:rPr>
        <w:t>|</w:t>
      </w:r>
      <w:r w:rsidR="00F15DE3">
        <w:rPr>
          <w:rFonts w:ascii="Book Antiqua" w:eastAsia="Book Antiqua" w:hAnsi="Book Antiqua" w:cs="Book Antiqua"/>
          <w:color w:val="000000"/>
        </w:rPr>
        <w:t xml:space="preserve"> </w:t>
      </w:r>
      <w:r>
        <w:rPr>
          <w:rFonts w:ascii="Book Antiqua" w:eastAsia="Book Antiqua" w:hAnsi="Book Antiqua" w:cs="Book Antiqua"/>
          <w:color w:val="000000"/>
        </w:rPr>
        <w:t>&gt;</w:t>
      </w:r>
      <w:r w:rsidR="00F15DE3">
        <w:rPr>
          <w:rFonts w:ascii="Book Antiqua" w:eastAsia="Book Antiqua" w:hAnsi="Book Antiqua" w:cs="Book Antiqua"/>
          <w:color w:val="000000"/>
        </w:rPr>
        <w:t xml:space="preserve"> </w:t>
      </w:r>
      <w:r>
        <w:rPr>
          <w:rFonts w:ascii="Book Antiqua" w:eastAsia="Book Antiqua" w:hAnsi="Book Antiqua" w:cs="Book Antiqua"/>
          <w:color w:val="000000"/>
        </w:rPr>
        <w:t xml:space="preserve">2 and an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F15DE3">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p>
    <w:p w14:paraId="6D70570B" w14:textId="46A70246" w:rsidR="00A77B3E" w:rsidRDefault="00C836E7" w:rsidP="00567499">
      <w:pPr>
        <w:snapToGrid w:val="0"/>
        <w:spacing w:line="360" w:lineRule="auto"/>
        <w:jc w:val="both"/>
      </w:pPr>
      <w:r>
        <w:br w:type="page"/>
      </w:r>
      <w:r>
        <w:rPr>
          <w:noProof/>
          <w:lang w:eastAsia="zh-CN"/>
        </w:rPr>
        <w:drawing>
          <wp:inline distT="0" distB="0" distL="0" distR="0" wp14:anchorId="100F1DDC" wp14:editId="35CAE1EF">
            <wp:extent cx="5943600" cy="5894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894070"/>
                    </a:xfrm>
                    <a:prstGeom prst="rect">
                      <a:avLst/>
                    </a:prstGeom>
                  </pic:spPr>
                </pic:pic>
              </a:graphicData>
            </a:graphic>
          </wp:inline>
        </w:drawing>
      </w:r>
    </w:p>
    <w:p w14:paraId="09C8227B" w14:textId="1B3175B2" w:rsidR="00A77B3E" w:rsidRPr="00D628EA" w:rsidRDefault="001D27AD" w:rsidP="00567499">
      <w:pPr>
        <w:snapToGrid w:val="0"/>
        <w:spacing w:line="360" w:lineRule="auto"/>
        <w:jc w:val="both"/>
        <w:rPr>
          <w:lang w:val="pt-BR"/>
        </w:rPr>
      </w:pPr>
      <w:r>
        <w:rPr>
          <w:rFonts w:ascii="Book Antiqua" w:eastAsia="Book Antiqua" w:hAnsi="Book Antiqua" w:cs="Book Antiqua"/>
          <w:b/>
          <w:bCs/>
          <w:color w:val="000000"/>
        </w:rPr>
        <w:t xml:space="preserve">Figure 3 Structural pattern of 49 differentially expressed circRNAs obtained from </w:t>
      </w:r>
      <w:r w:rsidR="00551F4B" w:rsidRPr="00EB00F8">
        <w:rPr>
          <w:rFonts w:ascii="Book Antiqua" w:eastAsia="Book Antiqua" w:hAnsi="Book Antiqua" w:cs="Book Antiqua"/>
          <w:b/>
          <w:bCs/>
          <w:color w:val="000000"/>
        </w:rPr>
        <w:t>Cancer-Specific CircRNA Database</w:t>
      </w:r>
      <w:r w:rsidRPr="00551F4B">
        <w:rPr>
          <w:rFonts w:ascii="Book Antiqua" w:eastAsia="Book Antiqua" w:hAnsi="Book Antiqua" w:cs="Book Antiqua"/>
          <w:b/>
          <w:bCs/>
          <w:color w:val="000000"/>
        </w:rPr>
        <w:t>.</w:t>
      </w:r>
      <w:r>
        <w:rPr>
          <w:rFonts w:ascii="Book Antiqua" w:eastAsia="Book Antiqua" w:hAnsi="Book Antiqua" w:cs="Book Antiqua"/>
          <w:color w:val="000000"/>
        </w:rPr>
        <w:t xml:space="preserve"> Red indicates the miRNA response element, blue indicates the RNA binding protein, and green indicates the open reading frame. </w:t>
      </w:r>
      <w:r w:rsidRPr="00D628EA">
        <w:rPr>
          <w:rFonts w:ascii="Book Antiqua" w:eastAsia="Book Antiqua" w:hAnsi="Book Antiqua" w:cs="Book Antiqua"/>
          <w:color w:val="000000"/>
          <w:lang w:val="pt-BR"/>
        </w:rPr>
        <w:t>CSCD: Cancer-Specific CircRNA Database</w:t>
      </w:r>
      <w:r w:rsidR="002C22C8">
        <w:rPr>
          <w:rFonts w:ascii="Book Antiqua" w:eastAsia="Book Antiqua" w:hAnsi="Book Antiqua" w:cs="Book Antiqua"/>
          <w:color w:val="000000"/>
          <w:lang w:val="pt-BR"/>
        </w:rPr>
        <w:t xml:space="preserve"> </w:t>
      </w:r>
      <w:r w:rsidR="002C22C8">
        <w:rPr>
          <w:rFonts w:ascii="Book Antiqua" w:eastAsia="Book Antiqua" w:hAnsi="Book Antiqua" w:cs="Book Antiqua"/>
          <w:color w:val="000000"/>
        </w:rPr>
        <w:t>(http://gb.whu.edu.cn/CSCD/)</w:t>
      </w:r>
      <w:r w:rsidRPr="00D628EA">
        <w:rPr>
          <w:rFonts w:ascii="Book Antiqua" w:eastAsia="Book Antiqua" w:hAnsi="Book Antiqua" w:cs="Book Antiqua"/>
          <w:color w:val="000000"/>
          <w:lang w:val="pt-BR"/>
        </w:rPr>
        <w:t>.</w:t>
      </w:r>
    </w:p>
    <w:p w14:paraId="5DDF884C" w14:textId="641FCE6B" w:rsidR="00A77B3E" w:rsidRDefault="00C836E7" w:rsidP="00567499">
      <w:pPr>
        <w:snapToGrid w:val="0"/>
        <w:spacing w:line="360" w:lineRule="auto"/>
        <w:jc w:val="both"/>
        <w:rPr>
          <w:noProof/>
        </w:rPr>
      </w:pPr>
      <w:r>
        <w:rPr>
          <w:lang w:val="pt-BR"/>
        </w:rPr>
        <w:br w:type="page"/>
      </w:r>
      <w:r>
        <w:rPr>
          <w:noProof/>
          <w:lang w:eastAsia="zh-CN"/>
        </w:rPr>
        <w:drawing>
          <wp:inline distT="0" distB="0" distL="0" distR="0" wp14:anchorId="01851AAE" wp14:editId="7BA74196">
            <wp:extent cx="2978150" cy="1847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5835" cy="1889846"/>
                    </a:xfrm>
                    <a:prstGeom prst="rect">
                      <a:avLst/>
                    </a:prstGeom>
                  </pic:spPr>
                </pic:pic>
              </a:graphicData>
            </a:graphic>
          </wp:inline>
        </w:drawing>
      </w:r>
      <w:r w:rsidRPr="00C836E7">
        <w:rPr>
          <w:noProof/>
        </w:rPr>
        <w:t xml:space="preserve"> </w:t>
      </w:r>
      <w:r>
        <w:rPr>
          <w:noProof/>
          <w:lang w:eastAsia="zh-CN"/>
        </w:rPr>
        <w:drawing>
          <wp:inline distT="0" distB="0" distL="0" distR="0" wp14:anchorId="770CB435" wp14:editId="7F6AABF1">
            <wp:extent cx="2838450" cy="177709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8718" cy="1808562"/>
                    </a:xfrm>
                    <a:prstGeom prst="rect">
                      <a:avLst/>
                    </a:prstGeom>
                  </pic:spPr>
                </pic:pic>
              </a:graphicData>
            </a:graphic>
          </wp:inline>
        </w:drawing>
      </w:r>
    </w:p>
    <w:p w14:paraId="333EC2C0" w14:textId="37DC0FAC" w:rsidR="00C836E7" w:rsidRDefault="002E321C" w:rsidP="00567499">
      <w:pPr>
        <w:snapToGrid w:val="0"/>
        <w:spacing w:line="360" w:lineRule="auto"/>
        <w:jc w:val="both"/>
        <w:rPr>
          <w:lang w:val="pt-BR"/>
        </w:rPr>
      </w:pPr>
      <w:r>
        <w:rPr>
          <w:noProof/>
          <w:lang w:eastAsia="zh-CN"/>
        </w:rPr>
        <w:drawing>
          <wp:inline distT="0" distB="0" distL="0" distR="0" wp14:anchorId="6DE3479C" wp14:editId="433F23DB">
            <wp:extent cx="5943600" cy="59651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965190"/>
                    </a:xfrm>
                    <a:prstGeom prst="rect">
                      <a:avLst/>
                    </a:prstGeom>
                  </pic:spPr>
                </pic:pic>
              </a:graphicData>
            </a:graphic>
          </wp:inline>
        </w:drawing>
      </w:r>
      <w:r w:rsidDel="002E321C">
        <w:rPr>
          <w:noProof/>
          <w:lang w:eastAsia="zh-CN"/>
        </w:rPr>
        <w:t xml:space="preserve"> </w:t>
      </w:r>
    </w:p>
    <w:p w14:paraId="68CEFC64" w14:textId="1651EDED" w:rsidR="00C836E7" w:rsidRPr="00D628EA" w:rsidRDefault="002E321C" w:rsidP="00567499">
      <w:pPr>
        <w:snapToGrid w:val="0"/>
        <w:spacing w:line="360" w:lineRule="auto"/>
        <w:jc w:val="both"/>
        <w:rPr>
          <w:lang w:val="pt-BR"/>
        </w:rPr>
      </w:pPr>
      <w:r>
        <w:rPr>
          <w:noProof/>
          <w:lang w:eastAsia="zh-CN"/>
        </w:rPr>
        <w:drawing>
          <wp:inline distT="0" distB="0" distL="0" distR="0" wp14:anchorId="5483D936" wp14:editId="6130DF68">
            <wp:extent cx="5738357" cy="586028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8357" cy="5860288"/>
                    </a:xfrm>
                    <a:prstGeom prst="rect">
                      <a:avLst/>
                    </a:prstGeom>
                  </pic:spPr>
                </pic:pic>
              </a:graphicData>
            </a:graphic>
          </wp:inline>
        </w:drawing>
      </w:r>
      <w:r w:rsidDel="002E321C">
        <w:rPr>
          <w:noProof/>
          <w:lang w:eastAsia="zh-CN"/>
        </w:rPr>
        <w:t xml:space="preserve"> </w:t>
      </w:r>
    </w:p>
    <w:p w14:paraId="637CAD9D" w14:textId="40CFF8CB" w:rsidR="00A77B3E" w:rsidRPr="002E321C" w:rsidRDefault="001D27AD" w:rsidP="00567499">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Venn diagrams and heat maps of miRNAs and mRNAs.</w:t>
      </w:r>
      <w:r>
        <w:rPr>
          <w:rFonts w:ascii="Book Antiqua" w:eastAsia="Book Antiqua" w:hAnsi="Book Antiqua" w:cs="Book Antiqua"/>
          <w:color w:val="000000"/>
        </w:rPr>
        <w:t xml:space="preserve"> A: Twenty-five miRNAs were identified from the intersection of 114 </w:t>
      </w:r>
      <w:r w:rsidR="000B269A">
        <w:rPr>
          <w:rFonts w:ascii="Book Antiqua" w:eastAsia="Book Antiqua" w:hAnsi="Book Antiqua" w:cs="Book Antiqua"/>
          <w:color w:val="000000"/>
        </w:rPr>
        <w:t>differentially expressed (</w:t>
      </w:r>
      <w:r>
        <w:rPr>
          <w:rFonts w:ascii="Book Antiqua" w:eastAsia="Book Antiqua" w:hAnsi="Book Antiqua" w:cs="Book Antiqua"/>
          <w:color w:val="000000"/>
        </w:rPr>
        <w:t>DE</w:t>
      </w:r>
      <w:r w:rsidR="000B269A">
        <w:rPr>
          <w:rFonts w:ascii="Book Antiqua" w:eastAsia="Book Antiqua" w:hAnsi="Book Antiqua" w:cs="Book Antiqua"/>
          <w:color w:val="000000"/>
        </w:rPr>
        <w:t xml:space="preserve">) </w:t>
      </w:r>
      <w:r>
        <w:rPr>
          <w:rFonts w:ascii="Book Antiqua" w:eastAsia="Book Antiqua" w:hAnsi="Book Antiqua" w:cs="Book Antiqua"/>
          <w:color w:val="000000"/>
        </w:rPr>
        <w:t xml:space="preserve">miRNAs with 1602 circRNA targets predicted by the </w:t>
      </w:r>
      <w:r w:rsidR="00F360B0">
        <w:rPr>
          <w:rFonts w:ascii="Book Antiqua" w:eastAsia="Book Antiqua" w:hAnsi="Book Antiqua" w:cs="Book Antiqua"/>
          <w:color w:val="000000"/>
        </w:rPr>
        <w:t>Cancer-Specific CircRNA Database</w:t>
      </w:r>
      <w:r>
        <w:rPr>
          <w:rFonts w:ascii="Book Antiqua" w:eastAsia="Book Antiqua" w:hAnsi="Book Antiqua" w:cs="Book Antiqua"/>
          <w:color w:val="000000"/>
        </w:rPr>
        <w:t xml:space="preserve">; B: 77 mRNAs were obtained from the intersection of 267 DEmRNAs and 7190 miRNA targets predicted using the TargetScan and miRDB databases; </w:t>
      </w:r>
      <w:r w:rsidR="00D447F5">
        <w:rPr>
          <w:rFonts w:ascii="Book Antiqua" w:eastAsia="Book Antiqua" w:hAnsi="Book Antiqua" w:cs="Book Antiqua"/>
          <w:color w:val="000000"/>
        </w:rPr>
        <w:t>T</w:t>
      </w:r>
      <w:r w:rsidR="00D447F5">
        <w:rPr>
          <w:rFonts w:ascii="Book Antiqua" w:hAnsi="Book Antiqua" w:cs="Book Antiqua" w:hint="eastAsia"/>
          <w:color w:val="000000"/>
          <w:lang w:eastAsia="zh-CN"/>
        </w:rPr>
        <w:t>h</w:t>
      </w:r>
      <w:r w:rsidR="00D447F5">
        <w:rPr>
          <w:rFonts w:ascii="Book Antiqua" w:hAnsi="Book Antiqua" w:cs="Book Antiqua"/>
          <w:color w:val="000000"/>
          <w:lang w:eastAsia="zh-CN"/>
        </w:rPr>
        <w:t xml:space="preserve">e expression level of </w:t>
      </w:r>
      <w:r w:rsidR="00D447F5">
        <w:rPr>
          <w:rFonts w:ascii="Book Antiqua" w:eastAsia="Book Antiqua" w:hAnsi="Book Antiqua" w:cs="Book Antiqua"/>
          <w:color w:val="000000"/>
        </w:rPr>
        <w:t>e</w:t>
      </w:r>
      <w:r>
        <w:rPr>
          <w:rFonts w:ascii="Book Antiqua" w:eastAsia="Book Antiqua" w:hAnsi="Book Antiqua" w:cs="Book Antiqua"/>
          <w:color w:val="000000"/>
        </w:rPr>
        <w:t xml:space="preserve">ach </w:t>
      </w:r>
      <w:r w:rsidR="002C22C8">
        <w:rPr>
          <w:rFonts w:ascii="Book Antiqua" w:eastAsia="Book Antiqua" w:hAnsi="Book Antiqua" w:cs="Book Antiqua"/>
          <w:color w:val="000000"/>
        </w:rPr>
        <w:t>20</w:t>
      </w:r>
      <w:r>
        <w:rPr>
          <w:rFonts w:ascii="Book Antiqua" w:eastAsia="Book Antiqua" w:hAnsi="Book Antiqua" w:cs="Book Antiqua"/>
          <w:color w:val="000000"/>
        </w:rPr>
        <w:t xml:space="preserve"> DEmiRNAs</w:t>
      </w:r>
      <w:r w:rsidR="00D447F5">
        <w:rPr>
          <w:rFonts w:ascii="Book Antiqua" w:eastAsia="Book Antiqua" w:hAnsi="Book Antiqua" w:cs="Book Antiqua"/>
          <w:color w:val="000000"/>
        </w:rPr>
        <w:t xml:space="preserve"> (C) and 20 mRNAs (D)</w:t>
      </w:r>
      <w:r>
        <w:rPr>
          <w:rFonts w:ascii="Book Antiqua" w:eastAsia="Book Antiqua" w:hAnsi="Book Antiqua" w:cs="Book Antiqua"/>
          <w:color w:val="000000"/>
        </w:rPr>
        <w:t xml:space="preserve"> expressing the most significant upregulation and downregulation</w:t>
      </w:r>
      <w:r w:rsidR="00D447F5">
        <w:rPr>
          <w:rFonts w:ascii="Book Antiqua" w:eastAsia="Book Antiqua" w:hAnsi="Book Antiqua" w:cs="Book Antiqua"/>
          <w:color w:val="000000"/>
        </w:rPr>
        <w:t xml:space="preserve"> between control tissues (type C) and tumor tissues (type T)</w:t>
      </w:r>
      <w:r>
        <w:rPr>
          <w:rFonts w:ascii="Book Antiqua" w:eastAsia="Book Antiqua" w:hAnsi="Book Antiqua" w:cs="Book Antiqua"/>
          <w:color w:val="000000"/>
        </w:rPr>
        <w:t>, respectively</w:t>
      </w:r>
      <w:r w:rsidR="00D447F5">
        <w:rPr>
          <w:rFonts w:ascii="Book Antiqua" w:eastAsia="Book Antiqua" w:hAnsi="Book Antiqua" w:cs="Book Antiqua"/>
          <w:color w:val="000000"/>
        </w:rPr>
        <w:t>.</w:t>
      </w:r>
      <w:r>
        <w:rPr>
          <w:rFonts w:ascii="Book Antiqua" w:eastAsia="Book Antiqua" w:hAnsi="Book Antiqua" w:cs="Book Antiqua"/>
          <w:color w:val="000000"/>
        </w:rPr>
        <w:t xml:space="preserve"> </w:t>
      </w:r>
      <w:r w:rsidRPr="00F360B0">
        <w:rPr>
          <w:rFonts w:ascii="Book Antiqua" w:eastAsia="Book Antiqua" w:hAnsi="Book Antiqua" w:cs="Book Antiqua"/>
          <w:color w:val="000000" w:themeColor="text1"/>
        </w:rPr>
        <w:t>|</w:t>
      </w:r>
      <w:r>
        <w:rPr>
          <w:rFonts w:ascii="Book Antiqua" w:eastAsia="Book Antiqua" w:hAnsi="Book Antiqua" w:cs="Book Antiqua"/>
          <w:color w:val="000000"/>
        </w:rPr>
        <w:t>log</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w:t>
      </w:r>
      <w:r w:rsidR="00B578FF">
        <w:rPr>
          <w:rFonts w:ascii="Book Antiqua" w:eastAsia="Book Antiqua" w:hAnsi="Book Antiqua" w:cs="Book Antiqua"/>
          <w:color w:val="000000"/>
        </w:rPr>
        <w:t>fold change (</w:t>
      </w:r>
      <w:r>
        <w:rPr>
          <w:rFonts w:ascii="Book Antiqua" w:eastAsia="Book Antiqua" w:hAnsi="Book Antiqua" w:cs="Book Antiqua"/>
          <w:color w:val="000000"/>
        </w:rPr>
        <w:t>FC</w:t>
      </w:r>
      <w:r w:rsidR="00B578FF">
        <w:rPr>
          <w:rFonts w:ascii="Book Antiqua" w:eastAsia="Book Antiqua" w:hAnsi="Book Antiqua" w:cs="Book Antiqua"/>
          <w:color w:val="000000"/>
        </w:rPr>
        <w:t>)</w:t>
      </w:r>
      <w:r>
        <w:rPr>
          <w:rFonts w:ascii="Book Antiqua" w:eastAsia="Book Antiqua" w:hAnsi="Book Antiqua" w:cs="Book Antiqua"/>
          <w:color w:val="000000"/>
        </w:rPr>
        <w:t xml:space="preserve">| &gt; 1 and an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were considered the statistical criteria for DEmiRNA; adjusted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F360B0">
        <w:rPr>
          <w:rFonts w:ascii="Book Antiqua" w:eastAsia="Book Antiqua" w:hAnsi="Book Antiqua" w:cs="Book Antiqua"/>
          <w:color w:val="000000"/>
        </w:rPr>
        <w:t xml:space="preserve"> </w:t>
      </w:r>
      <w:r>
        <w:rPr>
          <w:rFonts w:ascii="Book Antiqua" w:eastAsia="Book Antiqua" w:hAnsi="Book Antiqua" w:cs="Book Antiqua"/>
          <w:color w:val="000000"/>
        </w:rPr>
        <w:t>0.05 and |log</w:t>
      </w:r>
      <w:r>
        <w:rPr>
          <w:rFonts w:ascii="Book Antiqua" w:eastAsia="Book Antiqua" w:hAnsi="Book Antiqua" w:cs="Book Antiqua"/>
          <w:color w:val="000000"/>
          <w:szCs w:val="20"/>
          <w:vertAlign w:val="subscript"/>
        </w:rPr>
        <w:t>2</w:t>
      </w:r>
      <w:r w:rsidR="00F360B0">
        <w:rPr>
          <w:rFonts w:ascii="Book Antiqua" w:eastAsia="Book Antiqua" w:hAnsi="Book Antiqua" w:cs="Book Antiqua"/>
          <w:color w:val="000000"/>
          <w:szCs w:val="20"/>
          <w:vertAlign w:val="subscript"/>
        </w:rPr>
        <w:t xml:space="preserve"> </w:t>
      </w:r>
      <w:r>
        <w:rPr>
          <w:rFonts w:ascii="Book Antiqua" w:eastAsia="Book Antiqua" w:hAnsi="Book Antiqua" w:cs="Book Antiqua"/>
          <w:color w:val="000000"/>
        </w:rPr>
        <w:t>FC|</w:t>
      </w:r>
      <w:r w:rsidR="00F360B0">
        <w:rPr>
          <w:rFonts w:ascii="Book Antiqua" w:eastAsia="Book Antiqua" w:hAnsi="Book Antiqua" w:cs="Book Antiqua"/>
          <w:color w:val="000000"/>
        </w:rPr>
        <w:t xml:space="preserve"> </w:t>
      </w:r>
      <w:r>
        <w:rPr>
          <w:rFonts w:ascii="Book Antiqua" w:eastAsia="Book Antiqua" w:hAnsi="Book Antiqua" w:cs="Book Antiqua"/>
          <w:color w:val="000000"/>
        </w:rPr>
        <w:t>&gt;</w:t>
      </w:r>
      <w:r w:rsidR="00F360B0">
        <w:rPr>
          <w:rFonts w:ascii="Book Antiqua" w:eastAsia="Book Antiqua" w:hAnsi="Book Antiqua" w:cs="Book Antiqua"/>
          <w:color w:val="000000"/>
        </w:rPr>
        <w:t xml:space="preserve"> </w:t>
      </w:r>
      <w:r>
        <w:rPr>
          <w:rFonts w:ascii="Book Antiqua" w:eastAsia="Book Antiqua" w:hAnsi="Book Antiqua" w:cs="Book Antiqua"/>
          <w:color w:val="000000"/>
        </w:rPr>
        <w:t xml:space="preserve">2 were considered the statistical criteria for DEmRNA. </w:t>
      </w:r>
    </w:p>
    <w:p w14:paraId="411D505A" w14:textId="27BB1634" w:rsidR="00A77B3E" w:rsidRDefault="00C836E7" w:rsidP="00567499">
      <w:pPr>
        <w:snapToGrid w:val="0"/>
        <w:spacing w:line="360" w:lineRule="auto"/>
        <w:jc w:val="both"/>
      </w:pPr>
      <w:r>
        <w:br w:type="page"/>
      </w:r>
      <w:r w:rsidR="00715379">
        <w:rPr>
          <w:noProof/>
          <w:lang w:eastAsia="zh-CN"/>
        </w:rPr>
        <w:drawing>
          <wp:inline distT="0" distB="0" distL="0" distR="0" wp14:anchorId="4F4F7E9D" wp14:editId="6BACA6CF">
            <wp:extent cx="5943600" cy="55537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553710"/>
                    </a:xfrm>
                    <a:prstGeom prst="rect">
                      <a:avLst/>
                    </a:prstGeom>
                  </pic:spPr>
                </pic:pic>
              </a:graphicData>
            </a:graphic>
          </wp:inline>
        </w:drawing>
      </w:r>
    </w:p>
    <w:p w14:paraId="1CA07140" w14:textId="03E8E44E" w:rsidR="00A77B3E" w:rsidRDefault="001D27AD" w:rsidP="00567499">
      <w:pPr>
        <w:snapToGrid w:val="0"/>
        <w:spacing w:line="360" w:lineRule="auto"/>
        <w:jc w:val="both"/>
      </w:pPr>
      <w:r>
        <w:rPr>
          <w:rFonts w:ascii="Book Antiqua" w:eastAsia="Book Antiqua" w:hAnsi="Book Antiqua" w:cs="Book Antiqua"/>
          <w:b/>
          <w:bCs/>
          <w:color w:val="000000"/>
        </w:rPr>
        <w:t xml:space="preserve">Figure 5 CircRNA-miRNA-mRNA regulatory network of colorectal cancer. </w:t>
      </w:r>
      <w:r>
        <w:rPr>
          <w:rFonts w:ascii="Book Antiqua" w:eastAsia="Book Antiqua" w:hAnsi="Book Antiqua" w:cs="Book Antiqua"/>
          <w:color w:val="000000"/>
        </w:rPr>
        <w:t xml:space="preserve">CircRNAs, miRNAs and mRNAs are represented by red diamonds, green triangles and blue ellipses, respectively. Dark colors represent overexpression, and light colors represent low expression. </w:t>
      </w:r>
    </w:p>
    <w:p w14:paraId="522574F2" w14:textId="051B931E" w:rsidR="00A77B3E" w:rsidRDefault="00715379" w:rsidP="00567499">
      <w:pPr>
        <w:snapToGrid w:val="0"/>
        <w:spacing w:line="360" w:lineRule="auto"/>
        <w:jc w:val="both"/>
      </w:pPr>
      <w:r>
        <w:br w:type="page"/>
      </w:r>
      <w:r>
        <w:rPr>
          <w:noProof/>
          <w:lang w:eastAsia="zh-CN"/>
        </w:rPr>
        <w:drawing>
          <wp:inline distT="0" distB="0" distL="0" distR="0" wp14:anchorId="4378F231" wp14:editId="28EF47B5">
            <wp:extent cx="4209615" cy="2957885"/>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0769" cy="2972749"/>
                    </a:xfrm>
                    <a:prstGeom prst="rect">
                      <a:avLst/>
                    </a:prstGeom>
                  </pic:spPr>
                </pic:pic>
              </a:graphicData>
            </a:graphic>
          </wp:inline>
        </w:drawing>
      </w:r>
    </w:p>
    <w:p w14:paraId="0DE78958" w14:textId="5A3603EF" w:rsidR="00715379" w:rsidRDefault="002E321C" w:rsidP="00567499">
      <w:pPr>
        <w:snapToGrid w:val="0"/>
        <w:spacing w:line="360" w:lineRule="auto"/>
        <w:jc w:val="both"/>
      </w:pPr>
      <w:r>
        <w:rPr>
          <w:noProof/>
          <w:lang w:eastAsia="zh-CN"/>
        </w:rPr>
        <w:drawing>
          <wp:inline distT="0" distB="0" distL="0" distR="0" wp14:anchorId="022CE674" wp14:editId="0F91AF89">
            <wp:extent cx="5943600" cy="47504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750435"/>
                    </a:xfrm>
                    <a:prstGeom prst="rect">
                      <a:avLst/>
                    </a:prstGeom>
                  </pic:spPr>
                </pic:pic>
              </a:graphicData>
            </a:graphic>
          </wp:inline>
        </w:drawing>
      </w:r>
      <w:r w:rsidDel="002E321C">
        <w:rPr>
          <w:noProof/>
          <w:lang w:eastAsia="zh-CN"/>
        </w:rPr>
        <w:t xml:space="preserve"> </w:t>
      </w:r>
    </w:p>
    <w:p w14:paraId="362DA586" w14:textId="45EEE70D" w:rsidR="00715379" w:rsidRDefault="00715379" w:rsidP="00567499">
      <w:pPr>
        <w:snapToGrid w:val="0"/>
        <w:spacing w:line="360" w:lineRule="auto"/>
        <w:jc w:val="both"/>
      </w:pPr>
      <w:r>
        <w:rPr>
          <w:noProof/>
          <w:lang w:eastAsia="zh-CN"/>
        </w:rPr>
        <w:drawing>
          <wp:inline distT="0" distB="0" distL="0" distR="0" wp14:anchorId="48A84F9F" wp14:editId="2F9D2A74">
            <wp:extent cx="5047848" cy="3307743"/>
            <wp:effectExtent l="0" t="0" r="63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9564" cy="3315420"/>
                    </a:xfrm>
                    <a:prstGeom prst="rect">
                      <a:avLst/>
                    </a:prstGeom>
                  </pic:spPr>
                </pic:pic>
              </a:graphicData>
            </a:graphic>
          </wp:inline>
        </w:drawing>
      </w:r>
    </w:p>
    <w:p w14:paraId="7922ACEB" w14:textId="54287B94" w:rsidR="00715379" w:rsidRDefault="00715379" w:rsidP="00567499">
      <w:pPr>
        <w:snapToGrid w:val="0"/>
        <w:spacing w:line="360" w:lineRule="auto"/>
        <w:jc w:val="both"/>
      </w:pPr>
      <w:r>
        <w:rPr>
          <w:noProof/>
          <w:lang w:eastAsia="zh-CN"/>
        </w:rPr>
        <w:drawing>
          <wp:inline distT="0" distB="0" distL="0" distR="0" wp14:anchorId="5EDCCCA5" wp14:editId="4FCCFEA8">
            <wp:extent cx="5385354" cy="3705308"/>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2477" cy="3710209"/>
                    </a:xfrm>
                    <a:prstGeom prst="rect">
                      <a:avLst/>
                    </a:prstGeom>
                  </pic:spPr>
                </pic:pic>
              </a:graphicData>
            </a:graphic>
          </wp:inline>
        </w:drawing>
      </w:r>
    </w:p>
    <w:p w14:paraId="3019D16E" w14:textId="61BC6288" w:rsidR="00715379" w:rsidRDefault="00715379" w:rsidP="00567499">
      <w:pPr>
        <w:snapToGrid w:val="0"/>
        <w:spacing w:line="360" w:lineRule="auto"/>
        <w:jc w:val="both"/>
      </w:pPr>
      <w:r>
        <w:rPr>
          <w:noProof/>
          <w:lang w:eastAsia="zh-CN"/>
        </w:rPr>
        <w:drawing>
          <wp:inline distT="0" distB="0" distL="0" distR="0" wp14:anchorId="3F1837BF" wp14:editId="7E077AFC">
            <wp:extent cx="5361105" cy="395179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7515" cy="3956523"/>
                    </a:xfrm>
                    <a:prstGeom prst="rect">
                      <a:avLst/>
                    </a:prstGeom>
                  </pic:spPr>
                </pic:pic>
              </a:graphicData>
            </a:graphic>
          </wp:inline>
        </w:drawing>
      </w:r>
    </w:p>
    <w:p w14:paraId="131CEE93" w14:textId="13670238" w:rsidR="00715379" w:rsidRDefault="00D60419" w:rsidP="00567499">
      <w:pPr>
        <w:snapToGrid w:val="0"/>
        <w:spacing w:line="360" w:lineRule="auto"/>
        <w:jc w:val="both"/>
      </w:pPr>
      <w:r>
        <w:rPr>
          <w:noProof/>
          <w:lang w:eastAsia="zh-CN"/>
        </w:rPr>
        <w:drawing>
          <wp:inline distT="0" distB="0" distL="0" distR="0" wp14:anchorId="67B2BB84" wp14:editId="4ED09A62">
            <wp:extent cx="5943600" cy="44519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51985"/>
                    </a:xfrm>
                    <a:prstGeom prst="rect">
                      <a:avLst/>
                    </a:prstGeom>
                  </pic:spPr>
                </pic:pic>
              </a:graphicData>
            </a:graphic>
          </wp:inline>
        </w:drawing>
      </w:r>
      <w:r w:rsidDel="00D60419">
        <w:rPr>
          <w:noProof/>
          <w:lang w:eastAsia="zh-CN"/>
        </w:rPr>
        <w:t xml:space="preserve"> </w:t>
      </w:r>
    </w:p>
    <w:p w14:paraId="020459CF" w14:textId="26ADDFB5" w:rsidR="00A77B3E" w:rsidRDefault="001D27AD" w:rsidP="00567499">
      <w:pPr>
        <w:snapToGrid w:val="0"/>
        <w:spacing w:line="360" w:lineRule="auto"/>
        <w:jc w:val="both"/>
      </w:pPr>
      <w:r>
        <w:rPr>
          <w:rFonts w:ascii="Book Antiqua" w:eastAsia="Book Antiqua" w:hAnsi="Book Antiqua" w:cs="Book Antiqua"/>
          <w:b/>
          <w:bCs/>
          <w:color w:val="000000"/>
        </w:rPr>
        <w:t>Figure 6 The expression levels of circRNAs, miRNAs and mRNAs in the</w:t>
      </w:r>
      <w:r w:rsidRPr="00D447F5">
        <w:rPr>
          <w:rFonts w:ascii="Book Antiqua" w:eastAsia="Book Antiqua" w:hAnsi="Book Antiqua" w:cs="Book Antiqua"/>
          <w:b/>
          <w:bCs/>
          <w:color w:val="000000"/>
        </w:rPr>
        <w:t xml:space="preserve"> </w:t>
      </w:r>
      <w:r w:rsidR="00F6524C" w:rsidRPr="00D60419">
        <w:rPr>
          <w:rFonts w:ascii="Book Antiqua" w:eastAsia="Book Antiqua" w:hAnsi="Book Antiqua" w:cs="Book Antiqua"/>
          <w:b/>
          <w:bCs/>
          <w:color w:val="000000"/>
        </w:rPr>
        <w:t>competing endogenous RNA</w:t>
      </w:r>
      <w:r w:rsidR="00D447F5" w:rsidRPr="00D60419">
        <w:rPr>
          <w:rFonts w:ascii="Book Antiqua" w:eastAsia="Book Antiqua" w:hAnsi="Book Antiqua" w:cs="Book Antiqua"/>
          <w:b/>
          <w:bCs/>
          <w:color w:val="000000"/>
        </w:rPr>
        <w:t xml:space="preserve"> (ceRNA)</w:t>
      </w:r>
      <w:r w:rsidR="00D447F5">
        <w:rPr>
          <w:rFonts w:ascii="Book Antiqua" w:eastAsia="Book Antiqua" w:hAnsi="Book Antiqua" w:cs="Book Antiqua"/>
          <w:color w:val="000000"/>
        </w:rPr>
        <w:t xml:space="preserve"> </w:t>
      </w:r>
      <w:r>
        <w:rPr>
          <w:rFonts w:ascii="Book Antiqua" w:eastAsia="Book Antiqua" w:hAnsi="Book Antiqua" w:cs="Book Antiqua"/>
          <w:b/>
          <w:bCs/>
          <w:color w:val="000000"/>
        </w:rPr>
        <w:t>network.</w:t>
      </w:r>
      <w:r>
        <w:rPr>
          <w:rFonts w:ascii="Book Antiqua" w:eastAsia="Book Antiqua" w:hAnsi="Book Antiqua" w:cs="Book Antiqua"/>
          <w:color w:val="000000"/>
        </w:rPr>
        <w:t xml:space="preserve"> A</w:t>
      </w:r>
      <w:r w:rsidR="00F6524C">
        <w:rPr>
          <w:rFonts w:ascii="Book Antiqua" w:eastAsia="Book Antiqua" w:hAnsi="Book Antiqua" w:cs="Book Antiqua"/>
          <w:color w:val="000000"/>
        </w:rPr>
        <w:t xml:space="preserve"> and </w:t>
      </w:r>
      <w:r>
        <w:rPr>
          <w:rFonts w:ascii="Book Antiqua" w:eastAsia="Book Antiqua" w:hAnsi="Book Antiqua" w:cs="Book Antiqua"/>
          <w:color w:val="000000"/>
        </w:rPr>
        <w:t xml:space="preserve">B: Expression levels of 19 circRNAs in the </w:t>
      </w:r>
      <w:r w:rsidR="00F6524C">
        <w:rPr>
          <w:rFonts w:ascii="Book Antiqua" w:eastAsia="Book Antiqua" w:hAnsi="Book Antiqua" w:cs="Book Antiqua"/>
          <w:color w:val="000000"/>
        </w:rPr>
        <w:t>ceRNA</w:t>
      </w:r>
      <w:r>
        <w:rPr>
          <w:rFonts w:ascii="Book Antiqua" w:eastAsia="Book Antiqua" w:hAnsi="Book Antiqua" w:cs="Book Antiqua"/>
          <w:color w:val="000000"/>
        </w:rPr>
        <w:t xml:space="preserve"> network; C</w:t>
      </w:r>
      <w:r w:rsidR="00F6524C">
        <w:rPr>
          <w:rFonts w:ascii="Book Antiqua" w:eastAsia="Book Antiqua" w:hAnsi="Book Antiqua" w:cs="Book Antiqua"/>
          <w:color w:val="000000"/>
        </w:rPr>
        <w:t xml:space="preserve"> and </w:t>
      </w:r>
      <w:r>
        <w:rPr>
          <w:rFonts w:ascii="Book Antiqua" w:eastAsia="Book Antiqua" w:hAnsi="Book Antiqua" w:cs="Book Antiqua"/>
          <w:color w:val="000000"/>
        </w:rPr>
        <w:t>D: Expression levels of 13 miRNAs in the ceRNA network; E</w:t>
      </w:r>
      <w:r w:rsidR="00F6524C">
        <w:rPr>
          <w:rFonts w:ascii="Book Antiqua" w:eastAsia="Book Antiqua" w:hAnsi="Book Antiqua" w:cs="Book Antiqua"/>
          <w:color w:val="000000"/>
        </w:rPr>
        <w:t xml:space="preserve"> and </w:t>
      </w:r>
      <w:r>
        <w:rPr>
          <w:rFonts w:ascii="Book Antiqua" w:eastAsia="Book Antiqua" w:hAnsi="Book Antiqua" w:cs="Book Antiqua"/>
          <w:color w:val="000000"/>
        </w:rPr>
        <w:t xml:space="preserve">F: Expression levels of 25 mRNAs in the ceRNA network. </w:t>
      </w:r>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w:t>
      </w:r>
      <w:r w:rsidR="00AB5C83">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szCs w:val="20"/>
          <w:vertAlign w:val="superscript"/>
        </w:rPr>
        <w:t>b</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AB5C83">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szCs w:val="2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
    <w:p w14:paraId="7BF61145" w14:textId="694BCA2F" w:rsidR="00A77B3E" w:rsidRDefault="005D6960" w:rsidP="00567499">
      <w:pPr>
        <w:snapToGrid w:val="0"/>
        <w:spacing w:line="360" w:lineRule="auto"/>
        <w:jc w:val="both"/>
      </w:pPr>
      <w:r>
        <w:br w:type="page"/>
      </w:r>
      <w:r>
        <w:rPr>
          <w:noProof/>
          <w:lang w:eastAsia="zh-CN"/>
        </w:rPr>
        <w:drawing>
          <wp:inline distT="0" distB="0" distL="0" distR="0" wp14:anchorId="317D8C74" wp14:editId="4E0D24DB">
            <wp:extent cx="5302250" cy="27495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02250" cy="2749550"/>
                    </a:xfrm>
                    <a:prstGeom prst="rect">
                      <a:avLst/>
                    </a:prstGeom>
                  </pic:spPr>
                </pic:pic>
              </a:graphicData>
            </a:graphic>
          </wp:inline>
        </w:drawing>
      </w:r>
    </w:p>
    <w:p w14:paraId="1B986B1B" w14:textId="1A7630B5" w:rsidR="005D6960" w:rsidRDefault="005D6960" w:rsidP="00567499">
      <w:pPr>
        <w:snapToGrid w:val="0"/>
        <w:spacing w:line="360" w:lineRule="auto"/>
        <w:jc w:val="both"/>
      </w:pPr>
      <w:r>
        <w:rPr>
          <w:noProof/>
          <w:lang w:eastAsia="zh-CN"/>
        </w:rPr>
        <w:drawing>
          <wp:inline distT="0" distB="0" distL="0" distR="0" wp14:anchorId="43374541" wp14:editId="3A689C9D">
            <wp:extent cx="5209524" cy="368571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09524" cy="3685714"/>
                    </a:xfrm>
                    <a:prstGeom prst="rect">
                      <a:avLst/>
                    </a:prstGeom>
                  </pic:spPr>
                </pic:pic>
              </a:graphicData>
            </a:graphic>
          </wp:inline>
        </w:drawing>
      </w:r>
    </w:p>
    <w:p w14:paraId="3A368EA9" w14:textId="6D87498A" w:rsidR="005D6960" w:rsidRDefault="005D6960" w:rsidP="00567499">
      <w:pPr>
        <w:snapToGrid w:val="0"/>
        <w:spacing w:line="360" w:lineRule="auto"/>
        <w:jc w:val="both"/>
      </w:pPr>
      <w:r>
        <w:rPr>
          <w:noProof/>
          <w:lang w:eastAsia="zh-CN"/>
        </w:rPr>
        <w:drawing>
          <wp:inline distT="0" distB="0" distL="0" distR="0" wp14:anchorId="75FD9ACA" wp14:editId="253496BB">
            <wp:extent cx="5943600" cy="33953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95345"/>
                    </a:xfrm>
                    <a:prstGeom prst="rect">
                      <a:avLst/>
                    </a:prstGeom>
                  </pic:spPr>
                </pic:pic>
              </a:graphicData>
            </a:graphic>
          </wp:inline>
        </w:drawing>
      </w:r>
    </w:p>
    <w:p w14:paraId="7A1D2984" w14:textId="1193B0C6" w:rsidR="005D6960" w:rsidRDefault="005D6960" w:rsidP="00567499">
      <w:pPr>
        <w:snapToGrid w:val="0"/>
        <w:spacing w:line="360" w:lineRule="auto"/>
        <w:jc w:val="both"/>
      </w:pPr>
      <w:r>
        <w:rPr>
          <w:noProof/>
          <w:lang w:eastAsia="zh-CN"/>
        </w:rPr>
        <w:drawing>
          <wp:inline distT="0" distB="0" distL="0" distR="0" wp14:anchorId="69F145BD" wp14:editId="680D4B22">
            <wp:extent cx="5304762" cy="3847619"/>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4762" cy="3847619"/>
                    </a:xfrm>
                    <a:prstGeom prst="rect">
                      <a:avLst/>
                    </a:prstGeom>
                  </pic:spPr>
                </pic:pic>
              </a:graphicData>
            </a:graphic>
          </wp:inline>
        </w:drawing>
      </w:r>
    </w:p>
    <w:p w14:paraId="0D7C0C4C" w14:textId="718484D5" w:rsidR="00C26309" w:rsidRDefault="001D27AD" w:rsidP="00567499">
      <w:pPr>
        <w:snapToGrid w:val="0"/>
        <w:spacing w:line="360" w:lineRule="auto"/>
        <w:jc w:val="both"/>
      </w:pPr>
      <w:r>
        <w:rPr>
          <w:rFonts w:ascii="Book Antiqua" w:eastAsia="Book Antiqua" w:hAnsi="Book Antiqua" w:cs="Book Antiqua"/>
          <w:b/>
          <w:bCs/>
          <w:color w:val="000000"/>
        </w:rPr>
        <w:t xml:space="preserve">Figure 7 GO and KEGG pathway analyses of the identified mRNAs in the </w:t>
      </w:r>
      <w:r w:rsidR="00F40510" w:rsidRPr="00F40510">
        <w:rPr>
          <w:rFonts w:ascii="Book Antiqua" w:eastAsia="Book Antiqua" w:hAnsi="Book Antiqua" w:cs="Book Antiqua"/>
          <w:b/>
          <w:bCs/>
          <w:color w:val="000000"/>
        </w:rPr>
        <w:t>competing endogenous RNA</w:t>
      </w:r>
      <w:r>
        <w:rPr>
          <w:rFonts w:ascii="Book Antiqua" w:eastAsia="Book Antiqua" w:hAnsi="Book Antiqua" w:cs="Book Antiqua"/>
          <w:b/>
          <w:bCs/>
          <w:color w:val="000000"/>
        </w:rPr>
        <w:t xml:space="preserve"> network.</w:t>
      </w:r>
      <w:r>
        <w:rPr>
          <w:rFonts w:ascii="Book Antiqua" w:eastAsia="Book Antiqua" w:hAnsi="Book Antiqua" w:cs="Book Antiqua"/>
          <w:color w:val="000000"/>
        </w:rPr>
        <w:t xml:space="preserve"> A: GO analysis of biological processes; B: GO analysis of cellular components; C: GO analysis of molecular functions; D: KEGG pathway analysis. </w:t>
      </w:r>
      <w:r>
        <w:rPr>
          <w:rFonts w:ascii="Book Antiqua" w:eastAsia="Book Antiqua" w:hAnsi="Book Antiqua" w:cs="Book Antiqua"/>
          <w:i/>
          <w:iCs/>
          <w:color w:val="000000"/>
        </w:rPr>
        <w:t>P</w:t>
      </w:r>
      <w:r w:rsidR="00F40510">
        <w:rPr>
          <w:rFonts w:ascii="Book Antiqua" w:eastAsia="Book Antiqua" w:hAnsi="Book Antiqua" w:cs="Book Antiqua"/>
          <w:color w:val="000000"/>
        </w:rPr>
        <w:t xml:space="preserve"> </w:t>
      </w:r>
      <w:r>
        <w:rPr>
          <w:rFonts w:ascii="Book Antiqua" w:eastAsia="Book Antiqua" w:hAnsi="Book Antiqua" w:cs="Book Antiqua"/>
          <w:color w:val="000000"/>
        </w:rPr>
        <w:t xml:space="preserve">&lt; 0.05 were considered significant. </w:t>
      </w:r>
    </w:p>
    <w:p w14:paraId="2A017151" w14:textId="6AF0797D" w:rsidR="00A77B3E" w:rsidRDefault="00A77B3E" w:rsidP="00567499">
      <w:pPr>
        <w:snapToGrid w:val="0"/>
        <w:spacing w:line="360" w:lineRule="auto"/>
        <w:jc w:val="both"/>
      </w:pPr>
    </w:p>
    <w:p w14:paraId="1464F48A" w14:textId="7DC82F48" w:rsidR="00A77B3E" w:rsidRDefault="005D6960" w:rsidP="00567499">
      <w:pPr>
        <w:snapToGrid w:val="0"/>
        <w:spacing w:line="360" w:lineRule="auto"/>
        <w:jc w:val="both"/>
      </w:pPr>
      <w:r>
        <w:br w:type="page"/>
      </w:r>
      <w:r w:rsidR="00EB00F8">
        <w:rPr>
          <w:noProof/>
          <w:lang w:eastAsia="zh-CN"/>
        </w:rPr>
        <w:drawing>
          <wp:inline distT="0" distB="0" distL="0" distR="0" wp14:anchorId="13138C7B" wp14:editId="3322B84A">
            <wp:extent cx="2770496" cy="188958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0393" cy="1909973"/>
                    </a:xfrm>
                    <a:prstGeom prst="rect">
                      <a:avLst/>
                    </a:prstGeom>
                  </pic:spPr>
                </pic:pic>
              </a:graphicData>
            </a:graphic>
          </wp:inline>
        </w:drawing>
      </w:r>
      <w:r w:rsidR="00EB00F8" w:rsidRPr="00EB00F8">
        <w:rPr>
          <w:noProof/>
        </w:rPr>
        <w:t xml:space="preserve"> </w:t>
      </w:r>
      <w:r w:rsidR="00EB00F8">
        <w:rPr>
          <w:noProof/>
          <w:lang w:eastAsia="zh-CN"/>
        </w:rPr>
        <w:drawing>
          <wp:inline distT="0" distB="0" distL="0" distR="0" wp14:anchorId="188AEF70" wp14:editId="062EFC5D">
            <wp:extent cx="2947916" cy="1904209"/>
            <wp:effectExtent l="0" t="0" r="508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6614" cy="1909827"/>
                    </a:xfrm>
                    <a:prstGeom prst="rect">
                      <a:avLst/>
                    </a:prstGeom>
                  </pic:spPr>
                </pic:pic>
              </a:graphicData>
            </a:graphic>
          </wp:inline>
        </w:drawing>
      </w:r>
    </w:p>
    <w:p w14:paraId="000052BD" w14:textId="671E104F" w:rsidR="004D6065" w:rsidRDefault="00EB00F8" w:rsidP="00567499">
      <w:pPr>
        <w:snapToGrid w:val="0"/>
        <w:spacing w:line="360" w:lineRule="auto"/>
        <w:jc w:val="both"/>
      </w:pPr>
      <w:r>
        <w:rPr>
          <w:noProof/>
          <w:lang w:eastAsia="zh-CN"/>
        </w:rPr>
        <w:drawing>
          <wp:inline distT="0" distB="0" distL="0" distR="0" wp14:anchorId="076494D9" wp14:editId="37CC91FF">
            <wp:extent cx="3189768" cy="204716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5224" cy="2057083"/>
                    </a:xfrm>
                    <a:prstGeom prst="rect">
                      <a:avLst/>
                    </a:prstGeom>
                  </pic:spPr>
                </pic:pic>
              </a:graphicData>
            </a:graphic>
          </wp:inline>
        </w:drawing>
      </w:r>
    </w:p>
    <w:p w14:paraId="000609E2" w14:textId="1E436049" w:rsidR="00A77B3E" w:rsidRPr="00D465BC" w:rsidRDefault="001D27AD" w:rsidP="00567499">
      <w:pPr>
        <w:snapToGrid w:val="0"/>
        <w:spacing w:line="360" w:lineRule="auto"/>
        <w:jc w:val="both"/>
      </w:pPr>
      <w:r>
        <w:rPr>
          <w:rFonts w:ascii="Book Antiqua" w:eastAsia="Book Antiqua" w:hAnsi="Book Antiqua" w:cs="Book Antiqua"/>
          <w:b/>
          <w:bCs/>
          <w:color w:val="000000"/>
        </w:rPr>
        <w:t xml:space="preserve">Figure 8 Survival analysis of the identified mRNAs in the circRNA-miRNA-mRNA regulatory network using </w:t>
      </w:r>
      <w:r w:rsidR="00D447F5">
        <w:rPr>
          <w:rFonts w:ascii="Book Antiqua" w:eastAsia="Book Antiqua" w:hAnsi="Book Antiqua" w:cs="Book Antiqua"/>
          <w:b/>
          <w:bCs/>
          <w:color w:val="000000"/>
        </w:rPr>
        <w:t>T</w:t>
      </w:r>
      <w:r>
        <w:rPr>
          <w:rFonts w:ascii="Book Antiqua" w:eastAsia="Book Antiqua" w:hAnsi="Book Antiqua" w:cs="Book Antiqua"/>
          <w:b/>
          <w:bCs/>
          <w:color w:val="000000"/>
        </w:rPr>
        <w:t>he</w:t>
      </w:r>
      <w:r w:rsidR="00D447F5">
        <w:rPr>
          <w:rFonts w:ascii="Book Antiqua" w:eastAsia="Book Antiqua" w:hAnsi="Book Antiqua" w:cs="Book Antiqua"/>
          <w:b/>
          <w:bCs/>
          <w:color w:val="000000"/>
        </w:rPr>
        <w:t xml:space="preserve"> C</w:t>
      </w:r>
      <w:r w:rsidR="00D465BC" w:rsidRPr="00D465BC">
        <w:rPr>
          <w:rFonts w:ascii="Book Antiqua" w:eastAsia="Book Antiqua" w:hAnsi="Book Antiqua" w:cs="Book Antiqua"/>
          <w:b/>
          <w:bCs/>
          <w:color w:val="000000"/>
        </w:rPr>
        <w:t xml:space="preserve">ancer </w:t>
      </w:r>
      <w:r w:rsidR="00D447F5">
        <w:rPr>
          <w:rFonts w:ascii="Book Antiqua" w:eastAsia="Book Antiqua" w:hAnsi="Book Antiqua" w:cs="Book Antiqua"/>
          <w:b/>
          <w:bCs/>
          <w:color w:val="000000"/>
        </w:rPr>
        <w:t>G</w:t>
      </w:r>
      <w:r w:rsidR="00D465BC" w:rsidRPr="00D465BC">
        <w:rPr>
          <w:rFonts w:ascii="Book Antiqua" w:eastAsia="Book Antiqua" w:hAnsi="Book Antiqua" w:cs="Book Antiqua"/>
          <w:b/>
          <w:bCs/>
          <w:color w:val="000000"/>
        </w:rPr>
        <w:t xml:space="preserve">enome </w:t>
      </w:r>
      <w:r w:rsidR="00D447F5">
        <w:rPr>
          <w:rFonts w:ascii="Book Antiqua" w:eastAsia="Book Antiqua" w:hAnsi="Book Antiqua" w:cs="Book Antiqua"/>
          <w:b/>
          <w:bCs/>
          <w:color w:val="000000"/>
        </w:rPr>
        <w:t>A</w:t>
      </w:r>
      <w:r w:rsidR="00D465BC" w:rsidRPr="00D465BC">
        <w:rPr>
          <w:rFonts w:ascii="Book Antiqua" w:eastAsia="Book Antiqua" w:hAnsi="Book Antiqua" w:cs="Book Antiqua"/>
          <w:b/>
          <w:bCs/>
          <w:color w:val="000000"/>
        </w:rPr>
        <w:t xml:space="preserve">tlas </w:t>
      </w:r>
      <w:r>
        <w:rPr>
          <w:rFonts w:ascii="Book Antiqua" w:eastAsia="Book Antiqua" w:hAnsi="Book Antiqua" w:cs="Book Antiqua"/>
          <w:b/>
          <w:bCs/>
          <w:color w:val="000000"/>
        </w:rPr>
        <w:t>database</w:t>
      </w:r>
      <w:r>
        <w:rPr>
          <w:rFonts w:ascii="Book Antiqua" w:eastAsia="Book Antiqua" w:hAnsi="Book Antiqua" w:cs="Book Antiqua"/>
          <w:color w:val="000000"/>
        </w:rPr>
        <w:t xml:space="preserve">. A: Comparison between patients with upregulation or downregulation of </w:t>
      </w:r>
      <w:r>
        <w:rPr>
          <w:rFonts w:ascii="Book Antiqua" w:eastAsia="Book Antiqua" w:hAnsi="Book Antiqua" w:cs="Book Antiqua"/>
          <w:i/>
          <w:iCs/>
          <w:color w:val="000000"/>
        </w:rPr>
        <w:t>CA2</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D465B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465BC">
        <w:rPr>
          <w:rFonts w:ascii="Book Antiqua" w:eastAsia="Book Antiqua" w:hAnsi="Book Antiqua" w:cs="Book Antiqua"/>
          <w:color w:val="000000"/>
        </w:rPr>
        <w:t xml:space="preserve"> </w:t>
      </w:r>
      <w:r>
        <w:rPr>
          <w:rFonts w:ascii="Book Antiqua" w:eastAsia="Book Antiqua" w:hAnsi="Book Antiqua" w:cs="Book Antiqua"/>
          <w:color w:val="000000"/>
        </w:rPr>
        <w:t xml:space="preserve">0.002); B: Comparison between patients with upregulation or downregulation of </w:t>
      </w:r>
      <w:r>
        <w:rPr>
          <w:rFonts w:ascii="Book Antiqua" w:eastAsia="Book Antiqua" w:hAnsi="Book Antiqua" w:cs="Book Antiqua"/>
          <w:i/>
          <w:iCs/>
          <w:color w:val="000000"/>
        </w:rPr>
        <w:t>ITLN1</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D465B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465BC">
        <w:rPr>
          <w:rFonts w:ascii="Book Antiqua" w:eastAsia="Book Antiqua" w:hAnsi="Book Antiqua" w:cs="Book Antiqua"/>
          <w:color w:val="000000"/>
        </w:rPr>
        <w:t xml:space="preserve"> </w:t>
      </w:r>
      <w:r>
        <w:rPr>
          <w:rFonts w:ascii="Book Antiqua" w:eastAsia="Book Antiqua" w:hAnsi="Book Antiqua" w:cs="Book Antiqua"/>
          <w:color w:val="000000"/>
        </w:rPr>
        <w:t xml:space="preserve">0.001); C: Comparison between patients with upregulation or downregulation of </w:t>
      </w:r>
      <w:r>
        <w:rPr>
          <w:rFonts w:ascii="Book Antiqua" w:eastAsia="Book Antiqua" w:hAnsi="Book Antiqua" w:cs="Book Antiqua"/>
          <w:i/>
          <w:iCs/>
          <w:color w:val="000000"/>
        </w:rPr>
        <w:t>LRRC19</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D465BC">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D465BC">
        <w:rPr>
          <w:rFonts w:ascii="Book Antiqua" w:eastAsia="Book Antiqua" w:hAnsi="Book Antiqua" w:cs="Book Antiqua"/>
          <w:color w:val="000000"/>
        </w:rPr>
        <w:t xml:space="preserve"> </w:t>
      </w:r>
      <w:r>
        <w:rPr>
          <w:rFonts w:ascii="Book Antiqua" w:eastAsia="Book Antiqua" w:hAnsi="Book Antiqua" w:cs="Book Antiqua"/>
          <w:color w:val="000000"/>
        </w:rPr>
        <w:t xml:space="preserve">0.032). </w:t>
      </w:r>
    </w:p>
    <w:p w14:paraId="02B5DBFA" w14:textId="167418D8" w:rsidR="00A77B3E" w:rsidRPr="00D628EA" w:rsidRDefault="004D6065" w:rsidP="00567499">
      <w:pPr>
        <w:snapToGrid w:val="0"/>
        <w:spacing w:line="360" w:lineRule="auto"/>
        <w:jc w:val="both"/>
        <w:rPr>
          <w:lang w:val="pt-BR"/>
        </w:rPr>
      </w:pPr>
      <w:r w:rsidRPr="00D465BC">
        <w:br w:type="page"/>
      </w:r>
      <w:r>
        <w:rPr>
          <w:noProof/>
          <w:lang w:eastAsia="zh-CN"/>
        </w:rPr>
        <w:drawing>
          <wp:inline distT="0" distB="0" distL="0" distR="0" wp14:anchorId="7EE9E66A" wp14:editId="4EE1D3AB">
            <wp:extent cx="4691655" cy="337930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97946" cy="3383836"/>
                    </a:xfrm>
                    <a:prstGeom prst="rect">
                      <a:avLst/>
                    </a:prstGeom>
                  </pic:spPr>
                </pic:pic>
              </a:graphicData>
            </a:graphic>
          </wp:inline>
        </w:drawing>
      </w:r>
    </w:p>
    <w:p w14:paraId="15C4B421" w14:textId="2FCFA167" w:rsidR="00A77B3E" w:rsidRDefault="001D27AD" w:rsidP="00567499">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9 The </w:t>
      </w:r>
      <w:r w:rsidR="007E1246" w:rsidRPr="007E1246">
        <w:rPr>
          <w:rFonts w:ascii="Book Antiqua" w:eastAsia="Book Antiqua" w:hAnsi="Book Antiqua" w:cs="Book Antiqua"/>
          <w:b/>
          <w:bCs/>
          <w:color w:val="000000"/>
        </w:rPr>
        <w:t>competing endogenous RNA</w:t>
      </w:r>
      <w:r>
        <w:rPr>
          <w:rFonts w:ascii="Book Antiqua" w:eastAsia="Book Antiqua" w:hAnsi="Book Antiqua" w:cs="Book Antiqua"/>
          <w:b/>
          <w:bCs/>
          <w:color w:val="000000"/>
        </w:rPr>
        <w:t xml:space="preserve"> subnetwork associated with colorectal cancer prognosis.</w:t>
      </w:r>
      <w:r>
        <w:rPr>
          <w:rFonts w:ascii="Book Antiqua" w:eastAsia="Book Antiqua" w:hAnsi="Book Antiqua" w:cs="Book Antiqua"/>
          <w:color w:val="000000"/>
        </w:rPr>
        <w:t xml:space="preserve"> Based on mRNAs with potential for the clinical outcome prediction of colorectal cancer, a prognostic </w:t>
      </w:r>
      <w:r w:rsidR="007E1246">
        <w:rPr>
          <w:rFonts w:ascii="Book Antiqua" w:eastAsia="Book Antiqua" w:hAnsi="Book Antiqua" w:cs="Book Antiqua"/>
          <w:color w:val="000000"/>
        </w:rPr>
        <w:t>competing endogenous RNA</w:t>
      </w:r>
      <w:r>
        <w:rPr>
          <w:rFonts w:ascii="Book Antiqua" w:eastAsia="Book Antiqua" w:hAnsi="Book Antiqua" w:cs="Book Antiqua"/>
          <w:color w:val="000000"/>
        </w:rPr>
        <w:t xml:space="preserve"> subnetwork was successfully developed. Diamonds, triangles and ellipses represent </w:t>
      </w:r>
      <w:r w:rsidR="004932ED">
        <w:rPr>
          <w:rFonts w:ascii="Book Antiqua" w:eastAsia="Book Antiqua" w:hAnsi="Book Antiqua" w:cs="Book Antiqua"/>
          <w:color w:val="000000"/>
        </w:rPr>
        <w:t>circRNA</w:t>
      </w:r>
      <w:r>
        <w:rPr>
          <w:rFonts w:ascii="Book Antiqua" w:eastAsia="Book Antiqua" w:hAnsi="Book Antiqua" w:cs="Book Antiqua"/>
          <w:color w:val="000000"/>
        </w:rPr>
        <w:t xml:space="preserve">s, </w:t>
      </w:r>
      <w:r w:rsidR="004932ED">
        <w:rPr>
          <w:rFonts w:ascii="Book Antiqua" w:eastAsia="Book Antiqua" w:hAnsi="Book Antiqua" w:cs="Book Antiqua"/>
          <w:color w:val="000000"/>
        </w:rPr>
        <w:t>miRNA</w:t>
      </w:r>
      <w:r>
        <w:rPr>
          <w:rFonts w:ascii="Book Antiqua" w:eastAsia="Book Antiqua" w:hAnsi="Book Antiqua" w:cs="Book Antiqua"/>
          <w:color w:val="000000"/>
        </w:rPr>
        <w:t xml:space="preserve">s and mRNAs, respectively. </w:t>
      </w:r>
    </w:p>
    <w:p w14:paraId="01686FE8" w14:textId="316CE86A" w:rsidR="00792615" w:rsidRPr="005079AF" w:rsidRDefault="00792615" w:rsidP="00567499">
      <w:pPr>
        <w:snapToGrid w:val="0"/>
        <w:spacing w:line="360" w:lineRule="auto"/>
        <w:rPr>
          <w:rFonts w:ascii="Book Antiqua" w:hAnsi="Book Antiqua"/>
          <w:b/>
          <w:bCs/>
          <w:szCs w:val="28"/>
        </w:rPr>
      </w:pPr>
      <w:r>
        <w:rPr>
          <w:rFonts w:ascii="Book Antiqua" w:eastAsia="Book Antiqua" w:hAnsi="Book Antiqua" w:cs="Book Antiqua"/>
          <w:color w:val="000000"/>
        </w:rPr>
        <w:br w:type="page"/>
      </w:r>
      <w:r w:rsidRPr="005079AF">
        <w:rPr>
          <w:rFonts w:ascii="Book Antiqua" w:hAnsi="Book Antiqua"/>
          <w:b/>
          <w:bCs/>
          <w:szCs w:val="28"/>
        </w:rPr>
        <w:t xml:space="preserve">Table 1 Basic characteristics of 4 microarray datasets in </w:t>
      </w:r>
      <w:r w:rsidR="00925FB5">
        <w:rPr>
          <w:rFonts w:ascii="Book Antiqua" w:hAnsi="Book Antiqua"/>
          <w:b/>
          <w:bCs/>
          <w:szCs w:val="28"/>
        </w:rPr>
        <w:t>Gene Expression Omnibus</w:t>
      </w:r>
      <w:r w:rsidRPr="003E5E4E">
        <w:rPr>
          <w:rFonts w:ascii="Book Antiqua" w:hAnsi="Book Antiqua"/>
          <w:b/>
          <w:bCs/>
          <w:szCs w:val="28"/>
        </w:rPr>
        <w:t xml:space="preserve"> </w:t>
      </w:r>
      <w:r w:rsidRPr="005079AF">
        <w:rPr>
          <w:rFonts w:ascii="Book Antiqua" w:hAnsi="Book Antiqua"/>
          <w:b/>
          <w:bCs/>
          <w:szCs w:val="28"/>
        </w:rPr>
        <w:t xml:space="preserve">and </w:t>
      </w:r>
      <w:r w:rsidR="00EE4910">
        <w:rPr>
          <w:rFonts w:ascii="Book Antiqua" w:hAnsi="Book Antiqua"/>
          <w:b/>
          <w:bCs/>
          <w:szCs w:val="28"/>
        </w:rPr>
        <w:t>T</w:t>
      </w:r>
      <w:r w:rsidR="003E5E4E" w:rsidRPr="003E5E4E">
        <w:rPr>
          <w:rFonts w:ascii="Book Antiqua" w:hAnsi="Book Antiqua"/>
          <w:b/>
          <w:bCs/>
          <w:szCs w:val="28"/>
        </w:rPr>
        <w:t xml:space="preserve">he </w:t>
      </w:r>
      <w:r w:rsidR="00EE4910">
        <w:rPr>
          <w:rFonts w:ascii="Book Antiqua" w:hAnsi="Book Antiqua"/>
          <w:b/>
          <w:bCs/>
          <w:szCs w:val="28"/>
        </w:rPr>
        <w:t>C</w:t>
      </w:r>
      <w:r w:rsidR="003E5E4E" w:rsidRPr="003E5E4E">
        <w:rPr>
          <w:rFonts w:ascii="Book Antiqua" w:hAnsi="Book Antiqua"/>
          <w:b/>
          <w:bCs/>
          <w:szCs w:val="28"/>
        </w:rPr>
        <w:t xml:space="preserve">ancer </w:t>
      </w:r>
      <w:r w:rsidR="00EE4910">
        <w:rPr>
          <w:rFonts w:ascii="Book Antiqua" w:hAnsi="Book Antiqua"/>
          <w:b/>
          <w:bCs/>
          <w:szCs w:val="28"/>
        </w:rPr>
        <w:t>G</w:t>
      </w:r>
      <w:r w:rsidR="003E5E4E" w:rsidRPr="003E5E4E">
        <w:rPr>
          <w:rFonts w:ascii="Book Antiqua" w:hAnsi="Book Antiqua"/>
          <w:b/>
          <w:bCs/>
          <w:szCs w:val="28"/>
        </w:rPr>
        <w:t xml:space="preserve">enome </w:t>
      </w:r>
      <w:r w:rsidR="00EE4910">
        <w:rPr>
          <w:rFonts w:ascii="Book Antiqua" w:hAnsi="Book Antiqua"/>
          <w:b/>
          <w:bCs/>
          <w:szCs w:val="28"/>
        </w:rPr>
        <w:t>A</w:t>
      </w:r>
      <w:r w:rsidR="003E5E4E" w:rsidRPr="003E5E4E">
        <w:rPr>
          <w:rFonts w:ascii="Book Antiqua" w:hAnsi="Book Antiqua"/>
          <w:b/>
          <w:bCs/>
          <w:szCs w:val="28"/>
        </w:rPr>
        <w:t>tlas</w:t>
      </w:r>
      <w:r w:rsidR="00385791">
        <w:rPr>
          <w:rFonts w:ascii="Book Antiqua" w:hAnsi="Book Antiqua"/>
          <w:b/>
          <w:bCs/>
          <w:szCs w:val="28"/>
        </w:rPr>
        <w:t xml:space="preserve"> databases</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166"/>
        <w:gridCol w:w="2595"/>
        <w:gridCol w:w="1869"/>
        <w:gridCol w:w="1538"/>
        <w:gridCol w:w="1408"/>
      </w:tblGrid>
      <w:tr w:rsidR="00792615" w:rsidRPr="005079AF" w14:paraId="29C2D4C2" w14:textId="77777777" w:rsidTr="00D306C6">
        <w:trPr>
          <w:trHeight w:val="429"/>
        </w:trPr>
        <w:tc>
          <w:tcPr>
            <w:tcW w:w="1131" w:type="pct"/>
            <w:vMerge w:val="restart"/>
            <w:tcBorders>
              <w:top w:val="single" w:sz="4" w:space="0" w:color="auto"/>
              <w:left w:val="nil"/>
              <w:right w:val="nil"/>
            </w:tcBorders>
            <w:noWrap/>
            <w:hideMark/>
          </w:tcPr>
          <w:p w14:paraId="1E99C3F1" w14:textId="77777777" w:rsidR="00792615" w:rsidRPr="005079AF" w:rsidRDefault="00792615" w:rsidP="00567499">
            <w:pPr>
              <w:snapToGrid w:val="0"/>
              <w:spacing w:line="360" w:lineRule="auto"/>
              <w:jc w:val="both"/>
              <w:rPr>
                <w:rFonts w:ascii="Book Antiqua" w:eastAsia="宋体" w:hAnsi="Book Antiqua"/>
                <w:b/>
                <w:bCs/>
                <w:color w:val="000000"/>
              </w:rPr>
            </w:pPr>
            <w:r w:rsidRPr="005079AF">
              <w:rPr>
                <w:rFonts w:ascii="Book Antiqua" w:hAnsi="Book Antiqua"/>
                <w:b/>
                <w:bCs/>
              </w:rPr>
              <w:t>Data source</w:t>
            </w:r>
          </w:p>
        </w:tc>
        <w:tc>
          <w:tcPr>
            <w:tcW w:w="1355" w:type="pct"/>
            <w:vMerge w:val="restart"/>
            <w:tcBorders>
              <w:top w:val="single" w:sz="4" w:space="0" w:color="auto"/>
              <w:left w:val="nil"/>
              <w:right w:val="nil"/>
            </w:tcBorders>
            <w:noWrap/>
            <w:hideMark/>
          </w:tcPr>
          <w:p w14:paraId="0BFEB1EC" w14:textId="77777777" w:rsidR="00792615" w:rsidRPr="005079AF" w:rsidRDefault="00792615" w:rsidP="00567499">
            <w:pPr>
              <w:snapToGrid w:val="0"/>
              <w:spacing w:line="360" w:lineRule="auto"/>
              <w:jc w:val="both"/>
              <w:rPr>
                <w:rFonts w:ascii="Book Antiqua" w:eastAsia="宋体" w:hAnsi="Book Antiqua"/>
                <w:b/>
                <w:bCs/>
                <w:color w:val="000000"/>
              </w:rPr>
            </w:pPr>
            <w:r w:rsidRPr="005079AF">
              <w:rPr>
                <w:rFonts w:ascii="Book Antiqua" w:hAnsi="Book Antiqua"/>
                <w:b/>
                <w:bCs/>
              </w:rPr>
              <w:t>Platform</w:t>
            </w:r>
          </w:p>
        </w:tc>
        <w:tc>
          <w:tcPr>
            <w:tcW w:w="976" w:type="pct"/>
            <w:vMerge w:val="restart"/>
            <w:tcBorders>
              <w:top w:val="single" w:sz="4" w:space="0" w:color="auto"/>
              <w:left w:val="nil"/>
              <w:right w:val="nil"/>
            </w:tcBorders>
            <w:noWrap/>
            <w:hideMark/>
          </w:tcPr>
          <w:p w14:paraId="44FC60A5" w14:textId="77777777" w:rsidR="00792615" w:rsidRPr="005079AF" w:rsidRDefault="00792615" w:rsidP="00567499">
            <w:pPr>
              <w:snapToGrid w:val="0"/>
              <w:spacing w:line="360" w:lineRule="auto"/>
              <w:jc w:val="both"/>
              <w:rPr>
                <w:rFonts w:ascii="Book Antiqua" w:eastAsia="宋体" w:hAnsi="Book Antiqua"/>
                <w:b/>
                <w:bCs/>
                <w:color w:val="000000"/>
              </w:rPr>
            </w:pPr>
            <w:r w:rsidRPr="005079AF">
              <w:rPr>
                <w:rFonts w:ascii="Book Antiqua" w:hAnsi="Book Antiqua"/>
                <w:b/>
                <w:bCs/>
              </w:rPr>
              <w:t>Series</w:t>
            </w:r>
          </w:p>
        </w:tc>
        <w:tc>
          <w:tcPr>
            <w:tcW w:w="1538" w:type="pct"/>
            <w:gridSpan w:val="2"/>
            <w:tcBorders>
              <w:top w:val="single" w:sz="4" w:space="0" w:color="auto"/>
              <w:left w:val="nil"/>
              <w:bottom w:val="single" w:sz="4" w:space="0" w:color="auto"/>
              <w:right w:val="nil"/>
            </w:tcBorders>
            <w:noWrap/>
            <w:hideMark/>
          </w:tcPr>
          <w:p w14:paraId="21147B17" w14:textId="77777777" w:rsidR="00792615" w:rsidRPr="005079AF" w:rsidRDefault="00792615" w:rsidP="00567499">
            <w:pPr>
              <w:snapToGrid w:val="0"/>
              <w:spacing w:line="360" w:lineRule="auto"/>
              <w:jc w:val="both"/>
              <w:rPr>
                <w:rFonts w:ascii="Book Antiqua" w:hAnsi="Book Antiqua"/>
                <w:b/>
                <w:bCs/>
              </w:rPr>
            </w:pPr>
            <w:r w:rsidRPr="005079AF">
              <w:rPr>
                <w:rFonts w:ascii="Book Antiqua" w:hAnsi="Book Antiqua"/>
                <w:b/>
                <w:bCs/>
              </w:rPr>
              <w:t>Sample size</w:t>
            </w:r>
          </w:p>
        </w:tc>
      </w:tr>
      <w:tr w:rsidR="00792615" w:rsidRPr="005079AF" w14:paraId="4EA18AC8" w14:textId="77777777" w:rsidTr="00D306C6">
        <w:trPr>
          <w:trHeight w:val="428"/>
        </w:trPr>
        <w:tc>
          <w:tcPr>
            <w:tcW w:w="1131" w:type="pct"/>
            <w:vMerge/>
            <w:tcBorders>
              <w:left w:val="nil"/>
              <w:bottom w:val="single" w:sz="4" w:space="0" w:color="auto"/>
              <w:right w:val="nil"/>
            </w:tcBorders>
            <w:noWrap/>
          </w:tcPr>
          <w:p w14:paraId="3268E12E" w14:textId="77777777" w:rsidR="00792615" w:rsidRPr="005079AF" w:rsidRDefault="00792615" w:rsidP="00567499">
            <w:pPr>
              <w:snapToGrid w:val="0"/>
              <w:spacing w:line="360" w:lineRule="auto"/>
              <w:jc w:val="both"/>
              <w:rPr>
                <w:rFonts w:ascii="Book Antiqua" w:hAnsi="Book Antiqua"/>
                <w:b/>
                <w:bCs/>
              </w:rPr>
            </w:pPr>
          </w:p>
        </w:tc>
        <w:tc>
          <w:tcPr>
            <w:tcW w:w="1355" w:type="pct"/>
            <w:vMerge/>
            <w:tcBorders>
              <w:left w:val="nil"/>
              <w:bottom w:val="single" w:sz="4" w:space="0" w:color="auto"/>
              <w:right w:val="nil"/>
            </w:tcBorders>
            <w:noWrap/>
          </w:tcPr>
          <w:p w14:paraId="7C937F38" w14:textId="77777777" w:rsidR="00792615" w:rsidRPr="005079AF" w:rsidRDefault="00792615" w:rsidP="00567499">
            <w:pPr>
              <w:snapToGrid w:val="0"/>
              <w:spacing w:line="360" w:lineRule="auto"/>
              <w:jc w:val="both"/>
              <w:rPr>
                <w:rFonts w:ascii="Book Antiqua" w:hAnsi="Book Antiqua"/>
                <w:b/>
                <w:bCs/>
              </w:rPr>
            </w:pPr>
          </w:p>
        </w:tc>
        <w:tc>
          <w:tcPr>
            <w:tcW w:w="976" w:type="pct"/>
            <w:vMerge/>
            <w:tcBorders>
              <w:left w:val="nil"/>
              <w:bottom w:val="single" w:sz="4" w:space="0" w:color="auto"/>
              <w:right w:val="nil"/>
            </w:tcBorders>
            <w:noWrap/>
          </w:tcPr>
          <w:p w14:paraId="41847B8F" w14:textId="77777777" w:rsidR="00792615" w:rsidRPr="005079AF" w:rsidRDefault="00792615" w:rsidP="00567499">
            <w:pPr>
              <w:snapToGrid w:val="0"/>
              <w:spacing w:line="360" w:lineRule="auto"/>
              <w:jc w:val="both"/>
              <w:rPr>
                <w:rFonts w:ascii="Book Antiqua" w:hAnsi="Book Antiqua"/>
                <w:b/>
                <w:bCs/>
              </w:rPr>
            </w:pPr>
          </w:p>
        </w:tc>
        <w:tc>
          <w:tcPr>
            <w:tcW w:w="803" w:type="pct"/>
            <w:tcBorders>
              <w:top w:val="single" w:sz="4" w:space="0" w:color="auto"/>
              <w:left w:val="nil"/>
              <w:bottom w:val="single" w:sz="4" w:space="0" w:color="auto"/>
              <w:right w:val="nil"/>
            </w:tcBorders>
            <w:noWrap/>
          </w:tcPr>
          <w:p w14:paraId="1284EC4D" w14:textId="77777777" w:rsidR="00792615" w:rsidRPr="005079AF" w:rsidRDefault="00792615" w:rsidP="00567499">
            <w:pPr>
              <w:snapToGrid w:val="0"/>
              <w:spacing w:line="360" w:lineRule="auto"/>
              <w:jc w:val="both"/>
              <w:rPr>
                <w:rFonts w:ascii="Book Antiqua" w:hAnsi="Book Antiqua"/>
                <w:b/>
                <w:bCs/>
              </w:rPr>
            </w:pPr>
            <w:r w:rsidRPr="005079AF">
              <w:rPr>
                <w:rFonts w:ascii="Book Antiqua" w:hAnsi="Book Antiqua"/>
                <w:b/>
                <w:bCs/>
              </w:rPr>
              <w:t>Tumor</w:t>
            </w:r>
          </w:p>
        </w:tc>
        <w:tc>
          <w:tcPr>
            <w:tcW w:w="735" w:type="pct"/>
            <w:tcBorders>
              <w:top w:val="single" w:sz="4" w:space="0" w:color="auto"/>
              <w:left w:val="nil"/>
              <w:bottom w:val="single" w:sz="4" w:space="0" w:color="auto"/>
              <w:right w:val="nil"/>
            </w:tcBorders>
          </w:tcPr>
          <w:p w14:paraId="106A072A" w14:textId="77777777" w:rsidR="00792615" w:rsidRPr="005079AF" w:rsidRDefault="00792615" w:rsidP="00567499">
            <w:pPr>
              <w:snapToGrid w:val="0"/>
              <w:spacing w:line="360" w:lineRule="auto"/>
              <w:jc w:val="both"/>
              <w:rPr>
                <w:rFonts w:ascii="Book Antiqua" w:hAnsi="Book Antiqua"/>
                <w:b/>
                <w:bCs/>
              </w:rPr>
            </w:pPr>
            <w:r w:rsidRPr="005079AF">
              <w:rPr>
                <w:rFonts w:ascii="Book Antiqua" w:hAnsi="Book Antiqua"/>
                <w:b/>
                <w:bCs/>
              </w:rPr>
              <w:t>Control</w:t>
            </w:r>
          </w:p>
        </w:tc>
      </w:tr>
      <w:tr w:rsidR="00792615" w:rsidRPr="005079AF" w14:paraId="3350BDC5" w14:textId="77777777" w:rsidTr="003E5E4E">
        <w:trPr>
          <w:trHeight w:val="521"/>
        </w:trPr>
        <w:tc>
          <w:tcPr>
            <w:tcW w:w="1131" w:type="pct"/>
            <w:tcBorders>
              <w:top w:val="single" w:sz="4" w:space="0" w:color="auto"/>
              <w:left w:val="nil"/>
              <w:bottom w:val="nil"/>
              <w:right w:val="nil"/>
            </w:tcBorders>
            <w:noWrap/>
            <w:hideMark/>
          </w:tcPr>
          <w:p w14:paraId="26560129"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circRNA</w:t>
            </w:r>
          </w:p>
        </w:tc>
        <w:tc>
          <w:tcPr>
            <w:tcW w:w="1355" w:type="pct"/>
            <w:tcBorders>
              <w:top w:val="single" w:sz="4" w:space="0" w:color="auto"/>
              <w:left w:val="nil"/>
              <w:bottom w:val="nil"/>
              <w:right w:val="nil"/>
            </w:tcBorders>
            <w:noWrap/>
            <w:hideMark/>
          </w:tcPr>
          <w:p w14:paraId="4C7747F4" w14:textId="77777777" w:rsidR="00792615" w:rsidRPr="005079AF" w:rsidRDefault="00792615" w:rsidP="00567499">
            <w:pPr>
              <w:snapToGrid w:val="0"/>
              <w:spacing w:line="360" w:lineRule="auto"/>
              <w:ind w:right="960"/>
              <w:jc w:val="both"/>
              <w:rPr>
                <w:rFonts w:ascii="Book Antiqua" w:eastAsia="宋体" w:hAnsi="Book Antiqua"/>
                <w:color w:val="000000"/>
              </w:rPr>
            </w:pPr>
            <w:r w:rsidRPr="005079AF">
              <w:rPr>
                <w:rFonts w:ascii="Book Antiqua" w:hAnsi="Book Antiqua"/>
              </w:rPr>
              <w:t>GPL19978</w:t>
            </w:r>
          </w:p>
        </w:tc>
        <w:tc>
          <w:tcPr>
            <w:tcW w:w="976" w:type="pct"/>
            <w:tcBorders>
              <w:top w:val="single" w:sz="4" w:space="0" w:color="auto"/>
              <w:left w:val="nil"/>
              <w:bottom w:val="nil"/>
              <w:right w:val="nil"/>
            </w:tcBorders>
            <w:noWrap/>
            <w:hideMark/>
          </w:tcPr>
          <w:p w14:paraId="17102F1D"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GSE126095</w:t>
            </w:r>
          </w:p>
        </w:tc>
        <w:tc>
          <w:tcPr>
            <w:tcW w:w="803" w:type="pct"/>
            <w:tcBorders>
              <w:top w:val="single" w:sz="4" w:space="0" w:color="auto"/>
              <w:left w:val="nil"/>
              <w:bottom w:val="nil"/>
              <w:right w:val="nil"/>
            </w:tcBorders>
            <w:noWrap/>
            <w:hideMark/>
          </w:tcPr>
          <w:p w14:paraId="62EC2C59"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10</w:t>
            </w:r>
          </w:p>
        </w:tc>
        <w:tc>
          <w:tcPr>
            <w:tcW w:w="735" w:type="pct"/>
            <w:tcBorders>
              <w:top w:val="single" w:sz="4" w:space="0" w:color="auto"/>
              <w:left w:val="nil"/>
              <w:bottom w:val="nil"/>
              <w:right w:val="nil"/>
            </w:tcBorders>
          </w:tcPr>
          <w:p w14:paraId="196E30BF"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eastAsia="宋体" w:hAnsi="Book Antiqua"/>
                <w:color w:val="000000"/>
              </w:rPr>
              <w:t>10</w:t>
            </w:r>
          </w:p>
        </w:tc>
      </w:tr>
      <w:tr w:rsidR="00792615" w:rsidRPr="005079AF" w14:paraId="74579552" w14:textId="77777777" w:rsidTr="003E5E4E">
        <w:trPr>
          <w:trHeight w:val="424"/>
        </w:trPr>
        <w:tc>
          <w:tcPr>
            <w:tcW w:w="1131" w:type="pct"/>
            <w:tcBorders>
              <w:top w:val="nil"/>
              <w:left w:val="nil"/>
              <w:bottom w:val="nil"/>
              <w:right w:val="nil"/>
            </w:tcBorders>
            <w:noWrap/>
            <w:hideMark/>
          </w:tcPr>
          <w:p w14:paraId="3B8CF2C0"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miRNA</w:t>
            </w:r>
          </w:p>
        </w:tc>
        <w:tc>
          <w:tcPr>
            <w:tcW w:w="1355" w:type="pct"/>
            <w:tcBorders>
              <w:top w:val="nil"/>
              <w:left w:val="nil"/>
              <w:bottom w:val="nil"/>
              <w:right w:val="nil"/>
            </w:tcBorders>
            <w:noWrap/>
            <w:hideMark/>
          </w:tcPr>
          <w:p w14:paraId="294994D4"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GPL11487</w:t>
            </w:r>
          </w:p>
        </w:tc>
        <w:tc>
          <w:tcPr>
            <w:tcW w:w="976" w:type="pct"/>
            <w:tcBorders>
              <w:top w:val="nil"/>
              <w:left w:val="nil"/>
              <w:bottom w:val="nil"/>
              <w:right w:val="nil"/>
            </w:tcBorders>
            <w:noWrap/>
            <w:hideMark/>
          </w:tcPr>
          <w:p w14:paraId="06DF6422"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GSE41655</w:t>
            </w:r>
          </w:p>
        </w:tc>
        <w:tc>
          <w:tcPr>
            <w:tcW w:w="803" w:type="pct"/>
            <w:tcBorders>
              <w:top w:val="nil"/>
              <w:left w:val="nil"/>
              <w:bottom w:val="nil"/>
              <w:right w:val="nil"/>
            </w:tcBorders>
            <w:noWrap/>
            <w:hideMark/>
          </w:tcPr>
          <w:p w14:paraId="43111B08" w14:textId="77777777" w:rsidR="00792615" w:rsidRPr="005079AF" w:rsidRDefault="00792615" w:rsidP="00567499">
            <w:pPr>
              <w:snapToGrid w:val="0"/>
              <w:spacing w:line="360" w:lineRule="auto"/>
              <w:jc w:val="both"/>
              <w:rPr>
                <w:rFonts w:ascii="Book Antiqua" w:eastAsia="宋体" w:hAnsi="Book Antiqua"/>
                <w:color w:val="000000"/>
              </w:rPr>
            </w:pPr>
            <w:r>
              <w:rPr>
                <w:rFonts w:ascii="Book Antiqua" w:hAnsi="Book Antiqua"/>
              </w:rPr>
              <w:t>3</w:t>
            </w:r>
            <w:r w:rsidRPr="005079AF">
              <w:rPr>
                <w:rFonts w:ascii="Book Antiqua" w:hAnsi="Book Antiqua"/>
              </w:rPr>
              <w:t>3</w:t>
            </w:r>
          </w:p>
        </w:tc>
        <w:tc>
          <w:tcPr>
            <w:tcW w:w="735" w:type="pct"/>
            <w:tcBorders>
              <w:top w:val="nil"/>
              <w:left w:val="nil"/>
              <w:bottom w:val="nil"/>
              <w:right w:val="nil"/>
            </w:tcBorders>
          </w:tcPr>
          <w:p w14:paraId="0246E1F8"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eastAsia="宋体" w:hAnsi="Book Antiqua"/>
                <w:color w:val="000000"/>
              </w:rPr>
              <w:t>15</w:t>
            </w:r>
          </w:p>
        </w:tc>
      </w:tr>
      <w:tr w:rsidR="00792615" w:rsidRPr="005079AF" w14:paraId="2DA85359" w14:textId="77777777" w:rsidTr="003E5E4E">
        <w:trPr>
          <w:trHeight w:val="430"/>
        </w:trPr>
        <w:tc>
          <w:tcPr>
            <w:tcW w:w="1131" w:type="pct"/>
            <w:tcBorders>
              <w:top w:val="nil"/>
              <w:left w:val="nil"/>
              <w:bottom w:val="nil"/>
              <w:right w:val="nil"/>
            </w:tcBorders>
            <w:noWrap/>
            <w:hideMark/>
          </w:tcPr>
          <w:p w14:paraId="5F086DC4"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mRNA</w:t>
            </w:r>
          </w:p>
        </w:tc>
        <w:tc>
          <w:tcPr>
            <w:tcW w:w="1355" w:type="pct"/>
            <w:tcBorders>
              <w:top w:val="nil"/>
              <w:left w:val="nil"/>
              <w:bottom w:val="nil"/>
              <w:right w:val="nil"/>
            </w:tcBorders>
            <w:noWrap/>
            <w:hideMark/>
          </w:tcPr>
          <w:p w14:paraId="6167D63D"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GPL6480</w:t>
            </w:r>
          </w:p>
        </w:tc>
        <w:tc>
          <w:tcPr>
            <w:tcW w:w="976" w:type="pct"/>
            <w:tcBorders>
              <w:top w:val="nil"/>
              <w:left w:val="nil"/>
              <w:bottom w:val="nil"/>
              <w:right w:val="nil"/>
            </w:tcBorders>
            <w:noWrap/>
            <w:hideMark/>
          </w:tcPr>
          <w:p w14:paraId="6792BA6C"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GSE41657</w:t>
            </w:r>
          </w:p>
        </w:tc>
        <w:tc>
          <w:tcPr>
            <w:tcW w:w="803" w:type="pct"/>
            <w:tcBorders>
              <w:top w:val="nil"/>
              <w:left w:val="nil"/>
              <w:bottom w:val="nil"/>
              <w:right w:val="nil"/>
            </w:tcBorders>
            <w:noWrap/>
            <w:hideMark/>
          </w:tcPr>
          <w:p w14:paraId="0306C064"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25</w:t>
            </w:r>
          </w:p>
        </w:tc>
        <w:tc>
          <w:tcPr>
            <w:tcW w:w="735" w:type="pct"/>
            <w:tcBorders>
              <w:top w:val="nil"/>
              <w:left w:val="nil"/>
              <w:bottom w:val="nil"/>
              <w:right w:val="nil"/>
            </w:tcBorders>
          </w:tcPr>
          <w:p w14:paraId="350F792C"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eastAsia="宋体" w:hAnsi="Book Antiqua"/>
                <w:color w:val="000000"/>
              </w:rPr>
              <w:t>12</w:t>
            </w:r>
          </w:p>
        </w:tc>
      </w:tr>
      <w:tr w:rsidR="00792615" w:rsidRPr="005079AF" w14:paraId="55FE970B" w14:textId="77777777" w:rsidTr="00D306C6">
        <w:trPr>
          <w:trHeight w:val="282"/>
        </w:trPr>
        <w:tc>
          <w:tcPr>
            <w:tcW w:w="1131" w:type="pct"/>
            <w:tcBorders>
              <w:top w:val="nil"/>
              <w:left w:val="nil"/>
              <w:bottom w:val="single" w:sz="4" w:space="0" w:color="auto"/>
              <w:right w:val="nil"/>
            </w:tcBorders>
            <w:noWrap/>
            <w:hideMark/>
          </w:tcPr>
          <w:p w14:paraId="2D9236F4"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mRNA</w:t>
            </w:r>
          </w:p>
        </w:tc>
        <w:tc>
          <w:tcPr>
            <w:tcW w:w="1355" w:type="pct"/>
            <w:tcBorders>
              <w:top w:val="nil"/>
              <w:left w:val="nil"/>
              <w:bottom w:val="single" w:sz="4" w:space="0" w:color="auto"/>
              <w:right w:val="nil"/>
            </w:tcBorders>
            <w:noWrap/>
            <w:hideMark/>
          </w:tcPr>
          <w:p w14:paraId="5D52FC44"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TCGA</w:t>
            </w:r>
          </w:p>
        </w:tc>
        <w:tc>
          <w:tcPr>
            <w:tcW w:w="976" w:type="pct"/>
            <w:tcBorders>
              <w:top w:val="nil"/>
              <w:left w:val="nil"/>
              <w:bottom w:val="single" w:sz="4" w:space="0" w:color="auto"/>
              <w:right w:val="nil"/>
            </w:tcBorders>
            <w:noWrap/>
            <w:hideMark/>
          </w:tcPr>
          <w:p w14:paraId="53A49D6F"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None</w:t>
            </w:r>
          </w:p>
        </w:tc>
        <w:tc>
          <w:tcPr>
            <w:tcW w:w="803" w:type="pct"/>
            <w:tcBorders>
              <w:top w:val="nil"/>
              <w:left w:val="nil"/>
              <w:bottom w:val="single" w:sz="4" w:space="0" w:color="auto"/>
              <w:right w:val="nil"/>
            </w:tcBorders>
            <w:noWrap/>
            <w:hideMark/>
          </w:tcPr>
          <w:p w14:paraId="6D389844"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hAnsi="Book Antiqua"/>
              </w:rPr>
              <w:t>488</w:t>
            </w:r>
          </w:p>
        </w:tc>
        <w:tc>
          <w:tcPr>
            <w:tcW w:w="735" w:type="pct"/>
            <w:tcBorders>
              <w:top w:val="nil"/>
              <w:left w:val="nil"/>
              <w:bottom w:val="single" w:sz="4" w:space="0" w:color="auto"/>
              <w:right w:val="nil"/>
            </w:tcBorders>
          </w:tcPr>
          <w:p w14:paraId="2F366CF4" w14:textId="77777777" w:rsidR="00792615" w:rsidRPr="005079AF" w:rsidRDefault="00792615" w:rsidP="00567499">
            <w:pPr>
              <w:snapToGrid w:val="0"/>
              <w:spacing w:line="360" w:lineRule="auto"/>
              <w:jc w:val="both"/>
              <w:rPr>
                <w:rFonts w:ascii="Book Antiqua" w:eastAsia="宋体" w:hAnsi="Book Antiqua"/>
                <w:color w:val="000000"/>
              </w:rPr>
            </w:pPr>
            <w:r w:rsidRPr="005079AF">
              <w:rPr>
                <w:rFonts w:ascii="Book Antiqua" w:eastAsia="宋体" w:hAnsi="Book Antiqua"/>
                <w:color w:val="000000"/>
              </w:rPr>
              <w:t>42</w:t>
            </w:r>
          </w:p>
        </w:tc>
      </w:tr>
    </w:tbl>
    <w:p w14:paraId="22F56900" w14:textId="1CC6791B" w:rsidR="00792615" w:rsidRPr="00AB5C83" w:rsidRDefault="00792615" w:rsidP="00567499">
      <w:pPr>
        <w:snapToGrid w:val="0"/>
        <w:spacing w:line="360" w:lineRule="auto"/>
        <w:jc w:val="both"/>
        <w:rPr>
          <w:rFonts w:ascii="Book Antiqua" w:hAnsi="Book Antiqua"/>
          <w:szCs w:val="28"/>
        </w:rPr>
      </w:pPr>
      <w:r w:rsidRPr="00AB5C83">
        <w:rPr>
          <w:rFonts w:ascii="Book Antiqua" w:hAnsi="Book Antiqua"/>
          <w:szCs w:val="28"/>
        </w:rPr>
        <w:t xml:space="preserve">TCGA: The </w:t>
      </w:r>
      <w:r w:rsidR="00EE4910">
        <w:rPr>
          <w:rFonts w:ascii="Book Antiqua" w:hAnsi="Book Antiqua"/>
          <w:szCs w:val="28"/>
        </w:rPr>
        <w:t>C</w:t>
      </w:r>
      <w:r w:rsidRPr="00AB5C83">
        <w:rPr>
          <w:rFonts w:ascii="Book Antiqua" w:hAnsi="Book Antiqua"/>
          <w:szCs w:val="28"/>
        </w:rPr>
        <w:t xml:space="preserve">ancer </w:t>
      </w:r>
      <w:r w:rsidR="00EE4910">
        <w:rPr>
          <w:rFonts w:ascii="Book Antiqua" w:hAnsi="Book Antiqua"/>
          <w:szCs w:val="28"/>
        </w:rPr>
        <w:t>G</w:t>
      </w:r>
      <w:r w:rsidRPr="00AB5C83">
        <w:rPr>
          <w:rFonts w:ascii="Book Antiqua" w:hAnsi="Book Antiqua"/>
          <w:szCs w:val="28"/>
        </w:rPr>
        <w:t xml:space="preserve">enome </w:t>
      </w:r>
      <w:r w:rsidR="00EE4910">
        <w:rPr>
          <w:rFonts w:ascii="Book Antiqua" w:hAnsi="Book Antiqua"/>
          <w:szCs w:val="28"/>
        </w:rPr>
        <w:t>A</w:t>
      </w:r>
      <w:r w:rsidRPr="00AB5C83">
        <w:rPr>
          <w:rFonts w:ascii="Book Antiqua" w:hAnsi="Book Antiqua"/>
          <w:szCs w:val="28"/>
        </w:rPr>
        <w:t>tlas.</w:t>
      </w:r>
    </w:p>
    <w:p w14:paraId="5AA254E9" w14:textId="63BE3C32" w:rsidR="00885215" w:rsidRDefault="00885215">
      <w:r>
        <w:br w:type="page"/>
      </w:r>
    </w:p>
    <w:p w14:paraId="2D136674" w14:textId="77777777" w:rsidR="00885215" w:rsidRDefault="00885215" w:rsidP="00885215">
      <w:pPr>
        <w:jc w:val="center"/>
        <w:rPr>
          <w:rFonts w:ascii="Book Antiqua" w:hAnsi="Book Antiqua"/>
          <w:lang w:eastAsia="zh-CN"/>
        </w:rPr>
      </w:pPr>
      <w:bookmarkStart w:id="5" w:name="OLE_LINK1"/>
      <w:bookmarkStart w:id="6" w:name="OLE_LINK2"/>
    </w:p>
    <w:p w14:paraId="5C4E3932" w14:textId="77777777" w:rsidR="00885215" w:rsidRDefault="00885215" w:rsidP="00885215">
      <w:pPr>
        <w:jc w:val="center"/>
        <w:rPr>
          <w:rFonts w:ascii="Book Antiqua" w:hAnsi="Book Antiqua"/>
          <w:lang w:eastAsia="zh-CN"/>
        </w:rPr>
      </w:pPr>
    </w:p>
    <w:p w14:paraId="3FF510D3" w14:textId="77777777" w:rsidR="00885215" w:rsidRDefault="00885215" w:rsidP="00885215">
      <w:pPr>
        <w:jc w:val="center"/>
        <w:rPr>
          <w:rFonts w:ascii="Book Antiqua" w:hAnsi="Book Antiqua"/>
          <w:lang w:eastAsia="zh-CN"/>
        </w:rPr>
      </w:pPr>
    </w:p>
    <w:p w14:paraId="37934A71" w14:textId="77777777" w:rsidR="00885215" w:rsidRDefault="00885215" w:rsidP="00885215">
      <w:pPr>
        <w:jc w:val="center"/>
        <w:rPr>
          <w:rFonts w:ascii="Book Antiqua" w:hAnsi="Book Antiqua"/>
          <w:lang w:eastAsia="zh-CN"/>
        </w:rPr>
      </w:pPr>
    </w:p>
    <w:p w14:paraId="289B9816" w14:textId="77777777" w:rsidR="00885215" w:rsidRDefault="00885215" w:rsidP="00885215">
      <w:pPr>
        <w:jc w:val="center"/>
        <w:rPr>
          <w:rFonts w:ascii="Book Antiqua" w:hAnsi="Book Antiqua"/>
          <w:lang w:eastAsia="zh-CN"/>
        </w:rPr>
      </w:pPr>
    </w:p>
    <w:p w14:paraId="74263EF5" w14:textId="77777777" w:rsidR="00885215" w:rsidRDefault="00885215" w:rsidP="00885215">
      <w:pPr>
        <w:jc w:val="center"/>
        <w:rPr>
          <w:rFonts w:ascii="Book Antiqua" w:hAnsi="Book Antiqua"/>
          <w:lang w:eastAsia="zh-CN"/>
        </w:rPr>
      </w:pPr>
      <w:r>
        <w:rPr>
          <w:rFonts w:ascii="Book Antiqua" w:hAnsi="Book Antiqua"/>
          <w:noProof/>
          <w:lang w:eastAsia="zh-CN"/>
        </w:rPr>
        <w:drawing>
          <wp:inline distT="0" distB="0" distL="0" distR="0" wp14:anchorId="380D11A0" wp14:editId="6869F22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4A3B54" w14:textId="77777777" w:rsidR="00885215" w:rsidRDefault="00885215" w:rsidP="00885215">
      <w:pPr>
        <w:jc w:val="center"/>
        <w:rPr>
          <w:rFonts w:ascii="Book Antiqua" w:hAnsi="Book Antiqua"/>
          <w:lang w:eastAsia="zh-CN"/>
        </w:rPr>
      </w:pPr>
    </w:p>
    <w:p w14:paraId="0CD30F2A" w14:textId="77777777" w:rsidR="00885215" w:rsidRPr="00763D22" w:rsidRDefault="00885215" w:rsidP="0088521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7F9654C" w14:textId="77777777" w:rsidR="00885215" w:rsidRPr="00763D22" w:rsidRDefault="00885215" w:rsidP="0088521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5AFE070" w14:textId="77777777" w:rsidR="00885215" w:rsidRPr="00763D22" w:rsidRDefault="00885215" w:rsidP="0088521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741FBA2" w14:textId="77777777" w:rsidR="00885215" w:rsidRPr="00763D22" w:rsidRDefault="00885215" w:rsidP="0088521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95F529E" w14:textId="77777777" w:rsidR="00885215" w:rsidRPr="00763D22" w:rsidRDefault="00885215" w:rsidP="0088521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8F125ED" w14:textId="77777777" w:rsidR="00885215" w:rsidRPr="00763D22" w:rsidRDefault="00885215" w:rsidP="0088521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648ED95" w14:textId="77777777" w:rsidR="00885215" w:rsidRDefault="00885215" w:rsidP="00885215">
      <w:pPr>
        <w:jc w:val="center"/>
        <w:rPr>
          <w:rFonts w:ascii="Book Antiqua" w:hAnsi="Book Antiqua"/>
          <w:lang w:eastAsia="zh-CN"/>
        </w:rPr>
      </w:pPr>
    </w:p>
    <w:p w14:paraId="46CF49F7" w14:textId="77777777" w:rsidR="00885215" w:rsidRDefault="00885215" w:rsidP="00885215">
      <w:pPr>
        <w:jc w:val="center"/>
        <w:rPr>
          <w:rFonts w:ascii="Book Antiqua" w:hAnsi="Book Antiqua"/>
          <w:lang w:eastAsia="zh-CN"/>
        </w:rPr>
      </w:pPr>
    </w:p>
    <w:p w14:paraId="19556498" w14:textId="77777777" w:rsidR="00885215" w:rsidRDefault="00885215" w:rsidP="00885215">
      <w:pPr>
        <w:jc w:val="center"/>
        <w:rPr>
          <w:rFonts w:ascii="Book Antiqua" w:hAnsi="Book Antiqua"/>
          <w:lang w:eastAsia="zh-CN"/>
        </w:rPr>
      </w:pPr>
    </w:p>
    <w:p w14:paraId="7C00E937" w14:textId="77777777" w:rsidR="00885215" w:rsidRDefault="00885215" w:rsidP="00885215">
      <w:pPr>
        <w:jc w:val="center"/>
        <w:rPr>
          <w:rFonts w:ascii="Book Antiqua" w:hAnsi="Book Antiqua"/>
          <w:lang w:eastAsia="zh-CN"/>
        </w:rPr>
      </w:pPr>
      <w:r>
        <w:rPr>
          <w:rFonts w:ascii="Book Antiqua" w:hAnsi="Book Antiqua"/>
          <w:noProof/>
          <w:lang w:eastAsia="zh-CN"/>
        </w:rPr>
        <w:drawing>
          <wp:inline distT="0" distB="0" distL="0" distR="0" wp14:anchorId="437AAF02" wp14:editId="5498C375">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FFE68E" w14:textId="77777777" w:rsidR="00885215" w:rsidRDefault="00885215" w:rsidP="00885215">
      <w:pPr>
        <w:jc w:val="center"/>
        <w:rPr>
          <w:rFonts w:ascii="Book Antiqua" w:hAnsi="Book Antiqua"/>
          <w:lang w:eastAsia="zh-CN"/>
        </w:rPr>
      </w:pPr>
    </w:p>
    <w:p w14:paraId="793CADEC" w14:textId="77777777" w:rsidR="00885215" w:rsidRDefault="00885215" w:rsidP="00885215">
      <w:pPr>
        <w:jc w:val="center"/>
        <w:rPr>
          <w:rFonts w:ascii="Book Antiqua" w:hAnsi="Book Antiqua"/>
          <w:lang w:eastAsia="zh-CN"/>
        </w:rPr>
      </w:pPr>
    </w:p>
    <w:p w14:paraId="27E93CDC" w14:textId="77777777" w:rsidR="00885215" w:rsidRDefault="00885215" w:rsidP="00885215">
      <w:pPr>
        <w:jc w:val="center"/>
        <w:rPr>
          <w:rFonts w:ascii="Book Antiqua" w:hAnsi="Book Antiqua"/>
          <w:lang w:eastAsia="zh-CN"/>
        </w:rPr>
      </w:pPr>
    </w:p>
    <w:p w14:paraId="39D07CA5" w14:textId="77777777" w:rsidR="00885215" w:rsidRDefault="00885215" w:rsidP="00885215">
      <w:pPr>
        <w:jc w:val="center"/>
        <w:rPr>
          <w:rFonts w:ascii="Book Antiqua" w:hAnsi="Book Antiqua"/>
          <w:lang w:eastAsia="zh-CN"/>
        </w:rPr>
      </w:pPr>
    </w:p>
    <w:p w14:paraId="0E4A8CAD" w14:textId="77777777" w:rsidR="00885215" w:rsidRDefault="00885215" w:rsidP="00885215">
      <w:pPr>
        <w:jc w:val="center"/>
        <w:rPr>
          <w:rFonts w:ascii="Book Antiqua" w:hAnsi="Book Antiqua"/>
          <w:lang w:eastAsia="zh-CN"/>
        </w:rPr>
      </w:pPr>
    </w:p>
    <w:p w14:paraId="5D038E4E" w14:textId="77777777" w:rsidR="00885215" w:rsidRDefault="00885215" w:rsidP="00885215">
      <w:pPr>
        <w:jc w:val="center"/>
        <w:rPr>
          <w:rFonts w:ascii="Book Antiqua" w:hAnsi="Book Antiqua"/>
          <w:lang w:eastAsia="zh-CN"/>
        </w:rPr>
      </w:pPr>
    </w:p>
    <w:p w14:paraId="6C772EC9" w14:textId="77777777" w:rsidR="00885215" w:rsidRDefault="00885215" w:rsidP="00885215">
      <w:pPr>
        <w:jc w:val="center"/>
        <w:rPr>
          <w:rFonts w:ascii="Book Antiqua" w:hAnsi="Book Antiqua"/>
          <w:lang w:eastAsia="zh-CN"/>
        </w:rPr>
      </w:pPr>
    </w:p>
    <w:p w14:paraId="334AB6CD" w14:textId="77777777" w:rsidR="00885215" w:rsidRDefault="00885215" w:rsidP="00885215">
      <w:pPr>
        <w:jc w:val="center"/>
        <w:rPr>
          <w:rFonts w:ascii="Book Antiqua" w:hAnsi="Book Antiqua"/>
          <w:lang w:eastAsia="zh-CN"/>
        </w:rPr>
      </w:pPr>
    </w:p>
    <w:p w14:paraId="5453B1F6" w14:textId="77777777" w:rsidR="00885215" w:rsidRDefault="00885215" w:rsidP="00885215">
      <w:pPr>
        <w:jc w:val="center"/>
        <w:rPr>
          <w:rFonts w:ascii="Book Antiqua" w:hAnsi="Book Antiqua"/>
          <w:lang w:eastAsia="zh-CN"/>
        </w:rPr>
      </w:pPr>
    </w:p>
    <w:p w14:paraId="29DEFBE4" w14:textId="77777777" w:rsidR="00885215" w:rsidRPr="00763D22" w:rsidRDefault="00885215" w:rsidP="00885215">
      <w:pPr>
        <w:jc w:val="right"/>
        <w:rPr>
          <w:rFonts w:ascii="Book Antiqua" w:hAnsi="Book Antiqua"/>
          <w:color w:val="000000" w:themeColor="text1"/>
          <w:lang w:eastAsia="zh-CN"/>
        </w:rPr>
      </w:pPr>
    </w:p>
    <w:p w14:paraId="6A722547" w14:textId="77777777" w:rsidR="00885215" w:rsidRPr="00763D22" w:rsidRDefault="00885215" w:rsidP="0088521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5"/>
      <w:bookmarkEnd w:id="6"/>
    </w:p>
    <w:p w14:paraId="14184054" w14:textId="77777777" w:rsidR="00792615" w:rsidRPr="00AB5C83" w:rsidRDefault="00792615" w:rsidP="00567499">
      <w:pPr>
        <w:snapToGrid w:val="0"/>
        <w:spacing w:line="360" w:lineRule="auto"/>
        <w:jc w:val="both"/>
      </w:pPr>
      <w:bookmarkStart w:id="7" w:name="_GoBack"/>
      <w:bookmarkEnd w:id="7"/>
    </w:p>
    <w:sectPr w:rsidR="00792615" w:rsidRPr="00AB5C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B4630" w14:textId="77777777" w:rsidR="004E708A" w:rsidRDefault="004E708A" w:rsidP="00D628EA">
      <w:r>
        <w:separator/>
      </w:r>
    </w:p>
  </w:endnote>
  <w:endnote w:type="continuationSeparator" w:id="0">
    <w:p w14:paraId="18BF70AD" w14:textId="77777777" w:rsidR="004E708A" w:rsidRDefault="004E708A" w:rsidP="00D6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EA350" w14:textId="77777777" w:rsidR="009C1D09" w:rsidRPr="00D628EA" w:rsidRDefault="009C1D09" w:rsidP="00D628EA">
    <w:pPr>
      <w:pStyle w:val="a4"/>
      <w:jc w:val="right"/>
      <w:rPr>
        <w:rFonts w:ascii="Book Antiqua" w:eastAsia="BatangChe" w:hAnsi="Book Antiqua"/>
        <w:color w:val="000000" w:themeColor="text1"/>
        <w:sz w:val="24"/>
        <w:szCs w:val="24"/>
      </w:rPr>
    </w:pPr>
    <w:r w:rsidRPr="00D628EA">
      <w:rPr>
        <w:rFonts w:ascii="Book Antiqua" w:eastAsia="BatangChe" w:hAnsi="Book Antiqua"/>
        <w:color w:val="000000" w:themeColor="text1"/>
        <w:sz w:val="24"/>
        <w:szCs w:val="24"/>
        <w:lang w:val="zh-CN" w:eastAsia="zh-CN"/>
      </w:rPr>
      <w:t xml:space="preserve"> </w:t>
    </w:r>
    <w:r w:rsidRPr="00D628EA">
      <w:rPr>
        <w:rFonts w:ascii="Book Antiqua" w:eastAsia="BatangChe" w:hAnsi="Book Antiqua"/>
        <w:color w:val="000000" w:themeColor="text1"/>
        <w:sz w:val="24"/>
        <w:szCs w:val="24"/>
      </w:rPr>
      <w:fldChar w:fldCharType="begin"/>
    </w:r>
    <w:r w:rsidRPr="00D628EA">
      <w:rPr>
        <w:rFonts w:ascii="Book Antiqua" w:eastAsia="BatangChe" w:hAnsi="Book Antiqua"/>
        <w:color w:val="000000" w:themeColor="text1"/>
        <w:sz w:val="24"/>
        <w:szCs w:val="24"/>
      </w:rPr>
      <w:instrText>PAGE  \* Arabic  \* MERGEFORMAT</w:instrText>
    </w:r>
    <w:r w:rsidRPr="00D628EA">
      <w:rPr>
        <w:rFonts w:ascii="Book Antiqua" w:eastAsia="BatangChe" w:hAnsi="Book Antiqua"/>
        <w:color w:val="000000" w:themeColor="text1"/>
        <w:sz w:val="24"/>
        <w:szCs w:val="24"/>
      </w:rPr>
      <w:fldChar w:fldCharType="separate"/>
    </w:r>
    <w:r w:rsidR="004E708A" w:rsidRPr="004E708A">
      <w:rPr>
        <w:rFonts w:ascii="Book Antiqua" w:eastAsia="BatangChe" w:hAnsi="Book Antiqua"/>
        <w:noProof/>
        <w:color w:val="000000" w:themeColor="text1"/>
        <w:sz w:val="24"/>
        <w:szCs w:val="24"/>
        <w:lang w:val="zh-CN" w:eastAsia="zh-CN"/>
      </w:rPr>
      <w:t>1</w:t>
    </w:r>
    <w:r w:rsidRPr="00D628EA">
      <w:rPr>
        <w:rFonts w:ascii="Book Antiqua" w:eastAsia="BatangChe" w:hAnsi="Book Antiqua"/>
        <w:color w:val="000000" w:themeColor="text1"/>
        <w:sz w:val="24"/>
        <w:szCs w:val="24"/>
      </w:rPr>
      <w:fldChar w:fldCharType="end"/>
    </w:r>
    <w:r w:rsidRPr="00D628EA">
      <w:rPr>
        <w:rFonts w:ascii="Book Antiqua" w:eastAsia="BatangChe" w:hAnsi="Book Antiqua"/>
        <w:color w:val="000000" w:themeColor="text1"/>
        <w:sz w:val="24"/>
        <w:szCs w:val="24"/>
        <w:lang w:val="zh-CN" w:eastAsia="zh-CN"/>
      </w:rPr>
      <w:t xml:space="preserve"> / </w:t>
    </w:r>
    <w:r w:rsidRPr="00D628EA">
      <w:rPr>
        <w:rFonts w:ascii="Book Antiqua" w:eastAsia="BatangChe" w:hAnsi="Book Antiqua"/>
        <w:color w:val="000000" w:themeColor="text1"/>
        <w:sz w:val="24"/>
        <w:szCs w:val="24"/>
      </w:rPr>
      <w:fldChar w:fldCharType="begin"/>
    </w:r>
    <w:r w:rsidRPr="00D628EA">
      <w:rPr>
        <w:rFonts w:ascii="Book Antiqua" w:eastAsia="BatangChe" w:hAnsi="Book Antiqua"/>
        <w:color w:val="000000" w:themeColor="text1"/>
        <w:sz w:val="24"/>
        <w:szCs w:val="24"/>
      </w:rPr>
      <w:instrText>NUMPAGES  \* Arabic  \* MERGEFORMAT</w:instrText>
    </w:r>
    <w:r w:rsidRPr="00D628EA">
      <w:rPr>
        <w:rFonts w:ascii="Book Antiqua" w:eastAsia="BatangChe" w:hAnsi="Book Antiqua"/>
        <w:color w:val="000000" w:themeColor="text1"/>
        <w:sz w:val="24"/>
        <w:szCs w:val="24"/>
      </w:rPr>
      <w:fldChar w:fldCharType="separate"/>
    </w:r>
    <w:r w:rsidR="004E708A" w:rsidRPr="004E708A">
      <w:rPr>
        <w:rFonts w:ascii="Book Antiqua" w:eastAsia="BatangChe" w:hAnsi="Book Antiqua"/>
        <w:noProof/>
        <w:color w:val="000000" w:themeColor="text1"/>
        <w:sz w:val="24"/>
        <w:szCs w:val="24"/>
        <w:lang w:val="zh-CN" w:eastAsia="zh-CN"/>
      </w:rPr>
      <w:t>1</w:t>
    </w:r>
    <w:r w:rsidRPr="00D628EA">
      <w:rPr>
        <w:rFonts w:ascii="Book Antiqua" w:eastAsia="BatangChe" w:hAnsi="Book Antiqua"/>
        <w:color w:val="000000" w:themeColor="text1"/>
        <w:sz w:val="24"/>
        <w:szCs w:val="24"/>
      </w:rPr>
      <w:fldChar w:fldCharType="end"/>
    </w:r>
  </w:p>
  <w:p w14:paraId="114DC553" w14:textId="77777777" w:rsidR="009C1D09" w:rsidRPr="00D628EA" w:rsidRDefault="009C1D09" w:rsidP="00D628EA">
    <w:pPr>
      <w:pStyle w:val="a4"/>
      <w:jc w:val="right"/>
      <w:rPr>
        <w:rFonts w:ascii="Book Antiqua" w:eastAsia="BatangChe"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04F27" w14:textId="77777777" w:rsidR="004E708A" w:rsidRDefault="004E708A" w:rsidP="00D628EA">
      <w:r>
        <w:separator/>
      </w:r>
    </w:p>
  </w:footnote>
  <w:footnote w:type="continuationSeparator" w:id="0">
    <w:p w14:paraId="172F773C" w14:textId="77777777" w:rsidR="004E708A" w:rsidRDefault="004E708A" w:rsidP="00D628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C46"/>
    <w:rsid w:val="00027E3E"/>
    <w:rsid w:val="000329F4"/>
    <w:rsid w:val="000B269A"/>
    <w:rsid w:val="000E6CA8"/>
    <w:rsid w:val="00114C8F"/>
    <w:rsid w:val="00135365"/>
    <w:rsid w:val="001451D3"/>
    <w:rsid w:val="00165A5A"/>
    <w:rsid w:val="001D27AD"/>
    <w:rsid w:val="001E5BD9"/>
    <w:rsid w:val="002567C4"/>
    <w:rsid w:val="002572F9"/>
    <w:rsid w:val="002644C5"/>
    <w:rsid w:val="00281950"/>
    <w:rsid w:val="00296ED2"/>
    <w:rsid w:val="002A6CB3"/>
    <w:rsid w:val="002C22C8"/>
    <w:rsid w:val="002E1702"/>
    <w:rsid w:val="002E321C"/>
    <w:rsid w:val="002E4B1C"/>
    <w:rsid w:val="00302C96"/>
    <w:rsid w:val="00342406"/>
    <w:rsid w:val="00342E0B"/>
    <w:rsid w:val="00342EA8"/>
    <w:rsid w:val="00353074"/>
    <w:rsid w:val="00385791"/>
    <w:rsid w:val="003A6348"/>
    <w:rsid w:val="003B23CD"/>
    <w:rsid w:val="003E5E4E"/>
    <w:rsid w:val="004031F9"/>
    <w:rsid w:val="004218AB"/>
    <w:rsid w:val="00461F8F"/>
    <w:rsid w:val="004932ED"/>
    <w:rsid w:val="004B1744"/>
    <w:rsid w:val="004D341C"/>
    <w:rsid w:val="004D6065"/>
    <w:rsid w:val="004E708A"/>
    <w:rsid w:val="004F2577"/>
    <w:rsid w:val="00532E94"/>
    <w:rsid w:val="0054203C"/>
    <w:rsid w:val="00551F4B"/>
    <w:rsid w:val="00567499"/>
    <w:rsid w:val="005D1F60"/>
    <w:rsid w:val="005D6960"/>
    <w:rsid w:val="00675B98"/>
    <w:rsid w:val="006A7556"/>
    <w:rsid w:val="006E01FF"/>
    <w:rsid w:val="006F1AD4"/>
    <w:rsid w:val="006F3C78"/>
    <w:rsid w:val="00715379"/>
    <w:rsid w:val="0076690B"/>
    <w:rsid w:val="00792615"/>
    <w:rsid w:val="007C038C"/>
    <w:rsid w:val="007E1246"/>
    <w:rsid w:val="007E3EA8"/>
    <w:rsid w:val="00837CE5"/>
    <w:rsid w:val="00885215"/>
    <w:rsid w:val="0089024A"/>
    <w:rsid w:val="008945BB"/>
    <w:rsid w:val="008B1699"/>
    <w:rsid w:val="008D6C5B"/>
    <w:rsid w:val="008E100E"/>
    <w:rsid w:val="008E3BFF"/>
    <w:rsid w:val="00902BA6"/>
    <w:rsid w:val="00905AF3"/>
    <w:rsid w:val="00925FB5"/>
    <w:rsid w:val="00951409"/>
    <w:rsid w:val="009861A0"/>
    <w:rsid w:val="009A3D12"/>
    <w:rsid w:val="009C1D09"/>
    <w:rsid w:val="009D39A7"/>
    <w:rsid w:val="00A1115F"/>
    <w:rsid w:val="00A45291"/>
    <w:rsid w:val="00A77B3E"/>
    <w:rsid w:val="00AB5C83"/>
    <w:rsid w:val="00AC72ED"/>
    <w:rsid w:val="00B258D4"/>
    <w:rsid w:val="00B26DE0"/>
    <w:rsid w:val="00B27757"/>
    <w:rsid w:val="00B4108C"/>
    <w:rsid w:val="00B544C2"/>
    <w:rsid w:val="00B578FF"/>
    <w:rsid w:val="00B6725D"/>
    <w:rsid w:val="00BA542F"/>
    <w:rsid w:val="00BC514B"/>
    <w:rsid w:val="00BD3C0C"/>
    <w:rsid w:val="00BE13B0"/>
    <w:rsid w:val="00BE5000"/>
    <w:rsid w:val="00C06C6F"/>
    <w:rsid w:val="00C13EEC"/>
    <w:rsid w:val="00C21FF6"/>
    <w:rsid w:val="00C26309"/>
    <w:rsid w:val="00C50360"/>
    <w:rsid w:val="00C57554"/>
    <w:rsid w:val="00C836E7"/>
    <w:rsid w:val="00C84E8A"/>
    <w:rsid w:val="00CA2A55"/>
    <w:rsid w:val="00CB30FA"/>
    <w:rsid w:val="00CE083D"/>
    <w:rsid w:val="00CF62C6"/>
    <w:rsid w:val="00D306C6"/>
    <w:rsid w:val="00D447F5"/>
    <w:rsid w:val="00D465BC"/>
    <w:rsid w:val="00D50964"/>
    <w:rsid w:val="00D60419"/>
    <w:rsid w:val="00D60811"/>
    <w:rsid w:val="00D609DE"/>
    <w:rsid w:val="00D628EA"/>
    <w:rsid w:val="00D74B8C"/>
    <w:rsid w:val="00D975AA"/>
    <w:rsid w:val="00DB4536"/>
    <w:rsid w:val="00DB6641"/>
    <w:rsid w:val="00DC13A0"/>
    <w:rsid w:val="00DF707E"/>
    <w:rsid w:val="00E33F9F"/>
    <w:rsid w:val="00E51255"/>
    <w:rsid w:val="00E731B9"/>
    <w:rsid w:val="00E931EA"/>
    <w:rsid w:val="00EB00F8"/>
    <w:rsid w:val="00EB1315"/>
    <w:rsid w:val="00EB1C60"/>
    <w:rsid w:val="00ED1874"/>
    <w:rsid w:val="00EE4910"/>
    <w:rsid w:val="00EF5B49"/>
    <w:rsid w:val="00F04AA4"/>
    <w:rsid w:val="00F15DE3"/>
    <w:rsid w:val="00F360B0"/>
    <w:rsid w:val="00F40510"/>
    <w:rsid w:val="00F6524C"/>
    <w:rsid w:val="00FE0539"/>
    <w:rsid w:val="00FE05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DC7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628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628EA"/>
    <w:rPr>
      <w:sz w:val="18"/>
      <w:szCs w:val="18"/>
    </w:rPr>
  </w:style>
  <w:style w:type="paragraph" w:styleId="a4">
    <w:name w:val="footer"/>
    <w:basedOn w:val="a"/>
    <w:link w:val="Char0"/>
    <w:uiPriority w:val="99"/>
    <w:unhideWhenUsed/>
    <w:rsid w:val="00D628EA"/>
    <w:pPr>
      <w:tabs>
        <w:tab w:val="center" w:pos="4153"/>
        <w:tab w:val="right" w:pos="8306"/>
      </w:tabs>
      <w:snapToGrid w:val="0"/>
    </w:pPr>
    <w:rPr>
      <w:sz w:val="18"/>
      <w:szCs w:val="18"/>
    </w:rPr>
  </w:style>
  <w:style w:type="character" w:customStyle="1" w:styleId="Char0">
    <w:name w:val="页脚 Char"/>
    <w:basedOn w:val="a0"/>
    <w:link w:val="a4"/>
    <w:uiPriority w:val="99"/>
    <w:rsid w:val="00D628EA"/>
    <w:rPr>
      <w:sz w:val="18"/>
      <w:szCs w:val="18"/>
    </w:rPr>
  </w:style>
  <w:style w:type="character" w:styleId="a5">
    <w:name w:val="annotation reference"/>
    <w:basedOn w:val="a0"/>
    <w:semiHidden/>
    <w:unhideWhenUsed/>
    <w:rsid w:val="00BE13B0"/>
    <w:rPr>
      <w:sz w:val="21"/>
      <w:szCs w:val="21"/>
    </w:rPr>
  </w:style>
  <w:style w:type="paragraph" w:styleId="a6">
    <w:name w:val="annotation text"/>
    <w:basedOn w:val="a"/>
    <w:link w:val="Char1"/>
    <w:semiHidden/>
    <w:unhideWhenUsed/>
    <w:rsid w:val="00BE13B0"/>
  </w:style>
  <w:style w:type="character" w:customStyle="1" w:styleId="Char1">
    <w:name w:val="批注文字 Char"/>
    <w:basedOn w:val="a0"/>
    <w:link w:val="a6"/>
    <w:semiHidden/>
    <w:rsid w:val="00BE13B0"/>
    <w:rPr>
      <w:sz w:val="24"/>
      <w:szCs w:val="24"/>
    </w:rPr>
  </w:style>
  <w:style w:type="paragraph" w:styleId="a7">
    <w:name w:val="annotation subject"/>
    <w:basedOn w:val="a6"/>
    <w:next w:val="a6"/>
    <w:link w:val="Char2"/>
    <w:semiHidden/>
    <w:unhideWhenUsed/>
    <w:rsid w:val="00BE13B0"/>
    <w:rPr>
      <w:b/>
      <w:bCs/>
    </w:rPr>
  </w:style>
  <w:style w:type="character" w:customStyle="1" w:styleId="Char2">
    <w:name w:val="批注主题 Char"/>
    <w:basedOn w:val="Char1"/>
    <w:link w:val="a7"/>
    <w:semiHidden/>
    <w:rsid w:val="00BE13B0"/>
    <w:rPr>
      <w:b/>
      <w:bCs/>
      <w:sz w:val="24"/>
      <w:szCs w:val="24"/>
    </w:rPr>
  </w:style>
  <w:style w:type="character" w:styleId="a8">
    <w:name w:val="Hyperlink"/>
    <w:basedOn w:val="a0"/>
    <w:unhideWhenUsed/>
    <w:rsid w:val="004D341C"/>
    <w:rPr>
      <w:color w:val="0000FF" w:themeColor="hyperlink"/>
      <w:u w:val="single"/>
    </w:rPr>
  </w:style>
  <w:style w:type="paragraph" w:styleId="a9">
    <w:name w:val="Balloon Text"/>
    <w:basedOn w:val="a"/>
    <w:link w:val="Char3"/>
    <w:semiHidden/>
    <w:unhideWhenUsed/>
    <w:rsid w:val="00885215"/>
    <w:rPr>
      <w:sz w:val="18"/>
      <w:szCs w:val="18"/>
    </w:rPr>
  </w:style>
  <w:style w:type="character" w:customStyle="1" w:styleId="Char3">
    <w:name w:val="批注框文本 Char"/>
    <w:basedOn w:val="a0"/>
    <w:link w:val="a9"/>
    <w:semiHidden/>
    <w:rsid w:val="0088521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628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628EA"/>
    <w:rPr>
      <w:sz w:val="18"/>
      <w:szCs w:val="18"/>
    </w:rPr>
  </w:style>
  <w:style w:type="paragraph" w:styleId="a4">
    <w:name w:val="footer"/>
    <w:basedOn w:val="a"/>
    <w:link w:val="Char0"/>
    <w:uiPriority w:val="99"/>
    <w:unhideWhenUsed/>
    <w:rsid w:val="00D628EA"/>
    <w:pPr>
      <w:tabs>
        <w:tab w:val="center" w:pos="4153"/>
        <w:tab w:val="right" w:pos="8306"/>
      </w:tabs>
      <w:snapToGrid w:val="0"/>
    </w:pPr>
    <w:rPr>
      <w:sz w:val="18"/>
      <w:szCs w:val="18"/>
    </w:rPr>
  </w:style>
  <w:style w:type="character" w:customStyle="1" w:styleId="Char0">
    <w:name w:val="页脚 Char"/>
    <w:basedOn w:val="a0"/>
    <w:link w:val="a4"/>
    <w:uiPriority w:val="99"/>
    <w:rsid w:val="00D628EA"/>
    <w:rPr>
      <w:sz w:val="18"/>
      <w:szCs w:val="18"/>
    </w:rPr>
  </w:style>
  <w:style w:type="character" w:styleId="a5">
    <w:name w:val="annotation reference"/>
    <w:basedOn w:val="a0"/>
    <w:semiHidden/>
    <w:unhideWhenUsed/>
    <w:rsid w:val="00BE13B0"/>
    <w:rPr>
      <w:sz w:val="21"/>
      <w:szCs w:val="21"/>
    </w:rPr>
  </w:style>
  <w:style w:type="paragraph" w:styleId="a6">
    <w:name w:val="annotation text"/>
    <w:basedOn w:val="a"/>
    <w:link w:val="Char1"/>
    <w:semiHidden/>
    <w:unhideWhenUsed/>
    <w:rsid w:val="00BE13B0"/>
  </w:style>
  <w:style w:type="character" w:customStyle="1" w:styleId="Char1">
    <w:name w:val="批注文字 Char"/>
    <w:basedOn w:val="a0"/>
    <w:link w:val="a6"/>
    <w:semiHidden/>
    <w:rsid w:val="00BE13B0"/>
    <w:rPr>
      <w:sz w:val="24"/>
      <w:szCs w:val="24"/>
    </w:rPr>
  </w:style>
  <w:style w:type="paragraph" w:styleId="a7">
    <w:name w:val="annotation subject"/>
    <w:basedOn w:val="a6"/>
    <w:next w:val="a6"/>
    <w:link w:val="Char2"/>
    <w:semiHidden/>
    <w:unhideWhenUsed/>
    <w:rsid w:val="00BE13B0"/>
    <w:rPr>
      <w:b/>
      <w:bCs/>
    </w:rPr>
  </w:style>
  <w:style w:type="character" w:customStyle="1" w:styleId="Char2">
    <w:name w:val="批注主题 Char"/>
    <w:basedOn w:val="Char1"/>
    <w:link w:val="a7"/>
    <w:semiHidden/>
    <w:rsid w:val="00BE13B0"/>
    <w:rPr>
      <w:b/>
      <w:bCs/>
      <w:sz w:val="24"/>
      <w:szCs w:val="24"/>
    </w:rPr>
  </w:style>
  <w:style w:type="character" w:styleId="a8">
    <w:name w:val="Hyperlink"/>
    <w:basedOn w:val="a0"/>
    <w:unhideWhenUsed/>
    <w:rsid w:val="004D341C"/>
    <w:rPr>
      <w:color w:val="0000FF" w:themeColor="hyperlink"/>
      <w:u w:val="single"/>
    </w:rPr>
  </w:style>
  <w:style w:type="paragraph" w:styleId="a9">
    <w:name w:val="Balloon Text"/>
    <w:basedOn w:val="a"/>
    <w:link w:val="Char3"/>
    <w:semiHidden/>
    <w:unhideWhenUsed/>
    <w:rsid w:val="00885215"/>
    <w:rPr>
      <w:sz w:val="18"/>
      <w:szCs w:val="18"/>
    </w:rPr>
  </w:style>
  <w:style w:type="character" w:customStyle="1" w:styleId="Char3">
    <w:name w:val="批注框文本 Char"/>
    <w:basedOn w:val="a0"/>
    <w:link w:val="a9"/>
    <w:semiHidden/>
    <w:rsid w:val="0088521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46</Pages>
  <Words>8218</Words>
  <Characters>46846</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Tengfei Yin</dc:creator>
  <cp:lastModifiedBy>liujihong2008@qq.con</cp:lastModifiedBy>
  <cp:revision>4</cp:revision>
  <dcterms:created xsi:type="dcterms:W3CDTF">2021-05-31T05:58:00Z</dcterms:created>
  <dcterms:modified xsi:type="dcterms:W3CDTF">2021-06-08T07:19:00Z</dcterms:modified>
</cp:coreProperties>
</file>