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845330" w14:textId="77777777" w:rsidR="00A5277B" w:rsidRDefault="004B050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5783A84" w14:textId="77777777" w:rsidR="00A5277B" w:rsidRDefault="004B050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61612</w:t>
      </w:r>
    </w:p>
    <w:p w14:paraId="2069D13E" w14:textId="77777777" w:rsidR="00A5277B" w:rsidRDefault="004B050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68CF199" w14:textId="77777777" w:rsidR="00A5277B" w:rsidRDefault="00A5277B">
      <w:pPr>
        <w:spacing w:line="360" w:lineRule="auto"/>
        <w:jc w:val="both"/>
      </w:pPr>
    </w:p>
    <w:p w14:paraId="381D254B" w14:textId="77777777" w:rsidR="00A5277B" w:rsidRPr="004028F9" w:rsidRDefault="004028F9">
      <w:pPr>
        <w:spacing w:line="360" w:lineRule="auto"/>
        <w:jc w:val="both"/>
        <w:rPr>
          <w:rFonts w:eastAsia="宋体"/>
          <w:lang w:eastAsia="zh-CN"/>
        </w:rPr>
      </w:pPr>
      <w:bookmarkStart w:id="0" w:name="OLE_LINK7"/>
      <w:bookmarkStart w:id="1" w:name="OLE_LINK8"/>
      <w:bookmarkStart w:id="2" w:name="OLE_LINK16"/>
      <w:bookmarkStart w:id="3" w:name="OLE_LINK17"/>
      <w:r>
        <w:rPr>
          <w:rFonts w:ascii="Book Antiqua" w:eastAsia="宋体" w:hAnsi="Book Antiqua" w:cs="Book Antiqua" w:hint="eastAsia"/>
          <w:b/>
          <w:color w:val="000000"/>
          <w:lang w:eastAsia="zh-CN"/>
        </w:rPr>
        <w:t>S</w:t>
      </w:r>
      <w:r w:rsidR="004B0509">
        <w:rPr>
          <w:rFonts w:ascii="Book Antiqua" w:eastAsia="Book Antiqua" w:hAnsi="Book Antiqua" w:cs="Book Antiqua"/>
          <w:b/>
          <w:color w:val="000000"/>
        </w:rPr>
        <w:t>mall bowel ulcer bleeding due to suspected clopidogrel use in a patient with clopidogrel resistance</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 xml:space="preserve">A case </w:t>
      </w:r>
      <w:r>
        <w:rPr>
          <w:rFonts w:ascii="Book Antiqua" w:eastAsia="宋体" w:hAnsi="Book Antiqua" w:cs="Book Antiqua" w:hint="eastAsia"/>
          <w:b/>
          <w:color w:val="000000"/>
          <w:lang w:eastAsia="zh-CN"/>
        </w:rPr>
        <w:t>report</w:t>
      </w:r>
    </w:p>
    <w:bookmarkEnd w:id="0"/>
    <w:bookmarkEnd w:id="1"/>
    <w:bookmarkEnd w:id="2"/>
    <w:bookmarkEnd w:id="3"/>
    <w:p w14:paraId="512C7640" w14:textId="77777777" w:rsidR="00A5277B" w:rsidRDefault="00A5277B">
      <w:pPr>
        <w:spacing w:line="360" w:lineRule="auto"/>
        <w:jc w:val="both"/>
      </w:pPr>
    </w:p>
    <w:p w14:paraId="31C16472" w14:textId="77777777" w:rsidR="00A5277B" w:rsidRDefault="004028F9">
      <w:pPr>
        <w:spacing w:line="360" w:lineRule="auto"/>
        <w:jc w:val="both"/>
      </w:pPr>
      <w:r>
        <w:rPr>
          <w:rFonts w:ascii="Book Antiqua" w:eastAsia="Book Antiqua" w:hAnsi="Book Antiqua" w:cs="Book Antiqua"/>
          <w:color w:val="000000"/>
        </w:rPr>
        <w:t xml:space="preserve">Lee </w:t>
      </w:r>
      <w:r>
        <w:rPr>
          <w:rFonts w:ascii="Book Antiqua" w:eastAsia="宋体" w:hAnsi="Book Antiqua" w:cs="Book Antiqua" w:hint="eastAsia"/>
          <w:color w:val="000000"/>
          <w:lang w:eastAsia="zh-CN"/>
        </w:rPr>
        <w:t xml:space="preserve">SH </w:t>
      </w:r>
      <w:r w:rsidRPr="004028F9">
        <w:rPr>
          <w:rFonts w:ascii="Book Antiqua" w:eastAsia="宋体" w:hAnsi="Book Antiqua" w:cs="Book Antiqua" w:hint="eastAsia"/>
          <w:i/>
          <w:color w:val="000000"/>
          <w:lang w:eastAsia="zh-CN"/>
        </w:rPr>
        <w:t>et al</w:t>
      </w:r>
      <w:r>
        <w:rPr>
          <w:rFonts w:ascii="Book Antiqua" w:eastAsia="宋体" w:hAnsi="Book Antiqua" w:cs="Book Antiqua" w:hint="eastAsia"/>
          <w:color w:val="000000"/>
          <w:lang w:eastAsia="zh-CN"/>
        </w:rPr>
        <w:t xml:space="preserve">. </w:t>
      </w:r>
      <w:r w:rsidR="004B0509">
        <w:rPr>
          <w:rFonts w:ascii="Book Antiqua" w:eastAsia="Book Antiqua" w:hAnsi="Book Antiqua" w:cs="Book Antiqua"/>
          <w:color w:val="000000"/>
        </w:rPr>
        <w:t>Clopidogrel resistance presenting with hematochezia</w:t>
      </w:r>
    </w:p>
    <w:p w14:paraId="6337322B" w14:textId="77777777" w:rsidR="00A5277B" w:rsidRDefault="00A5277B">
      <w:pPr>
        <w:spacing w:line="360" w:lineRule="auto"/>
        <w:jc w:val="both"/>
      </w:pPr>
    </w:p>
    <w:p w14:paraId="578C83C5" w14:textId="77777777" w:rsidR="00A5277B" w:rsidRDefault="004B0509">
      <w:pPr>
        <w:spacing w:line="360" w:lineRule="auto"/>
        <w:jc w:val="both"/>
      </w:pPr>
      <w:r>
        <w:rPr>
          <w:rFonts w:ascii="Book Antiqua" w:eastAsia="Book Antiqua" w:hAnsi="Book Antiqua" w:cs="Book Antiqua"/>
          <w:color w:val="000000"/>
        </w:rPr>
        <w:t xml:space="preserve">Sang Hoon </w:t>
      </w:r>
      <w:bookmarkStart w:id="4" w:name="OLE_LINK1"/>
      <w:bookmarkStart w:id="5" w:name="OLE_LINK2"/>
      <w:r>
        <w:rPr>
          <w:rFonts w:ascii="Book Antiqua" w:eastAsia="Book Antiqua" w:hAnsi="Book Antiqua" w:cs="Book Antiqua"/>
          <w:color w:val="000000"/>
        </w:rPr>
        <w:t>Lee</w:t>
      </w:r>
      <w:bookmarkEnd w:id="4"/>
      <w:bookmarkEnd w:id="5"/>
      <w:r>
        <w:rPr>
          <w:rFonts w:ascii="Book Antiqua" w:eastAsia="Book Antiqua" w:hAnsi="Book Antiqua" w:cs="Book Antiqua"/>
          <w:color w:val="000000"/>
        </w:rPr>
        <w:t xml:space="preserve">, Dong Ryeol Ryu, Sung </w:t>
      </w:r>
      <w:r w:rsidR="00834E28">
        <w:rPr>
          <w:rFonts w:ascii="Book Antiqua" w:eastAsia="Book Antiqua" w:hAnsi="Book Antiqua" w:cs="Book Antiqua"/>
          <w:color w:val="000000"/>
        </w:rPr>
        <w:t>Joon Lee, Sung Chul Park, Byung</w:t>
      </w:r>
      <w:r w:rsidR="00834E28">
        <w:rPr>
          <w:rFonts w:ascii="Book Antiqua" w:eastAsia="宋体" w:hAnsi="Book Antiqua" w:cs="Book Antiqua" w:hint="eastAsia"/>
          <w:color w:val="000000"/>
          <w:lang w:eastAsia="zh-CN"/>
        </w:rPr>
        <w:t xml:space="preserve"> </w:t>
      </w:r>
      <w:r w:rsidR="00834E28">
        <w:rPr>
          <w:rFonts w:ascii="Book Antiqua" w:eastAsia="Book Antiqua" w:hAnsi="Book Antiqua" w:cs="Book Antiqua"/>
          <w:color w:val="000000"/>
        </w:rPr>
        <w:t>Ryul Cho, Seung</w:t>
      </w:r>
      <w:r w:rsidR="00834E28">
        <w:rPr>
          <w:rFonts w:ascii="Book Antiqua" w:eastAsia="宋体" w:hAnsi="Book Antiqua" w:cs="Book Antiqua" w:hint="eastAsia"/>
          <w:color w:val="000000"/>
          <w:lang w:eastAsia="zh-CN"/>
        </w:rPr>
        <w:t xml:space="preserve"> K</w:t>
      </w:r>
      <w:r w:rsidR="00834E28">
        <w:rPr>
          <w:rFonts w:ascii="Book Antiqua" w:eastAsia="Book Antiqua" w:hAnsi="Book Antiqua" w:cs="Book Antiqua"/>
          <w:color w:val="000000"/>
        </w:rPr>
        <w:t>oo Lee, Sang</w:t>
      </w:r>
      <w:r w:rsidR="00834E28">
        <w:rPr>
          <w:rFonts w:ascii="Book Antiqua" w:eastAsia="宋体" w:hAnsi="Book Antiqua" w:cs="Book Antiqua" w:hint="eastAsia"/>
          <w:color w:val="000000"/>
          <w:lang w:eastAsia="zh-CN"/>
        </w:rPr>
        <w:t xml:space="preserve"> J</w:t>
      </w:r>
      <w:r w:rsidR="00834E28">
        <w:rPr>
          <w:rFonts w:ascii="Book Antiqua" w:eastAsia="Book Antiqua" w:hAnsi="Book Antiqua" w:cs="Book Antiqua"/>
          <w:color w:val="000000"/>
        </w:rPr>
        <w:t>i Choi, Hyun</w:t>
      </w:r>
      <w:r w:rsidR="00834E28">
        <w:rPr>
          <w:rFonts w:ascii="Book Antiqua" w:eastAsia="宋体" w:hAnsi="Book Antiqua" w:cs="Book Antiqua" w:hint="eastAsia"/>
          <w:color w:val="000000"/>
          <w:lang w:eastAsia="zh-CN"/>
        </w:rPr>
        <w:t xml:space="preserve"> S</w:t>
      </w:r>
      <w:r>
        <w:rPr>
          <w:rFonts w:ascii="Book Antiqua" w:eastAsia="Book Antiqua" w:hAnsi="Book Antiqua" w:cs="Book Antiqua"/>
          <w:color w:val="000000"/>
        </w:rPr>
        <w:t>eok Cho</w:t>
      </w:r>
    </w:p>
    <w:p w14:paraId="44A808D6" w14:textId="77777777" w:rsidR="00A5277B" w:rsidRDefault="00A5277B">
      <w:pPr>
        <w:spacing w:line="360" w:lineRule="auto"/>
        <w:jc w:val="both"/>
      </w:pPr>
    </w:p>
    <w:p w14:paraId="469A5EFE" w14:textId="77777777" w:rsidR="006D32CC" w:rsidRDefault="006D32CC" w:rsidP="006D32CC">
      <w:pPr>
        <w:spacing w:line="360" w:lineRule="auto"/>
        <w:jc w:val="both"/>
      </w:pPr>
      <w:r>
        <w:rPr>
          <w:rFonts w:ascii="Book Antiqua" w:eastAsia="Book Antiqua" w:hAnsi="Book Antiqua" w:cs="Book Antiqua"/>
          <w:b/>
          <w:bCs/>
          <w:color w:val="000000"/>
        </w:rPr>
        <w:t xml:space="preserve">Sang Hoon Lee, Sung Joon Lee, Sung Chul Park, </w:t>
      </w:r>
      <w:r w:rsidRPr="00731EBC">
        <w:rPr>
          <w:rFonts w:ascii="Book Antiqua" w:eastAsia="Book Antiqua" w:hAnsi="Book Antiqua" w:cs="Book Antiqua"/>
          <w:color w:val="000000"/>
        </w:rPr>
        <w:t>Division of Gastroenterology, Department of Internal Medicine, Kangwon National University Hospital, Kangwon National University School of Medicine</w:t>
      </w:r>
      <w:r>
        <w:rPr>
          <w:rFonts w:ascii="Book Antiqua" w:eastAsia="Book Antiqua" w:hAnsi="Book Antiqua" w:cs="Book Antiqua"/>
          <w:color w:val="000000"/>
        </w:rPr>
        <w:t>, Chuncheon-si 24289, South Korea</w:t>
      </w:r>
    </w:p>
    <w:p w14:paraId="2B3B1150" w14:textId="77777777" w:rsidR="006D32CC" w:rsidRDefault="006D32CC" w:rsidP="006D32CC">
      <w:pPr>
        <w:spacing w:line="360" w:lineRule="auto"/>
        <w:jc w:val="both"/>
      </w:pPr>
    </w:p>
    <w:p w14:paraId="1413F824" w14:textId="77777777" w:rsidR="006D32CC" w:rsidRDefault="006D32CC" w:rsidP="006D32CC">
      <w:pPr>
        <w:spacing w:line="360" w:lineRule="auto"/>
        <w:jc w:val="both"/>
      </w:pPr>
      <w:r w:rsidRPr="00731EBC">
        <w:rPr>
          <w:rFonts w:ascii="Book Antiqua" w:eastAsia="Book Antiqua" w:hAnsi="Book Antiqua" w:cs="Book Antiqua"/>
          <w:b/>
          <w:bCs/>
          <w:color w:val="000000"/>
        </w:rPr>
        <w:t xml:space="preserve">Dong Ryeol Ryu, </w:t>
      </w:r>
      <w:r>
        <w:rPr>
          <w:rFonts w:ascii="Book Antiqua" w:eastAsia="Book Antiqua" w:hAnsi="Book Antiqua" w:cs="Book Antiqua"/>
          <w:b/>
          <w:bCs/>
          <w:color w:val="000000"/>
        </w:rPr>
        <w:t>Byung</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Ryul Cho, </w:t>
      </w:r>
      <w:r w:rsidRPr="00731EBC">
        <w:rPr>
          <w:rFonts w:ascii="Book Antiqua" w:eastAsia="Book Antiqua" w:hAnsi="Book Antiqua" w:cs="Book Antiqua"/>
          <w:color w:val="000000"/>
        </w:rPr>
        <w:t>Division of Cardiology, Department of Internal Medicine, Kangwon National University Hospital, Kangwon National University School of Medicine</w:t>
      </w:r>
      <w:r>
        <w:rPr>
          <w:rFonts w:ascii="Book Antiqua" w:eastAsia="Book Antiqua" w:hAnsi="Book Antiqua" w:cs="Book Antiqua"/>
          <w:color w:val="000000"/>
        </w:rPr>
        <w:t>, Chuncheon-si 24289, South Korea</w:t>
      </w:r>
    </w:p>
    <w:p w14:paraId="5D233AE4" w14:textId="77777777" w:rsidR="006D32CC" w:rsidRDefault="006D32CC" w:rsidP="006D32CC">
      <w:pPr>
        <w:spacing w:line="360" w:lineRule="auto"/>
        <w:jc w:val="both"/>
      </w:pPr>
    </w:p>
    <w:p w14:paraId="2B97376A" w14:textId="77777777" w:rsidR="006D32CC" w:rsidRDefault="006D32CC" w:rsidP="006D32CC">
      <w:pPr>
        <w:spacing w:line="360" w:lineRule="auto"/>
        <w:jc w:val="both"/>
      </w:pPr>
      <w:r>
        <w:rPr>
          <w:rFonts w:ascii="Book Antiqua" w:eastAsia="Book Antiqua" w:hAnsi="Book Antiqua" w:cs="Book Antiqua"/>
          <w:b/>
          <w:bCs/>
          <w:color w:val="000000"/>
        </w:rPr>
        <w:t>Seung</w:t>
      </w:r>
      <w:r>
        <w:rPr>
          <w:rFonts w:ascii="Book Antiqua" w:eastAsia="宋体" w:hAnsi="Book Antiqua" w:cs="Book Antiqua" w:hint="eastAsia"/>
          <w:b/>
          <w:bCs/>
          <w:color w:val="000000"/>
          <w:lang w:eastAsia="zh-CN"/>
        </w:rPr>
        <w:t xml:space="preserve"> K</w:t>
      </w:r>
      <w:r>
        <w:rPr>
          <w:rFonts w:ascii="Book Antiqua" w:eastAsia="Book Antiqua" w:hAnsi="Book Antiqua" w:cs="Book Antiqua"/>
          <w:b/>
          <w:bCs/>
          <w:color w:val="000000"/>
        </w:rPr>
        <w:t xml:space="preserve">oo Lee, </w:t>
      </w:r>
      <w:r>
        <w:rPr>
          <w:rFonts w:ascii="Book Antiqua" w:eastAsia="Book Antiqua" w:hAnsi="Book Antiqua" w:cs="Book Antiqua"/>
          <w:color w:val="000000"/>
        </w:rPr>
        <w:t>Department of Anatomic Pathology, Kangwon National University Hospital, Kangwon National University</w:t>
      </w:r>
      <w:r>
        <w:rPr>
          <w:rFonts w:ascii="Book Antiqua" w:hAnsi="Book Antiqua" w:cs="Book Antiqua" w:hint="eastAsia"/>
          <w:color w:val="000000"/>
          <w:lang w:eastAsia="ko-KR"/>
        </w:rPr>
        <w:t xml:space="preserve"> </w:t>
      </w:r>
      <w:r w:rsidRPr="00327DCB">
        <w:rPr>
          <w:rFonts w:ascii="Book Antiqua" w:hAnsi="Book Antiqua" w:cs="Book Antiqua"/>
          <w:color w:val="000000"/>
          <w:lang w:eastAsia="ko-KR"/>
        </w:rPr>
        <w:t>School of Medicine</w:t>
      </w:r>
      <w:r>
        <w:rPr>
          <w:rFonts w:ascii="Book Antiqua" w:eastAsia="Book Antiqua" w:hAnsi="Book Antiqua" w:cs="Book Antiqua"/>
          <w:color w:val="000000"/>
        </w:rPr>
        <w:t>, Chuncheon-si 24289, South Korea</w:t>
      </w:r>
    </w:p>
    <w:p w14:paraId="63359747" w14:textId="77777777" w:rsidR="006D32CC" w:rsidRDefault="006D32CC" w:rsidP="006D32CC">
      <w:pPr>
        <w:spacing w:line="360" w:lineRule="auto"/>
        <w:jc w:val="both"/>
      </w:pPr>
    </w:p>
    <w:p w14:paraId="19F95A5C" w14:textId="77777777" w:rsidR="006D32CC" w:rsidRDefault="006D32CC" w:rsidP="006D32CC">
      <w:pPr>
        <w:spacing w:line="360" w:lineRule="auto"/>
        <w:jc w:val="both"/>
      </w:pPr>
      <w:r>
        <w:rPr>
          <w:rFonts w:ascii="Book Antiqua" w:eastAsia="Book Antiqua" w:hAnsi="Book Antiqua" w:cs="Book Antiqua"/>
          <w:b/>
          <w:bCs/>
          <w:color w:val="000000"/>
        </w:rPr>
        <w:t>Sang</w:t>
      </w:r>
      <w:r>
        <w:rPr>
          <w:rFonts w:ascii="Book Antiqua" w:eastAsia="宋体" w:hAnsi="Book Antiqua" w:cs="Book Antiqua" w:hint="eastAsia"/>
          <w:b/>
          <w:bCs/>
          <w:color w:val="000000"/>
          <w:lang w:eastAsia="zh-CN"/>
        </w:rPr>
        <w:t xml:space="preserve"> J</w:t>
      </w:r>
      <w:r>
        <w:rPr>
          <w:rFonts w:ascii="Book Antiqua" w:eastAsia="Book Antiqua" w:hAnsi="Book Antiqua" w:cs="Book Antiqua"/>
          <w:b/>
          <w:bCs/>
          <w:color w:val="000000"/>
        </w:rPr>
        <w:t xml:space="preserve">i Choi, </w:t>
      </w:r>
      <w:r>
        <w:rPr>
          <w:rFonts w:ascii="Book Antiqua" w:eastAsia="Book Antiqua" w:hAnsi="Book Antiqua" w:cs="Book Antiqua"/>
          <w:color w:val="000000"/>
        </w:rPr>
        <w:t xml:space="preserve">Department of Surgery, Kangwon National University Hospital, </w:t>
      </w:r>
      <w:r w:rsidRPr="00731EBC">
        <w:rPr>
          <w:rFonts w:ascii="Book Antiqua" w:eastAsia="Book Antiqua" w:hAnsi="Book Antiqua" w:cs="Book Antiqua"/>
          <w:color w:val="000000"/>
        </w:rPr>
        <w:t>Kangwon National University School of Medicine,</w:t>
      </w:r>
      <w:r>
        <w:rPr>
          <w:rFonts w:ascii="Book Antiqua" w:hAnsi="Book Antiqua" w:cs="Book Antiqua" w:hint="eastAsia"/>
          <w:color w:val="000000"/>
          <w:lang w:eastAsia="ko-KR"/>
        </w:rPr>
        <w:t xml:space="preserve"> </w:t>
      </w:r>
      <w:r>
        <w:rPr>
          <w:rFonts w:ascii="Book Antiqua" w:eastAsia="Book Antiqua" w:hAnsi="Book Antiqua" w:cs="Book Antiqua"/>
          <w:color w:val="000000"/>
        </w:rPr>
        <w:t>Chuncheon-si 24289, South Korea</w:t>
      </w:r>
    </w:p>
    <w:p w14:paraId="0E0C2D8D" w14:textId="77777777" w:rsidR="006D32CC" w:rsidRDefault="006D32CC" w:rsidP="006D32CC">
      <w:pPr>
        <w:spacing w:line="360" w:lineRule="auto"/>
        <w:jc w:val="both"/>
      </w:pPr>
    </w:p>
    <w:p w14:paraId="043C418F" w14:textId="77777777" w:rsidR="006D32CC" w:rsidRDefault="006D32CC" w:rsidP="006D32CC">
      <w:pPr>
        <w:spacing w:line="360" w:lineRule="auto"/>
        <w:jc w:val="both"/>
      </w:pPr>
      <w:r>
        <w:rPr>
          <w:rFonts w:ascii="Book Antiqua" w:eastAsia="Book Antiqua" w:hAnsi="Book Antiqua" w:cs="Book Antiqua"/>
          <w:b/>
          <w:bCs/>
          <w:color w:val="000000"/>
        </w:rPr>
        <w:t>Hyun</w:t>
      </w:r>
      <w:r>
        <w:rPr>
          <w:rFonts w:ascii="Book Antiqua" w:eastAsia="宋体" w:hAnsi="Book Antiqua" w:cs="Book Antiqua" w:hint="eastAsia"/>
          <w:b/>
          <w:bCs/>
          <w:color w:val="000000"/>
          <w:lang w:eastAsia="zh-CN"/>
        </w:rPr>
        <w:t xml:space="preserve"> S</w:t>
      </w:r>
      <w:r>
        <w:rPr>
          <w:rFonts w:ascii="Book Antiqua" w:eastAsia="Book Antiqua" w:hAnsi="Book Antiqua" w:cs="Book Antiqua"/>
          <w:b/>
          <w:bCs/>
          <w:color w:val="000000"/>
        </w:rPr>
        <w:t xml:space="preserve">eok Cho, </w:t>
      </w:r>
      <w:r>
        <w:rPr>
          <w:rFonts w:ascii="Book Antiqua" w:eastAsia="Book Antiqua" w:hAnsi="Book Antiqua" w:cs="Book Antiqua"/>
          <w:color w:val="000000"/>
        </w:rPr>
        <w:t>Department of Hospital Medicine, Kangwon National University Hospital , Chuncheon-si 24289, South Korea</w:t>
      </w:r>
    </w:p>
    <w:p w14:paraId="16ABBB6E" w14:textId="77777777" w:rsidR="006D32CC" w:rsidRDefault="006D32CC" w:rsidP="006D32CC">
      <w:pPr>
        <w:spacing w:line="360" w:lineRule="auto"/>
        <w:jc w:val="both"/>
      </w:pPr>
    </w:p>
    <w:p w14:paraId="55423271" w14:textId="77777777" w:rsidR="006D32CC" w:rsidRDefault="006D32CC" w:rsidP="006D32CC">
      <w:pPr>
        <w:spacing w:line="360" w:lineRule="auto"/>
        <w:jc w:val="both"/>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Lee SH and Cho HS was the patient’s doctor; Lee SH performed endoscopy and capsule endoscopy; Choi SJ performed the surgery; Lee SH and Ryu DR reviewed the literature and contributed to manuscript drafting; Park SC, Lee SJ and Cho BR reviewed images and contributed to manuscript drafting; Lee SK performed histological analysis.</w:t>
      </w:r>
    </w:p>
    <w:p w14:paraId="6795FDD4" w14:textId="77777777" w:rsidR="006D32CC" w:rsidRDefault="006D32CC" w:rsidP="006D32CC">
      <w:pPr>
        <w:spacing w:line="360" w:lineRule="auto"/>
        <w:jc w:val="both"/>
      </w:pPr>
    </w:p>
    <w:p w14:paraId="0037939F" w14:textId="77777777" w:rsidR="006D32CC" w:rsidRDefault="006D32CC" w:rsidP="006D32CC">
      <w:pPr>
        <w:spacing w:line="360" w:lineRule="auto"/>
        <w:jc w:val="both"/>
      </w:pPr>
      <w:r>
        <w:rPr>
          <w:rFonts w:ascii="Book Antiqua" w:eastAsia="Book Antiqua" w:hAnsi="Book Antiqua" w:cs="Book Antiqua"/>
          <w:b/>
          <w:bCs/>
          <w:color w:val="000000"/>
        </w:rPr>
        <w:t xml:space="preserve">Corresponding author: Dong Ryeol Ryu, MD, PhD, Professor, </w:t>
      </w:r>
      <w:r w:rsidRPr="00731EBC">
        <w:rPr>
          <w:rFonts w:ascii="Book Antiqua" w:eastAsia="Book Antiqua" w:hAnsi="Book Antiqua" w:cs="Book Antiqua"/>
          <w:color w:val="000000"/>
        </w:rPr>
        <w:t>Division of Cardiology, Department of Internal Medicine, Kangwon National University Hospital, Kangwon National University School of Medicine</w:t>
      </w:r>
      <w:r>
        <w:rPr>
          <w:rFonts w:ascii="Book Antiqua" w:eastAsia="Book Antiqua" w:hAnsi="Book Antiqua" w:cs="Book Antiqua"/>
          <w:color w:val="000000"/>
        </w:rPr>
        <w:t>, Baengnyeong-ro 156, Chuncheon-si 24289, South Korea. rdr0203@hanmail.net</w:t>
      </w:r>
    </w:p>
    <w:p w14:paraId="171D212D" w14:textId="77777777" w:rsidR="00A5277B" w:rsidRDefault="00A5277B">
      <w:pPr>
        <w:spacing w:line="360" w:lineRule="auto"/>
        <w:jc w:val="both"/>
      </w:pPr>
    </w:p>
    <w:p w14:paraId="538E7052" w14:textId="77777777" w:rsidR="00A5277B" w:rsidRDefault="004B050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21, 2020</w:t>
      </w:r>
    </w:p>
    <w:p w14:paraId="1A77E3BE" w14:textId="77777777" w:rsidR="00A5277B" w:rsidRPr="004A602E" w:rsidRDefault="004B0509">
      <w:pPr>
        <w:spacing w:line="360" w:lineRule="auto"/>
        <w:jc w:val="both"/>
        <w:rPr>
          <w:rFonts w:eastAsia="宋体"/>
          <w:lang w:eastAsia="zh-CN"/>
        </w:rPr>
      </w:pPr>
      <w:r>
        <w:rPr>
          <w:rFonts w:ascii="Book Antiqua" w:eastAsia="Book Antiqua" w:hAnsi="Book Antiqua" w:cs="Book Antiqua"/>
          <w:b/>
          <w:bCs/>
          <w:color w:val="000000"/>
        </w:rPr>
        <w:t xml:space="preserve">Revised: </w:t>
      </w:r>
      <w:r w:rsidR="004A602E" w:rsidRPr="004A602E">
        <w:rPr>
          <w:rFonts w:ascii="Book Antiqua" w:eastAsia="宋体" w:hAnsi="Book Antiqua" w:cs="Book Antiqua" w:hint="eastAsia"/>
          <w:bCs/>
          <w:color w:val="000000"/>
          <w:lang w:eastAsia="zh-CN"/>
        </w:rPr>
        <w:t>March 10, 2021</w:t>
      </w:r>
    </w:p>
    <w:p w14:paraId="04689D5C" w14:textId="2AAB02F7" w:rsidR="00A5277B" w:rsidRDefault="004B0509">
      <w:pPr>
        <w:spacing w:line="360" w:lineRule="auto"/>
        <w:jc w:val="both"/>
      </w:pPr>
      <w:r>
        <w:rPr>
          <w:rFonts w:ascii="Book Antiqua" w:eastAsia="Book Antiqua" w:hAnsi="Book Antiqua" w:cs="Book Antiqua"/>
          <w:b/>
          <w:bCs/>
          <w:color w:val="000000"/>
        </w:rPr>
        <w:t xml:space="preserve">Accepted: </w:t>
      </w:r>
      <w:r w:rsidR="00E53F45" w:rsidRPr="00E53F45">
        <w:rPr>
          <w:rFonts w:ascii="Book Antiqua" w:eastAsia="Book Antiqua" w:hAnsi="Book Antiqua" w:cs="Book Antiqua"/>
          <w:color w:val="000000"/>
        </w:rPr>
        <w:t>March 25, 2021</w:t>
      </w:r>
    </w:p>
    <w:p w14:paraId="51BB0D0F" w14:textId="567F3331" w:rsidR="00E87673" w:rsidRDefault="004B0509" w:rsidP="00E8767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Published online: </w:t>
      </w:r>
      <w:r w:rsidR="00E87673" w:rsidRPr="009B182C">
        <w:rPr>
          <w:rFonts w:ascii="Book Antiqua" w:eastAsia="Book Antiqua" w:hAnsi="Book Antiqua" w:cs="Book Antiqua"/>
          <w:color w:val="000000"/>
        </w:rPr>
        <w:t>May 26, 2021</w:t>
      </w:r>
    </w:p>
    <w:p w14:paraId="68DBC719" w14:textId="5272044A" w:rsidR="00E87673" w:rsidRDefault="00E87673" w:rsidP="00E87673">
      <w:pPr>
        <w:spacing w:line="360" w:lineRule="auto"/>
        <w:jc w:val="both"/>
        <w:rPr>
          <w:rFonts w:ascii="Book Antiqua" w:eastAsia="Book Antiqua" w:hAnsi="Book Antiqua" w:cs="Book Antiqua"/>
          <w:color w:val="000000"/>
        </w:rPr>
      </w:pPr>
    </w:p>
    <w:p w14:paraId="6002BC79" w14:textId="77777777" w:rsidR="00A5277B" w:rsidRDefault="004B0509">
      <w:pPr>
        <w:spacing w:line="360" w:lineRule="auto"/>
        <w:jc w:val="both"/>
      </w:pPr>
      <w:r>
        <w:rPr>
          <w:rFonts w:ascii="Book Antiqua" w:eastAsia="Book Antiqua" w:hAnsi="Book Antiqua" w:cs="Book Antiqua"/>
          <w:b/>
          <w:color w:val="000000"/>
        </w:rPr>
        <w:t>Abstract</w:t>
      </w:r>
    </w:p>
    <w:p w14:paraId="64054DF0" w14:textId="77777777" w:rsidR="00A5277B" w:rsidRDefault="004B0509">
      <w:pPr>
        <w:spacing w:line="360" w:lineRule="auto"/>
        <w:jc w:val="both"/>
      </w:pPr>
      <w:r>
        <w:rPr>
          <w:rFonts w:ascii="Book Antiqua" w:eastAsia="Book Antiqua" w:hAnsi="Book Antiqua" w:cs="Book Antiqua"/>
          <w:color w:val="000000"/>
        </w:rPr>
        <w:t>BACKGROUND</w:t>
      </w:r>
    </w:p>
    <w:p w14:paraId="3A8BE42D" w14:textId="77777777" w:rsidR="00A5277B" w:rsidRDefault="004B0509">
      <w:pPr>
        <w:spacing w:line="360" w:lineRule="auto"/>
        <w:jc w:val="both"/>
      </w:pPr>
      <w:r>
        <w:rPr>
          <w:rFonts w:ascii="Book Antiqua" w:eastAsia="Book Antiqua" w:hAnsi="Book Antiqua" w:cs="Book Antiqua"/>
          <w:color w:val="000000"/>
        </w:rPr>
        <w:t>Clopidogrel is a platelet aggregation inhibitor used for the management of cardiovascular disease. While antiplatelet therapy decreases cardiovascular events after successful coronary drug-eluting stenting, it increases the risk of gastrointestinal</w:t>
      </w:r>
      <w:r w:rsidR="008F00B9">
        <w:rPr>
          <w:rFonts w:ascii="Book Antiqua" w:eastAsia="宋体" w:hAnsi="Book Antiqua" w:cs="Book Antiqua" w:hint="eastAsia"/>
          <w:color w:val="000000"/>
          <w:lang w:eastAsia="zh-CN"/>
        </w:rPr>
        <w:t xml:space="preserve"> (GI)</w:t>
      </w:r>
      <w:r>
        <w:rPr>
          <w:rFonts w:ascii="Book Antiqua" w:eastAsia="Book Antiqua" w:hAnsi="Book Antiqua" w:cs="Book Antiqua"/>
          <w:color w:val="000000"/>
        </w:rPr>
        <w:t xml:space="preserve"> bleeding. About 20% of the patients who take clopidogrel exhibit resistance to the drug.</w:t>
      </w:r>
    </w:p>
    <w:p w14:paraId="23BD7315" w14:textId="77777777" w:rsidR="00A5277B" w:rsidRDefault="00A5277B">
      <w:pPr>
        <w:spacing w:line="360" w:lineRule="auto"/>
        <w:jc w:val="both"/>
      </w:pPr>
    </w:p>
    <w:p w14:paraId="35F4B336" w14:textId="77777777" w:rsidR="00A5277B" w:rsidRDefault="004B0509">
      <w:pPr>
        <w:spacing w:line="360" w:lineRule="auto"/>
        <w:jc w:val="both"/>
      </w:pPr>
      <w:r>
        <w:rPr>
          <w:rFonts w:ascii="Book Antiqua" w:eastAsia="Book Antiqua" w:hAnsi="Book Antiqua" w:cs="Book Antiqua"/>
          <w:color w:val="000000"/>
        </w:rPr>
        <w:t>CASE SUMMARY</w:t>
      </w:r>
    </w:p>
    <w:p w14:paraId="078BFC82" w14:textId="77777777" w:rsidR="00A5277B" w:rsidRDefault="004B0509">
      <w:pPr>
        <w:spacing w:line="360" w:lineRule="auto"/>
        <w:jc w:val="both"/>
      </w:pPr>
      <w:r>
        <w:rPr>
          <w:rFonts w:ascii="Book Antiqua" w:eastAsia="Book Antiqua" w:hAnsi="Book Antiqua" w:cs="Book Antiqua"/>
          <w:color w:val="000000"/>
        </w:rPr>
        <w:t xml:space="preserve">We report the first case of a small bowel bleeding ulcer in an 86-year-old man with clopidogrel resistance. He had a history of taking clopidogrel due to unstable angina. There was no evidence of bleeding in the stomach, duodenum, or colon through upper and lower </w:t>
      </w:r>
      <w:r w:rsidR="008F00B9">
        <w:rPr>
          <w:rFonts w:ascii="Book Antiqua" w:eastAsia="宋体" w:hAnsi="Book Antiqua" w:cs="Book Antiqua" w:hint="eastAsia"/>
          <w:color w:val="000000"/>
          <w:lang w:eastAsia="zh-CN"/>
        </w:rPr>
        <w:t>GI</w:t>
      </w:r>
      <w:r>
        <w:rPr>
          <w:rFonts w:ascii="Book Antiqua" w:eastAsia="Book Antiqua" w:hAnsi="Book Antiqua" w:cs="Book Antiqua"/>
          <w:color w:val="000000"/>
        </w:rPr>
        <w:t xml:space="preserve"> endoscopies. The abdominal </w:t>
      </w:r>
      <w:r w:rsidR="008F00B9" w:rsidRPr="008F00B9">
        <w:rPr>
          <w:rFonts w:ascii="Book Antiqua" w:eastAsia="Book Antiqua" w:hAnsi="Book Antiqua" w:cs="Book Antiqua"/>
          <w:color w:val="000000"/>
        </w:rPr>
        <w:t xml:space="preserve">computed tomography </w:t>
      </w:r>
      <w:r>
        <w:rPr>
          <w:rFonts w:ascii="Book Antiqua" w:eastAsia="Book Antiqua" w:hAnsi="Book Antiqua" w:cs="Book Antiqua"/>
          <w:color w:val="000000"/>
        </w:rPr>
        <w:t>showed the extravasation of radiocontrast media at the ileum. Because of unstable vital signs, emergency surgery was performed. Multiple ulcers with inflammation were found in the ileum. The pathologic findings revealed simple inflammation. The VerifyNow P2Y12 test showed clopidogrel resistance. One year after changing to aspirin, capsule endoscopy was performed and the small bowel ulcers were improved.</w:t>
      </w:r>
    </w:p>
    <w:p w14:paraId="2062AB32" w14:textId="77777777" w:rsidR="00A5277B" w:rsidRDefault="00A5277B">
      <w:pPr>
        <w:spacing w:line="360" w:lineRule="auto"/>
        <w:jc w:val="both"/>
      </w:pPr>
    </w:p>
    <w:p w14:paraId="044E57D6" w14:textId="77777777" w:rsidR="00A5277B" w:rsidRDefault="004B0509">
      <w:pPr>
        <w:spacing w:line="360" w:lineRule="auto"/>
        <w:jc w:val="both"/>
      </w:pPr>
      <w:r>
        <w:rPr>
          <w:rFonts w:ascii="Book Antiqua" w:eastAsia="Book Antiqua" w:hAnsi="Book Antiqua" w:cs="Book Antiqua"/>
          <w:color w:val="000000"/>
        </w:rPr>
        <w:t>CONCLUSION</w:t>
      </w:r>
    </w:p>
    <w:p w14:paraId="4C8C68D6" w14:textId="77777777" w:rsidR="00A5277B" w:rsidRDefault="004B0509">
      <w:pPr>
        <w:spacing w:line="360" w:lineRule="auto"/>
        <w:jc w:val="both"/>
      </w:pPr>
      <w:r>
        <w:rPr>
          <w:rFonts w:ascii="Book Antiqua" w:eastAsia="Book Antiqua" w:hAnsi="Book Antiqua" w:cs="Book Antiqua"/>
          <w:color w:val="000000"/>
        </w:rPr>
        <w:t>Small bowel ulcers and bleeding due to clopidogrel are not very common, but the prevalence is expected to increase in older age patients with risk factors despite clopidogrel resistance.</w:t>
      </w:r>
    </w:p>
    <w:p w14:paraId="419EA725" w14:textId="77777777" w:rsidR="00A5277B" w:rsidRDefault="00A5277B">
      <w:pPr>
        <w:spacing w:line="360" w:lineRule="auto"/>
        <w:jc w:val="both"/>
      </w:pPr>
    </w:p>
    <w:p w14:paraId="7E7F0244" w14:textId="77777777" w:rsidR="00A5277B" w:rsidRPr="00DF44CE" w:rsidRDefault="004B0509">
      <w:pPr>
        <w:spacing w:line="360" w:lineRule="auto"/>
        <w:jc w:val="both"/>
        <w:rPr>
          <w:rFonts w:eastAsia="宋体"/>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Clopido</w:t>
      </w:r>
      <w:r w:rsidR="00827713">
        <w:rPr>
          <w:rFonts w:ascii="Book Antiqua" w:eastAsia="Book Antiqua" w:hAnsi="Book Antiqua" w:cs="Book Antiqua"/>
          <w:color w:val="000000"/>
        </w:rPr>
        <w:t xml:space="preserve">grel; Resistance; Small bowel; </w:t>
      </w:r>
      <w:r w:rsidR="00827713">
        <w:rPr>
          <w:rFonts w:ascii="Book Antiqua" w:eastAsia="宋体" w:hAnsi="Book Antiqua" w:cs="Book Antiqua" w:hint="eastAsia"/>
          <w:color w:val="000000"/>
          <w:lang w:eastAsia="zh-CN"/>
        </w:rPr>
        <w:t>M</w:t>
      </w:r>
      <w:r>
        <w:rPr>
          <w:rFonts w:ascii="Book Antiqua" w:eastAsia="Book Antiqua" w:hAnsi="Book Antiqua" w:cs="Book Antiqua"/>
          <w:color w:val="000000"/>
        </w:rPr>
        <w:t>ultiple ulcers; Hematochezia; Surgery</w:t>
      </w:r>
      <w:r w:rsidR="00DF44CE">
        <w:rPr>
          <w:rFonts w:ascii="Book Antiqua" w:eastAsia="宋体" w:hAnsi="Book Antiqua" w:cs="Book Antiqua" w:hint="eastAsia"/>
          <w:color w:val="000000"/>
          <w:lang w:eastAsia="zh-CN"/>
        </w:rPr>
        <w:t>; Case report</w:t>
      </w:r>
    </w:p>
    <w:p w14:paraId="7F6A46A1" w14:textId="77777777" w:rsidR="00664B7A" w:rsidRDefault="00664B7A" w:rsidP="00664B7A">
      <w:pPr>
        <w:spacing w:line="360" w:lineRule="auto"/>
        <w:jc w:val="both"/>
        <w:rPr>
          <w:lang w:eastAsia="zh-CN"/>
        </w:rPr>
      </w:pPr>
    </w:p>
    <w:p w14:paraId="2B248480" w14:textId="77777777" w:rsidR="00664B7A" w:rsidRPr="00026CB8" w:rsidRDefault="00664B7A" w:rsidP="00664B7A">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986E403" w14:textId="77777777" w:rsidR="00A5277B" w:rsidRDefault="00A5277B">
      <w:pPr>
        <w:spacing w:line="360" w:lineRule="auto"/>
        <w:jc w:val="both"/>
      </w:pPr>
    </w:p>
    <w:p w14:paraId="518CBDDE" w14:textId="488B34A6" w:rsidR="004B63A4" w:rsidRDefault="004B63A4">
      <w:pPr>
        <w:spacing w:line="360" w:lineRule="auto"/>
        <w:jc w:val="both"/>
        <w:rPr>
          <w:rFonts w:ascii="Book Antiqua" w:eastAsia="宋体" w:hAnsi="Book Antiqua" w:cs="Book Antiqua"/>
          <w:color w:val="000000"/>
          <w:lang w:eastAsia="zh-CN"/>
        </w:rPr>
      </w:pPr>
      <w:r w:rsidRPr="004B63A4">
        <w:rPr>
          <w:rFonts w:ascii="Book Antiqua" w:eastAsia="宋体" w:hAnsi="Book Antiqua" w:cs="Book Antiqua" w:hint="eastAsia"/>
          <w:b/>
          <w:color w:val="000000"/>
          <w:lang w:eastAsia="zh-CN"/>
        </w:rPr>
        <w:t xml:space="preserve">Citation: </w:t>
      </w:r>
      <w:r w:rsidR="004B0509">
        <w:rPr>
          <w:rFonts w:ascii="Book Antiqua" w:eastAsia="Book Antiqua" w:hAnsi="Book Antiqua" w:cs="Book Antiqua"/>
          <w:color w:val="000000"/>
        </w:rPr>
        <w:t>Lee SH, Ryu DR, Lee SJ, Park SC, Cho BR, Lee S</w:t>
      </w:r>
      <w:r w:rsidR="00FD5372">
        <w:rPr>
          <w:rFonts w:ascii="Book Antiqua" w:eastAsia="宋体" w:hAnsi="Book Antiqua" w:cs="Book Antiqua" w:hint="eastAsia"/>
          <w:color w:val="000000"/>
          <w:lang w:eastAsia="zh-CN"/>
        </w:rPr>
        <w:t>K</w:t>
      </w:r>
      <w:r w:rsidR="004B0509">
        <w:rPr>
          <w:rFonts w:ascii="Book Antiqua" w:eastAsia="Book Antiqua" w:hAnsi="Book Antiqua" w:cs="Book Antiqua"/>
          <w:color w:val="000000"/>
        </w:rPr>
        <w:t>, Choi SJ, Cho H</w:t>
      </w:r>
      <w:r w:rsidR="00FD5372">
        <w:rPr>
          <w:rFonts w:ascii="Book Antiqua" w:eastAsia="宋体" w:hAnsi="Book Antiqua" w:cs="Book Antiqua" w:hint="eastAsia"/>
          <w:color w:val="000000"/>
          <w:lang w:eastAsia="zh-CN"/>
        </w:rPr>
        <w:t>S</w:t>
      </w:r>
      <w:r w:rsidR="004B0509">
        <w:rPr>
          <w:rFonts w:ascii="Book Antiqua" w:eastAsia="Book Antiqua" w:hAnsi="Book Antiqua" w:cs="Book Antiqua"/>
          <w:color w:val="000000"/>
        </w:rPr>
        <w:t xml:space="preserve">. </w:t>
      </w:r>
      <w:r w:rsidR="00FD5372" w:rsidRPr="00FD5372">
        <w:rPr>
          <w:rFonts w:ascii="Book Antiqua" w:eastAsia="Book Antiqua" w:hAnsi="Book Antiqua" w:cs="Book Antiqua"/>
          <w:color w:val="000000"/>
        </w:rPr>
        <w:t>Small bowel ulcer bleeding due to suspected clopidogrel use in a patient with clopidogrel resistance: A case report</w:t>
      </w:r>
      <w:r w:rsidR="004B0509">
        <w:rPr>
          <w:rFonts w:ascii="Book Antiqua" w:eastAsia="Book Antiqua" w:hAnsi="Book Antiqua" w:cs="Book Antiqua"/>
          <w:color w:val="000000"/>
        </w:rPr>
        <w:t xml:space="preserve">. </w:t>
      </w:r>
      <w:r w:rsidR="004B0509">
        <w:rPr>
          <w:rFonts w:ascii="Book Antiqua" w:eastAsia="Book Antiqua" w:hAnsi="Book Antiqua" w:cs="Book Antiqua"/>
          <w:i/>
          <w:iCs/>
          <w:color w:val="000000"/>
        </w:rPr>
        <w:t>World J Clin Cases</w:t>
      </w:r>
      <w:r w:rsidR="004B0509">
        <w:rPr>
          <w:rFonts w:ascii="Book Antiqua" w:eastAsia="Book Antiqua" w:hAnsi="Book Antiqua" w:cs="Book Antiqua"/>
          <w:color w:val="000000"/>
        </w:rPr>
        <w:t xml:space="preserve"> </w:t>
      </w:r>
      <w:r w:rsidR="00E87673" w:rsidRPr="0060389F">
        <w:rPr>
          <w:rFonts w:ascii="Book Antiqua" w:eastAsia="Book Antiqua" w:hAnsi="Book Antiqua" w:cs="Book Antiqua"/>
          <w:color w:val="000000"/>
        </w:rPr>
        <w:t>2021;</w:t>
      </w:r>
      <w:r w:rsidR="00E87673">
        <w:rPr>
          <w:rFonts w:ascii="Book Antiqua" w:eastAsia="Book Antiqua" w:hAnsi="Book Antiqua" w:cs="Book Antiqua"/>
          <w:color w:val="000000"/>
        </w:rPr>
        <w:t xml:space="preserve"> </w:t>
      </w:r>
      <w:r w:rsidR="00E87673" w:rsidRPr="00D46C6C">
        <w:rPr>
          <w:rFonts w:ascii="Book Antiqua" w:eastAsia="Book Antiqua" w:hAnsi="Book Antiqua" w:cs="Book Antiqua"/>
          <w:color w:val="000000"/>
        </w:rPr>
        <w:t>9(</w:t>
      </w:r>
      <w:r w:rsidR="00E87673">
        <w:rPr>
          <w:rFonts w:ascii="Book Antiqua" w:eastAsia="Book Antiqua" w:hAnsi="Book Antiqua" w:cs="Book Antiqua"/>
          <w:color w:val="000000"/>
        </w:rPr>
        <w:t>15</w:t>
      </w:r>
      <w:r w:rsidR="00E87673" w:rsidRPr="00D46C6C">
        <w:rPr>
          <w:rFonts w:ascii="Book Antiqua" w:eastAsia="Book Antiqua" w:hAnsi="Book Antiqua" w:cs="Book Antiqua"/>
          <w:color w:val="000000"/>
        </w:rPr>
        <w:t>):</w:t>
      </w:r>
      <w:r w:rsidR="00E87673">
        <w:rPr>
          <w:rFonts w:ascii="Book Antiqua" w:eastAsia="Book Antiqua" w:hAnsi="Book Antiqua" w:cs="Book Antiqua"/>
          <w:color w:val="000000"/>
        </w:rPr>
        <w:t xml:space="preserve"> </w:t>
      </w:r>
      <w:r w:rsidR="008631E8" w:rsidRPr="008631E8">
        <w:rPr>
          <w:rFonts w:ascii="Book Antiqua" w:eastAsia="Book Antiqua" w:hAnsi="Book Antiqua" w:cs="Book Antiqua"/>
          <w:color w:val="000000"/>
        </w:rPr>
        <w:t>3689-3695</w:t>
      </w:r>
      <w:r w:rsidR="00E87673">
        <w:rPr>
          <w:rFonts w:ascii="Book Antiqua" w:eastAsia="Book Antiqua" w:hAnsi="Book Antiqua" w:cs="Book Antiqua"/>
          <w:color w:val="000000"/>
        </w:rPr>
        <w:t xml:space="preserve">  </w:t>
      </w:r>
    </w:p>
    <w:p w14:paraId="47CABC26" w14:textId="77777777" w:rsidR="004B63A4" w:rsidRDefault="00E87673">
      <w:pPr>
        <w:spacing w:line="360" w:lineRule="auto"/>
        <w:jc w:val="both"/>
        <w:rPr>
          <w:rFonts w:ascii="Book Antiqua" w:eastAsia="宋体" w:hAnsi="Book Antiqua" w:cs="Book Antiqua"/>
          <w:color w:val="000000"/>
          <w:lang w:eastAsia="zh-CN"/>
        </w:rPr>
      </w:pPr>
      <w:r w:rsidRPr="004B63A4">
        <w:rPr>
          <w:rFonts w:ascii="Book Antiqua" w:eastAsia="Book Antiqua" w:hAnsi="Book Antiqua" w:cs="Book Antiqua"/>
          <w:b/>
          <w:color w:val="000000"/>
        </w:rPr>
        <w:t xml:space="preserve">URL: </w:t>
      </w:r>
      <w:r w:rsidRPr="00D46C6C">
        <w:rPr>
          <w:rFonts w:ascii="Book Antiqua" w:eastAsia="Book Antiqua" w:hAnsi="Book Antiqua" w:cs="Book Antiqua"/>
          <w:color w:val="000000"/>
        </w:rPr>
        <w:t>https://www.wjgnet.com/2307-8960/full/v9/i</w:t>
      </w:r>
      <w:r>
        <w:rPr>
          <w:rFonts w:ascii="Book Antiqua" w:eastAsia="Book Antiqua" w:hAnsi="Book Antiqua" w:cs="Book Antiqua"/>
          <w:color w:val="000000"/>
        </w:rPr>
        <w:t>15</w:t>
      </w:r>
      <w:r w:rsidRPr="00D46C6C">
        <w:rPr>
          <w:rFonts w:ascii="Book Antiqua" w:eastAsia="Book Antiqua" w:hAnsi="Book Antiqua" w:cs="Book Antiqua"/>
          <w:color w:val="000000"/>
        </w:rPr>
        <w:t>/</w:t>
      </w:r>
      <w:r w:rsidR="00FB4D29" w:rsidRPr="008631E8">
        <w:rPr>
          <w:rFonts w:ascii="Book Antiqua" w:eastAsia="Book Antiqua" w:hAnsi="Book Antiqua" w:cs="Book Antiqua"/>
          <w:color w:val="000000"/>
        </w:rPr>
        <w:t>3689</w:t>
      </w:r>
      <w:r w:rsidRPr="00D46C6C">
        <w:rPr>
          <w:rFonts w:ascii="Book Antiqua" w:eastAsia="Book Antiqua" w:hAnsi="Book Antiqua" w:cs="Book Antiqua"/>
          <w:color w:val="000000"/>
        </w:rPr>
        <w:t>.htm</w:t>
      </w:r>
      <w:r>
        <w:rPr>
          <w:rFonts w:ascii="Book Antiqua" w:eastAsia="Book Antiqua" w:hAnsi="Book Antiqua" w:cs="Book Antiqua"/>
          <w:color w:val="000000"/>
        </w:rPr>
        <w:t xml:space="preserve">  </w:t>
      </w:r>
    </w:p>
    <w:p w14:paraId="76E623EC" w14:textId="6445D0C2" w:rsidR="00A5277B" w:rsidRDefault="00E87673">
      <w:pPr>
        <w:spacing w:line="360" w:lineRule="auto"/>
        <w:jc w:val="both"/>
      </w:pPr>
      <w:r w:rsidRPr="004B63A4">
        <w:rPr>
          <w:rFonts w:ascii="Book Antiqua" w:eastAsia="Book Antiqua" w:hAnsi="Book Antiqua" w:cs="Book Antiqua"/>
          <w:b/>
          <w:color w:val="000000"/>
        </w:rPr>
        <w:t>DOI:</w:t>
      </w:r>
      <w:r>
        <w:rPr>
          <w:rFonts w:ascii="Book Antiqua" w:eastAsia="Book Antiqua" w:hAnsi="Book Antiqua" w:cs="Book Antiqua"/>
          <w:color w:val="000000"/>
        </w:rPr>
        <w:t xml:space="preserve"> </w:t>
      </w:r>
      <w:r w:rsidRPr="00D46C6C">
        <w:rPr>
          <w:rFonts w:ascii="Book Antiqua" w:eastAsia="Book Antiqua" w:hAnsi="Book Antiqua" w:cs="Book Antiqua"/>
          <w:color w:val="000000"/>
        </w:rPr>
        <w:t>https://dx.doi.org/10.12998/wjcc.v9.i</w:t>
      </w:r>
      <w:r>
        <w:rPr>
          <w:rFonts w:ascii="Book Antiqua" w:eastAsia="Book Antiqua" w:hAnsi="Book Antiqua" w:cs="Book Antiqua"/>
          <w:color w:val="000000"/>
        </w:rPr>
        <w:t>15</w:t>
      </w:r>
      <w:r w:rsidRPr="00D46C6C">
        <w:rPr>
          <w:rFonts w:ascii="Book Antiqua" w:eastAsia="Book Antiqua" w:hAnsi="Book Antiqua" w:cs="Book Antiqua"/>
          <w:color w:val="000000"/>
        </w:rPr>
        <w:t>.</w:t>
      </w:r>
      <w:bookmarkStart w:id="6" w:name="_GoBack"/>
      <w:bookmarkEnd w:id="6"/>
      <w:r w:rsidR="00FB4D29" w:rsidRPr="008631E8">
        <w:rPr>
          <w:rFonts w:ascii="Book Antiqua" w:eastAsia="Book Antiqua" w:hAnsi="Book Antiqua" w:cs="Book Antiqua"/>
          <w:color w:val="000000"/>
        </w:rPr>
        <w:t>3689</w:t>
      </w:r>
    </w:p>
    <w:p w14:paraId="75FD16F5" w14:textId="77777777" w:rsidR="00A5277B" w:rsidRDefault="00A5277B">
      <w:pPr>
        <w:spacing w:line="360" w:lineRule="auto"/>
        <w:jc w:val="both"/>
      </w:pPr>
    </w:p>
    <w:p w14:paraId="0966A985" w14:textId="77777777" w:rsidR="00A5277B" w:rsidRPr="00BB19DD" w:rsidRDefault="004B0509">
      <w:pPr>
        <w:spacing w:line="360" w:lineRule="auto"/>
        <w:jc w:val="both"/>
        <w:rPr>
          <w:rFonts w:eastAsia="宋体"/>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Small bowel injury and bleeding are typical side effects of </w:t>
      </w:r>
      <w:r w:rsidR="006D6790" w:rsidRPr="006D6790">
        <w:rPr>
          <w:rFonts w:ascii="Book Antiqua" w:eastAsia="Book Antiqua" w:hAnsi="Book Antiqua" w:cs="Book Antiqua"/>
          <w:color w:val="000000"/>
        </w:rPr>
        <w:t>non-steroidal anti-inflammatory drugs</w:t>
      </w:r>
      <w:r>
        <w:rPr>
          <w:rFonts w:ascii="Book Antiqua" w:eastAsia="Book Antiqua" w:hAnsi="Book Antiqua" w:cs="Book Antiqua"/>
          <w:color w:val="000000"/>
        </w:rPr>
        <w:t xml:space="preserve"> and antiplatelet agents like aspirin. However, there are rare previous reports of small bowel injury and bleeding due to clopidogrel and the mechanisms of ulcer formation in patients receiving clopidogrel therapy are unclear. Here, we report the first case of a small bowel bleeding ulcer in an 86-year-old man with clopidogrel resistance.</w:t>
      </w:r>
    </w:p>
    <w:p w14:paraId="4282182D" w14:textId="77777777" w:rsidR="0029091A" w:rsidRDefault="0029091A">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13E64D6B" w14:textId="77777777" w:rsidR="00A5277B" w:rsidRDefault="004B0509">
      <w:pPr>
        <w:spacing w:line="360" w:lineRule="auto"/>
        <w:jc w:val="both"/>
      </w:pPr>
      <w:r>
        <w:rPr>
          <w:rFonts w:ascii="Book Antiqua" w:eastAsia="Book Antiqua" w:hAnsi="Book Antiqua" w:cs="Book Antiqua"/>
          <w:b/>
          <w:caps/>
          <w:color w:val="000000"/>
          <w:u w:val="single"/>
        </w:rPr>
        <w:t>INTRODUCTION</w:t>
      </w:r>
    </w:p>
    <w:p w14:paraId="0534B7E6" w14:textId="77777777" w:rsidR="00A5277B" w:rsidRDefault="004B0509">
      <w:pPr>
        <w:spacing w:line="360" w:lineRule="auto"/>
        <w:jc w:val="both"/>
      </w:pPr>
      <w:r>
        <w:rPr>
          <w:rFonts w:ascii="Book Antiqua" w:eastAsia="Book Antiqua" w:hAnsi="Book Antiqua" w:cs="Book Antiqua"/>
          <w:color w:val="000000"/>
        </w:rPr>
        <w:t xml:space="preserve">The causes of small bowel bleeding vary according to age. Tumors, Meckel’s diverticulum, Dieulafoy’s lesion, and Crohn’s disease are the common causes in young patients (&lt; 40 years), whereas vascular lesions like angiodysplasia and small bowel lesions caused by </w:t>
      </w:r>
      <w:bookmarkStart w:id="7" w:name="OLE_LINK3"/>
      <w:bookmarkStart w:id="8" w:name="OLE_LINK4"/>
      <w:r>
        <w:rPr>
          <w:rFonts w:ascii="Book Antiqua" w:eastAsia="Book Antiqua" w:hAnsi="Book Antiqua" w:cs="Book Antiqua"/>
          <w:color w:val="000000"/>
        </w:rPr>
        <w:t>non-steroidal anti-inflammatory drugs</w:t>
      </w:r>
      <w:bookmarkEnd w:id="7"/>
      <w:bookmarkEnd w:id="8"/>
      <w:r>
        <w:rPr>
          <w:rFonts w:ascii="Book Antiqua" w:eastAsia="Book Antiqua" w:hAnsi="Book Antiqua" w:cs="Book Antiqua"/>
          <w:color w:val="000000"/>
        </w:rPr>
        <w:t xml:space="preserve"> (NSAIDs) and antiplatelet drugs are the major cause of small bowel </w:t>
      </w:r>
      <w:bookmarkStart w:id="9" w:name="OLE_LINK5"/>
      <w:r w:rsidR="008F00B9" w:rsidRPr="008F00B9">
        <w:rPr>
          <w:rFonts w:ascii="Book Antiqua" w:eastAsia="Book Antiqua" w:hAnsi="Book Antiqua" w:cs="Book Antiqua"/>
          <w:color w:val="000000"/>
        </w:rPr>
        <w:t>gastrointestinal</w:t>
      </w:r>
      <w:r w:rsidR="00470123">
        <w:rPr>
          <w:rFonts w:ascii="Book Antiqua" w:eastAsia="宋体" w:hAnsi="Book Antiqua" w:cs="Book Antiqua" w:hint="eastAsia"/>
          <w:color w:val="000000"/>
          <w:lang w:eastAsia="zh-CN"/>
        </w:rPr>
        <w:t xml:space="preserve"> (GI)</w:t>
      </w:r>
      <w:r>
        <w:rPr>
          <w:rFonts w:ascii="Book Antiqua" w:eastAsia="Book Antiqua" w:hAnsi="Book Antiqua" w:cs="Book Antiqua"/>
          <w:color w:val="000000"/>
        </w:rPr>
        <w:t xml:space="preserve"> </w:t>
      </w:r>
      <w:bookmarkEnd w:id="9"/>
      <w:r>
        <w:rPr>
          <w:rFonts w:ascii="Book Antiqua" w:eastAsia="Book Antiqua" w:hAnsi="Book Antiqua" w:cs="Book Antiqua"/>
          <w:color w:val="000000"/>
        </w:rPr>
        <w:t>bleeding in elderly patients (&gt; 65 years)</w:t>
      </w:r>
      <w:r>
        <w:rPr>
          <w:rFonts w:ascii="Book Antiqua" w:eastAsia="Book Antiqua" w:hAnsi="Book Antiqua" w:cs="Book Antiqua"/>
          <w:color w:val="000000"/>
          <w:szCs w:val="30"/>
          <w:vertAlign w:val="superscript"/>
        </w:rPr>
        <w:t>[1]</w:t>
      </w:r>
      <w:r w:rsidR="00620012">
        <w:rPr>
          <w:rFonts w:ascii="Book Antiqua" w:eastAsia="宋体" w:hAnsi="Book Antiqua" w:cs="Book Antiqua" w:hint="eastAsia"/>
          <w:color w:val="000000"/>
          <w:szCs w:val="30"/>
          <w:lang w:eastAsia="zh-CN"/>
        </w:rPr>
        <w:t>.</w:t>
      </w:r>
      <w:r>
        <w:rPr>
          <w:rFonts w:ascii="Book Antiqua" w:eastAsia="Book Antiqua" w:hAnsi="Book Antiqua" w:cs="Book Antiqua"/>
          <w:color w:val="000000"/>
        </w:rPr>
        <w:t xml:space="preserve"> Small bowel injury and bleeding are typical side effects of NSAIDs and antiplatelet agents like aspirin</w:t>
      </w:r>
      <w:r>
        <w:rPr>
          <w:rFonts w:ascii="Book Antiqua" w:eastAsia="Book Antiqua" w:hAnsi="Book Antiqua" w:cs="Book Antiqua"/>
          <w:color w:val="000000"/>
          <w:szCs w:val="30"/>
          <w:vertAlign w:val="superscript"/>
        </w:rPr>
        <w:t>[2]</w:t>
      </w:r>
      <w:r w:rsidR="00620012">
        <w:rPr>
          <w:rFonts w:ascii="Book Antiqua" w:eastAsia="宋体" w:hAnsi="Book Antiqua" w:cs="Book Antiqua" w:hint="eastAsia"/>
          <w:color w:val="000000"/>
          <w:szCs w:val="30"/>
          <w:lang w:eastAsia="zh-CN"/>
        </w:rPr>
        <w:t>.</w:t>
      </w:r>
      <w:r>
        <w:rPr>
          <w:rFonts w:ascii="Book Antiqua" w:eastAsia="Book Antiqua" w:hAnsi="Book Antiqua" w:cs="Book Antiqua"/>
          <w:color w:val="000000"/>
        </w:rPr>
        <w:t xml:space="preserve"> However, small bowel bleeding caused by clopidogrel is not common. About 20% of the patients exhibit clopidogrel resistance with increased platelet activation and the resistance to this drug is associated with the risk of stent thrombosis</w:t>
      </w:r>
      <w:r>
        <w:rPr>
          <w:rFonts w:ascii="Book Antiqua" w:eastAsia="Book Antiqua" w:hAnsi="Book Antiqua" w:cs="Book Antiqua"/>
          <w:color w:val="000000"/>
          <w:szCs w:val="30"/>
          <w:vertAlign w:val="superscript"/>
        </w:rPr>
        <w:t>[3]</w:t>
      </w:r>
      <w:r w:rsidR="004D46A9">
        <w:rPr>
          <w:rFonts w:ascii="Book Antiqua" w:eastAsia="宋体" w:hAnsi="Book Antiqua" w:cs="Book Antiqua" w:hint="eastAsia"/>
          <w:color w:val="000000"/>
          <w:szCs w:val="30"/>
          <w:lang w:eastAsia="zh-CN"/>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There are no previous reports of small bowel ulcer bleeding suspected to be due to clopidogrel in a patient with clopidogrel resistance.</w:t>
      </w:r>
    </w:p>
    <w:p w14:paraId="527FA49B" w14:textId="77777777" w:rsidR="00A5277B" w:rsidRDefault="00A5277B">
      <w:pPr>
        <w:spacing w:line="360" w:lineRule="auto"/>
        <w:jc w:val="both"/>
      </w:pPr>
    </w:p>
    <w:p w14:paraId="05DAB50A" w14:textId="77777777" w:rsidR="00A5277B" w:rsidRDefault="004B0509">
      <w:pPr>
        <w:spacing w:line="360" w:lineRule="auto"/>
        <w:jc w:val="both"/>
      </w:pPr>
      <w:r>
        <w:rPr>
          <w:rFonts w:ascii="Book Antiqua" w:eastAsia="Book Antiqua" w:hAnsi="Book Antiqua" w:cs="Book Antiqua"/>
          <w:b/>
          <w:caps/>
          <w:color w:val="000000"/>
          <w:u w:val="single"/>
        </w:rPr>
        <w:t>CASE PRESENTATION</w:t>
      </w:r>
    </w:p>
    <w:p w14:paraId="325FF53C" w14:textId="77777777" w:rsidR="00A5277B" w:rsidRDefault="004B0509">
      <w:pPr>
        <w:spacing w:line="360" w:lineRule="auto"/>
        <w:jc w:val="both"/>
      </w:pPr>
      <w:r>
        <w:rPr>
          <w:rFonts w:ascii="Book Antiqua" w:eastAsia="Book Antiqua" w:hAnsi="Book Antiqua" w:cs="Book Antiqua"/>
          <w:b/>
          <w:i/>
          <w:color w:val="000000"/>
        </w:rPr>
        <w:t>Chief complaints</w:t>
      </w:r>
    </w:p>
    <w:p w14:paraId="264FC5E8" w14:textId="77777777" w:rsidR="00A5277B" w:rsidRDefault="004B0509">
      <w:pPr>
        <w:spacing w:line="360" w:lineRule="auto"/>
        <w:jc w:val="both"/>
      </w:pPr>
      <w:r>
        <w:rPr>
          <w:rFonts w:ascii="Book Antiqua" w:eastAsia="Book Antiqua" w:hAnsi="Book Antiqua" w:cs="Book Antiqua"/>
          <w:color w:val="000000"/>
        </w:rPr>
        <w:t>An 86-year-old male was admitted to our hospital with hematochezia.</w:t>
      </w:r>
    </w:p>
    <w:p w14:paraId="5D681737" w14:textId="77777777" w:rsidR="00A5277B" w:rsidRDefault="00A5277B">
      <w:pPr>
        <w:spacing w:line="360" w:lineRule="auto"/>
        <w:jc w:val="both"/>
      </w:pPr>
    </w:p>
    <w:p w14:paraId="7D4F932F" w14:textId="77777777" w:rsidR="00A5277B" w:rsidRDefault="004B0509">
      <w:pPr>
        <w:spacing w:line="360" w:lineRule="auto"/>
        <w:jc w:val="both"/>
      </w:pPr>
      <w:r>
        <w:rPr>
          <w:rFonts w:ascii="Book Antiqua" w:eastAsia="Book Antiqua" w:hAnsi="Book Antiqua" w:cs="Book Antiqua"/>
          <w:b/>
          <w:i/>
          <w:color w:val="000000"/>
        </w:rPr>
        <w:t>History of present illness</w:t>
      </w:r>
    </w:p>
    <w:p w14:paraId="70CE7C17" w14:textId="14AAC34B" w:rsidR="00A5277B" w:rsidRDefault="00A26EB8">
      <w:pPr>
        <w:spacing w:line="360" w:lineRule="auto"/>
        <w:jc w:val="both"/>
      </w:pPr>
      <w:r>
        <w:rPr>
          <w:rFonts w:ascii="Book Antiqua" w:eastAsia="Book Antiqua" w:hAnsi="Book Antiqua" w:cs="Book Antiqua"/>
          <w:color w:val="000000"/>
        </w:rPr>
        <w:t>The pain started 3 d</w:t>
      </w:r>
      <w:r w:rsidR="004B0509">
        <w:rPr>
          <w:rFonts w:ascii="Book Antiqua" w:eastAsia="Book Antiqua" w:hAnsi="Book Antiqua" w:cs="Book Antiqua"/>
          <w:color w:val="000000"/>
        </w:rPr>
        <w:t xml:space="preserve"> ago, which was continuous cramping pain aggravated by meal, and severity of pain had increased from numeric rating scale of 3 to 8. The patient denied fevers, diarrhea or jaundice. Upon visit to the emergency room his blood pressure and heart rate were normal, but body</w:t>
      </w:r>
      <w:r w:rsidR="003A466A">
        <w:rPr>
          <w:rFonts w:ascii="Book Antiqua" w:eastAsia="Book Antiqua" w:hAnsi="Book Antiqua" w:cs="Book Antiqua"/>
          <w:color w:val="000000"/>
        </w:rPr>
        <w:t xml:space="preserve"> temperature was elevated to 38</w:t>
      </w:r>
      <w:r w:rsidR="00037D82">
        <w:rPr>
          <w:rFonts w:ascii="Book Antiqua" w:eastAsia="Book Antiqua" w:hAnsi="Book Antiqua" w:cs="Book Antiqua"/>
          <w:color w:val="000000"/>
        </w:rPr>
        <w:t xml:space="preserve"> </w:t>
      </w:r>
      <w:r w:rsidR="004B0509">
        <w:rPr>
          <w:rFonts w:ascii="Book Antiqua" w:eastAsia="Book Antiqua" w:hAnsi="Book Antiqua" w:cs="Book Antiqua"/>
          <w:color w:val="000000"/>
        </w:rPr>
        <w:t>ºC.</w:t>
      </w:r>
    </w:p>
    <w:p w14:paraId="3C7B6EAC" w14:textId="77777777" w:rsidR="00A5277B" w:rsidRDefault="00A5277B">
      <w:pPr>
        <w:spacing w:line="360" w:lineRule="auto"/>
        <w:jc w:val="both"/>
      </w:pPr>
    </w:p>
    <w:p w14:paraId="6651A11C" w14:textId="77777777" w:rsidR="00A5277B" w:rsidRDefault="004B0509">
      <w:pPr>
        <w:spacing w:line="360" w:lineRule="auto"/>
        <w:jc w:val="both"/>
      </w:pPr>
      <w:r>
        <w:rPr>
          <w:rFonts w:ascii="Book Antiqua" w:eastAsia="Book Antiqua" w:hAnsi="Book Antiqua" w:cs="Book Antiqua"/>
          <w:b/>
          <w:i/>
          <w:color w:val="000000"/>
        </w:rPr>
        <w:t>History of past illness</w:t>
      </w:r>
    </w:p>
    <w:p w14:paraId="649EAD33" w14:textId="77777777" w:rsidR="00A5277B" w:rsidRDefault="004B0509">
      <w:pPr>
        <w:spacing w:line="360" w:lineRule="auto"/>
        <w:jc w:val="both"/>
      </w:pPr>
      <w:r>
        <w:rPr>
          <w:rFonts w:ascii="Book Antiqua" w:eastAsia="Book Antiqua" w:hAnsi="Book Antiqua" w:cs="Book Antiqua"/>
          <w:color w:val="000000"/>
        </w:rPr>
        <w:t xml:space="preserve">He had a history of taking clopidogrel due to unstable angina, and aspirin or analgesics were not taken. And he had never complained of </w:t>
      </w:r>
      <w:r w:rsidR="00470123">
        <w:rPr>
          <w:rFonts w:ascii="Book Antiqua" w:eastAsia="Book Antiqua" w:hAnsi="Book Antiqua" w:cs="Book Antiqua"/>
          <w:color w:val="000000"/>
        </w:rPr>
        <w:t>GI</w:t>
      </w:r>
      <w:r>
        <w:rPr>
          <w:rFonts w:ascii="Book Antiqua" w:eastAsia="Book Antiqua" w:hAnsi="Book Antiqua" w:cs="Book Antiqua"/>
          <w:color w:val="000000"/>
        </w:rPr>
        <w:t xml:space="preserve"> symptoms prior to taking clopidogrel.</w:t>
      </w:r>
    </w:p>
    <w:p w14:paraId="36676B4C" w14:textId="77777777" w:rsidR="00A5277B" w:rsidRDefault="00A5277B">
      <w:pPr>
        <w:spacing w:line="360" w:lineRule="auto"/>
        <w:jc w:val="both"/>
      </w:pPr>
    </w:p>
    <w:p w14:paraId="388C206C" w14:textId="77777777" w:rsidR="00A5277B" w:rsidRDefault="004B0509">
      <w:pPr>
        <w:spacing w:line="360" w:lineRule="auto"/>
        <w:jc w:val="both"/>
      </w:pPr>
      <w:r>
        <w:rPr>
          <w:rFonts w:ascii="Book Antiqua" w:eastAsia="Book Antiqua" w:hAnsi="Book Antiqua" w:cs="Book Antiqua"/>
          <w:b/>
          <w:i/>
          <w:color w:val="000000"/>
        </w:rPr>
        <w:t>Personal and family history</w:t>
      </w:r>
    </w:p>
    <w:p w14:paraId="72C49298" w14:textId="77777777" w:rsidR="00A5277B" w:rsidRDefault="004B0509">
      <w:pPr>
        <w:spacing w:line="360" w:lineRule="auto"/>
        <w:jc w:val="both"/>
      </w:pPr>
      <w:r>
        <w:rPr>
          <w:rFonts w:ascii="Book Antiqua" w:eastAsia="Book Antiqua" w:hAnsi="Book Antiqua" w:cs="Book Antiqua"/>
          <w:color w:val="000000"/>
        </w:rPr>
        <w:t>He was a nonsmoker, and no notable family history was found.</w:t>
      </w:r>
    </w:p>
    <w:p w14:paraId="7A38B65E" w14:textId="77777777" w:rsidR="00A5277B" w:rsidRDefault="00A5277B">
      <w:pPr>
        <w:spacing w:line="360" w:lineRule="auto"/>
        <w:jc w:val="both"/>
      </w:pPr>
    </w:p>
    <w:p w14:paraId="6CB93CBE" w14:textId="77777777" w:rsidR="00A5277B" w:rsidRDefault="004B0509">
      <w:pPr>
        <w:spacing w:line="360" w:lineRule="auto"/>
        <w:jc w:val="both"/>
      </w:pPr>
      <w:r>
        <w:rPr>
          <w:rFonts w:ascii="Book Antiqua" w:eastAsia="Book Antiqua" w:hAnsi="Book Antiqua" w:cs="Book Antiqua"/>
          <w:b/>
          <w:i/>
          <w:color w:val="000000"/>
        </w:rPr>
        <w:t>Physical examination</w:t>
      </w:r>
    </w:p>
    <w:p w14:paraId="195C23F6" w14:textId="7612DF2C" w:rsidR="00A5277B" w:rsidRDefault="004B0509">
      <w:pPr>
        <w:spacing w:line="360" w:lineRule="auto"/>
        <w:jc w:val="both"/>
      </w:pPr>
      <w:r>
        <w:rPr>
          <w:rFonts w:ascii="Book Antiqua" w:eastAsia="Book Antiqua" w:hAnsi="Book Antiqua" w:cs="Book Antiqua"/>
          <w:color w:val="000000"/>
        </w:rPr>
        <w:t>Physical examinations showed pale conjunctiva and his abdomen was soft with mild lower abdominal tenderness. His initial blood pressure was 80/50 mmHg, pulse rate was 102 beats per minute, respiratory rate was 23 breaths per minute</w:t>
      </w:r>
      <w:r w:rsidR="001B53DC">
        <w:rPr>
          <w:rFonts w:ascii="Book Antiqua" w:eastAsia="Book Antiqua" w:hAnsi="Book Antiqua" w:cs="Book Antiqua"/>
          <w:color w:val="000000"/>
        </w:rPr>
        <w:t>, and body temperature was 36.8</w:t>
      </w:r>
      <w:r w:rsidR="00037D82">
        <w:rPr>
          <w:rFonts w:ascii="Book Antiqua" w:eastAsia="Book Antiqua" w:hAnsi="Book Antiqua" w:cs="Book Antiqua"/>
          <w:color w:val="000000"/>
        </w:rPr>
        <w:t xml:space="preserve"> </w:t>
      </w:r>
      <w:r>
        <w:rPr>
          <w:rFonts w:ascii="Book Antiqua" w:eastAsia="Book Antiqua" w:hAnsi="Book Antiqua" w:cs="Book Antiqua"/>
          <w:color w:val="000000"/>
        </w:rPr>
        <w:t>°C.</w:t>
      </w:r>
    </w:p>
    <w:p w14:paraId="7EDC4D3C" w14:textId="77777777" w:rsidR="00A5277B" w:rsidRDefault="00A5277B">
      <w:pPr>
        <w:spacing w:line="360" w:lineRule="auto"/>
        <w:jc w:val="both"/>
      </w:pPr>
    </w:p>
    <w:p w14:paraId="648BF1D4" w14:textId="77777777" w:rsidR="00A5277B" w:rsidRDefault="004B0509">
      <w:pPr>
        <w:spacing w:line="360" w:lineRule="auto"/>
        <w:jc w:val="both"/>
      </w:pPr>
      <w:r>
        <w:rPr>
          <w:rFonts w:ascii="Book Antiqua" w:eastAsia="Book Antiqua" w:hAnsi="Book Antiqua" w:cs="Book Antiqua"/>
          <w:b/>
          <w:i/>
          <w:color w:val="000000"/>
        </w:rPr>
        <w:t>Laboratory examinations</w:t>
      </w:r>
    </w:p>
    <w:p w14:paraId="67C935BE" w14:textId="5C2569FB" w:rsidR="00A5277B" w:rsidRDefault="004B0509">
      <w:pPr>
        <w:spacing w:line="360" w:lineRule="auto"/>
        <w:jc w:val="both"/>
      </w:pPr>
      <w:r>
        <w:rPr>
          <w:rFonts w:ascii="Book Antiqua" w:eastAsia="Book Antiqua" w:hAnsi="Book Antiqua" w:cs="Book Antiqua"/>
          <w:color w:val="000000"/>
        </w:rPr>
        <w:t xml:space="preserve">The baseline laboratory results were as follows: </w:t>
      </w:r>
      <w:r w:rsidR="00037D82">
        <w:rPr>
          <w:rFonts w:ascii="Book Antiqua" w:eastAsia="Book Antiqua" w:hAnsi="Book Antiqua" w:cs="Book Antiqua"/>
          <w:color w:val="000000"/>
        </w:rPr>
        <w:t>H</w:t>
      </w:r>
      <w:r>
        <w:rPr>
          <w:rFonts w:ascii="Book Antiqua" w:eastAsia="Book Antiqua" w:hAnsi="Book Antiqua" w:cs="Book Antiqua"/>
          <w:color w:val="000000"/>
        </w:rPr>
        <w:t xml:space="preserve">emoglobin level, 8.0 </w:t>
      </w:r>
      <w:r w:rsidR="001B53DC">
        <w:rPr>
          <w:rFonts w:ascii="Book Antiqua" w:eastAsia="Book Antiqua" w:hAnsi="Book Antiqua" w:cs="Book Antiqua"/>
          <w:color w:val="000000"/>
        </w:rPr>
        <w:t>g/dL; white blood cell count, 6000/μL; platelet count, 185</w:t>
      </w:r>
      <w:r>
        <w:rPr>
          <w:rFonts w:ascii="Book Antiqua" w:eastAsia="Book Antiqua" w:hAnsi="Book Antiqua" w:cs="Book Antiqua"/>
          <w:color w:val="000000"/>
        </w:rPr>
        <w:t>000/μL; blood urea nitrogen, 25.6 mg/dL; and C-reactive protein, 1.7 mg/dL. The levels of other routine blood chemistry markers were within the reference limits.</w:t>
      </w:r>
    </w:p>
    <w:p w14:paraId="2D1FB129" w14:textId="77777777" w:rsidR="00A5277B" w:rsidRDefault="00A5277B">
      <w:pPr>
        <w:spacing w:line="360" w:lineRule="auto"/>
        <w:jc w:val="both"/>
      </w:pPr>
    </w:p>
    <w:p w14:paraId="33DC4464" w14:textId="77777777" w:rsidR="00A5277B" w:rsidRDefault="004B0509">
      <w:pPr>
        <w:spacing w:line="360" w:lineRule="auto"/>
        <w:jc w:val="both"/>
      </w:pPr>
      <w:r>
        <w:rPr>
          <w:rFonts w:ascii="Book Antiqua" w:eastAsia="Book Antiqua" w:hAnsi="Book Antiqua" w:cs="Book Antiqua"/>
          <w:b/>
          <w:i/>
          <w:color w:val="000000"/>
        </w:rPr>
        <w:t>Imaging examinations</w:t>
      </w:r>
    </w:p>
    <w:p w14:paraId="243889A5" w14:textId="77777777" w:rsidR="00A5277B" w:rsidRDefault="004B0509">
      <w:pPr>
        <w:spacing w:line="360" w:lineRule="auto"/>
        <w:jc w:val="both"/>
      </w:pPr>
      <w:r>
        <w:rPr>
          <w:rFonts w:ascii="Book Antiqua" w:eastAsia="Book Antiqua" w:hAnsi="Book Antiqua" w:cs="Book Antiqua"/>
          <w:color w:val="000000"/>
        </w:rPr>
        <w:t xml:space="preserve">The levels of other routine blood chemistry markers were within the reference limits. Upper and lower gastrointestinal endoscopy were performed and upper gastrointestinal bleeding was excluded. However, in the lower gastrointestinal endoscopic findings, small bowel bleeding was suspected as the cause of the hematochezia (Figure 1). The abdominal </w:t>
      </w:r>
      <w:r w:rsidR="0065075D" w:rsidRPr="0065075D">
        <w:rPr>
          <w:rFonts w:ascii="Book Antiqua" w:eastAsia="Book Antiqua" w:hAnsi="Book Antiqua" w:cs="Book Antiqua"/>
          <w:color w:val="000000"/>
        </w:rPr>
        <w:t>computed tomography</w:t>
      </w:r>
      <w:r>
        <w:rPr>
          <w:rFonts w:ascii="Book Antiqua" w:eastAsia="Book Antiqua" w:hAnsi="Book Antiqua" w:cs="Book Antiqua"/>
          <w:color w:val="000000"/>
        </w:rPr>
        <w:t xml:space="preserve"> showed the extravasation of radiocontrast media at the ileum (Figure 2).</w:t>
      </w:r>
    </w:p>
    <w:p w14:paraId="28054633" w14:textId="77777777" w:rsidR="00A5277B" w:rsidRDefault="00A5277B">
      <w:pPr>
        <w:spacing w:line="360" w:lineRule="auto"/>
        <w:jc w:val="both"/>
      </w:pPr>
    </w:p>
    <w:p w14:paraId="6D62E266" w14:textId="77777777" w:rsidR="00A5277B" w:rsidRDefault="004B0509">
      <w:pPr>
        <w:spacing w:line="360" w:lineRule="auto"/>
        <w:jc w:val="both"/>
      </w:pPr>
      <w:r>
        <w:rPr>
          <w:rFonts w:ascii="Book Antiqua" w:eastAsia="Book Antiqua" w:hAnsi="Book Antiqua" w:cs="Book Antiqua"/>
          <w:b/>
          <w:caps/>
          <w:color w:val="000000"/>
          <w:u w:val="single"/>
        </w:rPr>
        <w:t>FINAL DIAGNOSIS</w:t>
      </w:r>
    </w:p>
    <w:p w14:paraId="05945506" w14:textId="77777777" w:rsidR="00A5277B" w:rsidRDefault="004B0509">
      <w:pPr>
        <w:spacing w:line="360" w:lineRule="auto"/>
        <w:jc w:val="both"/>
      </w:pPr>
      <w:r>
        <w:rPr>
          <w:rFonts w:ascii="Book Antiqua" w:eastAsia="Book Antiqua" w:hAnsi="Book Antiqua" w:cs="Book Antiqua"/>
          <w:color w:val="000000"/>
        </w:rPr>
        <w:t>Final diagnosis was small bowel ulcer bleeding due to clopidogrel resistance.</w:t>
      </w:r>
    </w:p>
    <w:p w14:paraId="268E854C" w14:textId="77777777" w:rsidR="00A5277B" w:rsidRDefault="00A5277B">
      <w:pPr>
        <w:spacing w:line="360" w:lineRule="auto"/>
        <w:jc w:val="both"/>
      </w:pPr>
    </w:p>
    <w:p w14:paraId="449C7E57" w14:textId="77777777" w:rsidR="00A5277B" w:rsidRDefault="004B0509">
      <w:pPr>
        <w:spacing w:line="360" w:lineRule="auto"/>
        <w:jc w:val="both"/>
      </w:pPr>
      <w:r>
        <w:rPr>
          <w:rFonts w:ascii="Book Antiqua" w:eastAsia="Book Antiqua" w:hAnsi="Book Antiqua" w:cs="Book Antiqua"/>
          <w:b/>
          <w:caps/>
          <w:color w:val="000000"/>
          <w:u w:val="single"/>
        </w:rPr>
        <w:t>TREATMENT</w:t>
      </w:r>
    </w:p>
    <w:p w14:paraId="42A79F41" w14:textId="77777777" w:rsidR="00A5277B" w:rsidRDefault="004B0509">
      <w:pPr>
        <w:spacing w:line="360" w:lineRule="auto"/>
        <w:jc w:val="both"/>
      </w:pPr>
      <w:r>
        <w:rPr>
          <w:rFonts w:ascii="Book Antiqua" w:eastAsia="Book Antiqua" w:hAnsi="Book Antiqua" w:cs="Book Antiqua"/>
          <w:color w:val="000000"/>
        </w:rPr>
        <w:t>Because of unstable vital signs, emergency surgery was performed. Multiple ulcers with inflammation were found in the ileum (Figure 3). The pathologic findings revealed simple inflammation (Figure 4). VeryfyNow P2Y12 testing was performed to check the clopidogrel response (365PRU), and the results showed clopidogrel resistance.</w:t>
      </w:r>
    </w:p>
    <w:p w14:paraId="33955DAD" w14:textId="77777777" w:rsidR="00A5277B" w:rsidRDefault="00A5277B">
      <w:pPr>
        <w:spacing w:line="360" w:lineRule="auto"/>
        <w:jc w:val="both"/>
      </w:pPr>
    </w:p>
    <w:p w14:paraId="04378041" w14:textId="77777777" w:rsidR="00A5277B" w:rsidRDefault="004B0509">
      <w:pPr>
        <w:spacing w:line="360" w:lineRule="auto"/>
        <w:jc w:val="both"/>
      </w:pPr>
      <w:r>
        <w:rPr>
          <w:rFonts w:ascii="Book Antiqua" w:eastAsia="Book Antiqua" w:hAnsi="Book Antiqua" w:cs="Book Antiqua"/>
          <w:b/>
          <w:caps/>
          <w:color w:val="000000"/>
          <w:u w:val="single"/>
        </w:rPr>
        <w:t>OUTCOME AND FOLLOW-UP</w:t>
      </w:r>
    </w:p>
    <w:p w14:paraId="603FFF40" w14:textId="77777777" w:rsidR="00A5277B" w:rsidRDefault="004B0509">
      <w:pPr>
        <w:spacing w:line="360" w:lineRule="auto"/>
        <w:jc w:val="both"/>
      </w:pPr>
      <w:r>
        <w:rPr>
          <w:rFonts w:ascii="Book Antiqua" w:eastAsia="Book Antiqua" w:hAnsi="Book Antiqua" w:cs="Book Antiqua"/>
          <w:color w:val="000000"/>
        </w:rPr>
        <w:t>The patient was prescribed aspirin instead of clopidogrel. There were no complaining symptoms. One year after discharge, capsule endoscopy was performed and the small bowel ulcers were improved (Figure 5).</w:t>
      </w:r>
    </w:p>
    <w:p w14:paraId="12301896" w14:textId="77777777" w:rsidR="00A5277B" w:rsidRDefault="00A5277B">
      <w:pPr>
        <w:spacing w:line="360" w:lineRule="auto"/>
        <w:jc w:val="both"/>
      </w:pPr>
    </w:p>
    <w:p w14:paraId="5A2C0044" w14:textId="77777777" w:rsidR="00A5277B" w:rsidRDefault="004B0509">
      <w:pPr>
        <w:spacing w:line="360" w:lineRule="auto"/>
        <w:jc w:val="both"/>
      </w:pPr>
      <w:r>
        <w:rPr>
          <w:rFonts w:ascii="Book Antiqua" w:eastAsia="Book Antiqua" w:hAnsi="Book Antiqua" w:cs="Book Antiqua"/>
          <w:b/>
          <w:caps/>
          <w:color w:val="000000"/>
          <w:u w:val="single"/>
        </w:rPr>
        <w:t>DISCUSSION</w:t>
      </w:r>
    </w:p>
    <w:p w14:paraId="65131F5F" w14:textId="77777777" w:rsidR="00A5277B" w:rsidRDefault="004B0509" w:rsidP="00143104">
      <w:pPr>
        <w:spacing w:line="360" w:lineRule="auto"/>
        <w:jc w:val="both"/>
      </w:pPr>
      <w:r>
        <w:rPr>
          <w:rFonts w:ascii="Book Antiqua" w:eastAsia="Book Antiqua" w:hAnsi="Book Antiqua" w:cs="Book Antiqua"/>
          <w:color w:val="000000"/>
          <w:shd w:val="clear" w:color="auto" w:fill="FFFFFF"/>
        </w:rPr>
        <w:t xml:space="preserve">This is the first report of a small bowel ulcer bleeding, which was suspected to be due to clopidogrel use in a patient with clopidogrel resistance. </w:t>
      </w:r>
      <w:r>
        <w:rPr>
          <w:rFonts w:ascii="Book Antiqua" w:eastAsia="Book Antiqua" w:hAnsi="Book Antiqua" w:cs="Book Antiqua"/>
          <w:color w:val="000000"/>
        </w:rPr>
        <w:t>Clopidogrel, a second-generation oral thienopyridine is most commonly used as dual antiplatelet therapy with aspirin for the treatment of cardiovascular disease</w:t>
      </w:r>
      <w:r>
        <w:rPr>
          <w:rFonts w:ascii="Book Antiqua" w:eastAsia="Book Antiqua" w:hAnsi="Book Antiqua" w:cs="Book Antiqua"/>
          <w:color w:val="000000"/>
          <w:szCs w:val="30"/>
          <w:vertAlign w:val="superscript"/>
        </w:rPr>
        <w:t>[4]</w:t>
      </w:r>
      <w:r w:rsidR="00143104">
        <w:rPr>
          <w:rFonts w:ascii="Book Antiqua" w:eastAsia="宋体" w:hAnsi="Book Antiqua" w:cs="Book Antiqua" w:hint="eastAsia"/>
          <w:color w:val="000000"/>
          <w:szCs w:val="30"/>
          <w:lang w:eastAsia="zh-CN"/>
        </w:rPr>
        <w:t>.</w:t>
      </w:r>
      <w:r>
        <w:rPr>
          <w:rFonts w:ascii="Book Antiqua" w:eastAsia="Book Antiqua" w:hAnsi="Book Antiqua" w:cs="Book Antiqua"/>
          <w:color w:val="000000"/>
        </w:rPr>
        <w:t xml:space="preserve"> However, despite the use of clopidogrel, a considerable number of patients continue to have cardiovascular events. This phenomenon is called clopidogrel resistance and reflects the failure of the molecule to inhibit the target of its action. </w:t>
      </w:r>
    </w:p>
    <w:p w14:paraId="29A76438" w14:textId="77777777" w:rsidR="00A5277B" w:rsidRPr="00143104" w:rsidRDefault="004B0509" w:rsidP="00143104">
      <w:pPr>
        <w:spacing w:line="360" w:lineRule="auto"/>
        <w:ind w:firstLineChars="100" w:firstLine="240"/>
        <w:jc w:val="both"/>
        <w:rPr>
          <w:rFonts w:eastAsia="宋体"/>
          <w:lang w:eastAsia="zh-CN"/>
        </w:rPr>
      </w:pPr>
      <w:r>
        <w:rPr>
          <w:rFonts w:ascii="Book Antiqua" w:eastAsia="Book Antiqua" w:hAnsi="Book Antiqua" w:cs="Book Antiqua"/>
          <w:color w:val="000000"/>
        </w:rPr>
        <w:t xml:space="preserve">With respect to clopidogrel resistance, accumulating data from numerous clinical studies underscore the importance of high on-treatment platelet reactivity (HPR) as a prognostic risk factor. There are several methods to evaluate the platelet response to clopidogrel.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measurements of ADP-induced platelet aggregation by light transmittance aggregometry is the most commonly used gold standard method</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20"/>
          <w:shd w:val="clear" w:color="auto" w:fill="FFFFFF"/>
          <w:vertAlign w:val="superscript"/>
        </w:rPr>
        <w:t>]</w:t>
      </w:r>
      <w:r w:rsidR="00143104">
        <w:rPr>
          <w:rFonts w:ascii="Book Antiqua" w:eastAsia="宋体" w:hAnsi="Book Antiqua" w:cs="Book Antiqua" w:hint="eastAsia"/>
          <w:color w:val="000000"/>
          <w:szCs w:val="20"/>
          <w:shd w:val="clear" w:color="auto" w:fill="FFFFFF"/>
          <w:lang w:eastAsia="zh-CN"/>
        </w:rPr>
        <w:t>.</w:t>
      </w:r>
    </w:p>
    <w:p w14:paraId="15BC709E" w14:textId="77777777" w:rsidR="00A5277B" w:rsidRPr="00143104" w:rsidRDefault="004B0509" w:rsidP="00143104">
      <w:pPr>
        <w:spacing w:line="360" w:lineRule="auto"/>
        <w:ind w:firstLineChars="100" w:firstLine="240"/>
        <w:jc w:val="both"/>
        <w:rPr>
          <w:rFonts w:eastAsia="宋体"/>
          <w:lang w:eastAsia="zh-CN"/>
        </w:rPr>
      </w:pPr>
      <w:r>
        <w:rPr>
          <w:rFonts w:ascii="Book Antiqua" w:eastAsia="Book Antiqua" w:hAnsi="Book Antiqua" w:cs="Book Antiqua"/>
          <w:color w:val="000000"/>
          <w:shd w:val="clear" w:color="auto" w:fill="FFFFFF"/>
        </w:rPr>
        <w:t>VerifyNow is a simple, rapid, point-of-care test with the advantages of small sample volume, the use of whole blood, and no pipetting. The test is used to assess the effect of clopidogrel resistance on the P2Y12 inhibition of platelet function</w:t>
      </w:r>
      <w:hyperlink r:id="rId7" w:anchor="b6-jvin-4-2-009" w:history="1">
        <w:r w:rsidRPr="00037D82">
          <w:rPr>
            <w:rFonts w:ascii="Book Antiqua" w:eastAsia="Book Antiqua" w:hAnsi="Book Antiqua" w:cs="Book Antiqua"/>
            <w:color w:val="000000"/>
            <w:szCs w:val="20"/>
            <w:shd w:val="clear" w:color="auto" w:fill="FFFFFF"/>
            <w:vertAlign w:val="superscript"/>
          </w:rPr>
          <w:t>[</w:t>
        </w:r>
      </w:hyperlink>
      <w:r w:rsidRPr="00037D82">
        <w:rPr>
          <w:rFonts w:ascii="Book Antiqua" w:eastAsia="Book Antiqua" w:hAnsi="Book Antiqua" w:cs="Book Antiqua"/>
          <w:color w:val="000000"/>
          <w:szCs w:val="20"/>
          <w:shd w:val="clear" w:color="auto" w:fill="FFFFFF"/>
          <w:vertAlign w:val="superscript"/>
        </w:rPr>
        <w:t>6]</w:t>
      </w:r>
      <w:r w:rsidR="00143104" w:rsidRPr="00037D82">
        <w:rPr>
          <w:rFonts w:ascii="Book Antiqua" w:eastAsia="宋体" w:hAnsi="Book Antiqua" w:cs="Book Antiqua" w:hint="eastAsia"/>
          <w:color w:val="000000"/>
          <w:szCs w:val="20"/>
          <w:lang w:eastAsia="zh-CN"/>
        </w:rPr>
        <w:t>.</w:t>
      </w:r>
    </w:p>
    <w:p w14:paraId="793920AE" w14:textId="2598B240" w:rsidR="00A5277B" w:rsidRDefault="004B0509" w:rsidP="00143104">
      <w:pPr>
        <w:spacing w:line="360" w:lineRule="auto"/>
        <w:ind w:firstLineChars="100" w:firstLine="240"/>
        <w:jc w:val="both"/>
      </w:pPr>
      <w:r>
        <w:rPr>
          <w:rFonts w:ascii="Book Antiqua" w:eastAsia="Book Antiqua" w:hAnsi="Book Antiqua" w:cs="Book Antiqua"/>
          <w:color w:val="000000"/>
          <w:shd w:val="clear" w:color="auto" w:fill="FFFFFF"/>
        </w:rPr>
        <w:t>When HPR was defined as 5 and 20 μ</w:t>
      </w:r>
      <w:r w:rsidR="00220BEC">
        <w:rPr>
          <w:rFonts w:ascii="Book Antiqua" w:eastAsia="Book Antiqua" w:hAnsi="Book Antiqua" w:cs="Book Antiqua"/>
          <w:color w:val="000000"/>
          <w:shd w:val="clear" w:color="auto" w:fill="FFFFFF"/>
        </w:rPr>
        <w:t>mol</w:t>
      </w:r>
      <w:r w:rsidR="00220BEC" w:rsidRPr="00220BEC">
        <w:rPr>
          <w:i/>
          <w:iCs/>
        </w:rPr>
        <w:t>/</w:t>
      </w:r>
      <w:r w:rsidR="00220BEC">
        <w:t>L</w:t>
      </w:r>
      <w:r>
        <w:rPr>
          <w:rFonts w:ascii="Book Antiqua" w:eastAsia="Book Antiqua" w:hAnsi="Book Antiqua" w:cs="Book Antiqua"/>
          <w:color w:val="000000"/>
          <w:shd w:val="clear" w:color="auto" w:fill="FFFFFF"/>
        </w:rPr>
        <w:t xml:space="preserve"> adenosine diphosphate-induced maximal platelet aggregation of ≥ 46% and ≥ 59%, respectively, and P2Y12 reaction units of ≥ 235, HPR determined by light transmittance aggregometry and VeryfiNow P2Y12 were well-matched, and the risk stratification between the two methods showed strong agreement</w:t>
      </w:r>
      <w:r w:rsidR="00143104">
        <w:rPr>
          <w:rFonts w:ascii="Book Antiqua" w:eastAsia="Book Antiqua" w:hAnsi="Book Antiqua" w:cs="Book Antiqua"/>
          <w:color w:val="000000"/>
          <w:szCs w:val="30"/>
          <w:shd w:val="clear" w:color="auto" w:fill="FFFFFF"/>
          <w:vertAlign w:val="superscript"/>
        </w:rPr>
        <w:t>[7]</w:t>
      </w:r>
      <w:r>
        <w:rPr>
          <w:rFonts w:ascii="Book Antiqua" w:eastAsia="Book Antiqua" w:hAnsi="Book Antiqua" w:cs="Book Antiqua"/>
          <w:color w:val="000000"/>
          <w:shd w:val="clear" w:color="auto" w:fill="FFFFFF"/>
        </w:rPr>
        <w:t>.</w:t>
      </w:r>
    </w:p>
    <w:p w14:paraId="1FA7B7C3" w14:textId="77777777" w:rsidR="00A5277B" w:rsidRDefault="004B0509">
      <w:pPr>
        <w:spacing w:line="360" w:lineRule="auto"/>
        <w:ind w:firstLine="240"/>
        <w:jc w:val="both"/>
      </w:pPr>
      <w:r>
        <w:rPr>
          <w:rFonts w:ascii="Book Antiqua" w:eastAsia="Book Antiqua" w:hAnsi="Book Antiqua" w:cs="Book Antiqua"/>
          <w:color w:val="000000"/>
        </w:rPr>
        <w:t>The small bowel is a rare site of GI bleeding and a common site of obscure GI bleeding. It became possible to examine the small intestine through as double balloon endoscopy and capsule endoscopy</w:t>
      </w:r>
      <w:r w:rsidR="00143104">
        <w:rPr>
          <w:rFonts w:ascii="Book Antiqua" w:eastAsia="Book Antiqua" w:hAnsi="Book Antiqua" w:cs="Book Antiqua"/>
          <w:color w:val="000000"/>
          <w:szCs w:val="30"/>
          <w:vertAlign w:val="superscript"/>
        </w:rPr>
        <w:t>[</w:t>
      </w:r>
      <w:r w:rsidR="00143104">
        <w:rPr>
          <w:rFonts w:ascii="Book Antiqua" w:eastAsia="Book Antiqua" w:hAnsi="Book Antiqua" w:cs="Book Antiqua"/>
          <w:color w:val="000000"/>
          <w:szCs w:val="20"/>
          <w:vertAlign w:val="superscript"/>
        </w:rPr>
        <w:t>8,9]</w:t>
      </w:r>
      <w:r w:rsidR="00143104">
        <w:rPr>
          <w:rFonts w:ascii="Book Antiqua" w:eastAsia="Book Antiqua" w:hAnsi="Book Antiqua" w:cs="Book Antiqua"/>
          <w:color w:val="000000"/>
        </w:rPr>
        <w:t>.</w:t>
      </w:r>
      <w:r>
        <w:rPr>
          <w:rFonts w:ascii="Book Antiqua" w:eastAsia="Book Antiqua" w:hAnsi="Book Antiqua" w:cs="Book Antiqua"/>
          <w:color w:val="000000"/>
        </w:rPr>
        <w:t>According to previous studies, the incidence of small bowel ulcers and bleeding due to NSAIDs was about eight times higher than that of patients who did not take NSAIDs</w:t>
      </w:r>
      <w:r w:rsidR="00143104">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Low-dose aspirin has been reported to cause small bowel injury and 57.6% of the chronic users had mucosal breaks</w:t>
      </w:r>
      <w:r w:rsidR="00143104">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The crude risk of GI events in patients taking no antiplatelet therapy was 1.6%. The risk in aspirin users was 4.1%. The risk in clopidogrel users was 6.1%, and the risk in patients on both agents was 6.6%</w:t>
      </w:r>
      <w:r w:rsidR="004E6F26">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In a</w:t>
      </w:r>
      <w:r w:rsidR="004E6F26">
        <w:rPr>
          <w:rFonts w:ascii="Book Antiqua" w:eastAsia="Book Antiqua" w:hAnsi="Book Antiqua" w:cs="Book Antiqua"/>
          <w:color w:val="000000"/>
        </w:rPr>
        <w:t xml:space="preserve"> large cohort study, in over 75</w:t>
      </w:r>
      <w:r>
        <w:rPr>
          <w:rFonts w:ascii="Book Antiqua" w:eastAsia="Book Antiqua" w:hAnsi="Book Antiqua" w:cs="Book Antiqua"/>
          <w:color w:val="000000"/>
        </w:rPr>
        <w:t>000 patients who took clopidogrel, the long-term risk of GI events like bleeding, ulcer, and erosion increased from 2</w:t>
      </w:r>
      <w:r w:rsidR="004E6F26">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to 6%, comparing never-users with users</w:t>
      </w:r>
      <w:r w:rsidR="00711B92">
        <w:rPr>
          <w:rFonts w:ascii="Book Antiqua" w:eastAsia="Book Antiqua" w:hAnsi="Book Antiqua" w:cs="Book Antiqua"/>
          <w:color w:val="000000"/>
          <w:szCs w:val="30"/>
          <w:vertAlign w:val="superscript"/>
        </w:rPr>
        <w:t>[13]</w:t>
      </w:r>
      <w:r w:rsidR="00711B92">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However, this study had an observational design and included all GI bleeding. There is no mention of clopidogrel resisitance, so the difference in interstinal ulceration with or without clopidogrel resistance is unknown.</w:t>
      </w:r>
    </w:p>
    <w:p w14:paraId="004173C2" w14:textId="77777777" w:rsidR="00A5277B" w:rsidRDefault="004B0509">
      <w:pPr>
        <w:spacing w:line="360" w:lineRule="auto"/>
        <w:ind w:firstLine="240"/>
        <w:jc w:val="both"/>
      </w:pPr>
      <w:r>
        <w:rPr>
          <w:rFonts w:ascii="Book Antiqua" w:eastAsia="Book Antiqua" w:hAnsi="Book Antiqua" w:cs="Book Antiqua"/>
          <w:color w:val="000000"/>
        </w:rPr>
        <w:t xml:space="preserve">Some studies suggested that phospholipids and mitochondria in the intestinal cells are directly damaged by </w:t>
      </w:r>
      <w:bookmarkStart w:id="10" w:name="OLE_LINK6"/>
      <w:r w:rsidR="00F237FA" w:rsidRPr="00F237FA">
        <w:rPr>
          <w:rFonts w:ascii="Book Antiqua" w:eastAsia="Book Antiqua" w:hAnsi="Book Antiqua" w:cs="Book Antiqua"/>
          <w:color w:val="000000"/>
        </w:rPr>
        <w:t>cyclooxygenase</w:t>
      </w:r>
      <w:r>
        <w:rPr>
          <w:rFonts w:ascii="Book Antiqua" w:eastAsia="Book Antiqua" w:hAnsi="Book Antiqua" w:cs="Book Antiqua"/>
          <w:color w:val="000000"/>
        </w:rPr>
        <w:t xml:space="preserve"> </w:t>
      </w:r>
      <w:bookmarkEnd w:id="10"/>
      <w:r>
        <w:rPr>
          <w:rFonts w:ascii="Book Antiqua" w:eastAsia="Book Antiqua" w:hAnsi="Book Antiqua" w:cs="Book Antiqua"/>
          <w:color w:val="000000"/>
        </w:rPr>
        <w:t>inhibition from NSAIDs. This result induces a decrease in energy synthesis and the generation of free radicals. Then, intercellular junctions are disrupted and intestinal permeability is increased</w:t>
      </w:r>
      <w:r w:rsidR="00770E6B">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Another report suggested that the intestinal mucosal barrier is damaged by intraluminal contents such as bile acid, food, bacteria, and enzymes as a result of inflammation that occurs when neutrophils are activated</w:t>
      </w:r>
      <w:r w:rsidR="00770E6B">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There are rare previous reports of small bowel injury and bleeding due to clopidogrel and the mechanisms of ulcer formation in patients receiving clopidogrel therapy are unclear.</w:t>
      </w:r>
    </w:p>
    <w:p w14:paraId="6A028AA1" w14:textId="77777777" w:rsidR="00A5277B" w:rsidRDefault="004B0509">
      <w:pPr>
        <w:spacing w:line="360" w:lineRule="auto"/>
        <w:ind w:firstLine="240"/>
        <w:jc w:val="both"/>
      </w:pPr>
      <w:r>
        <w:rPr>
          <w:rFonts w:ascii="Book Antiqua" w:eastAsia="Book Antiqua" w:hAnsi="Book Antiqua" w:cs="Book Antiqua"/>
          <w:color w:val="000000"/>
        </w:rPr>
        <w:t xml:space="preserve">However, it has been hypothesized that an impairment in ulcer healing by </w:t>
      </w:r>
      <w:bookmarkStart w:id="11" w:name="OLE_LINK9"/>
      <w:bookmarkStart w:id="12" w:name="OLE_LINK10"/>
      <w:r w:rsidR="00F237FA" w:rsidRPr="00F237FA">
        <w:rPr>
          <w:rFonts w:ascii="Book Antiqua" w:eastAsia="Book Antiqua" w:hAnsi="Book Antiqua" w:cs="Book Antiqua"/>
          <w:color w:val="000000"/>
        </w:rPr>
        <w:t xml:space="preserve">adenosine diphosphate </w:t>
      </w:r>
      <w:r w:rsidR="00F237FA">
        <w:rPr>
          <w:rFonts w:ascii="Book Antiqua" w:eastAsia="宋体" w:hAnsi="Book Antiqua" w:cs="Book Antiqua" w:hint="eastAsia"/>
          <w:color w:val="000000"/>
          <w:lang w:eastAsia="zh-CN"/>
        </w:rPr>
        <w:t>(</w:t>
      </w:r>
      <w:r>
        <w:rPr>
          <w:rFonts w:ascii="Book Antiqua" w:eastAsia="Book Antiqua" w:hAnsi="Book Antiqua" w:cs="Book Antiqua"/>
          <w:color w:val="000000"/>
        </w:rPr>
        <w:t>ADP</w:t>
      </w:r>
      <w:r w:rsidR="00F237FA">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bookmarkEnd w:id="11"/>
      <w:bookmarkEnd w:id="12"/>
      <w:r>
        <w:rPr>
          <w:rFonts w:ascii="Book Antiqua" w:eastAsia="Book Antiqua" w:hAnsi="Book Antiqua" w:cs="Book Antiqua"/>
          <w:color w:val="000000"/>
        </w:rPr>
        <w:t>receptor antagonists may cause gastrointestinal injury</w:t>
      </w:r>
      <w:r w:rsidR="005A5D40">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Platelet aggregation may play an important role in ulcer healing through the release of platelet-derived growth factors that promote angiogenesis and ulcer healing. ADP receptor antagonists may impair gastric ulcer healing by suppressing the release of platelet-derived growth factors</w:t>
      </w:r>
      <w:r w:rsidR="00F237FA">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t>
      </w:r>
    </w:p>
    <w:p w14:paraId="7E8D2252" w14:textId="77777777" w:rsidR="00A5277B" w:rsidRDefault="004B0509">
      <w:pPr>
        <w:spacing w:line="360" w:lineRule="auto"/>
        <w:ind w:firstLine="240"/>
        <w:jc w:val="both"/>
      </w:pPr>
      <w:r>
        <w:rPr>
          <w:rFonts w:ascii="Book Antiqua" w:eastAsia="Book Antiqua" w:hAnsi="Book Antiqua" w:cs="Book Antiqua"/>
          <w:color w:val="000000"/>
        </w:rPr>
        <w:t>To the best of our knowledge, small bowel ulcer bleeding in patients with clopidogrel resistance has not been reported. Theoretically, clopidogrel cannot cause GI bleeding including small bowel injury in patients with clopidogrel resistance. In this case, there were no specific medications leading to GI bleeding and simple inflammation with no specific disease was found in the histologic examination. Clopidogrel resistance was confirmed by VeryfyNow P2Y12 testing. These results led to the diagnosis of small intestinal ulcers and bleeding associated by clopidogrel. After undergoing an operation and changing clopidogrel to aspirin, the patient's symptoms and blood tests improved, so it could be expected that intestinal bleeding no longer occurred in the patient. However, capsule endoscopy was performed to completely exclude small bowel ulceration, and it was confirmed that small bowel ulceration did not occur. This supports our opinion even though we do not know the exact mechanism of small bowel bleeding in this patient with clopidogrel resistance.</w:t>
      </w:r>
    </w:p>
    <w:p w14:paraId="076A983B" w14:textId="77777777" w:rsidR="00A5277B" w:rsidRDefault="004B0509" w:rsidP="00487B71">
      <w:pPr>
        <w:spacing w:line="360" w:lineRule="auto"/>
        <w:ind w:firstLineChars="100" w:firstLine="240"/>
        <w:jc w:val="both"/>
      </w:pPr>
      <w:r>
        <w:rPr>
          <w:rFonts w:ascii="Book Antiqua" w:eastAsia="Book Antiqua" w:hAnsi="Book Antiqua" w:cs="Book Antiqua"/>
          <w:color w:val="000000"/>
        </w:rPr>
        <w:t>The mechanisms of clopidogrel resistance are not fully elucidated but there are several opinions on the mechanism for clopidogrel resistance. First opinion includes inappropriate dosing or underdosing of clopidogrel and drug–drug interactions between clopidogrel and other drugs. Second opinion may be hepatic conversion of the active metabolite by cytochrome CYP2C19. Third opinion could include variable intestinal absorption of the prodrug or clearance of the active metabolite. Otherwise, ABC1 activity, increased release of ADP and platelet receptor polymorphisms have been suggested</w:t>
      </w:r>
      <w:r w:rsidR="00487B71">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In this case, these mechanisms might cause inappropriate concentration and action of active metabolite of clopidogrel and lead to ulceration and bleeding of small bowel.</w:t>
      </w:r>
    </w:p>
    <w:p w14:paraId="1F5ECD67" w14:textId="77777777" w:rsidR="00A5277B" w:rsidRDefault="00A5277B">
      <w:pPr>
        <w:spacing w:line="360" w:lineRule="auto"/>
        <w:ind w:firstLine="120"/>
        <w:jc w:val="both"/>
      </w:pPr>
    </w:p>
    <w:p w14:paraId="12FAA437" w14:textId="77777777" w:rsidR="00A5277B" w:rsidRDefault="004B0509">
      <w:pPr>
        <w:spacing w:line="360" w:lineRule="auto"/>
        <w:jc w:val="both"/>
      </w:pPr>
      <w:r>
        <w:rPr>
          <w:rFonts w:ascii="Book Antiqua" w:eastAsia="Book Antiqua" w:hAnsi="Book Antiqua" w:cs="Book Antiqua"/>
          <w:b/>
          <w:caps/>
          <w:color w:val="000000"/>
          <w:u w:val="single"/>
        </w:rPr>
        <w:t>CONCLUSION</w:t>
      </w:r>
    </w:p>
    <w:p w14:paraId="347A8382" w14:textId="77777777" w:rsidR="00A5277B" w:rsidRDefault="004B0509" w:rsidP="003F0127">
      <w:pPr>
        <w:spacing w:line="360" w:lineRule="auto"/>
        <w:jc w:val="both"/>
      </w:pPr>
      <w:r>
        <w:rPr>
          <w:rFonts w:ascii="Book Antiqua" w:eastAsia="Book Antiqua" w:hAnsi="Book Antiqua" w:cs="Book Antiqua"/>
          <w:color w:val="000000"/>
        </w:rPr>
        <w:t>In conclusion, we reported the first case of a small bowel ulcer bleeding, which was suspected to be due to clopidogrel use in a patient with clopidogrel resistance. Small bowel ulcers and bleeding due to clopidogrel are not very common, but the prevalence is expected to increase in older age patients with risk factors despite clopidogrel resistance.</w:t>
      </w:r>
    </w:p>
    <w:p w14:paraId="5B13EE89" w14:textId="77777777" w:rsidR="00A5277B" w:rsidRDefault="00A5277B">
      <w:pPr>
        <w:spacing w:line="360" w:lineRule="auto"/>
        <w:ind w:firstLine="240"/>
        <w:jc w:val="both"/>
      </w:pPr>
    </w:p>
    <w:p w14:paraId="26B2F595" w14:textId="77777777" w:rsidR="00A5277B" w:rsidRPr="00B11690" w:rsidRDefault="004B0509" w:rsidP="00B11690">
      <w:pPr>
        <w:adjustRightInd w:val="0"/>
        <w:snapToGrid w:val="0"/>
        <w:spacing w:line="360" w:lineRule="auto"/>
        <w:jc w:val="both"/>
        <w:rPr>
          <w:rFonts w:ascii="Book Antiqua" w:hAnsi="Book Antiqua"/>
        </w:rPr>
      </w:pPr>
      <w:r w:rsidRPr="00B11690">
        <w:rPr>
          <w:rFonts w:ascii="Book Antiqua" w:eastAsia="Book Antiqua" w:hAnsi="Book Antiqua" w:cs="Book Antiqua"/>
          <w:b/>
        </w:rPr>
        <w:t>REFERENCES</w:t>
      </w:r>
    </w:p>
    <w:p w14:paraId="3A84199D" w14:textId="77777777" w:rsidR="00B11690" w:rsidRPr="00B11690" w:rsidRDefault="00B11690" w:rsidP="00B11690">
      <w:pPr>
        <w:pStyle w:val="a4"/>
        <w:shd w:val="clear" w:color="auto" w:fill="FFFFFF"/>
        <w:adjustRightInd w:val="0"/>
        <w:snapToGrid w:val="0"/>
        <w:spacing w:before="0" w:beforeAutospacing="0" w:after="0" w:afterAutospacing="0" w:line="360" w:lineRule="auto"/>
        <w:jc w:val="both"/>
        <w:rPr>
          <w:rFonts w:ascii="Book Antiqua" w:hAnsi="Book Antiqua"/>
        </w:rPr>
      </w:pPr>
      <w:bookmarkStart w:id="13" w:name="OLE_LINK2690"/>
      <w:bookmarkStart w:id="14" w:name="OLE_LINK2691"/>
      <w:r w:rsidRPr="00B11690">
        <w:rPr>
          <w:rFonts w:ascii="Book Antiqua" w:hAnsi="Book Antiqua"/>
        </w:rPr>
        <w:t>1 </w:t>
      </w:r>
      <w:r w:rsidRPr="00B11690">
        <w:rPr>
          <w:rFonts w:ascii="Book Antiqua" w:hAnsi="Book Antiqua"/>
          <w:b/>
          <w:bCs/>
        </w:rPr>
        <w:t>Zhang BL</w:t>
      </w:r>
      <w:r w:rsidRPr="00B11690">
        <w:rPr>
          <w:rFonts w:ascii="Book Antiqua" w:hAnsi="Book Antiqua"/>
        </w:rPr>
        <w:t>, Chen CX, Li YM. Capsule endoscopy examination identifies different leading causes of obscure gastrointestinal bleeding in patients of different ages. </w:t>
      </w:r>
      <w:r w:rsidRPr="00B11690">
        <w:rPr>
          <w:rFonts w:ascii="Book Antiqua" w:hAnsi="Book Antiqua"/>
          <w:i/>
          <w:iCs/>
        </w:rPr>
        <w:t>Turk J Gastroenterol</w:t>
      </w:r>
      <w:r w:rsidRPr="00B11690">
        <w:rPr>
          <w:rFonts w:ascii="Book Antiqua" w:hAnsi="Book Antiqua"/>
        </w:rPr>
        <w:t> 2012; </w:t>
      </w:r>
      <w:r w:rsidRPr="00B11690">
        <w:rPr>
          <w:rFonts w:ascii="Book Antiqua" w:hAnsi="Book Antiqua"/>
          <w:b/>
          <w:bCs/>
        </w:rPr>
        <w:t>23</w:t>
      </w:r>
      <w:r w:rsidRPr="00B11690">
        <w:rPr>
          <w:rFonts w:ascii="Book Antiqua" w:hAnsi="Book Antiqua"/>
        </w:rPr>
        <w:t>: 220-225 [PMID: 22798110 DOI: 10.4318/tjg.2012.0338]</w:t>
      </w:r>
    </w:p>
    <w:p w14:paraId="78D7769F" w14:textId="77777777" w:rsidR="00B11690" w:rsidRPr="00B11690" w:rsidRDefault="00B11690" w:rsidP="00B11690">
      <w:pPr>
        <w:pStyle w:val="a4"/>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2 </w:t>
      </w:r>
      <w:r w:rsidRPr="00B11690">
        <w:rPr>
          <w:rFonts w:ascii="Book Antiqua" w:hAnsi="Book Antiqua"/>
          <w:b/>
          <w:bCs/>
        </w:rPr>
        <w:t>Scarpignato C</w:t>
      </w:r>
      <w:r w:rsidRPr="00B11690">
        <w:rPr>
          <w:rFonts w:ascii="Book Antiqua" w:hAnsi="Book Antiqua"/>
        </w:rPr>
        <w:t>, Bjarnason I. Drug-Induced Small Bowel Injury: a Challenging and Often Forgotten Clinical Condition. </w:t>
      </w:r>
      <w:r w:rsidRPr="00B11690">
        <w:rPr>
          <w:rFonts w:ascii="Book Antiqua" w:hAnsi="Book Antiqua"/>
          <w:i/>
          <w:iCs/>
        </w:rPr>
        <w:t>Curr Gastroenterol Rep</w:t>
      </w:r>
      <w:r w:rsidRPr="00B11690">
        <w:rPr>
          <w:rFonts w:ascii="Book Antiqua" w:hAnsi="Book Antiqua"/>
        </w:rPr>
        <w:t> 2019; </w:t>
      </w:r>
      <w:r w:rsidRPr="00B11690">
        <w:rPr>
          <w:rFonts w:ascii="Book Antiqua" w:hAnsi="Book Antiqua"/>
          <w:b/>
          <w:bCs/>
        </w:rPr>
        <w:t>21</w:t>
      </w:r>
      <w:r w:rsidRPr="00B11690">
        <w:rPr>
          <w:rFonts w:ascii="Book Antiqua" w:hAnsi="Book Antiqua"/>
        </w:rPr>
        <w:t>: 55 [PMID: 31720893 DOI: 10.1007/s11894-019-0726-1]</w:t>
      </w:r>
    </w:p>
    <w:p w14:paraId="7CEEA2C0" w14:textId="77777777" w:rsidR="00B11690" w:rsidRPr="00B11690" w:rsidRDefault="00B11690" w:rsidP="00B11690">
      <w:pPr>
        <w:pStyle w:val="a4"/>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3 </w:t>
      </w:r>
      <w:r w:rsidRPr="00B11690">
        <w:rPr>
          <w:rFonts w:ascii="Book Antiqua" w:hAnsi="Book Antiqua"/>
          <w:b/>
          <w:bCs/>
        </w:rPr>
        <w:t>Breet NJ</w:t>
      </w:r>
      <w:r w:rsidRPr="00B11690">
        <w:rPr>
          <w:rFonts w:ascii="Book Antiqua" w:hAnsi="Book Antiqua"/>
        </w:rPr>
        <w:t>, van Werkum JW, Bouman HJ, Kelder JC, Ruven HJ, Bal ET, Deneer VH, Harmsze AM, van der Heyden JA, Rensing BJ, Suttorp MJ, Hackeng CM, ten Berg JM. Comparison of platelet function tests in predicting clinical outcome in patients undergoing coronary stent implantation. </w:t>
      </w:r>
      <w:r w:rsidRPr="00B11690">
        <w:rPr>
          <w:rFonts w:ascii="Book Antiqua" w:hAnsi="Book Antiqua"/>
          <w:i/>
          <w:iCs/>
        </w:rPr>
        <w:t>JAMA</w:t>
      </w:r>
      <w:r w:rsidRPr="00B11690">
        <w:rPr>
          <w:rFonts w:ascii="Book Antiqua" w:hAnsi="Book Antiqua"/>
        </w:rPr>
        <w:t> 2010; </w:t>
      </w:r>
      <w:r w:rsidRPr="00B11690">
        <w:rPr>
          <w:rFonts w:ascii="Book Antiqua" w:hAnsi="Book Antiqua"/>
          <w:b/>
          <w:bCs/>
        </w:rPr>
        <w:t>303</w:t>
      </w:r>
      <w:r w:rsidRPr="00B11690">
        <w:rPr>
          <w:rFonts w:ascii="Book Antiqua" w:hAnsi="Book Antiqua"/>
        </w:rPr>
        <w:t>: 754-762 [PMID: 20179285 DOI: 10.1001/jama.2010.181]</w:t>
      </w:r>
    </w:p>
    <w:p w14:paraId="69E69CA7" w14:textId="77777777" w:rsidR="00B11690" w:rsidRPr="00B11690" w:rsidRDefault="00B11690" w:rsidP="00B11690">
      <w:pPr>
        <w:pStyle w:val="a4"/>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4 </w:t>
      </w:r>
      <w:r w:rsidRPr="00B11690">
        <w:rPr>
          <w:rFonts w:ascii="Book Antiqua" w:hAnsi="Book Antiqua"/>
          <w:b/>
          <w:bCs/>
        </w:rPr>
        <w:t>Fox KA</w:t>
      </w:r>
      <w:r w:rsidRPr="00B11690">
        <w:rPr>
          <w:rFonts w:ascii="Book Antiqua" w:hAnsi="Book Antiqua"/>
        </w:rPr>
        <w:t>, Mehta SR, Peters R, Zhao F, Lakkis N, Gersh BJ, Yusuf S; Clopidogrel in Unstable angina to prevent Recurrent ischemic Events Trial. Benefits and risks of the combination of clopidogrel and aspirin in patients undergoing surgical revascularization for non-ST-elevation acute coronary syndrome: the Clopidogrel in Unstable angina to prevent Recurrent ischemic Events (CURE) Trial. </w:t>
      </w:r>
      <w:r w:rsidRPr="00B11690">
        <w:rPr>
          <w:rFonts w:ascii="Book Antiqua" w:hAnsi="Book Antiqua"/>
          <w:i/>
          <w:iCs/>
        </w:rPr>
        <w:t>Circulation</w:t>
      </w:r>
      <w:r w:rsidRPr="00B11690">
        <w:rPr>
          <w:rFonts w:ascii="Book Antiqua" w:hAnsi="Book Antiqua"/>
        </w:rPr>
        <w:t> 2004; </w:t>
      </w:r>
      <w:r w:rsidRPr="00B11690">
        <w:rPr>
          <w:rFonts w:ascii="Book Antiqua" w:hAnsi="Book Antiqua"/>
          <w:b/>
          <w:bCs/>
        </w:rPr>
        <w:t>110</w:t>
      </w:r>
      <w:r w:rsidRPr="00B11690">
        <w:rPr>
          <w:rFonts w:ascii="Book Antiqua" w:hAnsi="Book Antiqua"/>
        </w:rPr>
        <w:t>: 1202-1208 [PMID: 15313956 DOI: 10.1161/01.CIR.0000140675.85342.1B]</w:t>
      </w:r>
    </w:p>
    <w:p w14:paraId="4F14AB14" w14:textId="77777777" w:rsidR="00B11690" w:rsidRPr="00B11690" w:rsidRDefault="00B11690" w:rsidP="00B11690">
      <w:pPr>
        <w:pStyle w:val="a4"/>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5 </w:t>
      </w:r>
      <w:r w:rsidRPr="00B11690">
        <w:rPr>
          <w:rFonts w:ascii="Book Antiqua" w:hAnsi="Book Antiqua"/>
          <w:b/>
          <w:bCs/>
        </w:rPr>
        <w:t>Smock KJ</w:t>
      </w:r>
      <w:r w:rsidRPr="00B11690">
        <w:rPr>
          <w:rFonts w:ascii="Book Antiqua" w:hAnsi="Book Antiqua"/>
        </w:rPr>
        <w:t>, Saunders PJ, Rodgers GM, Johari V. Laboratory evaluation of clopidogrel responsiveness by platelet function and genetic methods. </w:t>
      </w:r>
      <w:r w:rsidRPr="00B11690">
        <w:rPr>
          <w:rFonts w:ascii="Book Antiqua" w:hAnsi="Book Antiqua"/>
          <w:i/>
          <w:iCs/>
        </w:rPr>
        <w:t>Am J Hematol</w:t>
      </w:r>
      <w:r w:rsidRPr="00B11690">
        <w:rPr>
          <w:rFonts w:ascii="Book Antiqua" w:hAnsi="Book Antiqua"/>
        </w:rPr>
        <w:t> 2011; </w:t>
      </w:r>
      <w:r w:rsidRPr="00B11690">
        <w:rPr>
          <w:rFonts w:ascii="Book Antiqua" w:hAnsi="Book Antiqua"/>
          <w:b/>
          <w:bCs/>
        </w:rPr>
        <w:t>86</w:t>
      </w:r>
      <w:r w:rsidRPr="00B11690">
        <w:rPr>
          <w:rFonts w:ascii="Book Antiqua" w:hAnsi="Book Antiqua"/>
        </w:rPr>
        <w:t>: 1032-1034 [PMID: 21812020 DOI: 10.1002/ajh.22112]</w:t>
      </w:r>
    </w:p>
    <w:p w14:paraId="66F3F422" w14:textId="77777777" w:rsidR="00B11690" w:rsidRPr="00B11690" w:rsidRDefault="00B11690" w:rsidP="00B11690">
      <w:pPr>
        <w:pStyle w:val="a4"/>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6 </w:t>
      </w:r>
      <w:r w:rsidRPr="00B11690">
        <w:rPr>
          <w:rFonts w:ascii="Book Antiqua" w:hAnsi="Book Antiqua"/>
          <w:b/>
          <w:bCs/>
        </w:rPr>
        <w:t>Gasparyan AY</w:t>
      </w:r>
      <w:r w:rsidRPr="00B11690">
        <w:rPr>
          <w:rFonts w:ascii="Book Antiqua" w:hAnsi="Book Antiqua"/>
        </w:rPr>
        <w:t>. Aspirin and clopidogrel resistance: methodological challenges and opportunities. </w:t>
      </w:r>
      <w:r w:rsidRPr="00B11690">
        <w:rPr>
          <w:rFonts w:ascii="Book Antiqua" w:hAnsi="Book Antiqua"/>
          <w:i/>
          <w:iCs/>
        </w:rPr>
        <w:t>Vasc Health Risk Manag</w:t>
      </w:r>
      <w:r w:rsidRPr="00B11690">
        <w:rPr>
          <w:rFonts w:ascii="Book Antiqua" w:hAnsi="Book Antiqua"/>
        </w:rPr>
        <w:t> 2010; </w:t>
      </w:r>
      <w:r w:rsidRPr="00B11690">
        <w:rPr>
          <w:rFonts w:ascii="Book Antiqua" w:hAnsi="Book Antiqua"/>
          <w:b/>
          <w:bCs/>
        </w:rPr>
        <w:t>6</w:t>
      </w:r>
      <w:r w:rsidRPr="00B11690">
        <w:rPr>
          <w:rFonts w:ascii="Book Antiqua" w:hAnsi="Book Antiqua"/>
        </w:rPr>
        <w:t>: 109-112 [PMID: 20448796 DOI: 10.2147/vhrm.s9087]</w:t>
      </w:r>
    </w:p>
    <w:p w14:paraId="37E99C56" w14:textId="77777777" w:rsidR="00B11690" w:rsidRPr="00B11690" w:rsidRDefault="00B11690" w:rsidP="00B11690">
      <w:pPr>
        <w:pStyle w:val="a4"/>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7 </w:t>
      </w:r>
      <w:r w:rsidRPr="00B11690">
        <w:rPr>
          <w:rFonts w:ascii="Book Antiqua" w:hAnsi="Book Antiqua"/>
          <w:b/>
          <w:bCs/>
        </w:rPr>
        <w:t>Jeong YH</w:t>
      </w:r>
      <w:r w:rsidRPr="00B11690">
        <w:rPr>
          <w:rFonts w:ascii="Book Antiqua" w:hAnsi="Book Antiqua"/>
        </w:rPr>
        <w:t>, Bliden KP, Antonino MJ, Park KS, Tantry US, Gurbel PA. Usefulness of the VerifyNow P2Y12 assay to evaluate the antiplatelet effects of ticagrelor and clopidogrel therapies. </w:t>
      </w:r>
      <w:r w:rsidRPr="00B11690">
        <w:rPr>
          <w:rFonts w:ascii="Book Antiqua" w:hAnsi="Book Antiqua"/>
          <w:i/>
          <w:iCs/>
        </w:rPr>
        <w:t>Am Heart J</w:t>
      </w:r>
      <w:r w:rsidRPr="00B11690">
        <w:rPr>
          <w:rFonts w:ascii="Book Antiqua" w:hAnsi="Book Antiqua"/>
        </w:rPr>
        <w:t> 2012; </w:t>
      </w:r>
      <w:r w:rsidRPr="00B11690">
        <w:rPr>
          <w:rFonts w:ascii="Book Antiqua" w:hAnsi="Book Antiqua"/>
          <w:b/>
          <w:bCs/>
        </w:rPr>
        <w:t>164</w:t>
      </w:r>
      <w:r w:rsidRPr="00B11690">
        <w:rPr>
          <w:rFonts w:ascii="Book Antiqua" w:hAnsi="Book Antiqua"/>
        </w:rPr>
        <w:t>: 35-42 [PMID: 22795280 DOI: 10.1016/j.ahj.2012.03.022]</w:t>
      </w:r>
    </w:p>
    <w:p w14:paraId="181F5CDF" w14:textId="77777777" w:rsidR="00B11690" w:rsidRPr="00B11690" w:rsidRDefault="00B11690" w:rsidP="00B11690">
      <w:pPr>
        <w:pStyle w:val="a4"/>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8 </w:t>
      </w:r>
      <w:r w:rsidRPr="00B11690">
        <w:rPr>
          <w:rFonts w:ascii="Book Antiqua" w:hAnsi="Book Antiqua"/>
          <w:b/>
          <w:bCs/>
        </w:rPr>
        <w:t>Iwamoto J</w:t>
      </w:r>
      <w:r w:rsidRPr="00B11690">
        <w:rPr>
          <w:rFonts w:ascii="Book Antiqua" w:hAnsi="Book Antiqua"/>
        </w:rPr>
        <w:t>, Mizokami Y, Saito Y, Shimokobe K, Honda A, Ikegami T, Matsuzaki Y. Small-bowel mucosal injuries in low-dose aspirin users with obscure gastrointestinal bleeding. </w:t>
      </w:r>
      <w:r w:rsidRPr="00B11690">
        <w:rPr>
          <w:rFonts w:ascii="Book Antiqua" w:hAnsi="Book Antiqua"/>
          <w:i/>
          <w:iCs/>
        </w:rPr>
        <w:t>World J Gastroenterol</w:t>
      </w:r>
      <w:r w:rsidRPr="00B11690">
        <w:rPr>
          <w:rFonts w:ascii="Book Antiqua" w:hAnsi="Book Antiqua"/>
        </w:rPr>
        <w:t> 2014; </w:t>
      </w:r>
      <w:r w:rsidRPr="00B11690">
        <w:rPr>
          <w:rFonts w:ascii="Book Antiqua" w:hAnsi="Book Antiqua"/>
          <w:b/>
          <w:bCs/>
        </w:rPr>
        <w:t>20</w:t>
      </w:r>
      <w:r w:rsidRPr="00B11690">
        <w:rPr>
          <w:rFonts w:ascii="Book Antiqua" w:hAnsi="Book Antiqua"/>
        </w:rPr>
        <w:t>: 13133-13138 [PMID: 25278707 DOI: 10.3748/wjg.v20.i36.13133]</w:t>
      </w:r>
    </w:p>
    <w:p w14:paraId="063A9162" w14:textId="77777777" w:rsidR="00B11690" w:rsidRPr="00B11690" w:rsidRDefault="00B11690" w:rsidP="00B11690">
      <w:pPr>
        <w:pStyle w:val="a4"/>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9 </w:t>
      </w:r>
      <w:r w:rsidRPr="00B11690">
        <w:rPr>
          <w:rFonts w:ascii="Book Antiqua" w:hAnsi="Book Antiqua"/>
          <w:b/>
          <w:bCs/>
        </w:rPr>
        <w:t>Koffas A</w:t>
      </w:r>
      <w:r w:rsidRPr="00B11690">
        <w:rPr>
          <w:rFonts w:ascii="Book Antiqua" w:hAnsi="Book Antiqua"/>
        </w:rPr>
        <w:t>, Laskaratos FM, Epstein O. Non-small bowel lesion detection at small bowel capsule endoscopy: A comprehensive literature review. </w:t>
      </w:r>
      <w:r w:rsidRPr="00B11690">
        <w:rPr>
          <w:rFonts w:ascii="Book Antiqua" w:hAnsi="Book Antiqua"/>
          <w:i/>
          <w:iCs/>
        </w:rPr>
        <w:t>World J Clin Cases</w:t>
      </w:r>
      <w:r w:rsidRPr="00B11690">
        <w:rPr>
          <w:rFonts w:ascii="Book Antiqua" w:hAnsi="Book Antiqua"/>
        </w:rPr>
        <w:t> 2018; </w:t>
      </w:r>
      <w:r w:rsidRPr="00B11690">
        <w:rPr>
          <w:rFonts w:ascii="Book Antiqua" w:hAnsi="Book Antiqua"/>
          <w:b/>
          <w:bCs/>
        </w:rPr>
        <w:t>6</w:t>
      </w:r>
      <w:r w:rsidRPr="00B11690">
        <w:rPr>
          <w:rFonts w:ascii="Book Antiqua" w:hAnsi="Book Antiqua"/>
        </w:rPr>
        <w:t>: 901-907 [PMID: 30568944 DOI: 10.12998/wjcc.v6.i15.901]</w:t>
      </w:r>
    </w:p>
    <w:p w14:paraId="0FE82330" w14:textId="77777777" w:rsidR="00B11690" w:rsidRPr="00B11690" w:rsidRDefault="00B11690" w:rsidP="00B11690">
      <w:pPr>
        <w:pStyle w:val="a4"/>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10 </w:t>
      </w:r>
      <w:r w:rsidRPr="00B11690">
        <w:rPr>
          <w:rFonts w:ascii="Book Antiqua" w:hAnsi="Book Antiqua"/>
          <w:b/>
          <w:bCs/>
        </w:rPr>
        <w:t>Allison MC</w:t>
      </w:r>
      <w:r w:rsidRPr="00B11690">
        <w:rPr>
          <w:rFonts w:ascii="Book Antiqua" w:hAnsi="Book Antiqua"/>
        </w:rPr>
        <w:t>, Howatson AG, Torrance CJ, Lee FD, Russell RI. Gastrointestinal damage associated with the use of nonsteroidal antiinflammatory drugs. </w:t>
      </w:r>
      <w:r w:rsidRPr="00B11690">
        <w:rPr>
          <w:rFonts w:ascii="Book Antiqua" w:hAnsi="Book Antiqua"/>
          <w:i/>
          <w:iCs/>
        </w:rPr>
        <w:t>N Engl J Med</w:t>
      </w:r>
      <w:r w:rsidRPr="00B11690">
        <w:rPr>
          <w:rFonts w:ascii="Book Antiqua" w:hAnsi="Book Antiqua"/>
        </w:rPr>
        <w:t> 1992; </w:t>
      </w:r>
      <w:r w:rsidRPr="00B11690">
        <w:rPr>
          <w:rFonts w:ascii="Book Antiqua" w:hAnsi="Book Antiqua"/>
          <w:b/>
          <w:bCs/>
        </w:rPr>
        <w:t>327</w:t>
      </w:r>
      <w:r w:rsidRPr="00B11690">
        <w:rPr>
          <w:rFonts w:ascii="Book Antiqua" w:hAnsi="Book Antiqua"/>
        </w:rPr>
        <w:t>: 749-754 [PMID: 1501650 DOI: 10.1056/NEJM199209103271101]</w:t>
      </w:r>
    </w:p>
    <w:p w14:paraId="579A9FF5" w14:textId="77777777" w:rsidR="00B11690" w:rsidRPr="00B11690" w:rsidRDefault="00B11690" w:rsidP="00B11690">
      <w:pPr>
        <w:pStyle w:val="a4"/>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11 </w:t>
      </w:r>
      <w:r w:rsidRPr="00B11690">
        <w:rPr>
          <w:rFonts w:ascii="Book Antiqua" w:hAnsi="Book Antiqua"/>
          <w:b/>
          <w:bCs/>
        </w:rPr>
        <w:t>Ebi M</w:t>
      </w:r>
      <w:r w:rsidRPr="00B11690">
        <w:rPr>
          <w:rFonts w:ascii="Book Antiqua" w:hAnsi="Book Antiqua"/>
        </w:rPr>
        <w:t>, Inoue S, Sugiyama T, Yamamoto K, Adachi K, Yoshimine T, Yamaguchi Y, Tamura Y, Izawa S, Hijikata Y, Funaki Y, Ogasawara N, Sasaki M, Kasugai K. A Small Bowel Ulcer due to Clopidogrel with Cytomegalovirus Enteritis Diagnosed by Capsule and Double-Balloon Endoscopy. </w:t>
      </w:r>
      <w:r w:rsidRPr="00B11690">
        <w:rPr>
          <w:rFonts w:ascii="Book Antiqua" w:hAnsi="Book Antiqua"/>
          <w:i/>
          <w:iCs/>
        </w:rPr>
        <w:t>Case Rep Gastroenterol</w:t>
      </w:r>
      <w:r w:rsidRPr="00B11690">
        <w:rPr>
          <w:rFonts w:ascii="Book Antiqua" w:hAnsi="Book Antiqua"/>
        </w:rPr>
        <w:t> 2018; </w:t>
      </w:r>
      <w:r w:rsidRPr="00B11690">
        <w:rPr>
          <w:rFonts w:ascii="Book Antiqua" w:hAnsi="Book Antiqua"/>
          <w:b/>
          <w:bCs/>
        </w:rPr>
        <w:t>12</w:t>
      </w:r>
      <w:r w:rsidRPr="00B11690">
        <w:rPr>
          <w:rFonts w:ascii="Book Antiqua" w:hAnsi="Book Antiqua"/>
        </w:rPr>
        <w:t>: 303-310 [PMID: 30022920 DOI: 10.1159/000490096]</w:t>
      </w:r>
    </w:p>
    <w:p w14:paraId="61F76AB2" w14:textId="77777777" w:rsidR="00B11690" w:rsidRPr="00B11690" w:rsidRDefault="00B11690" w:rsidP="00B11690">
      <w:pPr>
        <w:pStyle w:val="a4"/>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12 </w:t>
      </w:r>
      <w:r w:rsidRPr="00B11690">
        <w:rPr>
          <w:rFonts w:ascii="Book Antiqua" w:hAnsi="Book Antiqua"/>
          <w:b/>
          <w:bCs/>
        </w:rPr>
        <w:t>Nikolsky E</w:t>
      </w:r>
      <w:r w:rsidRPr="00B11690">
        <w:rPr>
          <w:rFonts w:ascii="Book Antiqua" w:hAnsi="Book Antiqua"/>
        </w:rPr>
        <w:t>, Stone GW, Kirtane AJ, Dangas GD, Lansky AJ, McLaurin B, Lincoff AM, Feit F, Moses JW, Fahy M, Manoukian SV, White HD, Ohman EM, Bertrand ME, Cox DA, Mehran R. Gastrointestinal bleeding in patients with acute coronary syndromes: incidence, predictors, and clinical implications: analysis from the ACUITY (Acute Catheterization and Urgent Intervention Triage Strategy) trial. </w:t>
      </w:r>
      <w:r w:rsidRPr="00B11690">
        <w:rPr>
          <w:rFonts w:ascii="Book Antiqua" w:hAnsi="Book Antiqua"/>
          <w:i/>
          <w:iCs/>
        </w:rPr>
        <w:t>J Am Coll Cardiol</w:t>
      </w:r>
      <w:r w:rsidRPr="00B11690">
        <w:rPr>
          <w:rFonts w:ascii="Book Antiqua" w:hAnsi="Book Antiqua"/>
        </w:rPr>
        <w:t> 2009; </w:t>
      </w:r>
      <w:r w:rsidRPr="00B11690">
        <w:rPr>
          <w:rFonts w:ascii="Book Antiqua" w:hAnsi="Book Antiqua"/>
          <w:b/>
          <w:bCs/>
        </w:rPr>
        <w:t>54</w:t>
      </w:r>
      <w:r w:rsidRPr="00B11690">
        <w:rPr>
          <w:rFonts w:ascii="Book Antiqua" w:hAnsi="Book Antiqua"/>
        </w:rPr>
        <w:t>: 1293-1302 [PMID: 19778672 DOI: 10.1016/j.jacc.2009.07.019]</w:t>
      </w:r>
    </w:p>
    <w:p w14:paraId="6BC50FB2" w14:textId="77777777" w:rsidR="00B11690" w:rsidRPr="00B11690" w:rsidRDefault="00B11690" w:rsidP="00B11690">
      <w:pPr>
        <w:pStyle w:val="a4"/>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13 </w:t>
      </w:r>
      <w:r w:rsidRPr="00B11690">
        <w:rPr>
          <w:rFonts w:ascii="Book Antiqua" w:hAnsi="Book Antiqua"/>
          <w:b/>
          <w:bCs/>
        </w:rPr>
        <w:t>Grove EL</w:t>
      </w:r>
      <w:r w:rsidRPr="00B11690">
        <w:rPr>
          <w:rFonts w:ascii="Book Antiqua" w:hAnsi="Book Antiqua"/>
        </w:rPr>
        <w:t>, Würtz M, Schwarz P, Jørgensen NR, Vestergaard P. Gastrointestinal events with clopidogrel: a nationwide population-based cohort study. </w:t>
      </w:r>
      <w:r w:rsidRPr="00B11690">
        <w:rPr>
          <w:rFonts w:ascii="Book Antiqua" w:hAnsi="Book Antiqua"/>
          <w:i/>
          <w:iCs/>
        </w:rPr>
        <w:t>J Gen Intern Med</w:t>
      </w:r>
      <w:r w:rsidRPr="00B11690">
        <w:rPr>
          <w:rFonts w:ascii="Book Antiqua" w:hAnsi="Book Antiqua"/>
        </w:rPr>
        <w:t> 2013; </w:t>
      </w:r>
      <w:r w:rsidRPr="00B11690">
        <w:rPr>
          <w:rFonts w:ascii="Book Antiqua" w:hAnsi="Book Antiqua"/>
          <w:b/>
          <w:bCs/>
        </w:rPr>
        <w:t>28</w:t>
      </w:r>
      <w:r w:rsidRPr="00B11690">
        <w:rPr>
          <w:rFonts w:ascii="Book Antiqua" w:hAnsi="Book Antiqua"/>
        </w:rPr>
        <w:t>: 216-222 [PMID: 22948933 DOI: 10.1007/s11606-012-2208-0]</w:t>
      </w:r>
    </w:p>
    <w:p w14:paraId="01F80220" w14:textId="77777777" w:rsidR="00B11690" w:rsidRPr="00B11690" w:rsidRDefault="00B11690" w:rsidP="00B11690">
      <w:pPr>
        <w:pStyle w:val="a4"/>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14 </w:t>
      </w:r>
      <w:r w:rsidRPr="00B11690">
        <w:rPr>
          <w:rFonts w:ascii="Book Antiqua" w:hAnsi="Book Antiqua"/>
          <w:b/>
          <w:bCs/>
        </w:rPr>
        <w:t>Fortun PJ</w:t>
      </w:r>
      <w:r w:rsidRPr="00B11690">
        <w:rPr>
          <w:rFonts w:ascii="Book Antiqua" w:hAnsi="Book Antiqua"/>
        </w:rPr>
        <w:t>, Hawkey CJ. Nonsteroidal antiinflammatory drugs and the small intestine. </w:t>
      </w:r>
      <w:r w:rsidRPr="00B11690">
        <w:rPr>
          <w:rFonts w:ascii="Book Antiqua" w:hAnsi="Book Antiqua"/>
          <w:i/>
          <w:iCs/>
        </w:rPr>
        <w:t>Curr Opin Gastroenterol</w:t>
      </w:r>
      <w:r w:rsidRPr="00B11690">
        <w:rPr>
          <w:rFonts w:ascii="Book Antiqua" w:hAnsi="Book Antiqua"/>
        </w:rPr>
        <w:t> 2007; </w:t>
      </w:r>
      <w:r w:rsidRPr="00B11690">
        <w:rPr>
          <w:rFonts w:ascii="Book Antiqua" w:hAnsi="Book Antiqua"/>
          <w:b/>
          <w:bCs/>
        </w:rPr>
        <w:t>23</w:t>
      </w:r>
      <w:r w:rsidRPr="00B11690">
        <w:rPr>
          <w:rFonts w:ascii="Book Antiqua" w:hAnsi="Book Antiqua"/>
        </w:rPr>
        <w:t>: 134-141 [PMID: 17268241 DOI: 10.1097/MOG.0b013e328020045a]</w:t>
      </w:r>
    </w:p>
    <w:p w14:paraId="22762CD1" w14:textId="77777777" w:rsidR="00B11690" w:rsidRPr="00B11690" w:rsidRDefault="00B11690" w:rsidP="00B11690">
      <w:pPr>
        <w:pStyle w:val="a4"/>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15 </w:t>
      </w:r>
      <w:r w:rsidRPr="00B11690">
        <w:rPr>
          <w:rFonts w:ascii="Book Antiqua" w:hAnsi="Book Antiqua"/>
          <w:b/>
          <w:bCs/>
        </w:rPr>
        <w:t>Wallace JL</w:t>
      </w:r>
      <w:r w:rsidRPr="00B11690">
        <w:rPr>
          <w:rFonts w:ascii="Book Antiqua" w:hAnsi="Book Antiqua"/>
        </w:rPr>
        <w:t>. NSAID gastropathy and enteropathy: distinct pathogenesis likely necessitates distinct prevention strategies. </w:t>
      </w:r>
      <w:r w:rsidRPr="00B11690">
        <w:rPr>
          <w:rFonts w:ascii="Book Antiqua" w:hAnsi="Book Antiqua"/>
          <w:i/>
          <w:iCs/>
        </w:rPr>
        <w:t>Br J Pharmacol</w:t>
      </w:r>
      <w:r w:rsidRPr="00B11690">
        <w:rPr>
          <w:rFonts w:ascii="Book Antiqua" w:hAnsi="Book Antiqua"/>
        </w:rPr>
        <w:t> 2012; </w:t>
      </w:r>
      <w:r w:rsidRPr="00B11690">
        <w:rPr>
          <w:rFonts w:ascii="Book Antiqua" w:hAnsi="Book Antiqua"/>
          <w:b/>
          <w:bCs/>
        </w:rPr>
        <w:t>165</w:t>
      </w:r>
      <w:r w:rsidRPr="00B11690">
        <w:rPr>
          <w:rFonts w:ascii="Book Antiqua" w:hAnsi="Book Antiqua"/>
        </w:rPr>
        <w:t>: 67-74 [PMID: 21627632 DOI: 10.1111/j.1476-5381.2011.01509.x]</w:t>
      </w:r>
    </w:p>
    <w:p w14:paraId="2AA20155" w14:textId="77777777" w:rsidR="00B11690" w:rsidRPr="00B11690" w:rsidRDefault="00B11690" w:rsidP="00B11690">
      <w:pPr>
        <w:pStyle w:val="a4"/>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16 </w:t>
      </w:r>
      <w:r w:rsidRPr="00B11690">
        <w:rPr>
          <w:rFonts w:ascii="Book Antiqua" w:hAnsi="Book Antiqua"/>
          <w:b/>
          <w:bCs/>
        </w:rPr>
        <w:t>Cryer B</w:t>
      </w:r>
      <w:r w:rsidRPr="00B11690">
        <w:rPr>
          <w:rFonts w:ascii="Book Antiqua" w:hAnsi="Book Antiqua"/>
        </w:rPr>
        <w:t>. Management of patients with high gastrointestinal risk on antiplatelet therapy. </w:t>
      </w:r>
      <w:r w:rsidRPr="00B11690">
        <w:rPr>
          <w:rFonts w:ascii="Book Antiqua" w:hAnsi="Book Antiqua"/>
          <w:i/>
          <w:iCs/>
        </w:rPr>
        <w:t>Gastroenterol Clin North Am</w:t>
      </w:r>
      <w:r w:rsidRPr="00B11690">
        <w:rPr>
          <w:rFonts w:ascii="Book Antiqua" w:hAnsi="Book Antiqua"/>
        </w:rPr>
        <w:t> 2009; </w:t>
      </w:r>
      <w:r w:rsidRPr="00B11690">
        <w:rPr>
          <w:rFonts w:ascii="Book Antiqua" w:hAnsi="Book Antiqua"/>
          <w:b/>
          <w:bCs/>
        </w:rPr>
        <w:t>38</w:t>
      </w:r>
      <w:r w:rsidRPr="00B11690">
        <w:rPr>
          <w:rFonts w:ascii="Book Antiqua" w:hAnsi="Book Antiqua"/>
        </w:rPr>
        <w:t>: 289-303 [PMID: 19446259 DOI: 10.1016/j.gtc.2009.03.005]</w:t>
      </w:r>
    </w:p>
    <w:p w14:paraId="2419D539" w14:textId="2CCFEF8E" w:rsidR="00B11690" w:rsidRPr="00B11690" w:rsidRDefault="00B11690" w:rsidP="00B11690">
      <w:pPr>
        <w:pStyle w:val="a4"/>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17 </w:t>
      </w:r>
      <w:r w:rsidRPr="00B11690">
        <w:rPr>
          <w:rFonts w:ascii="Book Antiqua" w:hAnsi="Book Antiqua"/>
          <w:b/>
          <w:bCs/>
        </w:rPr>
        <w:t>Ma L</w:t>
      </w:r>
      <w:r w:rsidRPr="00B11690">
        <w:rPr>
          <w:rFonts w:ascii="Book Antiqua" w:hAnsi="Book Antiqua"/>
        </w:rPr>
        <w:t>, Elliott SN, Cirino G, Buret A, Ignarro LJ, Wallace JL. Platelets modulate gastric ulcer healing: role of endostatin and vascular endothelial growth factor release. </w:t>
      </w:r>
      <w:r w:rsidRPr="00B11690">
        <w:rPr>
          <w:rFonts w:ascii="Book Antiqua" w:hAnsi="Book Antiqua"/>
          <w:i/>
          <w:iCs/>
        </w:rPr>
        <w:t>Proc Natl Acad Sci USA</w:t>
      </w:r>
      <w:r w:rsidRPr="00B11690">
        <w:rPr>
          <w:rFonts w:ascii="Book Antiqua" w:hAnsi="Book Antiqua"/>
        </w:rPr>
        <w:t> 2001; </w:t>
      </w:r>
      <w:r w:rsidRPr="00B11690">
        <w:rPr>
          <w:rFonts w:ascii="Book Antiqua" w:hAnsi="Book Antiqua"/>
          <w:b/>
          <w:bCs/>
        </w:rPr>
        <w:t>98</w:t>
      </w:r>
      <w:r w:rsidRPr="00B11690">
        <w:rPr>
          <w:rFonts w:ascii="Book Antiqua" w:hAnsi="Book Antiqua"/>
        </w:rPr>
        <w:t>: 6470-6475 [PMID: 11353854 DOI: 10.1073/pnas.111150798]</w:t>
      </w:r>
    </w:p>
    <w:p w14:paraId="0E15C028" w14:textId="77777777" w:rsidR="00B11690" w:rsidRPr="00B11690" w:rsidRDefault="00B11690" w:rsidP="00B11690">
      <w:pPr>
        <w:pStyle w:val="a4"/>
        <w:shd w:val="clear" w:color="auto" w:fill="FFFFFF"/>
        <w:adjustRightInd w:val="0"/>
        <w:snapToGrid w:val="0"/>
        <w:spacing w:before="0" w:beforeAutospacing="0" w:after="0" w:afterAutospacing="0" w:line="360" w:lineRule="auto"/>
        <w:jc w:val="both"/>
        <w:rPr>
          <w:rFonts w:ascii="Book Antiqua" w:hAnsi="Book Antiqua"/>
        </w:rPr>
      </w:pPr>
      <w:r w:rsidRPr="00B11690">
        <w:rPr>
          <w:rFonts w:ascii="Book Antiqua" w:hAnsi="Book Antiqua"/>
        </w:rPr>
        <w:t>18 </w:t>
      </w:r>
      <w:r w:rsidRPr="00B11690">
        <w:rPr>
          <w:rFonts w:ascii="Book Antiqua" w:hAnsi="Book Antiqua"/>
          <w:b/>
          <w:bCs/>
        </w:rPr>
        <w:t>Angiolillo DJ</w:t>
      </w:r>
      <w:r w:rsidRPr="00B11690">
        <w:rPr>
          <w:rFonts w:ascii="Book Antiqua" w:hAnsi="Book Antiqua"/>
        </w:rPr>
        <w:t>, Fernandez-Ortiz A, Bernardo E, Alfonso F, Macaya C, Bass TA, Costa MA. Variability in individual responsiveness to clopidogrel: clinical implications, management, and future perspectives. </w:t>
      </w:r>
      <w:r w:rsidRPr="00B11690">
        <w:rPr>
          <w:rFonts w:ascii="Book Antiqua" w:hAnsi="Book Antiqua"/>
          <w:i/>
          <w:iCs/>
        </w:rPr>
        <w:t>J Am Coll Cardiol</w:t>
      </w:r>
      <w:r w:rsidRPr="00B11690">
        <w:rPr>
          <w:rFonts w:ascii="Book Antiqua" w:hAnsi="Book Antiqua"/>
        </w:rPr>
        <w:t> 2007; </w:t>
      </w:r>
      <w:r w:rsidRPr="00B11690">
        <w:rPr>
          <w:rFonts w:ascii="Book Antiqua" w:hAnsi="Book Antiqua"/>
          <w:b/>
          <w:bCs/>
        </w:rPr>
        <w:t>49</w:t>
      </w:r>
      <w:r w:rsidRPr="00B11690">
        <w:rPr>
          <w:rFonts w:ascii="Book Antiqua" w:hAnsi="Book Antiqua"/>
        </w:rPr>
        <w:t>: 1505-1516 [PMID: 17418288 DOI: 10.1016/j.jacc.2006.11.044]</w:t>
      </w:r>
    </w:p>
    <w:bookmarkEnd w:id="13"/>
    <w:bookmarkEnd w:id="14"/>
    <w:p w14:paraId="737966D7" w14:textId="77777777" w:rsidR="00B11690" w:rsidRDefault="00B11690">
      <w:pPr>
        <w:rPr>
          <w:rFonts w:ascii="Book Antiqua" w:eastAsia="Book Antiqua" w:hAnsi="Book Antiqua" w:cs="Book Antiqua"/>
          <w:b/>
          <w:color w:val="000000"/>
        </w:rPr>
      </w:pPr>
      <w:r>
        <w:rPr>
          <w:rFonts w:ascii="Book Antiqua" w:eastAsia="Book Antiqua" w:hAnsi="Book Antiqua" w:cs="Book Antiqua"/>
          <w:b/>
          <w:color w:val="000000"/>
        </w:rPr>
        <w:br w:type="page"/>
      </w:r>
    </w:p>
    <w:p w14:paraId="136B3BAC" w14:textId="77777777" w:rsidR="00A5277B" w:rsidRDefault="004B0509">
      <w:pPr>
        <w:spacing w:line="360" w:lineRule="auto"/>
        <w:jc w:val="both"/>
      </w:pPr>
      <w:r>
        <w:rPr>
          <w:rFonts w:ascii="Book Antiqua" w:eastAsia="Book Antiqua" w:hAnsi="Book Antiqua" w:cs="Book Antiqua"/>
          <w:b/>
          <w:color w:val="000000"/>
        </w:rPr>
        <w:t>Footnotes</w:t>
      </w:r>
    </w:p>
    <w:p w14:paraId="13DCE8D0" w14:textId="77777777" w:rsidR="00A5277B" w:rsidRDefault="004B050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1CDC374D" w14:textId="77777777" w:rsidR="00A5277B" w:rsidRDefault="00A5277B">
      <w:pPr>
        <w:spacing w:line="360" w:lineRule="auto"/>
        <w:jc w:val="both"/>
      </w:pPr>
    </w:p>
    <w:p w14:paraId="4742403E" w14:textId="77777777" w:rsidR="00A5277B" w:rsidRDefault="004B050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Authors declare no conflict of interest.</w:t>
      </w:r>
    </w:p>
    <w:p w14:paraId="53A75800" w14:textId="77777777" w:rsidR="00A5277B" w:rsidRDefault="00A5277B">
      <w:pPr>
        <w:spacing w:line="360" w:lineRule="auto"/>
        <w:jc w:val="both"/>
      </w:pPr>
    </w:p>
    <w:p w14:paraId="55E7CACB" w14:textId="77777777" w:rsidR="00A5277B" w:rsidRDefault="004B0509">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 </w:t>
      </w:r>
    </w:p>
    <w:p w14:paraId="385BC2EF" w14:textId="77777777" w:rsidR="00A5277B" w:rsidRDefault="00A5277B">
      <w:pPr>
        <w:spacing w:line="360" w:lineRule="auto"/>
        <w:jc w:val="both"/>
      </w:pPr>
    </w:p>
    <w:p w14:paraId="335227F6" w14:textId="77777777" w:rsidR="00A5277B" w:rsidRDefault="004B050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D3D9BD" w14:textId="77777777" w:rsidR="00A5277B" w:rsidRDefault="00A5277B">
      <w:pPr>
        <w:spacing w:line="360" w:lineRule="auto"/>
        <w:jc w:val="both"/>
      </w:pPr>
    </w:p>
    <w:p w14:paraId="67550B8A" w14:textId="77777777" w:rsidR="00A5277B" w:rsidRDefault="004B050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6421F7">
        <w:rPr>
          <w:rFonts w:ascii="Book Antiqua" w:eastAsia="Book Antiqua" w:hAnsi="Book Antiqua" w:cs="Book Antiqua"/>
          <w:color w:val="000000"/>
        </w:rPr>
        <w:t>manuscript</w:t>
      </w:r>
    </w:p>
    <w:p w14:paraId="44A88BEB" w14:textId="77777777" w:rsidR="00A5277B" w:rsidRDefault="00A5277B">
      <w:pPr>
        <w:spacing w:line="360" w:lineRule="auto"/>
        <w:jc w:val="both"/>
      </w:pPr>
    </w:p>
    <w:p w14:paraId="110C8799" w14:textId="77777777" w:rsidR="00A5277B" w:rsidRDefault="004B050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21, 2020</w:t>
      </w:r>
    </w:p>
    <w:p w14:paraId="28BAA82A" w14:textId="77777777" w:rsidR="00A5277B" w:rsidRDefault="004B050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25, 2021</w:t>
      </w:r>
    </w:p>
    <w:p w14:paraId="1BD213D9" w14:textId="5AB00B3D" w:rsidR="00A5277B" w:rsidRDefault="004B0509">
      <w:pPr>
        <w:spacing w:line="360" w:lineRule="auto"/>
        <w:jc w:val="both"/>
      </w:pPr>
      <w:r>
        <w:rPr>
          <w:rFonts w:ascii="Book Antiqua" w:eastAsia="Book Antiqua" w:hAnsi="Book Antiqua" w:cs="Book Antiqua"/>
          <w:b/>
          <w:color w:val="000000"/>
        </w:rPr>
        <w:t xml:space="preserve">Article in press: </w:t>
      </w:r>
      <w:r w:rsidR="00E217E9" w:rsidRPr="00E53F45">
        <w:rPr>
          <w:rFonts w:ascii="Book Antiqua" w:eastAsia="Book Antiqua" w:hAnsi="Book Antiqua" w:cs="Book Antiqua"/>
          <w:color w:val="000000"/>
        </w:rPr>
        <w:t>March 25, 2021</w:t>
      </w:r>
    </w:p>
    <w:p w14:paraId="65503556" w14:textId="77777777" w:rsidR="00A5277B" w:rsidRDefault="00A5277B">
      <w:pPr>
        <w:spacing w:line="360" w:lineRule="auto"/>
        <w:jc w:val="both"/>
      </w:pPr>
    </w:p>
    <w:p w14:paraId="511B0559" w14:textId="77777777" w:rsidR="00A5277B" w:rsidRDefault="004B050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6421F7">
        <w:rPr>
          <w:rFonts w:ascii="Book Antiqua" w:eastAsia="Book Antiqua" w:hAnsi="Book Antiqua" w:cs="Book Antiqua"/>
          <w:color w:val="000000"/>
        </w:rPr>
        <w:t>hepatology</w:t>
      </w:r>
    </w:p>
    <w:p w14:paraId="14A910C2" w14:textId="77777777" w:rsidR="00A5277B" w:rsidRDefault="004B050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34F4ABC2" w14:textId="77777777" w:rsidR="00A5277B" w:rsidRDefault="004B0509">
      <w:pPr>
        <w:spacing w:line="360" w:lineRule="auto"/>
        <w:jc w:val="both"/>
      </w:pPr>
      <w:r>
        <w:rPr>
          <w:rFonts w:ascii="Book Antiqua" w:eastAsia="Book Antiqua" w:hAnsi="Book Antiqua" w:cs="Book Antiqua"/>
          <w:b/>
          <w:color w:val="000000"/>
        </w:rPr>
        <w:t>Peer-review report’s scientific quality classification</w:t>
      </w:r>
    </w:p>
    <w:p w14:paraId="296DFDAE" w14:textId="77777777" w:rsidR="00A5277B" w:rsidRDefault="004B0509">
      <w:pPr>
        <w:spacing w:line="360" w:lineRule="auto"/>
        <w:jc w:val="both"/>
      </w:pPr>
      <w:r>
        <w:rPr>
          <w:rFonts w:ascii="Book Antiqua" w:eastAsia="Book Antiqua" w:hAnsi="Book Antiqua" w:cs="Book Antiqua"/>
          <w:color w:val="000000"/>
        </w:rPr>
        <w:t>Grade A (Excellent): 0</w:t>
      </w:r>
    </w:p>
    <w:p w14:paraId="7BA9CBA2" w14:textId="77777777" w:rsidR="00A5277B" w:rsidRDefault="004B0509">
      <w:pPr>
        <w:spacing w:line="360" w:lineRule="auto"/>
        <w:jc w:val="both"/>
      </w:pPr>
      <w:r>
        <w:rPr>
          <w:rFonts w:ascii="Book Antiqua" w:eastAsia="Book Antiqua" w:hAnsi="Book Antiqua" w:cs="Book Antiqua"/>
          <w:color w:val="000000"/>
        </w:rPr>
        <w:t>Grade B (Very good): 0</w:t>
      </w:r>
    </w:p>
    <w:p w14:paraId="3BF5F45F" w14:textId="77777777" w:rsidR="00A5277B" w:rsidRDefault="004B0509">
      <w:pPr>
        <w:spacing w:line="360" w:lineRule="auto"/>
        <w:jc w:val="both"/>
      </w:pPr>
      <w:r>
        <w:rPr>
          <w:rFonts w:ascii="Book Antiqua" w:eastAsia="Book Antiqua" w:hAnsi="Book Antiqua" w:cs="Book Antiqua"/>
          <w:color w:val="000000"/>
        </w:rPr>
        <w:t>Grade C (Good): C</w:t>
      </w:r>
    </w:p>
    <w:p w14:paraId="65ACB75A" w14:textId="77777777" w:rsidR="00A5277B" w:rsidRDefault="004B0509">
      <w:pPr>
        <w:spacing w:line="360" w:lineRule="auto"/>
        <w:jc w:val="both"/>
      </w:pPr>
      <w:r>
        <w:rPr>
          <w:rFonts w:ascii="Book Antiqua" w:eastAsia="Book Antiqua" w:hAnsi="Book Antiqua" w:cs="Book Antiqua"/>
          <w:color w:val="000000"/>
        </w:rPr>
        <w:t>Grade D (Fair): 0</w:t>
      </w:r>
    </w:p>
    <w:p w14:paraId="2E02E58B" w14:textId="77777777" w:rsidR="00A5277B" w:rsidRDefault="004B0509">
      <w:pPr>
        <w:spacing w:line="360" w:lineRule="auto"/>
        <w:jc w:val="both"/>
      </w:pPr>
      <w:r>
        <w:rPr>
          <w:rFonts w:ascii="Book Antiqua" w:eastAsia="Book Antiqua" w:hAnsi="Book Antiqua" w:cs="Book Antiqua"/>
          <w:color w:val="000000"/>
        </w:rPr>
        <w:t>Grade E (Poor): 0</w:t>
      </w:r>
    </w:p>
    <w:p w14:paraId="402CC3E9" w14:textId="77777777" w:rsidR="00A5277B" w:rsidRDefault="00A5277B">
      <w:pPr>
        <w:spacing w:line="360" w:lineRule="auto"/>
        <w:jc w:val="both"/>
      </w:pPr>
    </w:p>
    <w:p w14:paraId="186BCB49" w14:textId="6835EF3D" w:rsidR="00A5277B" w:rsidRDefault="004B050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Zheng Y</w:t>
      </w:r>
      <w:r w:rsidR="00037D82">
        <w:rPr>
          <w:rFonts w:ascii="Book Antiqua" w:eastAsia="Book Antiqua" w:hAnsi="Book Antiqua" w:cs="Book Antiqua"/>
          <w:color w:val="000000"/>
        </w:rPr>
        <w:t>X</w:t>
      </w:r>
      <w:r>
        <w:rPr>
          <w:rFonts w:ascii="Book Antiqua" w:eastAsia="Book Antiqua" w:hAnsi="Book Antiqua" w:cs="Book Antiqua"/>
          <w:b/>
          <w:color w:val="000000"/>
        </w:rPr>
        <w:t xml:space="preserve"> S-Editor: </w:t>
      </w:r>
      <w:r w:rsidR="006421F7">
        <w:rPr>
          <w:rFonts w:ascii="Book Antiqua" w:eastAsia="宋体" w:hAnsi="Book Antiqua" w:cs="Book Antiqua" w:hint="eastAsia"/>
          <w:color w:val="000000"/>
          <w:lang w:eastAsia="zh-CN"/>
        </w:rPr>
        <w:t>Zhang H</w:t>
      </w:r>
      <w:r w:rsidR="006421F7">
        <w:rPr>
          <w:rFonts w:ascii="Book Antiqua" w:eastAsia="Book Antiqua" w:hAnsi="Book Antiqua" w:cs="Book Antiqua"/>
          <w:b/>
          <w:color w:val="000000"/>
        </w:rPr>
        <w:t xml:space="preserve"> L-Editor:</w:t>
      </w:r>
      <w:r w:rsidR="00E217E9">
        <w:rPr>
          <w:rFonts w:ascii="Book Antiqua" w:eastAsia="Book Antiqua" w:hAnsi="Book Antiqua" w:cs="Book Antiqua"/>
          <w:b/>
          <w:color w:val="000000"/>
        </w:rPr>
        <w:t xml:space="preserve"> </w:t>
      </w:r>
      <w:r w:rsidR="00E217E9" w:rsidRPr="00E217E9">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E217E9" w:rsidRPr="00E217E9">
        <w:rPr>
          <w:rFonts w:ascii="Book Antiqua" w:eastAsia="Book Antiqua" w:hAnsi="Book Antiqua" w:cs="Book Antiqua"/>
          <w:bCs/>
          <w:color w:val="000000"/>
        </w:rPr>
        <w:t>L</w:t>
      </w:r>
      <w:r w:rsidR="00E217E9" w:rsidRPr="00E217E9">
        <w:rPr>
          <w:rFonts w:ascii="宋体" w:eastAsia="宋体" w:hAnsi="宋体" w:cs="Book Antiqua" w:hint="eastAsia"/>
          <w:bCs/>
          <w:color w:val="000000"/>
          <w:lang w:eastAsia="zh-CN"/>
        </w:rPr>
        <w:t>i</w:t>
      </w:r>
      <w:r w:rsidR="00E217E9" w:rsidRPr="00E217E9">
        <w:rPr>
          <w:rFonts w:ascii="Book Antiqua" w:eastAsia="Book Antiqua" w:hAnsi="Book Antiqua" w:cs="Book Antiqua"/>
          <w:bCs/>
          <w:color w:val="000000"/>
        </w:rPr>
        <w:t xml:space="preserve"> X</w:t>
      </w:r>
    </w:p>
    <w:p w14:paraId="3D22EC5D" w14:textId="77777777" w:rsidR="00E217E9" w:rsidRDefault="00E217E9">
      <w:pPr>
        <w:spacing w:line="360" w:lineRule="auto"/>
        <w:jc w:val="both"/>
        <w:rPr>
          <w:rFonts w:ascii="Book Antiqua" w:eastAsia="Book Antiqua" w:hAnsi="Book Antiqua" w:cs="Book Antiqua"/>
          <w:b/>
          <w:color w:val="000000"/>
        </w:rPr>
      </w:pPr>
    </w:p>
    <w:p w14:paraId="0071016B" w14:textId="77777777" w:rsidR="00A5277B" w:rsidRDefault="004B0509">
      <w:pPr>
        <w:spacing w:line="360" w:lineRule="auto"/>
        <w:jc w:val="both"/>
      </w:pPr>
      <w:r>
        <w:rPr>
          <w:rFonts w:ascii="Book Antiqua" w:eastAsia="Book Antiqua" w:hAnsi="Book Antiqua" w:cs="Book Antiqua"/>
          <w:b/>
          <w:color w:val="000000"/>
        </w:rPr>
        <w:t>Figure Legends</w:t>
      </w:r>
    </w:p>
    <w:p w14:paraId="0A501E12" w14:textId="77777777" w:rsidR="00DA28ED" w:rsidRDefault="00DA28ED" w:rsidP="007D7479">
      <w:pPr>
        <w:spacing w:line="360" w:lineRule="auto"/>
        <w:jc w:val="both"/>
        <w:rPr>
          <w:rFonts w:ascii="Book Antiqua" w:eastAsia="宋体" w:hAnsi="Book Antiqua" w:cs="Book Antiqua"/>
          <w:b/>
          <w:color w:val="000000"/>
          <w:lang w:eastAsia="zh-CN"/>
        </w:rPr>
      </w:pPr>
      <w:r>
        <w:rPr>
          <w:rFonts w:ascii="Book Antiqua" w:eastAsia="宋体" w:hAnsi="Book Antiqua" w:cs="Book Antiqua"/>
          <w:b/>
          <w:noProof/>
          <w:color w:val="000000"/>
          <w:lang w:eastAsia="zh-CN"/>
        </w:rPr>
        <w:drawing>
          <wp:inline distT="0" distB="0" distL="0" distR="0" wp14:anchorId="67672478" wp14:editId="7AEF0993">
            <wp:extent cx="5894194" cy="240451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8183" cy="2406143"/>
                    </a:xfrm>
                    <a:prstGeom prst="rect">
                      <a:avLst/>
                    </a:prstGeom>
                    <a:noFill/>
                  </pic:spPr>
                </pic:pic>
              </a:graphicData>
            </a:graphic>
          </wp:inline>
        </w:drawing>
      </w:r>
    </w:p>
    <w:p w14:paraId="3E9E54DC" w14:textId="77777777" w:rsidR="00A5277B" w:rsidRPr="007D7479" w:rsidRDefault="007D7479" w:rsidP="007D7479">
      <w:pPr>
        <w:spacing w:line="360" w:lineRule="auto"/>
        <w:jc w:val="both"/>
        <w:rPr>
          <w:b/>
        </w:rPr>
      </w:pPr>
      <w:r w:rsidRPr="007D7479">
        <w:rPr>
          <w:rFonts w:ascii="Book Antiqua" w:eastAsia="Book Antiqua" w:hAnsi="Book Antiqua" w:cs="Book Antiqua"/>
          <w:b/>
          <w:color w:val="000000"/>
        </w:rPr>
        <w:t>Figure 1</w:t>
      </w:r>
      <w:r w:rsidR="004B0509" w:rsidRPr="007D7479">
        <w:rPr>
          <w:rFonts w:ascii="Book Antiqua" w:eastAsia="Book Antiqua" w:hAnsi="Book Antiqua" w:cs="Book Antiqua"/>
          <w:b/>
          <w:color w:val="000000"/>
        </w:rPr>
        <w:t xml:space="preserve"> Initial endoscopic findings. </w:t>
      </w:r>
      <w:r w:rsidR="004B0509">
        <w:rPr>
          <w:rFonts w:ascii="Book Antiqua" w:eastAsia="Book Antiqua" w:hAnsi="Book Antiqua" w:cs="Book Antiqua"/>
          <w:color w:val="000000"/>
        </w:rPr>
        <w:t>A</w:t>
      </w:r>
      <w:r>
        <w:rPr>
          <w:rFonts w:ascii="Book Antiqua" w:eastAsia="宋体" w:hAnsi="Book Antiqua" w:cs="Book Antiqua" w:hint="eastAsia"/>
          <w:color w:val="000000"/>
          <w:lang w:eastAsia="zh-CN"/>
        </w:rPr>
        <w:t>:</w:t>
      </w:r>
      <w:r w:rsidR="004B0509">
        <w:rPr>
          <w:rFonts w:ascii="Book Antiqua" w:eastAsia="Book Antiqua" w:hAnsi="Book Antiqua" w:cs="Book Antiqua"/>
          <w:color w:val="000000"/>
        </w:rPr>
        <w:t xml:space="preserve"> Lower gastrointestinal endoscopic findings show the possibility of small bowel bleeding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w:t>
      </w:r>
      <w:r>
        <w:rPr>
          <w:rFonts w:ascii="Book Antiqua" w:eastAsia="宋体" w:hAnsi="Book Antiqua" w:cs="Book Antiqua" w:hint="eastAsia"/>
          <w:color w:val="000000"/>
          <w:lang w:eastAsia="zh-CN"/>
        </w:rPr>
        <w:t>:</w:t>
      </w:r>
      <w:r w:rsidR="004B0509">
        <w:rPr>
          <w:rFonts w:ascii="Book Antiqua" w:eastAsia="Book Antiqua" w:hAnsi="Book Antiqua" w:cs="Book Antiqua"/>
          <w:color w:val="000000"/>
        </w:rPr>
        <w:t xml:space="preserve"> No evidence of bleeding was observed in the ascending colon and cecum.</w:t>
      </w:r>
    </w:p>
    <w:p w14:paraId="5B2A435D" w14:textId="77777777" w:rsidR="00471ACB" w:rsidRDefault="00471ACB">
      <w:r>
        <w:br w:type="page"/>
      </w:r>
    </w:p>
    <w:p w14:paraId="7F673B38" w14:textId="77777777" w:rsidR="00DA28ED" w:rsidRDefault="00DA28ED" w:rsidP="00471ACB">
      <w:pPr>
        <w:spacing w:line="360" w:lineRule="auto"/>
        <w:jc w:val="both"/>
        <w:rPr>
          <w:rFonts w:ascii="Book Antiqua" w:eastAsia="宋体" w:hAnsi="Book Antiqua" w:cs="Book Antiqua"/>
          <w:b/>
          <w:color w:val="000000"/>
          <w:lang w:eastAsia="zh-CN"/>
        </w:rPr>
      </w:pPr>
      <w:r>
        <w:rPr>
          <w:rFonts w:ascii="Book Antiqua" w:eastAsia="宋体" w:hAnsi="Book Antiqua" w:cs="Book Antiqua"/>
          <w:b/>
          <w:noProof/>
          <w:color w:val="000000"/>
          <w:lang w:eastAsia="zh-CN"/>
        </w:rPr>
        <w:drawing>
          <wp:inline distT="0" distB="0" distL="0" distR="0" wp14:anchorId="3F4F4184" wp14:editId="5E913B32">
            <wp:extent cx="5915025" cy="2947609"/>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9576" cy="2949877"/>
                    </a:xfrm>
                    <a:prstGeom prst="rect">
                      <a:avLst/>
                    </a:prstGeom>
                    <a:noFill/>
                  </pic:spPr>
                </pic:pic>
              </a:graphicData>
            </a:graphic>
          </wp:inline>
        </w:drawing>
      </w:r>
    </w:p>
    <w:p w14:paraId="3657DDE3" w14:textId="240DE92C" w:rsidR="00A5277B" w:rsidRPr="00471ACB" w:rsidRDefault="00471ACB" w:rsidP="00471ACB">
      <w:pPr>
        <w:spacing w:line="360" w:lineRule="auto"/>
        <w:jc w:val="both"/>
        <w:rPr>
          <w:b/>
        </w:rPr>
      </w:pPr>
      <w:r w:rsidRPr="00471ACB">
        <w:rPr>
          <w:rFonts w:ascii="Book Antiqua" w:eastAsia="Book Antiqua" w:hAnsi="Book Antiqua" w:cs="Book Antiqua"/>
          <w:b/>
          <w:color w:val="000000"/>
        </w:rPr>
        <w:t>Figure 2</w:t>
      </w:r>
      <w:r w:rsidR="004B0509" w:rsidRPr="00471ACB">
        <w:rPr>
          <w:rFonts w:ascii="Book Antiqua" w:eastAsia="Book Antiqua" w:hAnsi="Book Antiqua" w:cs="Book Antiqua"/>
          <w:b/>
          <w:color w:val="000000"/>
        </w:rPr>
        <w:t xml:space="preserve"> </w:t>
      </w:r>
      <w:r w:rsidRPr="00471ACB">
        <w:rPr>
          <w:rFonts w:ascii="Book Antiqua" w:eastAsia="宋体" w:hAnsi="Book Antiqua" w:cs="Book Antiqua" w:hint="eastAsia"/>
          <w:b/>
          <w:color w:val="000000"/>
          <w:lang w:eastAsia="zh-CN"/>
        </w:rPr>
        <w:t>A</w:t>
      </w:r>
      <w:r w:rsidRPr="00471ACB">
        <w:rPr>
          <w:rFonts w:ascii="Book Antiqua" w:eastAsia="Book Antiqua" w:hAnsi="Book Antiqua" w:cs="Book Antiqua"/>
          <w:b/>
          <w:color w:val="000000"/>
        </w:rPr>
        <w:t xml:space="preserve">lternate prism cover test </w:t>
      </w:r>
      <w:r w:rsidR="004B0509" w:rsidRPr="00471ACB">
        <w:rPr>
          <w:rFonts w:ascii="Book Antiqua" w:eastAsia="Book Antiqua" w:hAnsi="Book Antiqua" w:cs="Book Antiqua"/>
          <w:b/>
          <w:color w:val="000000"/>
        </w:rPr>
        <w:t>findings.</w:t>
      </w:r>
      <w:r>
        <w:rPr>
          <w:rFonts w:eastAsia="宋体" w:hint="eastAsia"/>
          <w:b/>
          <w:lang w:eastAsia="zh-CN"/>
        </w:rPr>
        <w:t xml:space="preserve"> </w:t>
      </w:r>
      <w:r>
        <w:rPr>
          <w:rFonts w:ascii="Book Antiqua" w:eastAsia="Book Antiqua" w:hAnsi="Book Antiqua" w:cs="Book Antiqua"/>
          <w:color w:val="000000"/>
        </w:rPr>
        <w:t>A</w:t>
      </w:r>
      <w:r>
        <w:rPr>
          <w:rFonts w:ascii="Book Antiqua" w:eastAsia="宋体" w:hAnsi="Book Antiqua" w:cs="Book Antiqua" w:hint="eastAsia"/>
          <w:color w:val="000000"/>
          <w:lang w:eastAsia="zh-CN"/>
        </w:rPr>
        <w:t>:</w:t>
      </w:r>
      <w:r w:rsidR="004B0509">
        <w:rPr>
          <w:rFonts w:ascii="Book Antiqua" w:eastAsia="Book Antiqua" w:hAnsi="Book Antiqua" w:cs="Book Antiqua"/>
          <w:color w:val="000000"/>
        </w:rPr>
        <w:t xml:space="preserve"> Extravasation of contrast media (</w:t>
      </w:r>
      <w:r w:rsidR="00A61598" w:rsidRPr="00A61598">
        <w:rPr>
          <w:rFonts w:ascii="宋体" w:eastAsia="宋体" w:hAnsi="宋体" w:cs="Book Antiqua" w:hint="eastAsia"/>
          <w:bCs/>
          <w:color w:val="000000"/>
          <w:lang w:eastAsia="zh-CN"/>
        </w:rPr>
        <w:t>orange</w:t>
      </w:r>
      <w:r w:rsidR="004B0509">
        <w:rPr>
          <w:rFonts w:ascii="Book Antiqua" w:eastAsia="Book Antiqua" w:hAnsi="Book Antiqua" w:cs="Book Antiqua"/>
          <w:color w:val="000000"/>
        </w:rPr>
        <w:t xml:space="preserve"> arrow) in the ileum cross-section view</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w:t>
      </w:r>
      <w:r>
        <w:rPr>
          <w:rFonts w:ascii="Book Antiqua" w:eastAsia="宋体" w:hAnsi="Book Antiqua" w:cs="Book Antiqua" w:hint="eastAsia"/>
          <w:color w:val="000000"/>
          <w:lang w:eastAsia="zh-CN"/>
        </w:rPr>
        <w:t>:</w:t>
      </w:r>
      <w:r w:rsidR="004B0509">
        <w:rPr>
          <w:rFonts w:ascii="Book Antiqua" w:eastAsia="Book Antiqua" w:hAnsi="Book Antiqua" w:cs="Book Antiqua"/>
          <w:color w:val="000000"/>
        </w:rPr>
        <w:t xml:space="preserve"> Sagittal view.</w:t>
      </w:r>
    </w:p>
    <w:p w14:paraId="63E821C2" w14:textId="77777777" w:rsidR="00471ACB" w:rsidRDefault="00471ACB">
      <w:r>
        <w:br w:type="page"/>
      </w:r>
    </w:p>
    <w:p w14:paraId="5B63F694" w14:textId="77777777" w:rsidR="00A5277B" w:rsidRDefault="004B0509">
      <w:pPr>
        <w:spacing w:line="360" w:lineRule="auto"/>
        <w:jc w:val="both"/>
        <w:rPr>
          <w:lang w:eastAsia="ko-KR"/>
        </w:rPr>
      </w:pPr>
      <w:r>
        <w:rPr>
          <w:rFonts w:hint="eastAsia"/>
          <w:noProof/>
          <w:lang w:eastAsia="zh-CN"/>
        </w:rPr>
        <w:drawing>
          <wp:inline distT="0" distB="0" distL="0" distR="0" wp14:anchorId="0498C9A1" wp14:editId="747BDE81">
            <wp:extent cx="5190490" cy="2579370"/>
            <wp:effectExtent l="0" t="0" r="0" b="0"/>
            <wp:docPr id="1027" name="shape102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
                      <a:extLst>
                        <a:ext uri="{28A0092B-C50C-407E-A947-70E740481C1C}">
                          <a14:useLocalDpi xmlns:a14="http://schemas.microsoft.com/office/drawing/2010/main" val="0"/>
                        </a:ext>
                      </a:extLst>
                    </a:blip>
                    <a:srcRect/>
                    <a:stretch>
                      <a:fillRect/>
                    </a:stretch>
                  </pic:blipFill>
                  <pic:spPr>
                    <a:xfrm>
                      <a:off x="0" y="0"/>
                      <a:ext cx="5190490" cy="2579370"/>
                    </a:xfrm>
                    <a:prstGeom prst="rect">
                      <a:avLst/>
                    </a:prstGeom>
                    <a:noFill/>
                    <a:ln>
                      <a:noFill/>
                    </a:ln>
                  </pic:spPr>
                </pic:pic>
              </a:graphicData>
            </a:graphic>
          </wp:inline>
        </w:drawing>
      </w:r>
    </w:p>
    <w:p w14:paraId="24F76335" w14:textId="67262C85" w:rsidR="00A5277B" w:rsidRPr="00DB7244" w:rsidRDefault="00DB7244">
      <w:pPr>
        <w:spacing w:line="360" w:lineRule="auto"/>
        <w:jc w:val="both"/>
        <w:rPr>
          <w:rFonts w:eastAsia="宋体"/>
          <w:b/>
          <w:lang w:eastAsia="zh-CN"/>
        </w:rPr>
      </w:pPr>
      <w:r w:rsidRPr="00471ACB">
        <w:rPr>
          <w:rFonts w:ascii="Book Antiqua" w:eastAsia="Book Antiqua" w:hAnsi="Book Antiqua" w:cs="Book Antiqua"/>
          <w:b/>
          <w:color w:val="000000"/>
        </w:rPr>
        <w:t>Figure 3</w:t>
      </w:r>
      <w:r w:rsidRPr="00471ACB">
        <w:rPr>
          <w:rFonts w:ascii="Book Antiqua" w:eastAsia="宋体" w:hAnsi="Book Antiqua" w:cs="Book Antiqua" w:hint="eastAsia"/>
          <w:b/>
          <w:color w:val="000000"/>
          <w:lang w:eastAsia="zh-CN"/>
        </w:rPr>
        <w:t xml:space="preserve"> E</w:t>
      </w:r>
      <w:r w:rsidRPr="00471ACB">
        <w:rPr>
          <w:rFonts w:ascii="Book Antiqua" w:eastAsia="Book Antiqua" w:hAnsi="Book Antiqua" w:cs="Book Antiqua"/>
          <w:b/>
          <w:color w:val="000000"/>
        </w:rPr>
        <w:t>xcised specimen of the ileum, measuring 50 cm in length with multiple ulcerative lesions (</w:t>
      </w:r>
      <w:r w:rsidR="00A61598">
        <w:rPr>
          <w:rFonts w:ascii="宋体" w:eastAsia="宋体" w:hAnsi="宋体" w:cs="Book Antiqua" w:hint="eastAsia"/>
          <w:b/>
          <w:color w:val="000000"/>
          <w:lang w:eastAsia="zh-CN"/>
        </w:rPr>
        <w:t>orange</w:t>
      </w:r>
      <w:r w:rsidRPr="00471ACB">
        <w:rPr>
          <w:rFonts w:ascii="Book Antiqua" w:eastAsia="Book Antiqua" w:hAnsi="Book Antiqua" w:cs="Book Antiqua"/>
          <w:b/>
          <w:color w:val="000000"/>
        </w:rPr>
        <w:t xml:space="preserve"> arrow). </w:t>
      </w:r>
    </w:p>
    <w:p w14:paraId="41A5C11E" w14:textId="77777777" w:rsidR="00471ACB" w:rsidRDefault="00471ACB">
      <w:pPr>
        <w:rPr>
          <w:rFonts w:ascii="Book Antiqua" w:eastAsia="Book Antiqua" w:hAnsi="Book Antiqua" w:cs="Book Antiqua"/>
          <w:color w:val="000000"/>
        </w:rPr>
      </w:pPr>
      <w:r>
        <w:rPr>
          <w:rFonts w:ascii="Book Antiqua" w:eastAsia="Book Antiqua" w:hAnsi="Book Antiqua" w:cs="Book Antiqua"/>
          <w:color w:val="000000"/>
        </w:rPr>
        <w:br w:type="page"/>
      </w:r>
    </w:p>
    <w:p w14:paraId="0EEE8613" w14:textId="77777777" w:rsidR="00A5277B" w:rsidRDefault="00BD43B4">
      <w:pPr>
        <w:spacing w:line="360" w:lineRule="auto"/>
        <w:jc w:val="both"/>
      </w:pPr>
      <w:r>
        <w:rPr>
          <w:noProof/>
          <w:lang w:eastAsia="zh-CN"/>
        </w:rPr>
        <w:drawing>
          <wp:inline distT="0" distB="0" distL="0" distR="0" wp14:anchorId="4F1403D5" wp14:editId="4DE3DDB7">
            <wp:extent cx="5934075" cy="297289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3671" cy="2972689"/>
                    </a:xfrm>
                    <a:prstGeom prst="rect">
                      <a:avLst/>
                    </a:prstGeom>
                    <a:noFill/>
                  </pic:spPr>
                </pic:pic>
              </a:graphicData>
            </a:graphic>
          </wp:inline>
        </w:drawing>
      </w:r>
    </w:p>
    <w:p w14:paraId="6F9A4923" w14:textId="5918BACE" w:rsidR="0007018A" w:rsidRPr="00471ACB" w:rsidRDefault="0007018A" w:rsidP="0007018A">
      <w:pPr>
        <w:spacing w:line="360" w:lineRule="auto"/>
        <w:jc w:val="both"/>
        <w:rPr>
          <w:b/>
        </w:rPr>
      </w:pPr>
      <w:r w:rsidRPr="00471ACB">
        <w:rPr>
          <w:rFonts w:ascii="Book Antiqua" w:eastAsia="Book Antiqua" w:hAnsi="Book Antiqua" w:cs="Book Antiqua"/>
          <w:b/>
          <w:color w:val="000000"/>
        </w:rPr>
        <w:t xml:space="preserve">Figure 4 Histopathologic findings in the ileum. </w:t>
      </w:r>
      <w:r>
        <w:rPr>
          <w:rFonts w:ascii="Book Antiqua" w:eastAsia="Book Antiqua" w:hAnsi="Book Antiqua" w:cs="Book Antiqua"/>
          <w:color w:val="000000"/>
        </w:rPr>
        <w:t>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Ulcer with inflammatory ulcer debris (</w:t>
      </w:r>
      <w:r w:rsidR="00A61598" w:rsidRPr="00A61598">
        <w:rPr>
          <w:rFonts w:ascii="Book Antiqua" w:eastAsia="Book Antiqua" w:hAnsi="Book Antiqua" w:cs="Book Antiqua"/>
          <w:color w:val="000000"/>
        </w:rPr>
        <w:t>orange</w:t>
      </w:r>
      <w:r>
        <w:rPr>
          <w:rFonts w:ascii="Book Antiqua" w:eastAsia="Book Antiqua" w:hAnsi="Book Antiqua" w:cs="Book Antiqua"/>
          <w:color w:val="000000"/>
        </w:rPr>
        <w:t xml:space="preserve"> arrow)</w:t>
      </w:r>
      <w:r>
        <w:rPr>
          <w:rFonts w:ascii="Book Antiqua" w:eastAsia="宋体" w:hAnsi="Book Antiqua" w:cs="Book Antiqua" w:hint="eastAsia"/>
          <w:color w:val="000000"/>
          <w:lang w:eastAsia="zh-CN"/>
        </w:rPr>
        <w:t xml:space="preserve"> </w:t>
      </w:r>
      <w:bookmarkStart w:id="15" w:name="OLE_LINK14"/>
      <w:bookmarkStart w:id="16" w:name="OLE_LINK15"/>
      <w:r>
        <w:rPr>
          <w:rFonts w:ascii="Book Antiqua" w:eastAsia="宋体" w:hAnsi="Book Antiqua" w:cs="Book Antiqua" w:hint="eastAsia"/>
          <w:color w:val="000000"/>
          <w:lang w:eastAsia="zh-CN"/>
        </w:rPr>
        <w:t>[</w:t>
      </w:r>
      <w:r w:rsidRPr="00471ACB">
        <w:rPr>
          <w:rFonts w:ascii="Book Antiqua" w:eastAsia="Book Antiqua" w:hAnsi="Book Antiqua" w:cs="Book Antiqua"/>
          <w:color w:val="000000"/>
        </w:rPr>
        <w:t xml:space="preserve">hematoxylin and eosin </w:t>
      </w:r>
      <w:r>
        <w:rPr>
          <w:rFonts w:ascii="Book Antiqua" w:eastAsia="宋体" w:hAnsi="Book Antiqua" w:cs="Book Antiqua" w:hint="eastAsia"/>
          <w:color w:val="000000"/>
          <w:lang w:eastAsia="zh-CN"/>
        </w:rPr>
        <w:t>(</w:t>
      </w:r>
      <w:r>
        <w:rPr>
          <w:rFonts w:ascii="Book Antiqua" w:eastAsia="Book Antiqua" w:hAnsi="Book Antiqua" w:cs="Book Antiqua"/>
          <w:color w:val="000000"/>
        </w:rPr>
        <w:t>H&amp;E</w:t>
      </w:r>
      <w:bookmarkEnd w:id="15"/>
      <w:bookmarkEnd w:id="16"/>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stain, </w:t>
      </w:r>
      <w:r w:rsidRPr="00FB5A70">
        <w:rPr>
          <w:rFonts w:ascii="Book Antiqua" w:eastAsia="Book Antiqua" w:hAnsi="Book Antiqua"/>
          <w:color w:val="000000"/>
        </w:rPr>
        <w:t>×</w:t>
      </w:r>
      <w:r w:rsidR="00FB5A70" w:rsidRPr="00FB5A70">
        <w:rPr>
          <w:rFonts w:ascii="Book Antiqua" w:eastAsia="Book Antiqua" w:hAnsi="Book Antiqua"/>
          <w:color w:val="000000"/>
        </w:rPr>
        <w:t xml:space="preserve"> </w:t>
      </w:r>
      <w:r>
        <w:rPr>
          <w:rFonts w:ascii="Book Antiqua" w:eastAsia="Book Antiqua" w:hAnsi="Book Antiqua" w:cs="Book Antiqua"/>
          <w:color w:val="000000"/>
        </w:rPr>
        <w:t>40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New vascular proliferation consistent with granulation tissue formation (arrow)</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(H&amp;E stain, </w:t>
      </w:r>
      <w:r w:rsidRPr="00FB5A70">
        <w:rPr>
          <w:rFonts w:ascii="Book Antiqua" w:eastAsia="Book Antiqua" w:hAnsi="Book Antiqua"/>
          <w:color w:val="000000"/>
        </w:rPr>
        <w:t>×</w:t>
      </w:r>
      <w:r w:rsidR="00FB5A70">
        <w:rPr>
          <w:rFonts w:ascii="Book Antiqua" w:eastAsia="Book Antiqua" w:hAnsi="Book Antiqua"/>
          <w:color w:val="000000"/>
        </w:rPr>
        <w:t xml:space="preserve"> </w:t>
      </w:r>
      <w:r>
        <w:rPr>
          <w:rFonts w:ascii="Book Antiqua" w:eastAsia="Book Antiqua" w:hAnsi="Book Antiqua" w:cs="Book Antiqua"/>
          <w:color w:val="000000"/>
        </w:rPr>
        <w:t xml:space="preserve">200). </w:t>
      </w:r>
    </w:p>
    <w:p w14:paraId="0CF4B370" w14:textId="77777777" w:rsidR="0007018A" w:rsidRDefault="0007018A">
      <w:pPr>
        <w:rPr>
          <w:rFonts w:ascii="Book Antiqua" w:hAnsi="Book Antiqua" w:cs="Book Antiqua"/>
          <w:color w:val="000000"/>
          <w:lang w:eastAsia="ko-KR"/>
        </w:rPr>
      </w:pPr>
      <w:r>
        <w:rPr>
          <w:rFonts w:ascii="Book Antiqua" w:hAnsi="Book Antiqua" w:cs="Book Antiqua"/>
          <w:color w:val="000000"/>
          <w:lang w:eastAsia="ko-KR"/>
        </w:rPr>
        <w:br w:type="page"/>
      </w:r>
    </w:p>
    <w:p w14:paraId="22947C92" w14:textId="77777777" w:rsidR="00A5277B" w:rsidRDefault="004B0509">
      <w:pPr>
        <w:spacing w:line="360" w:lineRule="auto"/>
        <w:jc w:val="both"/>
        <w:rPr>
          <w:rFonts w:eastAsia="宋体"/>
          <w:lang w:eastAsia="zh-CN"/>
        </w:rPr>
      </w:pPr>
      <w:r>
        <w:rPr>
          <w:noProof/>
          <w:lang w:eastAsia="zh-CN"/>
        </w:rPr>
        <w:drawing>
          <wp:inline distT="0" distB="0" distL="0" distR="0" wp14:anchorId="39BD9F6E" wp14:editId="3A9A12A8">
            <wp:extent cx="5259070" cy="1707515"/>
            <wp:effectExtent l="0" t="0" r="0" b="0"/>
            <wp:docPr id="1029" name="shape102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2">
                      <a:extLst>
                        <a:ext uri="{28A0092B-C50C-407E-A947-70E740481C1C}">
                          <a14:useLocalDpi xmlns:a14="http://schemas.microsoft.com/office/drawing/2010/main" val="0"/>
                        </a:ext>
                      </a:extLst>
                    </a:blip>
                    <a:srcRect/>
                    <a:stretch>
                      <a:fillRect/>
                    </a:stretch>
                  </pic:blipFill>
                  <pic:spPr>
                    <a:xfrm>
                      <a:off x="0" y="0"/>
                      <a:ext cx="5259070" cy="1707515"/>
                    </a:xfrm>
                    <a:prstGeom prst="rect">
                      <a:avLst/>
                    </a:prstGeom>
                    <a:noFill/>
                    <a:ln>
                      <a:noFill/>
                    </a:ln>
                  </pic:spPr>
                </pic:pic>
              </a:graphicData>
            </a:graphic>
          </wp:inline>
        </w:drawing>
      </w:r>
    </w:p>
    <w:p w14:paraId="357BBF50" w14:textId="02A5897A" w:rsidR="002B3660" w:rsidRDefault="0007018A">
      <w:pPr>
        <w:spacing w:line="360" w:lineRule="auto"/>
        <w:jc w:val="both"/>
        <w:rPr>
          <w:rFonts w:ascii="Book Antiqua" w:eastAsia="Book Antiqua" w:hAnsi="Book Antiqua" w:cs="Book Antiqua"/>
          <w:color w:val="000000"/>
        </w:rPr>
      </w:pPr>
      <w:r w:rsidRPr="0007018A">
        <w:rPr>
          <w:rFonts w:ascii="Book Antiqua" w:eastAsia="Book Antiqua" w:hAnsi="Book Antiqua" w:cs="Book Antiqua"/>
          <w:b/>
          <w:color w:val="000000"/>
        </w:rPr>
        <w:t>Figure 5 Capsule endoscopic findings one year after surgery.</w:t>
      </w:r>
      <w:r>
        <w:rPr>
          <w:rFonts w:ascii="Book Antiqua" w:eastAsia="Book Antiqua" w:hAnsi="Book Antiqua" w:cs="Book Antiqua"/>
          <w:color w:val="000000"/>
        </w:rPr>
        <w:t xml:space="preserve"> The previous multiple ulcers were not observed.</w:t>
      </w:r>
    </w:p>
    <w:p w14:paraId="2397CDC3" w14:textId="77777777" w:rsidR="002B3660" w:rsidRDefault="002B3660">
      <w:pPr>
        <w:rPr>
          <w:rFonts w:ascii="Book Antiqua" w:eastAsia="Book Antiqua" w:hAnsi="Book Antiqua" w:cs="Book Antiqua"/>
          <w:color w:val="000000"/>
        </w:rPr>
      </w:pPr>
      <w:r>
        <w:rPr>
          <w:rFonts w:ascii="Book Antiqua" w:eastAsia="Book Antiqua" w:hAnsi="Book Antiqua" w:cs="Book Antiqua"/>
          <w:color w:val="000000"/>
        </w:rPr>
        <w:br w:type="page"/>
      </w:r>
    </w:p>
    <w:p w14:paraId="5C1FEEB0" w14:textId="77777777" w:rsidR="002B3660" w:rsidRDefault="002B3660" w:rsidP="002B3660">
      <w:pPr>
        <w:jc w:val="center"/>
        <w:rPr>
          <w:rFonts w:ascii="Book Antiqua" w:hAnsi="Book Antiqua"/>
          <w:lang w:eastAsia="zh-CN"/>
        </w:rPr>
      </w:pPr>
    </w:p>
    <w:p w14:paraId="5014CA4D" w14:textId="77777777" w:rsidR="002B3660" w:rsidRDefault="002B3660" w:rsidP="002B3660">
      <w:pPr>
        <w:jc w:val="center"/>
        <w:rPr>
          <w:rFonts w:ascii="Book Antiqua" w:hAnsi="Book Antiqua"/>
          <w:lang w:eastAsia="zh-CN"/>
        </w:rPr>
      </w:pPr>
    </w:p>
    <w:p w14:paraId="48A1C92F" w14:textId="77777777" w:rsidR="002B3660" w:rsidRDefault="002B3660" w:rsidP="002B3660">
      <w:pPr>
        <w:jc w:val="center"/>
        <w:rPr>
          <w:rFonts w:ascii="Book Antiqua" w:hAnsi="Book Antiqua"/>
          <w:lang w:eastAsia="zh-CN"/>
        </w:rPr>
      </w:pPr>
    </w:p>
    <w:p w14:paraId="01AFE86B" w14:textId="77777777" w:rsidR="002B3660" w:rsidRDefault="002B3660" w:rsidP="002B3660">
      <w:pPr>
        <w:jc w:val="center"/>
        <w:rPr>
          <w:rFonts w:ascii="Book Antiqua" w:hAnsi="Book Antiqua"/>
          <w:lang w:eastAsia="zh-CN"/>
        </w:rPr>
      </w:pPr>
    </w:p>
    <w:p w14:paraId="54740A44" w14:textId="77777777" w:rsidR="002B3660" w:rsidRDefault="002B3660" w:rsidP="002B3660">
      <w:pPr>
        <w:jc w:val="center"/>
        <w:rPr>
          <w:rFonts w:ascii="Book Antiqua" w:hAnsi="Book Antiqua"/>
          <w:lang w:eastAsia="zh-CN"/>
        </w:rPr>
      </w:pPr>
    </w:p>
    <w:p w14:paraId="02BAB1CB" w14:textId="77777777" w:rsidR="002B3660" w:rsidRDefault="002B3660" w:rsidP="002B3660">
      <w:pPr>
        <w:jc w:val="center"/>
        <w:rPr>
          <w:rFonts w:ascii="Book Antiqua" w:hAnsi="Book Antiqua"/>
          <w:lang w:eastAsia="zh-CN"/>
        </w:rPr>
      </w:pPr>
      <w:r>
        <w:rPr>
          <w:rFonts w:ascii="Book Antiqua" w:hAnsi="Book Antiqua"/>
          <w:noProof/>
          <w:lang w:eastAsia="zh-CN"/>
        </w:rPr>
        <w:drawing>
          <wp:inline distT="0" distB="0" distL="0" distR="0" wp14:anchorId="31D96571" wp14:editId="7C1575D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F43701E" w14:textId="77777777" w:rsidR="002B3660" w:rsidRDefault="002B3660" w:rsidP="002B3660">
      <w:pPr>
        <w:jc w:val="center"/>
        <w:rPr>
          <w:rFonts w:ascii="Book Antiqua" w:hAnsi="Book Antiqua"/>
          <w:lang w:eastAsia="zh-CN"/>
        </w:rPr>
      </w:pPr>
    </w:p>
    <w:p w14:paraId="693111A7" w14:textId="77777777" w:rsidR="002B3660" w:rsidRPr="00763D22" w:rsidRDefault="002B3660" w:rsidP="002B366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A7F33F3" w14:textId="77777777" w:rsidR="002B3660" w:rsidRPr="00763D22" w:rsidRDefault="002B3660" w:rsidP="002B366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CF8A38F" w14:textId="77777777" w:rsidR="002B3660" w:rsidRPr="00763D22" w:rsidRDefault="002B3660" w:rsidP="002B366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9A753DC" w14:textId="77777777" w:rsidR="002B3660" w:rsidRPr="00763D22" w:rsidRDefault="002B3660" w:rsidP="002B366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348C728" w14:textId="77777777" w:rsidR="002B3660" w:rsidRPr="00763D22" w:rsidRDefault="002B3660" w:rsidP="002B366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A0D3820" w14:textId="77777777" w:rsidR="002B3660" w:rsidRPr="00763D22" w:rsidRDefault="002B3660" w:rsidP="002B3660">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82F015B" w14:textId="77777777" w:rsidR="002B3660" w:rsidRDefault="002B3660" w:rsidP="002B3660">
      <w:pPr>
        <w:jc w:val="center"/>
        <w:rPr>
          <w:rFonts w:ascii="Book Antiqua" w:hAnsi="Book Antiqua"/>
          <w:lang w:eastAsia="zh-CN"/>
        </w:rPr>
      </w:pPr>
    </w:p>
    <w:p w14:paraId="3E54092E" w14:textId="77777777" w:rsidR="002B3660" w:rsidRDefault="002B3660" w:rsidP="002B3660">
      <w:pPr>
        <w:jc w:val="center"/>
        <w:rPr>
          <w:rFonts w:ascii="Book Antiqua" w:hAnsi="Book Antiqua"/>
          <w:lang w:eastAsia="zh-CN"/>
        </w:rPr>
      </w:pPr>
    </w:p>
    <w:p w14:paraId="38F0EC9F" w14:textId="77777777" w:rsidR="002B3660" w:rsidRDefault="002B3660" w:rsidP="002B3660">
      <w:pPr>
        <w:jc w:val="center"/>
        <w:rPr>
          <w:rFonts w:ascii="Book Antiqua" w:hAnsi="Book Antiqua"/>
          <w:lang w:eastAsia="zh-CN"/>
        </w:rPr>
      </w:pPr>
    </w:p>
    <w:p w14:paraId="0DB27179" w14:textId="77777777" w:rsidR="002B3660" w:rsidRDefault="002B3660" w:rsidP="002B3660">
      <w:pPr>
        <w:jc w:val="center"/>
        <w:rPr>
          <w:rFonts w:ascii="Book Antiqua" w:hAnsi="Book Antiqua"/>
          <w:lang w:eastAsia="zh-CN"/>
        </w:rPr>
      </w:pPr>
      <w:r>
        <w:rPr>
          <w:rFonts w:ascii="Book Antiqua" w:hAnsi="Book Antiqua"/>
          <w:noProof/>
          <w:lang w:eastAsia="zh-CN"/>
        </w:rPr>
        <w:drawing>
          <wp:inline distT="0" distB="0" distL="0" distR="0" wp14:anchorId="5E56B87B" wp14:editId="3FF03EC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1B7DD0B" w14:textId="77777777" w:rsidR="002B3660" w:rsidRDefault="002B3660" w:rsidP="002B3660">
      <w:pPr>
        <w:jc w:val="center"/>
        <w:rPr>
          <w:rFonts w:ascii="Book Antiqua" w:hAnsi="Book Antiqua"/>
          <w:lang w:eastAsia="zh-CN"/>
        </w:rPr>
      </w:pPr>
    </w:p>
    <w:p w14:paraId="55A7974E" w14:textId="77777777" w:rsidR="002B3660" w:rsidRDefault="002B3660" w:rsidP="002B3660">
      <w:pPr>
        <w:jc w:val="center"/>
        <w:rPr>
          <w:rFonts w:ascii="Book Antiqua" w:hAnsi="Book Antiqua"/>
          <w:lang w:eastAsia="zh-CN"/>
        </w:rPr>
      </w:pPr>
    </w:p>
    <w:p w14:paraId="196480E7" w14:textId="77777777" w:rsidR="002B3660" w:rsidRDefault="002B3660" w:rsidP="002B3660">
      <w:pPr>
        <w:jc w:val="center"/>
        <w:rPr>
          <w:rFonts w:ascii="Book Antiqua" w:hAnsi="Book Antiqua"/>
          <w:lang w:eastAsia="zh-CN"/>
        </w:rPr>
      </w:pPr>
    </w:p>
    <w:p w14:paraId="3FB1D12B" w14:textId="77777777" w:rsidR="002B3660" w:rsidRDefault="002B3660" w:rsidP="002B3660">
      <w:pPr>
        <w:jc w:val="center"/>
        <w:rPr>
          <w:rFonts w:ascii="Book Antiqua" w:hAnsi="Book Antiqua"/>
          <w:lang w:eastAsia="zh-CN"/>
        </w:rPr>
      </w:pPr>
    </w:p>
    <w:p w14:paraId="23B241C1" w14:textId="77777777" w:rsidR="002B3660" w:rsidRDefault="002B3660" w:rsidP="002B3660">
      <w:pPr>
        <w:jc w:val="center"/>
        <w:rPr>
          <w:rFonts w:ascii="Book Antiqua" w:hAnsi="Book Antiqua"/>
          <w:lang w:eastAsia="zh-CN"/>
        </w:rPr>
      </w:pPr>
    </w:p>
    <w:p w14:paraId="08914882" w14:textId="77777777" w:rsidR="002B3660" w:rsidRDefault="002B3660" w:rsidP="002B3660">
      <w:pPr>
        <w:jc w:val="center"/>
        <w:rPr>
          <w:rFonts w:ascii="Book Antiqua" w:hAnsi="Book Antiqua"/>
          <w:lang w:eastAsia="zh-CN"/>
        </w:rPr>
      </w:pPr>
    </w:p>
    <w:p w14:paraId="489749F7" w14:textId="77777777" w:rsidR="002B3660" w:rsidRDefault="002B3660" w:rsidP="002B3660">
      <w:pPr>
        <w:jc w:val="center"/>
        <w:rPr>
          <w:rFonts w:ascii="Book Antiqua" w:hAnsi="Book Antiqua"/>
          <w:lang w:eastAsia="zh-CN"/>
        </w:rPr>
      </w:pPr>
    </w:p>
    <w:p w14:paraId="6EFD5F0C" w14:textId="77777777" w:rsidR="002B3660" w:rsidRDefault="002B3660" w:rsidP="002B3660">
      <w:pPr>
        <w:jc w:val="center"/>
        <w:rPr>
          <w:rFonts w:ascii="Book Antiqua" w:hAnsi="Book Antiqua"/>
          <w:lang w:eastAsia="zh-CN"/>
        </w:rPr>
      </w:pPr>
    </w:p>
    <w:p w14:paraId="093432CB" w14:textId="77777777" w:rsidR="002B3660" w:rsidRDefault="002B3660" w:rsidP="002B3660">
      <w:pPr>
        <w:jc w:val="center"/>
        <w:rPr>
          <w:rFonts w:ascii="Book Antiqua" w:hAnsi="Book Antiqua"/>
          <w:lang w:eastAsia="zh-CN"/>
        </w:rPr>
      </w:pPr>
    </w:p>
    <w:p w14:paraId="328D4AB9" w14:textId="77777777" w:rsidR="002B3660" w:rsidRPr="00763D22" w:rsidRDefault="002B3660" w:rsidP="002B3660">
      <w:pPr>
        <w:jc w:val="right"/>
        <w:rPr>
          <w:rFonts w:ascii="Book Antiqua" w:hAnsi="Book Antiqua"/>
          <w:color w:val="000000" w:themeColor="text1"/>
          <w:lang w:eastAsia="zh-CN"/>
        </w:rPr>
      </w:pPr>
    </w:p>
    <w:p w14:paraId="71785ECA" w14:textId="77777777" w:rsidR="002B3660" w:rsidRPr="00763D22" w:rsidRDefault="002B3660" w:rsidP="002B3660">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454574B" w14:textId="77777777" w:rsidR="0007018A" w:rsidRPr="002B3660" w:rsidRDefault="0007018A">
      <w:pPr>
        <w:spacing w:line="360" w:lineRule="auto"/>
        <w:jc w:val="both"/>
        <w:rPr>
          <w:rFonts w:ascii="Book Antiqua" w:eastAsia="宋体" w:hAnsi="Book Antiqua" w:cs="Book Antiqua"/>
          <w:color w:val="000000"/>
          <w:lang w:eastAsia="zh-CN"/>
        </w:rPr>
      </w:pPr>
    </w:p>
    <w:sectPr w:rsidR="0007018A" w:rsidRPr="002B3660" w:rsidSect="009002A0">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4D18DB" w14:textId="77777777" w:rsidR="000136C2" w:rsidRDefault="000136C2" w:rsidP="004D7513">
      <w:r>
        <w:separator/>
      </w:r>
    </w:p>
  </w:endnote>
  <w:endnote w:type="continuationSeparator" w:id="0">
    <w:p w14:paraId="7B99E31C" w14:textId="77777777" w:rsidR="000136C2" w:rsidRDefault="000136C2" w:rsidP="004D7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025533"/>
      <w:docPartObj>
        <w:docPartGallery w:val="Page Numbers (Bottom of Page)"/>
        <w:docPartUnique/>
      </w:docPartObj>
    </w:sdtPr>
    <w:sdtEndPr/>
    <w:sdtContent>
      <w:sdt>
        <w:sdtPr>
          <w:id w:val="860082579"/>
          <w:docPartObj>
            <w:docPartGallery w:val="Page Numbers (Top of Page)"/>
            <w:docPartUnique/>
          </w:docPartObj>
        </w:sdtPr>
        <w:sdtEndPr/>
        <w:sdtContent>
          <w:p w14:paraId="0B86F38E" w14:textId="77777777" w:rsidR="004D7513" w:rsidRDefault="004D7513">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136C2">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136C2">
              <w:rPr>
                <w:b/>
                <w:bCs/>
                <w:noProof/>
              </w:rPr>
              <w:t>1</w:t>
            </w:r>
            <w:r>
              <w:rPr>
                <w:b/>
                <w:bCs/>
                <w:sz w:val="24"/>
                <w:szCs w:val="24"/>
              </w:rPr>
              <w:fldChar w:fldCharType="end"/>
            </w:r>
          </w:p>
        </w:sdtContent>
      </w:sdt>
    </w:sdtContent>
  </w:sdt>
  <w:p w14:paraId="533A45A8" w14:textId="77777777" w:rsidR="004D7513" w:rsidRDefault="004D751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A447E8" w14:textId="77777777" w:rsidR="000136C2" w:rsidRDefault="000136C2" w:rsidP="004D7513">
      <w:r>
        <w:separator/>
      </w:r>
    </w:p>
  </w:footnote>
  <w:footnote w:type="continuationSeparator" w:id="0">
    <w:p w14:paraId="69BBA56A" w14:textId="77777777" w:rsidR="000136C2" w:rsidRDefault="000136C2" w:rsidP="004D75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77B"/>
    <w:rsid w:val="000136C2"/>
    <w:rsid w:val="000167FE"/>
    <w:rsid w:val="00037D82"/>
    <w:rsid w:val="0007018A"/>
    <w:rsid w:val="000937D3"/>
    <w:rsid w:val="00143104"/>
    <w:rsid w:val="00165E30"/>
    <w:rsid w:val="001B53DC"/>
    <w:rsid w:val="00220BEC"/>
    <w:rsid w:val="0029091A"/>
    <w:rsid w:val="002B3660"/>
    <w:rsid w:val="002E49D6"/>
    <w:rsid w:val="003227EF"/>
    <w:rsid w:val="003A466A"/>
    <w:rsid w:val="003D78DE"/>
    <w:rsid w:val="003F0127"/>
    <w:rsid w:val="004028F9"/>
    <w:rsid w:val="00470123"/>
    <w:rsid w:val="00471ACB"/>
    <w:rsid w:val="0048725B"/>
    <w:rsid w:val="00487B71"/>
    <w:rsid w:val="004A602E"/>
    <w:rsid w:val="004B0509"/>
    <w:rsid w:val="004B60B3"/>
    <w:rsid w:val="004B63A4"/>
    <w:rsid w:val="004D46A9"/>
    <w:rsid w:val="004D7513"/>
    <w:rsid w:val="004E6F26"/>
    <w:rsid w:val="005A5D40"/>
    <w:rsid w:val="00620012"/>
    <w:rsid w:val="006421F7"/>
    <w:rsid w:val="0065075D"/>
    <w:rsid w:val="00664B7A"/>
    <w:rsid w:val="00682388"/>
    <w:rsid w:val="006A1A39"/>
    <w:rsid w:val="006D32CC"/>
    <w:rsid w:val="006D6790"/>
    <w:rsid w:val="00711B92"/>
    <w:rsid w:val="00770E6B"/>
    <w:rsid w:val="007B678D"/>
    <w:rsid w:val="007B693A"/>
    <w:rsid w:val="007D089B"/>
    <w:rsid w:val="007D7479"/>
    <w:rsid w:val="008210A5"/>
    <w:rsid w:val="00827713"/>
    <w:rsid w:val="00834E28"/>
    <w:rsid w:val="00844E06"/>
    <w:rsid w:val="00860731"/>
    <w:rsid w:val="008631E8"/>
    <w:rsid w:val="008F00B9"/>
    <w:rsid w:val="009002A0"/>
    <w:rsid w:val="00905306"/>
    <w:rsid w:val="009365E4"/>
    <w:rsid w:val="0095492F"/>
    <w:rsid w:val="009E70C4"/>
    <w:rsid w:val="00A26EB8"/>
    <w:rsid w:val="00A47AED"/>
    <w:rsid w:val="00A5277B"/>
    <w:rsid w:val="00A61598"/>
    <w:rsid w:val="00B11690"/>
    <w:rsid w:val="00B55B48"/>
    <w:rsid w:val="00BB19DD"/>
    <w:rsid w:val="00BD43B4"/>
    <w:rsid w:val="00C12C5E"/>
    <w:rsid w:val="00C4558D"/>
    <w:rsid w:val="00D37D48"/>
    <w:rsid w:val="00DA28ED"/>
    <w:rsid w:val="00DB328E"/>
    <w:rsid w:val="00DB7244"/>
    <w:rsid w:val="00DF44CE"/>
    <w:rsid w:val="00DF51C7"/>
    <w:rsid w:val="00E217E9"/>
    <w:rsid w:val="00E53F45"/>
    <w:rsid w:val="00E87673"/>
    <w:rsid w:val="00E91400"/>
    <w:rsid w:val="00EF71D3"/>
    <w:rsid w:val="00F237FA"/>
    <w:rsid w:val="00F27489"/>
    <w:rsid w:val="00FB4D29"/>
    <w:rsid w:val="00FB5A70"/>
    <w:rsid w:val="00FD5372"/>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3E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96" w:unhideWhenUsed="0"/>
    <w:lsdException w:name="Light List" w:semiHidden="0" w:uiPriority="97" w:unhideWhenUsed="0"/>
    <w:lsdException w:name="Light Grid" w:semiHidden="0" w:uiPriority="98" w:unhideWhenUsed="0"/>
    <w:lsdException w:name="Medium Shading 1" w:semiHidden="0" w:uiPriority="99"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iPriority="96" w:unhideWhenUsed="0"/>
    <w:lsdException w:name="Light List Accent 1" w:semiHidden="0" w:uiPriority="97" w:unhideWhenUsed="0"/>
    <w:lsdException w:name="Light Grid Accent 1" w:semiHidden="0" w:uiPriority="98" w:unhideWhenUsed="0"/>
    <w:lsdException w:name="Medium Shading 1 Accent 1" w:semiHidden="0" w:uiPriority="99" w:unhideWhenUsed="0"/>
    <w:lsdException w:name="Medium Shading 2 Accent 1" w:semiHidden="0" w:unhideWhenUsed="0"/>
    <w:lsdException w:name="Medium List 1 Accent 1" w:semiHidden="0" w:unhideWhenUsed="0"/>
    <w:lsdException w:name="Revision" w:unhideWhenUsed="0"/>
    <w:lsdException w:name="List Paragraph" w:semiHidden="0" w:uiPriority="52" w:unhideWhenUsed="0" w:qFormat="1"/>
    <w:lsdException w:name="Quote" w:semiHidden="0" w:uiPriority="41" w:unhideWhenUsed="0" w:qFormat="1"/>
    <w:lsdException w:name="Intense Quote" w:semiHidden="0" w:uiPriority="48"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iPriority="96" w:unhideWhenUsed="0"/>
    <w:lsdException w:name="Light List Accent 2" w:semiHidden="0" w:uiPriority="97" w:unhideWhenUsed="0"/>
    <w:lsdException w:name="Light Grid Accent 2" w:semiHidden="0" w:uiPriority="98" w:unhideWhenUsed="0"/>
    <w:lsdException w:name="Medium Shading 1 Accent 2" w:semiHidden="0" w:uiPriority="99"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iPriority="96" w:unhideWhenUsed="0"/>
    <w:lsdException w:name="Light List Accent 3" w:semiHidden="0" w:uiPriority="97" w:unhideWhenUsed="0"/>
    <w:lsdException w:name="Light Grid Accent 3" w:semiHidden="0" w:uiPriority="98" w:unhideWhenUsed="0"/>
    <w:lsdException w:name="Medium Shading 1 Accent 3" w:semiHidden="0" w:uiPriority="99"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iPriority="96" w:unhideWhenUsed="0"/>
    <w:lsdException w:name="Light List Accent 4" w:semiHidden="0" w:uiPriority="97" w:unhideWhenUsed="0"/>
    <w:lsdException w:name="Light Grid Accent 4" w:semiHidden="0" w:uiPriority="98" w:unhideWhenUsed="0"/>
    <w:lsdException w:name="Medium Shading 1 Accent 4" w:semiHidden="0" w:uiPriority="99"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iPriority="96" w:unhideWhenUsed="0"/>
    <w:lsdException w:name="Light List Accent 5" w:semiHidden="0" w:uiPriority="97" w:unhideWhenUsed="0"/>
    <w:lsdException w:name="Light Grid Accent 5" w:semiHidden="0" w:uiPriority="98" w:unhideWhenUsed="0"/>
    <w:lsdException w:name="Medium Shading 1 Accent 5" w:semiHidden="0" w:uiPriority="99"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iPriority="96" w:unhideWhenUsed="0"/>
    <w:lsdException w:name="Light List Accent 6" w:semiHidden="0" w:uiPriority="97" w:unhideWhenUsed="0"/>
    <w:lsdException w:name="Light Grid Accent 6" w:semiHidden="0" w:uiPriority="98" w:unhideWhenUsed="0"/>
    <w:lsdException w:name="Medium Shading 1 Accent 6" w:semiHidden="0" w:uiPriority="99"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25" w:unhideWhenUsed="0" w:qFormat="1"/>
    <w:lsdException w:name="Intense Emphasis" w:semiHidden="0" w:uiPriority="33" w:unhideWhenUsed="0" w:qFormat="1"/>
    <w:lsdException w:name="Subtle Reference" w:semiHidden="0" w:uiPriority="49" w:unhideWhenUsed="0" w:qFormat="1"/>
    <w:lsdException w:name="Intense Reference" w:semiHidden="0" w:uiPriority="50" w:unhideWhenUsed="0" w:qFormat="1"/>
    <w:lsdException w:name="Book Title" w:semiHidden="0" w:uiPriority="51" w:unhideWhenUsed="0" w:qFormat="1"/>
    <w:lsdException w:name="Bibliography" w:uiPriority="55"/>
    <w:lsdException w:name="TOC Heading" w:uiPriority="57"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批注框文本1"/>
    <w:basedOn w:val="a"/>
    <w:link w:val="Char"/>
    <w:rPr>
      <w:rFonts w:asciiTheme="majorHAnsi" w:eastAsiaTheme="majorEastAsia" w:hAnsiTheme="majorHAnsi" w:cstheme="majorBidi"/>
      <w:sz w:val="18"/>
      <w:szCs w:val="18"/>
    </w:rPr>
  </w:style>
  <w:style w:type="character" w:customStyle="1" w:styleId="Char">
    <w:name w:val="풍선 도움말 텍스트 Char"/>
    <w:basedOn w:val="a0"/>
    <w:link w:val="1"/>
    <w:rPr>
      <w:rFonts w:asciiTheme="majorHAnsi" w:eastAsiaTheme="majorEastAsia" w:hAnsiTheme="majorHAnsi" w:cstheme="majorBidi"/>
      <w:sz w:val="18"/>
      <w:szCs w:val="18"/>
    </w:rPr>
  </w:style>
  <w:style w:type="character" w:styleId="a3">
    <w:name w:val="line number"/>
    <w:basedOn w:val="a0"/>
    <w:rsid w:val="004028F9"/>
  </w:style>
  <w:style w:type="paragraph" w:styleId="a4">
    <w:name w:val="Normal (Web)"/>
    <w:basedOn w:val="a"/>
    <w:uiPriority w:val="99"/>
    <w:unhideWhenUsed/>
    <w:rsid w:val="00B11690"/>
    <w:pPr>
      <w:spacing w:before="100" w:beforeAutospacing="1" w:after="100" w:afterAutospacing="1"/>
    </w:pPr>
    <w:rPr>
      <w:rFonts w:ascii="宋体" w:eastAsia="宋体" w:hAnsi="宋体" w:cs="宋体"/>
      <w:lang w:eastAsia="zh-CN"/>
    </w:rPr>
  </w:style>
  <w:style w:type="paragraph" w:styleId="a5">
    <w:name w:val="Balloon Text"/>
    <w:basedOn w:val="a"/>
    <w:link w:val="Char0"/>
    <w:rsid w:val="009002A0"/>
    <w:rPr>
      <w:sz w:val="18"/>
      <w:szCs w:val="18"/>
    </w:rPr>
  </w:style>
  <w:style w:type="character" w:customStyle="1" w:styleId="Char0">
    <w:name w:val="批注框文本 Char"/>
    <w:basedOn w:val="a0"/>
    <w:link w:val="a5"/>
    <w:rsid w:val="009002A0"/>
    <w:rPr>
      <w:sz w:val="18"/>
      <w:szCs w:val="18"/>
    </w:rPr>
  </w:style>
  <w:style w:type="paragraph" w:styleId="a6">
    <w:name w:val="header"/>
    <w:basedOn w:val="a"/>
    <w:link w:val="Char1"/>
    <w:rsid w:val="004D751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4D7513"/>
    <w:rPr>
      <w:sz w:val="18"/>
      <w:szCs w:val="18"/>
    </w:rPr>
  </w:style>
  <w:style w:type="paragraph" w:styleId="a7">
    <w:name w:val="footer"/>
    <w:basedOn w:val="a"/>
    <w:link w:val="Char2"/>
    <w:uiPriority w:val="99"/>
    <w:rsid w:val="004D7513"/>
    <w:pPr>
      <w:tabs>
        <w:tab w:val="center" w:pos="4153"/>
        <w:tab w:val="right" w:pos="8306"/>
      </w:tabs>
      <w:snapToGrid w:val="0"/>
    </w:pPr>
    <w:rPr>
      <w:sz w:val="18"/>
      <w:szCs w:val="18"/>
    </w:rPr>
  </w:style>
  <w:style w:type="character" w:customStyle="1" w:styleId="Char2">
    <w:name w:val="页脚 Char"/>
    <w:basedOn w:val="a0"/>
    <w:link w:val="a7"/>
    <w:uiPriority w:val="99"/>
    <w:rsid w:val="004D7513"/>
    <w:rPr>
      <w:sz w:val="18"/>
      <w:szCs w:val="18"/>
    </w:rPr>
  </w:style>
  <w:style w:type="character" w:styleId="a8">
    <w:name w:val="Emphasis"/>
    <w:basedOn w:val="a0"/>
    <w:uiPriority w:val="20"/>
    <w:qFormat/>
    <w:rsid w:val="00220BE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96" w:unhideWhenUsed="0"/>
    <w:lsdException w:name="Light List" w:semiHidden="0" w:uiPriority="97" w:unhideWhenUsed="0"/>
    <w:lsdException w:name="Light Grid" w:semiHidden="0" w:uiPriority="98" w:unhideWhenUsed="0"/>
    <w:lsdException w:name="Medium Shading 1" w:semiHidden="0" w:uiPriority="99"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iPriority="96" w:unhideWhenUsed="0"/>
    <w:lsdException w:name="Light List Accent 1" w:semiHidden="0" w:uiPriority="97" w:unhideWhenUsed="0"/>
    <w:lsdException w:name="Light Grid Accent 1" w:semiHidden="0" w:uiPriority="98" w:unhideWhenUsed="0"/>
    <w:lsdException w:name="Medium Shading 1 Accent 1" w:semiHidden="0" w:uiPriority="99" w:unhideWhenUsed="0"/>
    <w:lsdException w:name="Medium Shading 2 Accent 1" w:semiHidden="0" w:unhideWhenUsed="0"/>
    <w:lsdException w:name="Medium List 1 Accent 1" w:semiHidden="0" w:unhideWhenUsed="0"/>
    <w:lsdException w:name="Revision" w:unhideWhenUsed="0"/>
    <w:lsdException w:name="List Paragraph" w:semiHidden="0" w:uiPriority="52" w:unhideWhenUsed="0" w:qFormat="1"/>
    <w:lsdException w:name="Quote" w:semiHidden="0" w:uiPriority="41" w:unhideWhenUsed="0" w:qFormat="1"/>
    <w:lsdException w:name="Intense Quote" w:semiHidden="0" w:uiPriority="48"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iPriority="96" w:unhideWhenUsed="0"/>
    <w:lsdException w:name="Light List Accent 2" w:semiHidden="0" w:uiPriority="97" w:unhideWhenUsed="0"/>
    <w:lsdException w:name="Light Grid Accent 2" w:semiHidden="0" w:uiPriority="98" w:unhideWhenUsed="0"/>
    <w:lsdException w:name="Medium Shading 1 Accent 2" w:semiHidden="0" w:uiPriority="99"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iPriority="96" w:unhideWhenUsed="0"/>
    <w:lsdException w:name="Light List Accent 3" w:semiHidden="0" w:uiPriority="97" w:unhideWhenUsed="0"/>
    <w:lsdException w:name="Light Grid Accent 3" w:semiHidden="0" w:uiPriority="98" w:unhideWhenUsed="0"/>
    <w:lsdException w:name="Medium Shading 1 Accent 3" w:semiHidden="0" w:uiPriority="99"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iPriority="96" w:unhideWhenUsed="0"/>
    <w:lsdException w:name="Light List Accent 4" w:semiHidden="0" w:uiPriority="97" w:unhideWhenUsed="0"/>
    <w:lsdException w:name="Light Grid Accent 4" w:semiHidden="0" w:uiPriority="98" w:unhideWhenUsed="0"/>
    <w:lsdException w:name="Medium Shading 1 Accent 4" w:semiHidden="0" w:uiPriority="99"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iPriority="96" w:unhideWhenUsed="0"/>
    <w:lsdException w:name="Light List Accent 5" w:semiHidden="0" w:uiPriority="97" w:unhideWhenUsed="0"/>
    <w:lsdException w:name="Light Grid Accent 5" w:semiHidden="0" w:uiPriority="98" w:unhideWhenUsed="0"/>
    <w:lsdException w:name="Medium Shading 1 Accent 5" w:semiHidden="0" w:uiPriority="99"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iPriority="96" w:unhideWhenUsed="0"/>
    <w:lsdException w:name="Light List Accent 6" w:semiHidden="0" w:uiPriority="97" w:unhideWhenUsed="0"/>
    <w:lsdException w:name="Light Grid Accent 6" w:semiHidden="0" w:uiPriority="98" w:unhideWhenUsed="0"/>
    <w:lsdException w:name="Medium Shading 1 Accent 6" w:semiHidden="0" w:uiPriority="99"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25" w:unhideWhenUsed="0" w:qFormat="1"/>
    <w:lsdException w:name="Intense Emphasis" w:semiHidden="0" w:uiPriority="33" w:unhideWhenUsed="0" w:qFormat="1"/>
    <w:lsdException w:name="Subtle Reference" w:semiHidden="0" w:uiPriority="49" w:unhideWhenUsed="0" w:qFormat="1"/>
    <w:lsdException w:name="Intense Reference" w:semiHidden="0" w:uiPriority="50" w:unhideWhenUsed="0" w:qFormat="1"/>
    <w:lsdException w:name="Book Title" w:semiHidden="0" w:uiPriority="51" w:unhideWhenUsed="0" w:qFormat="1"/>
    <w:lsdException w:name="Bibliography" w:uiPriority="55"/>
    <w:lsdException w:name="TOC Heading" w:uiPriority="57"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批注框文本1"/>
    <w:basedOn w:val="a"/>
    <w:link w:val="Char"/>
    <w:rPr>
      <w:rFonts w:asciiTheme="majorHAnsi" w:eastAsiaTheme="majorEastAsia" w:hAnsiTheme="majorHAnsi" w:cstheme="majorBidi"/>
      <w:sz w:val="18"/>
      <w:szCs w:val="18"/>
    </w:rPr>
  </w:style>
  <w:style w:type="character" w:customStyle="1" w:styleId="Char">
    <w:name w:val="풍선 도움말 텍스트 Char"/>
    <w:basedOn w:val="a0"/>
    <w:link w:val="1"/>
    <w:rPr>
      <w:rFonts w:asciiTheme="majorHAnsi" w:eastAsiaTheme="majorEastAsia" w:hAnsiTheme="majorHAnsi" w:cstheme="majorBidi"/>
      <w:sz w:val="18"/>
      <w:szCs w:val="18"/>
    </w:rPr>
  </w:style>
  <w:style w:type="character" w:styleId="a3">
    <w:name w:val="line number"/>
    <w:basedOn w:val="a0"/>
    <w:rsid w:val="004028F9"/>
  </w:style>
  <w:style w:type="paragraph" w:styleId="a4">
    <w:name w:val="Normal (Web)"/>
    <w:basedOn w:val="a"/>
    <w:uiPriority w:val="99"/>
    <w:unhideWhenUsed/>
    <w:rsid w:val="00B11690"/>
    <w:pPr>
      <w:spacing w:before="100" w:beforeAutospacing="1" w:after="100" w:afterAutospacing="1"/>
    </w:pPr>
    <w:rPr>
      <w:rFonts w:ascii="宋体" w:eastAsia="宋体" w:hAnsi="宋体" w:cs="宋体"/>
      <w:lang w:eastAsia="zh-CN"/>
    </w:rPr>
  </w:style>
  <w:style w:type="paragraph" w:styleId="a5">
    <w:name w:val="Balloon Text"/>
    <w:basedOn w:val="a"/>
    <w:link w:val="Char0"/>
    <w:rsid w:val="009002A0"/>
    <w:rPr>
      <w:sz w:val="18"/>
      <w:szCs w:val="18"/>
    </w:rPr>
  </w:style>
  <w:style w:type="character" w:customStyle="1" w:styleId="Char0">
    <w:name w:val="批注框文本 Char"/>
    <w:basedOn w:val="a0"/>
    <w:link w:val="a5"/>
    <w:rsid w:val="009002A0"/>
    <w:rPr>
      <w:sz w:val="18"/>
      <w:szCs w:val="18"/>
    </w:rPr>
  </w:style>
  <w:style w:type="paragraph" w:styleId="a6">
    <w:name w:val="header"/>
    <w:basedOn w:val="a"/>
    <w:link w:val="Char1"/>
    <w:rsid w:val="004D751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4D7513"/>
    <w:rPr>
      <w:sz w:val="18"/>
      <w:szCs w:val="18"/>
    </w:rPr>
  </w:style>
  <w:style w:type="paragraph" w:styleId="a7">
    <w:name w:val="footer"/>
    <w:basedOn w:val="a"/>
    <w:link w:val="Char2"/>
    <w:uiPriority w:val="99"/>
    <w:rsid w:val="004D7513"/>
    <w:pPr>
      <w:tabs>
        <w:tab w:val="center" w:pos="4153"/>
        <w:tab w:val="right" w:pos="8306"/>
      </w:tabs>
      <w:snapToGrid w:val="0"/>
    </w:pPr>
    <w:rPr>
      <w:sz w:val="18"/>
      <w:szCs w:val="18"/>
    </w:rPr>
  </w:style>
  <w:style w:type="character" w:customStyle="1" w:styleId="Char2">
    <w:name w:val="页脚 Char"/>
    <w:basedOn w:val="a0"/>
    <w:link w:val="a7"/>
    <w:uiPriority w:val="99"/>
    <w:rsid w:val="004D7513"/>
    <w:rPr>
      <w:sz w:val="18"/>
      <w:szCs w:val="18"/>
    </w:rPr>
  </w:style>
  <w:style w:type="character" w:styleId="a8">
    <w:name w:val="Emphasis"/>
    <w:basedOn w:val="a0"/>
    <w:uiPriority w:val="20"/>
    <w:qFormat/>
    <w:rsid w:val="00220B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59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ncbi.nlm.nih.gov/pmc/articles/PMC3693999/" TargetMode="Externa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3180</Words>
  <Characters>18131</Characters>
  <Application>Microsoft Office Word</Application>
  <DocSecurity>0</DocSecurity>
  <Lines>151</Lines>
  <Paragraphs>42</Paragraphs>
  <ScaleCrop>false</ScaleCrop>
  <LinksUpToDate>false</LinksUpToDate>
  <CharactersWithSpaces>21269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2021-03-25T14:44:00Z</dcterms:created>
  <dcterms:modified xsi:type="dcterms:W3CDTF">2021-05-07T08:14:00Z</dcterms:modified>
  <cp:version>1000.0100.01</cp:version>
</cp:coreProperties>
</file>