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BBD84"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Name of Journal: </w:t>
      </w:r>
      <w:r w:rsidRPr="00ED6B88">
        <w:rPr>
          <w:rFonts w:ascii="Book Antiqua" w:eastAsia="Book Antiqua" w:hAnsi="Book Antiqua" w:cs="Book Antiqua"/>
          <w:i/>
          <w:color w:val="000000"/>
        </w:rPr>
        <w:t>World Journal of Clinical Cases</w:t>
      </w:r>
    </w:p>
    <w:p w14:paraId="2E924F70"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Manuscript NO: </w:t>
      </w:r>
      <w:r w:rsidRPr="00ED6B88">
        <w:rPr>
          <w:rFonts w:ascii="Book Antiqua" w:eastAsia="Book Antiqua" w:hAnsi="Book Antiqua" w:cs="Book Antiqua"/>
          <w:color w:val="000000"/>
        </w:rPr>
        <w:t>62099</w:t>
      </w:r>
    </w:p>
    <w:p w14:paraId="3DFE5766"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Manuscript Type: </w:t>
      </w:r>
      <w:r w:rsidRPr="00ED6B88">
        <w:rPr>
          <w:rFonts w:ascii="Book Antiqua" w:eastAsia="Book Antiqua" w:hAnsi="Book Antiqua" w:cs="Book Antiqua"/>
          <w:color w:val="000000"/>
        </w:rPr>
        <w:t>CASE REPORT</w:t>
      </w:r>
    </w:p>
    <w:p w14:paraId="616BCA7B" w14:textId="77777777" w:rsidR="00A77B3E" w:rsidRPr="00ED6B88" w:rsidRDefault="00A77B3E" w:rsidP="00ED6B88">
      <w:pPr>
        <w:spacing w:line="360" w:lineRule="auto"/>
        <w:jc w:val="both"/>
        <w:rPr>
          <w:rFonts w:ascii="Book Antiqua" w:hAnsi="Book Antiqua"/>
        </w:rPr>
      </w:pPr>
    </w:p>
    <w:p w14:paraId="7F43B622" w14:textId="772F28FB" w:rsidR="00A77B3E" w:rsidRPr="00ED6B88" w:rsidRDefault="003140EF" w:rsidP="00ED6B88">
      <w:pPr>
        <w:spacing w:line="360" w:lineRule="auto"/>
        <w:jc w:val="both"/>
        <w:rPr>
          <w:rFonts w:ascii="Book Antiqua" w:hAnsi="Book Antiqua"/>
        </w:rPr>
      </w:pPr>
      <w:bookmarkStart w:id="0" w:name="OLE_LINK52"/>
      <w:bookmarkStart w:id="1" w:name="OLE_LINK89"/>
      <w:r w:rsidRPr="00ED6B88">
        <w:rPr>
          <w:rFonts w:ascii="Book Antiqua" w:eastAsia="Book Antiqua" w:hAnsi="Book Antiqua" w:cs="Book Antiqua"/>
          <w:b/>
          <w:color w:val="000000"/>
        </w:rPr>
        <w:t xml:space="preserve">Sclerosing polycystic adenosis of the submandibular gland: </w:t>
      </w:r>
      <w:r w:rsidR="008E7371">
        <w:rPr>
          <w:rFonts w:ascii="Book Antiqua" w:eastAsia="Book Antiqua" w:hAnsi="Book Antiqua" w:cs="Book Antiqua"/>
          <w:b/>
          <w:color w:val="000000"/>
        </w:rPr>
        <w:t>T</w:t>
      </w:r>
      <w:r w:rsidRPr="00ED6B88">
        <w:rPr>
          <w:rFonts w:ascii="Book Antiqua" w:eastAsia="Book Antiqua" w:hAnsi="Book Antiqua" w:cs="Book Antiqua"/>
          <w:b/>
          <w:color w:val="000000"/>
        </w:rPr>
        <w:t>wo case</w:t>
      </w:r>
      <w:r w:rsidR="008E7371">
        <w:rPr>
          <w:rFonts w:ascii="Book Antiqua" w:eastAsia="Book Antiqua" w:hAnsi="Book Antiqua" w:cs="Book Antiqua"/>
          <w:b/>
          <w:color w:val="000000"/>
        </w:rPr>
        <w:t xml:space="preserve"> reports</w:t>
      </w:r>
    </w:p>
    <w:bookmarkEnd w:id="0"/>
    <w:bookmarkEnd w:id="1"/>
    <w:p w14:paraId="63AF344E" w14:textId="77777777" w:rsidR="00A77B3E" w:rsidRPr="00ED6B88" w:rsidRDefault="00A77B3E" w:rsidP="00ED6B88">
      <w:pPr>
        <w:spacing w:line="360" w:lineRule="auto"/>
        <w:jc w:val="both"/>
        <w:rPr>
          <w:rFonts w:ascii="Book Antiqua" w:hAnsi="Book Antiqua"/>
        </w:rPr>
      </w:pPr>
    </w:p>
    <w:p w14:paraId="53767B36" w14:textId="0E16B623" w:rsidR="00A77B3E" w:rsidRPr="00ED6B88" w:rsidRDefault="00BA0799" w:rsidP="00ED6B88">
      <w:pPr>
        <w:spacing w:line="360" w:lineRule="auto"/>
        <w:jc w:val="both"/>
        <w:rPr>
          <w:rFonts w:ascii="Book Antiqua" w:hAnsi="Book Antiqua"/>
        </w:rPr>
      </w:pPr>
      <w:r w:rsidRPr="00ED6B88">
        <w:rPr>
          <w:rFonts w:ascii="Book Antiqua" w:eastAsia="Book Antiqua" w:hAnsi="Book Antiqua" w:cs="Book Antiqua"/>
          <w:color w:val="000000"/>
        </w:rPr>
        <w:t>Wu</w:t>
      </w:r>
      <w:r>
        <w:rPr>
          <w:rFonts w:ascii="Book Antiqua" w:eastAsia="Book Antiqua" w:hAnsi="Book Antiqua" w:cs="Book Antiqua"/>
          <w:color w:val="000000"/>
        </w:rPr>
        <w:t xml:space="preserve"> L</w:t>
      </w:r>
      <w:r w:rsidRPr="00BA0799">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bookmarkStart w:id="2" w:name="OLE_LINK53"/>
      <w:bookmarkStart w:id="3" w:name="OLE_LINK54"/>
      <w:bookmarkStart w:id="4" w:name="OLE_LINK90"/>
      <w:r w:rsidR="009030E6">
        <w:rPr>
          <w:rFonts w:ascii="Book Antiqua" w:eastAsia="Book Antiqua" w:hAnsi="Book Antiqua" w:cs="Book Antiqua"/>
          <w:color w:val="000000"/>
        </w:rPr>
        <w:t>SPA</w:t>
      </w:r>
      <w:r w:rsidR="003140EF" w:rsidRPr="00ED6B88">
        <w:rPr>
          <w:rFonts w:ascii="Book Antiqua" w:eastAsia="Book Antiqua" w:hAnsi="Book Antiqua" w:cs="Book Antiqua"/>
          <w:color w:val="000000"/>
        </w:rPr>
        <w:t xml:space="preserve"> of the submandibular gland</w:t>
      </w:r>
    </w:p>
    <w:bookmarkEnd w:id="2"/>
    <w:bookmarkEnd w:id="3"/>
    <w:bookmarkEnd w:id="4"/>
    <w:p w14:paraId="0361AF85" w14:textId="77777777" w:rsidR="00A77B3E" w:rsidRPr="00ED6B88" w:rsidRDefault="00A77B3E" w:rsidP="00ED6B88">
      <w:pPr>
        <w:spacing w:line="360" w:lineRule="auto"/>
        <w:jc w:val="both"/>
        <w:rPr>
          <w:rFonts w:ascii="Book Antiqua" w:hAnsi="Book Antiqua"/>
        </w:rPr>
      </w:pPr>
    </w:p>
    <w:p w14:paraId="5597402E"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Leng Wu, Ying Wang, Chuan-Yu Hu, Chun-Ming Huang</w:t>
      </w:r>
    </w:p>
    <w:p w14:paraId="26860DC3" w14:textId="77777777" w:rsidR="00A77B3E" w:rsidRPr="00ED6B88" w:rsidRDefault="00A77B3E" w:rsidP="00ED6B88">
      <w:pPr>
        <w:spacing w:line="360" w:lineRule="auto"/>
        <w:jc w:val="both"/>
        <w:rPr>
          <w:rFonts w:ascii="Book Antiqua" w:hAnsi="Book Antiqua"/>
        </w:rPr>
      </w:pPr>
    </w:p>
    <w:p w14:paraId="7FCABEA3" w14:textId="7F455DB3"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Leng Wu, </w:t>
      </w:r>
      <w:r w:rsidR="00204A71" w:rsidRPr="00ED6B88">
        <w:rPr>
          <w:rFonts w:ascii="Book Antiqua" w:eastAsia="Book Antiqua" w:hAnsi="Book Antiqua" w:cs="Book Antiqua"/>
          <w:b/>
          <w:bCs/>
          <w:color w:val="000000"/>
        </w:rPr>
        <w:t xml:space="preserve">Chuan-Yu Hu, Chun-Ming Huang, </w:t>
      </w:r>
      <w:bookmarkStart w:id="5" w:name="OLE_LINK55"/>
      <w:bookmarkStart w:id="6" w:name="OLE_LINK56"/>
      <w:bookmarkStart w:id="7" w:name="OLE_LINK70"/>
      <w:r w:rsidRPr="00ED6B88">
        <w:rPr>
          <w:rFonts w:ascii="Book Antiqua" w:eastAsia="Book Antiqua" w:hAnsi="Book Antiqua" w:cs="Book Antiqua"/>
          <w:color w:val="000000"/>
        </w:rPr>
        <w:t>Department of Stomatology</w:t>
      </w:r>
      <w:bookmarkEnd w:id="5"/>
      <w:bookmarkEnd w:id="6"/>
      <w:bookmarkEnd w:id="7"/>
      <w:r w:rsidRPr="00ED6B88">
        <w:rPr>
          <w:rFonts w:ascii="Book Antiqua" w:eastAsia="Book Antiqua" w:hAnsi="Book Antiqua" w:cs="Book Antiqua"/>
          <w:color w:val="000000"/>
        </w:rPr>
        <w:t xml:space="preserve">, </w:t>
      </w:r>
      <w:bookmarkStart w:id="8" w:name="OLE_LINK71"/>
      <w:bookmarkStart w:id="9" w:name="OLE_LINK72"/>
      <w:r w:rsidRPr="00ED6B88">
        <w:rPr>
          <w:rFonts w:ascii="Book Antiqua" w:eastAsia="Book Antiqua" w:hAnsi="Book Antiqua" w:cs="Book Antiqua"/>
          <w:color w:val="000000"/>
        </w:rPr>
        <w:t>Tongji Hospital of Tongji Medical College of Huazhong University of Science and Technology</w:t>
      </w:r>
      <w:bookmarkEnd w:id="8"/>
      <w:bookmarkEnd w:id="9"/>
      <w:r w:rsidRPr="00ED6B88">
        <w:rPr>
          <w:rFonts w:ascii="Book Antiqua" w:eastAsia="Book Antiqua" w:hAnsi="Book Antiqua" w:cs="Book Antiqua"/>
          <w:color w:val="000000"/>
        </w:rPr>
        <w:t xml:space="preserve">, </w:t>
      </w:r>
      <w:bookmarkStart w:id="10" w:name="OLE_LINK57"/>
      <w:bookmarkStart w:id="11" w:name="OLE_LINK58"/>
      <w:r w:rsidRPr="00ED6B88">
        <w:rPr>
          <w:rFonts w:ascii="Book Antiqua" w:eastAsia="Book Antiqua" w:hAnsi="Book Antiqua" w:cs="Book Antiqua"/>
          <w:color w:val="000000"/>
        </w:rPr>
        <w:t>Wuhan</w:t>
      </w:r>
      <w:bookmarkEnd w:id="10"/>
      <w:bookmarkEnd w:id="11"/>
      <w:r w:rsidRPr="00ED6B88">
        <w:rPr>
          <w:rFonts w:ascii="Book Antiqua" w:eastAsia="Book Antiqua" w:hAnsi="Book Antiqua" w:cs="Book Antiqua"/>
          <w:color w:val="000000"/>
        </w:rPr>
        <w:t xml:space="preserve"> </w:t>
      </w:r>
      <w:bookmarkStart w:id="12" w:name="OLE_LINK59"/>
      <w:bookmarkStart w:id="13" w:name="OLE_LINK60"/>
      <w:r w:rsidRPr="00ED6B88">
        <w:rPr>
          <w:rFonts w:ascii="Book Antiqua" w:eastAsia="Book Antiqua" w:hAnsi="Book Antiqua" w:cs="Book Antiqua"/>
          <w:color w:val="000000"/>
        </w:rPr>
        <w:t>430000</w:t>
      </w:r>
      <w:bookmarkEnd w:id="12"/>
      <w:bookmarkEnd w:id="13"/>
      <w:r w:rsidRPr="00ED6B88">
        <w:rPr>
          <w:rFonts w:ascii="Book Antiqua" w:eastAsia="Book Antiqua" w:hAnsi="Book Antiqua" w:cs="Book Antiqua"/>
          <w:color w:val="000000"/>
        </w:rPr>
        <w:t xml:space="preserve">, </w:t>
      </w:r>
      <w:bookmarkStart w:id="14" w:name="OLE_LINK61"/>
      <w:bookmarkStart w:id="15" w:name="OLE_LINK62"/>
      <w:bookmarkStart w:id="16" w:name="OLE_LINK73"/>
      <w:r w:rsidR="00554508">
        <w:rPr>
          <w:rFonts w:ascii="Book Antiqua" w:eastAsia="Book Antiqua" w:hAnsi="Book Antiqua" w:cs="Book Antiqua"/>
          <w:color w:val="000000"/>
        </w:rPr>
        <w:t>Hubei Province</w:t>
      </w:r>
      <w:bookmarkEnd w:id="14"/>
      <w:bookmarkEnd w:id="15"/>
      <w:bookmarkEnd w:id="16"/>
      <w:r w:rsidR="00554508">
        <w:rPr>
          <w:rFonts w:ascii="Book Antiqua" w:eastAsia="Book Antiqua" w:hAnsi="Book Antiqua" w:cs="Book Antiqua"/>
          <w:color w:val="000000"/>
        </w:rPr>
        <w:t xml:space="preserve">, </w:t>
      </w:r>
      <w:r w:rsidRPr="00ED6B88">
        <w:rPr>
          <w:rFonts w:ascii="Book Antiqua" w:eastAsia="Book Antiqua" w:hAnsi="Book Antiqua" w:cs="Book Antiqua"/>
          <w:color w:val="000000"/>
        </w:rPr>
        <w:t>China</w:t>
      </w:r>
    </w:p>
    <w:p w14:paraId="20007A63" w14:textId="77777777" w:rsidR="00A77B3E" w:rsidRPr="00ED6B88" w:rsidRDefault="00A77B3E" w:rsidP="00ED6B88">
      <w:pPr>
        <w:spacing w:line="360" w:lineRule="auto"/>
        <w:jc w:val="both"/>
        <w:rPr>
          <w:rFonts w:ascii="Book Antiqua" w:hAnsi="Book Antiqua"/>
        </w:rPr>
      </w:pPr>
    </w:p>
    <w:p w14:paraId="4D63F584" w14:textId="234AB75F"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Ying Wang, </w:t>
      </w:r>
      <w:bookmarkStart w:id="17" w:name="OLE_LINK63"/>
      <w:bookmarkStart w:id="18" w:name="OLE_LINK64"/>
      <w:r w:rsidRPr="00ED6B88">
        <w:rPr>
          <w:rFonts w:ascii="Book Antiqua" w:eastAsia="Book Antiqua" w:hAnsi="Book Antiqua" w:cs="Book Antiqua"/>
          <w:color w:val="000000"/>
        </w:rPr>
        <w:t>Department of Pathology</w:t>
      </w:r>
      <w:bookmarkEnd w:id="17"/>
      <w:bookmarkEnd w:id="18"/>
      <w:r w:rsidRPr="00ED6B88">
        <w:rPr>
          <w:rFonts w:ascii="Book Antiqua" w:eastAsia="Book Antiqua" w:hAnsi="Book Antiqua" w:cs="Book Antiqua"/>
          <w:color w:val="000000"/>
        </w:rPr>
        <w:t xml:space="preserve">, </w:t>
      </w:r>
      <w:bookmarkStart w:id="19" w:name="OLE_LINK65"/>
      <w:bookmarkStart w:id="20" w:name="OLE_LINK66"/>
      <w:r w:rsidRPr="00ED6B88">
        <w:rPr>
          <w:rFonts w:ascii="Book Antiqua" w:eastAsia="Book Antiqua" w:hAnsi="Book Antiqua" w:cs="Book Antiqua"/>
          <w:color w:val="000000"/>
        </w:rPr>
        <w:t>Tongji Hospital of Tongji Medical College of Huazhong University of Science and Technology</w:t>
      </w:r>
      <w:bookmarkEnd w:id="19"/>
      <w:bookmarkEnd w:id="20"/>
      <w:r w:rsidRPr="00ED6B88">
        <w:rPr>
          <w:rFonts w:ascii="Book Antiqua" w:eastAsia="Book Antiqua" w:hAnsi="Book Antiqua" w:cs="Book Antiqua"/>
          <w:color w:val="000000"/>
        </w:rPr>
        <w:t xml:space="preserve">, </w:t>
      </w:r>
      <w:bookmarkStart w:id="21" w:name="OLE_LINK67"/>
      <w:r w:rsidRPr="00ED6B88">
        <w:rPr>
          <w:rFonts w:ascii="Book Antiqua" w:eastAsia="Book Antiqua" w:hAnsi="Book Antiqua" w:cs="Book Antiqua"/>
          <w:color w:val="000000"/>
        </w:rPr>
        <w:t>Wuhan</w:t>
      </w:r>
      <w:bookmarkEnd w:id="21"/>
      <w:r w:rsidRPr="00ED6B88">
        <w:rPr>
          <w:rFonts w:ascii="Book Antiqua" w:eastAsia="Book Antiqua" w:hAnsi="Book Antiqua" w:cs="Book Antiqua"/>
          <w:color w:val="000000"/>
        </w:rPr>
        <w:t xml:space="preserve"> 430000, </w:t>
      </w:r>
      <w:bookmarkStart w:id="22" w:name="OLE_LINK68"/>
      <w:bookmarkStart w:id="23" w:name="OLE_LINK69"/>
      <w:r w:rsidR="00554508">
        <w:rPr>
          <w:rFonts w:ascii="Book Antiqua" w:eastAsia="Book Antiqua" w:hAnsi="Book Antiqua" w:cs="Book Antiqua"/>
          <w:color w:val="000000"/>
        </w:rPr>
        <w:t>Hubei Province</w:t>
      </w:r>
      <w:bookmarkEnd w:id="22"/>
      <w:bookmarkEnd w:id="23"/>
      <w:r w:rsidR="00554508">
        <w:rPr>
          <w:rFonts w:ascii="Book Antiqua" w:eastAsia="Book Antiqua" w:hAnsi="Book Antiqua" w:cs="Book Antiqua"/>
          <w:color w:val="000000"/>
        </w:rPr>
        <w:t xml:space="preserve">, </w:t>
      </w:r>
      <w:r w:rsidRPr="00ED6B88">
        <w:rPr>
          <w:rFonts w:ascii="Book Antiqua" w:eastAsia="Book Antiqua" w:hAnsi="Book Antiqua" w:cs="Book Antiqua"/>
          <w:color w:val="000000"/>
        </w:rPr>
        <w:t>China</w:t>
      </w:r>
    </w:p>
    <w:p w14:paraId="1AC60C10" w14:textId="77777777" w:rsidR="00A77B3E" w:rsidRPr="00ED6B88" w:rsidRDefault="00A77B3E" w:rsidP="00ED6B88">
      <w:pPr>
        <w:spacing w:line="360" w:lineRule="auto"/>
        <w:jc w:val="both"/>
        <w:rPr>
          <w:rFonts w:ascii="Book Antiqua" w:hAnsi="Book Antiqua"/>
        </w:rPr>
      </w:pPr>
    </w:p>
    <w:p w14:paraId="3AC99309" w14:textId="6381AF61"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Author contributions: </w:t>
      </w:r>
      <w:r w:rsidRPr="00ED6B88">
        <w:rPr>
          <w:rFonts w:ascii="Book Antiqua" w:eastAsia="Book Antiqua" w:hAnsi="Book Antiqua" w:cs="Book Antiqua"/>
          <w:color w:val="000000"/>
        </w:rPr>
        <w:t>Wu L and Wang Y collected, analyzed, and interpreted data and wrote the manuscript</w:t>
      </w:r>
      <w:r w:rsidR="00511E6A">
        <w:rPr>
          <w:rFonts w:ascii="Book Antiqua" w:eastAsia="Book Antiqua" w:hAnsi="Book Antiqua" w:cs="Book Antiqua"/>
          <w:color w:val="000000"/>
        </w:rPr>
        <w:t>;</w:t>
      </w:r>
      <w:r w:rsidRPr="00ED6B88">
        <w:rPr>
          <w:rFonts w:ascii="Book Antiqua" w:eastAsia="Book Antiqua" w:hAnsi="Book Antiqua" w:cs="Book Antiqua"/>
          <w:color w:val="000000"/>
        </w:rPr>
        <w:t xml:space="preserve"> Huang CM and Hu CY collected, analyzed, and interpreted data and critically reviewed the manuscript</w:t>
      </w:r>
      <w:r w:rsidR="00511E6A">
        <w:rPr>
          <w:rFonts w:ascii="Book Antiqua" w:eastAsia="Book Antiqua" w:hAnsi="Book Antiqua" w:cs="Book Antiqua"/>
          <w:color w:val="000000"/>
        </w:rPr>
        <w:t>;</w:t>
      </w:r>
      <w:r w:rsidRPr="00ED6B88">
        <w:rPr>
          <w:rFonts w:ascii="Book Antiqua" w:eastAsia="Book Antiqua" w:hAnsi="Book Antiqua" w:cs="Book Antiqua"/>
          <w:color w:val="000000"/>
        </w:rPr>
        <w:t xml:space="preserve"> </w:t>
      </w:r>
      <w:r w:rsidR="006C1C15">
        <w:rPr>
          <w:rFonts w:ascii="Book Antiqua" w:eastAsia="Book Antiqua" w:hAnsi="Book Antiqua" w:cs="Book Antiqua"/>
          <w:color w:val="000000"/>
        </w:rPr>
        <w:t>A</w:t>
      </w:r>
      <w:r w:rsidRPr="00ED6B88">
        <w:rPr>
          <w:rFonts w:ascii="Book Antiqua" w:eastAsia="Book Antiqua" w:hAnsi="Book Antiqua" w:cs="Book Antiqua"/>
          <w:color w:val="000000"/>
        </w:rPr>
        <w:t>ll authors approved the final version of the manuscript.</w:t>
      </w:r>
    </w:p>
    <w:p w14:paraId="621A9636" w14:textId="77777777" w:rsidR="00A77B3E" w:rsidRPr="00ED6B88" w:rsidRDefault="00A77B3E" w:rsidP="00ED6B88">
      <w:pPr>
        <w:spacing w:line="360" w:lineRule="auto"/>
        <w:jc w:val="both"/>
        <w:rPr>
          <w:rFonts w:ascii="Book Antiqua" w:hAnsi="Book Antiqua"/>
        </w:rPr>
      </w:pPr>
    </w:p>
    <w:p w14:paraId="31017C92" w14:textId="1B1B38B2"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Supported by </w:t>
      </w:r>
      <w:bookmarkStart w:id="24" w:name="OLE_LINK83"/>
      <w:bookmarkStart w:id="25" w:name="OLE_LINK84"/>
      <w:bookmarkStart w:id="26" w:name="OLE_LINK91"/>
      <w:bookmarkStart w:id="27" w:name="OLE_LINK92"/>
      <w:r w:rsidRPr="00ED6B88">
        <w:rPr>
          <w:rFonts w:ascii="Book Antiqua" w:eastAsia="Book Antiqua" w:hAnsi="Book Antiqua" w:cs="Book Antiqua"/>
          <w:color w:val="000000"/>
        </w:rPr>
        <w:t>National Natural Science Foundation of China</w:t>
      </w:r>
      <w:bookmarkEnd w:id="24"/>
      <w:bookmarkEnd w:id="25"/>
      <w:r w:rsidRPr="00ED6B88">
        <w:rPr>
          <w:rFonts w:ascii="Book Antiqua" w:eastAsia="Book Antiqua" w:hAnsi="Book Antiqua" w:cs="Book Antiqua"/>
          <w:color w:val="000000"/>
        </w:rPr>
        <w:t xml:space="preserve">, No. </w:t>
      </w:r>
      <w:bookmarkStart w:id="28" w:name="OLE_LINK85"/>
      <w:bookmarkStart w:id="29" w:name="OLE_LINK86"/>
      <w:r w:rsidRPr="00ED6B88">
        <w:rPr>
          <w:rFonts w:ascii="Book Antiqua" w:eastAsia="Book Antiqua" w:hAnsi="Book Antiqua" w:cs="Book Antiqua"/>
          <w:color w:val="000000"/>
        </w:rPr>
        <w:t>82002893</w:t>
      </w:r>
      <w:bookmarkEnd w:id="28"/>
      <w:bookmarkEnd w:id="29"/>
      <w:r w:rsidRPr="00ED6B88">
        <w:rPr>
          <w:rFonts w:ascii="Book Antiqua" w:eastAsia="Book Antiqua" w:hAnsi="Book Antiqua" w:cs="Book Antiqua"/>
          <w:color w:val="000000"/>
        </w:rPr>
        <w:t>.</w:t>
      </w:r>
    </w:p>
    <w:bookmarkEnd w:id="26"/>
    <w:bookmarkEnd w:id="27"/>
    <w:p w14:paraId="2114B68C" w14:textId="77777777" w:rsidR="00A77B3E" w:rsidRPr="00ED6B88" w:rsidRDefault="00A77B3E" w:rsidP="00ED6B88">
      <w:pPr>
        <w:spacing w:line="360" w:lineRule="auto"/>
        <w:jc w:val="both"/>
        <w:rPr>
          <w:rFonts w:ascii="Book Antiqua" w:hAnsi="Book Antiqua"/>
        </w:rPr>
      </w:pPr>
    </w:p>
    <w:p w14:paraId="32ABD39B" w14:textId="21AD3018"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Corresponding author: Chun-Ming Huang, MD, PhD, Attending Doctor, </w:t>
      </w:r>
      <w:bookmarkStart w:id="30" w:name="OLE_LINK76"/>
      <w:bookmarkStart w:id="31" w:name="OLE_LINK77"/>
      <w:r w:rsidRPr="00ED6B88">
        <w:rPr>
          <w:rFonts w:ascii="Book Antiqua" w:eastAsia="Book Antiqua" w:hAnsi="Book Antiqua" w:cs="Book Antiqua"/>
          <w:color w:val="000000"/>
        </w:rPr>
        <w:t>Department of Stomatology</w:t>
      </w:r>
      <w:bookmarkEnd w:id="30"/>
      <w:bookmarkEnd w:id="31"/>
      <w:r w:rsidRPr="00ED6B88">
        <w:rPr>
          <w:rFonts w:ascii="Book Antiqua" w:eastAsia="Book Antiqua" w:hAnsi="Book Antiqua" w:cs="Book Antiqua"/>
          <w:color w:val="000000"/>
        </w:rPr>
        <w:t xml:space="preserve">, Tongji Hospital of Tongji Medical College of Huazhong University of Science and Technology, </w:t>
      </w:r>
      <w:bookmarkStart w:id="32" w:name="OLE_LINK78"/>
      <w:r w:rsidRPr="00ED6B88">
        <w:rPr>
          <w:rFonts w:ascii="Book Antiqua" w:eastAsia="Book Antiqua" w:hAnsi="Book Antiqua" w:cs="Book Antiqua"/>
          <w:color w:val="000000"/>
        </w:rPr>
        <w:t>N</w:t>
      </w:r>
      <w:r w:rsidR="00AF077E" w:rsidRPr="00ED6B88">
        <w:rPr>
          <w:rFonts w:ascii="Book Antiqua" w:eastAsia="Book Antiqua" w:hAnsi="Book Antiqua" w:cs="Book Antiqua"/>
          <w:color w:val="000000"/>
        </w:rPr>
        <w:t>o</w:t>
      </w:r>
      <w:r w:rsidRPr="00ED6B88">
        <w:rPr>
          <w:rFonts w:ascii="Book Antiqua" w:eastAsia="Book Antiqua" w:hAnsi="Book Antiqua" w:cs="Book Antiqua"/>
          <w:color w:val="000000"/>
        </w:rPr>
        <w:t>. 1095 Jiefang Avenue, Qiaokou District</w:t>
      </w:r>
      <w:bookmarkEnd w:id="32"/>
      <w:r w:rsidRPr="00ED6B88">
        <w:rPr>
          <w:rFonts w:ascii="Book Antiqua" w:eastAsia="Book Antiqua" w:hAnsi="Book Antiqua" w:cs="Book Antiqua"/>
          <w:color w:val="000000"/>
        </w:rPr>
        <w:t xml:space="preserve">, </w:t>
      </w:r>
      <w:bookmarkStart w:id="33" w:name="OLE_LINK79"/>
      <w:bookmarkStart w:id="34" w:name="OLE_LINK80"/>
      <w:r w:rsidR="00107C09" w:rsidRPr="00ED6B88">
        <w:rPr>
          <w:rFonts w:ascii="Book Antiqua" w:eastAsia="Book Antiqua" w:hAnsi="Book Antiqua" w:cs="Book Antiqua"/>
          <w:color w:val="000000"/>
        </w:rPr>
        <w:t>Wuhan</w:t>
      </w:r>
      <w:bookmarkEnd w:id="33"/>
      <w:bookmarkEnd w:id="34"/>
      <w:r w:rsidR="00107C09" w:rsidRPr="00ED6B88">
        <w:rPr>
          <w:rFonts w:ascii="Book Antiqua" w:eastAsia="Book Antiqua" w:hAnsi="Book Antiqua" w:cs="Book Antiqua"/>
          <w:color w:val="000000"/>
        </w:rPr>
        <w:t xml:space="preserve"> 430000, </w:t>
      </w:r>
      <w:bookmarkStart w:id="35" w:name="OLE_LINK81"/>
      <w:bookmarkStart w:id="36" w:name="OLE_LINK82"/>
      <w:r w:rsidR="00107C09">
        <w:rPr>
          <w:rFonts w:ascii="Book Antiqua" w:eastAsia="Book Antiqua" w:hAnsi="Book Antiqua" w:cs="Book Antiqua"/>
          <w:color w:val="000000"/>
        </w:rPr>
        <w:t>Hubei Province</w:t>
      </w:r>
      <w:bookmarkEnd w:id="35"/>
      <w:bookmarkEnd w:id="36"/>
      <w:r w:rsidR="00107C09">
        <w:rPr>
          <w:rFonts w:ascii="Book Antiqua" w:eastAsia="Book Antiqua" w:hAnsi="Book Antiqua" w:cs="Book Antiqua"/>
          <w:color w:val="000000"/>
        </w:rPr>
        <w:t xml:space="preserve">, </w:t>
      </w:r>
      <w:r w:rsidR="00107C09" w:rsidRPr="00ED6B88">
        <w:rPr>
          <w:rFonts w:ascii="Book Antiqua" w:eastAsia="Book Antiqua" w:hAnsi="Book Antiqua" w:cs="Book Antiqua"/>
          <w:color w:val="000000"/>
        </w:rPr>
        <w:t>China</w:t>
      </w:r>
      <w:r w:rsidRPr="00ED6B88">
        <w:rPr>
          <w:rFonts w:ascii="Book Antiqua" w:eastAsia="Book Antiqua" w:hAnsi="Book Antiqua" w:cs="Book Antiqua"/>
          <w:color w:val="000000"/>
        </w:rPr>
        <w:t xml:space="preserve">. </w:t>
      </w:r>
      <w:bookmarkStart w:id="37" w:name="OLE_LINK74"/>
      <w:bookmarkStart w:id="38" w:name="OLE_LINK75"/>
      <w:r w:rsidRPr="00ED6B88">
        <w:rPr>
          <w:rFonts w:ascii="Book Antiqua" w:eastAsia="Book Antiqua" w:hAnsi="Book Antiqua" w:cs="Book Antiqua"/>
          <w:color w:val="000000"/>
        </w:rPr>
        <w:t>huangchunming89@whu.edu.cn</w:t>
      </w:r>
      <w:bookmarkEnd w:id="37"/>
      <w:bookmarkEnd w:id="38"/>
    </w:p>
    <w:p w14:paraId="04E1A460" w14:textId="77777777" w:rsidR="00A77B3E" w:rsidRPr="00ED6B88" w:rsidRDefault="00A77B3E" w:rsidP="00ED6B88">
      <w:pPr>
        <w:spacing w:line="360" w:lineRule="auto"/>
        <w:jc w:val="both"/>
        <w:rPr>
          <w:rFonts w:ascii="Book Antiqua" w:hAnsi="Book Antiqua"/>
        </w:rPr>
      </w:pPr>
    </w:p>
    <w:p w14:paraId="5F6B99CA"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Received: </w:t>
      </w:r>
      <w:r w:rsidRPr="00ED6B88">
        <w:rPr>
          <w:rFonts w:ascii="Book Antiqua" w:eastAsia="Book Antiqua" w:hAnsi="Book Antiqua" w:cs="Book Antiqua"/>
          <w:color w:val="000000"/>
        </w:rPr>
        <w:t>January 9, 2021</w:t>
      </w:r>
    </w:p>
    <w:p w14:paraId="3DF7CCF3" w14:textId="1BCE46F1"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Revised: </w:t>
      </w:r>
      <w:r w:rsidR="00D70EC2">
        <w:rPr>
          <w:rFonts w:ascii="Book Antiqua" w:hAnsi="Book Antiqua"/>
          <w:color w:val="000000"/>
        </w:rPr>
        <w:t>February 3, 2021</w:t>
      </w:r>
    </w:p>
    <w:p w14:paraId="667E55B3" w14:textId="46606748"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Accepted: </w:t>
      </w:r>
      <w:r w:rsidR="00DD76BE" w:rsidRPr="00DD76BE">
        <w:rPr>
          <w:rFonts w:ascii="Book Antiqua" w:eastAsia="Book Antiqua" w:hAnsi="Book Antiqua" w:cs="Book Antiqua"/>
          <w:color w:val="000000"/>
        </w:rPr>
        <w:t>February 24, 2021</w:t>
      </w:r>
    </w:p>
    <w:p w14:paraId="17AAA28D" w14:textId="0EA0BCF8"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Published online: </w:t>
      </w:r>
      <w:r w:rsidR="00E34114" w:rsidRPr="00E34114">
        <w:rPr>
          <w:rFonts w:ascii="Book Antiqua" w:eastAsia="Book Antiqua" w:hAnsi="Book Antiqua" w:cs="Book Antiqua"/>
          <w:color w:val="000000"/>
        </w:rPr>
        <w:t>April 26, 2021</w:t>
      </w:r>
    </w:p>
    <w:p w14:paraId="082AABA1" w14:textId="77777777" w:rsidR="00A77B3E" w:rsidRPr="00ED6B88" w:rsidRDefault="00A77B3E" w:rsidP="00ED6B88">
      <w:pPr>
        <w:spacing w:line="360" w:lineRule="auto"/>
        <w:jc w:val="both"/>
        <w:rPr>
          <w:rFonts w:ascii="Book Antiqua" w:hAnsi="Book Antiqua"/>
        </w:rPr>
        <w:sectPr w:rsidR="00A77B3E" w:rsidRPr="00ED6B88">
          <w:footerReference w:type="default" r:id="rId7"/>
          <w:pgSz w:w="12240" w:h="15840"/>
          <w:pgMar w:top="1440" w:right="1440" w:bottom="1440" w:left="1440" w:header="720" w:footer="720" w:gutter="0"/>
          <w:cols w:space="720"/>
          <w:docGrid w:linePitch="360"/>
        </w:sectPr>
      </w:pPr>
    </w:p>
    <w:p w14:paraId="68070000"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Abstract</w:t>
      </w:r>
    </w:p>
    <w:p w14:paraId="6F97E8E6"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BACKGROUND</w:t>
      </w:r>
    </w:p>
    <w:p w14:paraId="31CEA4C9" w14:textId="5AB52BCC" w:rsidR="00A77B3E" w:rsidRPr="00867303" w:rsidRDefault="003140EF" w:rsidP="00C204FF">
      <w:pPr>
        <w:spacing w:line="360" w:lineRule="auto"/>
        <w:jc w:val="both"/>
        <w:rPr>
          <w:rFonts w:ascii="Book Antiqua" w:eastAsia="Book Antiqua" w:hAnsi="Book Antiqua" w:cs="Book Antiqua"/>
          <w:color w:val="000000"/>
        </w:rPr>
      </w:pPr>
      <w:r w:rsidRPr="00ED6B88">
        <w:rPr>
          <w:rFonts w:ascii="Book Antiqua" w:eastAsia="Book Antiqua" w:hAnsi="Book Antiqua" w:cs="Book Antiqua"/>
          <w:color w:val="000000"/>
        </w:rPr>
        <w:t xml:space="preserve">Sclerosing polycystic adenosis (SPA) is a rare disease of salivary glands, similar to fibrocystic disease of the breast. It occurs over a wide age range and exhibits a slight female preference. Most SPA cases have occurred in the parotid gland. The exact nature of SPA is unclear, but its tumor nature has recently been proposed. Although SPA has a good prognosis after adequate surgery, atypical lesions might occur, ranging from mild dysplasia to carcinoma </w:t>
      </w:r>
      <w:r w:rsidRPr="00867303">
        <w:rPr>
          <w:rFonts w:ascii="Book Antiqua" w:eastAsia="Book Antiqua" w:hAnsi="Book Antiqua" w:cs="Book Antiqua"/>
          <w:i/>
          <w:iCs/>
          <w:color w:val="000000"/>
        </w:rPr>
        <w:t>in situ</w:t>
      </w:r>
      <w:r w:rsidRPr="00ED6B88">
        <w:rPr>
          <w:rFonts w:ascii="Book Antiqua" w:eastAsia="Book Antiqua" w:hAnsi="Book Antiqua" w:cs="Book Antiqua"/>
          <w:color w:val="000000"/>
        </w:rPr>
        <w:t xml:space="preserve"> in some cases. To </w:t>
      </w:r>
      <w:r w:rsidR="006C1C15">
        <w:rPr>
          <w:rFonts w:ascii="Book Antiqua" w:eastAsia="Book Antiqua" w:hAnsi="Book Antiqua" w:cs="Book Antiqua"/>
          <w:color w:val="000000"/>
        </w:rPr>
        <w:t xml:space="preserve">the best of </w:t>
      </w:r>
      <w:r w:rsidRPr="00ED6B88">
        <w:rPr>
          <w:rFonts w:ascii="Book Antiqua" w:eastAsia="Book Antiqua" w:hAnsi="Book Antiqua" w:cs="Book Antiqua"/>
          <w:color w:val="000000"/>
        </w:rPr>
        <w:t xml:space="preserve">our knowledge, only five cases of SPA in the submandibular gland have been reported </w:t>
      </w:r>
      <w:r w:rsidR="006C1C15">
        <w:rPr>
          <w:rFonts w:ascii="Book Antiqua" w:eastAsia="Book Antiqua" w:hAnsi="Book Antiqua" w:cs="Book Antiqua"/>
          <w:color w:val="000000"/>
        </w:rPr>
        <w:t>to date</w:t>
      </w:r>
      <w:r w:rsidRPr="00ED6B88">
        <w:rPr>
          <w:rFonts w:ascii="Book Antiqua" w:eastAsia="Book Antiqua" w:hAnsi="Book Antiqua" w:cs="Book Antiqua"/>
          <w:color w:val="000000"/>
        </w:rPr>
        <w:t>. Here, we present two new cases of SPA involving the submandibular gland.</w:t>
      </w:r>
    </w:p>
    <w:p w14:paraId="5F9475C7" w14:textId="77777777" w:rsidR="00A77B3E" w:rsidRPr="00ED6B88" w:rsidRDefault="00A77B3E" w:rsidP="00ED6B88">
      <w:pPr>
        <w:spacing w:line="360" w:lineRule="auto"/>
        <w:jc w:val="both"/>
        <w:rPr>
          <w:rFonts w:ascii="Book Antiqua" w:hAnsi="Book Antiqua"/>
        </w:rPr>
      </w:pPr>
    </w:p>
    <w:p w14:paraId="5D774D6D"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CASE SUMMARY</w:t>
      </w:r>
    </w:p>
    <w:p w14:paraId="44E22B49" w14:textId="7447D361"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A 50-year-old woman and a 52-year-old woman were referred to Tongji Hospital in Wuhan, China, with complaints of moderate pain, recurrent swelling, and a mass in the submandibular area. After admission, the two cases of the submandibular mass were examined physically. The boundary of the submandibular tumor was clear, and the range of motion was good. After preoperative examinations, surgery was performed on a selective basis. Postoperative histopathological examination revealed a well-defined mass with acinar structures, ducts, or cystic dilated glands of various sizes scattered in a large number of proliferative sclerosing stroma. There were flat and cuboidal cells, and eosinophils in the duct epithelium</w:t>
      </w:r>
      <w:r w:rsidR="006C1C15">
        <w:rPr>
          <w:rFonts w:ascii="Book Antiqua" w:eastAsia="Book Antiqua" w:hAnsi="Book Antiqua" w:cs="Book Antiqua"/>
          <w:color w:val="000000"/>
        </w:rPr>
        <w:t>. Th</w:t>
      </w:r>
      <w:r w:rsidRPr="00ED6B88">
        <w:rPr>
          <w:rFonts w:ascii="Book Antiqua" w:eastAsia="Book Antiqua" w:hAnsi="Book Antiqua" w:cs="Book Antiqua"/>
          <w:color w:val="000000"/>
        </w:rPr>
        <w:t>ere was</w:t>
      </w:r>
      <w:r w:rsidR="006C1C15">
        <w:rPr>
          <w:rFonts w:ascii="Book Antiqua" w:eastAsia="Book Antiqua" w:hAnsi="Book Antiqua" w:cs="Book Antiqua"/>
          <w:color w:val="000000"/>
        </w:rPr>
        <w:t xml:space="preserve"> also a</w:t>
      </w:r>
      <w:r w:rsidRPr="00ED6B88">
        <w:rPr>
          <w:rFonts w:ascii="Book Antiqua" w:eastAsia="Book Antiqua" w:hAnsi="Book Antiqua" w:cs="Book Antiqua"/>
          <w:color w:val="000000"/>
        </w:rPr>
        <w:t xml:space="preserve"> eosinophilic substance in the lumen of dilated cysts. No atypical epithelial hyperplasia</w:t>
      </w:r>
      <w:r w:rsidR="006C1C15">
        <w:rPr>
          <w:rFonts w:ascii="Book Antiqua" w:eastAsia="Book Antiqua" w:hAnsi="Book Antiqua" w:cs="Book Antiqua"/>
          <w:color w:val="000000"/>
        </w:rPr>
        <w:t xml:space="preserve">, </w:t>
      </w:r>
      <w:r w:rsidR="002F7B70">
        <w:t>invasive growth</w:t>
      </w:r>
      <w:r w:rsidR="006C1C15">
        <w:t>,</w:t>
      </w:r>
      <w:r w:rsidRPr="00ED6B88">
        <w:rPr>
          <w:rFonts w:ascii="Book Antiqua" w:eastAsia="Book Antiqua" w:hAnsi="Book Antiqua" w:cs="Book Antiqua"/>
          <w:color w:val="000000"/>
        </w:rPr>
        <w:t xml:space="preserve"> or carcinoma </w:t>
      </w:r>
      <w:r w:rsidRPr="00867303">
        <w:rPr>
          <w:rFonts w:ascii="Book Antiqua" w:eastAsia="Book Antiqua" w:hAnsi="Book Antiqua" w:cs="Book Antiqua"/>
          <w:i/>
          <w:iCs/>
          <w:color w:val="000000"/>
        </w:rPr>
        <w:t>in situ</w:t>
      </w:r>
      <w:r w:rsidRPr="00ED6B88">
        <w:rPr>
          <w:rFonts w:ascii="Book Antiqua" w:eastAsia="Book Antiqua" w:hAnsi="Book Antiqua" w:cs="Book Antiqua"/>
          <w:color w:val="000000"/>
        </w:rPr>
        <w:t xml:space="preserve"> </w:t>
      </w:r>
      <w:r w:rsidR="006C1C15">
        <w:rPr>
          <w:rFonts w:ascii="Book Antiqua" w:eastAsia="Book Antiqua" w:hAnsi="Book Antiqua" w:cs="Book Antiqua"/>
          <w:color w:val="000000"/>
        </w:rPr>
        <w:t>was</w:t>
      </w:r>
      <w:r w:rsidR="006C1C15" w:rsidRPr="00ED6B88">
        <w:rPr>
          <w:rFonts w:ascii="Book Antiqua" w:eastAsia="Book Antiqua" w:hAnsi="Book Antiqua" w:cs="Book Antiqua"/>
          <w:color w:val="000000"/>
        </w:rPr>
        <w:t xml:space="preserve"> </w:t>
      </w:r>
      <w:r w:rsidRPr="00ED6B88">
        <w:rPr>
          <w:rFonts w:ascii="Book Antiqua" w:eastAsia="Book Antiqua" w:hAnsi="Book Antiqua" w:cs="Book Antiqua"/>
          <w:color w:val="000000"/>
        </w:rPr>
        <w:t xml:space="preserve">found. Based on the above findings, the mass was diagnosed as SPA. Both patients have remained asymptomatic and </w:t>
      </w:r>
      <w:r w:rsidR="006C1C15">
        <w:rPr>
          <w:rFonts w:ascii="Book Antiqua" w:eastAsia="Book Antiqua" w:hAnsi="Book Antiqua" w:cs="Book Antiqua"/>
          <w:color w:val="000000"/>
        </w:rPr>
        <w:t>no</w:t>
      </w:r>
      <w:r w:rsidRPr="00ED6B88">
        <w:rPr>
          <w:rFonts w:ascii="Book Antiqua" w:eastAsia="Book Antiqua" w:hAnsi="Book Antiqua" w:cs="Book Antiqua"/>
          <w:color w:val="000000"/>
        </w:rPr>
        <w:t xml:space="preserve"> recurrence or distant metastasis </w:t>
      </w:r>
      <w:r w:rsidR="006C1C15">
        <w:rPr>
          <w:rFonts w:ascii="Book Antiqua" w:eastAsia="Book Antiqua" w:hAnsi="Book Antiqua" w:cs="Book Antiqua"/>
          <w:color w:val="000000"/>
        </w:rPr>
        <w:t xml:space="preserve">had occurred by </w:t>
      </w:r>
      <w:r w:rsidRPr="00ED6B88">
        <w:rPr>
          <w:rFonts w:ascii="Book Antiqua" w:eastAsia="Book Antiqua" w:hAnsi="Book Antiqua" w:cs="Book Antiqua"/>
          <w:color w:val="000000"/>
        </w:rPr>
        <w:t xml:space="preserve">the </w:t>
      </w:r>
      <w:r w:rsidR="006C1C15">
        <w:rPr>
          <w:rFonts w:ascii="Book Antiqua" w:eastAsia="Book Antiqua" w:hAnsi="Book Antiqua" w:cs="Book Antiqua"/>
          <w:color w:val="000000"/>
        </w:rPr>
        <w:t>7</w:t>
      </w:r>
      <w:r w:rsidR="002115D4">
        <w:rPr>
          <w:rFonts w:ascii="Book Antiqua" w:eastAsia="Book Antiqua" w:hAnsi="Book Antiqua" w:cs="Book Antiqua"/>
          <w:color w:val="000000"/>
        </w:rPr>
        <w:t>-</w:t>
      </w:r>
      <w:r w:rsidR="006C1C15">
        <w:rPr>
          <w:rFonts w:ascii="Book Antiqua" w:eastAsia="Book Antiqua" w:hAnsi="Book Antiqua" w:cs="Book Antiqua"/>
          <w:color w:val="000000"/>
        </w:rPr>
        <w:t>mo</w:t>
      </w:r>
      <w:r w:rsidRPr="00ED6B88">
        <w:rPr>
          <w:rFonts w:ascii="Book Antiqua" w:eastAsia="Book Antiqua" w:hAnsi="Book Antiqua" w:cs="Book Antiqua"/>
          <w:color w:val="000000"/>
        </w:rPr>
        <w:t xml:space="preserve"> and </w:t>
      </w:r>
      <w:r w:rsidR="006C1C15">
        <w:rPr>
          <w:rFonts w:ascii="Book Antiqua" w:eastAsia="Book Antiqua" w:hAnsi="Book Antiqua" w:cs="Book Antiqua"/>
          <w:color w:val="000000"/>
        </w:rPr>
        <w:t>5</w:t>
      </w:r>
      <w:r w:rsidR="002115D4">
        <w:rPr>
          <w:rFonts w:ascii="Book Antiqua" w:eastAsia="Book Antiqua" w:hAnsi="Book Antiqua" w:cs="Book Antiqua"/>
          <w:color w:val="000000"/>
        </w:rPr>
        <w:t>-</w:t>
      </w:r>
      <w:r w:rsidR="006C1C15">
        <w:rPr>
          <w:rFonts w:ascii="Book Antiqua" w:eastAsia="Book Antiqua" w:hAnsi="Book Antiqua" w:cs="Book Antiqua"/>
          <w:color w:val="000000"/>
        </w:rPr>
        <w:t>year</w:t>
      </w:r>
      <w:r w:rsidRPr="00ED6B88">
        <w:rPr>
          <w:rFonts w:ascii="Book Antiqua" w:eastAsia="Book Antiqua" w:hAnsi="Book Antiqua" w:cs="Book Antiqua"/>
          <w:color w:val="000000"/>
        </w:rPr>
        <w:t xml:space="preserve"> follow-up, respectively.</w:t>
      </w:r>
    </w:p>
    <w:p w14:paraId="33A35D72" w14:textId="77777777" w:rsidR="00A77B3E" w:rsidRPr="00ED6B88" w:rsidRDefault="00A77B3E" w:rsidP="00ED6B88">
      <w:pPr>
        <w:spacing w:line="360" w:lineRule="auto"/>
        <w:jc w:val="both"/>
        <w:rPr>
          <w:rFonts w:ascii="Book Antiqua" w:hAnsi="Book Antiqua"/>
        </w:rPr>
      </w:pPr>
    </w:p>
    <w:p w14:paraId="1D44B4A9"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CONCLUSION</w:t>
      </w:r>
    </w:p>
    <w:p w14:paraId="6FD36D7D" w14:textId="60C313D3" w:rsidR="00A77B3E" w:rsidRPr="00ED6B88" w:rsidRDefault="003140EF" w:rsidP="00ED6B88">
      <w:pPr>
        <w:spacing w:line="360" w:lineRule="auto"/>
        <w:jc w:val="both"/>
        <w:rPr>
          <w:rFonts w:ascii="Book Antiqua" w:hAnsi="Book Antiqua"/>
        </w:rPr>
      </w:pPr>
      <w:bookmarkStart w:id="39" w:name="OLE_LINK96"/>
      <w:bookmarkStart w:id="40" w:name="OLE_LINK97"/>
      <w:r w:rsidRPr="00ED6B88">
        <w:rPr>
          <w:rFonts w:ascii="Book Antiqua" w:eastAsia="Book Antiqua" w:hAnsi="Book Antiqua" w:cs="Book Antiqua"/>
          <w:color w:val="000000"/>
        </w:rPr>
        <w:t xml:space="preserve">SPA is a rare disease of </w:t>
      </w:r>
      <w:r w:rsidR="006C1C15">
        <w:rPr>
          <w:rFonts w:ascii="Book Antiqua" w:eastAsia="Book Antiqua" w:hAnsi="Book Antiqua" w:cs="Book Antiqua"/>
          <w:color w:val="000000"/>
        </w:rPr>
        <w:t xml:space="preserve">the </w:t>
      </w:r>
      <w:r w:rsidRPr="00ED6B88">
        <w:rPr>
          <w:rFonts w:ascii="Book Antiqua" w:eastAsia="Book Antiqua" w:hAnsi="Book Antiqua" w:cs="Book Antiqua"/>
          <w:color w:val="000000"/>
        </w:rPr>
        <w:t xml:space="preserve">salivary gland. Even though </w:t>
      </w:r>
      <w:r w:rsidR="006C1C15">
        <w:rPr>
          <w:rFonts w:ascii="Book Antiqua" w:eastAsia="Book Antiqua" w:hAnsi="Book Antiqua" w:cs="Book Antiqua"/>
          <w:color w:val="000000"/>
        </w:rPr>
        <w:t>it</w:t>
      </w:r>
      <w:r w:rsidR="006C1C15" w:rsidRPr="00ED6B88">
        <w:rPr>
          <w:rFonts w:ascii="Book Antiqua" w:eastAsia="Book Antiqua" w:hAnsi="Book Antiqua" w:cs="Book Antiqua"/>
          <w:color w:val="000000"/>
        </w:rPr>
        <w:t xml:space="preserve"> </w:t>
      </w:r>
      <w:r w:rsidRPr="00ED6B88">
        <w:rPr>
          <w:rFonts w:ascii="Book Antiqua" w:eastAsia="Book Antiqua" w:hAnsi="Book Antiqua" w:cs="Book Antiqua"/>
          <w:color w:val="000000"/>
        </w:rPr>
        <w:t xml:space="preserve">has a good prognosis after adequate surgery, atypical lesions may occur from mild dysplasia to carcinoma </w:t>
      </w:r>
      <w:r w:rsidRPr="00867303">
        <w:rPr>
          <w:rFonts w:ascii="Book Antiqua" w:eastAsia="Book Antiqua" w:hAnsi="Book Antiqua" w:cs="Book Antiqua"/>
          <w:i/>
          <w:iCs/>
          <w:color w:val="000000"/>
        </w:rPr>
        <w:t>in situ</w:t>
      </w:r>
      <w:r w:rsidR="002F7B70">
        <w:rPr>
          <w:rFonts w:ascii="宋体" w:eastAsia="宋体" w:hAnsi="宋体" w:cs="宋体" w:hint="eastAsia"/>
          <w:color w:val="000000"/>
          <w:lang w:eastAsia="zh-CN"/>
        </w:rPr>
        <w:t>.</w:t>
      </w:r>
      <w:r w:rsidRPr="00ED6B88">
        <w:rPr>
          <w:rFonts w:ascii="Book Antiqua" w:eastAsia="Book Antiqua" w:hAnsi="Book Antiqua" w:cs="Book Antiqua"/>
          <w:color w:val="000000"/>
        </w:rPr>
        <w:t xml:space="preserve"> However, no recurrence, distant metastasis</w:t>
      </w:r>
      <w:r w:rsidR="006C1C15">
        <w:rPr>
          <w:rFonts w:ascii="Book Antiqua" w:eastAsia="Book Antiqua" w:hAnsi="Book Antiqua" w:cs="Book Antiqua"/>
          <w:color w:val="000000"/>
        </w:rPr>
        <w:t>,</w:t>
      </w:r>
      <w:r w:rsidRPr="00ED6B88">
        <w:rPr>
          <w:rFonts w:ascii="Book Antiqua" w:eastAsia="Book Antiqua" w:hAnsi="Book Antiqua" w:cs="Book Antiqua"/>
          <w:color w:val="000000"/>
        </w:rPr>
        <w:t xml:space="preserve"> or mortality </w:t>
      </w:r>
      <w:r w:rsidR="006C1C15">
        <w:rPr>
          <w:rFonts w:ascii="Book Antiqua" w:eastAsia="Book Antiqua" w:hAnsi="Book Antiqua" w:cs="Book Antiqua"/>
          <w:color w:val="000000"/>
        </w:rPr>
        <w:t>has been</w:t>
      </w:r>
      <w:r w:rsidR="006C1C15" w:rsidRPr="00ED6B88">
        <w:rPr>
          <w:rFonts w:ascii="Book Antiqua" w:eastAsia="Book Antiqua" w:hAnsi="Book Antiqua" w:cs="Book Antiqua"/>
          <w:color w:val="000000"/>
        </w:rPr>
        <w:t xml:space="preserve"> </w:t>
      </w:r>
      <w:r w:rsidRPr="00ED6B88">
        <w:rPr>
          <w:rFonts w:ascii="Book Antiqua" w:eastAsia="Book Antiqua" w:hAnsi="Book Antiqua" w:cs="Book Antiqua"/>
          <w:color w:val="000000"/>
        </w:rPr>
        <w:t xml:space="preserve">reported </w:t>
      </w:r>
      <w:r w:rsidR="006C1C15">
        <w:rPr>
          <w:rFonts w:ascii="Book Antiqua" w:eastAsia="Book Antiqua" w:hAnsi="Book Antiqua" w:cs="Book Antiqua"/>
          <w:color w:val="000000"/>
        </w:rPr>
        <w:t>for</w:t>
      </w:r>
      <w:r w:rsidRPr="00ED6B88">
        <w:rPr>
          <w:rFonts w:ascii="Book Antiqua" w:eastAsia="Book Antiqua" w:hAnsi="Book Antiqua" w:cs="Book Antiqua"/>
          <w:color w:val="000000"/>
        </w:rPr>
        <w:t xml:space="preserve"> submandibular gland SPA. Clinicians and pathologists should be familiar with the characteristics of SPA in the submandibular gland to avoid misdiagnosis and overtreatment.</w:t>
      </w:r>
    </w:p>
    <w:bookmarkEnd w:id="39"/>
    <w:bookmarkEnd w:id="40"/>
    <w:p w14:paraId="1D1C5A29" w14:textId="77777777" w:rsidR="00A77B3E" w:rsidRPr="00ED6B88" w:rsidRDefault="00A77B3E" w:rsidP="00ED6B88">
      <w:pPr>
        <w:spacing w:line="360" w:lineRule="auto"/>
        <w:jc w:val="both"/>
        <w:rPr>
          <w:rFonts w:ascii="Book Antiqua" w:hAnsi="Book Antiqua"/>
        </w:rPr>
      </w:pPr>
    </w:p>
    <w:p w14:paraId="63BB9336" w14:textId="67DE987B" w:rsidR="00A77B3E" w:rsidRPr="00D12C44"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Key Words: </w:t>
      </w:r>
      <w:r w:rsidRPr="00D12C44">
        <w:rPr>
          <w:rFonts w:ascii="Book Antiqua" w:eastAsia="Book Antiqua" w:hAnsi="Book Antiqua" w:cs="Book Antiqua"/>
          <w:color w:val="000000"/>
        </w:rPr>
        <w:t>Sclerosing polycystic adenosis</w:t>
      </w:r>
      <w:r w:rsidR="00D12C44" w:rsidRPr="00D12C44">
        <w:rPr>
          <w:rFonts w:ascii="Book Antiqua" w:eastAsia="宋体" w:hAnsi="Book Antiqua" w:cs="宋体"/>
          <w:color w:val="000000"/>
          <w:lang w:eastAsia="zh-CN"/>
        </w:rPr>
        <w:t>;</w:t>
      </w:r>
      <w:r w:rsidR="00D12C44" w:rsidRPr="00D12C44">
        <w:rPr>
          <w:rFonts w:ascii="Book Antiqua" w:eastAsia="Book Antiqua" w:hAnsi="Book Antiqua" w:cs="Book Antiqua"/>
          <w:color w:val="000000"/>
        </w:rPr>
        <w:t xml:space="preserve"> </w:t>
      </w:r>
      <w:r w:rsidRPr="00D12C44">
        <w:rPr>
          <w:rFonts w:ascii="Book Antiqua" w:eastAsia="Book Antiqua" w:hAnsi="Book Antiqua" w:cs="Book Antiqua"/>
          <w:color w:val="000000"/>
        </w:rPr>
        <w:t>Submandibular gland</w:t>
      </w:r>
      <w:r w:rsidR="00D12C44" w:rsidRPr="00D12C44">
        <w:rPr>
          <w:rFonts w:ascii="Book Antiqua" w:eastAsia="宋体" w:hAnsi="Book Antiqua" w:cs="宋体"/>
          <w:color w:val="000000"/>
          <w:lang w:eastAsia="zh-CN"/>
        </w:rPr>
        <w:t>;</w:t>
      </w:r>
      <w:r w:rsidR="00D12C44">
        <w:rPr>
          <w:rFonts w:ascii="Book Antiqua" w:eastAsia="宋体" w:hAnsi="Book Antiqua" w:cs="宋体"/>
          <w:color w:val="000000"/>
          <w:lang w:eastAsia="zh-CN"/>
        </w:rPr>
        <w:t xml:space="preserve"> </w:t>
      </w:r>
      <w:r w:rsidRPr="00D12C44">
        <w:rPr>
          <w:rFonts w:ascii="Book Antiqua" w:eastAsia="Book Antiqua" w:hAnsi="Book Antiqua" w:cs="Book Antiqua"/>
          <w:color w:val="000000"/>
        </w:rPr>
        <w:t>Histopathology</w:t>
      </w:r>
      <w:r w:rsidR="00D12C44" w:rsidRPr="00D12C44">
        <w:rPr>
          <w:rFonts w:ascii="Book Antiqua" w:eastAsia="宋体" w:hAnsi="Book Antiqua" w:cs="宋体"/>
          <w:color w:val="000000"/>
          <w:lang w:eastAsia="zh-CN"/>
        </w:rPr>
        <w:t>;</w:t>
      </w:r>
      <w:r w:rsidRPr="00D12C44">
        <w:rPr>
          <w:rFonts w:ascii="Book Antiqua" w:eastAsia="Book Antiqua" w:hAnsi="Book Antiqua" w:cs="Book Antiqua"/>
          <w:color w:val="000000"/>
        </w:rPr>
        <w:t xml:space="preserve"> Diagnosis</w:t>
      </w:r>
      <w:r w:rsidR="00D12C44" w:rsidRPr="00D12C44">
        <w:rPr>
          <w:rFonts w:ascii="Book Antiqua" w:eastAsia="宋体" w:hAnsi="Book Antiqua" w:cs="宋体"/>
          <w:color w:val="000000"/>
          <w:lang w:eastAsia="zh-CN"/>
        </w:rPr>
        <w:t>;</w:t>
      </w:r>
      <w:r w:rsidR="00D12C44">
        <w:rPr>
          <w:rFonts w:ascii="Book Antiqua" w:eastAsia="宋体" w:hAnsi="Book Antiqua" w:cs="宋体"/>
          <w:color w:val="000000"/>
          <w:lang w:eastAsia="zh-CN"/>
        </w:rPr>
        <w:t xml:space="preserve"> </w:t>
      </w:r>
      <w:r w:rsidRPr="00D12C44">
        <w:rPr>
          <w:rFonts w:ascii="Book Antiqua" w:eastAsia="Book Antiqua" w:hAnsi="Book Antiqua" w:cs="Book Antiqua"/>
          <w:color w:val="000000"/>
        </w:rPr>
        <w:t>Treatment</w:t>
      </w:r>
      <w:r w:rsidR="00D12C44" w:rsidRPr="00D12C44">
        <w:rPr>
          <w:rFonts w:ascii="Book Antiqua" w:eastAsia="宋体" w:hAnsi="Book Antiqua" w:cs="宋体"/>
          <w:color w:val="000000"/>
          <w:lang w:eastAsia="zh-CN"/>
        </w:rPr>
        <w:t>;</w:t>
      </w:r>
      <w:r w:rsidR="00D12C44">
        <w:rPr>
          <w:rFonts w:ascii="Book Antiqua" w:eastAsia="宋体" w:hAnsi="Book Antiqua" w:cs="宋体"/>
          <w:color w:val="000000"/>
          <w:lang w:eastAsia="zh-CN"/>
        </w:rPr>
        <w:t xml:space="preserve"> </w:t>
      </w:r>
      <w:r w:rsidRPr="00D12C44">
        <w:rPr>
          <w:rFonts w:ascii="Book Antiqua" w:eastAsia="Book Antiqua" w:hAnsi="Book Antiqua" w:cs="Book Antiqua"/>
          <w:color w:val="000000"/>
        </w:rPr>
        <w:t>Case report</w:t>
      </w:r>
    </w:p>
    <w:p w14:paraId="79CB807A" w14:textId="77777777" w:rsidR="00252174" w:rsidRDefault="00252174" w:rsidP="00252174">
      <w:pPr>
        <w:spacing w:line="360" w:lineRule="auto"/>
        <w:jc w:val="both"/>
        <w:rPr>
          <w:lang w:eastAsia="zh-CN"/>
        </w:rPr>
      </w:pPr>
    </w:p>
    <w:p w14:paraId="0F0CC228" w14:textId="77777777" w:rsidR="00252174" w:rsidRPr="00026CB8" w:rsidRDefault="00252174" w:rsidP="0025217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E0B60ED" w14:textId="77777777" w:rsidR="00A77B3E" w:rsidRPr="00ED6B88" w:rsidRDefault="00A77B3E" w:rsidP="00ED6B88">
      <w:pPr>
        <w:spacing w:line="360" w:lineRule="auto"/>
        <w:jc w:val="both"/>
        <w:rPr>
          <w:rFonts w:ascii="Book Antiqua" w:hAnsi="Book Antiqua"/>
        </w:rPr>
      </w:pPr>
    </w:p>
    <w:p w14:paraId="1F00F113" w14:textId="6470F9BD" w:rsidR="00964FDA" w:rsidRDefault="00964FDA" w:rsidP="00ED6B88">
      <w:pPr>
        <w:spacing w:line="360" w:lineRule="auto"/>
        <w:jc w:val="both"/>
        <w:rPr>
          <w:rFonts w:ascii="Book Antiqua" w:hAnsi="Book Antiqua" w:cs="Book Antiqua" w:hint="eastAsia"/>
          <w:color w:val="000000"/>
          <w:lang w:eastAsia="zh-CN"/>
        </w:rPr>
      </w:pPr>
      <w:bookmarkStart w:id="41" w:name="OLE_LINK87"/>
      <w:bookmarkStart w:id="42" w:name="OLE_LINK88"/>
      <w:r w:rsidRPr="00964FDA">
        <w:rPr>
          <w:rFonts w:ascii="Book Antiqua" w:hAnsi="Book Antiqua" w:cs="Book Antiqua" w:hint="eastAsia"/>
          <w:b/>
          <w:color w:val="000000"/>
          <w:lang w:eastAsia="zh-CN"/>
        </w:rPr>
        <w:t xml:space="preserve">Citation: </w:t>
      </w:r>
      <w:r w:rsidR="003140EF" w:rsidRPr="00ED6B88">
        <w:rPr>
          <w:rFonts w:ascii="Book Antiqua" w:eastAsia="Book Antiqua" w:hAnsi="Book Antiqua" w:cs="Book Antiqua"/>
          <w:color w:val="000000"/>
        </w:rPr>
        <w:t xml:space="preserve">Wu L, Wang Y, Hu CY, Huang CM. </w:t>
      </w:r>
      <w:r w:rsidR="004E24AD" w:rsidRPr="004E24AD">
        <w:rPr>
          <w:rFonts w:ascii="Book Antiqua" w:eastAsia="Book Antiqua" w:hAnsi="Book Antiqua" w:cs="Book Antiqua"/>
          <w:bCs/>
          <w:color w:val="000000"/>
        </w:rPr>
        <w:t>Sclerosing polycystic adenosis of the submandibular gland: Two case reports</w:t>
      </w:r>
      <w:r w:rsidR="003140EF" w:rsidRPr="00ED6B88">
        <w:rPr>
          <w:rFonts w:ascii="Book Antiqua" w:eastAsia="Book Antiqua" w:hAnsi="Book Antiqua" w:cs="Book Antiqua"/>
          <w:color w:val="000000"/>
        </w:rPr>
        <w:t xml:space="preserve">. </w:t>
      </w:r>
      <w:r w:rsidR="003140EF" w:rsidRPr="00ED6B88">
        <w:rPr>
          <w:rFonts w:ascii="Book Antiqua" w:eastAsia="Book Antiqua" w:hAnsi="Book Antiqua" w:cs="Book Antiqua"/>
          <w:i/>
          <w:iCs/>
          <w:color w:val="000000"/>
        </w:rPr>
        <w:t>World J Clin Cases</w:t>
      </w:r>
      <w:r w:rsidR="003140EF" w:rsidRPr="00ED6B88">
        <w:rPr>
          <w:rFonts w:ascii="Book Antiqua" w:eastAsia="Book Antiqua" w:hAnsi="Book Antiqua" w:cs="Book Antiqua"/>
          <w:color w:val="000000"/>
        </w:rPr>
        <w:t xml:space="preserve"> 2021; </w:t>
      </w:r>
      <w:r w:rsidR="00441425" w:rsidRPr="00441425">
        <w:rPr>
          <w:rFonts w:ascii="Book Antiqua" w:eastAsia="Book Antiqua" w:hAnsi="Book Antiqua" w:cs="Book Antiqua"/>
          <w:color w:val="000000"/>
        </w:rPr>
        <w:t xml:space="preserve">9(12): </w:t>
      </w:r>
      <w:r w:rsidR="0033285D" w:rsidRPr="0033285D">
        <w:rPr>
          <w:rFonts w:ascii="Book Antiqua" w:eastAsia="Book Antiqua" w:hAnsi="Book Antiqua" w:cs="Book Antiqua"/>
          <w:color w:val="000000"/>
        </w:rPr>
        <w:t>2930-2936</w:t>
      </w:r>
      <w:r w:rsidR="00441425" w:rsidRPr="00441425">
        <w:rPr>
          <w:rFonts w:ascii="Book Antiqua" w:eastAsia="Book Antiqua" w:hAnsi="Book Antiqua" w:cs="Book Antiqua"/>
          <w:color w:val="000000"/>
        </w:rPr>
        <w:t xml:space="preserve">  </w:t>
      </w:r>
    </w:p>
    <w:p w14:paraId="17EB67A3" w14:textId="77777777" w:rsidR="00964FDA" w:rsidRDefault="00441425" w:rsidP="00ED6B88">
      <w:pPr>
        <w:spacing w:line="360" w:lineRule="auto"/>
        <w:jc w:val="both"/>
        <w:rPr>
          <w:rFonts w:ascii="Book Antiqua" w:hAnsi="Book Antiqua" w:cs="Book Antiqua" w:hint="eastAsia"/>
          <w:color w:val="000000"/>
          <w:lang w:eastAsia="zh-CN"/>
        </w:rPr>
      </w:pPr>
      <w:r w:rsidRPr="00964FDA">
        <w:rPr>
          <w:rFonts w:ascii="Book Antiqua" w:eastAsia="Book Antiqua" w:hAnsi="Book Antiqua" w:cs="Book Antiqua"/>
          <w:b/>
          <w:color w:val="000000"/>
        </w:rPr>
        <w:t>URL:</w:t>
      </w:r>
      <w:r w:rsidRPr="00441425">
        <w:rPr>
          <w:rFonts w:ascii="Book Antiqua" w:eastAsia="Book Antiqua" w:hAnsi="Book Antiqua" w:cs="Book Antiqua"/>
          <w:color w:val="000000"/>
        </w:rPr>
        <w:t xml:space="preserve"> https://www.wjgnet.com/2307-8960/full/v9/i12/</w:t>
      </w:r>
      <w:r w:rsidR="0033285D">
        <w:rPr>
          <w:rFonts w:ascii="Book Antiqua" w:hAnsi="Book Antiqua" w:cs="Book Antiqua" w:hint="eastAsia"/>
          <w:color w:val="000000"/>
          <w:lang w:eastAsia="zh-CN"/>
        </w:rPr>
        <w:t>2930</w:t>
      </w:r>
      <w:r w:rsidRPr="00441425">
        <w:rPr>
          <w:rFonts w:ascii="Book Antiqua" w:eastAsia="Book Antiqua" w:hAnsi="Book Antiqua" w:cs="Book Antiqua"/>
          <w:color w:val="000000"/>
        </w:rPr>
        <w:t xml:space="preserve">.htm  </w:t>
      </w:r>
    </w:p>
    <w:p w14:paraId="05922391" w14:textId="3CF3900A" w:rsidR="00A77B3E" w:rsidRPr="00C557C0" w:rsidRDefault="00441425" w:rsidP="00ED6B88">
      <w:pPr>
        <w:spacing w:line="360" w:lineRule="auto"/>
        <w:jc w:val="both"/>
        <w:rPr>
          <w:rFonts w:ascii="Book Antiqua" w:hAnsi="Book Antiqua" w:hint="eastAsia"/>
          <w:lang w:eastAsia="zh-CN"/>
        </w:rPr>
      </w:pPr>
      <w:r w:rsidRPr="00964FDA">
        <w:rPr>
          <w:rFonts w:ascii="Book Antiqua" w:eastAsia="Book Antiqua" w:hAnsi="Book Antiqua" w:cs="Book Antiqua"/>
          <w:b/>
          <w:color w:val="000000"/>
        </w:rPr>
        <w:t xml:space="preserve">DOI: </w:t>
      </w:r>
      <w:r w:rsidRPr="00441425">
        <w:rPr>
          <w:rFonts w:ascii="Book Antiqua" w:eastAsia="Book Antiqua" w:hAnsi="Book Antiqua" w:cs="Book Antiqua"/>
          <w:color w:val="000000"/>
        </w:rPr>
        <w:t>https://dx.doi.org/10.12998/wjcc.v9.i12.</w:t>
      </w:r>
      <w:r w:rsidR="00C557C0">
        <w:rPr>
          <w:rFonts w:ascii="Book Antiqua" w:hAnsi="Book Antiqua" w:cs="Book Antiqua" w:hint="eastAsia"/>
          <w:color w:val="000000"/>
          <w:lang w:eastAsia="zh-CN"/>
        </w:rPr>
        <w:t>2930</w:t>
      </w:r>
    </w:p>
    <w:bookmarkEnd w:id="41"/>
    <w:bookmarkEnd w:id="42"/>
    <w:p w14:paraId="185E2ED1" w14:textId="77777777" w:rsidR="00D12C44" w:rsidRDefault="00D12C44" w:rsidP="00ED6B88">
      <w:pPr>
        <w:spacing w:line="360" w:lineRule="auto"/>
        <w:jc w:val="both"/>
        <w:rPr>
          <w:rFonts w:ascii="Book Antiqua" w:eastAsia="Book Antiqua" w:hAnsi="Book Antiqua" w:cs="Book Antiqua"/>
          <w:color w:val="000000"/>
        </w:rPr>
      </w:pPr>
    </w:p>
    <w:p w14:paraId="729FC4CC" w14:textId="2D82AADE"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Core Tip: </w:t>
      </w:r>
      <w:bookmarkStart w:id="43" w:name="OLE_LINK93"/>
      <w:bookmarkStart w:id="44" w:name="OLE_LINK94"/>
      <w:r w:rsidRPr="00ED6B88">
        <w:rPr>
          <w:rFonts w:ascii="Book Antiqua" w:eastAsia="Book Antiqua" w:hAnsi="Book Antiqua" w:cs="Book Antiqua"/>
          <w:color w:val="000000"/>
        </w:rPr>
        <w:t xml:space="preserve">Sclerosing polycystic adenosis (SPA) is a rare disease of </w:t>
      </w:r>
      <w:r w:rsidR="006C1C15">
        <w:rPr>
          <w:rFonts w:ascii="Book Antiqua" w:eastAsia="Book Antiqua" w:hAnsi="Book Antiqua" w:cs="Book Antiqua"/>
          <w:color w:val="000000"/>
        </w:rPr>
        <w:t xml:space="preserve">the </w:t>
      </w:r>
      <w:r w:rsidRPr="00ED6B88">
        <w:rPr>
          <w:rFonts w:ascii="Book Antiqua" w:eastAsia="Book Antiqua" w:hAnsi="Book Antiqua" w:cs="Book Antiqua"/>
          <w:color w:val="000000"/>
        </w:rPr>
        <w:t>salivary gland. To</w:t>
      </w:r>
      <w:r w:rsidR="006C1C15">
        <w:rPr>
          <w:rFonts w:ascii="Book Antiqua" w:eastAsia="Book Antiqua" w:hAnsi="Book Antiqua" w:cs="Book Antiqua"/>
          <w:color w:val="000000"/>
        </w:rPr>
        <w:t xml:space="preserve"> the best of</w:t>
      </w:r>
      <w:r w:rsidRPr="00ED6B88">
        <w:rPr>
          <w:rFonts w:ascii="Book Antiqua" w:eastAsia="Book Antiqua" w:hAnsi="Book Antiqua" w:cs="Book Antiqua"/>
          <w:color w:val="000000"/>
        </w:rPr>
        <w:t xml:space="preserve"> our knowledge, only 5 cases of SPA in the submandibular gland have been reported. Here, we present two new cases of SPA involving the submandibular gland. Even though SPA has a good prognosis after adequate surgery, atypical lesions may occur from mild dysplasia to carcinoma </w:t>
      </w:r>
      <w:r w:rsidRPr="00867303">
        <w:rPr>
          <w:rFonts w:ascii="Book Antiqua" w:eastAsia="Book Antiqua" w:hAnsi="Book Antiqua" w:cs="Book Antiqua"/>
          <w:i/>
          <w:iCs/>
          <w:color w:val="000000"/>
        </w:rPr>
        <w:t>in situ</w:t>
      </w:r>
      <w:r w:rsidRPr="00ED6B88">
        <w:rPr>
          <w:rFonts w:ascii="Book Antiqua" w:eastAsia="Book Antiqua" w:hAnsi="Book Antiqua" w:cs="Book Antiqua"/>
          <w:color w:val="000000"/>
        </w:rPr>
        <w:t xml:space="preserve">. To date, </w:t>
      </w:r>
      <w:r w:rsidR="006C1C15">
        <w:rPr>
          <w:rFonts w:ascii="Book Antiqua" w:eastAsia="Book Antiqua" w:hAnsi="Book Antiqua" w:cs="Book Antiqua"/>
          <w:color w:val="000000"/>
        </w:rPr>
        <w:t xml:space="preserve">there have been </w:t>
      </w:r>
      <w:r w:rsidRPr="00ED6B88">
        <w:rPr>
          <w:rFonts w:ascii="Book Antiqua" w:eastAsia="Book Antiqua" w:hAnsi="Book Antiqua" w:cs="Book Antiqua"/>
          <w:color w:val="000000"/>
        </w:rPr>
        <w:t>no reports of recurrence, distant metastases</w:t>
      </w:r>
      <w:r w:rsidR="006C1C15">
        <w:rPr>
          <w:rFonts w:ascii="Book Antiqua" w:eastAsia="Book Antiqua" w:hAnsi="Book Antiqua" w:cs="Book Antiqua"/>
          <w:color w:val="000000"/>
        </w:rPr>
        <w:t>,</w:t>
      </w:r>
      <w:r w:rsidRPr="00ED6B88">
        <w:rPr>
          <w:rFonts w:ascii="Book Antiqua" w:eastAsia="Book Antiqua" w:hAnsi="Book Antiqua" w:cs="Book Antiqua"/>
          <w:color w:val="000000"/>
        </w:rPr>
        <w:t xml:space="preserve"> or mortality associated with SPA in the submandibular gland. Clinicians and pathologists should be familiar with the characteristics of </w:t>
      </w:r>
      <w:r w:rsidR="006C1C15">
        <w:rPr>
          <w:rFonts w:ascii="Book Antiqua" w:eastAsia="Book Antiqua" w:hAnsi="Book Antiqua" w:cs="Book Antiqua"/>
          <w:color w:val="000000"/>
        </w:rPr>
        <w:t>this disease</w:t>
      </w:r>
      <w:r w:rsidRPr="00ED6B88">
        <w:rPr>
          <w:rFonts w:ascii="Book Antiqua" w:eastAsia="Book Antiqua" w:hAnsi="Book Antiqua" w:cs="Book Antiqua"/>
          <w:color w:val="000000"/>
        </w:rPr>
        <w:t xml:space="preserve"> to avoid misdiagnosis and overtreatment.</w:t>
      </w:r>
    </w:p>
    <w:bookmarkEnd w:id="43"/>
    <w:bookmarkEnd w:id="44"/>
    <w:p w14:paraId="764DA9E9" w14:textId="77777777" w:rsidR="00A77B3E" w:rsidRPr="00ED6B88" w:rsidRDefault="00A77B3E" w:rsidP="00ED6B88">
      <w:pPr>
        <w:spacing w:line="360" w:lineRule="auto"/>
        <w:jc w:val="both"/>
        <w:rPr>
          <w:rFonts w:ascii="Book Antiqua" w:hAnsi="Book Antiqua"/>
        </w:rPr>
      </w:pPr>
    </w:p>
    <w:p w14:paraId="1C7C4DC0" w14:textId="635C07EC" w:rsidR="00A77B3E" w:rsidRPr="00ED6B88" w:rsidRDefault="00664B4C" w:rsidP="00ED6B88">
      <w:pPr>
        <w:spacing w:line="360" w:lineRule="auto"/>
        <w:jc w:val="both"/>
        <w:rPr>
          <w:rFonts w:ascii="Book Antiqua" w:hAnsi="Book Antiqua"/>
        </w:rPr>
      </w:pPr>
      <w:r>
        <w:rPr>
          <w:rFonts w:ascii="Book Antiqua" w:eastAsia="Book Antiqua" w:hAnsi="Book Antiqua" w:cs="Book Antiqua"/>
          <w:b/>
          <w:caps/>
          <w:color w:val="000000"/>
          <w:u w:val="single"/>
        </w:rPr>
        <w:br w:type="page"/>
      </w:r>
      <w:r w:rsidR="003140EF" w:rsidRPr="00ED6B88">
        <w:rPr>
          <w:rFonts w:ascii="Book Antiqua" w:eastAsia="Book Antiqua" w:hAnsi="Book Antiqua" w:cs="Book Antiqua"/>
          <w:b/>
          <w:caps/>
          <w:color w:val="000000"/>
          <w:u w:val="single"/>
        </w:rPr>
        <w:t>INTRODUCTION</w:t>
      </w:r>
    </w:p>
    <w:p w14:paraId="67BF8D33" w14:textId="68F01709" w:rsidR="00A77B3E" w:rsidRPr="00ED6B88" w:rsidRDefault="003140EF" w:rsidP="00ED6B88">
      <w:pPr>
        <w:spacing w:line="360" w:lineRule="auto"/>
        <w:jc w:val="both"/>
        <w:rPr>
          <w:rFonts w:ascii="Book Antiqua" w:hAnsi="Book Antiqua"/>
        </w:rPr>
      </w:pPr>
      <w:bookmarkStart w:id="45" w:name="OLE_LINK95"/>
      <w:r w:rsidRPr="00ED6B88">
        <w:rPr>
          <w:rFonts w:ascii="Book Antiqua" w:eastAsia="Book Antiqua" w:hAnsi="Book Antiqua" w:cs="Book Antiqua"/>
          <w:color w:val="000000"/>
        </w:rPr>
        <w:t>Sclerosing polycystic adenosis (SPA) is a rare disease of the salivary gland similar to sclerosing adenosis and fibrocystic disease of the mammary gland</w:t>
      </w:r>
      <w:r w:rsidRPr="00ED6B88">
        <w:rPr>
          <w:rFonts w:ascii="Book Antiqua" w:eastAsia="Book Antiqua" w:hAnsi="Book Antiqua" w:cs="Book Antiqua"/>
          <w:color w:val="000000"/>
          <w:vertAlign w:val="superscript"/>
        </w:rPr>
        <w:t>[1]</w:t>
      </w:r>
      <w:r w:rsidRPr="00ED6B88">
        <w:rPr>
          <w:rFonts w:ascii="Book Antiqua" w:eastAsia="Book Antiqua" w:hAnsi="Book Antiqua" w:cs="Book Antiqua"/>
          <w:color w:val="000000"/>
        </w:rPr>
        <w:t xml:space="preserve">. It was first described by Smith </w:t>
      </w:r>
      <w:r w:rsidRPr="00ED6B88">
        <w:rPr>
          <w:rFonts w:ascii="Book Antiqua" w:eastAsia="Book Antiqua" w:hAnsi="Book Antiqua" w:cs="Book Antiqua"/>
          <w:i/>
          <w:iCs/>
          <w:color w:val="000000"/>
        </w:rPr>
        <w:t>et al</w:t>
      </w:r>
      <w:r w:rsidR="00664B4C" w:rsidRPr="00ED6B88">
        <w:rPr>
          <w:rFonts w:ascii="Book Antiqua" w:eastAsia="Book Antiqua" w:hAnsi="Book Antiqua" w:cs="Book Antiqua"/>
          <w:color w:val="000000"/>
          <w:vertAlign w:val="superscript"/>
        </w:rPr>
        <w:t>[1]</w:t>
      </w:r>
      <w:r w:rsidRPr="00ED6B88">
        <w:rPr>
          <w:rFonts w:ascii="Book Antiqua" w:eastAsia="Book Antiqua" w:hAnsi="Book Antiqua" w:cs="Book Antiqua"/>
          <w:color w:val="000000"/>
        </w:rPr>
        <w:t xml:space="preserve"> in 1996 in a series of nine cases</w:t>
      </w:r>
      <w:r w:rsidR="00664B4C">
        <w:rPr>
          <w:rFonts w:ascii="Book Antiqua" w:eastAsia="Book Antiqua" w:hAnsi="Book Antiqua" w:cs="Book Antiqua"/>
          <w:color w:val="000000"/>
        </w:rPr>
        <w:t xml:space="preserve"> </w:t>
      </w:r>
      <w:r w:rsidRPr="00ED6B88">
        <w:rPr>
          <w:rFonts w:ascii="Book Antiqua" w:eastAsia="Book Antiqua" w:hAnsi="Book Antiqua" w:cs="Book Antiqua"/>
          <w:color w:val="000000"/>
        </w:rPr>
        <w:t>and was recognized and described with increased frequency soon after the initial description</w:t>
      </w:r>
      <w:r w:rsidRPr="00ED6B88">
        <w:rPr>
          <w:rFonts w:ascii="Book Antiqua" w:eastAsia="Book Antiqua" w:hAnsi="Book Antiqua" w:cs="Book Antiqua"/>
          <w:color w:val="000000"/>
          <w:vertAlign w:val="superscript"/>
        </w:rPr>
        <w:t>[2]</w:t>
      </w:r>
      <w:r w:rsidRPr="00ED6B88">
        <w:rPr>
          <w:rFonts w:ascii="Book Antiqua" w:eastAsia="Book Antiqua" w:hAnsi="Book Antiqua" w:cs="Book Antiqua"/>
          <w:color w:val="000000"/>
        </w:rPr>
        <w:t>. In the fourth update of the World Health Organization Classification of Head and Neck Tumors, published recently, SPA has been included in the salivary gland tumors category under the subsection of other epithelial lesions</w:t>
      </w:r>
      <w:r w:rsidRPr="00ED6B88">
        <w:rPr>
          <w:rFonts w:ascii="Book Antiqua" w:eastAsia="Book Antiqua" w:hAnsi="Book Antiqua" w:cs="Book Antiqua"/>
          <w:color w:val="000000"/>
          <w:vertAlign w:val="superscript"/>
        </w:rPr>
        <w:t>[3]</w:t>
      </w:r>
      <w:r w:rsidRPr="00ED6B88">
        <w:rPr>
          <w:rFonts w:ascii="Book Antiqua" w:eastAsia="Book Antiqua" w:hAnsi="Book Antiqua" w:cs="Book Antiqua"/>
          <w:color w:val="000000"/>
        </w:rPr>
        <w:t>. Histopathologically, it is characterized by a well-circumscribed tubulocystic proliferation of glands within an abundant sclerotic stroma, with duct morphology ranging from intercalated duct-like to apocrine, and by the presence of acini with aberrant coarse red zymogen granules</w:t>
      </w:r>
      <w:r w:rsidRPr="00ED6B88">
        <w:rPr>
          <w:rFonts w:ascii="Book Antiqua" w:eastAsia="Book Antiqua" w:hAnsi="Book Antiqua" w:cs="Book Antiqua"/>
          <w:color w:val="000000"/>
          <w:vertAlign w:val="superscript"/>
        </w:rPr>
        <w:t>[3]</w:t>
      </w:r>
      <w:r w:rsidRPr="00ED6B88">
        <w:rPr>
          <w:rFonts w:ascii="Book Antiqua" w:eastAsia="Book Antiqua" w:hAnsi="Book Antiqua" w:cs="Book Antiqua"/>
          <w:color w:val="000000"/>
        </w:rPr>
        <w:t>.</w:t>
      </w:r>
    </w:p>
    <w:p w14:paraId="489D466B" w14:textId="3938F906" w:rsidR="00670696" w:rsidRPr="00ED6B88" w:rsidRDefault="003140EF" w:rsidP="00867303">
      <w:pPr>
        <w:spacing w:line="360" w:lineRule="auto"/>
        <w:ind w:firstLineChars="112" w:firstLine="269"/>
        <w:jc w:val="both"/>
        <w:rPr>
          <w:rFonts w:ascii="Book Antiqua" w:hAnsi="Book Antiqua"/>
        </w:rPr>
      </w:pPr>
      <w:r w:rsidRPr="00ED6B88">
        <w:rPr>
          <w:rFonts w:ascii="Book Antiqua" w:eastAsia="Book Antiqua" w:hAnsi="Book Antiqua" w:cs="Book Antiqua"/>
          <w:color w:val="000000"/>
        </w:rPr>
        <w:t>Since the</w:t>
      </w:r>
      <w:r w:rsidR="00670696">
        <w:rPr>
          <w:rFonts w:ascii="Book Antiqua" w:eastAsia="Book Antiqua" w:hAnsi="Book Antiqua" w:cs="Book Antiqua"/>
          <w:color w:val="000000"/>
        </w:rPr>
        <w:t xml:space="preserve"> incidence of</w:t>
      </w:r>
      <w:r w:rsidRPr="00ED6B88">
        <w:rPr>
          <w:rFonts w:ascii="Book Antiqua" w:eastAsia="Book Antiqua" w:hAnsi="Book Antiqua" w:cs="Book Antiqua"/>
          <w:color w:val="000000"/>
        </w:rPr>
        <w:t xml:space="preserve"> SPA is low, many scholars lack knowledge about SPA. In particular, many cases suggest that some areas of SPA are heteromorphic and even </w:t>
      </w:r>
      <w:r w:rsidRPr="00867303">
        <w:rPr>
          <w:rFonts w:ascii="Book Antiqua" w:eastAsia="Book Antiqua" w:hAnsi="Book Antiqua" w:cs="Book Antiqua"/>
          <w:i/>
          <w:iCs/>
          <w:color w:val="000000"/>
        </w:rPr>
        <w:t>in situ</w:t>
      </w:r>
      <w:r w:rsidRPr="00ED6B88">
        <w:rPr>
          <w:rFonts w:ascii="Book Antiqua" w:eastAsia="Book Antiqua" w:hAnsi="Book Antiqua" w:cs="Book Antiqua"/>
          <w:color w:val="000000"/>
        </w:rPr>
        <w:t xml:space="preserve"> cancer. Therefore, clinicians, especially pathologists, must be knowledgeable about the diagnosis and treatment of SPA.</w:t>
      </w:r>
    </w:p>
    <w:p w14:paraId="10C4F70E" w14:textId="2FEBA7DC" w:rsidR="00A77B3E" w:rsidRPr="00ED6B88" w:rsidRDefault="003140EF" w:rsidP="00867303">
      <w:pPr>
        <w:spacing w:line="360" w:lineRule="auto"/>
        <w:ind w:firstLineChars="112" w:firstLine="269"/>
        <w:jc w:val="both"/>
        <w:rPr>
          <w:rFonts w:ascii="Book Antiqua" w:hAnsi="Book Antiqua"/>
        </w:rPr>
      </w:pPr>
      <w:r w:rsidRPr="00ED6B88">
        <w:rPr>
          <w:rFonts w:ascii="Book Antiqua" w:eastAsia="Book Antiqua" w:hAnsi="Book Antiqua" w:cs="Book Antiqua"/>
          <w:color w:val="000000"/>
        </w:rPr>
        <w:t>To the best of our knowledge, &lt;</w:t>
      </w:r>
      <w:r w:rsidR="00664B4C">
        <w:rPr>
          <w:rFonts w:ascii="Book Antiqua" w:eastAsia="Book Antiqua" w:hAnsi="Book Antiqua" w:cs="Book Antiqua"/>
          <w:color w:val="000000"/>
        </w:rPr>
        <w:t xml:space="preserve"> </w:t>
      </w:r>
      <w:r w:rsidRPr="00ED6B88">
        <w:rPr>
          <w:rFonts w:ascii="Book Antiqua" w:eastAsia="Book Antiqua" w:hAnsi="Book Antiqua" w:cs="Book Antiqua"/>
          <w:color w:val="000000"/>
        </w:rPr>
        <w:t>80 cases of SPA have been reported in the English literature. Most SPA cases have occurred in the parotid gland, with a few cases in the submandibular gland and minor salivary glands. Here, we report two additional cases of SPA occurring within the submandibular gland.</w:t>
      </w:r>
    </w:p>
    <w:bookmarkEnd w:id="45"/>
    <w:p w14:paraId="6F468FBA" w14:textId="77777777" w:rsidR="00A77B3E" w:rsidRPr="00ED6B88" w:rsidRDefault="00A77B3E" w:rsidP="00ED6B88">
      <w:pPr>
        <w:spacing w:line="360" w:lineRule="auto"/>
        <w:jc w:val="both"/>
        <w:rPr>
          <w:rFonts w:ascii="Book Antiqua" w:hAnsi="Book Antiqua"/>
        </w:rPr>
      </w:pPr>
    </w:p>
    <w:p w14:paraId="0104C2E4"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aps/>
          <w:color w:val="000000"/>
          <w:u w:val="single"/>
        </w:rPr>
        <w:t>CASE PRESENTATION</w:t>
      </w:r>
    </w:p>
    <w:p w14:paraId="2EB56318"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i/>
          <w:color w:val="000000"/>
        </w:rPr>
        <w:t>Chief complaints</w:t>
      </w:r>
    </w:p>
    <w:p w14:paraId="7FA76762" w14:textId="39BF4AA7" w:rsidR="00A77B3E" w:rsidRDefault="003140EF" w:rsidP="00ED6B88">
      <w:pPr>
        <w:spacing w:line="360" w:lineRule="auto"/>
        <w:jc w:val="both"/>
        <w:rPr>
          <w:rFonts w:ascii="Book Antiqua" w:eastAsia="Book Antiqua" w:hAnsi="Book Antiqua" w:cs="Book Antiqua"/>
          <w:color w:val="000000"/>
        </w:rPr>
      </w:pPr>
      <w:bookmarkStart w:id="46" w:name="OLE_LINK98"/>
      <w:bookmarkStart w:id="47" w:name="OLE_LINK99"/>
      <w:r w:rsidRPr="00ED6B88">
        <w:rPr>
          <w:rFonts w:ascii="Book Antiqua" w:eastAsia="Book Antiqua" w:hAnsi="Book Antiqua" w:cs="Book Antiqua"/>
          <w:b/>
          <w:bCs/>
          <w:color w:val="000000"/>
        </w:rPr>
        <w:t>C</w:t>
      </w:r>
      <w:r w:rsidR="00664B4C">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1: </w:t>
      </w:r>
      <w:r w:rsidRPr="00ED6B88">
        <w:rPr>
          <w:rFonts w:ascii="Book Antiqua" w:eastAsia="Book Antiqua" w:hAnsi="Book Antiqua" w:cs="Book Antiqua"/>
          <w:color w:val="000000"/>
        </w:rPr>
        <w:t xml:space="preserve">Complaints of a </w:t>
      </w:r>
      <w:r w:rsidR="00670696">
        <w:rPr>
          <w:rFonts w:ascii="Book Antiqua" w:eastAsia="Book Antiqua" w:hAnsi="Book Antiqua" w:cs="Book Antiqua"/>
          <w:color w:val="000000"/>
        </w:rPr>
        <w:t>2</w:t>
      </w:r>
      <w:r w:rsidRPr="00ED6B88">
        <w:rPr>
          <w:rFonts w:ascii="Book Antiqua" w:eastAsia="Book Antiqua" w:hAnsi="Book Antiqua" w:cs="Book Antiqua"/>
          <w:color w:val="000000"/>
        </w:rPr>
        <w:t>-year history of a mass in the left submandibular area with pain.</w:t>
      </w:r>
    </w:p>
    <w:p w14:paraId="785D3695" w14:textId="77777777" w:rsidR="00664B4C" w:rsidRPr="00ED6B88" w:rsidRDefault="00664B4C" w:rsidP="00ED6B88">
      <w:pPr>
        <w:spacing w:line="360" w:lineRule="auto"/>
        <w:jc w:val="both"/>
        <w:rPr>
          <w:rFonts w:ascii="Book Antiqua" w:hAnsi="Book Antiqua"/>
        </w:rPr>
      </w:pPr>
    </w:p>
    <w:p w14:paraId="543613DF" w14:textId="4CCA8F53"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C</w:t>
      </w:r>
      <w:r w:rsidR="00664B4C">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2: C</w:t>
      </w:r>
      <w:r w:rsidRPr="00ED6B88">
        <w:rPr>
          <w:rFonts w:ascii="Book Antiqua" w:eastAsia="Book Antiqua" w:hAnsi="Book Antiqua" w:cs="Book Antiqua"/>
          <w:color w:val="000000"/>
        </w:rPr>
        <w:t>omplaints of swelling in the right submandibular gland for 40 d, which with associated pain.</w:t>
      </w:r>
    </w:p>
    <w:bookmarkEnd w:id="46"/>
    <w:bookmarkEnd w:id="47"/>
    <w:p w14:paraId="39A53E95" w14:textId="77777777" w:rsidR="00A77B3E" w:rsidRPr="00ED6B88" w:rsidRDefault="00A77B3E" w:rsidP="00ED6B88">
      <w:pPr>
        <w:spacing w:line="360" w:lineRule="auto"/>
        <w:jc w:val="both"/>
        <w:rPr>
          <w:rFonts w:ascii="Book Antiqua" w:hAnsi="Book Antiqua"/>
        </w:rPr>
      </w:pPr>
    </w:p>
    <w:p w14:paraId="135EBB8A"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i/>
          <w:color w:val="000000"/>
        </w:rPr>
        <w:t>History of present illness</w:t>
      </w:r>
    </w:p>
    <w:p w14:paraId="344D55B4" w14:textId="274ED388" w:rsidR="00A77B3E" w:rsidRDefault="003140EF" w:rsidP="00ED6B88">
      <w:pPr>
        <w:spacing w:line="360" w:lineRule="auto"/>
        <w:jc w:val="both"/>
        <w:rPr>
          <w:rFonts w:ascii="Book Antiqua" w:eastAsia="Book Antiqua" w:hAnsi="Book Antiqua" w:cs="Book Antiqua"/>
          <w:color w:val="000000"/>
        </w:rPr>
      </w:pPr>
      <w:r w:rsidRPr="00ED6B88">
        <w:rPr>
          <w:rFonts w:ascii="Book Antiqua" w:eastAsia="Book Antiqua" w:hAnsi="Book Antiqua" w:cs="Book Antiqua"/>
          <w:b/>
          <w:bCs/>
          <w:color w:val="000000"/>
        </w:rPr>
        <w:t>C</w:t>
      </w:r>
      <w:r w:rsidR="00664B4C">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1: </w:t>
      </w:r>
      <w:r w:rsidRPr="00ED6B88">
        <w:rPr>
          <w:rFonts w:ascii="Book Antiqua" w:eastAsia="Book Antiqua" w:hAnsi="Book Antiqua" w:cs="Book Antiqua"/>
          <w:color w:val="000000"/>
        </w:rPr>
        <w:t xml:space="preserve">A 50-year-old Chinese female patient was referred to Tongji Hospital in Wuhan, China, with complaints of a </w:t>
      </w:r>
      <w:r w:rsidR="00670696">
        <w:rPr>
          <w:rFonts w:ascii="Book Antiqua" w:eastAsia="Book Antiqua" w:hAnsi="Book Antiqua" w:cs="Book Antiqua"/>
          <w:color w:val="000000"/>
        </w:rPr>
        <w:t>2</w:t>
      </w:r>
      <w:r w:rsidRPr="00ED6B88">
        <w:rPr>
          <w:rFonts w:ascii="Book Antiqua" w:eastAsia="Book Antiqua" w:hAnsi="Book Antiqua" w:cs="Book Antiqua"/>
          <w:color w:val="000000"/>
        </w:rPr>
        <w:t>-year history of a mass in the left submandibular area with pain.</w:t>
      </w:r>
    </w:p>
    <w:p w14:paraId="008EAF0B" w14:textId="77777777" w:rsidR="00664B4C" w:rsidRPr="00ED6B88" w:rsidRDefault="00664B4C" w:rsidP="00ED6B88">
      <w:pPr>
        <w:spacing w:line="360" w:lineRule="auto"/>
        <w:jc w:val="both"/>
        <w:rPr>
          <w:rFonts w:ascii="Book Antiqua" w:hAnsi="Book Antiqua"/>
        </w:rPr>
      </w:pPr>
    </w:p>
    <w:p w14:paraId="15DDB98D" w14:textId="485943F6"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C</w:t>
      </w:r>
      <w:r w:rsidR="00664B4C">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2: </w:t>
      </w:r>
      <w:r w:rsidRPr="00ED6B88">
        <w:rPr>
          <w:rFonts w:ascii="Book Antiqua" w:eastAsia="Book Antiqua" w:hAnsi="Book Antiqua" w:cs="Book Antiqua"/>
          <w:color w:val="000000"/>
        </w:rPr>
        <w:t>A 52-year-old Chinese female patient was referred to Tongji Hospital in Wuhan, China, with complaints of swelling in the right submandibular gland for 40 d, which with associated pain.</w:t>
      </w:r>
    </w:p>
    <w:p w14:paraId="762423EC" w14:textId="77777777" w:rsidR="00A77B3E" w:rsidRPr="00ED6B88" w:rsidRDefault="00A77B3E" w:rsidP="00ED6B88">
      <w:pPr>
        <w:spacing w:line="360" w:lineRule="auto"/>
        <w:jc w:val="both"/>
        <w:rPr>
          <w:rFonts w:ascii="Book Antiqua" w:hAnsi="Book Antiqua"/>
        </w:rPr>
      </w:pPr>
    </w:p>
    <w:p w14:paraId="6382FC6F"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i/>
          <w:color w:val="000000"/>
        </w:rPr>
        <w:t>History of past illness</w:t>
      </w:r>
    </w:p>
    <w:p w14:paraId="331B1726"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Both patients had no remarkable medical history.</w:t>
      </w:r>
    </w:p>
    <w:p w14:paraId="3153EB11" w14:textId="77777777" w:rsidR="00A77B3E" w:rsidRPr="00ED6B88" w:rsidRDefault="00A77B3E" w:rsidP="00ED6B88">
      <w:pPr>
        <w:spacing w:line="360" w:lineRule="auto"/>
        <w:jc w:val="both"/>
        <w:rPr>
          <w:rFonts w:ascii="Book Antiqua" w:hAnsi="Book Antiqua"/>
        </w:rPr>
      </w:pPr>
    </w:p>
    <w:p w14:paraId="7B6DB1FB"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i/>
          <w:color w:val="000000"/>
        </w:rPr>
        <w:t>Personal and family history</w:t>
      </w:r>
    </w:p>
    <w:p w14:paraId="3A51DCF9" w14:textId="4C01225B" w:rsidR="00A77B3E" w:rsidRPr="00ED6B88" w:rsidRDefault="003140EF" w:rsidP="00ED6B88">
      <w:pPr>
        <w:spacing w:line="360" w:lineRule="auto"/>
        <w:jc w:val="both"/>
        <w:rPr>
          <w:rFonts w:ascii="Book Antiqua" w:hAnsi="Book Antiqua"/>
        </w:rPr>
      </w:pPr>
      <w:bookmarkStart w:id="48" w:name="OLE_LINK100"/>
      <w:bookmarkStart w:id="49" w:name="OLE_LINK101"/>
      <w:r w:rsidRPr="00ED6B88">
        <w:rPr>
          <w:rFonts w:ascii="Book Antiqua" w:eastAsia="Book Antiqua" w:hAnsi="Book Antiqua" w:cs="Book Antiqua"/>
          <w:color w:val="000000"/>
        </w:rPr>
        <w:t>The patient was generally in good health and had no history of alcohol, tobacco, or</w:t>
      </w:r>
      <w:r w:rsidR="002F7B70">
        <w:rPr>
          <w:rFonts w:ascii="Book Antiqua" w:eastAsia="Book Antiqua" w:hAnsi="Book Antiqua" w:cs="Book Antiqua"/>
          <w:color w:val="000000"/>
        </w:rPr>
        <w:t xml:space="preserve"> </w:t>
      </w:r>
      <w:r w:rsidRPr="00ED6B88">
        <w:rPr>
          <w:rFonts w:ascii="Book Antiqua" w:eastAsia="Book Antiqua" w:hAnsi="Book Antiqua" w:cs="Book Antiqua"/>
          <w:color w:val="000000"/>
        </w:rPr>
        <w:t>areca nut consumption</w:t>
      </w:r>
      <w:r w:rsidR="00CC6294">
        <w:rPr>
          <w:rFonts w:ascii="Book Antiqua" w:eastAsia="Book Antiqua" w:hAnsi="Book Antiqua" w:cs="Book Antiqua"/>
          <w:color w:val="000000"/>
        </w:rPr>
        <w:t>.</w:t>
      </w:r>
    </w:p>
    <w:bookmarkEnd w:id="48"/>
    <w:bookmarkEnd w:id="49"/>
    <w:p w14:paraId="719720C9" w14:textId="77777777" w:rsidR="00A77B3E" w:rsidRPr="00ED6B88" w:rsidRDefault="00A77B3E" w:rsidP="00ED6B88">
      <w:pPr>
        <w:spacing w:line="360" w:lineRule="auto"/>
        <w:jc w:val="both"/>
        <w:rPr>
          <w:rFonts w:ascii="Book Antiqua" w:hAnsi="Book Antiqua"/>
        </w:rPr>
      </w:pPr>
    </w:p>
    <w:p w14:paraId="4DD1A12D"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i/>
          <w:color w:val="000000"/>
        </w:rPr>
        <w:t>Physical examination</w:t>
      </w:r>
    </w:p>
    <w:p w14:paraId="7E211363" w14:textId="1615DA75" w:rsidR="00A77B3E" w:rsidRDefault="003140EF" w:rsidP="00ED6B88">
      <w:pPr>
        <w:spacing w:line="360" w:lineRule="auto"/>
        <w:jc w:val="both"/>
        <w:rPr>
          <w:rFonts w:ascii="Book Antiqua" w:eastAsia="Book Antiqua" w:hAnsi="Book Antiqua" w:cs="Book Antiqua"/>
          <w:color w:val="000000"/>
        </w:rPr>
      </w:pPr>
      <w:r w:rsidRPr="00ED6B88">
        <w:rPr>
          <w:rFonts w:ascii="Book Antiqua" w:eastAsia="Book Antiqua" w:hAnsi="Book Antiqua" w:cs="Book Antiqua"/>
          <w:b/>
          <w:bCs/>
          <w:color w:val="000000"/>
        </w:rPr>
        <w:t>C</w:t>
      </w:r>
      <w:r w:rsidR="00664B4C">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1</w:t>
      </w:r>
      <w:r w:rsidR="00664B4C">
        <w:rPr>
          <w:rFonts w:ascii="Book Antiqua" w:eastAsia="Book Antiqua" w:hAnsi="Book Antiqua" w:cs="Book Antiqua"/>
          <w:b/>
          <w:bCs/>
          <w:color w:val="000000"/>
        </w:rPr>
        <w:t>:</w:t>
      </w:r>
      <w:r w:rsidRPr="00ED6B88">
        <w:rPr>
          <w:rFonts w:ascii="Book Antiqua" w:eastAsia="Book Antiqua" w:hAnsi="Book Antiqua" w:cs="Book Antiqua"/>
          <w:color w:val="000000"/>
        </w:rPr>
        <w:t xml:space="preserve"> There was a mass in the left submandibular area, measuring approximately 3.0</w:t>
      </w:r>
      <w:r w:rsidR="00664B4C" w:rsidRPr="00664B4C">
        <w:rPr>
          <w:rFonts w:ascii="Book Antiqua" w:eastAsia="Book Antiqua" w:hAnsi="Book Antiqua" w:cs="Book Antiqua"/>
          <w:color w:val="000000"/>
        </w:rPr>
        <w:t xml:space="preserve"> </w:t>
      </w:r>
      <w:r w:rsidR="00664B4C" w:rsidRPr="00ED6B88">
        <w:rPr>
          <w:rFonts w:ascii="Book Antiqua" w:eastAsia="Book Antiqua" w:hAnsi="Book Antiqua" w:cs="Book Antiqua"/>
          <w:color w:val="000000"/>
        </w:rPr>
        <w:t>cm</w:t>
      </w:r>
      <w:r w:rsidR="00664B4C">
        <w:rPr>
          <w:rFonts w:ascii="Book Antiqua" w:eastAsia="Book Antiqua" w:hAnsi="Book Antiqua" w:cs="Book Antiqua"/>
          <w:color w:val="000000"/>
        </w:rPr>
        <w:t xml:space="preserve"> × </w:t>
      </w:r>
      <w:r w:rsidRPr="00ED6B88">
        <w:rPr>
          <w:rFonts w:ascii="Book Antiqua" w:eastAsia="Book Antiqua" w:hAnsi="Book Antiqua" w:cs="Book Antiqua"/>
          <w:color w:val="000000"/>
        </w:rPr>
        <w:t>2.5 cm, with a clear boundary (</w:t>
      </w:r>
      <w:r w:rsidRPr="00664B4C">
        <w:rPr>
          <w:rFonts w:ascii="Book Antiqua" w:eastAsia="Book Antiqua" w:hAnsi="Book Antiqua" w:cs="Book Antiqua"/>
          <w:i/>
          <w:iCs/>
          <w:color w:val="000000"/>
        </w:rPr>
        <w:t>i.e.</w:t>
      </w:r>
      <w:r w:rsidRPr="00ED6B88">
        <w:rPr>
          <w:rFonts w:ascii="Book Antiqua" w:eastAsia="Book Antiqua" w:hAnsi="Book Antiqua" w:cs="Book Antiqua"/>
          <w:color w:val="000000"/>
        </w:rPr>
        <w:t xml:space="preserve"> well-defined borders), medium texture, acceptable mobility, and no apparent tenderness. </w:t>
      </w:r>
    </w:p>
    <w:p w14:paraId="3C477A32" w14:textId="77777777" w:rsidR="00664B4C" w:rsidRPr="00ED6B88" w:rsidRDefault="00664B4C" w:rsidP="00ED6B88">
      <w:pPr>
        <w:spacing w:line="360" w:lineRule="auto"/>
        <w:jc w:val="both"/>
        <w:rPr>
          <w:rFonts w:ascii="Book Antiqua" w:hAnsi="Book Antiqua"/>
        </w:rPr>
      </w:pPr>
    </w:p>
    <w:p w14:paraId="55F1A736" w14:textId="532C1866"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C</w:t>
      </w:r>
      <w:r w:rsidR="00664B4C">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2</w:t>
      </w:r>
      <w:r w:rsidR="00664B4C">
        <w:rPr>
          <w:rFonts w:ascii="Book Antiqua" w:eastAsia="Book Antiqua" w:hAnsi="Book Antiqua" w:cs="Book Antiqua"/>
          <w:b/>
          <w:bCs/>
          <w:color w:val="000000"/>
        </w:rPr>
        <w:t>:</w:t>
      </w:r>
      <w:r w:rsidRPr="00ED6B88">
        <w:rPr>
          <w:rFonts w:ascii="Book Antiqua" w:eastAsia="Book Antiqua" w:hAnsi="Book Antiqua" w:cs="Book Antiqua"/>
          <w:b/>
          <w:bCs/>
          <w:color w:val="000000"/>
        </w:rPr>
        <w:t xml:space="preserve"> </w:t>
      </w:r>
      <w:r w:rsidRPr="00ED6B88">
        <w:rPr>
          <w:rFonts w:ascii="Book Antiqua" w:eastAsia="Book Antiqua" w:hAnsi="Book Antiqua" w:cs="Book Antiqua"/>
          <w:color w:val="000000"/>
        </w:rPr>
        <w:t>The swelling of the right submandibular area measured approximately 2.0</w:t>
      </w:r>
      <w:r w:rsidR="00664B4C">
        <w:rPr>
          <w:rFonts w:ascii="Book Antiqua" w:eastAsia="Book Antiqua" w:hAnsi="Book Antiqua" w:cs="Book Antiqua"/>
          <w:color w:val="000000"/>
        </w:rPr>
        <w:t xml:space="preserve"> cm × </w:t>
      </w:r>
      <w:r w:rsidRPr="00ED6B88">
        <w:rPr>
          <w:rFonts w:ascii="Book Antiqua" w:eastAsia="Book Antiqua" w:hAnsi="Book Antiqua" w:cs="Book Antiqua"/>
          <w:color w:val="000000"/>
        </w:rPr>
        <w:t>1.5 cm, was clear in boundary, medium in texture, and mobile, with a smooth surface and mild tenderness.</w:t>
      </w:r>
    </w:p>
    <w:p w14:paraId="32A8B256" w14:textId="77777777" w:rsidR="00A77B3E" w:rsidRPr="00ED6B88" w:rsidRDefault="00A77B3E" w:rsidP="00ED6B88">
      <w:pPr>
        <w:spacing w:line="360" w:lineRule="auto"/>
        <w:jc w:val="both"/>
        <w:rPr>
          <w:rFonts w:ascii="Book Antiqua" w:hAnsi="Book Antiqua"/>
        </w:rPr>
      </w:pPr>
    </w:p>
    <w:p w14:paraId="0CCE606B"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i/>
          <w:color w:val="000000"/>
        </w:rPr>
        <w:t>Laboratory examinations</w:t>
      </w:r>
    </w:p>
    <w:p w14:paraId="64558DCF"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Routine laboratory tests revealed no remarkable abnormality in the two patients.</w:t>
      </w:r>
    </w:p>
    <w:p w14:paraId="412E2D18" w14:textId="77777777" w:rsidR="00A77B3E" w:rsidRPr="00ED6B88" w:rsidRDefault="00A77B3E" w:rsidP="00ED6B88">
      <w:pPr>
        <w:spacing w:line="360" w:lineRule="auto"/>
        <w:jc w:val="both"/>
        <w:rPr>
          <w:rFonts w:ascii="Book Antiqua" w:hAnsi="Book Antiqua"/>
        </w:rPr>
      </w:pPr>
    </w:p>
    <w:p w14:paraId="2384C4F7"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i/>
          <w:color w:val="000000"/>
        </w:rPr>
        <w:t>Imaging examinations</w:t>
      </w:r>
    </w:p>
    <w:p w14:paraId="37850A01" w14:textId="39E5FB00" w:rsidR="00A77B3E" w:rsidRDefault="003140EF" w:rsidP="00ED6B88">
      <w:pPr>
        <w:spacing w:line="360" w:lineRule="auto"/>
        <w:jc w:val="both"/>
        <w:rPr>
          <w:rFonts w:ascii="Book Antiqua" w:eastAsia="Book Antiqua" w:hAnsi="Book Antiqua" w:cs="Book Antiqua"/>
          <w:color w:val="000000"/>
        </w:rPr>
      </w:pPr>
      <w:bookmarkStart w:id="50" w:name="OLE_LINK102"/>
      <w:bookmarkStart w:id="51" w:name="OLE_LINK103"/>
      <w:r w:rsidRPr="00ED6B88">
        <w:rPr>
          <w:rFonts w:ascii="Book Antiqua" w:eastAsia="Book Antiqua" w:hAnsi="Book Antiqua" w:cs="Book Antiqua"/>
          <w:b/>
          <w:bCs/>
          <w:color w:val="000000"/>
        </w:rPr>
        <w:t>C</w:t>
      </w:r>
      <w:r w:rsidR="00F973EC">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1</w:t>
      </w:r>
      <w:r w:rsidR="00F973EC">
        <w:rPr>
          <w:rFonts w:ascii="Book Antiqua" w:eastAsia="Book Antiqua" w:hAnsi="Book Antiqua" w:cs="Book Antiqua"/>
          <w:b/>
          <w:bCs/>
          <w:color w:val="000000"/>
        </w:rPr>
        <w:t>:</w:t>
      </w:r>
      <w:r w:rsidRPr="00ED6B88">
        <w:rPr>
          <w:rFonts w:ascii="Book Antiqua" w:eastAsia="Book Antiqua" w:hAnsi="Book Antiqua" w:cs="Book Antiqua"/>
          <w:color w:val="000000"/>
        </w:rPr>
        <w:t xml:space="preserve"> Ultrasonographic examination showed a cystic-solid mixed lesion of the left submandibular gland.</w:t>
      </w:r>
    </w:p>
    <w:p w14:paraId="2679C8CC" w14:textId="77777777" w:rsidR="00F973EC" w:rsidRPr="00ED6B88" w:rsidRDefault="00F973EC" w:rsidP="00ED6B88">
      <w:pPr>
        <w:spacing w:line="360" w:lineRule="auto"/>
        <w:jc w:val="both"/>
        <w:rPr>
          <w:rFonts w:ascii="Book Antiqua" w:hAnsi="Book Antiqua"/>
        </w:rPr>
      </w:pPr>
    </w:p>
    <w:p w14:paraId="05DD8CC7" w14:textId="216E6D06"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C</w:t>
      </w:r>
      <w:r w:rsidR="00F973EC">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2</w:t>
      </w:r>
      <w:r w:rsidR="00F973EC">
        <w:rPr>
          <w:rFonts w:ascii="Book Antiqua" w:eastAsia="Book Antiqua" w:hAnsi="Book Antiqua" w:cs="Book Antiqua"/>
          <w:b/>
          <w:bCs/>
          <w:color w:val="000000"/>
        </w:rPr>
        <w:t>:</w:t>
      </w:r>
      <w:r w:rsidRPr="00ED6B88">
        <w:rPr>
          <w:rFonts w:ascii="Book Antiqua" w:eastAsia="Book Antiqua" w:hAnsi="Book Antiqua" w:cs="Book Antiqua"/>
          <w:color w:val="000000"/>
        </w:rPr>
        <w:t xml:space="preserve"> Ultrasonographic examination revealed a mixed lesion accompanied by the partial enlargement of several lymph nodes. Moreover, magnetic resonance imaging (MRI) showed that the T2-weighted image was relatively hyperintense (Figure 1).</w:t>
      </w:r>
    </w:p>
    <w:bookmarkEnd w:id="50"/>
    <w:bookmarkEnd w:id="51"/>
    <w:p w14:paraId="1F6E5B8D" w14:textId="77777777" w:rsidR="00A77B3E" w:rsidRPr="00ED6B88" w:rsidRDefault="00A77B3E" w:rsidP="00ED6B88">
      <w:pPr>
        <w:spacing w:line="360" w:lineRule="auto"/>
        <w:jc w:val="both"/>
        <w:rPr>
          <w:rFonts w:ascii="Book Antiqua" w:hAnsi="Book Antiqua"/>
        </w:rPr>
      </w:pPr>
    </w:p>
    <w:p w14:paraId="67BAFEF8"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aps/>
          <w:color w:val="000000"/>
          <w:u w:val="single"/>
        </w:rPr>
        <w:t>FINAL DIAGNOSIS</w:t>
      </w:r>
    </w:p>
    <w:p w14:paraId="6CB854BF" w14:textId="77777777" w:rsidR="00AF077E" w:rsidRPr="00AF077E" w:rsidRDefault="003140EF" w:rsidP="00ED6B88">
      <w:pPr>
        <w:spacing w:line="360" w:lineRule="auto"/>
        <w:jc w:val="both"/>
        <w:rPr>
          <w:rFonts w:ascii="Book Antiqua" w:eastAsia="Book Antiqua" w:hAnsi="Book Antiqua" w:cs="Book Antiqua"/>
          <w:b/>
          <w:bCs/>
          <w:i/>
          <w:color w:val="000000"/>
        </w:rPr>
      </w:pPr>
      <w:bookmarkStart w:id="52" w:name="OLE_LINK104"/>
      <w:bookmarkStart w:id="53" w:name="OLE_LINK105"/>
      <w:r w:rsidRPr="00AF077E">
        <w:rPr>
          <w:rFonts w:ascii="Book Antiqua" w:eastAsia="Book Antiqua" w:hAnsi="Book Antiqua" w:cs="Book Antiqua"/>
          <w:b/>
          <w:bCs/>
          <w:i/>
          <w:color w:val="000000"/>
        </w:rPr>
        <w:t>C</w:t>
      </w:r>
      <w:r w:rsidR="00F973EC" w:rsidRPr="00AF077E">
        <w:rPr>
          <w:rFonts w:ascii="Book Antiqua" w:eastAsia="Book Antiqua" w:hAnsi="Book Antiqua" w:cs="Book Antiqua"/>
          <w:b/>
          <w:bCs/>
          <w:i/>
          <w:color w:val="000000"/>
        </w:rPr>
        <w:t>ase</w:t>
      </w:r>
      <w:r w:rsidRPr="00AF077E">
        <w:rPr>
          <w:rFonts w:ascii="Book Antiqua" w:eastAsia="Book Antiqua" w:hAnsi="Book Antiqua" w:cs="Book Antiqua"/>
          <w:b/>
          <w:bCs/>
          <w:i/>
          <w:color w:val="000000"/>
        </w:rPr>
        <w:t xml:space="preserve"> 1</w:t>
      </w:r>
    </w:p>
    <w:p w14:paraId="0BD46CA1" w14:textId="76980624" w:rsidR="00A77B3E" w:rsidRDefault="003140EF" w:rsidP="00ED6B88">
      <w:pPr>
        <w:spacing w:line="360" w:lineRule="auto"/>
        <w:jc w:val="both"/>
        <w:rPr>
          <w:rFonts w:ascii="Book Antiqua" w:eastAsia="Book Antiqua" w:hAnsi="Book Antiqua" w:cs="Book Antiqua"/>
          <w:color w:val="000000"/>
        </w:rPr>
      </w:pPr>
      <w:r w:rsidRPr="00ED6B88">
        <w:rPr>
          <w:rFonts w:ascii="Book Antiqua" w:eastAsia="Book Antiqua" w:hAnsi="Book Antiqua" w:cs="Book Antiqua"/>
          <w:color w:val="000000"/>
        </w:rPr>
        <w:t>The resected specimen showed a gray-white hard nodule measuring 1.2</w:t>
      </w:r>
      <w:r w:rsidR="00F973EC">
        <w:rPr>
          <w:rFonts w:ascii="Book Antiqua" w:eastAsia="Book Antiqua" w:hAnsi="Book Antiqua" w:cs="Book Antiqua"/>
          <w:color w:val="000000"/>
        </w:rPr>
        <w:t xml:space="preserve"> cm × </w:t>
      </w:r>
      <w:r w:rsidRPr="00ED6B88">
        <w:rPr>
          <w:rFonts w:ascii="Book Antiqua" w:eastAsia="Book Antiqua" w:hAnsi="Book Antiqua" w:cs="Book Antiqua"/>
          <w:color w:val="000000"/>
        </w:rPr>
        <w:t>1.5 cm. Histopathological examination revealed a well-circumscribed mass with acinar structures, ducts, or cystic dilated glands of various sizes scattered in a massive hyperplastic sclerosing stroma (Figure 2A</w:t>
      </w:r>
      <w:r w:rsidR="00F973EC">
        <w:rPr>
          <w:rFonts w:ascii="Book Antiqua" w:eastAsia="Book Antiqua" w:hAnsi="Book Antiqua" w:cs="Book Antiqua"/>
          <w:color w:val="000000"/>
        </w:rPr>
        <w:t xml:space="preserve"> and</w:t>
      </w:r>
      <w:r w:rsidRPr="00ED6B88">
        <w:rPr>
          <w:rFonts w:ascii="Book Antiqua" w:eastAsia="Book Antiqua" w:hAnsi="Book Antiqua" w:cs="Book Antiqua"/>
          <w:color w:val="000000"/>
        </w:rPr>
        <w:t xml:space="preserve"> B). A spectrum of flat and cuboidal epithelium, and eosinophils were seen in the duct; eosinophilic material was also present in the cysts’ lumen (Figure 2C </w:t>
      </w:r>
      <w:r w:rsidR="00F973EC">
        <w:rPr>
          <w:rFonts w:ascii="Book Antiqua" w:eastAsia="Book Antiqua" w:hAnsi="Book Antiqua" w:cs="Book Antiqua"/>
          <w:color w:val="000000"/>
        </w:rPr>
        <w:t xml:space="preserve">and </w:t>
      </w:r>
      <w:r w:rsidRPr="00ED6B88">
        <w:rPr>
          <w:rFonts w:ascii="Book Antiqua" w:eastAsia="Book Antiqua" w:hAnsi="Book Antiqua" w:cs="Book Antiqua"/>
          <w:color w:val="000000"/>
        </w:rPr>
        <w:t xml:space="preserve">D). No site of atypical epithelial hyperplasia and invasive </w:t>
      </w:r>
      <w:r w:rsidR="002F7B70">
        <w:rPr>
          <w:rFonts w:ascii="Book Antiqua" w:eastAsia="Book Antiqua" w:hAnsi="Book Antiqua" w:cs="Book Antiqua"/>
          <w:color w:val="000000"/>
        </w:rPr>
        <w:t xml:space="preserve">growth </w:t>
      </w:r>
      <w:r w:rsidRPr="00ED6B88">
        <w:rPr>
          <w:rFonts w:ascii="Book Antiqua" w:eastAsia="Book Antiqua" w:hAnsi="Book Antiqua" w:cs="Book Antiqua"/>
          <w:color w:val="000000"/>
        </w:rPr>
        <w:t>or in situ carcinoma was found. In addition, chronic inflammatory changes were found in the surrounding glandular tissue, with one lymph node exhibiting reactive hyperplastic changes. Based on the above findings, the mass was diagnosed as SPA.</w:t>
      </w:r>
    </w:p>
    <w:p w14:paraId="6DA30581" w14:textId="77777777" w:rsidR="00F973EC" w:rsidRPr="00ED6B88" w:rsidRDefault="00F973EC" w:rsidP="00ED6B88">
      <w:pPr>
        <w:spacing w:line="360" w:lineRule="auto"/>
        <w:jc w:val="both"/>
        <w:rPr>
          <w:rFonts w:ascii="Book Antiqua" w:hAnsi="Book Antiqua"/>
        </w:rPr>
      </w:pPr>
    </w:p>
    <w:p w14:paraId="7C252A37" w14:textId="00995CE9" w:rsidR="00AF077E" w:rsidRPr="00AF077E" w:rsidRDefault="003140EF" w:rsidP="00ED6B88">
      <w:pPr>
        <w:spacing w:line="360" w:lineRule="auto"/>
        <w:jc w:val="both"/>
        <w:rPr>
          <w:rFonts w:ascii="Book Antiqua" w:eastAsia="Book Antiqua" w:hAnsi="Book Antiqua" w:cs="Book Antiqua"/>
          <w:b/>
          <w:bCs/>
          <w:i/>
          <w:color w:val="000000"/>
        </w:rPr>
      </w:pPr>
      <w:r w:rsidRPr="00AF077E">
        <w:rPr>
          <w:rFonts w:ascii="Book Antiqua" w:eastAsia="Book Antiqua" w:hAnsi="Book Antiqua" w:cs="Book Antiqua"/>
          <w:b/>
          <w:bCs/>
          <w:i/>
          <w:color w:val="000000"/>
        </w:rPr>
        <w:t>C</w:t>
      </w:r>
      <w:r w:rsidR="00F973EC" w:rsidRPr="00AF077E">
        <w:rPr>
          <w:rFonts w:ascii="Book Antiqua" w:eastAsia="Book Antiqua" w:hAnsi="Book Antiqua" w:cs="Book Antiqua"/>
          <w:b/>
          <w:bCs/>
          <w:i/>
          <w:color w:val="000000"/>
        </w:rPr>
        <w:t>ase</w:t>
      </w:r>
      <w:r w:rsidR="00E7448E">
        <w:rPr>
          <w:rFonts w:ascii="Book Antiqua" w:eastAsia="Book Antiqua" w:hAnsi="Book Antiqua" w:cs="Book Antiqua"/>
          <w:b/>
          <w:bCs/>
          <w:i/>
          <w:color w:val="000000"/>
        </w:rPr>
        <w:t xml:space="preserve"> </w:t>
      </w:r>
      <w:r w:rsidRPr="00AF077E">
        <w:rPr>
          <w:rFonts w:ascii="Book Antiqua" w:eastAsia="Book Antiqua" w:hAnsi="Book Antiqua" w:cs="Book Antiqua"/>
          <w:b/>
          <w:bCs/>
          <w:i/>
          <w:color w:val="000000"/>
        </w:rPr>
        <w:t>2</w:t>
      </w:r>
    </w:p>
    <w:p w14:paraId="6F580B9E" w14:textId="1183BED0"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Histopathological examination revealed a well-circumscribed nodule predominantly composed of numerous sclerotic, hypocellular, hyalinized collagen-containing ductal structures (Figure 2E). Special staining with Periodic </w:t>
      </w:r>
      <w:r w:rsidR="00C1771D" w:rsidRPr="00ED6B88">
        <w:rPr>
          <w:rFonts w:ascii="Book Antiqua" w:eastAsia="Book Antiqua" w:hAnsi="Book Antiqua" w:cs="Book Antiqua"/>
          <w:color w:val="000000"/>
        </w:rPr>
        <w:t>a</w:t>
      </w:r>
      <w:r w:rsidRPr="00ED6B88">
        <w:rPr>
          <w:rFonts w:ascii="Book Antiqua" w:eastAsia="Book Antiqua" w:hAnsi="Book Antiqua" w:cs="Book Antiqua"/>
          <w:color w:val="000000"/>
        </w:rPr>
        <w:t xml:space="preserve">cid-Schiff (PAS) was positive, indicating cytoplasmic PAS-diastase-resistant globules (data not shown). Immunohistochemically, the epithelial cells showed positive expression of </w:t>
      </w:r>
      <w:r w:rsidR="007876D6" w:rsidRPr="007876D6">
        <w:rPr>
          <w:rFonts w:ascii="Book Antiqua" w:eastAsia="Book Antiqua" w:hAnsi="Book Antiqua" w:cs="Book Antiqua"/>
          <w:color w:val="000000"/>
        </w:rPr>
        <w:t>polycystic kidney</w:t>
      </w:r>
      <w:r w:rsidRPr="00ED6B88">
        <w:rPr>
          <w:rFonts w:ascii="Book Antiqua" w:eastAsia="Book Antiqua" w:hAnsi="Book Antiqua" w:cs="Book Antiqua"/>
          <w:color w:val="000000"/>
        </w:rPr>
        <w:t xml:space="preserve">, </w:t>
      </w:r>
      <w:r w:rsidR="00AE6946" w:rsidRPr="00AE6946">
        <w:rPr>
          <w:rFonts w:ascii="Book Antiqua" w:eastAsia="Book Antiqua" w:hAnsi="Book Antiqua" w:cs="Book Antiqua"/>
          <w:color w:val="000000"/>
        </w:rPr>
        <w:t>epithelial membrane antigen</w:t>
      </w:r>
      <w:r w:rsidRPr="00ED6B88">
        <w:rPr>
          <w:rFonts w:ascii="Book Antiqua" w:eastAsia="Book Antiqua" w:hAnsi="Book Antiqua" w:cs="Book Antiqua"/>
          <w:color w:val="000000"/>
        </w:rPr>
        <w:t xml:space="preserve">, and </w:t>
      </w:r>
      <w:r w:rsidR="00AE6946" w:rsidRPr="00AE6946">
        <w:rPr>
          <w:rFonts w:ascii="Book Antiqua" w:eastAsia="Book Antiqua" w:hAnsi="Book Antiqua" w:cs="Book Antiqua"/>
          <w:color w:val="000000"/>
        </w:rPr>
        <w:t>estrogen receptor</w:t>
      </w:r>
      <w:r w:rsidRPr="00ED6B88">
        <w:rPr>
          <w:rFonts w:ascii="Book Antiqua" w:eastAsia="Book Antiqua" w:hAnsi="Book Antiqua" w:cs="Book Antiqua"/>
          <w:color w:val="000000"/>
        </w:rPr>
        <w:t xml:space="preserve">; the myoepithelial cells showed positive expression of </w:t>
      </w:r>
      <w:r w:rsidR="00AE6946" w:rsidRPr="00AE6946">
        <w:rPr>
          <w:rFonts w:ascii="Book Antiqua" w:eastAsia="Book Antiqua" w:hAnsi="Book Antiqua" w:cs="Book Antiqua"/>
          <w:color w:val="000000"/>
        </w:rPr>
        <w:t>spinal muscular atrophy</w:t>
      </w:r>
      <w:r w:rsidRPr="00ED6B88">
        <w:rPr>
          <w:rFonts w:ascii="Book Antiqua" w:eastAsia="Book Antiqua" w:hAnsi="Book Antiqua" w:cs="Book Antiqua"/>
          <w:color w:val="000000"/>
        </w:rPr>
        <w:t xml:space="preserve">, calponin, and p63, and negative expression of p53 and </w:t>
      </w:r>
      <w:r w:rsidR="00AE6946" w:rsidRPr="00AE6946">
        <w:rPr>
          <w:rFonts w:ascii="Book Antiqua" w:eastAsia="Book Antiqua" w:hAnsi="Book Antiqua" w:cs="Book Antiqua"/>
          <w:color w:val="000000"/>
        </w:rPr>
        <w:t>carcinoembryonic antigen</w:t>
      </w:r>
      <w:r w:rsidRPr="00ED6B88">
        <w:rPr>
          <w:rFonts w:ascii="Book Antiqua" w:eastAsia="Book Antiqua" w:hAnsi="Book Antiqua" w:cs="Book Antiqua"/>
          <w:color w:val="000000"/>
        </w:rPr>
        <w:t>; the proliferation cell index (Ki-67) was approximately 5% (data not shown). The above findings led to a final diagnosis of SPA.</w:t>
      </w:r>
    </w:p>
    <w:bookmarkEnd w:id="52"/>
    <w:bookmarkEnd w:id="53"/>
    <w:p w14:paraId="1FC28FE8" w14:textId="77777777" w:rsidR="00A77B3E" w:rsidRPr="00ED6B88" w:rsidRDefault="00A77B3E" w:rsidP="00ED6B88">
      <w:pPr>
        <w:spacing w:line="360" w:lineRule="auto"/>
        <w:jc w:val="both"/>
        <w:rPr>
          <w:rFonts w:ascii="Book Antiqua" w:hAnsi="Book Antiqua"/>
        </w:rPr>
      </w:pPr>
    </w:p>
    <w:p w14:paraId="06177327"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aps/>
          <w:color w:val="000000"/>
          <w:u w:val="single"/>
        </w:rPr>
        <w:t>TREATMENT</w:t>
      </w:r>
    </w:p>
    <w:p w14:paraId="4CA957AA"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Both patients were clinically diagnosed with a benign submandibular gland tumor,</w:t>
      </w:r>
      <w:r w:rsidRPr="00ED6B88">
        <w:rPr>
          <w:rFonts w:ascii="Book Antiqua" w:eastAsia="Book Antiqua" w:hAnsi="Book Antiqua" w:cs="Book Antiqua"/>
          <w:b/>
          <w:bCs/>
          <w:color w:val="000000"/>
        </w:rPr>
        <w:t xml:space="preserve"> </w:t>
      </w:r>
      <w:r w:rsidRPr="00ED6B88">
        <w:rPr>
          <w:rFonts w:ascii="Book Antiqua" w:eastAsia="Book Antiqua" w:hAnsi="Book Antiqua" w:cs="Book Antiqua"/>
          <w:color w:val="000000"/>
        </w:rPr>
        <w:t>and the patients understood the situation and agreed to undergo a submandibular gland removal.</w:t>
      </w:r>
    </w:p>
    <w:p w14:paraId="1794ECF4" w14:textId="77777777" w:rsidR="00A77B3E" w:rsidRPr="00ED6B88" w:rsidRDefault="00A77B3E" w:rsidP="00ED6B88">
      <w:pPr>
        <w:spacing w:line="360" w:lineRule="auto"/>
        <w:jc w:val="both"/>
        <w:rPr>
          <w:rFonts w:ascii="Book Antiqua" w:hAnsi="Book Antiqua"/>
        </w:rPr>
      </w:pPr>
    </w:p>
    <w:p w14:paraId="4752F819"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aps/>
          <w:color w:val="000000"/>
          <w:u w:val="single"/>
        </w:rPr>
        <w:t>OUTCOME AND FOLLOW-UP</w:t>
      </w:r>
    </w:p>
    <w:p w14:paraId="5504BE68" w14:textId="744849BD" w:rsidR="00A77B3E" w:rsidRDefault="003140EF" w:rsidP="00ED6B88">
      <w:pPr>
        <w:spacing w:line="360" w:lineRule="auto"/>
        <w:jc w:val="both"/>
        <w:rPr>
          <w:rFonts w:ascii="Book Antiqua" w:eastAsia="Book Antiqua" w:hAnsi="Book Antiqua" w:cs="Book Antiqua"/>
          <w:color w:val="000000"/>
        </w:rPr>
      </w:pPr>
      <w:r w:rsidRPr="00ED6B88">
        <w:rPr>
          <w:rFonts w:ascii="Book Antiqua" w:eastAsia="Book Antiqua" w:hAnsi="Book Antiqua" w:cs="Book Antiqua"/>
          <w:b/>
          <w:bCs/>
          <w:color w:val="000000"/>
        </w:rPr>
        <w:t>C</w:t>
      </w:r>
      <w:r w:rsidR="00AE6946">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1</w:t>
      </w:r>
      <w:r w:rsidR="00AE6946">
        <w:rPr>
          <w:rFonts w:ascii="Book Antiqua" w:eastAsia="Book Antiqua" w:hAnsi="Book Antiqua" w:cs="Book Antiqua"/>
          <w:b/>
          <w:bCs/>
          <w:color w:val="000000"/>
        </w:rPr>
        <w:t>:</w:t>
      </w:r>
      <w:r w:rsidRPr="00ED6B88">
        <w:rPr>
          <w:rFonts w:ascii="Book Antiqua" w:eastAsia="Book Antiqua" w:hAnsi="Book Antiqua" w:cs="Book Antiqua"/>
          <w:color w:val="000000"/>
        </w:rPr>
        <w:t xml:space="preserve"> The patient has remained asymptomatic, without recurrence or distant metastasis </w:t>
      </w:r>
      <w:r w:rsidR="00B526D4">
        <w:rPr>
          <w:rFonts w:ascii="Book Antiqua" w:eastAsia="Book Antiqua" w:hAnsi="Book Antiqua" w:cs="Book Antiqua"/>
          <w:color w:val="000000"/>
        </w:rPr>
        <w:t>as of the 7</w:t>
      </w:r>
      <w:r w:rsidR="002115D4">
        <w:rPr>
          <w:rFonts w:ascii="Book Antiqua" w:eastAsia="Book Antiqua" w:hAnsi="Book Antiqua" w:cs="Book Antiqua"/>
          <w:color w:val="000000"/>
        </w:rPr>
        <w:t>-</w:t>
      </w:r>
      <w:r w:rsidR="00B526D4">
        <w:rPr>
          <w:rFonts w:ascii="Book Antiqua" w:eastAsia="Book Antiqua" w:hAnsi="Book Antiqua" w:cs="Book Antiqua"/>
          <w:color w:val="000000"/>
        </w:rPr>
        <w:t>mo</w:t>
      </w:r>
      <w:r w:rsidR="00B526D4" w:rsidRPr="00ED6B88">
        <w:rPr>
          <w:rFonts w:ascii="Book Antiqua" w:eastAsia="Book Antiqua" w:hAnsi="Book Antiqua" w:cs="Book Antiqua"/>
          <w:color w:val="000000"/>
        </w:rPr>
        <w:t xml:space="preserve"> </w:t>
      </w:r>
      <w:r w:rsidRPr="00ED6B88">
        <w:rPr>
          <w:rFonts w:ascii="Book Antiqua" w:eastAsia="Book Antiqua" w:hAnsi="Book Antiqua" w:cs="Book Antiqua"/>
          <w:color w:val="000000"/>
        </w:rPr>
        <w:t>follow-up.</w:t>
      </w:r>
    </w:p>
    <w:p w14:paraId="544F4D17" w14:textId="77777777" w:rsidR="00AE6946" w:rsidRPr="00ED6B88" w:rsidRDefault="00AE6946" w:rsidP="00ED6B88">
      <w:pPr>
        <w:spacing w:line="360" w:lineRule="auto"/>
        <w:jc w:val="both"/>
        <w:rPr>
          <w:rFonts w:ascii="Book Antiqua" w:hAnsi="Book Antiqua"/>
        </w:rPr>
      </w:pPr>
    </w:p>
    <w:p w14:paraId="32098821" w14:textId="3E0B7F22"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C</w:t>
      </w:r>
      <w:r w:rsidR="00AE6946">
        <w:rPr>
          <w:rFonts w:ascii="Book Antiqua" w:eastAsia="Book Antiqua" w:hAnsi="Book Antiqua" w:cs="Book Antiqua"/>
          <w:b/>
          <w:bCs/>
          <w:color w:val="000000"/>
        </w:rPr>
        <w:t>ase</w:t>
      </w:r>
      <w:r w:rsidRPr="00ED6B88">
        <w:rPr>
          <w:rFonts w:ascii="Book Antiqua" w:eastAsia="Book Antiqua" w:hAnsi="Book Antiqua" w:cs="Book Antiqua"/>
          <w:b/>
          <w:bCs/>
          <w:color w:val="000000"/>
        </w:rPr>
        <w:t xml:space="preserve"> 2</w:t>
      </w:r>
      <w:r w:rsidR="00AE6946">
        <w:rPr>
          <w:rFonts w:ascii="Book Antiqua" w:eastAsia="Book Antiqua" w:hAnsi="Book Antiqua" w:cs="Book Antiqua"/>
          <w:b/>
          <w:bCs/>
          <w:color w:val="000000"/>
        </w:rPr>
        <w:t>:</w:t>
      </w:r>
      <w:r w:rsidRPr="00ED6B88">
        <w:rPr>
          <w:rFonts w:ascii="Book Antiqua" w:eastAsia="Book Antiqua" w:hAnsi="Book Antiqua" w:cs="Book Antiqua"/>
          <w:b/>
          <w:bCs/>
          <w:color w:val="000000"/>
        </w:rPr>
        <w:t xml:space="preserve"> </w:t>
      </w:r>
      <w:r w:rsidRPr="00ED6B88">
        <w:rPr>
          <w:rFonts w:ascii="Book Antiqua" w:eastAsia="Book Antiqua" w:hAnsi="Book Antiqua" w:cs="Book Antiqua"/>
          <w:color w:val="000000"/>
        </w:rPr>
        <w:t xml:space="preserve">The patient has remained asymptomatic, without recurrence or distant metastasis </w:t>
      </w:r>
      <w:r w:rsidR="00B526D4">
        <w:rPr>
          <w:rFonts w:ascii="Book Antiqua" w:eastAsia="Book Antiqua" w:hAnsi="Book Antiqua" w:cs="Book Antiqua"/>
          <w:color w:val="000000"/>
        </w:rPr>
        <w:t>as of the</w:t>
      </w:r>
      <w:r w:rsidRPr="00ED6B88">
        <w:rPr>
          <w:rFonts w:ascii="Book Antiqua" w:eastAsia="Book Antiqua" w:hAnsi="Book Antiqua" w:cs="Book Antiqua"/>
          <w:color w:val="000000"/>
        </w:rPr>
        <w:t xml:space="preserve"> </w:t>
      </w:r>
      <w:r w:rsidR="00B526D4">
        <w:rPr>
          <w:rFonts w:ascii="Book Antiqua" w:eastAsia="Book Antiqua" w:hAnsi="Book Antiqua" w:cs="Book Antiqua"/>
          <w:color w:val="000000"/>
        </w:rPr>
        <w:t>5</w:t>
      </w:r>
      <w:r w:rsidRPr="00ED6B88">
        <w:rPr>
          <w:rFonts w:ascii="Book Antiqua" w:eastAsia="Book Antiqua" w:hAnsi="Book Antiqua" w:cs="Book Antiqua"/>
          <w:color w:val="000000"/>
        </w:rPr>
        <w:t>-year follow-up.</w:t>
      </w:r>
    </w:p>
    <w:p w14:paraId="32B8267E" w14:textId="77777777" w:rsidR="00A77B3E" w:rsidRPr="00ED6B88" w:rsidRDefault="00A77B3E" w:rsidP="00ED6B88">
      <w:pPr>
        <w:spacing w:line="360" w:lineRule="auto"/>
        <w:jc w:val="both"/>
        <w:rPr>
          <w:rFonts w:ascii="Book Antiqua" w:hAnsi="Book Antiqua"/>
        </w:rPr>
      </w:pPr>
    </w:p>
    <w:p w14:paraId="5DA974B5"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aps/>
          <w:color w:val="000000"/>
          <w:u w:val="single"/>
        </w:rPr>
        <w:t>DISCUSSION</w:t>
      </w:r>
    </w:p>
    <w:p w14:paraId="48EF21CA" w14:textId="2F292B46" w:rsidR="00A77B3E" w:rsidRPr="00ED6B88" w:rsidRDefault="003140EF" w:rsidP="00ED6B88">
      <w:pPr>
        <w:spacing w:line="360" w:lineRule="auto"/>
        <w:jc w:val="both"/>
        <w:rPr>
          <w:rFonts w:ascii="Book Antiqua" w:hAnsi="Book Antiqua"/>
        </w:rPr>
      </w:pPr>
      <w:bookmarkStart w:id="54" w:name="OLE_LINK106"/>
      <w:bookmarkStart w:id="55" w:name="OLE_LINK107"/>
      <w:r w:rsidRPr="00ED6B88">
        <w:rPr>
          <w:rFonts w:ascii="Book Antiqua" w:eastAsia="Book Antiqua" w:hAnsi="Book Antiqua" w:cs="Book Antiqua"/>
          <w:color w:val="000000"/>
        </w:rPr>
        <w:t>SPA is a rare benign salivary gland disorder first described in 1996</w:t>
      </w:r>
      <w:r w:rsidRPr="00ED6B88">
        <w:rPr>
          <w:rFonts w:ascii="Book Antiqua" w:eastAsia="Book Antiqua" w:hAnsi="Book Antiqua" w:cs="Book Antiqua"/>
          <w:color w:val="000000"/>
          <w:vertAlign w:val="superscript"/>
        </w:rPr>
        <w:t>[1]</w:t>
      </w:r>
      <w:r w:rsidRPr="00ED6B88">
        <w:rPr>
          <w:rFonts w:ascii="Book Antiqua" w:eastAsia="Book Antiqua" w:hAnsi="Book Antiqua" w:cs="Book Antiqua"/>
          <w:color w:val="000000"/>
        </w:rPr>
        <w:t>. It has been reported in a wide age range of patients from 7 to 84 years, with a slight female predilection. The mean age of presentation is in the 4th decade, with a female-to-male ratio of 1.5</w:t>
      </w:r>
      <w:r w:rsidR="00AE6946">
        <w:rPr>
          <w:rFonts w:ascii="Book Antiqua" w:eastAsia="Book Antiqua" w:hAnsi="Book Antiqua" w:cs="Book Antiqua"/>
          <w:color w:val="000000"/>
        </w:rPr>
        <w:t>-</w:t>
      </w:r>
      <w:r w:rsidRPr="00ED6B88">
        <w:rPr>
          <w:rFonts w:ascii="Book Antiqua" w:eastAsia="Book Antiqua" w:hAnsi="Book Antiqua" w:cs="Book Antiqua"/>
          <w:color w:val="000000"/>
        </w:rPr>
        <w:t>2:1</w:t>
      </w:r>
      <w:r w:rsidRPr="00ED6B88">
        <w:rPr>
          <w:rFonts w:ascii="Book Antiqua" w:eastAsia="Book Antiqua" w:hAnsi="Book Antiqua" w:cs="Book Antiqua"/>
          <w:color w:val="000000"/>
          <w:vertAlign w:val="superscript"/>
        </w:rPr>
        <w:t>[2,3]</w:t>
      </w:r>
      <w:r w:rsidRPr="00ED6B88">
        <w:rPr>
          <w:rFonts w:ascii="Book Antiqua" w:eastAsia="Book Antiqua" w:hAnsi="Book Antiqua" w:cs="Book Antiqua"/>
          <w:color w:val="000000"/>
        </w:rPr>
        <w:t>.</w:t>
      </w:r>
      <w:r w:rsidR="00AE6946">
        <w:rPr>
          <w:rFonts w:ascii="Book Antiqua" w:eastAsia="Book Antiqua" w:hAnsi="Book Antiqua" w:cs="Book Antiqua"/>
          <w:color w:val="000000"/>
        </w:rPr>
        <w:t xml:space="preserve"> </w:t>
      </w:r>
      <w:r w:rsidRPr="00ED6B88">
        <w:rPr>
          <w:rFonts w:ascii="Book Antiqua" w:eastAsia="Book Antiqua" w:hAnsi="Book Antiqua" w:cs="Book Antiqua"/>
          <w:color w:val="000000"/>
        </w:rPr>
        <w:t xml:space="preserve">To date, approximately 76 cases of SPA of salivary glands have been reported in the English literature, with 55 (72.4%), 5 (6.6%), and 16 (21%) involving the parotid gland, submandibular gland, and minor salivary glands of various sites in the oral cavity, respectively. Among the minor salivary glands, cases of SPA </w:t>
      </w:r>
      <w:r w:rsidR="00B526D4">
        <w:rPr>
          <w:rFonts w:ascii="Book Antiqua" w:eastAsia="Book Antiqua" w:hAnsi="Book Antiqua" w:cs="Book Antiqua"/>
          <w:color w:val="000000"/>
        </w:rPr>
        <w:t>have been</w:t>
      </w:r>
      <w:r w:rsidR="00B526D4" w:rsidRPr="00ED6B88">
        <w:rPr>
          <w:rFonts w:ascii="Book Antiqua" w:eastAsia="Book Antiqua" w:hAnsi="Book Antiqua" w:cs="Book Antiqua"/>
          <w:color w:val="000000"/>
        </w:rPr>
        <w:t xml:space="preserve"> </w:t>
      </w:r>
      <w:r w:rsidRPr="00ED6B88">
        <w:rPr>
          <w:rFonts w:ascii="Book Antiqua" w:eastAsia="Book Antiqua" w:hAnsi="Book Antiqua" w:cs="Book Antiqua"/>
          <w:color w:val="000000"/>
        </w:rPr>
        <w:t>reported in the buccal mucosa, floor of the mouth, hard palate, retromolar area, tongue and lower lip</w:t>
      </w:r>
      <w:r w:rsidRPr="00ED6B88">
        <w:rPr>
          <w:rFonts w:ascii="Book Antiqua" w:eastAsia="Book Antiqua" w:hAnsi="Book Antiqua" w:cs="Book Antiqua"/>
          <w:color w:val="000000"/>
          <w:vertAlign w:val="superscript"/>
        </w:rPr>
        <w:t>[4-6]</w:t>
      </w:r>
      <w:r w:rsidRPr="00ED6B88">
        <w:rPr>
          <w:rFonts w:ascii="Book Antiqua" w:eastAsia="Book Antiqua" w:hAnsi="Book Antiqua" w:cs="Book Antiqua"/>
          <w:color w:val="000000"/>
        </w:rPr>
        <w:t>.</w:t>
      </w:r>
      <w:r w:rsidR="00816294">
        <w:rPr>
          <w:rFonts w:ascii="Book Antiqua" w:eastAsia="Book Antiqua" w:hAnsi="Book Antiqua" w:cs="Book Antiqua"/>
          <w:color w:val="000000"/>
        </w:rPr>
        <w:t xml:space="preserve"> </w:t>
      </w:r>
      <w:r w:rsidRPr="00ED6B88">
        <w:rPr>
          <w:rFonts w:ascii="Book Antiqua" w:eastAsia="Book Antiqua" w:hAnsi="Book Antiqua" w:cs="Book Antiqua"/>
          <w:color w:val="000000"/>
        </w:rPr>
        <w:t>Typically, SPA of the major salivary glands are slow-growing, deep-seated, round, palpable masses, occasionally with pain or a tingling sensation while SPA of the minor salivary glands is seen as asymptomatic, firm, smooth, freely movable submucosal nodules</w:t>
      </w:r>
      <w:r w:rsidR="00AE6946" w:rsidRPr="00AE6946">
        <w:rPr>
          <w:rFonts w:ascii="Book Antiqua" w:eastAsia="Book Antiqua" w:hAnsi="Book Antiqua" w:cs="Book Antiqua"/>
          <w:color w:val="000000"/>
          <w:vertAlign w:val="superscript"/>
        </w:rPr>
        <w:t>[5]</w:t>
      </w:r>
      <w:r w:rsidRPr="00ED6B88">
        <w:rPr>
          <w:rFonts w:ascii="Book Antiqua" w:eastAsia="Book Antiqua" w:hAnsi="Book Antiqua" w:cs="Book Antiqua"/>
          <w:color w:val="000000"/>
        </w:rPr>
        <w:t xml:space="preserve">. In our cases, both patients were female, </w:t>
      </w:r>
      <w:r w:rsidR="00B526D4">
        <w:rPr>
          <w:rFonts w:ascii="Book Antiqua" w:eastAsia="Book Antiqua" w:hAnsi="Book Antiqua" w:cs="Book Antiqua"/>
          <w:color w:val="000000"/>
        </w:rPr>
        <w:t>about</w:t>
      </w:r>
      <w:r w:rsidR="00B526D4" w:rsidRPr="00ED6B88">
        <w:rPr>
          <w:rFonts w:ascii="Book Antiqua" w:eastAsia="Book Antiqua" w:hAnsi="Book Antiqua" w:cs="Book Antiqua"/>
          <w:color w:val="000000"/>
        </w:rPr>
        <w:t xml:space="preserve"> </w:t>
      </w:r>
      <w:r w:rsidRPr="00ED6B88">
        <w:rPr>
          <w:rFonts w:ascii="Book Antiqua" w:eastAsia="Book Antiqua" w:hAnsi="Book Antiqua" w:cs="Book Antiqua"/>
          <w:color w:val="000000"/>
        </w:rPr>
        <w:t>50 years of age, and presented because of a mass in the submandibular area with associated pain. There have been seven SPA cases involving the parotid gland, and one case has been reported in the minor salivary gland in China. No case of SPA has been reported in the submandibular gland in China. To the best of our knowledge, it seems to be the first time that a Chinese SPA case arising from the submandibular gland is being reported. Seven cases occurring in the submandibular gland are summarized in Table 1</w:t>
      </w:r>
      <w:r w:rsidR="00AE6946" w:rsidRPr="00ED6B88">
        <w:rPr>
          <w:rFonts w:ascii="Book Antiqua" w:eastAsia="Book Antiqua" w:hAnsi="Book Antiqua" w:cs="Book Antiqua"/>
          <w:color w:val="000000"/>
          <w:vertAlign w:val="superscript"/>
        </w:rPr>
        <w:t>[1,2,7,8]</w:t>
      </w:r>
      <w:r w:rsidRPr="00ED6B88">
        <w:rPr>
          <w:rFonts w:ascii="Book Antiqua" w:eastAsia="Book Antiqua" w:hAnsi="Book Antiqua" w:cs="Book Antiqua"/>
          <w:color w:val="000000"/>
        </w:rPr>
        <w:t>. The patients’ age range was from 28 to 69 without apparent differences in gender. Six of the seven patients presented with a mass, and the lesion’s size ranged from 1.2 to 2.4 cm in the greatest diameter.</w:t>
      </w:r>
    </w:p>
    <w:p w14:paraId="18F01AA7" w14:textId="5B6F05D7" w:rsidR="00A77B3E" w:rsidRPr="00ED6B88" w:rsidRDefault="003140EF" w:rsidP="00ED6B88">
      <w:pPr>
        <w:spacing w:line="360" w:lineRule="auto"/>
        <w:ind w:firstLine="420"/>
        <w:jc w:val="both"/>
        <w:rPr>
          <w:rFonts w:ascii="Book Antiqua" w:hAnsi="Book Antiqua"/>
        </w:rPr>
      </w:pPr>
      <w:r w:rsidRPr="00ED6B88">
        <w:rPr>
          <w:rFonts w:ascii="Book Antiqua" w:eastAsia="Book Antiqua" w:hAnsi="Book Antiqua" w:cs="Book Antiqua"/>
          <w:color w:val="000000"/>
        </w:rPr>
        <w:t>Few studies have provided the imaging information of SPA, which is not sufficient for diagnosing SPA and can only be used as a reference for diagnosis</w:t>
      </w:r>
      <w:r w:rsidRPr="00ED6B88">
        <w:rPr>
          <w:rFonts w:ascii="Book Antiqua" w:eastAsia="Book Antiqua" w:hAnsi="Book Antiqua" w:cs="Book Antiqua"/>
          <w:color w:val="000000"/>
          <w:vertAlign w:val="superscript"/>
        </w:rPr>
        <w:t>[9]</w:t>
      </w:r>
      <w:r w:rsidRPr="00ED6B88">
        <w:rPr>
          <w:rFonts w:ascii="Book Antiqua" w:eastAsia="Book Antiqua" w:hAnsi="Book Antiqua" w:cs="Book Antiqua"/>
          <w:color w:val="000000"/>
        </w:rPr>
        <w:t>. On ultrasound, hypoechogenic microcystic areas can be found in the lesion</w:t>
      </w:r>
      <w:r w:rsidRPr="00ED6B88">
        <w:rPr>
          <w:rFonts w:ascii="Book Antiqua" w:eastAsia="Book Antiqua" w:hAnsi="Book Antiqua" w:cs="Book Antiqua"/>
          <w:color w:val="000000"/>
          <w:vertAlign w:val="superscript"/>
        </w:rPr>
        <w:t>[9]</w:t>
      </w:r>
      <w:r w:rsidRPr="00ED6B88">
        <w:rPr>
          <w:rFonts w:ascii="Book Antiqua" w:eastAsia="Book Antiqua" w:hAnsi="Book Antiqua" w:cs="Book Antiqua"/>
          <w:color w:val="000000"/>
        </w:rPr>
        <w:t>; on MRI, it has been described as a mass with small cystic areas of the relatively high intensity on T2-weighted images. Besides, fine needle aspiration biopsy (FNAB) was performed for the initial diagnosis in some cases. However, according to a recent review, FNAB could not diagnose SPA in most cases (30 of 31)</w:t>
      </w:r>
      <w:r w:rsidRPr="00ED6B88">
        <w:rPr>
          <w:rFonts w:ascii="Book Antiqua" w:eastAsia="Book Antiqua" w:hAnsi="Book Antiqua" w:cs="Book Antiqua"/>
          <w:color w:val="000000"/>
          <w:vertAlign w:val="superscript"/>
        </w:rPr>
        <w:t>[10]</w:t>
      </w:r>
      <w:r w:rsidRPr="00ED6B88">
        <w:rPr>
          <w:rFonts w:ascii="Book Antiqua" w:eastAsia="Book Antiqua" w:hAnsi="Book Antiqua" w:cs="Book Antiqua"/>
          <w:color w:val="000000"/>
        </w:rPr>
        <w:t>. In order to avoid misdiagnosis, it was recommended that aspiration should be repeated from multiple sites to obtain various cytological components of the lesion</w:t>
      </w:r>
      <w:r w:rsidRPr="00ED6B88">
        <w:rPr>
          <w:rFonts w:ascii="Book Antiqua" w:eastAsia="Book Antiqua" w:hAnsi="Book Antiqua" w:cs="Book Antiqua"/>
          <w:color w:val="000000"/>
          <w:vertAlign w:val="superscript"/>
        </w:rPr>
        <w:t>[10]</w:t>
      </w:r>
      <w:r w:rsidRPr="00ED6B88">
        <w:rPr>
          <w:rFonts w:ascii="Book Antiqua" w:eastAsia="Book Antiqua" w:hAnsi="Book Antiqua" w:cs="Book Antiqua"/>
          <w:color w:val="000000"/>
        </w:rPr>
        <w:t>. Histopathological examination is necessary to confirm the SPA diagnosis.</w:t>
      </w:r>
    </w:p>
    <w:p w14:paraId="4E3B2B18" w14:textId="60A32584" w:rsidR="00A77B3E" w:rsidRPr="00ED6B88" w:rsidRDefault="003140EF" w:rsidP="00ED6B88">
      <w:pPr>
        <w:spacing w:line="360" w:lineRule="auto"/>
        <w:ind w:firstLine="420"/>
        <w:jc w:val="both"/>
        <w:rPr>
          <w:rFonts w:ascii="Book Antiqua" w:hAnsi="Book Antiqua"/>
        </w:rPr>
      </w:pPr>
      <w:r w:rsidRPr="00ED6B88">
        <w:rPr>
          <w:rFonts w:ascii="Book Antiqua" w:eastAsia="Book Antiqua" w:hAnsi="Book Antiqua" w:cs="Book Antiqua"/>
          <w:color w:val="000000"/>
        </w:rPr>
        <w:t>Histologically, SPA is typically well-circumscribed and characterized by the proliferation of microcysts, ducts, and acinar structures in a dense sclerotic stroma. The ductal cells display vacuolated, foamy, apocrine, and mucous appearances, and focal squamous metaplasia is also present</w:t>
      </w:r>
      <w:r w:rsidRPr="00ED6B88">
        <w:rPr>
          <w:rFonts w:ascii="Book Antiqua" w:eastAsia="Book Antiqua" w:hAnsi="Book Antiqua" w:cs="Book Antiqua"/>
          <w:color w:val="000000"/>
          <w:vertAlign w:val="superscript"/>
        </w:rPr>
        <w:t>[3]</w:t>
      </w:r>
      <w:r w:rsidRPr="00ED6B88">
        <w:rPr>
          <w:rFonts w:ascii="Book Antiqua" w:eastAsia="Book Antiqua" w:hAnsi="Book Antiqua" w:cs="Book Antiqua"/>
          <w:color w:val="000000"/>
        </w:rPr>
        <w:t>. The presence of acini filled with aberrant coarse red zymogen granules is also an essential characteristic of this condition</w:t>
      </w:r>
      <w:r w:rsidRPr="00ED6B88">
        <w:rPr>
          <w:rFonts w:ascii="Book Antiqua" w:eastAsia="Book Antiqua" w:hAnsi="Book Antiqua" w:cs="Book Antiqua"/>
          <w:color w:val="000000"/>
          <w:vertAlign w:val="superscript"/>
        </w:rPr>
        <w:t>[3]</w:t>
      </w:r>
      <w:r w:rsidRPr="00ED6B88">
        <w:rPr>
          <w:rFonts w:ascii="Book Antiqua" w:eastAsia="Book Antiqua" w:hAnsi="Book Antiqua" w:cs="Book Antiqua"/>
          <w:color w:val="000000"/>
        </w:rPr>
        <w:t>. Ductal epithelial dysplasia ranges from mild to severe dysplasia/carcinoma in situ, also presented in a few cases</w:t>
      </w:r>
      <w:r w:rsidRPr="00ED6B88">
        <w:rPr>
          <w:rFonts w:ascii="Book Antiqua" w:eastAsia="Book Antiqua" w:hAnsi="Book Antiqua" w:cs="Book Antiqua"/>
          <w:color w:val="000000"/>
          <w:vertAlign w:val="superscript"/>
        </w:rPr>
        <w:t>[11,12]</w:t>
      </w:r>
      <w:r w:rsidRPr="00ED6B88">
        <w:rPr>
          <w:rFonts w:ascii="Book Antiqua" w:eastAsia="Book Antiqua" w:hAnsi="Book Antiqua" w:cs="Book Antiqua"/>
          <w:color w:val="000000"/>
        </w:rPr>
        <w:t>. In our two cases, both lesions were well-circumscribed. In the first case, the acinar and ductal components were embedded in a dense sclerotic stroma (Fig</w:t>
      </w:r>
      <w:r w:rsidR="0070647A">
        <w:rPr>
          <w:rFonts w:ascii="Book Antiqua" w:eastAsia="Book Antiqua" w:hAnsi="Book Antiqua" w:cs="Book Antiqua"/>
          <w:color w:val="000000"/>
        </w:rPr>
        <w:t>ure</w:t>
      </w:r>
      <w:r w:rsidRPr="00ED6B88">
        <w:rPr>
          <w:rFonts w:ascii="Book Antiqua" w:eastAsia="Book Antiqua" w:hAnsi="Book Antiqua" w:cs="Book Antiqua"/>
          <w:color w:val="000000"/>
        </w:rPr>
        <w:t xml:space="preserve"> 2</w:t>
      </w:r>
      <w:r w:rsidR="0070647A">
        <w:rPr>
          <w:rFonts w:ascii="Book Antiqua" w:eastAsia="Book Antiqua" w:hAnsi="Book Antiqua" w:cs="Book Antiqua"/>
          <w:color w:val="000000"/>
        </w:rPr>
        <w:t xml:space="preserve">A and </w:t>
      </w:r>
      <w:r w:rsidRPr="00ED6B88">
        <w:rPr>
          <w:rFonts w:ascii="Book Antiqua" w:eastAsia="Book Antiqua" w:hAnsi="Book Antiqua" w:cs="Book Antiqua"/>
          <w:color w:val="000000"/>
        </w:rPr>
        <w:t>B), and a spectrum of flattened, cubic, apocrine cells or eosinophils were seen in the ductal epithelium, with no dysplasia (Figure 2C). In the second case, the nodule predominantly composed of numerous sclerotic, hypocellular, hyalinized collagen-containing ductal structures (Figure 2E), and typical apocrine and secretory areas with histiocytes are also seen (Figure 2F).</w:t>
      </w:r>
    </w:p>
    <w:p w14:paraId="4EF11AEC" w14:textId="65FAF3A1" w:rsidR="00A77B3E" w:rsidRPr="00ED6B88" w:rsidRDefault="003140EF" w:rsidP="00ED6B88">
      <w:pPr>
        <w:spacing w:line="360" w:lineRule="auto"/>
        <w:ind w:firstLine="420"/>
        <w:jc w:val="both"/>
        <w:rPr>
          <w:rFonts w:ascii="Book Antiqua" w:hAnsi="Book Antiqua"/>
        </w:rPr>
      </w:pPr>
      <w:r w:rsidRPr="00ED6B88">
        <w:rPr>
          <w:rFonts w:ascii="Book Antiqua" w:eastAsia="Book Antiqua" w:hAnsi="Book Antiqua" w:cs="Book Antiqua"/>
          <w:color w:val="000000"/>
        </w:rPr>
        <w:t>The etiology and pathogenesis of SPA remain unclear. SPA was initially believed to be a reactive, non-neoplastic process similar to fibrocystic changes of the breast, and has still been categorized as a non-neoplastic epithelial lesion in the Fourth Edition of the World Health Organization Classification of Head and Neck Tumor published recently</w:t>
      </w:r>
      <w:r w:rsidRPr="00ED6B88">
        <w:rPr>
          <w:rFonts w:ascii="Book Antiqua" w:eastAsia="Book Antiqua" w:hAnsi="Book Antiqua" w:cs="Book Antiqua"/>
          <w:color w:val="000000"/>
          <w:vertAlign w:val="superscript"/>
        </w:rPr>
        <w:t>[3]</w:t>
      </w:r>
      <w:r w:rsidRPr="00ED6B88">
        <w:rPr>
          <w:rFonts w:ascii="Book Antiqua" w:eastAsia="Book Antiqua" w:hAnsi="Book Antiqua" w:cs="Book Antiqua"/>
          <w:color w:val="000000"/>
        </w:rPr>
        <w:t xml:space="preserve">. </w:t>
      </w:r>
      <w:r w:rsidR="0070647A" w:rsidRPr="0070647A">
        <w:rPr>
          <w:rFonts w:ascii="Book Antiqua" w:eastAsia="Book Antiqua" w:hAnsi="Book Antiqua" w:cs="Book Antiqua"/>
          <w:color w:val="000000"/>
        </w:rPr>
        <w:t>Manojlović</w:t>
      </w:r>
      <w:r w:rsidRPr="00ED6B88">
        <w:rPr>
          <w:rFonts w:ascii="Book Antiqua" w:eastAsia="Book Antiqua" w:hAnsi="Book Antiqua" w:cs="Book Antiqua"/>
          <w:color w:val="000000"/>
        </w:rPr>
        <w:t xml:space="preserve"> </w:t>
      </w:r>
      <w:r w:rsidRPr="00ED6B88">
        <w:rPr>
          <w:rFonts w:ascii="Book Antiqua" w:eastAsia="Book Antiqua" w:hAnsi="Book Antiqua" w:cs="Book Antiqua"/>
          <w:i/>
          <w:iCs/>
          <w:color w:val="000000"/>
        </w:rPr>
        <w:t>et al</w:t>
      </w:r>
      <w:r w:rsidR="0070647A" w:rsidRPr="0070647A">
        <w:rPr>
          <w:rFonts w:ascii="Book Antiqua" w:eastAsia="Book Antiqua" w:hAnsi="Book Antiqua" w:cs="Book Antiqua"/>
          <w:color w:val="000000"/>
          <w:vertAlign w:val="superscript"/>
        </w:rPr>
        <w:t>[13]</w:t>
      </w:r>
      <w:r w:rsidRPr="00ED6B88">
        <w:rPr>
          <w:rFonts w:ascii="Book Antiqua" w:eastAsia="Book Antiqua" w:hAnsi="Book Antiqua" w:cs="Book Antiqua"/>
          <w:color w:val="000000"/>
        </w:rPr>
        <w:t xml:space="preserve"> reported two SPA cases in two sisters in a family; therefore, they suggested a familial and possibly a genetic predisposition for this condition</w:t>
      </w:r>
      <w:r w:rsidR="0070647A" w:rsidRPr="0070647A">
        <w:rPr>
          <w:rFonts w:ascii="Book Antiqua" w:eastAsia="Book Antiqua" w:hAnsi="Book Antiqua" w:cs="Book Antiqua"/>
          <w:color w:val="000000"/>
          <w:vertAlign w:val="superscript"/>
        </w:rPr>
        <w:t>[13]</w:t>
      </w:r>
      <w:r w:rsidRPr="00ED6B88">
        <w:rPr>
          <w:rFonts w:ascii="Book Antiqua" w:eastAsia="Book Antiqua" w:hAnsi="Book Antiqua" w:cs="Book Antiqua"/>
          <w:color w:val="000000"/>
        </w:rPr>
        <w:t xml:space="preserve">. Swelam found co-localization of </w:t>
      </w:r>
      <w:r w:rsidR="0070647A" w:rsidRPr="00ED6B88">
        <w:rPr>
          <w:rFonts w:ascii="Book Antiqua" w:eastAsia="Book Antiqua" w:hAnsi="Book Antiqua" w:cs="Book Antiqua"/>
          <w:color w:val="000000"/>
        </w:rPr>
        <w:t xml:space="preserve">Epstein-Barr virus </w:t>
      </w:r>
      <w:r w:rsidR="0070647A">
        <w:rPr>
          <w:rFonts w:ascii="Book Antiqua" w:eastAsia="Book Antiqua" w:hAnsi="Book Antiqua" w:cs="Book Antiqua"/>
          <w:color w:val="000000"/>
        </w:rPr>
        <w:t>(</w:t>
      </w:r>
      <w:r w:rsidRPr="00ED6B88">
        <w:rPr>
          <w:rFonts w:ascii="Book Antiqua" w:eastAsia="Book Antiqua" w:hAnsi="Book Antiqua" w:cs="Book Antiqua"/>
          <w:color w:val="000000"/>
        </w:rPr>
        <w:t>EBV</w:t>
      </w:r>
      <w:r w:rsidR="0070647A">
        <w:rPr>
          <w:rFonts w:ascii="Book Antiqua" w:eastAsia="Book Antiqua" w:hAnsi="Book Antiqua" w:cs="Book Antiqua"/>
          <w:color w:val="000000"/>
        </w:rPr>
        <w:t>)</w:t>
      </w:r>
      <w:r w:rsidRPr="00ED6B88">
        <w:rPr>
          <w:rFonts w:ascii="Book Antiqua" w:eastAsia="Book Antiqua" w:hAnsi="Book Antiqua" w:cs="Book Antiqua"/>
          <w:color w:val="000000"/>
        </w:rPr>
        <w:t xml:space="preserve"> and Bcl-2 in lesional cells of SPA in minor salivary glands and assumed that the viral oncogenic promotion of EBV in SPA pathogenesis occurs through increasing tumor cell survival and inhibiting apoptosis</w:t>
      </w:r>
      <w:r w:rsidRPr="00ED6B88">
        <w:rPr>
          <w:rFonts w:ascii="Book Antiqua" w:eastAsia="Book Antiqua" w:hAnsi="Book Antiqua" w:cs="Book Antiqua"/>
          <w:color w:val="000000"/>
          <w:vertAlign w:val="superscript"/>
        </w:rPr>
        <w:t>[14]</w:t>
      </w:r>
      <w:r w:rsidRPr="00ED6B88">
        <w:rPr>
          <w:rFonts w:ascii="Book Antiqua" w:eastAsia="Book Antiqua" w:hAnsi="Book Antiqua" w:cs="Book Antiqua"/>
          <w:color w:val="000000"/>
        </w:rPr>
        <w:t xml:space="preserve">, while other studies have not reported the same. Moreover, a study of the X-chromosome inactivation pattern by </w:t>
      </w:r>
      <w:r w:rsidR="0070647A" w:rsidRPr="0070647A">
        <w:rPr>
          <w:rFonts w:ascii="Book Antiqua" w:eastAsia="Book Antiqua" w:hAnsi="Book Antiqua" w:cs="Book Antiqua"/>
          <w:color w:val="000000"/>
        </w:rPr>
        <w:t>Skálová</w:t>
      </w:r>
      <w:r w:rsidRPr="00ED6B88">
        <w:rPr>
          <w:rFonts w:ascii="Book Antiqua" w:eastAsia="Book Antiqua" w:hAnsi="Book Antiqua" w:cs="Book Antiqua"/>
          <w:color w:val="000000"/>
        </w:rPr>
        <w:t xml:space="preserve"> </w:t>
      </w:r>
      <w:r w:rsidRPr="00ED6B88">
        <w:rPr>
          <w:rFonts w:ascii="Book Antiqua" w:eastAsia="Book Antiqua" w:hAnsi="Book Antiqua" w:cs="Book Antiqua"/>
          <w:i/>
          <w:iCs/>
          <w:color w:val="000000"/>
        </w:rPr>
        <w:t>et al</w:t>
      </w:r>
      <w:r w:rsidR="0070647A" w:rsidRPr="0070647A">
        <w:rPr>
          <w:rFonts w:ascii="Book Antiqua" w:eastAsia="Book Antiqua" w:hAnsi="Book Antiqua" w:cs="Book Antiqua"/>
          <w:color w:val="000000"/>
          <w:vertAlign w:val="superscript"/>
        </w:rPr>
        <w:t>[15]</w:t>
      </w:r>
      <w:r w:rsidRPr="00ED6B88">
        <w:rPr>
          <w:rFonts w:ascii="Book Antiqua" w:eastAsia="Book Antiqua" w:hAnsi="Book Antiqua" w:cs="Book Antiqua"/>
          <w:color w:val="000000"/>
        </w:rPr>
        <w:t xml:space="preserve"> demonstrated the clonality in six SPA cases, suggesting that SPA cells are clonal</w:t>
      </w:r>
      <w:r w:rsidR="0070647A" w:rsidRPr="0070647A">
        <w:rPr>
          <w:rFonts w:ascii="Book Antiqua" w:eastAsia="Book Antiqua" w:hAnsi="Book Antiqua" w:cs="Book Antiqua"/>
          <w:color w:val="000000"/>
          <w:vertAlign w:val="superscript"/>
        </w:rPr>
        <w:t>[15]</w:t>
      </w:r>
      <w:r w:rsidRPr="00ED6B88">
        <w:rPr>
          <w:rFonts w:ascii="Book Antiqua" w:eastAsia="Book Antiqua" w:hAnsi="Book Antiqua" w:cs="Book Antiqua"/>
          <w:color w:val="000000"/>
        </w:rPr>
        <w:t xml:space="preserve">. In addition, Bishop </w:t>
      </w:r>
      <w:r w:rsidRPr="00ED6B88">
        <w:rPr>
          <w:rFonts w:ascii="Book Antiqua" w:eastAsia="Book Antiqua" w:hAnsi="Book Antiqua" w:cs="Book Antiqua"/>
          <w:i/>
          <w:iCs/>
          <w:color w:val="000000"/>
        </w:rPr>
        <w:t>et al</w:t>
      </w:r>
      <w:r w:rsidR="0070647A" w:rsidRPr="00ED6B88">
        <w:rPr>
          <w:rFonts w:ascii="Book Antiqua" w:eastAsia="Book Antiqua" w:hAnsi="Book Antiqua" w:cs="Book Antiqua"/>
          <w:color w:val="000000"/>
          <w:vertAlign w:val="superscript"/>
        </w:rPr>
        <w:t>[8]</w:t>
      </w:r>
      <w:r w:rsidRPr="00ED6B88">
        <w:rPr>
          <w:rFonts w:ascii="Book Antiqua" w:eastAsia="Book Antiqua" w:hAnsi="Book Antiqua" w:cs="Book Antiqua"/>
          <w:color w:val="000000"/>
        </w:rPr>
        <w:t xml:space="preserve"> investigated the genetic characteristics of four SPA cases through targeted next-generation sequencing. Genetic alterations in the </w:t>
      </w:r>
      <w:r w:rsidR="000E7A67" w:rsidRPr="000E7A67">
        <w:rPr>
          <w:rFonts w:ascii="Book Antiqua" w:eastAsia="Book Antiqua" w:hAnsi="Book Antiqua" w:cs="Book Antiqua"/>
          <w:color w:val="000000"/>
        </w:rPr>
        <w:t>phosphatidylinositol 3-kinase</w:t>
      </w:r>
      <w:r w:rsidRPr="00ED6B88">
        <w:rPr>
          <w:rFonts w:ascii="Book Antiqua" w:eastAsia="Book Antiqua" w:hAnsi="Book Antiqua" w:cs="Book Antiqua"/>
          <w:color w:val="000000"/>
        </w:rPr>
        <w:t xml:space="preserve"> pathway, which is recurrently mutated in a variety of tumor types, were observed in all the four cases. Among the genetic mutations, </w:t>
      </w:r>
      <w:r w:rsidR="000E7A67">
        <w:rPr>
          <w:rFonts w:ascii="Book Antiqua" w:eastAsia="Book Antiqua" w:hAnsi="Book Antiqua" w:cs="Book Antiqua"/>
          <w:color w:val="000000"/>
        </w:rPr>
        <w:t>p</w:t>
      </w:r>
      <w:r w:rsidR="000E7A67" w:rsidRPr="000E7A67">
        <w:rPr>
          <w:rFonts w:ascii="Book Antiqua" w:eastAsia="Book Antiqua" w:hAnsi="Book Antiqua" w:cs="Book Antiqua"/>
          <w:color w:val="000000"/>
        </w:rPr>
        <w:t>hosphatase and tensin homolog</w:t>
      </w:r>
      <w:r w:rsidR="000E7A67" w:rsidRPr="00ED6B88">
        <w:rPr>
          <w:rFonts w:ascii="Book Antiqua" w:eastAsia="Book Antiqua" w:hAnsi="Book Antiqua" w:cs="Book Antiqua"/>
          <w:color w:val="000000"/>
        </w:rPr>
        <w:t xml:space="preserve"> </w:t>
      </w:r>
      <w:r w:rsidR="000E7A67">
        <w:rPr>
          <w:rFonts w:ascii="Book Antiqua" w:eastAsia="Book Antiqua" w:hAnsi="Book Antiqua" w:cs="Book Antiqua"/>
          <w:color w:val="000000"/>
        </w:rPr>
        <w:t>(</w:t>
      </w:r>
      <w:r w:rsidRPr="00ED6B88">
        <w:rPr>
          <w:rFonts w:ascii="Book Antiqua" w:eastAsia="Book Antiqua" w:hAnsi="Book Antiqua" w:cs="Book Antiqua"/>
          <w:color w:val="000000"/>
        </w:rPr>
        <w:t>PTEN</w:t>
      </w:r>
      <w:r w:rsidR="000E7A67">
        <w:rPr>
          <w:rFonts w:ascii="Book Antiqua" w:eastAsia="Book Antiqua" w:hAnsi="Book Antiqua" w:cs="Book Antiqua"/>
          <w:color w:val="000000"/>
        </w:rPr>
        <w:t>)</w:t>
      </w:r>
      <w:r w:rsidRPr="00ED6B88">
        <w:rPr>
          <w:rFonts w:ascii="Book Antiqua" w:eastAsia="Book Antiqua" w:hAnsi="Book Antiqua" w:cs="Book Antiqua"/>
          <w:color w:val="000000"/>
        </w:rPr>
        <w:t xml:space="preserve"> mutations were seen most frequently, and PTEN protein expression lost in the ductal and acinar elements was confirmed by immunohistochemistry</w:t>
      </w:r>
      <w:r w:rsidRPr="00ED6B88">
        <w:rPr>
          <w:rFonts w:ascii="Book Antiqua" w:eastAsia="Book Antiqua" w:hAnsi="Book Antiqua" w:cs="Book Antiqua"/>
          <w:color w:val="000000"/>
          <w:vertAlign w:val="superscript"/>
        </w:rPr>
        <w:t>[8]</w:t>
      </w:r>
      <w:r w:rsidRPr="00ED6B88">
        <w:rPr>
          <w:rFonts w:ascii="Book Antiqua" w:eastAsia="Book Antiqua" w:hAnsi="Book Antiqua" w:cs="Book Antiqua"/>
          <w:color w:val="000000"/>
        </w:rPr>
        <w:t>. In summary, SPA might be a neoplasm and not just a reactive process.</w:t>
      </w:r>
    </w:p>
    <w:p w14:paraId="12A2BC75" w14:textId="778B7EB2" w:rsidR="00A77B3E" w:rsidRPr="00ED6B88" w:rsidRDefault="003140EF" w:rsidP="00AD69F8">
      <w:pPr>
        <w:spacing w:line="360" w:lineRule="auto"/>
        <w:ind w:firstLineChars="200" w:firstLine="480"/>
        <w:jc w:val="both"/>
        <w:rPr>
          <w:rFonts w:ascii="Book Antiqua" w:hAnsi="Book Antiqua"/>
        </w:rPr>
      </w:pPr>
      <w:r w:rsidRPr="00ED6B88">
        <w:rPr>
          <w:rFonts w:ascii="Book Antiqua" w:eastAsia="Book Antiqua" w:hAnsi="Book Antiqua" w:cs="Book Antiqua"/>
          <w:color w:val="000000"/>
        </w:rPr>
        <w:t>It is noteworthy that, as discussed by previous authors, SPA can easily be misdiagnosed as chronic sclerosing sialadenitis, pleomorphic adenoma, and mucoepidermoid carcinoma since clinicians and pathologists might be unfamiliar with this rare condition</w:t>
      </w:r>
      <w:r w:rsidRPr="00ED6B88">
        <w:rPr>
          <w:rFonts w:ascii="Book Antiqua" w:eastAsia="Book Antiqua" w:hAnsi="Book Antiqua" w:cs="Book Antiqua"/>
          <w:color w:val="000000"/>
          <w:vertAlign w:val="superscript"/>
        </w:rPr>
        <w:t>[5]</w:t>
      </w:r>
      <w:r w:rsidRPr="00ED6B88">
        <w:rPr>
          <w:rFonts w:ascii="Book Antiqua" w:eastAsia="Book Antiqua" w:hAnsi="Book Antiqua" w:cs="Book Antiqua"/>
          <w:color w:val="000000"/>
        </w:rPr>
        <w:t xml:space="preserve">. For example, among the nine cases reported by Smith </w:t>
      </w:r>
      <w:r w:rsidRPr="00ED6B88">
        <w:rPr>
          <w:rFonts w:ascii="Book Antiqua" w:eastAsia="Book Antiqua" w:hAnsi="Book Antiqua" w:cs="Book Antiqua"/>
          <w:i/>
          <w:iCs/>
          <w:color w:val="000000"/>
        </w:rPr>
        <w:t>et al</w:t>
      </w:r>
      <w:r w:rsidR="00AD69F8" w:rsidRPr="00ED6B88">
        <w:rPr>
          <w:rFonts w:ascii="Book Antiqua" w:eastAsia="Book Antiqua" w:hAnsi="Book Antiqua" w:cs="Book Antiqua"/>
          <w:color w:val="000000"/>
          <w:vertAlign w:val="superscript"/>
        </w:rPr>
        <w:t>[1]</w:t>
      </w:r>
      <w:r w:rsidRPr="00ED6B88">
        <w:rPr>
          <w:rFonts w:ascii="Book Antiqua" w:eastAsia="Book Antiqua" w:hAnsi="Book Antiqua" w:cs="Book Antiqua"/>
          <w:color w:val="000000"/>
        </w:rPr>
        <w:t>, eight were initially diagnosed as pleomorphic adenomas or mucoepidermoid carcinomas</w:t>
      </w:r>
      <w:r w:rsidRPr="00ED6B88">
        <w:rPr>
          <w:rFonts w:ascii="Book Antiqua" w:eastAsia="Book Antiqua" w:hAnsi="Book Antiqua" w:cs="Book Antiqua"/>
          <w:color w:val="000000"/>
          <w:vertAlign w:val="superscript"/>
        </w:rPr>
        <w:t>[1]</w:t>
      </w:r>
      <w:r w:rsidRPr="00ED6B88">
        <w:rPr>
          <w:rFonts w:ascii="Book Antiqua" w:eastAsia="Book Antiqua" w:hAnsi="Book Antiqua" w:cs="Book Antiqua"/>
          <w:color w:val="000000"/>
        </w:rPr>
        <w:t>. The presence of remarkable lymphoplasmacytic infiltration and the absence of ductal changes of hyperplasia differentiates chronic sclerosing sialadenitis from SPA</w:t>
      </w:r>
      <w:r w:rsidRPr="00ED6B88">
        <w:rPr>
          <w:rFonts w:ascii="Book Antiqua" w:eastAsia="Book Antiqua" w:hAnsi="Book Antiqua" w:cs="Book Antiqua"/>
          <w:color w:val="000000"/>
          <w:vertAlign w:val="superscript"/>
        </w:rPr>
        <w:t>[5]</w:t>
      </w:r>
      <w:r w:rsidRPr="00ED6B88">
        <w:rPr>
          <w:rFonts w:ascii="Book Antiqua" w:eastAsia="Book Antiqua" w:hAnsi="Book Antiqua" w:cs="Book Antiqua"/>
          <w:color w:val="000000"/>
        </w:rPr>
        <w:t>.</w:t>
      </w:r>
      <w:r w:rsidRPr="00ED6B88">
        <w:rPr>
          <w:rFonts w:ascii="Book Antiqua" w:eastAsia="Book Antiqua" w:hAnsi="Book Antiqua" w:cs="Book Antiqua"/>
          <w:color w:val="000000"/>
          <w:vertAlign w:val="superscript"/>
        </w:rPr>
        <w:t xml:space="preserve"> </w:t>
      </w:r>
      <w:r w:rsidRPr="00ED6B88">
        <w:rPr>
          <w:rFonts w:ascii="Book Antiqua" w:eastAsia="Book Antiqua" w:hAnsi="Book Antiqua" w:cs="Book Antiqua"/>
          <w:color w:val="000000"/>
        </w:rPr>
        <w:t>In pleomorphic adenoma, the intraductal proliferation and apocrine and sebaceous elements are lacking, differentiating it from SPA</w:t>
      </w:r>
      <w:r w:rsidRPr="00ED6B88">
        <w:rPr>
          <w:rFonts w:ascii="Book Antiqua" w:eastAsia="Book Antiqua" w:hAnsi="Book Antiqua" w:cs="Book Antiqua"/>
          <w:color w:val="000000"/>
          <w:vertAlign w:val="superscript"/>
        </w:rPr>
        <w:t>[5,16]</w:t>
      </w:r>
      <w:r w:rsidRPr="00ED6B88">
        <w:rPr>
          <w:rFonts w:ascii="Book Antiqua" w:eastAsia="Book Antiqua" w:hAnsi="Book Antiqua" w:cs="Book Antiqua"/>
          <w:color w:val="000000"/>
        </w:rPr>
        <w:t>.</w:t>
      </w:r>
      <w:r w:rsidRPr="00ED6B88">
        <w:rPr>
          <w:rFonts w:ascii="Book Antiqua" w:eastAsia="Book Antiqua" w:hAnsi="Book Antiqua" w:cs="Book Antiqua"/>
          <w:color w:val="000000"/>
          <w:vertAlign w:val="superscript"/>
        </w:rPr>
        <w:t xml:space="preserve"> </w:t>
      </w:r>
      <w:r w:rsidRPr="00ED6B88">
        <w:rPr>
          <w:rFonts w:ascii="Book Antiqua" w:eastAsia="Book Antiqua" w:hAnsi="Book Antiqua" w:cs="Book Antiqua"/>
          <w:color w:val="000000"/>
        </w:rPr>
        <w:t>Mucoepidermoid carcinoma distinguished from SPA by the presence of classical cytomorphologic features, such as mucus-secreting cells and epidermoid type, and the absence of ductal changes</w:t>
      </w:r>
      <w:r w:rsidRPr="00ED6B88">
        <w:rPr>
          <w:rFonts w:ascii="Book Antiqua" w:eastAsia="Book Antiqua" w:hAnsi="Book Antiqua" w:cs="Book Antiqua"/>
          <w:color w:val="000000"/>
          <w:vertAlign w:val="superscript"/>
        </w:rPr>
        <w:t>[17]</w:t>
      </w:r>
      <w:r w:rsidRPr="00ED6B88">
        <w:rPr>
          <w:rFonts w:ascii="Book Antiqua" w:eastAsia="Book Antiqua" w:hAnsi="Book Antiqua" w:cs="Book Antiqua"/>
          <w:color w:val="000000"/>
        </w:rPr>
        <w:t>.</w:t>
      </w:r>
    </w:p>
    <w:p w14:paraId="08249D7D" w14:textId="596DFB5D" w:rsidR="00A77B3E" w:rsidRPr="00ED6B88" w:rsidRDefault="003140EF" w:rsidP="00ED6B88">
      <w:pPr>
        <w:spacing w:line="360" w:lineRule="auto"/>
        <w:ind w:firstLine="420"/>
        <w:jc w:val="both"/>
        <w:rPr>
          <w:rFonts w:ascii="Book Antiqua" w:hAnsi="Book Antiqua"/>
        </w:rPr>
      </w:pPr>
      <w:r w:rsidRPr="00ED6B88">
        <w:rPr>
          <w:rFonts w:ascii="Book Antiqua" w:eastAsia="Book Antiqua" w:hAnsi="Book Antiqua" w:cs="Book Antiqua"/>
          <w:color w:val="000000"/>
        </w:rPr>
        <w:t xml:space="preserve">Most SPA cases are treated with surgical excision, and recurrence has been reported in </w:t>
      </w:r>
      <w:r w:rsidR="00B526D4">
        <w:rPr>
          <w:rFonts w:ascii="Book Antiqua" w:eastAsia="Book Antiqua" w:hAnsi="Book Antiqua" w:cs="Book Antiqua"/>
          <w:color w:val="000000"/>
        </w:rPr>
        <w:t>six</w:t>
      </w:r>
      <w:r w:rsidRPr="00ED6B88">
        <w:rPr>
          <w:rFonts w:ascii="Book Antiqua" w:eastAsia="Book Antiqua" w:hAnsi="Book Antiqua" w:cs="Book Antiqua"/>
          <w:color w:val="000000"/>
        </w:rPr>
        <w:t xml:space="preserve"> cases of SPA in the parotid gland</w:t>
      </w:r>
      <w:r w:rsidRPr="00ED6B88">
        <w:rPr>
          <w:rFonts w:ascii="Book Antiqua" w:eastAsia="Book Antiqua" w:hAnsi="Book Antiqua" w:cs="Book Antiqua"/>
          <w:color w:val="000000"/>
          <w:vertAlign w:val="superscript"/>
        </w:rPr>
        <w:t>[9]</w:t>
      </w:r>
      <w:r w:rsidRPr="00ED6B88">
        <w:rPr>
          <w:rFonts w:ascii="Book Antiqua" w:eastAsia="Book Antiqua" w:hAnsi="Book Antiqua" w:cs="Book Antiqua"/>
          <w:color w:val="000000"/>
        </w:rPr>
        <w:t>. Although the number of recurrent cases was insufficient for statistical analysis, the results suggested that recurrence appears to be due to inadequate surgical excision and the multifocality of SPA as opposed to true recurrence. Notably, among the seven SPA cases of the submandibular gland, two cases were lost during follow-up; of the remaining five cases, none had a recurrence, and even the presence of ductal dysplasia was described in two of the five cases</w:t>
      </w:r>
      <w:r w:rsidRPr="00ED6B88">
        <w:rPr>
          <w:rFonts w:ascii="Book Antiqua" w:eastAsia="Book Antiqua" w:hAnsi="Book Antiqua" w:cs="Book Antiqua"/>
          <w:color w:val="000000"/>
          <w:vertAlign w:val="superscript"/>
        </w:rPr>
        <w:t>[1,2,7,8]</w:t>
      </w:r>
      <w:r w:rsidRPr="00ED6B88">
        <w:rPr>
          <w:rFonts w:ascii="Book Antiqua" w:eastAsia="Book Antiqua" w:hAnsi="Book Antiqua" w:cs="Book Antiqua"/>
          <w:color w:val="000000"/>
        </w:rPr>
        <w:t>. Similar to that found in SPA of the submandibular gland, no recurrence has been reported in cases of SPA in the minor salivary glands</w:t>
      </w:r>
      <w:r w:rsidRPr="00ED6B88">
        <w:rPr>
          <w:rFonts w:ascii="Book Antiqua" w:eastAsia="Book Antiqua" w:hAnsi="Book Antiqua" w:cs="Book Antiqua"/>
          <w:color w:val="000000"/>
          <w:vertAlign w:val="superscript"/>
        </w:rPr>
        <w:t>[4-6]</w:t>
      </w:r>
      <w:r w:rsidRPr="00ED6B88">
        <w:rPr>
          <w:rFonts w:ascii="Book Antiqua" w:eastAsia="Book Antiqua" w:hAnsi="Book Antiqua" w:cs="Book Antiqua"/>
          <w:color w:val="000000"/>
        </w:rPr>
        <w:t>.</w:t>
      </w:r>
      <w:r w:rsidRPr="00ED6B88">
        <w:rPr>
          <w:rFonts w:ascii="Book Antiqua" w:eastAsia="Book Antiqua" w:hAnsi="Book Antiqua" w:cs="Book Antiqua"/>
          <w:color w:val="000000"/>
          <w:vertAlign w:val="superscript"/>
        </w:rPr>
        <w:t xml:space="preserve"> </w:t>
      </w:r>
      <w:r w:rsidRPr="00ED6B88">
        <w:rPr>
          <w:rFonts w:ascii="Book Antiqua" w:eastAsia="Book Antiqua" w:hAnsi="Book Antiqua" w:cs="Book Antiqua"/>
          <w:color w:val="000000"/>
        </w:rPr>
        <w:t xml:space="preserve">The prognosis of SPA is favorable, with no reports of distant metastases or mortality associated with it to date. However, four cases of malignancy have been documented in the parotid gland, including one case of invasive carcinoma arising after SPA recurred several times, necessitating surgery, reported by Canas Marques </w:t>
      </w:r>
      <w:r w:rsidRPr="00ED6B88">
        <w:rPr>
          <w:rFonts w:ascii="Book Antiqua" w:eastAsia="Book Antiqua" w:hAnsi="Book Antiqua" w:cs="Book Antiqua"/>
          <w:i/>
          <w:iCs/>
          <w:color w:val="000000"/>
        </w:rPr>
        <w:t>et al</w:t>
      </w:r>
      <w:r w:rsidRPr="00ED6B88">
        <w:rPr>
          <w:rFonts w:ascii="Book Antiqua" w:eastAsia="Book Antiqua" w:hAnsi="Book Antiqua" w:cs="Book Antiqua"/>
          <w:color w:val="000000"/>
          <w:vertAlign w:val="superscript"/>
        </w:rPr>
        <w:t>[12]</w:t>
      </w:r>
      <w:r w:rsidRPr="00ED6B88">
        <w:rPr>
          <w:rFonts w:ascii="Book Antiqua" w:eastAsia="Book Antiqua" w:hAnsi="Book Antiqua" w:cs="Book Antiqua"/>
          <w:color w:val="000000"/>
        </w:rPr>
        <w:t xml:space="preserve">, and three cases of carcinoma in situ reported by Fulciniti </w:t>
      </w:r>
      <w:r w:rsidRPr="00ED6B88">
        <w:rPr>
          <w:rFonts w:ascii="Book Antiqua" w:eastAsia="Book Antiqua" w:hAnsi="Book Antiqua" w:cs="Book Antiqua"/>
          <w:i/>
          <w:iCs/>
          <w:color w:val="000000"/>
        </w:rPr>
        <w:t>et al</w:t>
      </w:r>
      <w:r w:rsidRPr="00ED6B88">
        <w:rPr>
          <w:rFonts w:ascii="Book Antiqua" w:eastAsia="Book Antiqua" w:hAnsi="Book Antiqua" w:cs="Book Antiqua"/>
          <w:color w:val="000000"/>
          <w:vertAlign w:val="superscript"/>
        </w:rPr>
        <w:t>[18]</w:t>
      </w:r>
      <w:r w:rsidRPr="00ED6B88">
        <w:rPr>
          <w:rFonts w:ascii="Book Antiqua" w:eastAsia="Book Antiqua" w:hAnsi="Book Antiqua" w:cs="Book Antiqua"/>
          <w:color w:val="000000"/>
        </w:rPr>
        <w:t xml:space="preserve">, Petersson </w:t>
      </w:r>
      <w:r w:rsidRPr="00ED6B88">
        <w:rPr>
          <w:rFonts w:ascii="Book Antiqua" w:eastAsia="Book Antiqua" w:hAnsi="Book Antiqua" w:cs="Book Antiqua"/>
          <w:i/>
          <w:iCs/>
          <w:color w:val="000000"/>
        </w:rPr>
        <w:t>et al</w:t>
      </w:r>
      <w:r w:rsidRPr="00ED6B88">
        <w:rPr>
          <w:rFonts w:ascii="Book Antiqua" w:eastAsia="Book Antiqua" w:hAnsi="Book Antiqua" w:cs="Book Antiqua"/>
          <w:color w:val="000000"/>
          <w:vertAlign w:val="superscript"/>
        </w:rPr>
        <w:t>[11]</w:t>
      </w:r>
      <w:r w:rsidRPr="00ED6B88">
        <w:rPr>
          <w:rFonts w:ascii="Book Antiqua" w:eastAsia="Book Antiqua" w:hAnsi="Book Antiqua" w:cs="Book Antiqua"/>
          <w:color w:val="000000"/>
        </w:rPr>
        <w:t xml:space="preserve">, and Mackle </w:t>
      </w:r>
      <w:r w:rsidRPr="00ED6B88">
        <w:rPr>
          <w:rFonts w:ascii="Book Antiqua" w:eastAsia="Book Antiqua" w:hAnsi="Book Antiqua" w:cs="Book Antiqua"/>
          <w:i/>
          <w:iCs/>
          <w:color w:val="000000"/>
        </w:rPr>
        <w:t>et al</w:t>
      </w:r>
      <w:r w:rsidRPr="00ED6B88">
        <w:rPr>
          <w:rFonts w:ascii="Book Antiqua" w:eastAsia="Book Antiqua" w:hAnsi="Book Antiqua" w:cs="Book Antiqua"/>
          <w:color w:val="000000"/>
          <w:vertAlign w:val="superscript"/>
        </w:rPr>
        <w:t>[19]</w:t>
      </w:r>
      <w:r w:rsidR="002F7B70" w:rsidRPr="00E01B68">
        <w:rPr>
          <w:rFonts w:ascii="Book Antiqua" w:eastAsia="Book Antiqua" w:hAnsi="Book Antiqua" w:cs="Book Antiqua"/>
          <w:color w:val="000000"/>
        </w:rPr>
        <w:t>.</w:t>
      </w:r>
      <w:r w:rsidRPr="00ED6B88">
        <w:rPr>
          <w:rFonts w:ascii="Book Antiqua" w:eastAsia="Book Antiqua" w:hAnsi="Book Antiqua" w:cs="Book Antiqua"/>
          <w:color w:val="000000"/>
        </w:rPr>
        <w:t xml:space="preserve"> Therefore, follow-up is recommended, and a surgical excision technique should be carefully planned. To be specifical, it is recommended that SPA in the minor salivary glands should be treated with localized surgical excision with clear margins</w:t>
      </w:r>
      <w:r w:rsidRPr="00ED6B88">
        <w:rPr>
          <w:rFonts w:ascii="Book Antiqua" w:eastAsia="Book Antiqua" w:hAnsi="Book Antiqua" w:cs="Book Antiqua"/>
          <w:color w:val="000000"/>
          <w:vertAlign w:val="superscript"/>
        </w:rPr>
        <w:t>[5]</w:t>
      </w:r>
      <w:r w:rsidRPr="00ED6B88">
        <w:rPr>
          <w:rFonts w:ascii="Book Antiqua" w:eastAsia="Book Antiqua" w:hAnsi="Book Antiqua" w:cs="Book Antiqua"/>
          <w:color w:val="000000"/>
        </w:rPr>
        <w:t>. For SPA in the submandibular gland, submandibular gland excision is the treatment of choice</w:t>
      </w:r>
      <w:r w:rsidRPr="00ED6B88">
        <w:rPr>
          <w:rFonts w:ascii="Book Antiqua" w:eastAsia="Book Antiqua" w:hAnsi="Book Antiqua" w:cs="Book Antiqua"/>
          <w:color w:val="000000"/>
          <w:vertAlign w:val="superscript"/>
        </w:rPr>
        <w:t>[2]</w:t>
      </w:r>
      <w:r w:rsidRPr="00ED6B88">
        <w:rPr>
          <w:rFonts w:ascii="Book Antiqua" w:eastAsia="Book Antiqua" w:hAnsi="Book Antiqua" w:cs="Book Antiqua"/>
          <w:color w:val="000000"/>
        </w:rPr>
        <w:t>. As for primary and recurrent SPA in the parotid gland, superficial and total parotidectomy with facial nerve preservation is recommended, respectively</w:t>
      </w:r>
      <w:r w:rsidRPr="00ED6B88">
        <w:rPr>
          <w:rFonts w:ascii="Book Antiqua" w:eastAsia="Book Antiqua" w:hAnsi="Book Antiqua" w:cs="Book Antiqua"/>
          <w:color w:val="000000"/>
          <w:vertAlign w:val="superscript"/>
        </w:rPr>
        <w:t>[19]</w:t>
      </w:r>
      <w:r w:rsidRPr="00ED6B88">
        <w:rPr>
          <w:rFonts w:ascii="Book Antiqua" w:eastAsia="Book Antiqua" w:hAnsi="Book Antiqua" w:cs="Book Antiqua"/>
          <w:color w:val="000000"/>
        </w:rPr>
        <w:t>.</w:t>
      </w:r>
    </w:p>
    <w:bookmarkEnd w:id="54"/>
    <w:bookmarkEnd w:id="55"/>
    <w:p w14:paraId="7FBA74BC" w14:textId="77777777" w:rsidR="00A77B3E" w:rsidRPr="00ED6B88" w:rsidRDefault="00A77B3E" w:rsidP="00ED6B88">
      <w:pPr>
        <w:spacing w:line="360" w:lineRule="auto"/>
        <w:ind w:firstLine="420"/>
        <w:jc w:val="both"/>
        <w:rPr>
          <w:rFonts w:ascii="Book Antiqua" w:hAnsi="Book Antiqua"/>
        </w:rPr>
      </w:pPr>
    </w:p>
    <w:p w14:paraId="2F1D5692"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aps/>
          <w:color w:val="000000"/>
          <w:u w:val="single"/>
        </w:rPr>
        <w:t>CONCLUSION</w:t>
      </w:r>
    </w:p>
    <w:p w14:paraId="138EE5B3" w14:textId="7A59CE69" w:rsidR="00A77B3E" w:rsidRPr="00ED6B88" w:rsidRDefault="003140EF" w:rsidP="00ED6B88">
      <w:pPr>
        <w:spacing w:line="360" w:lineRule="auto"/>
        <w:jc w:val="both"/>
        <w:rPr>
          <w:rFonts w:ascii="Book Antiqua" w:hAnsi="Book Antiqua"/>
        </w:rPr>
      </w:pPr>
      <w:bookmarkStart w:id="56" w:name="OLE_LINK108"/>
      <w:bookmarkStart w:id="57" w:name="OLE_LINK109"/>
      <w:r w:rsidRPr="00ED6B88">
        <w:rPr>
          <w:rFonts w:ascii="Book Antiqua" w:eastAsia="Book Antiqua" w:hAnsi="Book Antiqua" w:cs="Book Antiqua"/>
          <w:color w:val="000000"/>
        </w:rPr>
        <w:t>In summary, SPA in the submandibular gland is rare, with only five cases reported previously</w:t>
      </w:r>
      <w:r w:rsidR="00B526D4">
        <w:rPr>
          <w:rFonts w:ascii="Book Antiqua" w:eastAsia="Book Antiqua" w:hAnsi="Book Antiqua" w:cs="Book Antiqua"/>
          <w:color w:val="000000"/>
        </w:rPr>
        <w:t>. H</w:t>
      </w:r>
      <w:r w:rsidRPr="00ED6B88">
        <w:rPr>
          <w:rFonts w:ascii="Book Antiqua" w:eastAsia="Book Antiqua" w:hAnsi="Book Antiqua" w:cs="Book Antiqua"/>
          <w:color w:val="000000"/>
        </w:rPr>
        <w:t>ere</w:t>
      </w:r>
      <w:r w:rsidR="00B526D4">
        <w:rPr>
          <w:rFonts w:ascii="Book Antiqua" w:eastAsia="Book Antiqua" w:hAnsi="Book Antiqua" w:cs="Book Antiqua"/>
          <w:color w:val="000000"/>
        </w:rPr>
        <w:t>,</w:t>
      </w:r>
      <w:r w:rsidRPr="00ED6B88">
        <w:rPr>
          <w:rFonts w:ascii="Book Antiqua" w:eastAsia="Book Antiqua" w:hAnsi="Book Antiqua" w:cs="Book Antiqua"/>
          <w:color w:val="000000"/>
        </w:rPr>
        <w:t xml:space="preserve"> we presented two additional cases. Based on these cases, submandibular gland excision is the treatment of choice and the prognosis is favorable, with no reports of recurrence, distant metastases or mortality to date. Therefore, clinicians and pathologists should be familiar with the characteristics of SPA in the submandibular gland to avoid misdiagnosis and overtreatment. In addition, more cases and longer follow-up are helpful to reveal the characteristics of SPA in the submandibular gland.</w:t>
      </w:r>
    </w:p>
    <w:bookmarkEnd w:id="56"/>
    <w:bookmarkEnd w:id="57"/>
    <w:p w14:paraId="6C0EC284" w14:textId="77777777" w:rsidR="00A77B3E" w:rsidRPr="00ED6B88" w:rsidRDefault="00A77B3E" w:rsidP="00ED6B88">
      <w:pPr>
        <w:spacing w:line="360" w:lineRule="auto"/>
        <w:jc w:val="both"/>
        <w:rPr>
          <w:rFonts w:ascii="Book Antiqua" w:hAnsi="Book Antiqua"/>
        </w:rPr>
      </w:pPr>
    </w:p>
    <w:p w14:paraId="0D492E87"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REFERENCES</w:t>
      </w:r>
    </w:p>
    <w:p w14:paraId="4B8AAC29" w14:textId="77777777" w:rsidR="00A77B3E" w:rsidRPr="00ED6B88" w:rsidRDefault="003140EF" w:rsidP="00ED6B88">
      <w:pPr>
        <w:spacing w:line="360" w:lineRule="auto"/>
        <w:jc w:val="both"/>
        <w:rPr>
          <w:rFonts w:ascii="Book Antiqua" w:hAnsi="Book Antiqua"/>
        </w:rPr>
      </w:pPr>
      <w:bookmarkStart w:id="58" w:name="OLE_LINK110"/>
      <w:bookmarkStart w:id="59" w:name="OLE_LINK111"/>
      <w:r w:rsidRPr="00ED6B88">
        <w:rPr>
          <w:rFonts w:ascii="Book Antiqua" w:eastAsia="Book Antiqua" w:hAnsi="Book Antiqua" w:cs="Book Antiqua"/>
          <w:color w:val="000000"/>
        </w:rPr>
        <w:t xml:space="preserve">1 </w:t>
      </w:r>
      <w:r w:rsidRPr="00ED6B88">
        <w:rPr>
          <w:rFonts w:ascii="Book Antiqua" w:eastAsia="Book Antiqua" w:hAnsi="Book Antiqua" w:cs="Book Antiqua"/>
          <w:b/>
          <w:bCs/>
          <w:color w:val="000000"/>
        </w:rPr>
        <w:t>Smith BC</w:t>
      </w:r>
      <w:r w:rsidRPr="00ED6B88">
        <w:rPr>
          <w:rFonts w:ascii="Book Antiqua" w:eastAsia="Book Antiqua" w:hAnsi="Book Antiqua" w:cs="Book Antiqua"/>
          <w:color w:val="000000"/>
        </w:rPr>
        <w:t xml:space="preserve">, Ellis GL, Slater LJ, Foss RD. Sclerosing polycystic adenosis of major salivary glands. A clinicopathologic analysis of nine cases. </w:t>
      </w:r>
      <w:r w:rsidRPr="00ED6B88">
        <w:rPr>
          <w:rFonts w:ascii="Book Antiqua" w:eastAsia="Book Antiqua" w:hAnsi="Book Antiqua" w:cs="Book Antiqua"/>
          <w:i/>
          <w:iCs/>
          <w:color w:val="000000"/>
        </w:rPr>
        <w:t>Am J Surg Pathol</w:t>
      </w:r>
      <w:r w:rsidRPr="00ED6B88">
        <w:rPr>
          <w:rFonts w:ascii="Book Antiqua" w:eastAsia="Book Antiqua" w:hAnsi="Book Antiqua" w:cs="Book Antiqua"/>
          <w:color w:val="000000"/>
        </w:rPr>
        <w:t xml:space="preserve"> 1996; </w:t>
      </w:r>
      <w:r w:rsidRPr="00ED6B88">
        <w:rPr>
          <w:rFonts w:ascii="Book Antiqua" w:eastAsia="Book Antiqua" w:hAnsi="Book Antiqua" w:cs="Book Antiqua"/>
          <w:b/>
          <w:bCs/>
          <w:color w:val="000000"/>
        </w:rPr>
        <w:t>20</w:t>
      </w:r>
      <w:r w:rsidRPr="00ED6B88">
        <w:rPr>
          <w:rFonts w:ascii="Book Antiqua" w:eastAsia="Book Antiqua" w:hAnsi="Book Antiqua" w:cs="Book Antiqua"/>
          <w:color w:val="000000"/>
        </w:rPr>
        <w:t>: 161-170 [PMID: 8554105 DOI: 10.1097/00000478-199602000-00004]</w:t>
      </w:r>
    </w:p>
    <w:p w14:paraId="21FB86CD"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2 </w:t>
      </w:r>
      <w:r w:rsidRPr="00ED6B88">
        <w:rPr>
          <w:rFonts w:ascii="Book Antiqua" w:eastAsia="Book Antiqua" w:hAnsi="Book Antiqua" w:cs="Book Antiqua"/>
          <w:b/>
          <w:bCs/>
          <w:color w:val="000000"/>
        </w:rPr>
        <w:t>Gnepp DR</w:t>
      </w:r>
      <w:r w:rsidRPr="00ED6B88">
        <w:rPr>
          <w:rFonts w:ascii="Book Antiqua" w:eastAsia="Book Antiqua" w:hAnsi="Book Antiqua" w:cs="Book Antiqua"/>
          <w:color w:val="000000"/>
        </w:rPr>
        <w:t xml:space="preserve">, Wang LJ, Brandwein-Gensler M, Slootweg P, Gill M, Hille J. Sclerosing polycystic adenosis of the salivary gland: a report of 16 cases. </w:t>
      </w:r>
      <w:r w:rsidRPr="00ED6B88">
        <w:rPr>
          <w:rFonts w:ascii="Book Antiqua" w:eastAsia="Book Antiqua" w:hAnsi="Book Antiqua" w:cs="Book Antiqua"/>
          <w:i/>
          <w:iCs/>
          <w:color w:val="000000"/>
        </w:rPr>
        <w:t>Am J Surg Pathol</w:t>
      </w:r>
      <w:r w:rsidRPr="00ED6B88">
        <w:rPr>
          <w:rFonts w:ascii="Book Antiqua" w:eastAsia="Book Antiqua" w:hAnsi="Book Antiqua" w:cs="Book Antiqua"/>
          <w:color w:val="000000"/>
        </w:rPr>
        <w:t xml:space="preserve"> 2006; </w:t>
      </w:r>
      <w:r w:rsidRPr="00ED6B88">
        <w:rPr>
          <w:rFonts w:ascii="Book Antiqua" w:eastAsia="Book Antiqua" w:hAnsi="Book Antiqua" w:cs="Book Antiqua"/>
          <w:b/>
          <w:bCs/>
          <w:color w:val="000000"/>
        </w:rPr>
        <w:t>30</w:t>
      </w:r>
      <w:r w:rsidRPr="00ED6B88">
        <w:rPr>
          <w:rFonts w:ascii="Book Antiqua" w:eastAsia="Book Antiqua" w:hAnsi="Book Antiqua" w:cs="Book Antiqua"/>
          <w:color w:val="000000"/>
        </w:rPr>
        <w:t>: 154-164 [PMID: 16434888 DOI: 10.1097/01.pas.0000186394.64840.1d]</w:t>
      </w:r>
    </w:p>
    <w:p w14:paraId="496F1B26"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3 </w:t>
      </w:r>
      <w:r w:rsidRPr="00ED6B88">
        <w:rPr>
          <w:rFonts w:ascii="Book Antiqua" w:eastAsia="Book Antiqua" w:hAnsi="Book Antiqua" w:cs="Book Antiqua"/>
          <w:b/>
          <w:bCs/>
          <w:color w:val="000000"/>
        </w:rPr>
        <w:t>Seethala RR</w:t>
      </w:r>
      <w:r w:rsidRPr="00ED6B88">
        <w:rPr>
          <w:rFonts w:ascii="Book Antiqua" w:eastAsia="Book Antiqua" w:hAnsi="Book Antiqua" w:cs="Book Antiqua"/>
          <w:color w:val="000000"/>
        </w:rPr>
        <w:t xml:space="preserve">, Stenman G. Update from the 4th Edition of the World Health Organization Classification of Head and Neck Tumours: Tumors of the Salivary Gland. </w:t>
      </w:r>
      <w:r w:rsidRPr="00ED6B88">
        <w:rPr>
          <w:rFonts w:ascii="Book Antiqua" w:eastAsia="Book Antiqua" w:hAnsi="Book Antiqua" w:cs="Book Antiqua"/>
          <w:i/>
          <w:iCs/>
          <w:color w:val="000000"/>
        </w:rPr>
        <w:t>Head Neck Pathol</w:t>
      </w:r>
      <w:r w:rsidRPr="00ED6B88">
        <w:rPr>
          <w:rFonts w:ascii="Book Antiqua" w:eastAsia="Book Antiqua" w:hAnsi="Book Antiqua" w:cs="Book Antiqua"/>
          <w:color w:val="000000"/>
        </w:rPr>
        <w:t xml:space="preserve"> 2017; </w:t>
      </w:r>
      <w:r w:rsidRPr="00ED6B88">
        <w:rPr>
          <w:rFonts w:ascii="Book Antiqua" w:eastAsia="Book Antiqua" w:hAnsi="Book Antiqua" w:cs="Book Antiqua"/>
          <w:b/>
          <w:bCs/>
          <w:color w:val="000000"/>
        </w:rPr>
        <w:t>11</w:t>
      </w:r>
      <w:r w:rsidRPr="00ED6B88">
        <w:rPr>
          <w:rFonts w:ascii="Book Antiqua" w:eastAsia="Book Antiqua" w:hAnsi="Book Antiqua" w:cs="Book Antiqua"/>
          <w:color w:val="000000"/>
        </w:rPr>
        <w:t>: 55-67 [PMID: 28247227 DOI: 10.1007/s12105-017-0795-0]</w:t>
      </w:r>
    </w:p>
    <w:p w14:paraId="46714EE1" w14:textId="77777777" w:rsidR="00A77B3E" w:rsidRPr="00ED6B88" w:rsidRDefault="003140EF" w:rsidP="00ED6B88">
      <w:pPr>
        <w:spacing w:line="360" w:lineRule="auto"/>
        <w:jc w:val="both"/>
        <w:rPr>
          <w:rFonts w:ascii="Book Antiqua" w:hAnsi="Book Antiqua"/>
          <w:lang w:val="pt-BR"/>
        </w:rPr>
      </w:pPr>
      <w:r w:rsidRPr="00ED6B88">
        <w:rPr>
          <w:rFonts w:ascii="Book Antiqua" w:eastAsia="Book Antiqua" w:hAnsi="Book Antiqua" w:cs="Book Antiqua"/>
          <w:color w:val="000000"/>
        </w:rPr>
        <w:t xml:space="preserve">4 </w:t>
      </w:r>
      <w:r w:rsidRPr="00ED6B88">
        <w:rPr>
          <w:rFonts w:ascii="Book Antiqua" w:eastAsia="Book Antiqua" w:hAnsi="Book Antiqua" w:cs="Book Antiqua"/>
          <w:b/>
          <w:bCs/>
          <w:color w:val="000000"/>
        </w:rPr>
        <w:t>Noonan VL</w:t>
      </w:r>
      <w:r w:rsidRPr="00ED6B88">
        <w:rPr>
          <w:rFonts w:ascii="Book Antiqua" w:eastAsia="Book Antiqua" w:hAnsi="Book Antiqua" w:cs="Book Antiqua"/>
          <w:color w:val="000000"/>
        </w:rPr>
        <w:t xml:space="preserve">, Kalmar JR, Allen CM, Gallagher GT, Kabani S. Sclerosing polycystic adenosis of minor salivary glands: report of three cases and review of the literature. </w:t>
      </w:r>
      <w:r w:rsidRPr="00ED6B88">
        <w:rPr>
          <w:rFonts w:ascii="Book Antiqua" w:eastAsia="Book Antiqua" w:hAnsi="Book Antiqua" w:cs="Book Antiqua"/>
          <w:i/>
          <w:iCs/>
          <w:color w:val="000000"/>
          <w:lang w:val="pt-BR"/>
        </w:rPr>
        <w:t>Oral Surg Oral Med Oral Pathol Oral Radiol Endod</w:t>
      </w:r>
      <w:r w:rsidRPr="00ED6B88">
        <w:rPr>
          <w:rFonts w:ascii="Book Antiqua" w:eastAsia="Book Antiqua" w:hAnsi="Book Antiqua" w:cs="Book Antiqua"/>
          <w:color w:val="000000"/>
          <w:lang w:val="pt-BR"/>
        </w:rPr>
        <w:t xml:space="preserve"> 2007; </w:t>
      </w:r>
      <w:r w:rsidRPr="00ED6B88">
        <w:rPr>
          <w:rFonts w:ascii="Book Antiqua" w:eastAsia="Book Antiqua" w:hAnsi="Book Antiqua" w:cs="Book Antiqua"/>
          <w:b/>
          <w:bCs/>
          <w:color w:val="000000"/>
          <w:lang w:val="pt-BR"/>
        </w:rPr>
        <w:t>104</w:t>
      </w:r>
      <w:r w:rsidRPr="00ED6B88">
        <w:rPr>
          <w:rFonts w:ascii="Book Antiqua" w:eastAsia="Book Antiqua" w:hAnsi="Book Antiqua" w:cs="Book Antiqua"/>
          <w:color w:val="000000"/>
          <w:lang w:val="pt-BR"/>
        </w:rPr>
        <w:t>: 516-520 [PMID: 17150380 DOI: 10.1016/j.tripleo.2006.08.033]</w:t>
      </w:r>
    </w:p>
    <w:p w14:paraId="03EBF1EC" w14:textId="77777777" w:rsidR="00A77B3E" w:rsidRPr="00ED6B88" w:rsidRDefault="003140EF" w:rsidP="00ED6B88">
      <w:pPr>
        <w:spacing w:line="360" w:lineRule="auto"/>
        <w:jc w:val="both"/>
        <w:rPr>
          <w:rFonts w:ascii="Book Antiqua" w:hAnsi="Book Antiqua"/>
          <w:lang w:val="pt-BR"/>
        </w:rPr>
      </w:pPr>
      <w:r w:rsidRPr="00ED6B88">
        <w:rPr>
          <w:rFonts w:ascii="Book Antiqua" w:eastAsia="Book Antiqua" w:hAnsi="Book Antiqua" w:cs="Book Antiqua"/>
          <w:color w:val="000000"/>
          <w:lang w:val="pt-BR"/>
        </w:rPr>
        <w:t xml:space="preserve">5 </w:t>
      </w:r>
      <w:r w:rsidRPr="00ED6B88">
        <w:rPr>
          <w:rFonts w:ascii="Book Antiqua" w:eastAsia="Book Antiqua" w:hAnsi="Book Antiqua" w:cs="Book Antiqua"/>
          <w:b/>
          <w:bCs/>
          <w:color w:val="000000"/>
          <w:lang w:val="pt-BR"/>
        </w:rPr>
        <w:t>Guduguntla P</w:t>
      </w:r>
      <w:r w:rsidRPr="00ED6B88">
        <w:rPr>
          <w:rFonts w:ascii="Book Antiqua" w:eastAsia="Book Antiqua" w:hAnsi="Book Antiqua" w:cs="Book Antiqua"/>
          <w:color w:val="000000"/>
          <w:lang w:val="pt-BR"/>
        </w:rPr>
        <w:t xml:space="preserve">, Korlepara R, Guttikonda VR. </w:t>
      </w:r>
      <w:r w:rsidRPr="00ED6B88">
        <w:rPr>
          <w:rFonts w:ascii="Book Antiqua" w:eastAsia="Book Antiqua" w:hAnsi="Book Antiqua" w:cs="Book Antiqua"/>
          <w:color w:val="000000"/>
        </w:rPr>
        <w:t xml:space="preserve">Sclerosing Polycystic Adenosis of Hard Palate: A Rare Entity in Salivary Glands. </w:t>
      </w:r>
      <w:r w:rsidRPr="00ED6B88">
        <w:rPr>
          <w:rFonts w:ascii="Book Antiqua" w:eastAsia="Book Antiqua" w:hAnsi="Book Antiqua" w:cs="Book Antiqua"/>
          <w:i/>
          <w:iCs/>
          <w:color w:val="000000"/>
          <w:lang w:val="pt-BR"/>
        </w:rPr>
        <w:t>Contemp Clin Dent</w:t>
      </w:r>
      <w:r w:rsidRPr="00ED6B88">
        <w:rPr>
          <w:rFonts w:ascii="Book Antiqua" w:eastAsia="Book Antiqua" w:hAnsi="Book Antiqua" w:cs="Book Antiqua"/>
          <w:color w:val="000000"/>
          <w:lang w:val="pt-BR"/>
        </w:rPr>
        <w:t xml:space="preserve"> 2019; </w:t>
      </w:r>
      <w:r w:rsidRPr="00ED6B88">
        <w:rPr>
          <w:rFonts w:ascii="Book Antiqua" w:eastAsia="Book Antiqua" w:hAnsi="Book Antiqua" w:cs="Book Antiqua"/>
          <w:b/>
          <w:bCs/>
          <w:color w:val="000000"/>
          <w:lang w:val="pt-BR"/>
        </w:rPr>
        <w:t>10</w:t>
      </w:r>
      <w:r w:rsidRPr="00ED6B88">
        <w:rPr>
          <w:rFonts w:ascii="Book Antiqua" w:eastAsia="Book Antiqua" w:hAnsi="Book Antiqua" w:cs="Book Antiqua"/>
          <w:color w:val="000000"/>
          <w:lang w:val="pt-BR"/>
        </w:rPr>
        <w:t>: 676-678 [PMID: 32792830 DOI: 10.4103/ccd.ccd_94_19]</w:t>
      </w:r>
    </w:p>
    <w:p w14:paraId="0DAC9898"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lang w:val="pt-BR"/>
        </w:rPr>
        <w:t xml:space="preserve">6 </w:t>
      </w:r>
      <w:r w:rsidRPr="00ED6B88">
        <w:rPr>
          <w:rFonts w:ascii="Book Antiqua" w:eastAsia="Book Antiqua" w:hAnsi="Book Antiqua" w:cs="Book Antiqua"/>
          <w:b/>
          <w:bCs/>
          <w:color w:val="000000"/>
          <w:lang w:val="pt-BR"/>
        </w:rPr>
        <w:t>Henrique Braz-Silva P</w:t>
      </w:r>
      <w:r w:rsidRPr="00ED6B88">
        <w:rPr>
          <w:rFonts w:ascii="Book Antiqua" w:eastAsia="Book Antiqua" w:hAnsi="Book Antiqua" w:cs="Book Antiqua"/>
          <w:color w:val="000000"/>
          <w:lang w:val="pt-BR"/>
        </w:rPr>
        <w:t xml:space="preserve">, Motta do Canto A, Oliveira L, Martins F, Antônio Pereira da Costa A, Adolfo Costa Hanemann J. Sclerosing Polycystic Adenosis of Tongue. </w:t>
      </w:r>
      <w:r w:rsidRPr="00ED6B88">
        <w:rPr>
          <w:rFonts w:ascii="Book Antiqua" w:eastAsia="Book Antiqua" w:hAnsi="Book Antiqua" w:cs="Book Antiqua"/>
          <w:i/>
          <w:iCs/>
          <w:color w:val="000000"/>
        </w:rPr>
        <w:t>Bull Tokyo Dent Coll</w:t>
      </w:r>
      <w:r w:rsidRPr="00ED6B88">
        <w:rPr>
          <w:rFonts w:ascii="Book Antiqua" w:eastAsia="Book Antiqua" w:hAnsi="Book Antiqua" w:cs="Book Antiqua"/>
          <w:color w:val="000000"/>
        </w:rPr>
        <w:t xml:space="preserve"> 2018; </w:t>
      </w:r>
      <w:r w:rsidRPr="00ED6B88">
        <w:rPr>
          <w:rFonts w:ascii="Book Antiqua" w:eastAsia="Book Antiqua" w:hAnsi="Book Antiqua" w:cs="Book Antiqua"/>
          <w:b/>
          <w:bCs/>
          <w:color w:val="000000"/>
        </w:rPr>
        <w:t>59</w:t>
      </w:r>
      <w:r w:rsidRPr="00ED6B88">
        <w:rPr>
          <w:rFonts w:ascii="Book Antiqua" w:eastAsia="Book Antiqua" w:hAnsi="Book Antiqua" w:cs="Book Antiqua"/>
          <w:color w:val="000000"/>
        </w:rPr>
        <w:t>: 121-125 [PMID: 29962419 DOI: 10.2209/tdcpublication.2017-0029]</w:t>
      </w:r>
    </w:p>
    <w:p w14:paraId="3166B8FD"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7 </w:t>
      </w:r>
      <w:r w:rsidRPr="00ED6B88">
        <w:rPr>
          <w:rFonts w:ascii="Book Antiqua" w:eastAsia="Book Antiqua" w:hAnsi="Book Antiqua" w:cs="Book Antiqua"/>
          <w:b/>
          <w:bCs/>
          <w:color w:val="000000"/>
        </w:rPr>
        <w:t>Beato Martínez A</w:t>
      </w:r>
      <w:r w:rsidRPr="00ED6B88">
        <w:rPr>
          <w:rFonts w:ascii="Book Antiqua" w:eastAsia="Book Antiqua" w:hAnsi="Book Antiqua" w:cs="Book Antiqua"/>
          <w:color w:val="000000"/>
        </w:rPr>
        <w:t xml:space="preserve">, Moreno Juara A, Candia Fernández A. [Sclerosing polycystic adenosis of the submandibular gland]. </w:t>
      </w:r>
      <w:r w:rsidRPr="00ED6B88">
        <w:rPr>
          <w:rFonts w:ascii="Book Antiqua" w:eastAsia="Book Antiqua" w:hAnsi="Book Antiqua" w:cs="Book Antiqua"/>
          <w:i/>
          <w:iCs/>
          <w:color w:val="000000"/>
        </w:rPr>
        <w:t>Acta Otorrinolaringol Esp</w:t>
      </w:r>
      <w:r w:rsidRPr="00ED6B88">
        <w:rPr>
          <w:rFonts w:ascii="Book Antiqua" w:eastAsia="Book Antiqua" w:hAnsi="Book Antiqua" w:cs="Book Antiqua"/>
          <w:color w:val="000000"/>
        </w:rPr>
        <w:t xml:space="preserve"> 2013; </w:t>
      </w:r>
      <w:r w:rsidRPr="00ED6B88">
        <w:rPr>
          <w:rFonts w:ascii="Book Antiqua" w:eastAsia="Book Antiqua" w:hAnsi="Book Antiqua" w:cs="Book Antiqua"/>
          <w:b/>
          <w:bCs/>
          <w:color w:val="000000"/>
        </w:rPr>
        <w:t>64</w:t>
      </w:r>
      <w:r w:rsidRPr="00ED6B88">
        <w:rPr>
          <w:rFonts w:ascii="Book Antiqua" w:eastAsia="Book Antiqua" w:hAnsi="Book Antiqua" w:cs="Book Antiqua"/>
          <w:color w:val="000000"/>
        </w:rPr>
        <w:t>: 78-80 [PMID: 22169590 DOI: 10.1016/j.otorri.2011.09.005]</w:t>
      </w:r>
    </w:p>
    <w:p w14:paraId="4CD39D79"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8 </w:t>
      </w:r>
      <w:r w:rsidRPr="00ED6B88">
        <w:rPr>
          <w:rFonts w:ascii="Book Antiqua" w:eastAsia="Book Antiqua" w:hAnsi="Book Antiqua" w:cs="Book Antiqua"/>
          <w:b/>
          <w:bCs/>
          <w:color w:val="000000"/>
        </w:rPr>
        <w:t>Bishop JA</w:t>
      </w:r>
      <w:r w:rsidRPr="00ED6B88">
        <w:rPr>
          <w:rFonts w:ascii="Book Antiqua" w:eastAsia="Book Antiqua" w:hAnsi="Book Antiqua" w:cs="Book Antiqua"/>
          <w:color w:val="000000"/>
        </w:rPr>
        <w:t xml:space="preserve">, Gagan J, Baumhoer D, McLean-Holden AL, Oliai BR, Couce M, Thompson LDR. Sclerosing Polycystic "Adenosis" of Salivary Glands: A Neoplasm Characterized by PI3K Pathway Alterations More Correctly Named Sclerosing Polycystic Adenoma. </w:t>
      </w:r>
      <w:r w:rsidRPr="00ED6B88">
        <w:rPr>
          <w:rFonts w:ascii="Book Antiqua" w:eastAsia="Book Antiqua" w:hAnsi="Book Antiqua" w:cs="Book Antiqua"/>
          <w:i/>
          <w:iCs/>
          <w:color w:val="000000"/>
        </w:rPr>
        <w:t>Head Neck Pathol</w:t>
      </w:r>
      <w:r w:rsidRPr="00ED6B88">
        <w:rPr>
          <w:rFonts w:ascii="Book Antiqua" w:eastAsia="Book Antiqua" w:hAnsi="Book Antiqua" w:cs="Book Antiqua"/>
          <w:color w:val="000000"/>
        </w:rPr>
        <w:t xml:space="preserve"> 2020; </w:t>
      </w:r>
      <w:r w:rsidRPr="00ED6B88">
        <w:rPr>
          <w:rFonts w:ascii="Book Antiqua" w:eastAsia="Book Antiqua" w:hAnsi="Book Antiqua" w:cs="Book Antiqua"/>
          <w:b/>
          <w:bCs/>
          <w:color w:val="000000"/>
        </w:rPr>
        <w:t>14</w:t>
      </w:r>
      <w:r w:rsidRPr="00ED6B88">
        <w:rPr>
          <w:rFonts w:ascii="Book Antiqua" w:eastAsia="Book Antiqua" w:hAnsi="Book Antiqua" w:cs="Book Antiqua"/>
          <w:color w:val="000000"/>
        </w:rPr>
        <w:t>: 630-636 [PMID: 31605313 DOI: 10.1007/s12105-019-01088-0]</w:t>
      </w:r>
    </w:p>
    <w:p w14:paraId="6D4D0372" w14:textId="2F435DD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9 </w:t>
      </w:r>
      <w:r w:rsidRPr="00ED6B88">
        <w:rPr>
          <w:rFonts w:ascii="Book Antiqua" w:eastAsia="Book Antiqua" w:hAnsi="Book Antiqua" w:cs="Book Antiqua"/>
          <w:b/>
          <w:bCs/>
          <w:color w:val="000000"/>
        </w:rPr>
        <w:t>Eliot CA</w:t>
      </w:r>
      <w:r w:rsidRPr="00ED6B88">
        <w:rPr>
          <w:rFonts w:ascii="Book Antiqua" w:eastAsia="Book Antiqua" w:hAnsi="Book Antiqua" w:cs="Book Antiqua"/>
          <w:color w:val="000000"/>
        </w:rPr>
        <w:t xml:space="preserve">, Smith AB, Foss RD. Sclerosing polycystic adenosis. </w:t>
      </w:r>
      <w:r w:rsidRPr="00ED6B88">
        <w:rPr>
          <w:rFonts w:ascii="Book Antiqua" w:eastAsia="Book Antiqua" w:hAnsi="Book Antiqua" w:cs="Book Antiqua"/>
          <w:i/>
          <w:iCs/>
          <w:color w:val="000000"/>
        </w:rPr>
        <w:t>Head Neck Pathol</w:t>
      </w:r>
      <w:r w:rsidRPr="00ED6B88">
        <w:rPr>
          <w:rFonts w:ascii="Book Antiqua" w:eastAsia="Book Antiqua" w:hAnsi="Book Antiqua" w:cs="Book Antiqua"/>
          <w:color w:val="000000"/>
        </w:rPr>
        <w:t xml:space="preserve"> 2012; </w:t>
      </w:r>
      <w:r w:rsidRPr="00ED6B88">
        <w:rPr>
          <w:rFonts w:ascii="Book Antiqua" w:eastAsia="Book Antiqua" w:hAnsi="Book Antiqua" w:cs="Book Antiqua"/>
          <w:b/>
          <w:bCs/>
          <w:color w:val="000000"/>
        </w:rPr>
        <w:t>6</w:t>
      </w:r>
      <w:r w:rsidRPr="00ED6B88">
        <w:rPr>
          <w:rFonts w:ascii="Book Antiqua" w:eastAsia="Book Antiqua" w:hAnsi="Book Antiqua" w:cs="Book Antiqua"/>
          <w:color w:val="000000"/>
        </w:rPr>
        <w:t>: 247-249 [PMID: 22183766 DOI: 10.1007/s12105-011-0317-4]</w:t>
      </w:r>
    </w:p>
    <w:p w14:paraId="3E8A1A1C"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lang w:val="pt-BR"/>
        </w:rPr>
        <w:t xml:space="preserve">10 </w:t>
      </w:r>
      <w:r w:rsidRPr="00ED6B88">
        <w:rPr>
          <w:rFonts w:ascii="Book Antiqua" w:eastAsia="Book Antiqua" w:hAnsi="Book Antiqua" w:cs="Book Antiqua"/>
          <w:b/>
          <w:bCs/>
          <w:color w:val="000000"/>
          <w:lang w:val="pt-BR"/>
        </w:rPr>
        <w:t>Espinosa CA</w:t>
      </w:r>
      <w:r w:rsidRPr="00ED6B88">
        <w:rPr>
          <w:rFonts w:ascii="Book Antiqua" w:eastAsia="Book Antiqua" w:hAnsi="Book Antiqua" w:cs="Book Antiqua"/>
          <w:color w:val="000000"/>
          <w:lang w:val="pt-BR"/>
        </w:rPr>
        <w:t xml:space="preserve">, Rua L, Torres HE, Fernández Del Valle Á, Fernandes RP, Devicente JC. </w:t>
      </w:r>
      <w:r w:rsidRPr="00ED6B88">
        <w:rPr>
          <w:rFonts w:ascii="Book Antiqua" w:eastAsia="Book Antiqua" w:hAnsi="Book Antiqua" w:cs="Book Antiqua"/>
          <w:color w:val="000000"/>
        </w:rPr>
        <w:t xml:space="preserve">Sclerosing Polycystic Adenosis of the Parotid Gland: A Systematic Review and Report of 2 New Cases. </w:t>
      </w:r>
      <w:r w:rsidRPr="00ED6B88">
        <w:rPr>
          <w:rFonts w:ascii="Book Antiqua" w:eastAsia="Book Antiqua" w:hAnsi="Book Antiqua" w:cs="Book Antiqua"/>
          <w:i/>
          <w:iCs/>
          <w:color w:val="000000"/>
        </w:rPr>
        <w:t>J Oral Maxillofac Surg</w:t>
      </w:r>
      <w:r w:rsidRPr="00ED6B88">
        <w:rPr>
          <w:rFonts w:ascii="Book Antiqua" w:eastAsia="Book Antiqua" w:hAnsi="Book Antiqua" w:cs="Book Antiqua"/>
          <w:color w:val="000000"/>
        </w:rPr>
        <w:t xml:space="preserve"> 2017; </w:t>
      </w:r>
      <w:r w:rsidRPr="00ED6B88">
        <w:rPr>
          <w:rFonts w:ascii="Book Antiqua" w:eastAsia="Book Antiqua" w:hAnsi="Book Antiqua" w:cs="Book Antiqua"/>
          <w:b/>
          <w:bCs/>
          <w:color w:val="000000"/>
        </w:rPr>
        <w:t>75</w:t>
      </w:r>
      <w:r w:rsidRPr="00ED6B88">
        <w:rPr>
          <w:rFonts w:ascii="Book Antiqua" w:eastAsia="Book Antiqua" w:hAnsi="Book Antiqua" w:cs="Book Antiqua"/>
          <w:color w:val="000000"/>
        </w:rPr>
        <w:t>: 984-993 [PMID: 27888671 DOI: 10.1016/j.joms.2016.10.031]</w:t>
      </w:r>
    </w:p>
    <w:p w14:paraId="53187B03"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11 </w:t>
      </w:r>
      <w:r w:rsidRPr="00ED6B88">
        <w:rPr>
          <w:rFonts w:ascii="Book Antiqua" w:eastAsia="Book Antiqua" w:hAnsi="Book Antiqua" w:cs="Book Antiqua"/>
          <w:b/>
          <w:bCs/>
          <w:color w:val="000000"/>
        </w:rPr>
        <w:t>Petersson F</w:t>
      </w:r>
      <w:r w:rsidRPr="00ED6B88">
        <w:rPr>
          <w:rFonts w:ascii="Book Antiqua" w:eastAsia="Book Antiqua" w:hAnsi="Book Antiqua" w:cs="Book Antiqua"/>
          <w:color w:val="000000"/>
        </w:rPr>
        <w:t xml:space="preserve">, Tan PH, Hwang JS. Sclerosing polycystic adenosis of the parotid gland: report of a bifocal, paucicystic variant with ductal carcinoma in situ and pronounced stromal distortion mimicking invasive carcinoma. </w:t>
      </w:r>
      <w:r w:rsidRPr="00ED6B88">
        <w:rPr>
          <w:rFonts w:ascii="Book Antiqua" w:eastAsia="Book Antiqua" w:hAnsi="Book Antiqua" w:cs="Book Antiqua"/>
          <w:i/>
          <w:iCs/>
          <w:color w:val="000000"/>
        </w:rPr>
        <w:t>Head Neck Pathol</w:t>
      </w:r>
      <w:r w:rsidRPr="00ED6B88">
        <w:rPr>
          <w:rFonts w:ascii="Book Antiqua" w:eastAsia="Book Antiqua" w:hAnsi="Book Antiqua" w:cs="Book Antiqua"/>
          <w:color w:val="000000"/>
        </w:rPr>
        <w:t xml:space="preserve"> 2011; </w:t>
      </w:r>
      <w:r w:rsidRPr="00ED6B88">
        <w:rPr>
          <w:rFonts w:ascii="Book Antiqua" w:eastAsia="Book Antiqua" w:hAnsi="Book Antiqua" w:cs="Book Antiqua"/>
          <w:b/>
          <w:bCs/>
          <w:color w:val="000000"/>
        </w:rPr>
        <w:t>5</w:t>
      </w:r>
      <w:r w:rsidRPr="00ED6B88">
        <w:rPr>
          <w:rFonts w:ascii="Book Antiqua" w:eastAsia="Book Antiqua" w:hAnsi="Book Antiqua" w:cs="Book Antiqua"/>
          <w:color w:val="000000"/>
        </w:rPr>
        <w:t>: 188-192 [PMID: 21286874 DOI: 10.1007/s12105-011-0242-6]</w:t>
      </w:r>
    </w:p>
    <w:p w14:paraId="6D340FEF"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12 </w:t>
      </w:r>
      <w:r w:rsidRPr="00ED6B88">
        <w:rPr>
          <w:rFonts w:ascii="Book Antiqua" w:eastAsia="Book Antiqua" w:hAnsi="Book Antiqua" w:cs="Book Antiqua"/>
          <w:b/>
          <w:bCs/>
          <w:color w:val="000000"/>
        </w:rPr>
        <w:t>Canas Marques R</w:t>
      </w:r>
      <w:r w:rsidRPr="00ED6B88">
        <w:rPr>
          <w:rFonts w:ascii="Book Antiqua" w:eastAsia="Book Antiqua" w:hAnsi="Book Antiqua" w:cs="Book Antiqua"/>
          <w:color w:val="000000"/>
        </w:rPr>
        <w:t xml:space="preserve">, Félix A. Invasive carcinoma arising from sclerosing polycystic adenosis of the salivary gland. </w:t>
      </w:r>
      <w:r w:rsidRPr="00ED6B88">
        <w:rPr>
          <w:rFonts w:ascii="Book Antiqua" w:eastAsia="Book Antiqua" w:hAnsi="Book Antiqua" w:cs="Book Antiqua"/>
          <w:i/>
          <w:iCs/>
          <w:color w:val="000000"/>
        </w:rPr>
        <w:t>Virchows Arch</w:t>
      </w:r>
      <w:r w:rsidRPr="00ED6B88">
        <w:rPr>
          <w:rFonts w:ascii="Book Antiqua" w:eastAsia="Book Antiqua" w:hAnsi="Book Antiqua" w:cs="Book Antiqua"/>
          <w:color w:val="000000"/>
        </w:rPr>
        <w:t xml:space="preserve"> 2014; </w:t>
      </w:r>
      <w:r w:rsidRPr="00ED6B88">
        <w:rPr>
          <w:rFonts w:ascii="Book Antiqua" w:eastAsia="Book Antiqua" w:hAnsi="Book Antiqua" w:cs="Book Antiqua"/>
          <w:b/>
          <w:bCs/>
          <w:color w:val="000000"/>
        </w:rPr>
        <w:t>464</w:t>
      </w:r>
      <w:r w:rsidRPr="00ED6B88">
        <w:rPr>
          <w:rFonts w:ascii="Book Antiqua" w:eastAsia="Book Antiqua" w:hAnsi="Book Antiqua" w:cs="Book Antiqua"/>
          <w:color w:val="000000"/>
        </w:rPr>
        <w:t>: 621-625 [PMID: 24584973 DOI: 10.1007/s00428-014-1551-4]</w:t>
      </w:r>
    </w:p>
    <w:p w14:paraId="0154289B"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13 </w:t>
      </w:r>
      <w:r w:rsidRPr="00ED6B88">
        <w:rPr>
          <w:rFonts w:ascii="Book Antiqua" w:eastAsia="Book Antiqua" w:hAnsi="Book Antiqua" w:cs="Book Antiqua"/>
          <w:b/>
          <w:bCs/>
          <w:color w:val="000000"/>
        </w:rPr>
        <w:t>Manojlović S</w:t>
      </w:r>
      <w:r w:rsidRPr="00ED6B88">
        <w:rPr>
          <w:rFonts w:ascii="Book Antiqua" w:eastAsia="Book Antiqua" w:hAnsi="Book Antiqua" w:cs="Book Antiqua"/>
          <w:color w:val="000000"/>
        </w:rPr>
        <w:t xml:space="preserve">, Virag M, Milenović A, Manojlović L, Salek Z, Skálová A. Sclerosing polycystic adenosis of parotid gland: a unique report of two cases occurring in two sisters. </w:t>
      </w:r>
      <w:r w:rsidRPr="00ED6B88">
        <w:rPr>
          <w:rFonts w:ascii="Book Antiqua" w:eastAsia="Book Antiqua" w:hAnsi="Book Antiqua" w:cs="Book Antiqua"/>
          <w:i/>
          <w:iCs/>
          <w:color w:val="000000"/>
        </w:rPr>
        <w:t>Pathol Res Pract</w:t>
      </w:r>
      <w:r w:rsidRPr="00ED6B88">
        <w:rPr>
          <w:rFonts w:ascii="Book Antiqua" w:eastAsia="Book Antiqua" w:hAnsi="Book Antiqua" w:cs="Book Antiqua"/>
          <w:color w:val="000000"/>
        </w:rPr>
        <w:t xml:space="preserve"> 2014; </w:t>
      </w:r>
      <w:r w:rsidRPr="00ED6B88">
        <w:rPr>
          <w:rFonts w:ascii="Book Antiqua" w:eastAsia="Book Antiqua" w:hAnsi="Book Antiqua" w:cs="Book Antiqua"/>
          <w:b/>
          <w:bCs/>
          <w:color w:val="000000"/>
        </w:rPr>
        <w:t>210</w:t>
      </w:r>
      <w:r w:rsidRPr="00ED6B88">
        <w:rPr>
          <w:rFonts w:ascii="Book Antiqua" w:eastAsia="Book Antiqua" w:hAnsi="Book Antiqua" w:cs="Book Antiqua"/>
          <w:color w:val="000000"/>
        </w:rPr>
        <w:t>: 342-345 [PMID: 24636837 DOI: 10.1016/j.prp.2014.01.006]</w:t>
      </w:r>
    </w:p>
    <w:p w14:paraId="14A681A0"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14 </w:t>
      </w:r>
      <w:r w:rsidRPr="00ED6B88">
        <w:rPr>
          <w:rFonts w:ascii="Book Antiqua" w:eastAsia="Book Antiqua" w:hAnsi="Book Antiqua" w:cs="Book Antiqua"/>
          <w:b/>
          <w:bCs/>
          <w:color w:val="000000"/>
        </w:rPr>
        <w:t>Swelam WM</w:t>
      </w:r>
      <w:r w:rsidRPr="00ED6B88">
        <w:rPr>
          <w:rFonts w:ascii="Book Antiqua" w:eastAsia="Book Antiqua" w:hAnsi="Book Antiqua" w:cs="Book Antiqua"/>
          <w:color w:val="000000"/>
        </w:rPr>
        <w:t xml:space="preserve">. The pathogenic role of Epstein-Barr virus (EBV) in sclerosing polycystic adenosis. </w:t>
      </w:r>
      <w:r w:rsidRPr="00ED6B88">
        <w:rPr>
          <w:rFonts w:ascii="Book Antiqua" w:eastAsia="Book Antiqua" w:hAnsi="Book Antiqua" w:cs="Book Antiqua"/>
          <w:i/>
          <w:iCs/>
          <w:color w:val="000000"/>
        </w:rPr>
        <w:t>Pathol Res Pract</w:t>
      </w:r>
      <w:r w:rsidRPr="00ED6B88">
        <w:rPr>
          <w:rFonts w:ascii="Book Antiqua" w:eastAsia="Book Antiqua" w:hAnsi="Book Antiqua" w:cs="Book Antiqua"/>
          <w:color w:val="000000"/>
        </w:rPr>
        <w:t xml:space="preserve"> 2010; </w:t>
      </w:r>
      <w:r w:rsidRPr="00ED6B88">
        <w:rPr>
          <w:rFonts w:ascii="Book Antiqua" w:eastAsia="Book Antiqua" w:hAnsi="Book Antiqua" w:cs="Book Antiqua"/>
          <w:b/>
          <w:bCs/>
          <w:color w:val="000000"/>
        </w:rPr>
        <w:t>206</w:t>
      </w:r>
      <w:r w:rsidRPr="00ED6B88">
        <w:rPr>
          <w:rFonts w:ascii="Book Antiqua" w:eastAsia="Book Antiqua" w:hAnsi="Book Antiqua" w:cs="Book Antiqua"/>
          <w:color w:val="000000"/>
        </w:rPr>
        <w:t>: 565-571 [PMID: 20400234 DOI: 10.1016/j.prp.2010.03.003]</w:t>
      </w:r>
    </w:p>
    <w:p w14:paraId="52C79D42"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15 </w:t>
      </w:r>
      <w:r w:rsidRPr="00ED6B88">
        <w:rPr>
          <w:rFonts w:ascii="Book Antiqua" w:eastAsia="Book Antiqua" w:hAnsi="Book Antiqua" w:cs="Book Antiqua"/>
          <w:b/>
          <w:bCs/>
          <w:color w:val="000000"/>
        </w:rPr>
        <w:t>Skálová A</w:t>
      </w:r>
      <w:r w:rsidRPr="00ED6B88">
        <w:rPr>
          <w:rFonts w:ascii="Book Antiqua" w:eastAsia="Book Antiqua" w:hAnsi="Book Antiqua" w:cs="Book Antiqua"/>
          <w:color w:val="000000"/>
        </w:rPr>
        <w:t xml:space="preserve">, Gnepp DR, Simpson RH, Lewis JE, Janssen D, Sima R, Vanecek T, Di Palma S, Michal M. Clonal nature of sclerosing polycystic adenosis of salivary glands demonstrated by using the polymorphism of the human androgen receptor (HUMARA) locus as a marker. </w:t>
      </w:r>
      <w:r w:rsidRPr="00ED6B88">
        <w:rPr>
          <w:rFonts w:ascii="Book Antiqua" w:eastAsia="Book Antiqua" w:hAnsi="Book Antiqua" w:cs="Book Antiqua"/>
          <w:i/>
          <w:iCs/>
          <w:color w:val="000000"/>
        </w:rPr>
        <w:t>Am J Surg Pathol</w:t>
      </w:r>
      <w:r w:rsidRPr="00ED6B88">
        <w:rPr>
          <w:rFonts w:ascii="Book Antiqua" w:eastAsia="Book Antiqua" w:hAnsi="Book Antiqua" w:cs="Book Antiqua"/>
          <w:color w:val="000000"/>
        </w:rPr>
        <w:t xml:space="preserve"> 2006; </w:t>
      </w:r>
      <w:r w:rsidRPr="00ED6B88">
        <w:rPr>
          <w:rFonts w:ascii="Book Antiqua" w:eastAsia="Book Antiqua" w:hAnsi="Book Antiqua" w:cs="Book Antiqua"/>
          <w:b/>
          <w:bCs/>
          <w:color w:val="000000"/>
        </w:rPr>
        <w:t>30</w:t>
      </w:r>
      <w:r w:rsidRPr="00ED6B88">
        <w:rPr>
          <w:rFonts w:ascii="Book Antiqua" w:eastAsia="Book Antiqua" w:hAnsi="Book Antiqua" w:cs="Book Antiqua"/>
          <w:color w:val="000000"/>
        </w:rPr>
        <w:t>: 939-944 [PMID: 16861963 DOI: 10.1097/00000478-200608000-00002]</w:t>
      </w:r>
    </w:p>
    <w:p w14:paraId="4EE8D2EA"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16 </w:t>
      </w:r>
      <w:r w:rsidRPr="00ED6B88">
        <w:rPr>
          <w:rFonts w:ascii="Book Antiqua" w:eastAsia="Book Antiqua" w:hAnsi="Book Antiqua" w:cs="Book Antiqua"/>
          <w:b/>
          <w:bCs/>
          <w:color w:val="000000"/>
        </w:rPr>
        <w:t>Kawai M</w:t>
      </w:r>
      <w:r w:rsidRPr="00ED6B88">
        <w:rPr>
          <w:rFonts w:ascii="Book Antiqua" w:eastAsia="Book Antiqua" w:hAnsi="Book Antiqua" w:cs="Book Antiqua"/>
          <w:color w:val="000000"/>
        </w:rPr>
        <w:t xml:space="preserve">, Inoue T, Yonaga T, Mochizuki K, Nakazawa T, Masuyama K, Kondo T. Juvenile sclerosing polycystic adenosis cytologically mimicking Warthin tumor. </w:t>
      </w:r>
      <w:r w:rsidRPr="00ED6B88">
        <w:rPr>
          <w:rFonts w:ascii="Book Antiqua" w:eastAsia="Book Antiqua" w:hAnsi="Book Antiqua" w:cs="Book Antiqua"/>
          <w:i/>
          <w:iCs/>
          <w:color w:val="000000"/>
        </w:rPr>
        <w:t>Diagn Cytopathol</w:t>
      </w:r>
      <w:r w:rsidRPr="00ED6B88">
        <w:rPr>
          <w:rFonts w:ascii="Book Antiqua" w:eastAsia="Book Antiqua" w:hAnsi="Book Antiqua" w:cs="Book Antiqua"/>
          <w:color w:val="000000"/>
        </w:rPr>
        <w:t xml:space="preserve"> 2019; </w:t>
      </w:r>
      <w:r w:rsidRPr="00ED6B88">
        <w:rPr>
          <w:rFonts w:ascii="Book Antiqua" w:eastAsia="Book Antiqua" w:hAnsi="Book Antiqua" w:cs="Book Antiqua"/>
          <w:b/>
          <w:bCs/>
          <w:color w:val="000000"/>
        </w:rPr>
        <w:t>47</w:t>
      </w:r>
      <w:r w:rsidRPr="00ED6B88">
        <w:rPr>
          <w:rFonts w:ascii="Book Antiqua" w:eastAsia="Book Antiqua" w:hAnsi="Book Antiqua" w:cs="Book Antiqua"/>
          <w:color w:val="000000"/>
        </w:rPr>
        <w:t>: 1208-1212 [PMID: 31329351 DOI: 10.1002/dc.24283]</w:t>
      </w:r>
    </w:p>
    <w:p w14:paraId="54F04CBF"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17 </w:t>
      </w:r>
      <w:r w:rsidRPr="00ED6B88">
        <w:rPr>
          <w:rFonts w:ascii="Book Antiqua" w:eastAsia="Book Antiqua" w:hAnsi="Book Antiqua" w:cs="Book Antiqua"/>
          <w:b/>
          <w:bCs/>
          <w:color w:val="000000"/>
        </w:rPr>
        <w:t>Etit D</w:t>
      </w:r>
      <w:r w:rsidRPr="00ED6B88">
        <w:rPr>
          <w:rFonts w:ascii="Book Antiqua" w:eastAsia="Book Antiqua" w:hAnsi="Book Antiqua" w:cs="Book Antiqua"/>
          <w:color w:val="000000"/>
        </w:rPr>
        <w:t xml:space="preserve">, Pilch BZ, Osgood R, Faquin WC. Fine-needle aspiration biopsy findings in sclerosing polycystic adenosis of the parotid gland. </w:t>
      </w:r>
      <w:r w:rsidRPr="00ED6B88">
        <w:rPr>
          <w:rFonts w:ascii="Book Antiqua" w:eastAsia="Book Antiqua" w:hAnsi="Book Antiqua" w:cs="Book Antiqua"/>
          <w:i/>
          <w:iCs/>
          <w:color w:val="000000"/>
        </w:rPr>
        <w:t>Diagn Cytopathol</w:t>
      </w:r>
      <w:r w:rsidRPr="00ED6B88">
        <w:rPr>
          <w:rFonts w:ascii="Book Antiqua" w:eastAsia="Book Antiqua" w:hAnsi="Book Antiqua" w:cs="Book Antiqua"/>
          <w:color w:val="000000"/>
        </w:rPr>
        <w:t xml:space="preserve"> 2007; </w:t>
      </w:r>
      <w:r w:rsidRPr="00ED6B88">
        <w:rPr>
          <w:rFonts w:ascii="Book Antiqua" w:eastAsia="Book Antiqua" w:hAnsi="Book Antiqua" w:cs="Book Antiqua"/>
          <w:b/>
          <w:bCs/>
          <w:color w:val="000000"/>
        </w:rPr>
        <w:t>35</w:t>
      </w:r>
      <w:r w:rsidRPr="00ED6B88">
        <w:rPr>
          <w:rFonts w:ascii="Book Antiqua" w:eastAsia="Book Antiqua" w:hAnsi="Book Antiqua" w:cs="Book Antiqua"/>
          <w:color w:val="000000"/>
        </w:rPr>
        <w:t>: 444-447 [PMID: 17580340 DOI: 10.1002/dc.20671]</w:t>
      </w:r>
    </w:p>
    <w:p w14:paraId="21BD3140"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18 </w:t>
      </w:r>
      <w:r w:rsidRPr="00ED6B88">
        <w:rPr>
          <w:rFonts w:ascii="Book Antiqua" w:eastAsia="Book Antiqua" w:hAnsi="Book Antiqua" w:cs="Book Antiqua"/>
          <w:b/>
          <w:bCs/>
          <w:color w:val="000000"/>
        </w:rPr>
        <w:t>Fulciniti F</w:t>
      </w:r>
      <w:r w:rsidRPr="00ED6B88">
        <w:rPr>
          <w:rFonts w:ascii="Book Antiqua" w:eastAsia="Book Antiqua" w:hAnsi="Book Antiqua" w:cs="Book Antiqua"/>
          <w:color w:val="000000"/>
        </w:rPr>
        <w:t xml:space="preserve">, Losito NS, Ionna F, Longo F, Aversa C, Botti G, Foschini MP. Sclerosing polycystic adenosis of the parotid gland: report of one case diagnosed by fine-needle cytology with in situ malignant transformation. </w:t>
      </w:r>
      <w:r w:rsidRPr="00ED6B88">
        <w:rPr>
          <w:rFonts w:ascii="Book Antiqua" w:eastAsia="Book Antiqua" w:hAnsi="Book Antiqua" w:cs="Book Antiqua"/>
          <w:i/>
          <w:iCs/>
          <w:color w:val="000000"/>
        </w:rPr>
        <w:t>Diagn Cytopathol</w:t>
      </w:r>
      <w:r w:rsidRPr="00ED6B88">
        <w:rPr>
          <w:rFonts w:ascii="Book Antiqua" w:eastAsia="Book Antiqua" w:hAnsi="Book Antiqua" w:cs="Book Antiqua"/>
          <w:color w:val="000000"/>
        </w:rPr>
        <w:t xml:space="preserve"> 2010; </w:t>
      </w:r>
      <w:r w:rsidRPr="00ED6B88">
        <w:rPr>
          <w:rFonts w:ascii="Book Antiqua" w:eastAsia="Book Antiqua" w:hAnsi="Book Antiqua" w:cs="Book Antiqua"/>
          <w:b/>
          <w:bCs/>
          <w:color w:val="000000"/>
        </w:rPr>
        <w:t>38</w:t>
      </w:r>
      <w:r w:rsidRPr="00ED6B88">
        <w:rPr>
          <w:rFonts w:ascii="Book Antiqua" w:eastAsia="Book Antiqua" w:hAnsi="Book Antiqua" w:cs="Book Antiqua"/>
          <w:color w:val="000000"/>
        </w:rPr>
        <w:t>: 368-373 [PMID: 19937766 DOI: 10.1002/dc.21228]</w:t>
      </w:r>
    </w:p>
    <w:p w14:paraId="7217335F"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 xml:space="preserve">19 </w:t>
      </w:r>
      <w:r w:rsidRPr="00ED6B88">
        <w:rPr>
          <w:rFonts w:ascii="Book Antiqua" w:eastAsia="Book Antiqua" w:hAnsi="Book Antiqua" w:cs="Book Antiqua"/>
          <w:b/>
          <w:bCs/>
          <w:color w:val="000000"/>
        </w:rPr>
        <w:t>Mackle T</w:t>
      </w:r>
      <w:r w:rsidRPr="00ED6B88">
        <w:rPr>
          <w:rFonts w:ascii="Book Antiqua" w:eastAsia="Book Antiqua" w:hAnsi="Book Antiqua" w:cs="Book Antiqua"/>
          <w:color w:val="000000"/>
        </w:rPr>
        <w:t xml:space="preserve">, Mulligan AM, Dervan PA, O'Dwyer T. Sclerosing polycystic sialadenopathy: a rare cause of recurrent tumor of the parotid gland. </w:t>
      </w:r>
      <w:r w:rsidRPr="00ED6B88">
        <w:rPr>
          <w:rFonts w:ascii="Book Antiqua" w:eastAsia="Book Antiqua" w:hAnsi="Book Antiqua" w:cs="Book Antiqua"/>
          <w:i/>
          <w:iCs/>
          <w:color w:val="000000"/>
        </w:rPr>
        <w:t>Arch Otolaryngol Head Neck Surg</w:t>
      </w:r>
      <w:r w:rsidRPr="00ED6B88">
        <w:rPr>
          <w:rFonts w:ascii="Book Antiqua" w:eastAsia="Book Antiqua" w:hAnsi="Book Antiqua" w:cs="Book Antiqua"/>
          <w:color w:val="000000"/>
        </w:rPr>
        <w:t xml:space="preserve"> 2004; </w:t>
      </w:r>
      <w:r w:rsidRPr="00ED6B88">
        <w:rPr>
          <w:rFonts w:ascii="Book Antiqua" w:eastAsia="Book Antiqua" w:hAnsi="Book Antiqua" w:cs="Book Antiqua"/>
          <w:b/>
          <w:bCs/>
          <w:color w:val="000000"/>
        </w:rPr>
        <w:t>130</w:t>
      </w:r>
      <w:r w:rsidRPr="00ED6B88">
        <w:rPr>
          <w:rFonts w:ascii="Book Antiqua" w:eastAsia="Book Antiqua" w:hAnsi="Book Antiqua" w:cs="Book Antiqua"/>
          <w:color w:val="000000"/>
        </w:rPr>
        <w:t>: 357-360 [PMID: 15023848 DOI: 10.1001/archotol.130.3.357]</w:t>
      </w:r>
    </w:p>
    <w:bookmarkEnd w:id="58"/>
    <w:bookmarkEnd w:id="59"/>
    <w:p w14:paraId="7F1ABC84" w14:textId="77777777" w:rsidR="00A77B3E" w:rsidRPr="00ED6B88" w:rsidRDefault="00A77B3E" w:rsidP="00ED6B88">
      <w:pPr>
        <w:spacing w:line="360" w:lineRule="auto"/>
        <w:jc w:val="both"/>
        <w:rPr>
          <w:rFonts w:ascii="Book Antiqua" w:hAnsi="Book Antiqua"/>
        </w:rPr>
        <w:sectPr w:rsidR="00A77B3E" w:rsidRPr="00ED6B88">
          <w:pgSz w:w="12240" w:h="15840"/>
          <w:pgMar w:top="1440" w:right="1440" w:bottom="1440" w:left="1440" w:header="720" w:footer="720" w:gutter="0"/>
          <w:cols w:space="720"/>
          <w:docGrid w:linePitch="360"/>
        </w:sectPr>
      </w:pPr>
    </w:p>
    <w:p w14:paraId="3FBF21A5"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Footnotes</w:t>
      </w:r>
    </w:p>
    <w:p w14:paraId="227A7D00"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Informed consent statement: </w:t>
      </w:r>
      <w:r w:rsidRPr="00ED6B88">
        <w:rPr>
          <w:rFonts w:ascii="Book Antiqua" w:eastAsia="Book Antiqua" w:hAnsi="Book Antiqua" w:cs="Book Antiqua"/>
          <w:color w:val="000000"/>
        </w:rPr>
        <w:t xml:space="preserve">Informed written consent was obtained from the patient for publication of this report and any accompanying images. </w:t>
      </w:r>
    </w:p>
    <w:p w14:paraId="501A3C78" w14:textId="77777777" w:rsidR="00A77B3E" w:rsidRPr="00ED6B88" w:rsidRDefault="00A77B3E" w:rsidP="00ED6B88">
      <w:pPr>
        <w:spacing w:line="360" w:lineRule="auto"/>
        <w:jc w:val="both"/>
        <w:rPr>
          <w:rFonts w:ascii="Book Antiqua" w:hAnsi="Book Antiqua"/>
        </w:rPr>
      </w:pPr>
    </w:p>
    <w:p w14:paraId="198EAEC6"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Conflict-of-interest statement: </w:t>
      </w:r>
      <w:r w:rsidRPr="00ED6B88">
        <w:rPr>
          <w:rFonts w:ascii="Book Antiqua" w:eastAsia="Book Antiqua" w:hAnsi="Book Antiqua" w:cs="Book Antiqua"/>
          <w:color w:val="000000"/>
        </w:rPr>
        <w:t xml:space="preserve">The authors declare that they have no conflict of interest. </w:t>
      </w:r>
    </w:p>
    <w:p w14:paraId="11D399FB" w14:textId="77777777" w:rsidR="00A77B3E" w:rsidRPr="00ED6B88" w:rsidRDefault="00A77B3E" w:rsidP="00ED6B88">
      <w:pPr>
        <w:spacing w:line="360" w:lineRule="auto"/>
        <w:jc w:val="both"/>
        <w:rPr>
          <w:rFonts w:ascii="Book Antiqua" w:hAnsi="Book Antiqua"/>
        </w:rPr>
      </w:pPr>
    </w:p>
    <w:p w14:paraId="7DC6E090"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CARE Checklist (2016) statement: </w:t>
      </w:r>
      <w:bookmarkStart w:id="60" w:name="OLE_LINK112"/>
      <w:r w:rsidRPr="00ED6B88">
        <w:rPr>
          <w:rFonts w:ascii="Book Antiqua" w:eastAsia="Book Antiqua" w:hAnsi="Book Antiqua" w:cs="Book Antiqua"/>
          <w:color w:val="000000"/>
        </w:rPr>
        <w:t>The authors have read the CARE Checklist (2016), and the manuscript was prepared and revised according to the CARE Checklist (2016).</w:t>
      </w:r>
    </w:p>
    <w:bookmarkEnd w:id="60"/>
    <w:p w14:paraId="51A1DEDC" w14:textId="77777777" w:rsidR="00A77B3E" w:rsidRPr="00ED6B88" w:rsidRDefault="00A77B3E" w:rsidP="00ED6B88">
      <w:pPr>
        <w:spacing w:line="360" w:lineRule="auto"/>
        <w:jc w:val="both"/>
        <w:rPr>
          <w:rFonts w:ascii="Book Antiqua" w:hAnsi="Book Antiqua"/>
        </w:rPr>
      </w:pPr>
    </w:p>
    <w:p w14:paraId="49EF8326"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Open-Access: </w:t>
      </w:r>
      <w:r w:rsidRPr="00ED6B8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8731DC" w14:textId="77777777" w:rsidR="00A77B3E" w:rsidRPr="00ED6B88" w:rsidRDefault="00A77B3E" w:rsidP="00ED6B88">
      <w:pPr>
        <w:spacing w:line="360" w:lineRule="auto"/>
        <w:jc w:val="both"/>
        <w:rPr>
          <w:rFonts w:ascii="Book Antiqua" w:hAnsi="Book Antiqua"/>
        </w:rPr>
      </w:pPr>
    </w:p>
    <w:p w14:paraId="51906B5C" w14:textId="606A9821"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Manuscript source: </w:t>
      </w:r>
      <w:r w:rsidRPr="00ED6B88">
        <w:rPr>
          <w:rFonts w:ascii="Book Antiqua" w:eastAsia="Book Antiqua" w:hAnsi="Book Antiqua" w:cs="Book Antiqua"/>
          <w:color w:val="000000"/>
        </w:rPr>
        <w:t xml:space="preserve">Unsolicited </w:t>
      </w:r>
      <w:r w:rsidR="002404B5">
        <w:rPr>
          <w:rFonts w:ascii="Book Antiqua" w:eastAsia="Book Antiqua" w:hAnsi="Book Antiqua" w:cs="Book Antiqua"/>
          <w:color w:val="000000"/>
        </w:rPr>
        <w:t>m</w:t>
      </w:r>
      <w:r w:rsidRPr="00ED6B88">
        <w:rPr>
          <w:rFonts w:ascii="Book Antiqua" w:eastAsia="Book Antiqua" w:hAnsi="Book Antiqua" w:cs="Book Antiqua"/>
          <w:color w:val="000000"/>
        </w:rPr>
        <w:t>anuscript</w:t>
      </w:r>
    </w:p>
    <w:p w14:paraId="2C73893B" w14:textId="77777777" w:rsidR="00A77B3E" w:rsidRPr="00ED6B88" w:rsidRDefault="00A77B3E" w:rsidP="00ED6B88">
      <w:pPr>
        <w:spacing w:line="360" w:lineRule="auto"/>
        <w:jc w:val="both"/>
        <w:rPr>
          <w:rFonts w:ascii="Book Antiqua" w:hAnsi="Book Antiqua"/>
        </w:rPr>
      </w:pPr>
    </w:p>
    <w:p w14:paraId="676469FB"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Peer-review started: </w:t>
      </w:r>
      <w:r w:rsidRPr="00ED6B88">
        <w:rPr>
          <w:rFonts w:ascii="Book Antiqua" w:eastAsia="Book Antiqua" w:hAnsi="Book Antiqua" w:cs="Book Antiqua"/>
          <w:color w:val="000000"/>
        </w:rPr>
        <w:t>January 10, 2021</w:t>
      </w:r>
    </w:p>
    <w:p w14:paraId="1242C250"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First decision: </w:t>
      </w:r>
      <w:r w:rsidRPr="00ED6B88">
        <w:rPr>
          <w:rFonts w:ascii="Book Antiqua" w:eastAsia="Book Antiqua" w:hAnsi="Book Antiqua" w:cs="Book Antiqua"/>
          <w:color w:val="000000"/>
        </w:rPr>
        <w:t>January 24, 2021</w:t>
      </w:r>
    </w:p>
    <w:p w14:paraId="262541C5" w14:textId="6F4D2BAC"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Article in press: </w:t>
      </w:r>
      <w:r w:rsidR="00E34114" w:rsidRPr="00DD76BE">
        <w:rPr>
          <w:rFonts w:ascii="Book Antiqua" w:eastAsia="Book Antiqua" w:hAnsi="Book Antiqua" w:cs="Book Antiqua"/>
          <w:color w:val="000000"/>
        </w:rPr>
        <w:t>February 24, 2021</w:t>
      </w:r>
    </w:p>
    <w:p w14:paraId="7E58D9B6" w14:textId="77777777" w:rsidR="00A77B3E" w:rsidRPr="00ED6B88" w:rsidRDefault="00A77B3E" w:rsidP="00ED6B88">
      <w:pPr>
        <w:spacing w:line="360" w:lineRule="auto"/>
        <w:jc w:val="both"/>
        <w:rPr>
          <w:rFonts w:ascii="Book Antiqua" w:hAnsi="Book Antiqua"/>
        </w:rPr>
      </w:pPr>
    </w:p>
    <w:p w14:paraId="31A50F55" w14:textId="52F2C51F"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Specialty type: </w:t>
      </w:r>
      <w:bookmarkStart w:id="61" w:name="OLE_LINK1952"/>
      <w:bookmarkStart w:id="62" w:name="OLE_LINK1953"/>
      <w:bookmarkStart w:id="63" w:name="OLE_LINK2066"/>
      <w:r w:rsidR="00C362F4" w:rsidRPr="004E2923">
        <w:rPr>
          <w:rFonts w:ascii="Book Antiqua" w:eastAsia="微软雅黑" w:hAnsi="Book Antiqua" w:cs="宋体"/>
        </w:rPr>
        <w:t>Medicine, research and experimental</w:t>
      </w:r>
      <w:bookmarkEnd w:id="61"/>
      <w:bookmarkEnd w:id="62"/>
      <w:bookmarkEnd w:id="63"/>
    </w:p>
    <w:p w14:paraId="2449FF3B"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 xml:space="preserve">Country/Territory of origin: </w:t>
      </w:r>
      <w:r w:rsidRPr="00ED6B88">
        <w:rPr>
          <w:rFonts w:ascii="Book Antiqua" w:eastAsia="Book Antiqua" w:hAnsi="Book Antiqua" w:cs="Book Antiqua"/>
          <w:color w:val="000000"/>
        </w:rPr>
        <w:t>China</w:t>
      </w:r>
    </w:p>
    <w:p w14:paraId="45D13B9F"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Peer-review report’s scientific quality classification</w:t>
      </w:r>
    </w:p>
    <w:p w14:paraId="06E91DA7"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Grade A (Excellent): 0</w:t>
      </w:r>
    </w:p>
    <w:p w14:paraId="38234FCF"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Grade B (Very good): 0</w:t>
      </w:r>
    </w:p>
    <w:p w14:paraId="3DB97E42" w14:textId="61EE74EE"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Grade C (Good): C</w:t>
      </w:r>
      <w:r w:rsidR="00C471A4">
        <w:rPr>
          <w:rFonts w:ascii="Book Antiqua" w:eastAsia="Book Antiqua" w:hAnsi="Book Antiqua" w:cs="Book Antiqua"/>
          <w:color w:val="000000"/>
        </w:rPr>
        <w:t>, C</w:t>
      </w:r>
    </w:p>
    <w:p w14:paraId="102D7D73"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Grade D (Fair): 0</w:t>
      </w:r>
    </w:p>
    <w:p w14:paraId="3C326597"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color w:val="000000"/>
        </w:rPr>
        <w:t>Grade E (Poor): 0</w:t>
      </w:r>
    </w:p>
    <w:p w14:paraId="74703043" w14:textId="77777777" w:rsidR="00A77B3E" w:rsidRPr="00ED6B88" w:rsidRDefault="00A77B3E" w:rsidP="00ED6B88">
      <w:pPr>
        <w:spacing w:line="360" w:lineRule="auto"/>
        <w:jc w:val="both"/>
        <w:rPr>
          <w:rFonts w:ascii="Book Antiqua" w:hAnsi="Book Antiqua"/>
        </w:rPr>
      </w:pPr>
    </w:p>
    <w:p w14:paraId="0EF87573" w14:textId="0C9AD87D" w:rsidR="00A77B3E" w:rsidRPr="00ED6B88" w:rsidRDefault="003140EF" w:rsidP="00ED6B88">
      <w:pPr>
        <w:spacing w:line="360" w:lineRule="auto"/>
        <w:jc w:val="both"/>
        <w:rPr>
          <w:rFonts w:ascii="Book Antiqua" w:hAnsi="Book Antiqua"/>
        </w:rPr>
        <w:sectPr w:rsidR="00A77B3E" w:rsidRPr="00ED6B88">
          <w:pgSz w:w="12240" w:h="15840"/>
          <w:pgMar w:top="1440" w:right="1440" w:bottom="1440" w:left="1440" w:header="720" w:footer="720" w:gutter="0"/>
          <w:cols w:space="720"/>
          <w:docGrid w:linePitch="360"/>
        </w:sectPr>
      </w:pPr>
      <w:r w:rsidRPr="00ED6B88">
        <w:rPr>
          <w:rFonts w:ascii="Book Antiqua" w:eastAsia="Book Antiqua" w:hAnsi="Book Antiqua" w:cs="Book Antiqua"/>
          <w:b/>
          <w:color w:val="000000"/>
        </w:rPr>
        <w:t xml:space="preserve">P-Reviewer: </w:t>
      </w:r>
      <w:r w:rsidRPr="00ED6B88">
        <w:rPr>
          <w:rFonts w:ascii="Book Antiqua" w:eastAsia="Book Antiqua" w:hAnsi="Book Antiqua" w:cs="Book Antiqua"/>
          <w:color w:val="000000"/>
        </w:rPr>
        <w:t>Huang L</w:t>
      </w:r>
      <w:r w:rsidRPr="00ED6B88">
        <w:rPr>
          <w:rFonts w:ascii="Book Antiqua" w:eastAsia="Book Antiqua" w:hAnsi="Book Antiqua" w:cs="Book Antiqua"/>
          <w:b/>
          <w:color w:val="000000"/>
        </w:rPr>
        <w:t xml:space="preserve"> S-Editor: </w:t>
      </w:r>
      <w:r w:rsidR="006F21FC">
        <w:rPr>
          <w:rFonts w:ascii="Book Antiqua" w:eastAsia="Book Antiqua" w:hAnsi="Book Antiqua" w:cs="Book Antiqua"/>
          <w:color w:val="000000"/>
        </w:rPr>
        <w:t>F</w:t>
      </w:r>
      <w:r w:rsidRPr="00ED6B88">
        <w:rPr>
          <w:rFonts w:ascii="Book Antiqua" w:eastAsia="Book Antiqua" w:hAnsi="Book Antiqua" w:cs="Book Antiqua"/>
          <w:color w:val="000000"/>
        </w:rPr>
        <w:t>an J</w:t>
      </w:r>
      <w:r w:rsidR="006F21FC">
        <w:rPr>
          <w:rFonts w:ascii="Book Antiqua" w:eastAsia="Book Antiqua" w:hAnsi="Book Antiqua" w:cs="Book Antiqua"/>
          <w:color w:val="000000"/>
        </w:rPr>
        <w:t>R</w:t>
      </w:r>
      <w:r w:rsidRPr="00ED6B88">
        <w:rPr>
          <w:rFonts w:ascii="Book Antiqua" w:eastAsia="Book Antiqua" w:hAnsi="Book Antiqua" w:cs="Book Antiqua"/>
          <w:b/>
          <w:color w:val="000000"/>
        </w:rPr>
        <w:t xml:space="preserve"> L-Editor: </w:t>
      </w:r>
      <w:r w:rsidR="00366BB8">
        <w:rPr>
          <w:rFonts w:ascii="Book Antiqua" w:eastAsia="Book Antiqua" w:hAnsi="Book Antiqua" w:cs="Book Antiqua"/>
          <w:bCs/>
          <w:color w:val="000000"/>
        </w:rPr>
        <w:t xml:space="preserve">Filipodia </w:t>
      </w:r>
      <w:r w:rsidRPr="00ED6B88">
        <w:rPr>
          <w:rFonts w:ascii="Book Antiqua" w:eastAsia="Book Antiqua" w:hAnsi="Book Antiqua" w:cs="Book Antiqua"/>
          <w:b/>
          <w:color w:val="000000"/>
        </w:rPr>
        <w:t xml:space="preserve">P-Editor: </w:t>
      </w:r>
      <w:r w:rsidR="00E34114" w:rsidRPr="00E34114">
        <w:rPr>
          <w:rFonts w:ascii="Book Antiqua" w:eastAsia="Book Antiqua" w:hAnsi="Book Antiqua" w:cs="Book Antiqua"/>
          <w:bCs/>
          <w:color w:val="000000"/>
        </w:rPr>
        <w:t>Li JH</w:t>
      </w:r>
    </w:p>
    <w:p w14:paraId="6CBE8109" w14:textId="77777777"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color w:val="000000"/>
        </w:rPr>
        <w:t>Figure Legends</w:t>
      </w:r>
    </w:p>
    <w:p w14:paraId="40E6A26C" w14:textId="6AF1D1EA" w:rsidR="00655B09" w:rsidRPr="00ED6B88" w:rsidRDefault="00655B09" w:rsidP="00ED6B88">
      <w:pPr>
        <w:spacing w:line="360" w:lineRule="auto"/>
        <w:jc w:val="both"/>
        <w:rPr>
          <w:rFonts w:ascii="Book Antiqua" w:eastAsia="Book Antiqua" w:hAnsi="Book Antiqua" w:cs="Book Antiqua"/>
          <w:b/>
          <w:bCs/>
          <w:color w:val="000000"/>
        </w:rPr>
      </w:pPr>
      <w:r w:rsidRPr="00ED6B88">
        <w:rPr>
          <w:rFonts w:ascii="Book Antiqua" w:hAnsi="Book Antiqua"/>
          <w:noProof/>
          <w:lang w:eastAsia="zh-CN"/>
        </w:rPr>
        <w:drawing>
          <wp:inline distT="0" distB="0" distL="0" distR="0" wp14:anchorId="5A0EDF30" wp14:editId="67F7A54D">
            <wp:extent cx="5943600" cy="329979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4196" cy="3300122"/>
                    </a:xfrm>
                    <a:prstGeom prst="rect">
                      <a:avLst/>
                    </a:prstGeom>
                  </pic:spPr>
                </pic:pic>
              </a:graphicData>
            </a:graphic>
          </wp:inline>
        </w:drawing>
      </w:r>
    </w:p>
    <w:p w14:paraId="63692250" w14:textId="32C4BDE2" w:rsidR="00A77B3E" w:rsidRPr="00ED6B88" w:rsidRDefault="003140EF" w:rsidP="00ED6B88">
      <w:pPr>
        <w:spacing w:line="360" w:lineRule="auto"/>
        <w:jc w:val="both"/>
        <w:rPr>
          <w:rFonts w:ascii="Book Antiqua" w:hAnsi="Book Antiqua"/>
        </w:rPr>
      </w:pPr>
      <w:r w:rsidRPr="00ED6B88">
        <w:rPr>
          <w:rFonts w:ascii="Book Antiqua" w:eastAsia="Book Antiqua" w:hAnsi="Book Antiqua" w:cs="Book Antiqua"/>
          <w:b/>
          <w:bCs/>
          <w:color w:val="000000"/>
        </w:rPr>
        <w:t xml:space="preserve">Figure 1 Magnetic </w:t>
      </w:r>
      <w:r w:rsidR="00ED6B88" w:rsidRPr="00ED6B88">
        <w:rPr>
          <w:rFonts w:ascii="Book Antiqua" w:eastAsia="Book Antiqua" w:hAnsi="Book Antiqua" w:cs="Book Antiqua"/>
          <w:b/>
          <w:bCs/>
          <w:color w:val="000000"/>
        </w:rPr>
        <w:t>r</w:t>
      </w:r>
      <w:r w:rsidRPr="00ED6B88">
        <w:rPr>
          <w:rFonts w:ascii="Book Antiqua" w:eastAsia="Book Antiqua" w:hAnsi="Book Antiqua" w:cs="Book Antiqua"/>
          <w:b/>
          <w:bCs/>
          <w:color w:val="000000"/>
        </w:rPr>
        <w:t xml:space="preserve">esonance </w:t>
      </w:r>
      <w:r w:rsidR="00ED6B88" w:rsidRPr="00ED6B88">
        <w:rPr>
          <w:rFonts w:ascii="Book Antiqua" w:eastAsia="Book Antiqua" w:hAnsi="Book Antiqua" w:cs="Book Antiqua"/>
          <w:b/>
          <w:bCs/>
          <w:color w:val="000000"/>
        </w:rPr>
        <w:t>i</w:t>
      </w:r>
      <w:r w:rsidRPr="00ED6B88">
        <w:rPr>
          <w:rFonts w:ascii="Book Antiqua" w:eastAsia="Book Antiqua" w:hAnsi="Book Antiqua" w:cs="Book Antiqua"/>
          <w:b/>
          <w:bCs/>
          <w:color w:val="000000"/>
        </w:rPr>
        <w:t>mages (T2-weighted image).</w:t>
      </w:r>
      <w:r w:rsidRPr="00ED6B88">
        <w:rPr>
          <w:rFonts w:ascii="Book Antiqua" w:eastAsia="Book Antiqua" w:hAnsi="Book Antiqua" w:cs="Book Antiqua"/>
          <w:color w:val="000000"/>
        </w:rPr>
        <w:t xml:space="preserve"> A: </w:t>
      </w:r>
      <w:r w:rsidR="00B526D4">
        <w:rPr>
          <w:rFonts w:ascii="Book Antiqua" w:eastAsia="Book Antiqua" w:hAnsi="Book Antiqua" w:cs="Book Antiqua"/>
          <w:color w:val="000000"/>
        </w:rPr>
        <w:t>A</w:t>
      </w:r>
      <w:r w:rsidRPr="00ED6B88">
        <w:rPr>
          <w:rFonts w:ascii="Book Antiqua" w:eastAsia="Book Antiqua" w:hAnsi="Book Antiqua" w:cs="Book Antiqua"/>
          <w:color w:val="000000"/>
        </w:rPr>
        <w:t xml:space="preserve">xial scan revealed a mass in the right submandibular area (white arrow); B: </w:t>
      </w:r>
      <w:r w:rsidR="00B526D4">
        <w:rPr>
          <w:rFonts w:ascii="Book Antiqua" w:eastAsia="Book Antiqua" w:hAnsi="Book Antiqua" w:cs="Book Antiqua"/>
          <w:color w:val="000000"/>
        </w:rPr>
        <w:t>C</w:t>
      </w:r>
      <w:r w:rsidRPr="00ED6B88">
        <w:rPr>
          <w:rFonts w:ascii="Book Antiqua" w:eastAsia="Book Antiqua" w:hAnsi="Book Antiqua" w:cs="Book Antiqua"/>
          <w:color w:val="000000"/>
        </w:rPr>
        <w:t>oronal scan revealed a mass in the right submandibular area (white arrow).</w:t>
      </w:r>
    </w:p>
    <w:p w14:paraId="672CBEFE" w14:textId="643FFBF8" w:rsidR="00223C43" w:rsidRPr="00ED6B88" w:rsidRDefault="00223C43" w:rsidP="00ED6B88">
      <w:pPr>
        <w:spacing w:line="360" w:lineRule="auto"/>
        <w:jc w:val="both"/>
        <w:rPr>
          <w:rFonts w:ascii="Book Antiqua" w:eastAsia="Book Antiqua" w:hAnsi="Book Antiqua" w:cs="Book Antiqua"/>
          <w:b/>
          <w:bCs/>
          <w:color w:val="000000"/>
        </w:rPr>
      </w:pPr>
      <w:r w:rsidRPr="00ED6B88">
        <w:rPr>
          <w:rFonts w:ascii="Book Antiqua" w:eastAsia="Book Antiqua" w:hAnsi="Book Antiqua" w:cs="Book Antiqua"/>
          <w:b/>
          <w:bCs/>
          <w:color w:val="000000"/>
        </w:rPr>
        <w:br w:type="page"/>
      </w:r>
      <w:r w:rsidR="00655B09" w:rsidRPr="00ED6B88">
        <w:rPr>
          <w:rFonts w:ascii="Book Antiqua" w:hAnsi="Book Antiqua"/>
          <w:noProof/>
          <w:lang w:eastAsia="zh-CN"/>
        </w:rPr>
        <w:drawing>
          <wp:inline distT="0" distB="0" distL="0" distR="0" wp14:anchorId="05B252EE" wp14:editId="27AA1D6E">
            <wp:extent cx="5943600" cy="38728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72865"/>
                    </a:xfrm>
                    <a:prstGeom prst="rect">
                      <a:avLst/>
                    </a:prstGeom>
                  </pic:spPr>
                </pic:pic>
              </a:graphicData>
            </a:graphic>
          </wp:inline>
        </w:drawing>
      </w:r>
    </w:p>
    <w:p w14:paraId="53565491" w14:textId="678E7640" w:rsidR="00A77B3E" w:rsidRPr="00ED6B88" w:rsidRDefault="003140EF" w:rsidP="00ED6B88">
      <w:pPr>
        <w:spacing w:line="360" w:lineRule="auto"/>
        <w:jc w:val="both"/>
        <w:rPr>
          <w:rFonts w:ascii="Book Antiqua" w:eastAsia="Book Antiqua" w:hAnsi="Book Antiqua" w:cs="Book Antiqua"/>
          <w:color w:val="000000"/>
        </w:rPr>
      </w:pPr>
      <w:bookmarkStart w:id="64" w:name="OLE_LINK113"/>
      <w:bookmarkStart w:id="65" w:name="OLE_LINK114"/>
      <w:r w:rsidRPr="00ED6B88">
        <w:rPr>
          <w:rFonts w:ascii="Book Antiqua" w:eastAsia="Book Antiqua" w:hAnsi="Book Antiqua" w:cs="Book Antiqua"/>
          <w:b/>
          <w:bCs/>
          <w:color w:val="000000"/>
        </w:rPr>
        <w:t>Figure 2 Sclerosing polycystic adenosis.</w:t>
      </w:r>
      <w:r w:rsidRPr="00ED6B88">
        <w:rPr>
          <w:rFonts w:ascii="Book Antiqua" w:eastAsia="Book Antiqua" w:hAnsi="Book Antiqua" w:cs="Book Antiqua"/>
          <w:color w:val="000000"/>
        </w:rPr>
        <w:t xml:space="preserve"> A: Proliferation of acini and ducts in a dense sclerotic stroma background</w:t>
      </w:r>
      <w:r w:rsidR="00ED6B88" w:rsidRPr="00ED6B88">
        <w:rPr>
          <w:rFonts w:ascii="Book Antiqua" w:eastAsia="Book Antiqua" w:hAnsi="Book Antiqua" w:cs="Book Antiqua"/>
          <w:color w:val="000000"/>
        </w:rPr>
        <w:t>;</w:t>
      </w:r>
      <w:r w:rsidRPr="00ED6B88">
        <w:rPr>
          <w:rFonts w:ascii="Book Antiqua" w:eastAsia="Book Antiqua" w:hAnsi="Book Antiqua" w:cs="Book Antiqua"/>
          <w:color w:val="000000"/>
        </w:rPr>
        <w:t xml:space="preserve"> B: Dilated duct embedded in a highly sclerotic stroma</w:t>
      </w:r>
      <w:r w:rsidR="00ED6B88" w:rsidRPr="00ED6B88">
        <w:rPr>
          <w:rFonts w:ascii="Book Antiqua" w:eastAsia="Book Antiqua" w:hAnsi="Book Antiqua" w:cs="Book Antiqua"/>
          <w:color w:val="000000"/>
        </w:rPr>
        <w:t>;</w:t>
      </w:r>
      <w:r w:rsidRPr="00ED6B88">
        <w:rPr>
          <w:rFonts w:ascii="Book Antiqua" w:eastAsia="Book Antiqua" w:hAnsi="Book Antiqua" w:cs="Book Antiqua"/>
          <w:color w:val="000000"/>
        </w:rPr>
        <w:t xml:space="preserve"> C: Flat and cuboidal epithelium and eosinophils are seen in the ductal epithelium</w:t>
      </w:r>
      <w:r w:rsidR="00ED6B88" w:rsidRPr="00ED6B88">
        <w:rPr>
          <w:rFonts w:ascii="Book Antiqua" w:eastAsia="Book Antiqua" w:hAnsi="Book Antiqua" w:cs="Book Antiqua"/>
          <w:color w:val="000000"/>
        </w:rPr>
        <w:t>;</w:t>
      </w:r>
      <w:r w:rsidRPr="00ED6B88">
        <w:rPr>
          <w:rFonts w:ascii="Book Antiqua" w:eastAsia="Book Antiqua" w:hAnsi="Book Antiqua" w:cs="Book Antiqua"/>
          <w:color w:val="000000"/>
        </w:rPr>
        <w:t xml:space="preserve"> D: The lumen of the cysts containing eosinophilic secretory material</w:t>
      </w:r>
      <w:r w:rsidR="00ED6B88" w:rsidRPr="00ED6B88">
        <w:rPr>
          <w:rFonts w:ascii="Book Antiqua" w:eastAsia="Book Antiqua" w:hAnsi="Book Antiqua" w:cs="Book Antiqua"/>
          <w:color w:val="000000"/>
        </w:rPr>
        <w:t>;</w:t>
      </w:r>
      <w:r w:rsidRPr="00ED6B88">
        <w:rPr>
          <w:rFonts w:ascii="Book Antiqua" w:eastAsia="Book Antiqua" w:hAnsi="Book Antiqua" w:cs="Book Antiqua"/>
          <w:color w:val="000000"/>
        </w:rPr>
        <w:t xml:space="preserve"> E: Numerous tubular and cystic structures containing variable amounts of intraluminal, eosinophilic material with periductal fibrosis</w:t>
      </w:r>
      <w:r w:rsidR="00ED6B88" w:rsidRPr="00ED6B88">
        <w:rPr>
          <w:rFonts w:ascii="Book Antiqua" w:eastAsia="Book Antiqua" w:hAnsi="Book Antiqua" w:cs="Book Antiqua"/>
          <w:color w:val="000000"/>
        </w:rPr>
        <w:t>;</w:t>
      </w:r>
      <w:r w:rsidRPr="00ED6B88">
        <w:rPr>
          <w:rFonts w:ascii="Book Antiqua" w:eastAsia="Book Antiqua" w:hAnsi="Book Antiqua" w:cs="Book Antiqua"/>
          <w:color w:val="000000"/>
        </w:rPr>
        <w:t xml:space="preserve"> F: Apocrine and secretory areas with histiocytes are typical.</w:t>
      </w:r>
    </w:p>
    <w:bookmarkEnd w:id="64"/>
    <w:bookmarkEnd w:id="65"/>
    <w:p w14:paraId="0A8BC09B" w14:textId="0A74424B" w:rsidR="00ED6B88" w:rsidRPr="00ED6B88" w:rsidRDefault="00ED6B88" w:rsidP="00ED6B88">
      <w:pPr>
        <w:spacing w:line="360" w:lineRule="auto"/>
        <w:jc w:val="both"/>
        <w:rPr>
          <w:rFonts w:ascii="Book Antiqua" w:hAnsi="Book Antiqua"/>
          <w:b/>
          <w:bCs/>
        </w:rPr>
      </w:pPr>
      <w:r w:rsidRPr="00ED6B88">
        <w:rPr>
          <w:rFonts w:ascii="Book Antiqua" w:eastAsia="Book Antiqua" w:hAnsi="Book Antiqua" w:cs="Book Antiqua"/>
          <w:color w:val="000000"/>
        </w:rPr>
        <w:br w:type="page"/>
      </w:r>
      <w:r w:rsidRPr="00ED6B88">
        <w:rPr>
          <w:rFonts w:ascii="Book Antiqua" w:hAnsi="Book Antiqua"/>
          <w:b/>
          <w:bCs/>
        </w:rPr>
        <w:t xml:space="preserve">Table 1 </w:t>
      </w:r>
      <w:r w:rsidR="00B526D4">
        <w:rPr>
          <w:rFonts w:ascii="Book Antiqua" w:hAnsi="Book Antiqua"/>
          <w:b/>
          <w:bCs/>
          <w:color w:val="000000"/>
        </w:rPr>
        <w:t>Reports of s</w:t>
      </w:r>
      <w:r w:rsidRPr="00ED6B88">
        <w:rPr>
          <w:rFonts w:ascii="Book Antiqua" w:hAnsi="Book Antiqua"/>
          <w:b/>
          <w:bCs/>
          <w:color w:val="000000"/>
        </w:rPr>
        <w:t xml:space="preserve">clerosing polycystic adenosis of the submandibular gland </w:t>
      </w:r>
    </w:p>
    <w:tbl>
      <w:tblPr>
        <w:tblStyle w:val="21"/>
        <w:tblW w:w="5000" w:type="pct"/>
        <w:jc w:val="center"/>
        <w:tblLook w:val="07A0" w:firstRow="1" w:lastRow="0" w:firstColumn="1" w:lastColumn="1" w:noHBand="1" w:noVBand="1"/>
      </w:tblPr>
      <w:tblGrid>
        <w:gridCol w:w="1062"/>
        <w:gridCol w:w="946"/>
        <w:gridCol w:w="868"/>
        <w:gridCol w:w="1002"/>
        <w:gridCol w:w="2289"/>
        <w:gridCol w:w="1523"/>
        <w:gridCol w:w="1886"/>
      </w:tblGrid>
      <w:tr w:rsidR="00C50212" w:rsidRPr="00ED6B88" w14:paraId="0E9C19EF" w14:textId="77777777" w:rsidTr="00C50212">
        <w:trPr>
          <w:cnfStyle w:val="100000000000" w:firstRow="1" w:lastRow="0" w:firstColumn="0" w:lastColumn="0" w:oddVBand="0" w:evenVBand="0" w:oddHBand="0"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554" w:type="pct"/>
            <w:tcBorders>
              <w:top w:val="single" w:sz="4" w:space="0" w:color="auto"/>
              <w:bottom w:val="single" w:sz="4" w:space="0" w:color="auto"/>
            </w:tcBorders>
          </w:tcPr>
          <w:p w14:paraId="2E68B26E" w14:textId="77777777" w:rsidR="00ED6B88" w:rsidRPr="00ED6B88" w:rsidRDefault="00ED6B88" w:rsidP="00C50212">
            <w:pPr>
              <w:spacing w:line="360" w:lineRule="auto"/>
              <w:jc w:val="both"/>
              <w:rPr>
                <w:rFonts w:ascii="Book Antiqua" w:hAnsi="Book Antiqua" w:cs="Times New Roman"/>
                <w:b w:val="0"/>
                <w:bCs w:val="0"/>
              </w:rPr>
            </w:pPr>
            <w:r w:rsidRPr="00ED6B88">
              <w:rPr>
                <w:rFonts w:ascii="Book Antiqua" w:hAnsi="Book Antiqua" w:cs="Times New Roman"/>
              </w:rPr>
              <w:t>Case</w:t>
            </w:r>
          </w:p>
        </w:tc>
        <w:tc>
          <w:tcPr>
            <w:tcW w:w="494" w:type="pct"/>
            <w:tcBorders>
              <w:top w:val="single" w:sz="4" w:space="0" w:color="auto"/>
              <w:bottom w:val="single" w:sz="4" w:space="0" w:color="auto"/>
            </w:tcBorders>
          </w:tcPr>
          <w:p w14:paraId="019201AD" w14:textId="77777777" w:rsidR="00ED6B88" w:rsidRPr="00ED6B88" w:rsidRDefault="00ED6B88" w:rsidP="00C502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D6B88">
              <w:rPr>
                <w:rFonts w:ascii="Book Antiqua" w:hAnsi="Book Antiqua" w:cs="Times New Roman"/>
              </w:rPr>
              <w:t>Age</w:t>
            </w:r>
          </w:p>
        </w:tc>
        <w:tc>
          <w:tcPr>
            <w:tcW w:w="453" w:type="pct"/>
            <w:tcBorders>
              <w:top w:val="single" w:sz="4" w:space="0" w:color="auto"/>
              <w:bottom w:val="single" w:sz="4" w:space="0" w:color="auto"/>
            </w:tcBorders>
          </w:tcPr>
          <w:p w14:paraId="595709E9" w14:textId="77777777" w:rsidR="00ED6B88" w:rsidRPr="00ED6B88" w:rsidRDefault="00ED6B88" w:rsidP="00C502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D6B88">
              <w:rPr>
                <w:rFonts w:ascii="Book Antiqua" w:hAnsi="Book Antiqua" w:cs="Times New Roman"/>
              </w:rPr>
              <w:t>Sex</w:t>
            </w:r>
          </w:p>
        </w:tc>
        <w:tc>
          <w:tcPr>
            <w:tcW w:w="523" w:type="pct"/>
            <w:tcBorders>
              <w:top w:val="single" w:sz="4" w:space="0" w:color="auto"/>
              <w:bottom w:val="single" w:sz="4" w:space="0" w:color="auto"/>
            </w:tcBorders>
          </w:tcPr>
          <w:p w14:paraId="7B241518" w14:textId="49E6BC95" w:rsidR="00ED6B88" w:rsidRPr="00ED6B88" w:rsidRDefault="00ED6B88" w:rsidP="00C502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D6B88">
              <w:rPr>
                <w:rFonts w:ascii="Book Antiqua" w:hAnsi="Book Antiqua" w:cs="Times New Roman"/>
              </w:rPr>
              <w:t>Size</w:t>
            </w:r>
            <w:r w:rsidR="00C204FF">
              <w:rPr>
                <w:rFonts w:ascii="Book Antiqua" w:hAnsi="Book Antiqua" w:cs="Times New Roman"/>
              </w:rPr>
              <w:t xml:space="preserve"> in</w:t>
            </w:r>
            <w:r w:rsidRPr="00ED6B88">
              <w:rPr>
                <w:rFonts w:ascii="Book Antiqua" w:hAnsi="Book Antiqua" w:cs="Times New Roman"/>
              </w:rPr>
              <w:t xml:space="preserve"> cm</w:t>
            </w:r>
          </w:p>
        </w:tc>
        <w:tc>
          <w:tcPr>
            <w:tcW w:w="1195" w:type="pct"/>
            <w:tcBorders>
              <w:top w:val="single" w:sz="4" w:space="0" w:color="auto"/>
              <w:bottom w:val="single" w:sz="4" w:space="0" w:color="auto"/>
            </w:tcBorders>
          </w:tcPr>
          <w:p w14:paraId="324A4323" w14:textId="77777777" w:rsidR="00ED6B88" w:rsidRPr="00ED6B88" w:rsidRDefault="00ED6B88" w:rsidP="00C502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D6B88">
              <w:rPr>
                <w:rFonts w:ascii="Book Antiqua" w:hAnsi="Book Antiqua" w:cs="Times New Roman"/>
              </w:rPr>
              <w:t>Presentation</w:t>
            </w:r>
          </w:p>
        </w:tc>
        <w:tc>
          <w:tcPr>
            <w:tcW w:w="795" w:type="pct"/>
            <w:tcBorders>
              <w:top w:val="single" w:sz="4" w:space="0" w:color="auto"/>
              <w:bottom w:val="single" w:sz="4" w:space="0" w:color="auto"/>
            </w:tcBorders>
          </w:tcPr>
          <w:p w14:paraId="65FE74A6" w14:textId="5537D2C3" w:rsidR="00ED6B88" w:rsidRPr="00ED6B88" w:rsidRDefault="00ED6B88" w:rsidP="00C502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D6B88">
              <w:rPr>
                <w:rFonts w:ascii="Book Antiqua" w:hAnsi="Book Antiqua" w:cs="Times New Roman"/>
              </w:rPr>
              <w:t>Follow-up</w:t>
            </w:r>
            <w:r w:rsidR="00C204FF">
              <w:rPr>
                <w:rFonts w:ascii="Book Antiqua" w:hAnsi="Book Antiqua" w:cs="Times New Roman"/>
              </w:rPr>
              <w:t xml:space="preserve"> in</w:t>
            </w:r>
            <w:r w:rsidRPr="00ED6B88">
              <w:rPr>
                <w:rFonts w:ascii="Book Antiqua" w:hAnsi="Book Antiqua" w:cs="Times New Roman"/>
              </w:rPr>
              <w:t xml:space="preserve"> </w:t>
            </w:r>
            <w:r w:rsidR="007A2B52">
              <w:rPr>
                <w:rFonts w:ascii="Book Antiqua" w:hAnsi="Book Antiqua" w:cs="Times New Roman"/>
              </w:rPr>
              <w:t>m</w:t>
            </w:r>
            <w:r w:rsidRPr="00ED6B88">
              <w:rPr>
                <w:rFonts w:ascii="Book Antiqua" w:hAnsi="Book Antiqua" w:cs="Times New Roman"/>
              </w:rPr>
              <w:t>o</w:t>
            </w:r>
          </w:p>
        </w:tc>
        <w:tc>
          <w:tcPr>
            <w:cnfStyle w:val="000100000000" w:firstRow="0" w:lastRow="0" w:firstColumn="0" w:lastColumn="1" w:oddVBand="0" w:evenVBand="0" w:oddHBand="0" w:evenHBand="0" w:firstRowFirstColumn="0" w:firstRowLastColumn="0" w:lastRowFirstColumn="0" w:lastRowLastColumn="0"/>
            <w:tcW w:w="985" w:type="pct"/>
            <w:tcBorders>
              <w:top w:val="single" w:sz="4" w:space="0" w:color="auto"/>
              <w:bottom w:val="single" w:sz="4" w:space="0" w:color="auto"/>
            </w:tcBorders>
          </w:tcPr>
          <w:p w14:paraId="6DCDE376" w14:textId="7568E3DE" w:rsidR="00ED6B88" w:rsidRPr="00ED6B88" w:rsidRDefault="00ED6B88" w:rsidP="00470635">
            <w:pPr>
              <w:spacing w:line="360" w:lineRule="auto"/>
              <w:jc w:val="both"/>
              <w:rPr>
                <w:rFonts w:ascii="Book Antiqua" w:hAnsi="Book Antiqua" w:cs="Times New Roman"/>
                <w:b w:val="0"/>
                <w:bCs w:val="0"/>
              </w:rPr>
            </w:pPr>
            <w:r w:rsidRPr="00ED6B88">
              <w:rPr>
                <w:rFonts w:ascii="Book Antiqua" w:hAnsi="Book Antiqua" w:cs="Times New Roman"/>
              </w:rPr>
              <w:t>Ref</w:t>
            </w:r>
            <w:r w:rsidR="00470635">
              <w:rPr>
                <w:rFonts w:ascii="Book Antiqua" w:hAnsi="Book Antiqua" w:cs="Times New Roman"/>
              </w:rPr>
              <w:t>.</w:t>
            </w:r>
          </w:p>
        </w:tc>
      </w:tr>
      <w:tr w:rsidR="00C50212" w:rsidRPr="00ED6B88" w14:paraId="28E6277F" w14:textId="77777777" w:rsidTr="00C50212">
        <w:trPr>
          <w:trHeight w:val="444"/>
          <w:jc w:val="center"/>
        </w:trPr>
        <w:tc>
          <w:tcPr>
            <w:cnfStyle w:val="001000000000" w:firstRow="0" w:lastRow="0" w:firstColumn="1" w:lastColumn="0" w:oddVBand="0" w:evenVBand="0" w:oddHBand="0" w:evenHBand="0" w:firstRowFirstColumn="0" w:firstRowLastColumn="0" w:lastRowFirstColumn="0" w:lastRowLastColumn="0"/>
            <w:tcW w:w="554" w:type="pct"/>
            <w:tcBorders>
              <w:top w:val="single" w:sz="4" w:space="0" w:color="auto"/>
            </w:tcBorders>
          </w:tcPr>
          <w:p w14:paraId="159BA73D"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1</w:t>
            </w:r>
          </w:p>
        </w:tc>
        <w:tc>
          <w:tcPr>
            <w:tcW w:w="494" w:type="pct"/>
            <w:tcBorders>
              <w:top w:val="single" w:sz="4" w:space="0" w:color="auto"/>
            </w:tcBorders>
          </w:tcPr>
          <w:p w14:paraId="0F6B9898"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39</w:t>
            </w:r>
          </w:p>
        </w:tc>
        <w:tc>
          <w:tcPr>
            <w:tcW w:w="453" w:type="pct"/>
            <w:tcBorders>
              <w:top w:val="single" w:sz="4" w:space="0" w:color="auto"/>
            </w:tcBorders>
          </w:tcPr>
          <w:p w14:paraId="2DC9B2FF"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w:t>
            </w:r>
          </w:p>
        </w:tc>
        <w:tc>
          <w:tcPr>
            <w:tcW w:w="523" w:type="pct"/>
            <w:tcBorders>
              <w:top w:val="single" w:sz="4" w:space="0" w:color="auto"/>
            </w:tcBorders>
          </w:tcPr>
          <w:p w14:paraId="2DE4A7D2"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2.0</w:t>
            </w:r>
          </w:p>
        </w:tc>
        <w:tc>
          <w:tcPr>
            <w:tcW w:w="1195" w:type="pct"/>
            <w:tcBorders>
              <w:top w:val="single" w:sz="4" w:space="0" w:color="auto"/>
            </w:tcBorders>
          </w:tcPr>
          <w:p w14:paraId="3806EC32"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Mass</w:t>
            </w:r>
          </w:p>
        </w:tc>
        <w:tc>
          <w:tcPr>
            <w:tcW w:w="795" w:type="pct"/>
            <w:tcBorders>
              <w:top w:val="single" w:sz="4" w:space="0" w:color="auto"/>
            </w:tcBorders>
          </w:tcPr>
          <w:p w14:paraId="7CA009E2"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None</w:t>
            </w:r>
          </w:p>
        </w:tc>
        <w:tc>
          <w:tcPr>
            <w:cnfStyle w:val="000100000000" w:firstRow="0" w:lastRow="0" w:firstColumn="0" w:lastColumn="1" w:oddVBand="0" w:evenVBand="0" w:oddHBand="0" w:evenHBand="0" w:firstRowFirstColumn="0" w:firstRowLastColumn="0" w:lastRowFirstColumn="0" w:lastRowLastColumn="0"/>
            <w:tcW w:w="985" w:type="pct"/>
            <w:tcBorders>
              <w:top w:val="single" w:sz="4" w:space="0" w:color="auto"/>
            </w:tcBorders>
          </w:tcPr>
          <w:p w14:paraId="22A82D7F"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[1]</w:t>
            </w:r>
          </w:p>
        </w:tc>
      </w:tr>
      <w:tr w:rsidR="00ED6B88" w:rsidRPr="00ED6B88" w14:paraId="7475B86A" w14:textId="77777777" w:rsidTr="00C50212">
        <w:trPr>
          <w:trHeight w:val="444"/>
          <w:jc w:val="center"/>
        </w:trPr>
        <w:tc>
          <w:tcPr>
            <w:cnfStyle w:val="001000000000" w:firstRow="0" w:lastRow="0" w:firstColumn="1" w:lastColumn="0" w:oddVBand="0" w:evenVBand="0" w:oddHBand="0" w:evenHBand="0" w:firstRowFirstColumn="0" w:firstRowLastColumn="0" w:lastRowFirstColumn="0" w:lastRowLastColumn="0"/>
            <w:tcW w:w="554" w:type="pct"/>
          </w:tcPr>
          <w:p w14:paraId="2085FC1E"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2</w:t>
            </w:r>
          </w:p>
        </w:tc>
        <w:tc>
          <w:tcPr>
            <w:tcW w:w="494" w:type="pct"/>
          </w:tcPr>
          <w:p w14:paraId="4F25E197"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45</w:t>
            </w:r>
          </w:p>
        </w:tc>
        <w:tc>
          <w:tcPr>
            <w:tcW w:w="453" w:type="pct"/>
          </w:tcPr>
          <w:p w14:paraId="7B4C3DC3"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w:t>
            </w:r>
          </w:p>
        </w:tc>
        <w:tc>
          <w:tcPr>
            <w:tcW w:w="523" w:type="pct"/>
          </w:tcPr>
          <w:p w14:paraId="36EA4EDD"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1.8</w:t>
            </w:r>
          </w:p>
        </w:tc>
        <w:tc>
          <w:tcPr>
            <w:tcW w:w="1195" w:type="pct"/>
          </w:tcPr>
          <w:p w14:paraId="55E032D9"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Mass</w:t>
            </w:r>
          </w:p>
        </w:tc>
        <w:tc>
          <w:tcPr>
            <w:tcW w:w="795" w:type="pct"/>
          </w:tcPr>
          <w:p w14:paraId="150BA260"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NED (18)</w:t>
            </w:r>
          </w:p>
        </w:tc>
        <w:tc>
          <w:tcPr>
            <w:cnfStyle w:val="000100000000" w:firstRow="0" w:lastRow="0" w:firstColumn="0" w:lastColumn="1" w:oddVBand="0" w:evenVBand="0" w:oddHBand="0" w:evenHBand="0" w:firstRowFirstColumn="0" w:firstRowLastColumn="0" w:lastRowFirstColumn="0" w:lastRowLastColumn="0"/>
            <w:tcW w:w="985" w:type="pct"/>
          </w:tcPr>
          <w:p w14:paraId="7A60F3CB"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[2]</w:t>
            </w:r>
          </w:p>
        </w:tc>
      </w:tr>
      <w:tr w:rsidR="00ED6B88" w:rsidRPr="00ED6B88" w14:paraId="0DD3DAC2" w14:textId="77777777" w:rsidTr="00C50212">
        <w:trPr>
          <w:trHeight w:val="444"/>
          <w:jc w:val="center"/>
        </w:trPr>
        <w:tc>
          <w:tcPr>
            <w:cnfStyle w:val="001000000000" w:firstRow="0" w:lastRow="0" w:firstColumn="1" w:lastColumn="0" w:oddVBand="0" w:evenVBand="0" w:oddHBand="0" w:evenHBand="0" w:firstRowFirstColumn="0" w:firstRowLastColumn="0" w:lastRowFirstColumn="0" w:lastRowLastColumn="0"/>
            <w:tcW w:w="554" w:type="pct"/>
          </w:tcPr>
          <w:p w14:paraId="6330BC82"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3</w:t>
            </w:r>
          </w:p>
        </w:tc>
        <w:tc>
          <w:tcPr>
            <w:tcW w:w="494" w:type="pct"/>
          </w:tcPr>
          <w:p w14:paraId="5FBCA6C2"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28</w:t>
            </w:r>
          </w:p>
        </w:tc>
        <w:tc>
          <w:tcPr>
            <w:tcW w:w="453" w:type="pct"/>
          </w:tcPr>
          <w:p w14:paraId="63565104"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w:t>
            </w:r>
          </w:p>
        </w:tc>
        <w:tc>
          <w:tcPr>
            <w:tcW w:w="523" w:type="pct"/>
          </w:tcPr>
          <w:p w14:paraId="016EFFEB"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1.2</w:t>
            </w:r>
          </w:p>
        </w:tc>
        <w:tc>
          <w:tcPr>
            <w:tcW w:w="1195" w:type="pct"/>
          </w:tcPr>
          <w:p w14:paraId="1A5C7858"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Mass</w:t>
            </w:r>
          </w:p>
        </w:tc>
        <w:tc>
          <w:tcPr>
            <w:tcW w:w="795" w:type="pct"/>
          </w:tcPr>
          <w:p w14:paraId="6881949F"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NED (42)</w:t>
            </w:r>
          </w:p>
        </w:tc>
        <w:tc>
          <w:tcPr>
            <w:cnfStyle w:val="000100000000" w:firstRow="0" w:lastRow="0" w:firstColumn="0" w:lastColumn="1" w:oddVBand="0" w:evenVBand="0" w:oddHBand="0" w:evenHBand="0" w:firstRowFirstColumn="0" w:firstRowLastColumn="0" w:lastRowFirstColumn="0" w:lastRowLastColumn="0"/>
            <w:tcW w:w="985" w:type="pct"/>
          </w:tcPr>
          <w:p w14:paraId="4E2F7622"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[2]</w:t>
            </w:r>
          </w:p>
        </w:tc>
      </w:tr>
      <w:tr w:rsidR="00ED6B88" w:rsidRPr="00ED6B88" w14:paraId="154527EF" w14:textId="77777777" w:rsidTr="00C50212">
        <w:trPr>
          <w:trHeight w:val="444"/>
          <w:jc w:val="center"/>
        </w:trPr>
        <w:tc>
          <w:tcPr>
            <w:cnfStyle w:val="001000000000" w:firstRow="0" w:lastRow="0" w:firstColumn="1" w:lastColumn="0" w:oddVBand="0" w:evenVBand="0" w:oddHBand="0" w:evenHBand="0" w:firstRowFirstColumn="0" w:firstRowLastColumn="0" w:lastRowFirstColumn="0" w:lastRowLastColumn="0"/>
            <w:tcW w:w="554" w:type="pct"/>
          </w:tcPr>
          <w:p w14:paraId="137C073E"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4</w:t>
            </w:r>
          </w:p>
        </w:tc>
        <w:tc>
          <w:tcPr>
            <w:tcW w:w="494" w:type="pct"/>
          </w:tcPr>
          <w:p w14:paraId="182E82EF"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63</w:t>
            </w:r>
          </w:p>
        </w:tc>
        <w:tc>
          <w:tcPr>
            <w:tcW w:w="453" w:type="pct"/>
          </w:tcPr>
          <w:p w14:paraId="4B61C126"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F</w:t>
            </w:r>
          </w:p>
        </w:tc>
        <w:tc>
          <w:tcPr>
            <w:tcW w:w="523" w:type="pct"/>
          </w:tcPr>
          <w:p w14:paraId="003B9CBC"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1.7</w:t>
            </w:r>
          </w:p>
        </w:tc>
        <w:tc>
          <w:tcPr>
            <w:tcW w:w="1195" w:type="pct"/>
          </w:tcPr>
          <w:p w14:paraId="09F8882E"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Mass</w:t>
            </w:r>
          </w:p>
        </w:tc>
        <w:tc>
          <w:tcPr>
            <w:tcW w:w="795" w:type="pct"/>
          </w:tcPr>
          <w:p w14:paraId="1E8D02D0"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NED (24)</w:t>
            </w:r>
          </w:p>
        </w:tc>
        <w:tc>
          <w:tcPr>
            <w:cnfStyle w:val="000100000000" w:firstRow="0" w:lastRow="0" w:firstColumn="0" w:lastColumn="1" w:oddVBand="0" w:evenVBand="0" w:oddHBand="0" w:evenHBand="0" w:firstRowFirstColumn="0" w:firstRowLastColumn="0" w:lastRowFirstColumn="0" w:lastRowLastColumn="0"/>
            <w:tcW w:w="985" w:type="pct"/>
          </w:tcPr>
          <w:p w14:paraId="22B1ACF6"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[7]</w:t>
            </w:r>
          </w:p>
        </w:tc>
      </w:tr>
      <w:tr w:rsidR="00ED6B88" w:rsidRPr="00ED6B88" w14:paraId="593AC049" w14:textId="77777777" w:rsidTr="00C50212">
        <w:trPr>
          <w:trHeight w:val="444"/>
          <w:jc w:val="center"/>
        </w:trPr>
        <w:tc>
          <w:tcPr>
            <w:cnfStyle w:val="001000000000" w:firstRow="0" w:lastRow="0" w:firstColumn="1" w:lastColumn="0" w:oddVBand="0" w:evenVBand="0" w:oddHBand="0" w:evenHBand="0" w:firstRowFirstColumn="0" w:firstRowLastColumn="0" w:lastRowFirstColumn="0" w:lastRowLastColumn="0"/>
            <w:tcW w:w="554" w:type="pct"/>
          </w:tcPr>
          <w:p w14:paraId="1919AD64"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5</w:t>
            </w:r>
          </w:p>
        </w:tc>
        <w:tc>
          <w:tcPr>
            <w:tcW w:w="494" w:type="pct"/>
          </w:tcPr>
          <w:p w14:paraId="091DA1F2"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69</w:t>
            </w:r>
          </w:p>
        </w:tc>
        <w:tc>
          <w:tcPr>
            <w:tcW w:w="453" w:type="pct"/>
          </w:tcPr>
          <w:p w14:paraId="50DA7D1E"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F</w:t>
            </w:r>
          </w:p>
        </w:tc>
        <w:tc>
          <w:tcPr>
            <w:tcW w:w="523" w:type="pct"/>
          </w:tcPr>
          <w:p w14:paraId="68FED2EE"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2.4</w:t>
            </w:r>
          </w:p>
        </w:tc>
        <w:tc>
          <w:tcPr>
            <w:tcW w:w="1195" w:type="pct"/>
          </w:tcPr>
          <w:p w14:paraId="12EEF3B1"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Unknown</w:t>
            </w:r>
          </w:p>
        </w:tc>
        <w:tc>
          <w:tcPr>
            <w:tcW w:w="795" w:type="pct"/>
          </w:tcPr>
          <w:p w14:paraId="7407911C"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None</w:t>
            </w:r>
          </w:p>
        </w:tc>
        <w:tc>
          <w:tcPr>
            <w:cnfStyle w:val="000100000000" w:firstRow="0" w:lastRow="0" w:firstColumn="0" w:lastColumn="1" w:oddVBand="0" w:evenVBand="0" w:oddHBand="0" w:evenHBand="0" w:firstRowFirstColumn="0" w:firstRowLastColumn="0" w:lastRowFirstColumn="0" w:lastRowLastColumn="0"/>
            <w:tcW w:w="985" w:type="pct"/>
          </w:tcPr>
          <w:p w14:paraId="6156C7C5"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[8]</w:t>
            </w:r>
          </w:p>
        </w:tc>
      </w:tr>
      <w:tr w:rsidR="00ED6B88" w:rsidRPr="00ED6B88" w14:paraId="60A537CD" w14:textId="77777777" w:rsidTr="00C50212">
        <w:trPr>
          <w:trHeight w:val="444"/>
          <w:jc w:val="center"/>
        </w:trPr>
        <w:tc>
          <w:tcPr>
            <w:cnfStyle w:val="001000000000" w:firstRow="0" w:lastRow="0" w:firstColumn="1" w:lastColumn="0" w:oddVBand="0" w:evenVBand="0" w:oddHBand="0" w:evenHBand="0" w:firstRowFirstColumn="0" w:firstRowLastColumn="0" w:lastRowFirstColumn="0" w:lastRowLastColumn="0"/>
            <w:tcW w:w="554" w:type="pct"/>
          </w:tcPr>
          <w:p w14:paraId="3DEF83B1"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6</w:t>
            </w:r>
          </w:p>
        </w:tc>
        <w:tc>
          <w:tcPr>
            <w:tcW w:w="494" w:type="pct"/>
          </w:tcPr>
          <w:p w14:paraId="289BE89B"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50</w:t>
            </w:r>
          </w:p>
        </w:tc>
        <w:tc>
          <w:tcPr>
            <w:tcW w:w="453" w:type="pct"/>
          </w:tcPr>
          <w:p w14:paraId="00374AD8"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F</w:t>
            </w:r>
          </w:p>
        </w:tc>
        <w:tc>
          <w:tcPr>
            <w:tcW w:w="523" w:type="pct"/>
          </w:tcPr>
          <w:p w14:paraId="643EED59"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1.5</w:t>
            </w:r>
          </w:p>
        </w:tc>
        <w:tc>
          <w:tcPr>
            <w:tcW w:w="1195" w:type="pct"/>
          </w:tcPr>
          <w:p w14:paraId="5D2467F7"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Mass</w:t>
            </w:r>
          </w:p>
        </w:tc>
        <w:tc>
          <w:tcPr>
            <w:tcW w:w="795" w:type="pct"/>
          </w:tcPr>
          <w:p w14:paraId="58B567E3"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NED (3)</w:t>
            </w:r>
          </w:p>
        </w:tc>
        <w:tc>
          <w:tcPr>
            <w:cnfStyle w:val="000100000000" w:firstRow="0" w:lastRow="0" w:firstColumn="0" w:lastColumn="1" w:oddVBand="0" w:evenVBand="0" w:oddHBand="0" w:evenHBand="0" w:firstRowFirstColumn="0" w:firstRowLastColumn="0" w:lastRowFirstColumn="0" w:lastRowLastColumn="0"/>
            <w:tcW w:w="985" w:type="pct"/>
          </w:tcPr>
          <w:p w14:paraId="425F64A7"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This study</w:t>
            </w:r>
          </w:p>
        </w:tc>
      </w:tr>
      <w:tr w:rsidR="00C50212" w:rsidRPr="00ED6B88" w14:paraId="4967F949" w14:textId="77777777" w:rsidTr="00C50212">
        <w:trPr>
          <w:trHeight w:val="444"/>
          <w:jc w:val="center"/>
        </w:trPr>
        <w:tc>
          <w:tcPr>
            <w:cnfStyle w:val="001000000000" w:firstRow="0" w:lastRow="0" w:firstColumn="1" w:lastColumn="0" w:oddVBand="0" w:evenVBand="0" w:oddHBand="0" w:evenHBand="0" w:firstRowFirstColumn="0" w:firstRowLastColumn="0" w:lastRowFirstColumn="0" w:lastRowLastColumn="0"/>
            <w:tcW w:w="554" w:type="pct"/>
            <w:tcBorders>
              <w:bottom w:val="single" w:sz="4" w:space="0" w:color="auto"/>
            </w:tcBorders>
          </w:tcPr>
          <w:p w14:paraId="3D5AAB35"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7</w:t>
            </w:r>
          </w:p>
        </w:tc>
        <w:tc>
          <w:tcPr>
            <w:tcW w:w="494" w:type="pct"/>
            <w:tcBorders>
              <w:bottom w:val="single" w:sz="4" w:space="0" w:color="auto"/>
            </w:tcBorders>
          </w:tcPr>
          <w:p w14:paraId="5A66F422"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52</w:t>
            </w:r>
          </w:p>
        </w:tc>
        <w:tc>
          <w:tcPr>
            <w:tcW w:w="453" w:type="pct"/>
            <w:tcBorders>
              <w:bottom w:val="single" w:sz="4" w:space="0" w:color="auto"/>
            </w:tcBorders>
          </w:tcPr>
          <w:p w14:paraId="3AB09B10"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F</w:t>
            </w:r>
          </w:p>
        </w:tc>
        <w:tc>
          <w:tcPr>
            <w:tcW w:w="523" w:type="pct"/>
            <w:tcBorders>
              <w:bottom w:val="single" w:sz="4" w:space="0" w:color="auto"/>
            </w:tcBorders>
          </w:tcPr>
          <w:p w14:paraId="24397F12"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2.0</w:t>
            </w:r>
          </w:p>
        </w:tc>
        <w:tc>
          <w:tcPr>
            <w:tcW w:w="1195" w:type="pct"/>
            <w:tcBorders>
              <w:bottom w:val="single" w:sz="4" w:space="0" w:color="auto"/>
            </w:tcBorders>
          </w:tcPr>
          <w:p w14:paraId="4CCC893D"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Mass</w:t>
            </w:r>
          </w:p>
        </w:tc>
        <w:tc>
          <w:tcPr>
            <w:tcW w:w="795" w:type="pct"/>
            <w:tcBorders>
              <w:bottom w:val="single" w:sz="4" w:space="0" w:color="auto"/>
            </w:tcBorders>
          </w:tcPr>
          <w:p w14:paraId="5DB9CFBC" w14:textId="77777777" w:rsidR="00ED6B88" w:rsidRPr="00ED6B88" w:rsidRDefault="00ED6B88" w:rsidP="00C502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D6B88">
              <w:rPr>
                <w:rFonts w:ascii="Book Antiqua" w:hAnsi="Book Antiqua" w:cs="Times New Roman"/>
              </w:rPr>
              <w:t>NED (60)</w:t>
            </w:r>
          </w:p>
        </w:tc>
        <w:tc>
          <w:tcPr>
            <w:cnfStyle w:val="000100000000" w:firstRow="0" w:lastRow="0" w:firstColumn="0" w:lastColumn="1" w:oddVBand="0" w:evenVBand="0" w:oddHBand="0" w:evenHBand="0" w:firstRowFirstColumn="0" w:firstRowLastColumn="0" w:lastRowFirstColumn="0" w:lastRowLastColumn="0"/>
            <w:tcW w:w="985" w:type="pct"/>
            <w:tcBorders>
              <w:bottom w:val="single" w:sz="4" w:space="0" w:color="auto"/>
            </w:tcBorders>
          </w:tcPr>
          <w:p w14:paraId="3C6352B0" w14:textId="77777777" w:rsidR="00ED6B88" w:rsidRPr="00C50212" w:rsidRDefault="00ED6B88" w:rsidP="00C50212">
            <w:pPr>
              <w:spacing w:line="360" w:lineRule="auto"/>
              <w:jc w:val="both"/>
              <w:rPr>
                <w:rFonts w:ascii="Book Antiqua" w:hAnsi="Book Antiqua" w:cs="Times New Roman"/>
                <w:b w:val="0"/>
                <w:bCs w:val="0"/>
              </w:rPr>
            </w:pPr>
            <w:r w:rsidRPr="00C50212">
              <w:rPr>
                <w:rFonts w:ascii="Book Antiqua" w:hAnsi="Book Antiqua" w:cs="Times New Roman"/>
                <w:b w:val="0"/>
                <w:bCs w:val="0"/>
              </w:rPr>
              <w:t>This study</w:t>
            </w:r>
          </w:p>
        </w:tc>
      </w:tr>
    </w:tbl>
    <w:p w14:paraId="34D34D12" w14:textId="77777777" w:rsidR="00ED6B88" w:rsidRPr="00ED6B88" w:rsidRDefault="00ED6B88" w:rsidP="00ED6B88">
      <w:pPr>
        <w:spacing w:line="360" w:lineRule="auto"/>
        <w:jc w:val="both"/>
        <w:rPr>
          <w:rFonts w:ascii="Book Antiqua" w:hAnsi="Book Antiqua"/>
        </w:rPr>
      </w:pPr>
      <w:r w:rsidRPr="00ED6B88">
        <w:rPr>
          <w:rFonts w:ascii="Book Antiqua" w:hAnsi="Book Antiqua"/>
        </w:rPr>
        <w:t>NED: No evidence of disease.</w:t>
      </w:r>
    </w:p>
    <w:p w14:paraId="5F5B5AC7" w14:textId="77813957" w:rsidR="00252174" w:rsidRDefault="00252174">
      <w:pPr>
        <w:rPr>
          <w:rFonts w:ascii="Book Antiqua" w:hAnsi="Book Antiqua"/>
        </w:rPr>
      </w:pPr>
      <w:r>
        <w:rPr>
          <w:rFonts w:ascii="Book Antiqua" w:hAnsi="Book Antiqua"/>
        </w:rPr>
        <w:br w:type="page"/>
      </w:r>
    </w:p>
    <w:p w14:paraId="1E425A21" w14:textId="77777777" w:rsidR="00252174" w:rsidRDefault="00252174" w:rsidP="00252174">
      <w:pPr>
        <w:jc w:val="center"/>
        <w:rPr>
          <w:rFonts w:ascii="Book Antiqua" w:hAnsi="Book Antiqua"/>
          <w:lang w:eastAsia="zh-CN"/>
        </w:rPr>
      </w:pPr>
    </w:p>
    <w:p w14:paraId="728854EA" w14:textId="77777777" w:rsidR="00252174" w:rsidRDefault="00252174" w:rsidP="00252174">
      <w:pPr>
        <w:jc w:val="center"/>
        <w:rPr>
          <w:rFonts w:ascii="Book Antiqua" w:hAnsi="Book Antiqua"/>
          <w:lang w:eastAsia="zh-CN"/>
        </w:rPr>
      </w:pPr>
    </w:p>
    <w:p w14:paraId="732E864C" w14:textId="77777777" w:rsidR="00252174" w:rsidRDefault="00252174" w:rsidP="00252174">
      <w:pPr>
        <w:jc w:val="center"/>
        <w:rPr>
          <w:rFonts w:ascii="Book Antiqua" w:hAnsi="Book Antiqua"/>
          <w:lang w:eastAsia="zh-CN"/>
        </w:rPr>
      </w:pPr>
    </w:p>
    <w:p w14:paraId="5AE30406" w14:textId="77777777" w:rsidR="00252174" w:rsidRDefault="00252174" w:rsidP="00252174">
      <w:pPr>
        <w:jc w:val="center"/>
        <w:rPr>
          <w:rFonts w:ascii="Book Antiqua" w:hAnsi="Book Antiqua"/>
          <w:lang w:eastAsia="zh-CN"/>
        </w:rPr>
      </w:pPr>
    </w:p>
    <w:p w14:paraId="521E421B" w14:textId="77777777" w:rsidR="00252174" w:rsidRDefault="00252174" w:rsidP="00252174">
      <w:pPr>
        <w:jc w:val="center"/>
        <w:rPr>
          <w:rFonts w:ascii="Book Antiqua" w:hAnsi="Book Antiqua"/>
          <w:lang w:eastAsia="zh-CN"/>
        </w:rPr>
      </w:pPr>
    </w:p>
    <w:p w14:paraId="6DDADD2C" w14:textId="77777777" w:rsidR="00252174" w:rsidRDefault="00252174" w:rsidP="00252174">
      <w:pPr>
        <w:jc w:val="center"/>
        <w:rPr>
          <w:rFonts w:ascii="Book Antiqua" w:hAnsi="Book Antiqua"/>
          <w:lang w:eastAsia="zh-CN"/>
        </w:rPr>
      </w:pPr>
      <w:r>
        <w:rPr>
          <w:rFonts w:ascii="Book Antiqua" w:hAnsi="Book Antiqua"/>
          <w:noProof/>
          <w:lang w:eastAsia="zh-CN"/>
        </w:rPr>
        <w:drawing>
          <wp:inline distT="0" distB="0" distL="0" distR="0" wp14:anchorId="03A116BD" wp14:editId="55F20F1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063D940" w14:textId="77777777" w:rsidR="00252174" w:rsidRDefault="00252174" w:rsidP="00252174">
      <w:pPr>
        <w:jc w:val="center"/>
        <w:rPr>
          <w:rFonts w:ascii="Book Antiqua" w:hAnsi="Book Antiqua"/>
          <w:lang w:eastAsia="zh-CN"/>
        </w:rPr>
      </w:pPr>
    </w:p>
    <w:p w14:paraId="11920DE5" w14:textId="77777777" w:rsidR="00252174" w:rsidRPr="00763D22" w:rsidRDefault="00252174" w:rsidP="0025217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B2BD306" w14:textId="77777777" w:rsidR="00252174" w:rsidRPr="00763D22" w:rsidRDefault="00252174" w:rsidP="0025217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B4B644D" w14:textId="77777777" w:rsidR="00252174" w:rsidRPr="00763D22" w:rsidRDefault="00252174" w:rsidP="0025217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653C932" w14:textId="77777777" w:rsidR="00252174" w:rsidRPr="00763D22" w:rsidRDefault="00252174" w:rsidP="0025217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75A5A3A" w14:textId="77777777" w:rsidR="00252174" w:rsidRPr="00763D22" w:rsidRDefault="00252174" w:rsidP="0025217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04465D2" w14:textId="77777777" w:rsidR="00252174" w:rsidRPr="00763D22" w:rsidRDefault="00252174" w:rsidP="0025217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B0301C8" w14:textId="77777777" w:rsidR="00252174" w:rsidRDefault="00252174" w:rsidP="00252174">
      <w:pPr>
        <w:jc w:val="center"/>
        <w:rPr>
          <w:rFonts w:ascii="Book Antiqua" w:hAnsi="Book Antiqua"/>
          <w:lang w:eastAsia="zh-CN"/>
        </w:rPr>
      </w:pPr>
    </w:p>
    <w:p w14:paraId="7D681CFC" w14:textId="77777777" w:rsidR="00252174" w:rsidRDefault="00252174" w:rsidP="00252174">
      <w:pPr>
        <w:jc w:val="center"/>
        <w:rPr>
          <w:rFonts w:ascii="Book Antiqua" w:hAnsi="Book Antiqua"/>
          <w:lang w:eastAsia="zh-CN"/>
        </w:rPr>
      </w:pPr>
    </w:p>
    <w:p w14:paraId="1E2CECC1" w14:textId="77777777" w:rsidR="00252174" w:rsidRDefault="00252174" w:rsidP="00252174">
      <w:pPr>
        <w:jc w:val="center"/>
        <w:rPr>
          <w:rFonts w:ascii="Book Antiqua" w:hAnsi="Book Antiqua"/>
          <w:lang w:eastAsia="zh-CN"/>
        </w:rPr>
      </w:pPr>
    </w:p>
    <w:p w14:paraId="3C836FAC" w14:textId="77777777" w:rsidR="00252174" w:rsidRDefault="00252174" w:rsidP="00252174">
      <w:pPr>
        <w:jc w:val="center"/>
        <w:rPr>
          <w:rFonts w:ascii="Book Antiqua" w:hAnsi="Book Antiqua"/>
          <w:lang w:eastAsia="zh-CN"/>
        </w:rPr>
      </w:pPr>
      <w:r>
        <w:rPr>
          <w:rFonts w:ascii="Book Antiqua" w:hAnsi="Book Antiqua"/>
          <w:noProof/>
          <w:lang w:eastAsia="zh-CN"/>
        </w:rPr>
        <w:drawing>
          <wp:inline distT="0" distB="0" distL="0" distR="0" wp14:anchorId="42393181" wp14:editId="272D076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5FDEDF" w14:textId="77777777" w:rsidR="00252174" w:rsidRDefault="00252174" w:rsidP="00252174">
      <w:pPr>
        <w:jc w:val="center"/>
        <w:rPr>
          <w:rFonts w:ascii="Book Antiqua" w:hAnsi="Book Antiqua"/>
          <w:lang w:eastAsia="zh-CN"/>
        </w:rPr>
      </w:pPr>
    </w:p>
    <w:p w14:paraId="0DF5CC22" w14:textId="77777777" w:rsidR="00252174" w:rsidRDefault="00252174" w:rsidP="00252174">
      <w:pPr>
        <w:jc w:val="center"/>
        <w:rPr>
          <w:rFonts w:ascii="Book Antiqua" w:hAnsi="Book Antiqua"/>
          <w:lang w:eastAsia="zh-CN"/>
        </w:rPr>
      </w:pPr>
    </w:p>
    <w:p w14:paraId="29A4F3E4" w14:textId="77777777" w:rsidR="00252174" w:rsidRDefault="00252174" w:rsidP="00252174">
      <w:pPr>
        <w:jc w:val="center"/>
        <w:rPr>
          <w:rFonts w:ascii="Book Antiqua" w:hAnsi="Book Antiqua"/>
          <w:lang w:eastAsia="zh-CN"/>
        </w:rPr>
      </w:pPr>
    </w:p>
    <w:p w14:paraId="382D4CDE" w14:textId="77777777" w:rsidR="00252174" w:rsidRDefault="00252174" w:rsidP="00252174">
      <w:pPr>
        <w:jc w:val="center"/>
        <w:rPr>
          <w:rFonts w:ascii="Book Antiqua" w:hAnsi="Book Antiqua"/>
          <w:lang w:eastAsia="zh-CN"/>
        </w:rPr>
      </w:pPr>
    </w:p>
    <w:p w14:paraId="3CEAAEB9" w14:textId="77777777" w:rsidR="00252174" w:rsidRDefault="00252174" w:rsidP="00252174">
      <w:pPr>
        <w:jc w:val="center"/>
        <w:rPr>
          <w:rFonts w:ascii="Book Antiqua" w:hAnsi="Book Antiqua"/>
          <w:lang w:eastAsia="zh-CN"/>
        </w:rPr>
      </w:pPr>
    </w:p>
    <w:p w14:paraId="123DD364" w14:textId="77777777" w:rsidR="00252174" w:rsidRDefault="00252174" w:rsidP="00252174">
      <w:pPr>
        <w:jc w:val="center"/>
        <w:rPr>
          <w:rFonts w:ascii="Book Antiqua" w:hAnsi="Book Antiqua"/>
          <w:lang w:eastAsia="zh-CN"/>
        </w:rPr>
      </w:pPr>
    </w:p>
    <w:p w14:paraId="68E3512F" w14:textId="77777777" w:rsidR="00252174" w:rsidRDefault="00252174" w:rsidP="00252174">
      <w:pPr>
        <w:jc w:val="center"/>
        <w:rPr>
          <w:rFonts w:ascii="Book Antiqua" w:hAnsi="Book Antiqua"/>
          <w:lang w:eastAsia="zh-CN"/>
        </w:rPr>
      </w:pPr>
    </w:p>
    <w:p w14:paraId="73AE5834" w14:textId="77777777" w:rsidR="00252174" w:rsidRDefault="00252174" w:rsidP="00252174">
      <w:pPr>
        <w:jc w:val="center"/>
        <w:rPr>
          <w:rFonts w:ascii="Book Antiqua" w:hAnsi="Book Antiqua"/>
          <w:lang w:eastAsia="zh-CN"/>
        </w:rPr>
      </w:pPr>
    </w:p>
    <w:p w14:paraId="027AC4D2" w14:textId="77777777" w:rsidR="00252174" w:rsidRDefault="00252174" w:rsidP="00252174">
      <w:pPr>
        <w:jc w:val="center"/>
        <w:rPr>
          <w:rFonts w:ascii="Book Antiqua" w:hAnsi="Book Antiqua"/>
          <w:lang w:eastAsia="zh-CN"/>
        </w:rPr>
      </w:pPr>
    </w:p>
    <w:p w14:paraId="3ADD5E6B" w14:textId="77777777" w:rsidR="00252174" w:rsidRPr="00763D22" w:rsidRDefault="00252174" w:rsidP="00252174">
      <w:pPr>
        <w:jc w:val="right"/>
        <w:rPr>
          <w:rFonts w:ascii="Book Antiqua" w:hAnsi="Book Antiqua"/>
          <w:color w:val="000000" w:themeColor="text1"/>
          <w:lang w:eastAsia="zh-CN"/>
        </w:rPr>
      </w:pPr>
    </w:p>
    <w:p w14:paraId="597BF634" w14:textId="77777777" w:rsidR="00252174" w:rsidRPr="00763D22" w:rsidRDefault="00252174" w:rsidP="0025217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381C361" w14:textId="77777777" w:rsidR="00ED6B88" w:rsidRPr="00ED6B88" w:rsidRDefault="00ED6B88" w:rsidP="00ED6B88">
      <w:pPr>
        <w:spacing w:line="360" w:lineRule="auto"/>
        <w:jc w:val="both"/>
        <w:rPr>
          <w:rFonts w:ascii="Book Antiqua" w:hAnsi="Book Antiqua"/>
        </w:rPr>
      </w:pPr>
      <w:bookmarkStart w:id="66" w:name="_GoBack"/>
      <w:bookmarkEnd w:id="66"/>
    </w:p>
    <w:sectPr w:rsidR="00ED6B88" w:rsidRPr="00ED6B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ADDDD" w14:textId="77777777" w:rsidR="008140E2" w:rsidRDefault="008140E2" w:rsidP="00223C43">
      <w:r>
        <w:separator/>
      </w:r>
    </w:p>
  </w:endnote>
  <w:endnote w:type="continuationSeparator" w:id="0">
    <w:p w14:paraId="28406F11" w14:textId="77777777" w:rsidR="008140E2" w:rsidRDefault="008140E2" w:rsidP="0022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E726E" w14:textId="77777777" w:rsidR="00223C43" w:rsidRPr="00223C43" w:rsidRDefault="00223C43" w:rsidP="00223C43">
    <w:pPr>
      <w:pStyle w:val="a4"/>
      <w:jc w:val="right"/>
      <w:rPr>
        <w:rFonts w:ascii="Book Antiqua" w:hAnsi="Book Antiqua"/>
        <w:sz w:val="24"/>
        <w:szCs w:val="24"/>
      </w:rPr>
    </w:pPr>
    <w:r w:rsidRPr="00223C43">
      <w:rPr>
        <w:rFonts w:ascii="Book Antiqua" w:hAnsi="Book Antiqua"/>
        <w:sz w:val="24"/>
        <w:szCs w:val="24"/>
        <w:lang w:val="zh-CN" w:eastAsia="zh-CN"/>
      </w:rPr>
      <w:t xml:space="preserve"> </w:t>
    </w:r>
    <w:r w:rsidRPr="00223C43">
      <w:rPr>
        <w:rFonts w:ascii="Book Antiqua" w:hAnsi="Book Antiqua"/>
        <w:sz w:val="24"/>
        <w:szCs w:val="24"/>
      </w:rPr>
      <w:fldChar w:fldCharType="begin"/>
    </w:r>
    <w:r w:rsidRPr="00223C43">
      <w:rPr>
        <w:rFonts w:ascii="Book Antiqua" w:hAnsi="Book Antiqua"/>
        <w:sz w:val="24"/>
        <w:szCs w:val="24"/>
      </w:rPr>
      <w:instrText>PAGE  \* Arabic  \* MERGEFORMAT</w:instrText>
    </w:r>
    <w:r w:rsidRPr="00223C43">
      <w:rPr>
        <w:rFonts w:ascii="Book Antiqua" w:hAnsi="Book Antiqua"/>
        <w:sz w:val="24"/>
        <w:szCs w:val="24"/>
      </w:rPr>
      <w:fldChar w:fldCharType="separate"/>
    </w:r>
    <w:r w:rsidR="008140E2" w:rsidRPr="008140E2">
      <w:rPr>
        <w:rFonts w:ascii="Book Antiqua" w:hAnsi="Book Antiqua"/>
        <w:noProof/>
        <w:sz w:val="24"/>
        <w:szCs w:val="24"/>
        <w:lang w:val="zh-CN" w:eastAsia="zh-CN"/>
      </w:rPr>
      <w:t>1</w:t>
    </w:r>
    <w:r w:rsidRPr="00223C43">
      <w:rPr>
        <w:rFonts w:ascii="Book Antiqua" w:hAnsi="Book Antiqua"/>
        <w:sz w:val="24"/>
        <w:szCs w:val="24"/>
      </w:rPr>
      <w:fldChar w:fldCharType="end"/>
    </w:r>
    <w:r w:rsidRPr="00223C43">
      <w:rPr>
        <w:rFonts w:ascii="Book Antiqua" w:hAnsi="Book Antiqua"/>
        <w:sz w:val="24"/>
        <w:szCs w:val="24"/>
        <w:lang w:val="zh-CN" w:eastAsia="zh-CN"/>
      </w:rPr>
      <w:t xml:space="preserve"> / </w:t>
    </w:r>
    <w:r w:rsidRPr="00223C43">
      <w:rPr>
        <w:rFonts w:ascii="Book Antiqua" w:hAnsi="Book Antiqua"/>
        <w:sz w:val="24"/>
        <w:szCs w:val="24"/>
      </w:rPr>
      <w:fldChar w:fldCharType="begin"/>
    </w:r>
    <w:r w:rsidRPr="00223C43">
      <w:rPr>
        <w:rFonts w:ascii="Book Antiqua" w:hAnsi="Book Antiqua"/>
        <w:sz w:val="24"/>
        <w:szCs w:val="24"/>
      </w:rPr>
      <w:instrText>NUMPAGES  \* Arabic  \* MERGEFORMAT</w:instrText>
    </w:r>
    <w:r w:rsidRPr="00223C43">
      <w:rPr>
        <w:rFonts w:ascii="Book Antiqua" w:hAnsi="Book Antiqua"/>
        <w:sz w:val="24"/>
        <w:szCs w:val="24"/>
      </w:rPr>
      <w:fldChar w:fldCharType="separate"/>
    </w:r>
    <w:r w:rsidR="008140E2" w:rsidRPr="008140E2">
      <w:rPr>
        <w:rFonts w:ascii="Book Antiqua" w:hAnsi="Book Antiqua"/>
        <w:noProof/>
        <w:sz w:val="24"/>
        <w:szCs w:val="24"/>
        <w:lang w:val="zh-CN" w:eastAsia="zh-CN"/>
      </w:rPr>
      <w:t>1</w:t>
    </w:r>
    <w:r w:rsidRPr="00223C43">
      <w:rPr>
        <w:rFonts w:ascii="Book Antiqua" w:hAnsi="Book Antiqua"/>
        <w:sz w:val="24"/>
        <w:szCs w:val="24"/>
      </w:rPr>
      <w:fldChar w:fldCharType="end"/>
    </w:r>
  </w:p>
  <w:p w14:paraId="07C0F372" w14:textId="77777777" w:rsidR="00223C43" w:rsidRDefault="00223C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ABF2D" w14:textId="77777777" w:rsidR="008140E2" w:rsidRDefault="008140E2" w:rsidP="00223C43">
      <w:r>
        <w:separator/>
      </w:r>
    </w:p>
  </w:footnote>
  <w:footnote w:type="continuationSeparator" w:id="0">
    <w:p w14:paraId="0A34B5BC" w14:textId="77777777" w:rsidR="008140E2" w:rsidRDefault="008140E2" w:rsidP="00223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688"/>
    <w:rsid w:val="00074970"/>
    <w:rsid w:val="00084DAC"/>
    <w:rsid w:val="000E7A67"/>
    <w:rsid w:val="0010295D"/>
    <w:rsid w:val="00107C09"/>
    <w:rsid w:val="00115FA5"/>
    <w:rsid w:val="00204A71"/>
    <w:rsid w:val="002115D4"/>
    <w:rsid w:val="00223C43"/>
    <w:rsid w:val="002404B5"/>
    <w:rsid w:val="002509C3"/>
    <w:rsid w:val="00252174"/>
    <w:rsid w:val="002F7B70"/>
    <w:rsid w:val="003140EF"/>
    <w:rsid w:val="0033285D"/>
    <w:rsid w:val="00366BB8"/>
    <w:rsid w:val="00441425"/>
    <w:rsid w:val="00470635"/>
    <w:rsid w:val="00480377"/>
    <w:rsid w:val="00487F63"/>
    <w:rsid w:val="004E24AD"/>
    <w:rsid w:val="00511E6A"/>
    <w:rsid w:val="00546B2E"/>
    <w:rsid w:val="00554508"/>
    <w:rsid w:val="005D72D5"/>
    <w:rsid w:val="00655B09"/>
    <w:rsid w:val="00664B4C"/>
    <w:rsid w:val="00670696"/>
    <w:rsid w:val="006A34FF"/>
    <w:rsid w:val="006C1C15"/>
    <w:rsid w:val="006F21FC"/>
    <w:rsid w:val="00701D9D"/>
    <w:rsid w:val="0070647A"/>
    <w:rsid w:val="00742231"/>
    <w:rsid w:val="007876D6"/>
    <w:rsid w:val="007952AD"/>
    <w:rsid w:val="007A1ECC"/>
    <w:rsid w:val="007A2B52"/>
    <w:rsid w:val="008140E2"/>
    <w:rsid w:val="00816294"/>
    <w:rsid w:val="00867303"/>
    <w:rsid w:val="0088522D"/>
    <w:rsid w:val="008E7371"/>
    <w:rsid w:val="008F12F9"/>
    <w:rsid w:val="009030E6"/>
    <w:rsid w:val="009246EE"/>
    <w:rsid w:val="00954238"/>
    <w:rsid w:val="00964FDA"/>
    <w:rsid w:val="009C0087"/>
    <w:rsid w:val="00A77B3E"/>
    <w:rsid w:val="00A9277F"/>
    <w:rsid w:val="00AD69F8"/>
    <w:rsid w:val="00AE6946"/>
    <w:rsid w:val="00AF077E"/>
    <w:rsid w:val="00B02AF4"/>
    <w:rsid w:val="00B51BC3"/>
    <w:rsid w:val="00B526D4"/>
    <w:rsid w:val="00BA0799"/>
    <w:rsid w:val="00BA5FC9"/>
    <w:rsid w:val="00BD1DF0"/>
    <w:rsid w:val="00BF348E"/>
    <w:rsid w:val="00C1771D"/>
    <w:rsid w:val="00C204FF"/>
    <w:rsid w:val="00C362F4"/>
    <w:rsid w:val="00C471A4"/>
    <w:rsid w:val="00C50212"/>
    <w:rsid w:val="00C510E4"/>
    <w:rsid w:val="00C557C0"/>
    <w:rsid w:val="00C93600"/>
    <w:rsid w:val="00CA2A55"/>
    <w:rsid w:val="00CC6294"/>
    <w:rsid w:val="00D12C44"/>
    <w:rsid w:val="00D70EC2"/>
    <w:rsid w:val="00D805E0"/>
    <w:rsid w:val="00DA6CF0"/>
    <w:rsid w:val="00DD76BE"/>
    <w:rsid w:val="00E01B68"/>
    <w:rsid w:val="00E34114"/>
    <w:rsid w:val="00E7448E"/>
    <w:rsid w:val="00ED6B88"/>
    <w:rsid w:val="00F973EC"/>
    <w:rsid w:val="00FB6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A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3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3C43"/>
    <w:rPr>
      <w:sz w:val="18"/>
      <w:szCs w:val="18"/>
    </w:rPr>
  </w:style>
  <w:style w:type="paragraph" w:styleId="a4">
    <w:name w:val="footer"/>
    <w:basedOn w:val="a"/>
    <w:link w:val="Char0"/>
    <w:uiPriority w:val="99"/>
    <w:unhideWhenUsed/>
    <w:rsid w:val="00223C43"/>
    <w:pPr>
      <w:tabs>
        <w:tab w:val="center" w:pos="4153"/>
        <w:tab w:val="right" w:pos="8306"/>
      </w:tabs>
      <w:snapToGrid w:val="0"/>
    </w:pPr>
    <w:rPr>
      <w:sz w:val="18"/>
      <w:szCs w:val="18"/>
    </w:rPr>
  </w:style>
  <w:style w:type="character" w:customStyle="1" w:styleId="Char0">
    <w:name w:val="页脚 Char"/>
    <w:basedOn w:val="a0"/>
    <w:link w:val="a4"/>
    <w:uiPriority w:val="99"/>
    <w:rsid w:val="00223C43"/>
    <w:rPr>
      <w:sz w:val="18"/>
      <w:szCs w:val="18"/>
    </w:rPr>
  </w:style>
  <w:style w:type="table" w:customStyle="1" w:styleId="21">
    <w:name w:val="无格式表格 21"/>
    <w:basedOn w:val="a1"/>
    <w:uiPriority w:val="42"/>
    <w:rsid w:val="00ED6B88"/>
    <w:rPr>
      <w:rFonts w:asciiTheme="minorHAnsi" w:hAnsiTheme="minorHAnsi" w:cstheme="minorBidi"/>
      <w:kern w:val="2"/>
      <w:sz w:val="21"/>
      <w:szCs w:val="24"/>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Revision"/>
    <w:hidden/>
    <w:uiPriority w:val="99"/>
    <w:semiHidden/>
    <w:rsid w:val="002F7B70"/>
    <w:rPr>
      <w:sz w:val="24"/>
      <w:szCs w:val="24"/>
    </w:rPr>
  </w:style>
  <w:style w:type="character" w:styleId="a6">
    <w:name w:val="annotation reference"/>
    <w:basedOn w:val="a0"/>
    <w:semiHidden/>
    <w:unhideWhenUsed/>
    <w:rsid w:val="002F7B70"/>
    <w:rPr>
      <w:sz w:val="21"/>
      <w:szCs w:val="21"/>
    </w:rPr>
  </w:style>
  <w:style w:type="paragraph" w:styleId="a7">
    <w:name w:val="annotation text"/>
    <w:basedOn w:val="a"/>
    <w:link w:val="Char1"/>
    <w:semiHidden/>
    <w:unhideWhenUsed/>
    <w:rsid w:val="002F7B70"/>
  </w:style>
  <w:style w:type="character" w:customStyle="1" w:styleId="Char1">
    <w:name w:val="批注文字 Char"/>
    <w:basedOn w:val="a0"/>
    <w:link w:val="a7"/>
    <w:semiHidden/>
    <w:rsid w:val="002F7B70"/>
    <w:rPr>
      <w:sz w:val="24"/>
      <w:szCs w:val="24"/>
    </w:rPr>
  </w:style>
  <w:style w:type="paragraph" w:styleId="a8">
    <w:name w:val="annotation subject"/>
    <w:basedOn w:val="a7"/>
    <w:next w:val="a7"/>
    <w:link w:val="Char2"/>
    <w:semiHidden/>
    <w:unhideWhenUsed/>
    <w:rsid w:val="002F7B70"/>
    <w:rPr>
      <w:b/>
      <w:bCs/>
    </w:rPr>
  </w:style>
  <w:style w:type="character" w:customStyle="1" w:styleId="Char2">
    <w:name w:val="批注主题 Char"/>
    <w:basedOn w:val="Char1"/>
    <w:link w:val="a8"/>
    <w:semiHidden/>
    <w:rsid w:val="002F7B70"/>
    <w:rPr>
      <w:b/>
      <w:bCs/>
      <w:sz w:val="24"/>
      <w:szCs w:val="24"/>
    </w:rPr>
  </w:style>
  <w:style w:type="paragraph" w:styleId="a9">
    <w:name w:val="Balloon Text"/>
    <w:basedOn w:val="a"/>
    <w:link w:val="Char3"/>
    <w:semiHidden/>
    <w:unhideWhenUsed/>
    <w:rsid w:val="00252174"/>
    <w:rPr>
      <w:sz w:val="18"/>
      <w:szCs w:val="18"/>
    </w:rPr>
  </w:style>
  <w:style w:type="character" w:customStyle="1" w:styleId="Char3">
    <w:name w:val="批注框文本 Char"/>
    <w:basedOn w:val="a0"/>
    <w:link w:val="a9"/>
    <w:semiHidden/>
    <w:rsid w:val="002521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3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3C43"/>
    <w:rPr>
      <w:sz w:val="18"/>
      <w:szCs w:val="18"/>
    </w:rPr>
  </w:style>
  <w:style w:type="paragraph" w:styleId="a4">
    <w:name w:val="footer"/>
    <w:basedOn w:val="a"/>
    <w:link w:val="Char0"/>
    <w:uiPriority w:val="99"/>
    <w:unhideWhenUsed/>
    <w:rsid w:val="00223C43"/>
    <w:pPr>
      <w:tabs>
        <w:tab w:val="center" w:pos="4153"/>
        <w:tab w:val="right" w:pos="8306"/>
      </w:tabs>
      <w:snapToGrid w:val="0"/>
    </w:pPr>
    <w:rPr>
      <w:sz w:val="18"/>
      <w:szCs w:val="18"/>
    </w:rPr>
  </w:style>
  <w:style w:type="character" w:customStyle="1" w:styleId="Char0">
    <w:name w:val="页脚 Char"/>
    <w:basedOn w:val="a0"/>
    <w:link w:val="a4"/>
    <w:uiPriority w:val="99"/>
    <w:rsid w:val="00223C43"/>
    <w:rPr>
      <w:sz w:val="18"/>
      <w:szCs w:val="18"/>
    </w:rPr>
  </w:style>
  <w:style w:type="table" w:customStyle="1" w:styleId="21">
    <w:name w:val="无格式表格 21"/>
    <w:basedOn w:val="a1"/>
    <w:uiPriority w:val="42"/>
    <w:rsid w:val="00ED6B88"/>
    <w:rPr>
      <w:rFonts w:asciiTheme="minorHAnsi" w:hAnsiTheme="minorHAnsi" w:cstheme="minorBidi"/>
      <w:kern w:val="2"/>
      <w:sz w:val="21"/>
      <w:szCs w:val="24"/>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Revision"/>
    <w:hidden/>
    <w:uiPriority w:val="99"/>
    <w:semiHidden/>
    <w:rsid w:val="002F7B70"/>
    <w:rPr>
      <w:sz w:val="24"/>
      <w:szCs w:val="24"/>
    </w:rPr>
  </w:style>
  <w:style w:type="character" w:styleId="a6">
    <w:name w:val="annotation reference"/>
    <w:basedOn w:val="a0"/>
    <w:semiHidden/>
    <w:unhideWhenUsed/>
    <w:rsid w:val="002F7B70"/>
    <w:rPr>
      <w:sz w:val="21"/>
      <w:szCs w:val="21"/>
    </w:rPr>
  </w:style>
  <w:style w:type="paragraph" w:styleId="a7">
    <w:name w:val="annotation text"/>
    <w:basedOn w:val="a"/>
    <w:link w:val="Char1"/>
    <w:semiHidden/>
    <w:unhideWhenUsed/>
    <w:rsid w:val="002F7B70"/>
  </w:style>
  <w:style w:type="character" w:customStyle="1" w:styleId="Char1">
    <w:name w:val="批注文字 Char"/>
    <w:basedOn w:val="a0"/>
    <w:link w:val="a7"/>
    <w:semiHidden/>
    <w:rsid w:val="002F7B70"/>
    <w:rPr>
      <w:sz w:val="24"/>
      <w:szCs w:val="24"/>
    </w:rPr>
  </w:style>
  <w:style w:type="paragraph" w:styleId="a8">
    <w:name w:val="annotation subject"/>
    <w:basedOn w:val="a7"/>
    <w:next w:val="a7"/>
    <w:link w:val="Char2"/>
    <w:semiHidden/>
    <w:unhideWhenUsed/>
    <w:rsid w:val="002F7B70"/>
    <w:rPr>
      <w:b/>
      <w:bCs/>
    </w:rPr>
  </w:style>
  <w:style w:type="character" w:customStyle="1" w:styleId="Char2">
    <w:name w:val="批注主题 Char"/>
    <w:basedOn w:val="Char1"/>
    <w:link w:val="a8"/>
    <w:semiHidden/>
    <w:rsid w:val="002F7B70"/>
    <w:rPr>
      <w:b/>
      <w:bCs/>
      <w:sz w:val="24"/>
      <w:szCs w:val="24"/>
    </w:rPr>
  </w:style>
  <w:style w:type="paragraph" w:styleId="a9">
    <w:name w:val="Balloon Text"/>
    <w:basedOn w:val="a"/>
    <w:link w:val="Char3"/>
    <w:semiHidden/>
    <w:unhideWhenUsed/>
    <w:rsid w:val="00252174"/>
    <w:rPr>
      <w:sz w:val="18"/>
      <w:szCs w:val="18"/>
    </w:rPr>
  </w:style>
  <w:style w:type="character" w:customStyle="1" w:styleId="Char3">
    <w:name w:val="批注框文本 Char"/>
    <w:basedOn w:val="a0"/>
    <w:link w:val="a9"/>
    <w:semiHidden/>
    <w:rsid w:val="002521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3866</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exiuge</dc:creator>
  <cp:lastModifiedBy>liujihong2008@qq.con</cp:lastModifiedBy>
  <cp:revision>11</cp:revision>
  <dcterms:created xsi:type="dcterms:W3CDTF">2021-03-01T23:30:00Z</dcterms:created>
  <dcterms:modified xsi:type="dcterms:W3CDTF">2021-04-13T06:10:00Z</dcterms:modified>
</cp:coreProperties>
</file>