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3924A0" w:rsidP="00190A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3924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62190</w:t>
      </w:r>
    </w:p>
    <w:p w:rsidR="00A77B3E" w:rsidRDefault="003924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Retrospective Cohort Study</w:t>
      </w:r>
    </w:p>
    <w:p w:rsidR="00A77B3E" w:rsidRDefault="003924A0">
      <w:pPr>
        <w:spacing w:line="360" w:lineRule="auto"/>
        <w:jc w:val="both"/>
      </w:pPr>
      <w:r>
        <w:rPr>
          <w:rFonts w:ascii="Book Antiqua" w:eastAsia="Book Antiqua" w:hAnsi="Book Antiqua" w:cs="Book Antiqua"/>
          <w:b/>
          <w:bCs/>
          <w:color w:val="000000"/>
        </w:rPr>
        <w:t xml:space="preserve">Tunneled biopsy is an </w:t>
      </w:r>
      <w:proofErr w:type="spellStart"/>
      <w:r>
        <w:rPr>
          <w:rFonts w:ascii="Book Antiqua" w:eastAsia="Book Antiqua" w:hAnsi="Book Antiqua" w:cs="Book Antiqua"/>
          <w:b/>
          <w:bCs/>
          <w:color w:val="000000"/>
        </w:rPr>
        <w:t>underutilised</w:t>
      </w:r>
      <w:proofErr w:type="spellEnd"/>
      <w:r>
        <w:rPr>
          <w:rFonts w:ascii="Book Antiqua" w:eastAsia="Book Antiqua" w:hAnsi="Book Antiqua" w:cs="Book Antiqua"/>
          <w:b/>
          <w:bCs/>
          <w:color w:val="000000"/>
        </w:rPr>
        <w:t xml:space="preserve">, simple, safe and efficient method for tissue acquisition from </w:t>
      </w:r>
      <w:proofErr w:type="spellStart"/>
      <w:r>
        <w:rPr>
          <w:rFonts w:ascii="Book Antiqua" w:eastAsia="Book Antiqua" w:hAnsi="Book Antiqua" w:cs="Book Antiqua"/>
          <w:b/>
          <w:bCs/>
          <w:color w:val="000000"/>
        </w:rPr>
        <w:t>subepithelial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tumours</w:t>
      </w:r>
      <w:proofErr w:type="spellEnd"/>
    </w:p>
    <w:p w:rsidR="00A77B3E" w:rsidRDefault="00A77B3E">
      <w:pPr>
        <w:spacing w:line="360" w:lineRule="auto"/>
        <w:jc w:val="both"/>
      </w:pPr>
    </w:p>
    <w:p w:rsidR="00A77B3E" w:rsidRDefault="003901BB">
      <w:pPr>
        <w:spacing w:line="360" w:lineRule="auto"/>
        <w:jc w:val="both"/>
      </w:pPr>
      <w:proofErr w:type="spellStart"/>
      <w:r>
        <w:rPr>
          <w:rFonts w:ascii="Book Antiqua" w:eastAsia="Book Antiqua" w:hAnsi="Book Antiqua" w:cs="Book Antiqua"/>
          <w:color w:val="000000"/>
        </w:rPr>
        <w:t>Koutsoumpas</w:t>
      </w:r>
      <w:proofErr w:type="spellEnd"/>
      <w:r>
        <w:rPr>
          <w:rFonts w:ascii="Book Antiqua" w:eastAsia="Book Antiqua" w:hAnsi="Book Antiqua" w:cs="Book Antiqua"/>
          <w:color w:val="000000"/>
        </w:rPr>
        <w:t xml:space="preserve"> </w:t>
      </w:r>
      <w:proofErr w:type="gramStart"/>
      <w:r>
        <w:rPr>
          <w:rFonts w:ascii="Book Antiqua" w:hAnsi="Book Antiqua" w:cs="Book Antiqua" w:hint="eastAsia"/>
          <w:color w:val="000000"/>
          <w:lang w:eastAsia="zh-CN"/>
        </w:rPr>
        <w:t>A</w:t>
      </w:r>
      <w:proofErr w:type="gramEnd"/>
      <w:r>
        <w:rPr>
          <w:rFonts w:ascii="Book Antiqua" w:hAnsi="Book Antiqua" w:cs="Book Antiqua" w:hint="eastAsia"/>
          <w:color w:val="000000"/>
          <w:lang w:eastAsia="zh-CN"/>
        </w:rPr>
        <w:t xml:space="preserve"> </w:t>
      </w:r>
      <w:r w:rsidRPr="003901B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924A0">
        <w:rPr>
          <w:rFonts w:ascii="Book Antiqua" w:eastAsia="Book Antiqua" w:hAnsi="Book Antiqua" w:cs="Book Antiqua"/>
          <w:color w:val="000000"/>
        </w:rPr>
        <w:t xml:space="preserve">Tunneled biopsies in </w:t>
      </w:r>
      <w:proofErr w:type="spellStart"/>
      <w:r w:rsidR="003924A0">
        <w:rPr>
          <w:rFonts w:ascii="Book Antiqua" w:eastAsia="Book Antiqua" w:hAnsi="Book Antiqua" w:cs="Book Antiqua"/>
          <w:color w:val="000000"/>
        </w:rPr>
        <w:t>subepithelial</w:t>
      </w:r>
      <w:proofErr w:type="spellEnd"/>
      <w:r w:rsidR="003924A0">
        <w:rPr>
          <w:rFonts w:ascii="Book Antiqua" w:eastAsia="Book Antiqua" w:hAnsi="Book Antiqua" w:cs="Book Antiqua"/>
          <w:color w:val="000000"/>
        </w:rPr>
        <w:t xml:space="preserve"> </w:t>
      </w:r>
      <w:proofErr w:type="spellStart"/>
      <w:r w:rsidR="003924A0">
        <w:rPr>
          <w:rFonts w:ascii="Book Antiqua" w:eastAsia="Book Antiqua" w:hAnsi="Book Antiqua" w:cs="Book Antiqua"/>
          <w:color w:val="000000"/>
        </w:rPr>
        <w:t>tumours</w:t>
      </w:r>
      <w:proofErr w:type="spellEnd"/>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 xml:space="preserve">Andreas </w:t>
      </w:r>
      <w:proofErr w:type="spellStart"/>
      <w:r>
        <w:rPr>
          <w:rFonts w:ascii="Book Antiqua" w:eastAsia="Book Antiqua" w:hAnsi="Book Antiqua" w:cs="Book Antiqua"/>
          <w:color w:val="000000"/>
        </w:rPr>
        <w:t>Koutsoumpas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Ruwan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Perera</w:t>
      </w:r>
      <w:proofErr w:type="spellEnd"/>
      <w:r>
        <w:rPr>
          <w:rFonts w:ascii="Book Antiqua" w:eastAsia="Book Antiqua" w:hAnsi="Book Antiqua" w:cs="Book Antiqua"/>
          <w:color w:val="000000"/>
        </w:rPr>
        <w:t xml:space="preserve">, Adele Melton, Jonathan </w:t>
      </w:r>
      <w:proofErr w:type="spellStart"/>
      <w:r>
        <w:rPr>
          <w:rFonts w:ascii="Book Antiqua" w:eastAsia="Book Antiqua" w:hAnsi="Book Antiqua" w:cs="Book Antiqua"/>
          <w:color w:val="000000"/>
        </w:rPr>
        <w:t>Kuker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Tilak</w:t>
      </w:r>
      <w:proofErr w:type="spellEnd"/>
      <w:r>
        <w:rPr>
          <w:rFonts w:ascii="Book Antiqua" w:eastAsia="Book Antiqua" w:hAnsi="Book Antiqua" w:cs="Book Antiqua"/>
          <w:color w:val="000000"/>
        </w:rPr>
        <w:t xml:space="preserve"> Ghosh, Barbara Braden</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Andreas </w:t>
      </w:r>
      <w:proofErr w:type="spellStart"/>
      <w:r>
        <w:rPr>
          <w:rFonts w:ascii="Book Antiqua" w:eastAsia="Book Antiqua" w:hAnsi="Book Antiqua" w:cs="Book Antiqua"/>
          <w:b/>
          <w:bCs/>
          <w:color w:val="000000"/>
        </w:rPr>
        <w:t>Koutsoumpas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Ruwan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Perera</w:t>
      </w:r>
      <w:proofErr w:type="spellEnd"/>
      <w:r>
        <w:rPr>
          <w:rFonts w:ascii="Book Antiqua" w:eastAsia="Book Antiqua" w:hAnsi="Book Antiqua" w:cs="Book Antiqua"/>
          <w:b/>
          <w:bCs/>
          <w:color w:val="000000"/>
        </w:rPr>
        <w:t xml:space="preserve">, Adele Melton, Barbara Braden, </w:t>
      </w:r>
      <w:r>
        <w:rPr>
          <w:rFonts w:ascii="Book Antiqua" w:eastAsia="Book Antiqua" w:hAnsi="Book Antiqua" w:cs="Book Antiqua"/>
          <w:color w:val="000000"/>
        </w:rPr>
        <w:t>Translational Gastroenterology Unit, Oxford University Hospitals NHS Foundation Trust, Oxford OX3 9DU, United Kingdom</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Jonathan </w:t>
      </w:r>
      <w:proofErr w:type="spellStart"/>
      <w:r>
        <w:rPr>
          <w:rFonts w:ascii="Book Antiqua" w:eastAsia="Book Antiqua" w:hAnsi="Book Antiqua" w:cs="Book Antiqua"/>
          <w:b/>
          <w:bCs/>
          <w:color w:val="000000"/>
        </w:rPr>
        <w:t>Kuker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Senior School, Magdalen College School, Oxford OX4 0DZ, United Kingdom</w:t>
      </w:r>
    </w:p>
    <w:p w:rsidR="00A77B3E" w:rsidRDefault="00A77B3E">
      <w:pPr>
        <w:spacing w:line="360" w:lineRule="auto"/>
        <w:jc w:val="both"/>
      </w:pPr>
    </w:p>
    <w:p w:rsidR="00A77B3E" w:rsidRDefault="003924A0">
      <w:pPr>
        <w:spacing w:line="360" w:lineRule="auto"/>
        <w:jc w:val="both"/>
      </w:pPr>
      <w:proofErr w:type="spellStart"/>
      <w:r>
        <w:rPr>
          <w:rFonts w:ascii="Book Antiqua" w:eastAsia="Book Antiqua" w:hAnsi="Book Antiqua" w:cs="Book Antiqua"/>
          <w:b/>
          <w:bCs/>
          <w:color w:val="000000"/>
        </w:rPr>
        <w:t>Tilak</w:t>
      </w:r>
      <w:proofErr w:type="spellEnd"/>
      <w:r>
        <w:rPr>
          <w:rFonts w:ascii="Book Antiqua" w:eastAsia="Book Antiqua" w:hAnsi="Book Antiqua" w:cs="Book Antiqua"/>
          <w:b/>
          <w:bCs/>
          <w:color w:val="000000"/>
        </w:rPr>
        <w:t xml:space="preserve"> Ghosh, </w:t>
      </w:r>
      <w:r>
        <w:rPr>
          <w:rFonts w:ascii="Book Antiqua" w:eastAsia="Book Antiqua" w:hAnsi="Book Antiqua" w:cs="Book Antiqua"/>
          <w:color w:val="000000"/>
        </w:rPr>
        <w:t>Translational Gastroenterology Unit, Oxford University Hospital NHS Foundation Trust, Oxford OX3 9DU, United Kingdom</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All authors contributed in data acquisition, analysis and interpretation of the data, critically revised, edited and approved the final version; Braden B drafted the study concept and first manuscript version; </w:t>
      </w:r>
      <w:proofErr w:type="spellStart"/>
      <w:r>
        <w:rPr>
          <w:rFonts w:ascii="Book Antiqua" w:eastAsia="Book Antiqua" w:hAnsi="Book Antiqua" w:cs="Book Antiqua"/>
          <w:color w:val="000000"/>
        </w:rPr>
        <w:t>Koutsoumpas</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Perera</w:t>
      </w:r>
      <w:proofErr w:type="spellEnd"/>
      <w:r>
        <w:rPr>
          <w:rFonts w:ascii="Book Antiqua" w:eastAsia="Book Antiqua" w:hAnsi="Book Antiqua" w:cs="Book Antiqua"/>
          <w:color w:val="000000"/>
        </w:rPr>
        <w:t xml:space="preserve"> R contributed equally and are shared first authors.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lastRenderedPageBreak/>
        <w:t xml:space="preserve">Corresponding author: Barbara Braden, FEBG, FRCP, Professor, </w:t>
      </w:r>
      <w:r>
        <w:rPr>
          <w:rFonts w:ascii="Book Antiqua" w:eastAsia="Book Antiqua" w:hAnsi="Book Antiqua" w:cs="Book Antiqua"/>
          <w:color w:val="000000"/>
        </w:rPr>
        <w:t>Translational Gastroenterology Unit, Oxford University Hospitals NHS Foundation Trust, Headley Way, Oxford OX3 9DU, United Kingdom. braden@em.uni-frankfurt.de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2021</w:t>
      </w:r>
    </w:p>
    <w:p w:rsidR="00A77B3E" w:rsidRDefault="003924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10, 2021</w:t>
      </w:r>
    </w:p>
    <w:p w:rsidR="00A77B3E" w:rsidRDefault="003924A0">
      <w:pPr>
        <w:spacing w:line="360" w:lineRule="auto"/>
        <w:jc w:val="both"/>
      </w:pPr>
      <w:r>
        <w:rPr>
          <w:rFonts w:ascii="Book Antiqua" w:eastAsia="Book Antiqua" w:hAnsi="Book Antiqua" w:cs="Book Antiqua"/>
          <w:b/>
          <w:bCs/>
          <w:color w:val="000000"/>
        </w:rPr>
        <w:t xml:space="preserve">Accepted: </w:t>
      </w:r>
    </w:p>
    <w:p w:rsidR="00A77B3E" w:rsidRDefault="003924A0">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3924A0">
      <w:pPr>
        <w:spacing w:line="360" w:lineRule="auto"/>
        <w:jc w:val="both"/>
      </w:pPr>
      <w:r>
        <w:rPr>
          <w:rFonts w:ascii="Book Antiqua" w:eastAsia="Book Antiqua" w:hAnsi="Book Antiqua" w:cs="Book Antiqua"/>
          <w:b/>
          <w:color w:val="000000"/>
        </w:rPr>
        <w:lastRenderedPageBreak/>
        <w:t>Abstract</w:t>
      </w:r>
    </w:p>
    <w:p w:rsidR="00A77B3E" w:rsidRDefault="003924A0">
      <w:pPr>
        <w:spacing w:line="360" w:lineRule="auto"/>
        <w:jc w:val="both"/>
      </w:pPr>
      <w:r>
        <w:rPr>
          <w:rFonts w:ascii="Book Antiqua" w:eastAsia="Book Antiqua" w:hAnsi="Book Antiqua" w:cs="Book Antiqua"/>
          <w:color w:val="000000"/>
        </w:rPr>
        <w:t>BACKGROUND</w:t>
      </w:r>
    </w:p>
    <w:p w:rsidR="00A77B3E" w:rsidRDefault="003924A0">
      <w:pPr>
        <w:spacing w:line="360" w:lineRule="auto"/>
        <w:jc w:val="both"/>
      </w:pPr>
      <w:r>
        <w:rPr>
          <w:rFonts w:ascii="Book Antiqua" w:eastAsia="Book Antiqua" w:hAnsi="Book Antiqua" w:cs="Book Antiqua"/>
          <w:color w:val="000000"/>
        </w:rPr>
        <w:t xml:space="preserve">Tissue acquisition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is often attempted by endoscopic ultrasound (EUS)-sampling as conventional endoscopic biopsy usually fails to reach deeper layers of the gastrointestinal wall.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AIM</w:t>
      </w:r>
    </w:p>
    <w:p w:rsidR="00A77B3E" w:rsidRDefault="003924A0">
      <w:pPr>
        <w:spacing w:line="360" w:lineRule="auto"/>
        <w:jc w:val="both"/>
      </w:pPr>
      <w:r>
        <w:rPr>
          <w:rFonts w:ascii="Book Antiqua" w:eastAsia="Book Antiqua" w:hAnsi="Book Antiqua" w:cs="Book Antiqua"/>
          <w:color w:val="000000"/>
        </w:rPr>
        <w:t xml:space="preserve">To investigate the </w:t>
      </w:r>
      <w:proofErr w:type="spellStart"/>
      <w:r>
        <w:rPr>
          <w:rFonts w:ascii="Book Antiqua" w:eastAsia="Book Antiqua" w:hAnsi="Book Antiqua" w:cs="Book Antiqua"/>
          <w:color w:val="000000"/>
        </w:rPr>
        <w:t>utilisation</w:t>
      </w:r>
      <w:proofErr w:type="spellEnd"/>
      <w:r>
        <w:rPr>
          <w:rFonts w:ascii="Book Antiqua" w:eastAsia="Book Antiqua" w:hAnsi="Book Antiqua" w:cs="Book Antiqua"/>
          <w:color w:val="000000"/>
        </w:rPr>
        <w:t xml:space="preserve">, safety and diagnostic yield of an intensified “bite-on-bite” tunnel biopsy technique.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METHODS</w:t>
      </w:r>
    </w:p>
    <w:p w:rsidR="00A77B3E" w:rsidRDefault="003924A0">
      <w:pPr>
        <w:spacing w:line="360" w:lineRule="auto"/>
        <w:jc w:val="both"/>
      </w:pPr>
      <w:r>
        <w:rPr>
          <w:rFonts w:ascii="Book Antiqua" w:eastAsia="Book Antiqua" w:hAnsi="Book Antiqua" w:cs="Book Antiqua"/>
          <w:color w:val="000000"/>
        </w:rPr>
        <w:t xml:space="preserve">In this retrospective cohort study, all patients presenting with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in the upper gastrointestinal tract from March 2013 to July 2019 were included.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for size and location of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use of intensified tunnel biopsy protocol (more than 10 double bite-on-bite biopsies) or superficial conventional biopsies, histology and imaging results, occurrence of readmission and adverse events after endoscopy.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RESULTS</w:t>
      </w:r>
    </w:p>
    <w:p w:rsidR="00A77B3E" w:rsidRDefault="003924A0">
      <w:pPr>
        <w:spacing w:line="360" w:lineRule="auto"/>
        <w:jc w:val="both"/>
      </w:pPr>
      <w:r>
        <w:rPr>
          <w:rFonts w:ascii="Book Antiqua" w:eastAsia="Book Antiqua" w:hAnsi="Book Antiqua" w:cs="Book Antiqua"/>
          <w:color w:val="000000"/>
        </w:rPr>
        <w:t xml:space="preserve">Two hundred and twenty-nine patients with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were included. Superficial conventional biopsies were taken in 117 patients and were diagnostic only in one lipoma (0.9 %). Tunnel biopsies taken in 112/229 (48.9%) patients were significantly more likely to provide histological diagnosis (53.6%;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 For lesions ≥ 10mm the diagnostic yield of tunnel biopsies further increased to 41/67 (61.2%). No immediate or delayed complications were reported. Only 8 of the 51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(15.7%) regularly attempted tunnel biopsies.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color w:val="000000"/>
        </w:rPr>
        <w:t>CONCLUSION</w:t>
      </w:r>
    </w:p>
    <w:p w:rsidR="00A77B3E" w:rsidRDefault="003924A0">
      <w:pPr>
        <w:spacing w:line="360" w:lineRule="auto"/>
        <w:jc w:val="both"/>
      </w:pPr>
      <w:r>
        <w:rPr>
          <w:rFonts w:ascii="Book Antiqua" w:eastAsia="Book Antiqua" w:hAnsi="Book Antiqua" w:cs="Book Antiqua"/>
          <w:color w:val="000000"/>
        </w:rPr>
        <w:lastRenderedPageBreak/>
        <w:t xml:space="preserve">Tunnel biopsy is a simple, safe and efficient but </w:t>
      </w:r>
      <w:proofErr w:type="spellStart"/>
      <w:r>
        <w:rPr>
          <w:rFonts w:ascii="Book Antiqua" w:eastAsia="Book Antiqua" w:hAnsi="Book Antiqua" w:cs="Book Antiqua"/>
          <w:color w:val="000000"/>
        </w:rPr>
        <w:t>underutilised</w:t>
      </w:r>
      <w:proofErr w:type="spellEnd"/>
      <w:r>
        <w:rPr>
          <w:rFonts w:ascii="Book Antiqua" w:eastAsia="Book Antiqua" w:hAnsi="Book Antiqua" w:cs="Book Antiqua"/>
          <w:color w:val="000000"/>
        </w:rPr>
        <w:t xml:space="preserve"> diagnostic modality for tissue acquisition in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It should be routinely attempted at the initial endoscopy.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Key Words: </w:t>
      </w:r>
      <w:bookmarkStart w:id="0" w:name="OLE_LINK261"/>
      <w:bookmarkStart w:id="1" w:name="OLE_LINK262"/>
      <w:r>
        <w:rPr>
          <w:rFonts w:ascii="Book Antiqua" w:eastAsia="Book Antiqua" w:hAnsi="Book Antiqua" w:cs="Book Antiqua"/>
          <w:color w:val="000000"/>
        </w:rPr>
        <w:t xml:space="preserve">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f</w:t>
      </w:r>
      <w:r>
        <w:rPr>
          <w:rFonts w:ascii="Book Antiqua" w:eastAsia="Book Antiqua" w:hAnsi="Book Antiqua" w:cs="Book Antiqua"/>
          <w:color w:val="000000"/>
        </w:rPr>
        <w:t xml:space="preserve">ine needle biopsy; </w:t>
      </w:r>
      <w:r>
        <w:rPr>
          <w:rFonts w:ascii="Book Antiqua" w:eastAsia="Book Antiqua" w:hAnsi="Book Antiqua" w:cs="Book Antiqua"/>
          <w:caps/>
          <w:color w:val="000000"/>
        </w:rPr>
        <w:t>l</w:t>
      </w:r>
      <w:r>
        <w:rPr>
          <w:rFonts w:ascii="Book Antiqua" w:eastAsia="Book Antiqua" w:hAnsi="Book Antiqua" w:cs="Book Antiqua"/>
          <w:color w:val="000000"/>
        </w:rPr>
        <w:t xml:space="preserve">ipoma; </w:t>
      </w:r>
      <w:proofErr w:type="spellStart"/>
      <w:r>
        <w:rPr>
          <w:rFonts w:ascii="Book Antiqua" w:eastAsia="Book Antiqua" w:hAnsi="Book Antiqua" w:cs="Book Antiqua"/>
          <w:caps/>
          <w:color w:val="000000"/>
        </w:rPr>
        <w:t>i</w:t>
      </w:r>
      <w:r>
        <w:rPr>
          <w:rFonts w:ascii="Book Antiqua" w:eastAsia="Book Antiqua" w:hAnsi="Book Antiqua" w:cs="Book Antiqua"/>
          <w:color w:val="000000"/>
        </w:rPr>
        <w:t>mmunohistology</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n</w:t>
      </w:r>
      <w:r>
        <w:rPr>
          <w:rFonts w:ascii="Book Antiqua" w:eastAsia="Book Antiqua" w:hAnsi="Book Antiqua" w:cs="Book Antiqua"/>
          <w:color w:val="000000"/>
        </w:rPr>
        <w:t xml:space="preserve">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f</w:t>
      </w:r>
      <w:r>
        <w:rPr>
          <w:rFonts w:ascii="Book Antiqua" w:eastAsia="Book Antiqua" w:hAnsi="Book Antiqua" w:cs="Book Antiqua"/>
          <w:color w:val="000000"/>
        </w:rPr>
        <w:t>ine needle biopsy</w:t>
      </w:r>
    </w:p>
    <w:bookmarkEnd w:id="0"/>
    <w:bookmarkEnd w:id="1"/>
    <w:p w:rsidR="00A77B3E" w:rsidRDefault="00A77B3E">
      <w:pPr>
        <w:spacing w:line="360" w:lineRule="auto"/>
        <w:jc w:val="both"/>
      </w:pPr>
    </w:p>
    <w:p w:rsidR="00A77B3E" w:rsidRDefault="003924A0">
      <w:pPr>
        <w:spacing w:line="360" w:lineRule="auto"/>
        <w:jc w:val="both"/>
      </w:pPr>
      <w:proofErr w:type="spellStart"/>
      <w:r>
        <w:rPr>
          <w:rFonts w:ascii="Book Antiqua" w:eastAsia="Book Antiqua" w:hAnsi="Book Antiqua" w:cs="Book Antiqua"/>
          <w:color w:val="000000"/>
        </w:rPr>
        <w:t>Koutsoumpas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Perera</w:t>
      </w:r>
      <w:proofErr w:type="spellEnd"/>
      <w:r>
        <w:rPr>
          <w:rFonts w:ascii="Book Antiqua" w:eastAsia="Book Antiqua" w:hAnsi="Book Antiqua" w:cs="Book Antiqua"/>
          <w:color w:val="000000"/>
        </w:rPr>
        <w:t xml:space="preserve"> R, Melton A, </w:t>
      </w:r>
      <w:proofErr w:type="spellStart"/>
      <w:r>
        <w:rPr>
          <w:rFonts w:ascii="Book Antiqua" w:eastAsia="Book Antiqua" w:hAnsi="Book Antiqua" w:cs="Book Antiqua"/>
          <w:color w:val="000000"/>
        </w:rPr>
        <w:t>Kuker</w:t>
      </w:r>
      <w:proofErr w:type="spellEnd"/>
      <w:r>
        <w:rPr>
          <w:rFonts w:ascii="Book Antiqua" w:eastAsia="Book Antiqua" w:hAnsi="Book Antiqua" w:cs="Book Antiqua"/>
          <w:color w:val="000000"/>
        </w:rPr>
        <w:t xml:space="preserve"> J, Ghosh T, Braden B. Tunneled biopsy is an </w:t>
      </w:r>
      <w:proofErr w:type="spellStart"/>
      <w:r>
        <w:rPr>
          <w:rFonts w:ascii="Book Antiqua" w:eastAsia="Book Antiqua" w:hAnsi="Book Antiqua" w:cs="Book Antiqua"/>
          <w:color w:val="000000"/>
        </w:rPr>
        <w:t>underutilised</w:t>
      </w:r>
      <w:proofErr w:type="spellEnd"/>
      <w:r>
        <w:rPr>
          <w:rFonts w:ascii="Book Antiqua" w:eastAsia="Book Antiqua" w:hAnsi="Book Antiqua" w:cs="Book Antiqua"/>
          <w:color w:val="000000"/>
        </w:rPr>
        <w:t xml:space="preserve">, simple, safe and efficient method for tissue acquisition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In press</w:t>
      </w:r>
    </w:p>
    <w:p w:rsidR="00A77B3E" w:rsidRDefault="00A77B3E">
      <w:pPr>
        <w:spacing w:line="360" w:lineRule="auto"/>
        <w:jc w:val="both"/>
      </w:pPr>
    </w:p>
    <w:p w:rsidR="00A77B3E" w:rsidRDefault="003924A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Subepithelal</w:t>
      </w:r>
      <w:proofErr w:type="spellEnd"/>
      <w:r>
        <w:rPr>
          <w:rFonts w:ascii="Book Antiqua" w:eastAsia="Book Antiqua" w:hAnsi="Book Antiqua" w:cs="Book Antiqua"/>
          <w:color w:val="000000"/>
        </w:rPr>
        <w:t xml:space="preserve"> lesions are found relatively often on cross sectional imaging or during endoscopy. Conventional endoscopic biopsies will not reveal the histological diagnosis in most cases. Endoscopic ultrasound (EUS) with fine needle aspiration or biopsy allows the diagnosis in 50%-90% but requires specialist skills and equipment and is expensive. Tunnel biopsies taken in simple bite-on-bite technique allow histological diagnosis in more than 50%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If tunnel biopsies are taken at the index endoscopy, further follow-up endoscopies and EUS investigations can be avoided in many cases.</w:t>
      </w:r>
    </w:p>
    <w:p w:rsidR="003901BB" w:rsidRPr="003901BB" w:rsidRDefault="003901BB">
      <w:pPr>
        <w:spacing w:line="360" w:lineRule="auto"/>
        <w:jc w:val="both"/>
        <w:rPr>
          <w:lang w:eastAsia="zh-CN"/>
        </w:rPr>
      </w:pPr>
    </w:p>
    <w:p w:rsidR="00A77B3E" w:rsidRDefault="003901BB">
      <w:pPr>
        <w:spacing w:line="360" w:lineRule="auto"/>
        <w:jc w:val="both"/>
      </w:pPr>
      <w:r>
        <w:br w:type="page"/>
      </w:r>
      <w:r w:rsidR="003924A0">
        <w:rPr>
          <w:rFonts w:ascii="Book Antiqua" w:eastAsia="Book Antiqua" w:hAnsi="Book Antiqua" w:cs="Book Antiqua"/>
          <w:b/>
          <w:caps/>
          <w:color w:val="000000"/>
          <w:u w:val="single"/>
        </w:rPr>
        <w:lastRenderedPageBreak/>
        <w:t>INTRODUCTION</w:t>
      </w:r>
    </w:p>
    <w:p w:rsidR="00A77B3E" w:rsidRDefault="003924A0">
      <w:pPr>
        <w:spacing w:line="360" w:lineRule="auto"/>
        <w:jc w:val="both"/>
      </w:pP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within the gastrointestinal wall are relatively often encountered as protuberances with normal overlying mucosa during endoscopy of the upper gastrointestinal tract or are detected incidentally by cross sectional imaging. As these lesions are covered by the epithelium and located in the submucosa or muscular layers, conventional biopsy forceps techniques rarely provide a histological diagnosis.</w:t>
      </w:r>
    </w:p>
    <w:p w:rsidR="00A77B3E" w:rsidRDefault="003924A0">
      <w:pPr>
        <w:spacing w:line="360" w:lineRule="auto"/>
        <w:ind w:firstLine="480"/>
        <w:jc w:val="both"/>
      </w:pPr>
      <w:r>
        <w:rPr>
          <w:rFonts w:ascii="Book Antiqua" w:eastAsia="Book Antiqua" w:hAnsi="Book Antiqua" w:cs="Book Antiqua"/>
          <w:color w:val="000000"/>
        </w:rPr>
        <w:t xml:space="preserve">Endoscopic ultrasound (EUS) can further </w:t>
      </w:r>
      <w:proofErr w:type="spellStart"/>
      <w:r>
        <w:rPr>
          <w:rFonts w:ascii="Book Antiqua" w:eastAsia="Book Antiqua" w:hAnsi="Book Antiqua" w:cs="Book Antiqua"/>
          <w:color w:val="000000"/>
        </w:rPr>
        <w:t>characterise</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(SEL) by its echogenicity, shape, vascularity or layer of origin but often it will not be possible to provide a definitive diagnosis based only on </w:t>
      </w:r>
      <w:proofErr w:type="spellStart"/>
      <w:r>
        <w:rPr>
          <w:rFonts w:ascii="Book Antiqua" w:eastAsia="Book Antiqua" w:hAnsi="Book Antiqua" w:cs="Book Antiqua"/>
          <w:color w:val="000000"/>
        </w:rPr>
        <w:t>endosonographic</w:t>
      </w:r>
      <w:proofErr w:type="spellEnd"/>
      <w:r>
        <w:rPr>
          <w:rFonts w:ascii="Book Antiqua" w:eastAsia="Book Antiqua" w:hAnsi="Book Antiqua" w:cs="Book Antiqua"/>
          <w:color w:val="000000"/>
        </w:rPr>
        <w:t xml:space="preserve"> criteria. EUS can also differentiate mural masses from extrinsic indentation by surrounding organs or can identify non-tumorous structures such as varices and cysts which might mimic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solid mass.</w:t>
      </w:r>
    </w:p>
    <w:p w:rsidR="00A77B3E" w:rsidRDefault="003924A0">
      <w:pPr>
        <w:spacing w:line="360" w:lineRule="auto"/>
        <w:ind w:firstLine="480"/>
        <w:jc w:val="both"/>
      </w:pPr>
      <w:r>
        <w:rPr>
          <w:rFonts w:ascii="Book Antiqua" w:eastAsia="Book Antiqua" w:hAnsi="Book Antiqua" w:cs="Book Antiqua"/>
          <w:color w:val="000000"/>
        </w:rPr>
        <w:t xml:space="preserve">The differential diagnosis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in the wall of the upper gastrointestinal tract encompasses benign, premalignant and malignant entities and therefore might require completely different management depending on the histology. Lipoma and leiomyoma have almost no malignant potential and pancreatic rests or duplication cysts will also not need any further treatment. However,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or gastrointestinal stroma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(GIST) would require observation or resection due to the malignant potential. More rarely, metastasis to the stomach can also present as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 xml:space="preserve">Appropriate management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will often require tissue acquisition and that can be challenging for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EUS fine needle aspiration (EUS-FNA) has a relatively low diagnostic yield, especially in lesions of less than 1 cm[</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In a meta-analysis including 987 attempts using EUS-FNA and –FNB (fine needle biopsy), the diagnostic rate of EUS-guided needle sampling was only 59.9%</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 xml:space="preserve">In this retrospective single center study, we investigated the </w:t>
      </w:r>
      <w:proofErr w:type="spellStart"/>
      <w:r>
        <w:rPr>
          <w:rFonts w:ascii="Book Antiqua" w:eastAsia="Book Antiqua" w:hAnsi="Book Antiqua" w:cs="Book Antiqua"/>
          <w:color w:val="000000"/>
        </w:rPr>
        <w:t>utilisation</w:t>
      </w:r>
      <w:proofErr w:type="spellEnd"/>
      <w:r>
        <w:rPr>
          <w:rFonts w:ascii="Book Antiqua" w:eastAsia="Book Antiqua" w:hAnsi="Book Antiqua" w:cs="Book Antiqua"/>
          <w:color w:val="000000"/>
        </w:rPr>
        <w:t>, diagnostic yield and safety of an intensified bite-on-bite tunnel biopsy technique using conventional biopsy forceps compared to the conventional superficial biopsy method.</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lastRenderedPageBreak/>
        <w:t>MATERIALS AND METHODS</w:t>
      </w:r>
    </w:p>
    <w:p w:rsidR="00A77B3E" w:rsidRDefault="003924A0">
      <w:pPr>
        <w:spacing w:line="360" w:lineRule="auto"/>
        <w:jc w:val="both"/>
      </w:pPr>
      <w:r>
        <w:rPr>
          <w:rFonts w:ascii="Book Antiqua" w:eastAsia="Book Antiqua" w:hAnsi="Book Antiqua" w:cs="Book Antiqua"/>
          <w:b/>
          <w:bCs/>
          <w:i/>
          <w:iCs/>
          <w:color w:val="000000"/>
        </w:rPr>
        <w:t>Study population and data collection</w:t>
      </w:r>
    </w:p>
    <w:p w:rsidR="00A77B3E" w:rsidRDefault="003924A0">
      <w:pPr>
        <w:spacing w:line="360" w:lineRule="auto"/>
        <w:jc w:val="both"/>
      </w:pPr>
      <w:r>
        <w:rPr>
          <w:rFonts w:ascii="Book Antiqua" w:eastAsia="Book Antiqua" w:hAnsi="Book Antiqua" w:cs="Book Antiqua"/>
          <w:color w:val="000000"/>
        </w:rPr>
        <w:t>We searched our Endoscopy reporting database (</w:t>
      </w:r>
      <w:proofErr w:type="spellStart"/>
      <w:r>
        <w:rPr>
          <w:rFonts w:ascii="Book Antiqua" w:eastAsia="Book Antiqua" w:hAnsi="Book Antiqua" w:cs="Book Antiqua"/>
          <w:color w:val="000000"/>
        </w:rPr>
        <w:t>Endobase</w:t>
      </w:r>
      <w:proofErr w:type="spellEnd"/>
      <w:r>
        <w:rPr>
          <w:rFonts w:ascii="Book Antiqua" w:eastAsia="Book Antiqua" w:hAnsi="Book Antiqua" w:cs="Book Antiqua"/>
          <w:color w:val="000000"/>
        </w:rPr>
        <w:t xml:space="preserve">, Olympus, Tokyo, Japan) from March 2013 to July 2019 for patients who underwent OGD and who were found to have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in the upper gastrointestinal tract (Figure 1).</w:t>
      </w:r>
    </w:p>
    <w:p w:rsidR="00A77B3E" w:rsidRDefault="003924A0">
      <w:pPr>
        <w:spacing w:line="360" w:lineRule="auto"/>
        <w:ind w:firstLine="240"/>
        <w:jc w:val="both"/>
      </w:pPr>
      <w:r>
        <w:rPr>
          <w:rFonts w:ascii="Book Antiqua" w:eastAsia="Book Antiqua" w:hAnsi="Book Antiqua" w:cs="Book Antiqua"/>
          <w:color w:val="000000"/>
        </w:rPr>
        <w:t xml:space="preserve">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from the endoscopy and pathology reports regarding whether these patients had tunnel biopsies, superficial conventional biopsies, endoscopic ultrasound with fine-needle aspiration or fine needle biopsy or surgical resection with histology. Medical records were reviewed for clinical events after the gastroscopy with biopsy such as readmission,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melaena</w:t>
      </w:r>
      <w:proofErr w:type="spellEnd"/>
      <w:r>
        <w:rPr>
          <w:rFonts w:ascii="Book Antiqua" w:eastAsia="Book Antiqua" w:hAnsi="Book Antiqua" w:cs="Book Antiqua"/>
          <w:color w:val="000000"/>
        </w:rPr>
        <w:t xml:space="preserve"> or significant drop in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(&gt; 2 g/L).</w:t>
      </w:r>
    </w:p>
    <w:p w:rsidR="00A77B3E" w:rsidRDefault="003924A0">
      <w:pPr>
        <w:spacing w:line="360" w:lineRule="auto"/>
        <w:ind w:firstLine="480"/>
        <w:jc w:val="both"/>
      </w:pPr>
      <w:r>
        <w:rPr>
          <w:rFonts w:ascii="Book Antiqua" w:eastAsia="Book Antiqua" w:hAnsi="Book Antiqua" w:cs="Book Antiqua"/>
          <w:color w:val="000000"/>
        </w:rPr>
        <w:t>Histology and cytology reports were retrieved from the patient files and electronic patient records.</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bCs/>
          <w:i/>
          <w:iCs/>
          <w:color w:val="000000"/>
        </w:rPr>
        <w:t>Intensified tunnel biopsy bite-on-bite technique</w:t>
      </w:r>
    </w:p>
    <w:p w:rsidR="00A77B3E" w:rsidRDefault="003924A0">
      <w:pPr>
        <w:spacing w:line="360" w:lineRule="auto"/>
        <w:jc w:val="both"/>
      </w:pPr>
      <w:r>
        <w:rPr>
          <w:rFonts w:ascii="Book Antiqua" w:eastAsia="Book Antiqua" w:hAnsi="Book Antiqua" w:cs="Book Antiqua"/>
          <w:color w:val="000000"/>
        </w:rPr>
        <w:t xml:space="preserve">In this study, tunnel biopsy according to the intensified protocol is defined as taking at least 10 passes of double biopsies from the identical spot targeting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using conventional sized biopsy forceps (Radial </w:t>
      </w:r>
      <w:proofErr w:type="spellStart"/>
      <w:r>
        <w:rPr>
          <w:rFonts w:ascii="Book Antiqua" w:eastAsia="Book Antiqua" w:hAnsi="Book Antiqua" w:cs="Book Antiqua"/>
          <w:color w:val="000000"/>
        </w:rPr>
        <w:t>Jaw</w:t>
      </w:r>
      <w:r>
        <w:rPr>
          <w:rFonts w:ascii="Book Antiqua" w:eastAsia="Book Antiqua" w:hAnsi="Book Antiqua" w:cs="Book Antiqua"/>
          <w:color w:val="000000"/>
          <w:szCs w:val="20"/>
          <w:vertAlign w:val="superscript"/>
        </w:rPr>
        <w:t>TM</w:t>
      </w:r>
      <w:proofErr w:type="spellEnd"/>
      <w:r>
        <w:rPr>
          <w:rFonts w:ascii="Book Antiqua" w:eastAsia="Book Antiqua" w:hAnsi="Book Antiqua" w:cs="Book Antiqua"/>
          <w:color w:val="000000"/>
        </w:rPr>
        <w:t xml:space="preserve"> 4, large capacity with needle, Single-Use Biopsy Forceps., Boston Scientific, </w:t>
      </w:r>
      <w:proofErr w:type="spellStart"/>
      <w:r>
        <w:rPr>
          <w:rFonts w:ascii="Book Antiqua" w:eastAsia="Book Antiqua" w:hAnsi="Book Antiqua" w:cs="Book Antiqua"/>
          <w:color w:val="000000"/>
        </w:rPr>
        <w:t>ElCoyol</w:t>
      </w:r>
      <w:proofErr w:type="spellEnd"/>
      <w:r>
        <w:rPr>
          <w:rFonts w:ascii="Book Antiqua" w:eastAsia="Book Antiqua" w:hAnsi="Book Antiqua" w:cs="Book Antiqua"/>
          <w:color w:val="000000"/>
        </w:rPr>
        <w:t>, Costa Rica). After creating a defect in the mucosa with the first biopsies, the closed biopsy forceps is then advanced into the submucosal space and only opened there to obtain deeper sampling. Each bite is directed in the same direction as the previous to reach deeper layers within the lesion (Figure 2). If there is persisting bleeding from the biopsy tunnel after obtaining the biopsy samples the mucosal defect is closed by clip application.</w:t>
      </w:r>
    </w:p>
    <w:p w:rsidR="00A77B3E" w:rsidRDefault="003924A0">
      <w:pPr>
        <w:spacing w:line="360" w:lineRule="auto"/>
        <w:ind w:firstLine="480"/>
        <w:jc w:val="both"/>
      </w:pPr>
      <w:r>
        <w:rPr>
          <w:rFonts w:ascii="Book Antiqua" w:eastAsia="Book Antiqua" w:hAnsi="Book Antiqua" w:cs="Book Antiqua"/>
          <w:color w:val="000000"/>
        </w:rPr>
        <w:t>The observational retrospective nature of the study was established with the Health Research Authority and Trust RD department.  </w:t>
      </w:r>
      <w:r>
        <w:rPr>
          <w:rFonts w:ascii="Book Antiqua" w:eastAsia="Book Antiqua" w:hAnsi="Book Antiqua" w:cs="Book Antiqua"/>
          <w:color w:val="000000"/>
          <w:shd w:val="clear" w:color="auto" w:fill="FFFFFF"/>
        </w:rPr>
        <w:t>According to the Health Research Authority, this type of study does not require approval from a research ethics committee.</w:t>
      </w:r>
      <w:r>
        <w:rPr>
          <w:rFonts w:ascii="Book Antiqua" w:eastAsia="Book Antiqua" w:hAnsi="Book Antiqua" w:cs="Book Antiqua"/>
          <w:color w:val="000000"/>
        </w:rPr>
        <w:t xml:space="preserve"> The study was therefore registered locally in accordance with Trust clinical governance guidelines; the study follows the principles of the declaration of Helsinki. </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bCs/>
          <w:i/>
          <w:iCs/>
          <w:color w:val="000000"/>
        </w:rPr>
        <w:t>Statistical analysis</w:t>
      </w:r>
    </w:p>
    <w:p w:rsidR="00A77B3E" w:rsidRDefault="003924A0">
      <w:pPr>
        <w:spacing w:line="360" w:lineRule="auto"/>
        <w:jc w:val="both"/>
      </w:pPr>
      <w:r>
        <w:rPr>
          <w:rFonts w:ascii="Book Antiqua" w:eastAsia="Book Antiqua" w:hAnsi="Book Antiqua" w:cs="Book Antiqua"/>
          <w:color w:val="000000"/>
        </w:rPr>
        <w:t>All authors had access to the study data and have reviewed and approved the final manuscript.</w:t>
      </w:r>
    </w:p>
    <w:p w:rsidR="00A77B3E" w:rsidRDefault="003924A0">
      <w:pPr>
        <w:spacing w:line="360" w:lineRule="auto"/>
        <w:ind w:firstLine="480"/>
        <w:jc w:val="both"/>
      </w:pPr>
      <w:r>
        <w:rPr>
          <w:rFonts w:ascii="Book Antiqua" w:eastAsia="Book Antiqua" w:hAnsi="Book Antiqua" w:cs="Book Antiqua"/>
          <w:color w:val="000000"/>
        </w:rPr>
        <w:t xml:space="preserve">For quantitative data, mean, standard deviation and range are presented or median and interquartile range. Qualitative data are expressed in absolute and relative frequencies with 95% confidence intervals. Microsoft Excel (Microsoft Cooperation, Redmond, WA, United States) was used for data handling,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11.2.1.0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Software, Ostend, Belgium) for data analysis. Differences between groups were compared using the two-tailed Fisher’s exact test. A </w:t>
      </w:r>
      <w:r>
        <w:rPr>
          <w:rFonts w:ascii="Book Antiqua" w:eastAsia="Book Antiqua" w:hAnsi="Book Antiqua" w:cs="Book Antiqua"/>
          <w:i/>
          <w:iCs/>
          <w:caps/>
          <w:color w:val="000000"/>
        </w:rPr>
        <w:t>p</w:t>
      </w:r>
      <w:r>
        <w:rPr>
          <w:rFonts w:ascii="Book Antiqua" w:eastAsia="Book Antiqua" w:hAnsi="Book Antiqua" w:cs="Book Antiqua"/>
          <w:color w:val="000000"/>
        </w:rPr>
        <w:t>-value &lt; 0.05 was considered significant.</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RESULTS</w:t>
      </w:r>
    </w:p>
    <w:p w:rsidR="00A77B3E" w:rsidRDefault="003924A0">
      <w:pPr>
        <w:spacing w:line="360" w:lineRule="auto"/>
        <w:jc w:val="both"/>
      </w:pPr>
      <w:r>
        <w:rPr>
          <w:rFonts w:ascii="Book Antiqua" w:eastAsia="Book Antiqua" w:hAnsi="Book Antiqua" w:cs="Book Antiqua"/>
          <w:color w:val="000000"/>
        </w:rPr>
        <w:t xml:space="preserve">Two hundred and fifty-three patients were found to have at least one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at </w:t>
      </w:r>
      <w:proofErr w:type="spellStart"/>
      <w:r>
        <w:rPr>
          <w:rFonts w:ascii="Book Antiqua" w:eastAsia="Book Antiqua" w:hAnsi="Book Antiqua" w:cs="Book Antiqua"/>
          <w:color w:val="000000"/>
        </w:rPr>
        <w:t>oesophagogastroduodenoscopy</w:t>
      </w:r>
      <w:proofErr w:type="spellEnd"/>
      <w:r>
        <w:rPr>
          <w:rFonts w:ascii="Book Antiqua" w:eastAsia="Book Antiqua" w:hAnsi="Book Antiqua" w:cs="Book Antiqua"/>
          <w:color w:val="000000"/>
        </w:rPr>
        <w:t xml:space="preserve"> (OGD) or endoscopic ultrasound EUS. </w:t>
      </w:r>
    </w:p>
    <w:p w:rsidR="00A77B3E" w:rsidRDefault="003924A0">
      <w:pPr>
        <w:spacing w:line="360" w:lineRule="auto"/>
        <w:ind w:firstLine="480"/>
        <w:jc w:val="both"/>
      </w:pPr>
      <w:r>
        <w:rPr>
          <w:rFonts w:ascii="Book Antiqua" w:eastAsia="Book Antiqua" w:hAnsi="Book Antiqua" w:cs="Book Antiqua"/>
          <w:color w:val="000000"/>
        </w:rPr>
        <w:t xml:space="preserve">Ten patients with obvious extrinsic compression by an extramural mass or cyst on CT/MR/EUS mimicking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were excluded. In six patients &gt; 85 years and severe comorbidities the reported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was considered not relevant and therefore not biopsied at the time of endoscopy and not followed. 8 patients with bleeding complications from gastric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keeping with GIST were directly referred for surgical resection.</w:t>
      </w:r>
    </w:p>
    <w:p w:rsidR="00A77B3E" w:rsidRDefault="003924A0">
      <w:pPr>
        <w:spacing w:line="360" w:lineRule="auto"/>
        <w:ind w:firstLine="480"/>
        <w:jc w:val="both"/>
      </w:pPr>
      <w:r>
        <w:rPr>
          <w:rFonts w:ascii="Book Antiqua" w:eastAsia="Book Antiqua" w:hAnsi="Book Antiqua" w:cs="Book Antiqua"/>
          <w:color w:val="000000"/>
        </w:rPr>
        <w:t xml:space="preserve">The mean age of the 229 patients included was 64 ± 15 years (interquartile range 54-75 years). 123 (53.7%) were female. The mean size of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was 18 ± 16 mm (interquartile range 8-25 mm). Thirty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were located in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30 in the gastric fundus, 50 in the gastric body, 81 in the antrum, 8 in the duodenal bulb and 30 in the </w:t>
      </w:r>
      <w:proofErr w:type="spellStart"/>
      <w:r>
        <w:rPr>
          <w:rFonts w:ascii="Book Antiqua" w:eastAsia="Book Antiqua" w:hAnsi="Book Antiqua" w:cs="Book Antiqua"/>
          <w:color w:val="000000"/>
        </w:rPr>
        <w:t>extrabulbar</w:t>
      </w:r>
      <w:proofErr w:type="spellEnd"/>
      <w:r>
        <w:rPr>
          <w:rFonts w:ascii="Book Antiqua" w:eastAsia="Book Antiqua" w:hAnsi="Book Antiqua" w:cs="Book Antiqua"/>
          <w:color w:val="000000"/>
        </w:rPr>
        <w:t xml:space="preserve"> duodenum.</w:t>
      </w:r>
    </w:p>
    <w:p w:rsidR="00A77B3E" w:rsidRDefault="003924A0">
      <w:pPr>
        <w:spacing w:line="360" w:lineRule="auto"/>
        <w:ind w:firstLine="480"/>
        <w:jc w:val="both"/>
      </w:pPr>
      <w:r>
        <w:rPr>
          <w:rFonts w:ascii="Book Antiqua" w:eastAsia="Book Antiqua" w:hAnsi="Book Antiqua" w:cs="Book Antiqua"/>
          <w:color w:val="000000"/>
        </w:rPr>
        <w:t xml:space="preserve">Superficial conventional biopsies were taken in 117 patients and were diagnostic revealing lipoma in one patient (0.9 %). </w:t>
      </w:r>
    </w:p>
    <w:p w:rsidR="00A77B3E" w:rsidRDefault="003924A0">
      <w:pPr>
        <w:spacing w:line="360" w:lineRule="auto"/>
        <w:ind w:firstLine="480"/>
        <w:jc w:val="both"/>
      </w:pPr>
      <w:r>
        <w:rPr>
          <w:rFonts w:ascii="Book Antiqua" w:eastAsia="Book Antiqua" w:hAnsi="Book Antiqua" w:cs="Book Antiqua"/>
          <w:color w:val="000000"/>
        </w:rPr>
        <w:lastRenderedPageBreak/>
        <w:t xml:space="preserve">Tunnel biopsies according to the intensified protocol with at least 10 double biopsy passes were taken in 112 of 229 patients (48.9%) and could provide conclusive histology from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in 60/112 (53.6%; 95% confidence interval 43.9%- 63.0%). Two patients underwent tunnel biopsies twice, i.e. 114 histological samples from tunnel biopsies were obtained. </w:t>
      </w:r>
    </w:p>
    <w:p w:rsidR="00A77B3E" w:rsidRDefault="003924A0">
      <w:pPr>
        <w:spacing w:line="360" w:lineRule="auto"/>
        <w:ind w:firstLine="480"/>
        <w:jc w:val="both"/>
      </w:pPr>
      <w:r>
        <w:rPr>
          <w:rFonts w:ascii="Book Antiqua" w:eastAsia="Book Antiqua" w:hAnsi="Book Antiqua" w:cs="Book Antiqua"/>
          <w:color w:val="000000"/>
        </w:rPr>
        <w:t xml:space="preserve">Tunnel biopsies were taken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19), fundus (</w:t>
      </w:r>
      <w:r>
        <w:rPr>
          <w:rFonts w:ascii="Book Antiqua" w:eastAsia="Book Antiqua" w:hAnsi="Book Antiqua" w:cs="Book Antiqua"/>
          <w:i/>
          <w:iCs/>
          <w:color w:val="000000"/>
        </w:rPr>
        <w:t>n</w:t>
      </w:r>
      <w:r>
        <w:rPr>
          <w:rFonts w:ascii="Book Antiqua" w:eastAsia="Book Antiqua" w:hAnsi="Book Antiqua" w:cs="Book Antiqua"/>
          <w:color w:val="000000"/>
        </w:rPr>
        <w:t xml:space="preserve"> = 16), gastric body (</w:t>
      </w:r>
      <w:r>
        <w:rPr>
          <w:rFonts w:ascii="Book Antiqua" w:eastAsia="Book Antiqua" w:hAnsi="Book Antiqua" w:cs="Book Antiqua"/>
          <w:i/>
          <w:iCs/>
          <w:color w:val="000000"/>
        </w:rPr>
        <w:t>n</w:t>
      </w:r>
      <w:r>
        <w:rPr>
          <w:rFonts w:ascii="Book Antiqua" w:eastAsia="Book Antiqua" w:hAnsi="Book Antiqua" w:cs="Book Antiqua"/>
          <w:color w:val="000000"/>
        </w:rPr>
        <w:t xml:space="preserve"> = 24), antrum (</w:t>
      </w:r>
      <w:r>
        <w:rPr>
          <w:rFonts w:ascii="Book Antiqua" w:eastAsia="Book Antiqua" w:hAnsi="Book Antiqua" w:cs="Book Antiqua"/>
          <w:i/>
          <w:iCs/>
          <w:color w:val="000000"/>
        </w:rPr>
        <w:t>n</w:t>
      </w:r>
      <w:r>
        <w:rPr>
          <w:rFonts w:ascii="Book Antiqua" w:eastAsia="Book Antiqua" w:hAnsi="Book Antiqua" w:cs="Book Antiqua"/>
          <w:color w:val="000000"/>
        </w:rPr>
        <w:t xml:space="preserve"> = 39), and duodenum (</w:t>
      </w:r>
      <w:r>
        <w:rPr>
          <w:rFonts w:ascii="Book Antiqua" w:eastAsia="Book Antiqua" w:hAnsi="Book Antiqua" w:cs="Book Antiqua"/>
          <w:i/>
          <w:iCs/>
          <w:color w:val="000000"/>
        </w:rPr>
        <w:t>n</w:t>
      </w:r>
      <w:r>
        <w:rPr>
          <w:rFonts w:ascii="Book Antiqua" w:eastAsia="Book Antiqua" w:hAnsi="Book Antiqua" w:cs="Book Antiqua"/>
          <w:color w:val="000000"/>
        </w:rPr>
        <w:t xml:space="preserve"> = 14). Tunnel biopsies were diagnostic in 60/112 (53.6%), revealing 22 Leiomyomas, 1 </w:t>
      </w:r>
      <w:proofErr w:type="spellStart"/>
      <w:r>
        <w:rPr>
          <w:rFonts w:ascii="Book Antiqua" w:eastAsia="Book Antiqua" w:hAnsi="Book Antiqua" w:cs="Book Antiqua"/>
          <w:color w:val="000000"/>
        </w:rPr>
        <w:t>Leiomyosarcoma</w:t>
      </w:r>
      <w:proofErr w:type="spellEnd"/>
      <w:r>
        <w:rPr>
          <w:rFonts w:ascii="Book Antiqua" w:eastAsia="Book Antiqua" w:hAnsi="Book Antiqua" w:cs="Book Antiqua"/>
          <w:color w:val="000000"/>
        </w:rPr>
        <w:t xml:space="preserve">, 13 Lipomas, 4 pancreatic rests, 13 GISTs. 1 fibrotic nodule, 1 </w:t>
      </w:r>
      <w:proofErr w:type="spellStart"/>
      <w:r>
        <w:rPr>
          <w:rFonts w:ascii="Book Antiqua" w:eastAsia="Book Antiqua" w:hAnsi="Book Antiqua" w:cs="Book Antiqua"/>
          <w:color w:val="000000"/>
        </w:rPr>
        <w:t>Lymphangioma</w:t>
      </w:r>
      <w:proofErr w:type="spellEnd"/>
      <w:r>
        <w:rPr>
          <w:rFonts w:ascii="Book Antiqua" w:eastAsia="Book Antiqua" w:hAnsi="Book Antiqua" w:cs="Book Antiqua"/>
          <w:color w:val="000000"/>
        </w:rPr>
        <w:t xml:space="preserve">, 3 neuroendocrine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2 duplication cysts (table 1). </w:t>
      </w:r>
    </w:p>
    <w:p w:rsidR="00A77B3E" w:rsidRDefault="003924A0">
      <w:pPr>
        <w:spacing w:line="360" w:lineRule="auto"/>
        <w:ind w:firstLine="480"/>
        <w:jc w:val="both"/>
      </w:pP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measuring more than 10 mm in diameter (67 Lesions), the diagnostic yield of tunnel biopsies further increased to 41/67 (61.2 %; 95% confidence interval 48.5%-72.9%); while smaller lesions ≤ 10 mm had successful diagnostic tunnel biopsies allowing </w:t>
      </w:r>
      <w:proofErr w:type="spellStart"/>
      <w:r>
        <w:rPr>
          <w:rFonts w:ascii="Book Antiqua" w:eastAsia="Book Antiqua" w:hAnsi="Book Antiqua" w:cs="Book Antiqua"/>
          <w:color w:val="000000"/>
        </w:rPr>
        <w:t>characterising</w:t>
      </w:r>
      <w:proofErr w:type="spellEnd"/>
      <w:r>
        <w:rPr>
          <w:rFonts w:ascii="Book Antiqua" w:eastAsia="Book Antiqua" w:hAnsi="Book Antiqua" w:cs="Book Antiqua"/>
          <w:color w:val="000000"/>
        </w:rPr>
        <w:t xml:space="preserve"> histology in 19/45 (42.2 %; 95% confidence interval 27.7%- 57.8%; </w:t>
      </w:r>
      <w:r>
        <w:rPr>
          <w:rFonts w:ascii="Book Antiqua" w:eastAsia="Book Antiqua" w:hAnsi="Book Antiqua" w:cs="Book Antiqua"/>
          <w:i/>
          <w:iCs/>
          <w:color w:val="000000"/>
        </w:rPr>
        <w:t>P</w:t>
      </w:r>
      <w:r>
        <w:rPr>
          <w:rFonts w:ascii="Book Antiqua" w:eastAsia="Book Antiqua" w:hAnsi="Book Antiqua" w:cs="Book Antiqua"/>
          <w:color w:val="000000"/>
        </w:rPr>
        <w:t xml:space="preserve"> = 0.05).</w:t>
      </w:r>
    </w:p>
    <w:p w:rsidR="00A77B3E" w:rsidRDefault="003924A0">
      <w:pPr>
        <w:spacing w:line="360" w:lineRule="auto"/>
        <w:ind w:firstLine="480"/>
        <w:jc w:val="both"/>
      </w:pPr>
      <w:r>
        <w:rPr>
          <w:rFonts w:ascii="Book Antiqua" w:eastAsia="Book Antiqua" w:hAnsi="Book Antiqua" w:cs="Book Antiqua"/>
          <w:color w:val="000000"/>
        </w:rPr>
        <w:t xml:space="preserve">Immediate or delayed complications after biopsies were not observed after conventional or after tunnel biopsies. In 22 patients, clip application was performed for prolonged bleeding from the biopsy tunnel or to prevent delayed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p>
    <w:p w:rsidR="00A77B3E" w:rsidRDefault="003924A0">
      <w:pPr>
        <w:spacing w:line="360" w:lineRule="auto"/>
        <w:jc w:val="both"/>
      </w:pPr>
      <w:r>
        <w:rPr>
          <w:rFonts w:ascii="Book Antiqua" w:eastAsia="Book Antiqua" w:hAnsi="Book Antiqua" w:cs="Book Antiqua"/>
          <w:color w:val="000000"/>
        </w:rPr>
        <w:t>Tunnel biopsies had a significantly higher diagnostic yield compared to conventional biopsies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0.0001), however, this bite-on-bite sampling technique was routinely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for diagnostic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by only 8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(15.7%), while all other 51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in this study used conventional biopsy techniques. </w:t>
      </w:r>
    </w:p>
    <w:p w:rsidR="00A77B3E" w:rsidRDefault="003924A0">
      <w:pPr>
        <w:spacing w:line="360" w:lineRule="auto"/>
        <w:ind w:firstLine="480"/>
        <w:jc w:val="both"/>
      </w:pPr>
      <w:r>
        <w:rPr>
          <w:rFonts w:ascii="Book Antiqua" w:eastAsia="Book Antiqua" w:hAnsi="Book Antiqua" w:cs="Book Antiqua"/>
          <w:color w:val="000000"/>
        </w:rPr>
        <w:t xml:space="preserve">One hundred and six patients also underwent endoscopic ultrasound for further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the submucosal lesion. In 43 patients EUS-guided fine needle aspiration or fine needle biopsy was performed which was diagnostic in 28/43 (65.1 %; 95% confidence interval 49.1%-79.0%). </w:t>
      </w:r>
    </w:p>
    <w:p w:rsidR="00A77B3E" w:rsidRDefault="003924A0">
      <w:pPr>
        <w:spacing w:line="360" w:lineRule="auto"/>
        <w:ind w:firstLine="480"/>
        <w:jc w:val="both"/>
      </w:pPr>
      <w:r>
        <w:rPr>
          <w:rFonts w:ascii="Book Antiqua" w:eastAsia="Book Antiqua" w:hAnsi="Book Antiqua" w:cs="Book Antiqua"/>
          <w:color w:val="000000"/>
        </w:rPr>
        <w:t xml:space="preserve">The additional time to take 10 paired tunnel biopsies had been measured in 20 patients and ranged between 3 and 5 min (mean 4 min and 4 s). </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DISCUSSION</w:t>
      </w:r>
    </w:p>
    <w:p w:rsidR="00A77B3E" w:rsidRDefault="003924A0">
      <w:pPr>
        <w:spacing w:line="360" w:lineRule="auto"/>
        <w:jc w:val="both"/>
      </w:pPr>
      <w:r>
        <w:rPr>
          <w:rFonts w:ascii="Book Antiqua" w:eastAsia="Book Antiqua" w:hAnsi="Book Antiqua" w:cs="Book Antiqua"/>
          <w:color w:val="000000"/>
        </w:rPr>
        <w:t xml:space="preserve">The diagnostic approach to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in the upper gastrointestinal tract varies widely between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in the upper gastrointestinal tract are often referred for EUS for further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and tissue acquisition. However, EUS is a time consuming, resource-intense procedure, often offered only in </w:t>
      </w:r>
      <w:proofErr w:type="spellStart"/>
      <w:r>
        <w:rPr>
          <w:rFonts w:ascii="Book Antiqua" w:eastAsia="Book Antiqua" w:hAnsi="Book Antiqua" w:cs="Book Antiqua"/>
          <w:color w:val="000000"/>
        </w:rPr>
        <w:t>specialised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The needle for fine needle aspiration or biopsy amounts to substantial additional costs. Furthermore, the diagnostic yield of EUS with fine needle aspiration or biopsy allowing a definitive final diagnosis can also be disappointingly low (45-75%)</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mainly in small lesions. Fine needle aspiration samples usually do not provide sufficient core tissue for immunostaining. Introduction of new fine needle biopsy needles increase the diagnostic yield for tissue cores suitable for histology, immunostaining and sequencing</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w:t>
      </w:r>
    </w:p>
    <w:p w:rsidR="00A77B3E" w:rsidRDefault="003924A0">
      <w:pPr>
        <w:spacing w:line="360" w:lineRule="auto"/>
        <w:ind w:firstLine="480"/>
        <w:jc w:val="both"/>
      </w:pPr>
      <w:r>
        <w:rPr>
          <w:rFonts w:ascii="Book Antiqua" w:eastAsia="Book Antiqua" w:hAnsi="Book Antiqua" w:cs="Book Antiqua"/>
          <w:color w:val="000000"/>
        </w:rPr>
        <w:t xml:space="preserve">On the other hand, the risk of progression in incidental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upper gastrointestinal tract is low</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serial follow-up endoscopies might be sufficient. The European Society of Gastrointestinal Endoscopy (ESGE) discourages the use of EUS for lesions &lt; 2 cm and recommends endoscopic follow-up in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 xml:space="preserve">Obtaining histology from tunnel biopsies during the initial endoscopy, when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is detected, can shorten the patient’s pathway and obviate the need for EUS examination or endoscopic follow-up. If histology clearly identifies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and confirms benign disease of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w:t>
      </w:r>
      <w:r>
        <w:rPr>
          <w:rFonts w:ascii="Book Antiqua" w:eastAsia="Book Antiqua" w:hAnsi="Book Antiqua" w:cs="Book Antiqua"/>
          <w:i/>
          <w:iCs/>
          <w:color w:val="000000"/>
        </w:rPr>
        <w:t>e.g.,</w:t>
      </w:r>
      <w:r>
        <w:rPr>
          <w:rFonts w:ascii="Book Antiqua" w:eastAsia="Book Antiqua" w:hAnsi="Book Antiqua" w:cs="Book Antiqua"/>
          <w:color w:val="000000"/>
        </w:rPr>
        <w:t xml:space="preserve"> a pancreatic rest, leiomyoma or lipoma, further EUS or endoscopy follow up can be avoided.</w:t>
      </w:r>
    </w:p>
    <w:p w:rsidR="00A77B3E" w:rsidRDefault="003924A0">
      <w:pPr>
        <w:spacing w:line="360" w:lineRule="auto"/>
        <w:jc w:val="both"/>
      </w:pPr>
      <w:r>
        <w:rPr>
          <w:rFonts w:ascii="Book Antiqua" w:eastAsia="Book Antiqua" w:hAnsi="Book Antiqua" w:cs="Book Antiqua"/>
          <w:color w:val="000000"/>
        </w:rPr>
        <w:t xml:space="preserve">In our large study on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in the upper gastrointestinal tract, tunnel biopsies in an intensified bite-on-bite technique with at least 10 double biopsies directed to the same spot had a significantly higher diagnostic yield (53.6%) compared to conventional biopsy techniques (0.9 %;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0.0001). </w:t>
      </w:r>
    </w:p>
    <w:p w:rsidR="00A77B3E" w:rsidRDefault="003924A0">
      <w:pPr>
        <w:spacing w:line="360" w:lineRule="auto"/>
        <w:ind w:firstLine="480"/>
        <w:jc w:val="both"/>
      </w:pPr>
      <w:r>
        <w:rPr>
          <w:rFonts w:ascii="Book Antiqua" w:eastAsia="Book Antiqua" w:hAnsi="Book Antiqua" w:cs="Book Antiqua"/>
          <w:color w:val="000000"/>
        </w:rPr>
        <w:t xml:space="preserve">The diagnostic success rate by bite-on-bite tunnel biopsy technique has already been reported by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(58.9%) and Ji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(38%) but this endoscopic </w:t>
      </w:r>
      <w:r>
        <w:rPr>
          <w:rFonts w:ascii="Book Antiqua" w:eastAsia="Book Antiqua" w:hAnsi="Book Antiqua" w:cs="Book Antiqua"/>
          <w:color w:val="000000"/>
        </w:rPr>
        <w:lastRenderedPageBreak/>
        <w:t xml:space="preserve">technique is generally </w:t>
      </w:r>
      <w:proofErr w:type="spellStart"/>
      <w:r>
        <w:rPr>
          <w:rFonts w:ascii="Book Antiqua" w:eastAsia="Book Antiqua" w:hAnsi="Book Antiqua" w:cs="Book Antiqua"/>
          <w:color w:val="000000"/>
        </w:rPr>
        <w:t>underutilised</w:t>
      </w:r>
      <w:proofErr w:type="spellEnd"/>
      <w:r>
        <w:rPr>
          <w:rFonts w:ascii="Book Antiqua" w:eastAsia="Book Antiqua" w:hAnsi="Book Antiqua" w:cs="Book Antiqua"/>
          <w:color w:val="000000"/>
        </w:rPr>
        <w:t xml:space="preserve"> as shown in our retrospective study; only 15 % of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involved in our study routinely used bite-on-bite sampling technique to obtain histology samples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By simple means, perseverance and the correct </w:t>
      </w:r>
      <w:proofErr w:type="spellStart"/>
      <w:r>
        <w:rPr>
          <w:rFonts w:ascii="Book Antiqua" w:eastAsia="Book Antiqua" w:hAnsi="Book Antiqua" w:cs="Book Antiqua"/>
          <w:color w:val="000000"/>
        </w:rPr>
        <w:t>tunnelling</w:t>
      </w:r>
      <w:proofErr w:type="spellEnd"/>
      <w:r>
        <w:rPr>
          <w:rFonts w:ascii="Book Antiqua" w:eastAsia="Book Antiqua" w:hAnsi="Book Antiqua" w:cs="Book Antiqua"/>
          <w:color w:val="000000"/>
        </w:rPr>
        <w:t xml:space="preserve"> technique, tissue diagnosis can be achieved in about half of encountered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Main principles of the technique is that a mucosal defect is created by the first biopsies; in subsequent biopsies the closed biopsy forceps is introduced through the mucosal defect into the submucosal space and then the branches are opened followed by a gentle pressure onto the forceps while the biopsy is taken and the branches are closed again. </w:t>
      </w:r>
    </w:p>
    <w:p w:rsidR="00A77B3E" w:rsidRDefault="003924A0">
      <w:pPr>
        <w:spacing w:line="360" w:lineRule="auto"/>
        <w:ind w:firstLine="480"/>
        <w:jc w:val="both"/>
      </w:pPr>
      <w:r>
        <w:rPr>
          <w:rFonts w:ascii="Book Antiqua" w:eastAsia="Book Antiqua" w:hAnsi="Book Antiqua" w:cs="Book Antiqua"/>
          <w:color w:val="000000"/>
        </w:rPr>
        <w:t xml:space="preserve">In contrast to the 34.9% bleeding rate reported in the study by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using Jumbo biopsy forceps, we did not observe post-procedural bleedings after tunnel biopsies taken with conventional biopsy forceps. This might be due to the fact that the strict tunnel technique with very targeted conventional biopsy forceps created a tract which could easily be closed by clips in case of prolonged bleeding which persisted during the time of the endoscopy. In 22 patients the mucosal defect was prophylactically closed using clips.</w:t>
      </w:r>
    </w:p>
    <w:p w:rsidR="00A77B3E" w:rsidRDefault="003924A0">
      <w:pPr>
        <w:spacing w:line="360" w:lineRule="auto"/>
        <w:ind w:firstLine="480"/>
        <w:jc w:val="both"/>
      </w:pPr>
      <w:r>
        <w:rPr>
          <w:rFonts w:ascii="Book Antiqua" w:eastAsia="Book Antiqua" w:hAnsi="Book Antiqua" w:cs="Book Antiqua"/>
          <w:color w:val="000000"/>
        </w:rPr>
        <w:t>The intensified protocol with a higher number of double passes during the tunnel biopsies might increase the diagnostic outcome as it allows deeper penetration into the gastrointestinal wall. In a previous study with only four double passes the diagnostic yield was only 17%</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rsidR="00A77B3E" w:rsidRDefault="003924A0">
      <w:pPr>
        <w:spacing w:line="360" w:lineRule="auto"/>
        <w:ind w:firstLine="480"/>
        <w:jc w:val="both"/>
      </w:pPr>
      <w:r>
        <w:rPr>
          <w:rFonts w:ascii="Book Antiqua" w:eastAsia="Book Antiqua" w:hAnsi="Book Antiqua" w:cs="Book Antiqua"/>
          <w:color w:val="000000"/>
        </w:rPr>
        <w:t xml:space="preserve">Other more aggressive endoscopic un-roofing techniques have been described to obtain tissue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Forceps biopsies can be taken after un-roofing by needle knife incision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ligation-resection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snare resection</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or endoscopic submucosal dissection</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We would suggest that such techniques that would require higher endoscopic interventional skills are reserved for cases in which simple tunnel biopsies have failed.</w:t>
      </w:r>
    </w:p>
    <w:p w:rsidR="00A77B3E" w:rsidRDefault="003924A0">
      <w:pPr>
        <w:spacing w:line="360" w:lineRule="auto"/>
        <w:ind w:firstLine="480"/>
        <w:jc w:val="both"/>
      </w:pP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mucosae or submucosa are more likely to be accessible by the bite-on-bite technique, while </w:t>
      </w:r>
      <w:proofErr w:type="spellStart"/>
      <w:r>
        <w:rPr>
          <w:rFonts w:ascii="Book Antiqua" w:eastAsia="Book Antiqua" w:hAnsi="Book Antiqua" w:cs="Book Antiqua"/>
          <w:color w:val="000000"/>
        </w:rPr>
        <w:t>exophytic</w:t>
      </w:r>
      <w:proofErr w:type="spellEnd"/>
      <w:r>
        <w:rPr>
          <w:rFonts w:ascii="Book Antiqua" w:eastAsia="Book Antiqua" w:hAnsi="Book Antiqua" w:cs="Book Antiqua"/>
          <w:color w:val="000000"/>
        </w:rPr>
        <w:t xml:space="preserve"> growing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will unlikely be reached.</w:t>
      </w:r>
    </w:p>
    <w:p w:rsidR="00A77B3E" w:rsidRDefault="003924A0">
      <w:pPr>
        <w:spacing w:line="360" w:lineRule="auto"/>
        <w:ind w:firstLine="480"/>
        <w:jc w:val="both"/>
      </w:pPr>
      <w:r>
        <w:rPr>
          <w:rFonts w:ascii="Book Antiqua" w:eastAsia="Book Antiqua" w:hAnsi="Book Antiqua" w:cs="Book Antiqua"/>
          <w:color w:val="000000"/>
        </w:rPr>
        <w:lastRenderedPageBreak/>
        <w:t xml:space="preserve">Limitations of our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controlled study are its retrospective nature and the fact that subsequent EUS has been performed only in a fraction of patients. Therefore, we cannot exclude that the proportion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located in the submucosa or in deep muscular layers differed between the groups with conventional and tunnel biopsies. However, patients have not been selected for certain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or biopsy techniques. The clinical setting in this study matched the situation of the index endoscopy when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is encountered during endoscopy. </w:t>
      </w:r>
    </w:p>
    <w:p w:rsidR="00A77B3E" w:rsidRDefault="003924A0">
      <w:pPr>
        <w:spacing w:line="360" w:lineRule="auto"/>
        <w:ind w:firstLine="480"/>
        <w:jc w:val="both"/>
      </w:pPr>
      <w:r>
        <w:rPr>
          <w:rFonts w:ascii="Book Antiqua" w:eastAsia="Book Antiqua" w:hAnsi="Book Antiqua" w:cs="Book Antiqua"/>
          <w:color w:val="000000"/>
        </w:rPr>
        <w:t>The bite-on-bite technique is simple and does not require any extra equipment as it is performed using the conventional forceps biopsy. The procedure time is increased only about 4 min by taking the additional biopsies.</w:t>
      </w:r>
    </w:p>
    <w:p w:rsidR="00A77B3E" w:rsidRDefault="003924A0">
      <w:pPr>
        <w:spacing w:line="360" w:lineRule="auto"/>
        <w:ind w:firstLine="480"/>
        <w:jc w:val="both"/>
      </w:pPr>
      <w:r>
        <w:rPr>
          <w:rFonts w:ascii="Book Antiqua" w:eastAsia="Book Antiqua" w:hAnsi="Book Antiqua" w:cs="Book Antiqua"/>
          <w:color w:val="000000"/>
        </w:rPr>
        <w:t>The argument often encountered that tunnel biopsies might render later endoscopic or surgical treatment more difficult, could not be confirmed in our group of patients receiving resections as part of their clinical management.</w:t>
      </w:r>
    </w:p>
    <w:p w:rsidR="00A77B3E" w:rsidRDefault="003924A0">
      <w:pPr>
        <w:spacing w:line="360" w:lineRule="auto"/>
        <w:ind w:firstLine="480"/>
        <w:jc w:val="both"/>
      </w:pPr>
      <w:r>
        <w:rPr>
          <w:rFonts w:ascii="Book Antiqua" w:eastAsia="Book Antiqua" w:hAnsi="Book Antiqua" w:cs="Book Antiqua"/>
          <w:color w:val="000000"/>
        </w:rPr>
        <w:t xml:space="preserve">In our study, simple tunnel biopsy technique provided the definitive diagnosis in about half of the cases, thereby avoiding EUS-FNA or more aggressive endoscopic techniques; follow-up endoscopies in those patients with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masses without malignant potential such as lipoma or pancreatic rests could be saved. </w:t>
      </w:r>
      <w:proofErr w:type="spellStart"/>
      <w:r>
        <w:rPr>
          <w:rFonts w:ascii="Book Antiqua" w:eastAsia="Book Antiqua" w:hAnsi="Book Antiqua" w:cs="Book Antiqua"/>
          <w:color w:val="000000"/>
        </w:rPr>
        <w:t>Economical</w:t>
      </w:r>
      <w:proofErr w:type="spellEnd"/>
      <w:r>
        <w:rPr>
          <w:rFonts w:ascii="Book Antiqua" w:eastAsia="Book Antiqua" w:hAnsi="Book Antiqua" w:cs="Book Antiqua"/>
          <w:color w:val="000000"/>
        </w:rPr>
        <w:t xml:space="preserve"> reasons as well as patient convenience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attempting tissue acquisition at the first endoscopy.</w:t>
      </w:r>
    </w:p>
    <w:p w:rsidR="00A77B3E" w:rsidRDefault="00A77B3E">
      <w:pPr>
        <w:spacing w:line="360" w:lineRule="auto"/>
        <w:ind w:firstLine="480"/>
        <w:jc w:val="both"/>
      </w:pPr>
    </w:p>
    <w:p w:rsidR="00A77B3E" w:rsidRDefault="003924A0">
      <w:pPr>
        <w:spacing w:line="360" w:lineRule="auto"/>
        <w:jc w:val="both"/>
      </w:pPr>
      <w:r>
        <w:rPr>
          <w:rFonts w:ascii="Book Antiqua" w:eastAsia="Book Antiqua" w:hAnsi="Book Antiqua" w:cs="Book Antiqua"/>
          <w:b/>
          <w:caps/>
          <w:color w:val="000000"/>
          <w:u w:val="single"/>
        </w:rPr>
        <w:t>CONCLUSION</w:t>
      </w:r>
    </w:p>
    <w:p w:rsidR="00A77B3E" w:rsidRDefault="003924A0">
      <w:pPr>
        <w:spacing w:line="360" w:lineRule="auto"/>
        <w:jc w:val="both"/>
      </w:pPr>
      <w:r>
        <w:rPr>
          <w:rFonts w:ascii="Book Antiqua" w:eastAsia="Book Antiqua" w:hAnsi="Book Antiqua" w:cs="Book Antiqua"/>
          <w:color w:val="000000"/>
        </w:rPr>
        <w:t xml:space="preserve">Tunnel biopsy in bite-on-bite technique is a simple, safe and efficient diagnostic modality for tissue acquisition in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of the upper gastrointestinal tract. This technique should be routinely attempted if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is detected at the index endoscopy as it prolongs the examination only for a few minutes and can often avoid the need for further EUS and fine needle aspiration/EUS biopsy or follow up endoscopies.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aps/>
          <w:color w:val="000000"/>
          <w:u w:val="single"/>
        </w:rPr>
        <w:t>ARTICLE HIGHLIGHTS</w:t>
      </w:r>
    </w:p>
    <w:p w:rsidR="00A77B3E" w:rsidRDefault="003924A0">
      <w:pPr>
        <w:spacing w:line="360" w:lineRule="auto"/>
        <w:jc w:val="both"/>
      </w:pPr>
      <w:r>
        <w:rPr>
          <w:rFonts w:ascii="Book Antiqua" w:eastAsia="Book Antiqua" w:hAnsi="Book Antiqua" w:cs="Book Antiqua"/>
          <w:b/>
          <w:i/>
          <w:color w:val="000000"/>
        </w:rPr>
        <w:lastRenderedPageBreak/>
        <w:t>Research background</w:t>
      </w:r>
    </w:p>
    <w:p w:rsidR="00A77B3E" w:rsidRDefault="003924A0">
      <w:pPr>
        <w:spacing w:line="360" w:lineRule="auto"/>
        <w:jc w:val="both"/>
      </w:pP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gastrointestinal tract can be benign, pre-malignant or malignant. Most small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benign. Lipoma, leiomyoma, pancreatic rests or duplications cyst will usually not need further follow-up.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or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will require resection or surveillance. Metastasis to the gastrointestinal wall can rarely also present as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motivation</w:t>
      </w:r>
    </w:p>
    <w:p w:rsidR="00A77B3E" w:rsidRDefault="003924A0">
      <w:pPr>
        <w:spacing w:line="360" w:lineRule="auto"/>
        <w:jc w:val="both"/>
      </w:pPr>
      <w:r>
        <w:rPr>
          <w:rFonts w:ascii="Book Antiqua" w:eastAsia="Book Antiqua" w:hAnsi="Book Antiqua" w:cs="Book Antiqua"/>
          <w:color w:val="000000"/>
        </w:rPr>
        <w:t xml:space="preserve">Histology acquisition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is challenging as conventional endoscopic biopsies do usually not reach deeper than the mucosal layer.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often present a diagnostic dilemma.</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objectives</w:t>
      </w:r>
    </w:p>
    <w:p w:rsidR="00A77B3E" w:rsidRDefault="003924A0">
      <w:pPr>
        <w:spacing w:line="360" w:lineRule="auto"/>
        <w:jc w:val="both"/>
      </w:pPr>
      <w:r>
        <w:rPr>
          <w:rFonts w:ascii="Book Antiqua" w:eastAsia="Book Antiqua" w:hAnsi="Book Antiqua" w:cs="Book Antiqua"/>
          <w:color w:val="000000"/>
        </w:rPr>
        <w:t xml:space="preserve">The authors investigated the use, the safety and the diagnostic success of performing tunnel biopsies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to obtain histology.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methods</w:t>
      </w:r>
    </w:p>
    <w:p w:rsidR="00A77B3E" w:rsidRDefault="003924A0">
      <w:pPr>
        <w:spacing w:line="360" w:lineRule="auto"/>
        <w:jc w:val="both"/>
      </w:pPr>
      <w:r>
        <w:rPr>
          <w:rFonts w:ascii="Book Antiqua" w:eastAsia="Book Antiqua" w:hAnsi="Book Antiqua" w:cs="Book Antiqua"/>
          <w:color w:val="000000"/>
        </w:rPr>
        <w:t xml:space="preserve">Tunnel biopsy was defined as repeating at least 10 double pass biopsies targeting the identical spot on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mass with conventional biopsy forceps. All patients with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reported at </w:t>
      </w:r>
      <w:proofErr w:type="spellStart"/>
      <w:r>
        <w:rPr>
          <w:rFonts w:ascii="Book Antiqua" w:eastAsia="Book Antiqua" w:hAnsi="Book Antiqua" w:cs="Book Antiqua"/>
          <w:color w:val="000000"/>
        </w:rPr>
        <w:t>oesophagogastroduodenoscopy</w:t>
      </w:r>
      <w:proofErr w:type="spellEnd"/>
      <w:r>
        <w:rPr>
          <w:rFonts w:ascii="Book Antiqua" w:eastAsia="Book Antiqua" w:hAnsi="Book Antiqua" w:cs="Book Antiqua"/>
          <w:color w:val="000000"/>
        </w:rPr>
        <w:t xml:space="preserve"> presenting within the 6 year study period were included and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regarding size and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histology, radiological findings, re-admissions and adverse events.</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results</w:t>
      </w:r>
    </w:p>
    <w:p w:rsidR="00A77B3E" w:rsidRDefault="003924A0">
      <w:pPr>
        <w:spacing w:line="360" w:lineRule="auto"/>
        <w:jc w:val="both"/>
      </w:pPr>
      <w:r>
        <w:rPr>
          <w:rFonts w:ascii="Book Antiqua" w:eastAsia="Book Antiqua" w:hAnsi="Book Antiqua" w:cs="Book Antiqua"/>
          <w:color w:val="000000"/>
        </w:rPr>
        <w:t xml:space="preserve">Only in about half of the 229 encountered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tunnel biopsies were attempted. However, when tunnel biopsies were performed, they were diagnostic in 53.6%. Adverse events were not observed.</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lastRenderedPageBreak/>
        <w:t>Research conclusions</w:t>
      </w:r>
    </w:p>
    <w:p w:rsidR="00A77B3E" w:rsidRDefault="003924A0">
      <w:pPr>
        <w:spacing w:line="360" w:lineRule="auto"/>
        <w:jc w:val="both"/>
      </w:pPr>
      <w:r>
        <w:rPr>
          <w:rFonts w:ascii="Book Antiqua" w:eastAsia="Book Antiqua" w:hAnsi="Book Antiqua" w:cs="Book Antiqua"/>
          <w:color w:val="000000"/>
        </w:rPr>
        <w:t xml:space="preserve">Performing tunnel biopsies from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during endoscopy prolongs the procedure only a few minutes but can save endoscopic ultrasound-guided sampling or the need for follow-up in about 50%.</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i/>
          <w:color w:val="000000"/>
        </w:rPr>
        <w:t>Research perspectives</w:t>
      </w:r>
    </w:p>
    <w:p w:rsidR="00A77B3E" w:rsidRDefault="003924A0">
      <w:pPr>
        <w:spacing w:line="360" w:lineRule="auto"/>
        <w:jc w:val="both"/>
      </w:pPr>
      <w:r>
        <w:rPr>
          <w:rFonts w:ascii="Book Antiqua" w:eastAsia="Book Antiqua" w:hAnsi="Book Antiqua" w:cs="Book Antiqua"/>
          <w:color w:val="000000"/>
        </w:rPr>
        <w:t>Further randomized studies with cost-analysis should assess the diagnostic yield of tunnel biopsies performed at the index endoscopy compared with endoscopic ultrasound-guided sampling.</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aps/>
          <w:color w:val="000000"/>
          <w:u w:val="single"/>
        </w:rPr>
        <w:t>ACKNOWLEDGEMENTS</w:t>
      </w:r>
    </w:p>
    <w:p w:rsidR="00A77B3E" w:rsidRDefault="003924A0">
      <w:pPr>
        <w:spacing w:line="360" w:lineRule="auto"/>
        <w:jc w:val="both"/>
      </w:pPr>
      <w:r>
        <w:rPr>
          <w:rFonts w:ascii="Book Antiqua" w:eastAsia="Book Antiqua" w:hAnsi="Book Antiqua" w:cs="Book Antiqua"/>
          <w:color w:val="000000"/>
        </w:rPr>
        <w:t>The authors would like to thank the team of the Endoscopy Unit and the department of Pathology at the University Hospitals Oxford for their excellent support.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REFERENCES</w:t>
      </w:r>
    </w:p>
    <w:p w:rsidR="00A77B3E" w:rsidRDefault="003924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Oda</w:t>
      </w:r>
      <w:r>
        <w:rPr>
          <w:rFonts w:ascii="Book Antiqua" w:eastAsia="Book Antiqua" w:hAnsi="Book Antiqua" w:cs="Book Antiqua"/>
          <w:color w:val="000000"/>
        </w:rPr>
        <w:t xml:space="preserve">, Kondo H, </w:t>
      </w:r>
      <w:proofErr w:type="spellStart"/>
      <w:r>
        <w:rPr>
          <w:rFonts w:ascii="Book Antiqua" w:eastAsia="Book Antiqua" w:hAnsi="Book Antiqua" w:cs="Book Antiqua"/>
          <w:color w:val="000000"/>
        </w:rPr>
        <w:t>Yamao</w:t>
      </w:r>
      <w:proofErr w:type="spellEnd"/>
      <w:r>
        <w:rPr>
          <w:rFonts w:ascii="Book Antiqua" w:eastAsia="Book Antiqua" w:hAnsi="Book Antiqua" w:cs="Book Antiqua"/>
          <w:color w:val="000000"/>
        </w:rPr>
        <w:t xml:space="preserve"> T, Saito D, Ono H,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Yamaguchi H, Yoshida S,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Metastatic tumors to the stomach: analysis of 54 patients diagnosed at endoscopy and 347 autopsy cases.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507-510 [PMID: 11437044 DOI: 10.1055/s-2001-14960]</w:t>
      </w:r>
    </w:p>
    <w:p w:rsidR="00A77B3E" w:rsidRDefault="003924A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Philipper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Hollerbach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Gabbert</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Heikaus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Böcking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Pomjanski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Schumacher B. Prospective comparison of endoscopic ultrasound-guided fine-needle aspiration and surgical histology in upper gastrointestinal submucosal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300-305 [PMID: 20306384 DOI: 10.1055/s-0029-1244006]</w:t>
      </w:r>
    </w:p>
    <w:p w:rsidR="00A77B3E" w:rsidRDefault="003924A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Rösch</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Kapfer</w:t>
      </w:r>
      <w:proofErr w:type="spellEnd"/>
      <w:r>
        <w:rPr>
          <w:rFonts w:ascii="Book Antiqua" w:eastAsia="Book Antiqua" w:hAnsi="Book Antiqua" w:cs="Book Antiqua"/>
          <w:color w:val="000000"/>
        </w:rPr>
        <w:t xml:space="preserve"> B, Will U, </w:t>
      </w:r>
      <w:proofErr w:type="spellStart"/>
      <w:r>
        <w:rPr>
          <w:rFonts w:ascii="Book Antiqua" w:eastAsia="Book Antiqua" w:hAnsi="Book Antiqua" w:cs="Book Antiqua"/>
          <w:color w:val="000000"/>
        </w:rPr>
        <w:t>Baronius</w:t>
      </w:r>
      <w:proofErr w:type="spellEnd"/>
      <w:r>
        <w:rPr>
          <w:rFonts w:ascii="Book Antiqua" w:eastAsia="Book Antiqua" w:hAnsi="Book Antiqua" w:cs="Book Antiqua"/>
          <w:color w:val="000000"/>
        </w:rPr>
        <w:t xml:space="preserve"> W, Strobel M, Lorenz R, Ulm K; German EUS Club. Endoscopic ultrasonography. Accuracy of endoscopic ultrasonography in upper gastrointestinal submucosal lesions: a prospective multicenter study.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37</w:t>
      </w:r>
      <w:r>
        <w:rPr>
          <w:rFonts w:ascii="Book Antiqua" w:eastAsia="Book Antiqua" w:hAnsi="Book Antiqua" w:cs="Book Antiqua"/>
          <w:color w:val="000000"/>
        </w:rPr>
        <w:t>: 856-862 [PMID: 12190103]</w:t>
      </w:r>
    </w:p>
    <w:p w:rsidR="00A77B3E" w:rsidRDefault="003924A0">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Zhang XC</w:t>
      </w:r>
      <w:r>
        <w:rPr>
          <w:rFonts w:ascii="Book Antiqua" w:eastAsia="Book Antiqua" w:hAnsi="Book Antiqua" w:cs="Book Antiqua"/>
          <w:color w:val="000000"/>
        </w:rPr>
        <w:t xml:space="preserve">, Li QL, Yu YF, Yao LQ, Xu MD, Zhang YQ,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YS, Chen WF, Zhou PH. Diagnostic efficacy of endoscopic ultrasound-guided needle sampling for upper gastrointestinal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a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2431-2441 [PMID: 26310529 DOI: 10.1007/s00464-015-4494-1]</w:t>
      </w:r>
    </w:p>
    <w:p w:rsidR="00A77B3E" w:rsidRDefault="003924A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Buscaglia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Nagula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Jayaraman</w:t>
      </w:r>
      <w:proofErr w:type="spellEnd"/>
      <w:r>
        <w:rPr>
          <w:rFonts w:ascii="Book Antiqua" w:eastAsia="Book Antiqua" w:hAnsi="Book Antiqua" w:cs="Book Antiqua"/>
          <w:color w:val="000000"/>
        </w:rPr>
        <w:t xml:space="preserve"> V, Robbins DH, </w:t>
      </w:r>
      <w:proofErr w:type="spellStart"/>
      <w:r>
        <w:rPr>
          <w:rFonts w:ascii="Book Antiqua" w:eastAsia="Book Antiqua" w:hAnsi="Book Antiqua" w:cs="Book Antiqua"/>
          <w:color w:val="000000"/>
        </w:rPr>
        <w:t>Vadada</w:t>
      </w:r>
      <w:proofErr w:type="spellEnd"/>
      <w:r>
        <w:rPr>
          <w:rFonts w:ascii="Book Antiqua" w:eastAsia="Book Antiqua" w:hAnsi="Book Antiqua" w:cs="Book Antiqua"/>
          <w:color w:val="000000"/>
        </w:rPr>
        <w:t xml:space="preserve"> D, Gross SA, </w:t>
      </w:r>
      <w:proofErr w:type="spellStart"/>
      <w:r>
        <w:rPr>
          <w:rFonts w:ascii="Book Antiqua" w:eastAsia="Book Antiqua" w:hAnsi="Book Antiqua" w:cs="Book Antiqua"/>
          <w:color w:val="000000"/>
        </w:rPr>
        <w:t>DiMaio</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 S, Patel K, </w:t>
      </w:r>
      <w:proofErr w:type="spellStart"/>
      <w:r>
        <w:rPr>
          <w:rFonts w:ascii="Book Antiqua" w:eastAsia="Book Antiqua" w:hAnsi="Book Antiqua" w:cs="Book Antiqua"/>
          <w:color w:val="000000"/>
        </w:rPr>
        <w:t>Sejpal</w:t>
      </w:r>
      <w:proofErr w:type="spellEnd"/>
      <w:r>
        <w:rPr>
          <w:rFonts w:ascii="Book Antiqua" w:eastAsia="Book Antiqua" w:hAnsi="Book Antiqua" w:cs="Book Antiqua"/>
          <w:color w:val="000000"/>
        </w:rPr>
        <w:t xml:space="preserve"> DV, Kim MK. Diagnostic yield and safety of jumbo biopsy forceps in patients with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of the upper and lower GI tract.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1147-1152 [PMID: 22425270 DOI: 10.1016/j.gie.2012.01.032]</w:t>
      </w:r>
    </w:p>
    <w:p w:rsidR="00A77B3E" w:rsidRDefault="003924A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Schlag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Menzel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Götzberger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Nennstiel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Klare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Wagenpfeil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Weirich</w:t>
      </w:r>
      <w:proofErr w:type="spellEnd"/>
      <w:r>
        <w:rPr>
          <w:rFonts w:ascii="Book Antiqua" w:eastAsia="Book Antiqua" w:hAnsi="Book Antiqua" w:cs="Book Antiqua"/>
          <w:color w:val="000000"/>
        </w:rPr>
        <w:t xml:space="preserve"> G, von Delius S. Endoscopic ultrasound-guided tissue sampling of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of the upper gastrointestinal tract with a 22-gauge core biopsy needle.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E165-E171 [PMID: 28299351 DOI: 10.1055/s-0042-119948]</w:t>
      </w:r>
    </w:p>
    <w:p w:rsidR="00A77B3E" w:rsidRDefault="003924A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Hoda</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Rodriguez SA, </w:t>
      </w:r>
      <w:proofErr w:type="spellStart"/>
      <w:r>
        <w:rPr>
          <w:rFonts w:ascii="Book Antiqua" w:eastAsia="Book Antiqua" w:hAnsi="Book Antiqua" w:cs="Book Antiqua"/>
          <w:color w:val="000000"/>
        </w:rPr>
        <w:t>Faigel</w:t>
      </w:r>
      <w:proofErr w:type="spellEnd"/>
      <w:r>
        <w:rPr>
          <w:rFonts w:ascii="Book Antiqua" w:eastAsia="Book Antiqua" w:hAnsi="Book Antiqua" w:cs="Book Antiqua"/>
          <w:color w:val="000000"/>
        </w:rPr>
        <w:t xml:space="preserve"> DO. EUS-guided sampling of suspected GI stromal tumors.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1218-1223 [PMID: 19394006 DOI: 10.1016/j.gie.2008.09.045]</w:t>
      </w:r>
    </w:p>
    <w:p w:rsidR="00A77B3E" w:rsidRDefault="003924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Chafic</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Loren D, Siddiqui A, </w:t>
      </w:r>
      <w:proofErr w:type="spellStart"/>
      <w:r>
        <w:rPr>
          <w:rFonts w:ascii="Book Antiqua" w:eastAsia="Book Antiqua" w:hAnsi="Book Antiqua" w:cs="Book Antiqua"/>
          <w:color w:val="000000"/>
        </w:rPr>
        <w:t>Mounzer</w:t>
      </w:r>
      <w:proofErr w:type="spellEnd"/>
      <w:r>
        <w:rPr>
          <w:rFonts w:ascii="Book Antiqua" w:eastAsia="Book Antiqua" w:hAnsi="Book Antiqua" w:cs="Book Antiqua"/>
          <w:color w:val="000000"/>
        </w:rPr>
        <w:t xml:space="preserve"> R, Cosgrove N, Kowalski T. Comparison of FNA and fine-needle biopsy for EUS-guided sampling of suspected GI stromal tumors.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510-515 [PMID: 28131864 DOI: 10.1016/j.gie.2017.01.010]</w:t>
      </w:r>
    </w:p>
    <w:p w:rsidR="00A77B3E" w:rsidRDefault="003924A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Song JH</w:t>
      </w:r>
      <w:r>
        <w:rPr>
          <w:rFonts w:ascii="Book Antiqua" w:eastAsia="Book Antiqua" w:hAnsi="Book Antiqua" w:cs="Book Antiqua"/>
          <w:color w:val="000000"/>
        </w:rPr>
        <w:t xml:space="preserve">, Kim SG, Chung SJ, Kang HY, Yang SY, Kim YS. Risk of progression for incidental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in the upper gastrointestinal tract.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675-679 [PMID: 25961444 DOI: 10.1055/s-0034-1391967]</w:t>
      </w:r>
    </w:p>
    <w:p w:rsidR="00A77B3E" w:rsidRDefault="003924A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Iglesias-Garcia J, </w:t>
      </w:r>
      <w:proofErr w:type="spellStart"/>
      <w:r>
        <w:rPr>
          <w:rFonts w:ascii="Book Antiqua" w:eastAsia="Book Antiqua" w:hAnsi="Book Antiqua" w:cs="Book Antiqua"/>
          <w:color w:val="000000"/>
        </w:rPr>
        <w:t>Larghi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Vanbiervliet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Aithal</w:t>
      </w:r>
      <w:proofErr w:type="spellEnd"/>
      <w:r>
        <w:rPr>
          <w:rFonts w:ascii="Book Antiqua" w:eastAsia="Book Antiqua" w:hAnsi="Book Antiqua" w:cs="Book Antiqua"/>
          <w:color w:val="000000"/>
        </w:rPr>
        <w:t xml:space="preserve"> GP, Arcidiacono PG, Bastos P, Carrara S, </w:t>
      </w:r>
      <w:proofErr w:type="spellStart"/>
      <w:r>
        <w:rPr>
          <w:rFonts w:ascii="Book Antiqua" w:eastAsia="Book Antiqua" w:hAnsi="Book Antiqua" w:cs="Book Antiqua"/>
          <w:color w:val="000000"/>
        </w:rPr>
        <w:t>Czakó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Fernández-Esparrach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À, Havre RF, Hassan C, </w:t>
      </w:r>
      <w:proofErr w:type="spellStart"/>
      <w:r>
        <w:rPr>
          <w:rFonts w:ascii="Book Antiqua" w:eastAsia="Book Antiqua" w:hAnsi="Book Antiqua" w:cs="Book Antiqua"/>
          <w:color w:val="000000"/>
        </w:rPr>
        <w:t>Vilmann</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Polkowski</w:t>
      </w:r>
      <w:proofErr w:type="spellEnd"/>
      <w:r>
        <w:rPr>
          <w:rFonts w:ascii="Book Antiqua" w:eastAsia="Book Antiqua" w:hAnsi="Book Antiqua" w:cs="Book Antiqua"/>
          <w:color w:val="000000"/>
        </w:rPr>
        <w:t xml:space="preserve"> M. Indications, results, and clinical impact of endoscopic ultrasound (EUS)-guided sampling in gastroenterology: European Society of Gastrointestinal Endoscopy (ESGE) Clinical Guideline - Updated January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695-714 [PMID: 28511234 DOI: 10.1055/s-0043-109021]</w:t>
      </w:r>
    </w:p>
    <w:p w:rsidR="00A77B3E" w:rsidRDefault="003924A0">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Ji JS</w:t>
      </w:r>
      <w:r>
        <w:rPr>
          <w:rFonts w:ascii="Book Antiqua" w:eastAsia="Book Antiqua" w:hAnsi="Book Antiqua" w:cs="Book Antiqua"/>
          <w:color w:val="000000"/>
        </w:rPr>
        <w:t xml:space="preserve">, Lee BI, Choi KY, Kim BW, Choi H, Huh M, Chung WC, </w:t>
      </w:r>
      <w:proofErr w:type="spellStart"/>
      <w:r>
        <w:rPr>
          <w:rFonts w:ascii="Book Antiqua" w:eastAsia="Book Antiqua" w:hAnsi="Book Antiqua" w:cs="Book Antiqua"/>
          <w:color w:val="000000"/>
        </w:rPr>
        <w:t>Chae</w:t>
      </w:r>
      <w:proofErr w:type="spellEnd"/>
      <w:r>
        <w:rPr>
          <w:rFonts w:ascii="Book Antiqua" w:eastAsia="Book Antiqua" w:hAnsi="Book Antiqua" w:cs="Book Antiqua"/>
          <w:color w:val="000000"/>
        </w:rPr>
        <w:t xml:space="preserve"> HS, Chung IS. Diagnostic yield of tissue sampling using a bite-on-bite technique for incidental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101-105 [PMID: 19543487 DOI: 10.3904/kjim.2009.24.2.101]</w:t>
      </w:r>
    </w:p>
    <w:p w:rsidR="00A77B3E" w:rsidRDefault="003924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Cantor MJ</w:t>
      </w:r>
      <w:r>
        <w:rPr>
          <w:rFonts w:ascii="Book Antiqua" w:eastAsia="Book Antiqua" w:hAnsi="Book Antiqua" w:cs="Book Antiqua"/>
          <w:color w:val="000000"/>
        </w:rPr>
        <w:t xml:space="preserve">, Davila RE, </w:t>
      </w:r>
      <w:proofErr w:type="spellStart"/>
      <w:r>
        <w:rPr>
          <w:rFonts w:ascii="Book Antiqua" w:eastAsia="Book Antiqua" w:hAnsi="Book Antiqua" w:cs="Book Antiqua"/>
          <w:color w:val="000000"/>
        </w:rPr>
        <w:t>Faigel</w:t>
      </w:r>
      <w:proofErr w:type="spellEnd"/>
      <w:r>
        <w:rPr>
          <w:rFonts w:ascii="Book Antiqua" w:eastAsia="Book Antiqua" w:hAnsi="Book Antiqua" w:cs="Book Antiqua"/>
          <w:color w:val="000000"/>
        </w:rPr>
        <w:t xml:space="preserve"> DO. Yield of tissue sampling for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evaluated by EUS: a comparison between forceps biopsies and endoscopic submucosal resection.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64</w:t>
      </w:r>
      <w:r>
        <w:rPr>
          <w:rFonts w:ascii="Book Antiqua" w:eastAsia="Book Antiqua" w:hAnsi="Book Antiqua" w:cs="Book Antiqua"/>
          <w:color w:val="000000"/>
        </w:rPr>
        <w:t>: 29-34 [PMID: 16813799 DOI: 10.1016/j.gie.2006.02.027]</w:t>
      </w:r>
    </w:p>
    <w:p w:rsidR="00A77B3E" w:rsidRDefault="003924A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Shimamura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Hwang J, </w:t>
      </w:r>
      <w:proofErr w:type="spellStart"/>
      <w:r>
        <w:rPr>
          <w:rFonts w:ascii="Book Antiqua" w:eastAsia="Book Antiqua" w:hAnsi="Book Antiqua" w:cs="Book Antiqua"/>
          <w:color w:val="000000"/>
        </w:rPr>
        <w:t>Cirocco</w:t>
      </w:r>
      <w:proofErr w:type="spellEnd"/>
      <w:r>
        <w:rPr>
          <w:rFonts w:ascii="Book Antiqua" w:eastAsia="Book Antiqua" w:hAnsi="Book Antiqua" w:cs="Book Antiqua"/>
          <w:color w:val="000000"/>
        </w:rPr>
        <w:t xml:space="preserve"> M, May GR, </w:t>
      </w:r>
      <w:proofErr w:type="spellStart"/>
      <w:r>
        <w:rPr>
          <w:rFonts w:ascii="Book Antiqua" w:eastAsia="Book Antiqua" w:hAnsi="Book Antiqua" w:cs="Book Antiqua"/>
          <w:color w:val="000000"/>
        </w:rPr>
        <w:t>Mosko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CW. Efficacy of single-incision needle-knife biopsy for sampling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E5-E10 [PMID: 28337478 DOI: 10.1055/s-0042-122334]</w:t>
      </w:r>
    </w:p>
    <w:p w:rsidR="00A77B3E" w:rsidRDefault="003924A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Binmoeller</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Shah JN, Bhat YM, Kane SD. Suck-ligate-</w:t>
      </w:r>
      <w:proofErr w:type="spellStart"/>
      <w:r>
        <w:rPr>
          <w:rFonts w:ascii="Book Antiqua" w:eastAsia="Book Antiqua" w:hAnsi="Book Antiqua" w:cs="Book Antiqua"/>
          <w:color w:val="000000"/>
        </w:rPr>
        <w:t>unroof</w:t>
      </w:r>
      <w:proofErr w:type="spellEnd"/>
      <w:r>
        <w:rPr>
          <w:rFonts w:ascii="Book Antiqua" w:eastAsia="Book Antiqua" w:hAnsi="Book Antiqua" w:cs="Book Antiqua"/>
          <w:color w:val="000000"/>
        </w:rPr>
        <w:t xml:space="preserve">-biopsy by using a detachable 20-mm loop for the diagnosis and therapy of small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79</w:t>
      </w:r>
      <w:r>
        <w:rPr>
          <w:rFonts w:ascii="Book Antiqua" w:eastAsia="Book Antiqua" w:hAnsi="Book Antiqua" w:cs="Book Antiqua"/>
          <w:color w:val="000000"/>
        </w:rPr>
        <w:t>: 750-755 [PMID: 24238309 DOI: 10.1016/j.gie.2013.09.028]</w:t>
      </w:r>
    </w:p>
    <w:p w:rsidR="00A77B3E" w:rsidRDefault="003924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Lee CK</w:t>
      </w:r>
      <w:r>
        <w:rPr>
          <w:rFonts w:ascii="Book Antiqua" w:eastAsia="Book Antiqua" w:hAnsi="Book Antiqua" w:cs="Book Antiqua"/>
          <w:color w:val="000000"/>
        </w:rPr>
        <w:t xml:space="preserve">, Chung IK, Lee SH, Lee SH, Lee TH, Park SH, Kim HS, Kim SJ, Cho HD. Endoscopic partial resection with the </w:t>
      </w:r>
      <w:proofErr w:type="spellStart"/>
      <w:r>
        <w:rPr>
          <w:rFonts w:ascii="Book Antiqua" w:eastAsia="Book Antiqua" w:hAnsi="Book Antiqua" w:cs="Book Antiqua"/>
          <w:color w:val="000000"/>
        </w:rPr>
        <w:t>unroofing</w:t>
      </w:r>
      <w:proofErr w:type="spellEnd"/>
      <w:r>
        <w:rPr>
          <w:rFonts w:ascii="Book Antiqua" w:eastAsia="Book Antiqua" w:hAnsi="Book Antiqua" w:cs="Book Antiqua"/>
          <w:color w:val="000000"/>
        </w:rPr>
        <w:t xml:space="preserve"> technique for reliable tissue diagnosis of upper GI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on EUS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188-194 [PMID: 19879567 DOI: 10.1016/j.gie.2009.07.029]</w:t>
      </w:r>
    </w:p>
    <w:p w:rsidR="00A77B3E" w:rsidRDefault="003924A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Lee HL</w:t>
      </w:r>
      <w:r>
        <w:rPr>
          <w:rFonts w:ascii="Book Antiqua" w:eastAsia="Book Antiqua" w:hAnsi="Book Antiqua" w:cs="Book Antiqua"/>
          <w:color w:val="000000"/>
        </w:rPr>
        <w:t xml:space="preserve">, Kwon OW, Lee KN, Jun DW,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CS, Lee OY, Jeon YC, Han DS, Yoon BC, Choi HS, </w:t>
      </w:r>
      <w:proofErr w:type="spellStart"/>
      <w:r>
        <w:rPr>
          <w:rFonts w:ascii="Book Antiqua" w:eastAsia="Book Antiqua" w:hAnsi="Book Antiqua" w:cs="Book Antiqua"/>
          <w:color w:val="000000"/>
        </w:rPr>
        <w:t>Hahm</w:t>
      </w:r>
      <w:proofErr w:type="spellEnd"/>
      <w:r>
        <w:rPr>
          <w:rFonts w:ascii="Book Antiqua" w:eastAsia="Book Antiqua" w:hAnsi="Book Antiqua" w:cs="Book Antiqua"/>
          <w:color w:val="000000"/>
        </w:rPr>
        <w:t xml:space="preserve"> JS, Paik SS. Endoscopic histologic diagnosis of gastric GI submucosal tumors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submucosal dissection technique.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693-695 [PMID: 21762901 DOI: 10.1016/j.gie.2011.04.037]</w:t>
      </w:r>
    </w:p>
    <w:p w:rsidR="00A77B3E" w:rsidRDefault="003924A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Tae HJ</w:t>
      </w:r>
      <w:r>
        <w:rPr>
          <w:rFonts w:ascii="Book Antiqua" w:eastAsia="Book Antiqua" w:hAnsi="Book Antiqua" w:cs="Book Antiqua"/>
          <w:color w:val="000000"/>
        </w:rPr>
        <w:t xml:space="preserve">, Lee HL, Lee KN, Jun DW, Lee OY, Han DS, Yoon BC, Choi HS, </w:t>
      </w:r>
      <w:proofErr w:type="spellStart"/>
      <w:r>
        <w:rPr>
          <w:rFonts w:ascii="Book Antiqua" w:eastAsia="Book Antiqua" w:hAnsi="Book Antiqua" w:cs="Book Antiqua"/>
          <w:color w:val="000000"/>
        </w:rPr>
        <w:t>Hahm</w:t>
      </w:r>
      <w:proofErr w:type="spellEnd"/>
      <w:r>
        <w:rPr>
          <w:rFonts w:ascii="Book Antiqua" w:eastAsia="Book Antiqua" w:hAnsi="Book Antiqua" w:cs="Book Antiqua"/>
          <w:color w:val="000000"/>
        </w:rPr>
        <w:t xml:space="preserve"> JS. Deep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submucosal dissection in upper gastrointestinal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tumors: a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845-850 [PMID: 25111136 DOI: 10.1055/s-0034-1377627]</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3924A0">
      <w:pPr>
        <w:spacing w:line="360" w:lineRule="auto"/>
        <w:jc w:val="both"/>
      </w:pPr>
      <w:r>
        <w:rPr>
          <w:rFonts w:ascii="Book Antiqua" w:eastAsia="Book Antiqua" w:hAnsi="Book Antiqua" w:cs="Book Antiqua"/>
          <w:b/>
          <w:color w:val="000000"/>
        </w:rPr>
        <w:lastRenderedPageBreak/>
        <w:t>Footnotes</w:t>
      </w:r>
    </w:p>
    <w:p w:rsidR="00A77B3E" w:rsidRDefault="003924A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observational retrospective nature of the study was established with the Health Research Authority and Trust RD department. </w:t>
      </w:r>
      <w:r>
        <w:rPr>
          <w:rFonts w:ascii="Book Antiqua" w:eastAsia="Book Antiqua" w:hAnsi="Book Antiqua" w:cs="Book Antiqua"/>
          <w:color w:val="000000"/>
          <w:shd w:val="clear" w:color="auto" w:fill="FFFFFF"/>
        </w:rPr>
        <w:t>According to the Health Research Authority, this type of study does not require approval from a research ethics committee.</w:t>
      </w:r>
      <w:r>
        <w:rPr>
          <w:rFonts w:ascii="Book Antiqua" w:eastAsia="Book Antiqua" w:hAnsi="Book Antiqua" w:cs="Book Antiqua"/>
          <w:color w:val="000000"/>
        </w:rPr>
        <w:t xml:space="preserve">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 to share.</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szCs w:val="22"/>
        </w:rPr>
        <w:t xml:space="preserve">STROBE statement: </w:t>
      </w:r>
      <w:r>
        <w:rPr>
          <w:rFonts w:ascii="Book Antiqua" w:eastAsia="Book Antiqua" w:hAnsi="Book Antiqua" w:cs="Book Antiqua"/>
          <w:color w:val="000000"/>
        </w:rPr>
        <w:t>The authors have read the STROBE statement-checklist of items, and the manuscript was prepared and revised accordingly.</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85B6E">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2021</w:t>
      </w:r>
    </w:p>
    <w:p w:rsidR="00A77B3E" w:rsidRDefault="003924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rsidR="00A77B3E" w:rsidRDefault="003924A0">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3924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85B6E">
        <w:rPr>
          <w:rFonts w:ascii="Book Antiqua" w:eastAsia="Book Antiqua" w:hAnsi="Book Antiqua" w:cs="Book Antiqua"/>
          <w:color w:val="000000"/>
        </w:rPr>
        <w:t>h</w:t>
      </w:r>
      <w:r>
        <w:rPr>
          <w:rFonts w:ascii="Book Antiqua" w:eastAsia="Book Antiqua" w:hAnsi="Book Antiqua" w:cs="Book Antiqua"/>
          <w:color w:val="000000"/>
        </w:rPr>
        <w:t>epatology</w:t>
      </w:r>
    </w:p>
    <w:p w:rsidR="00A77B3E" w:rsidRDefault="003924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rsidR="00A77B3E" w:rsidRDefault="003924A0">
      <w:pPr>
        <w:spacing w:line="360" w:lineRule="auto"/>
        <w:jc w:val="both"/>
      </w:pPr>
      <w:r>
        <w:rPr>
          <w:rFonts w:ascii="Book Antiqua" w:eastAsia="Book Antiqua" w:hAnsi="Book Antiqua" w:cs="Book Antiqua"/>
          <w:b/>
          <w:color w:val="000000"/>
        </w:rPr>
        <w:lastRenderedPageBreak/>
        <w:t>Peer-review report’s scientific quality classification</w:t>
      </w:r>
    </w:p>
    <w:p w:rsidR="00A77B3E" w:rsidRDefault="003924A0">
      <w:pPr>
        <w:spacing w:line="360" w:lineRule="auto"/>
        <w:jc w:val="both"/>
      </w:pPr>
      <w:r>
        <w:rPr>
          <w:rFonts w:ascii="Book Antiqua" w:eastAsia="Book Antiqua" w:hAnsi="Book Antiqua" w:cs="Book Antiqua"/>
          <w:color w:val="000000"/>
        </w:rPr>
        <w:t>Grade A (Excellent): 0</w:t>
      </w:r>
    </w:p>
    <w:p w:rsidR="00A77B3E" w:rsidRDefault="003924A0">
      <w:pPr>
        <w:spacing w:line="360" w:lineRule="auto"/>
        <w:jc w:val="both"/>
      </w:pPr>
      <w:r>
        <w:rPr>
          <w:rFonts w:ascii="Book Antiqua" w:eastAsia="Book Antiqua" w:hAnsi="Book Antiqua" w:cs="Book Antiqua"/>
          <w:color w:val="000000"/>
        </w:rPr>
        <w:t>Grade B (Very good): 0</w:t>
      </w:r>
    </w:p>
    <w:p w:rsidR="00A77B3E" w:rsidRDefault="003924A0">
      <w:pPr>
        <w:spacing w:line="360" w:lineRule="auto"/>
        <w:jc w:val="both"/>
      </w:pPr>
      <w:r>
        <w:rPr>
          <w:rFonts w:ascii="Book Antiqua" w:eastAsia="Book Antiqua" w:hAnsi="Book Antiqua" w:cs="Book Antiqua"/>
          <w:color w:val="000000"/>
        </w:rPr>
        <w:t>Grade C (Good): C</w:t>
      </w:r>
    </w:p>
    <w:p w:rsidR="00A77B3E" w:rsidRDefault="003924A0">
      <w:pPr>
        <w:spacing w:line="360" w:lineRule="auto"/>
        <w:jc w:val="both"/>
      </w:pPr>
      <w:r>
        <w:rPr>
          <w:rFonts w:ascii="Book Antiqua" w:eastAsia="Book Antiqua" w:hAnsi="Book Antiqua" w:cs="Book Antiqua"/>
          <w:color w:val="000000"/>
        </w:rPr>
        <w:t>Grade D (Fair): 0</w:t>
      </w:r>
    </w:p>
    <w:p w:rsidR="00A77B3E" w:rsidRDefault="003924A0">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3924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Kwon KA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rsidR="00285B6E" w:rsidRDefault="00285B6E">
      <w:pPr>
        <w:spacing w:line="360" w:lineRule="auto"/>
        <w:jc w:val="both"/>
        <w:sectPr w:rsidR="00285B6E">
          <w:pgSz w:w="12240" w:h="15840"/>
          <w:pgMar w:top="1440" w:right="1440" w:bottom="1440" w:left="1440" w:header="720" w:footer="720" w:gutter="0"/>
          <w:cols w:space="720"/>
          <w:docGrid w:linePitch="360"/>
        </w:sectPr>
      </w:pPr>
    </w:p>
    <w:p w:rsidR="00A77B3E" w:rsidRDefault="003924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3901BB" w:rsidRPr="003901BB" w:rsidRDefault="003901BB">
      <w:pPr>
        <w:spacing w:line="360" w:lineRule="auto"/>
        <w:jc w:val="both"/>
        <w:rPr>
          <w:lang w:eastAsia="zh-CN"/>
        </w:rPr>
      </w:pPr>
      <w:r>
        <w:rPr>
          <w:noProof/>
          <w:lang w:eastAsia="zh-CN"/>
        </w:rPr>
        <w:drawing>
          <wp:inline distT="0" distB="0" distL="0" distR="0" wp14:anchorId="2C1B0B16" wp14:editId="1FE35395">
            <wp:extent cx="3648640" cy="46992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2892" cy="4704697"/>
                    </a:xfrm>
                    <a:prstGeom prst="rect">
                      <a:avLst/>
                    </a:prstGeom>
                  </pic:spPr>
                </pic:pic>
              </a:graphicData>
            </a:graphic>
          </wp:inline>
        </w:drawing>
      </w:r>
    </w:p>
    <w:p w:rsidR="00A77B3E" w:rsidRDefault="003924A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1 Patient flow chart.</w:t>
      </w:r>
    </w:p>
    <w:p w:rsidR="003901BB" w:rsidRDefault="003901BB">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Pr="003901BB">
        <w:rPr>
          <w:rFonts w:ascii="Book Antiqua" w:hAnsi="Book Antiqua" w:cs="Book Antiqua"/>
          <w:b/>
          <w:bCs/>
          <w:noProof/>
          <w:color w:val="000000"/>
          <w:lang w:eastAsia="zh-CN"/>
        </w:rPr>
        <w:lastRenderedPageBreak/>
        <w:drawing>
          <wp:inline distT="0" distB="0" distL="0" distR="0" wp14:anchorId="6294C721" wp14:editId="00A8170E">
            <wp:extent cx="2708045" cy="269427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708045" cy="2694272"/>
                    </a:xfrm>
                    <a:prstGeom prst="rect">
                      <a:avLst/>
                    </a:prstGeom>
                  </pic:spPr>
                </pic:pic>
              </a:graphicData>
            </a:graphic>
          </wp:inline>
        </w:drawing>
      </w:r>
      <w:r>
        <w:rPr>
          <w:rFonts w:ascii="Book Antiqua" w:hAnsi="Book Antiqua" w:cs="Book Antiqua" w:hint="eastAsia"/>
          <w:b/>
          <w:bCs/>
          <w:color w:val="000000"/>
          <w:lang w:eastAsia="zh-CN"/>
        </w:rPr>
        <w:t xml:space="preserve"> </w:t>
      </w:r>
      <w:r w:rsidRPr="003901BB">
        <w:rPr>
          <w:rFonts w:ascii="Book Antiqua" w:hAnsi="Book Antiqua" w:cs="Book Antiqua"/>
          <w:b/>
          <w:bCs/>
          <w:noProof/>
          <w:color w:val="000000"/>
          <w:lang w:eastAsia="zh-CN"/>
        </w:rPr>
        <w:drawing>
          <wp:inline distT="0" distB="0" distL="0" distR="0" wp14:anchorId="00479C8D" wp14:editId="564D868B">
            <wp:extent cx="2922935" cy="269427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2922935" cy="2694272"/>
                    </a:xfrm>
                    <a:prstGeom prst="rect">
                      <a:avLst/>
                    </a:prstGeom>
                  </pic:spPr>
                </pic:pic>
              </a:graphicData>
            </a:graphic>
          </wp:inline>
        </w:drawing>
      </w:r>
    </w:p>
    <w:p w:rsidR="003901BB" w:rsidRPr="003901BB" w:rsidRDefault="003901BB">
      <w:pPr>
        <w:spacing w:line="360" w:lineRule="auto"/>
        <w:jc w:val="both"/>
        <w:rPr>
          <w:rFonts w:ascii="Book Antiqua" w:hAnsi="Book Antiqua" w:cs="Book Antiqua"/>
          <w:bCs/>
          <w:color w:val="000000"/>
          <w:lang w:eastAsia="zh-CN"/>
        </w:rPr>
      </w:pPr>
      <w:r w:rsidRPr="003901BB">
        <w:rPr>
          <w:rFonts w:ascii="Book Antiqua" w:hAnsi="Book Antiqua" w:cs="Book Antiqua" w:hint="eastAsia"/>
          <w:bCs/>
          <w:color w:val="000000"/>
          <w:lang w:eastAsia="zh-CN"/>
        </w:rPr>
        <w:t>A                                                                     B</w:t>
      </w:r>
    </w:p>
    <w:p w:rsidR="003901BB" w:rsidRDefault="003901BB">
      <w:pPr>
        <w:spacing w:line="360" w:lineRule="auto"/>
        <w:jc w:val="both"/>
        <w:rPr>
          <w:lang w:eastAsia="zh-CN"/>
        </w:rPr>
      </w:pPr>
      <w:r w:rsidRPr="003901BB">
        <w:rPr>
          <w:noProof/>
          <w:lang w:eastAsia="zh-CN"/>
        </w:rPr>
        <w:drawing>
          <wp:inline distT="0" distB="0" distL="0" distR="0" wp14:anchorId="0A0792F0" wp14:editId="5F9CC8AB">
            <wp:extent cx="2780460" cy="2608028"/>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2785020" cy="2612305"/>
                    </a:xfrm>
                    <a:prstGeom prst="rect">
                      <a:avLst/>
                    </a:prstGeom>
                  </pic:spPr>
                </pic:pic>
              </a:graphicData>
            </a:graphic>
          </wp:inline>
        </w:drawing>
      </w:r>
      <w:r>
        <w:rPr>
          <w:rFonts w:hint="eastAsia"/>
          <w:lang w:eastAsia="zh-CN"/>
        </w:rPr>
        <w:t xml:space="preserve"> </w:t>
      </w:r>
      <w:r w:rsidRPr="003901BB">
        <w:rPr>
          <w:noProof/>
          <w:lang w:eastAsia="zh-CN"/>
        </w:rPr>
        <w:drawing>
          <wp:inline distT="0" distB="0" distL="0" distR="0" wp14:anchorId="65208149" wp14:editId="2B0CBDD7">
            <wp:extent cx="2750314" cy="26159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752407" cy="2617970"/>
                    </a:xfrm>
                    <a:prstGeom prst="rect">
                      <a:avLst/>
                    </a:prstGeom>
                  </pic:spPr>
                </pic:pic>
              </a:graphicData>
            </a:graphic>
          </wp:inline>
        </w:drawing>
      </w:r>
    </w:p>
    <w:p w:rsidR="003901BB" w:rsidRDefault="003901BB">
      <w:pPr>
        <w:spacing w:line="360" w:lineRule="auto"/>
        <w:jc w:val="both"/>
        <w:rPr>
          <w:lang w:eastAsia="zh-CN"/>
        </w:rPr>
      </w:pPr>
      <w:r>
        <w:rPr>
          <w:rFonts w:hint="eastAsia"/>
          <w:lang w:eastAsia="zh-CN"/>
        </w:rPr>
        <w:t>C                                                                      D</w:t>
      </w:r>
    </w:p>
    <w:p w:rsidR="003901BB" w:rsidRDefault="003901BB">
      <w:pPr>
        <w:spacing w:line="360" w:lineRule="auto"/>
        <w:jc w:val="both"/>
        <w:rPr>
          <w:lang w:eastAsia="zh-CN"/>
        </w:rPr>
      </w:pPr>
      <w:r w:rsidRPr="003901BB">
        <w:rPr>
          <w:noProof/>
          <w:lang w:eastAsia="zh-CN"/>
        </w:rPr>
        <w:lastRenderedPageBreak/>
        <w:drawing>
          <wp:inline distT="0" distB="0" distL="0" distR="0" wp14:anchorId="73B6BC6B" wp14:editId="44673DB2">
            <wp:extent cx="2717624" cy="278295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723393" cy="2788865"/>
                    </a:xfrm>
                    <a:prstGeom prst="rect">
                      <a:avLst/>
                    </a:prstGeom>
                  </pic:spPr>
                </pic:pic>
              </a:graphicData>
            </a:graphic>
          </wp:inline>
        </w:drawing>
      </w:r>
    </w:p>
    <w:p w:rsidR="003901BB" w:rsidRPr="003901BB" w:rsidRDefault="003901BB">
      <w:pPr>
        <w:spacing w:line="360" w:lineRule="auto"/>
        <w:jc w:val="both"/>
        <w:rPr>
          <w:lang w:eastAsia="zh-CN"/>
        </w:rPr>
      </w:pPr>
      <w:r>
        <w:rPr>
          <w:rFonts w:hint="eastAsia"/>
          <w:lang w:eastAsia="zh-CN"/>
        </w:rPr>
        <w:t>E</w:t>
      </w:r>
    </w:p>
    <w:p w:rsidR="00A77B3E" w:rsidRDefault="003924A0">
      <w:pPr>
        <w:spacing w:line="360" w:lineRule="auto"/>
        <w:jc w:val="both"/>
      </w:pPr>
      <w:r>
        <w:rPr>
          <w:rFonts w:ascii="Book Antiqua" w:eastAsia="Book Antiqua" w:hAnsi="Book Antiqua" w:cs="Book Antiqua"/>
          <w:b/>
          <w:bCs/>
          <w:color w:val="000000"/>
        </w:rPr>
        <w:t>Figure 2 Histology confirmed a lipoma.</w:t>
      </w:r>
      <w:r>
        <w:rPr>
          <w:rFonts w:ascii="Book Antiqua" w:eastAsia="Book Antiqua" w:hAnsi="Book Antiqua" w:cs="Book Antiqua"/>
          <w:color w:val="000000"/>
        </w:rPr>
        <w:t xml:space="preserve"> Tunnel biopsy in a small, sub-</w:t>
      </w:r>
      <w:proofErr w:type="spellStart"/>
      <w:r>
        <w:rPr>
          <w:rFonts w:ascii="Book Antiqua" w:eastAsia="Book Antiqua" w:hAnsi="Book Antiqua" w:cs="Book Antiqua"/>
          <w:color w:val="000000"/>
        </w:rPr>
        <w:t>centimetre</w:t>
      </w:r>
      <w:proofErr w:type="spellEnd"/>
      <w:r>
        <w:rPr>
          <w:rFonts w:ascii="Book Antiqua" w:eastAsia="Book Antiqua" w:hAnsi="Book Antiqua" w:cs="Book Antiqua"/>
          <w:color w:val="000000"/>
        </w:rPr>
        <w:t xml:space="preserve"> sized </w:t>
      </w:r>
      <w:proofErr w:type="spellStart"/>
      <w:r>
        <w:rPr>
          <w:rFonts w:ascii="Book Antiqua" w:eastAsia="Book Antiqua" w:hAnsi="Book Antiqua" w:cs="Book Antiqua"/>
          <w:color w:val="000000"/>
        </w:rPr>
        <w:t>prepyloric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 (</w:t>
      </w:r>
      <w:r>
        <w:rPr>
          <w:rFonts w:ascii="Book Antiqua" w:eastAsia="Book Antiqua" w:hAnsi="Book Antiqua" w:cs="Book Antiqua"/>
          <w:caps/>
          <w:color w:val="000000"/>
        </w:rPr>
        <w:t>a</w:t>
      </w:r>
      <w:r>
        <w:rPr>
          <w:rFonts w:ascii="Book Antiqua" w:eastAsia="Book Antiqua" w:hAnsi="Book Antiqua" w:cs="Book Antiqua"/>
          <w:color w:val="000000"/>
        </w:rPr>
        <w:t>) revealed a yellowish mass (</w:t>
      </w:r>
      <w:r>
        <w:rPr>
          <w:rFonts w:ascii="Book Antiqua" w:eastAsia="Book Antiqua" w:hAnsi="Book Antiqua" w:cs="Book Antiqua"/>
          <w:caps/>
          <w:color w:val="000000"/>
        </w:rPr>
        <w:t>b</w:t>
      </w:r>
      <w:r>
        <w:rPr>
          <w:rFonts w:ascii="Book Antiqua" w:eastAsia="Book Antiqua" w:hAnsi="Book Antiqua" w:cs="Book Antiqua"/>
          <w:color w:val="000000"/>
        </w:rPr>
        <w:t>) that popped out after de-roofing the overlaying mucosa by repeated tunnel biopsy (</w:t>
      </w:r>
      <w:r>
        <w:rPr>
          <w:rFonts w:ascii="Book Antiqua" w:eastAsia="Book Antiqua" w:hAnsi="Book Antiqua" w:cs="Book Antiqua"/>
          <w:caps/>
          <w:color w:val="000000"/>
        </w:rPr>
        <w:t>c</w:t>
      </w:r>
      <w:r>
        <w:rPr>
          <w:rFonts w:ascii="Book Antiqua" w:eastAsia="Book Antiqua" w:hAnsi="Book Antiqua" w:cs="Book Antiqua"/>
          <w:color w:val="000000"/>
        </w:rPr>
        <w:t>). It could be completely extracted by forceps biopsy (</w:t>
      </w:r>
      <w:r>
        <w:rPr>
          <w:rFonts w:ascii="Book Antiqua" w:eastAsia="Book Antiqua" w:hAnsi="Book Antiqua" w:cs="Book Antiqua"/>
          <w:caps/>
          <w:color w:val="000000"/>
        </w:rPr>
        <w:t>d</w:t>
      </w:r>
      <w:r>
        <w:rPr>
          <w:rFonts w:ascii="Book Antiqua" w:eastAsia="Book Antiqua" w:hAnsi="Book Antiqua" w:cs="Book Antiqua"/>
          <w:color w:val="000000"/>
        </w:rPr>
        <w:t>) and the mucosal defect w</w:t>
      </w:r>
      <w:bookmarkStart w:id="2" w:name="_GoBack"/>
      <w:bookmarkEnd w:id="2"/>
      <w:r>
        <w:rPr>
          <w:rFonts w:ascii="Book Antiqua" w:eastAsia="Book Antiqua" w:hAnsi="Book Antiqua" w:cs="Book Antiqua"/>
          <w:color w:val="000000"/>
        </w:rPr>
        <w:t>as closed using clips (</w:t>
      </w:r>
      <w:r>
        <w:rPr>
          <w:rFonts w:ascii="Book Antiqua" w:eastAsia="Book Antiqua" w:hAnsi="Book Antiqua" w:cs="Book Antiqua"/>
          <w:caps/>
          <w:color w:val="000000"/>
        </w:rPr>
        <w:t>e</w:t>
      </w:r>
      <w:r>
        <w:rPr>
          <w:rFonts w:ascii="Book Antiqua" w:eastAsia="Book Antiqua" w:hAnsi="Book Antiqua" w:cs="Book Antiqua"/>
          <w:color w:val="000000"/>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257" w:rsidRDefault="00664257" w:rsidP="003901BB">
      <w:r>
        <w:separator/>
      </w:r>
    </w:p>
  </w:endnote>
  <w:endnote w:type="continuationSeparator" w:id="0">
    <w:p w:rsidR="00664257" w:rsidRDefault="00664257" w:rsidP="00390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262920"/>
      <w:docPartObj>
        <w:docPartGallery w:val="Page Numbers (Bottom of Page)"/>
        <w:docPartUnique/>
      </w:docPartObj>
    </w:sdtPr>
    <w:sdtEndPr/>
    <w:sdtContent>
      <w:sdt>
        <w:sdtPr>
          <w:id w:val="98381352"/>
          <w:docPartObj>
            <w:docPartGallery w:val="Page Numbers (Top of Page)"/>
            <w:docPartUnique/>
          </w:docPartObj>
        </w:sdtPr>
        <w:sdtEndPr/>
        <w:sdtContent>
          <w:p w:rsidR="003901BB" w:rsidRDefault="003901BB" w:rsidP="003901BB">
            <w:pPr>
              <w:pStyle w:val="a5"/>
              <w:jc w:val="right"/>
            </w:pPr>
            <w:r w:rsidRPr="003901BB">
              <w:rPr>
                <w:rFonts w:ascii="Book Antiqua" w:hAnsi="Book Antiqua"/>
                <w:sz w:val="24"/>
                <w:szCs w:val="24"/>
                <w:lang w:val="zh-CN" w:eastAsia="zh-CN"/>
              </w:rPr>
              <w:t xml:space="preserve"> </w:t>
            </w:r>
            <w:r w:rsidRPr="003901BB">
              <w:rPr>
                <w:rFonts w:ascii="Book Antiqua" w:hAnsi="Book Antiqua"/>
                <w:b/>
                <w:bCs/>
                <w:sz w:val="24"/>
                <w:szCs w:val="24"/>
              </w:rPr>
              <w:fldChar w:fldCharType="begin"/>
            </w:r>
            <w:r w:rsidRPr="003901BB">
              <w:rPr>
                <w:rFonts w:ascii="Book Antiqua" w:hAnsi="Book Antiqua"/>
                <w:b/>
                <w:bCs/>
                <w:sz w:val="24"/>
                <w:szCs w:val="24"/>
              </w:rPr>
              <w:instrText>PAGE</w:instrText>
            </w:r>
            <w:r w:rsidRPr="003901BB">
              <w:rPr>
                <w:rFonts w:ascii="Book Antiqua" w:hAnsi="Book Antiqua"/>
                <w:b/>
                <w:bCs/>
                <w:sz w:val="24"/>
                <w:szCs w:val="24"/>
              </w:rPr>
              <w:fldChar w:fldCharType="separate"/>
            </w:r>
            <w:r w:rsidR="00C0767A">
              <w:rPr>
                <w:rFonts w:ascii="Book Antiqua" w:hAnsi="Book Antiqua"/>
                <w:b/>
                <w:bCs/>
                <w:noProof/>
                <w:sz w:val="24"/>
                <w:szCs w:val="24"/>
              </w:rPr>
              <w:t>19</w:t>
            </w:r>
            <w:r w:rsidRPr="003901BB">
              <w:rPr>
                <w:rFonts w:ascii="Book Antiqua" w:hAnsi="Book Antiqua"/>
                <w:b/>
                <w:bCs/>
                <w:sz w:val="24"/>
                <w:szCs w:val="24"/>
              </w:rPr>
              <w:fldChar w:fldCharType="end"/>
            </w:r>
            <w:r w:rsidRPr="003901BB">
              <w:rPr>
                <w:rFonts w:ascii="Book Antiqua" w:hAnsi="Book Antiqua"/>
                <w:sz w:val="24"/>
                <w:szCs w:val="24"/>
                <w:lang w:val="zh-CN" w:eastAsia="zh-CN"/>
              </w:rPr>
              <w:t xml:space="preserve"> / </w:t>
            </w:r>
            <w:r w:rsidRPr="003901BB">
              <w:rPr>
                <w:rFonts w:ascii="Book Antiqua" w:hAnsi="Book Antiqua"/>
                <w:b/>
                <w:bCs/>
                <w:sz w:val="24"/>
                <w:szCs w:val="24"/>
              </w:rPr>
              <w:fldChar w:fldCharType="begin"/>
            </w:r>
            <w:r w:rsidRPr="003901BB">
              <w:rPr>
                <w:rFonts w:ascii="Book Antiqua" w:hAnsi="Book Antiqua"/>
                <w:b/>
                <w:bCs/>
                <w:sz w:val="24"/>
                <w:szCs w:val="24"/>
              </w:rPr>
              <w:instrText>NUMPAGES</w:instrText>
            </w:r>
            <w:r w:rsidRPr="003901BB">
              <w:rPr>
                <w:rFonts w:ascii="Book Antiqua" w:hAnsi="Book Antiqua"/>
                <w:b/>
                <w:bCs/>
                <w:sz w:val="24"/>
                <w:szCs w:val="24"/>
              </w:rPr>
              <w:fldChar w:fldCharType="separate"/>
            </w:r>
            <w:r w:rsidR="00C0767A">
              <w:rPr>
                <w:rFonts w:ascii="Book Antiqua" w:hAnsi="Book Antiqua"/>
                <w:b/>
                <w:bCs/>
                <w:noProof/>
                <w:sz w:val="24"/>
                <w:szCs w:val="24"/>
              </w:rPr>
              <w:t>20</w:t>
            </w:r>
            <w:r w:rsidRPr="003901BB">
              <w:rPr>
                <w:rFonts w:ascii="Book Antiqua" w:hAnsi="Book Antiqua"/>
                <w:b/>
                <w:bCs/>
                <w:sz w:val="24"/>
                <w:szCs w:val="24"/>
              </w:rPr>
              <w:fldChar w:fldCharType="end"/>
            </w:r>
          </w:p>
        </w:sdtContent>
      </w:sdt>
    </w:sdtContent>
  </w:sdt>
  <w:p w:rsidR="003901BB" w:rsidRDefault="003901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257" w:rsidRDefault="00664257" w:rsidP="003901BB">
      <w:r>
        <w:separator/>
      </w:r>
    </w:p>
  </w:footnote>
  <w:footnote w:type="continuationSeparator" w:id="0">
    <w:p w:rsidR="00664257" w:rsidRDefault="00664257" w:rsidP="003901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90AC3"/>
    <w:rsid w:val="00285B6E"/>
    <w:rsid w:val="003901BB"/>
    <w:rsid w:val="003924A0"/>
    <w:rsid w:val="00664257"/>
    <w:rsid w:val="007A04BE"/>
    <w:rsid w:val="009D375B"/>
    <w:rsid w:val="00A77B3E"/>
    <w:rsid w:val="00C0767A"/>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A1505BD-92F9-4089-90AC-B043258E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901BB"/>
    <w:rPr>
      <w:sz w:val="18"/>
      <w:szCs w:val="18"/>
    </w:rPr>
  </w:style>
  <w:style w:type="character" w:customStyle="1" w:styleId="Char">
    <w:name w:val="批注框文本 Char"/>
    <w:basedOn w:val="a0"/>
    <w:link w:val="a3"/>
    <w:rsid w:val="003901BB"/>
    <w:rPr>
      <w:sz w:val="18"/>
      <w:szCs w:val="18"/>
    </w:rPr>
  </w:style>
  <w:style w:type="paragraph" w:styleId="a4">
    <w:name w:val="header"/>
    <w:basedOn w:val="a"/>
    <w:link w:val="Char0"/>
    <w:rsid w:val="003901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901BB"/>
    <w:rPr>
      <w:sz w:val="18"/>
      <w:szCs w:val="18"/>
    </w:rPr>
  </w:style>
  <w:style w:type="paragraph" w:styleId="a5">
    <w:name w:val="footer"/>
    <w:basedOn w:val="a"/>
    <w:link w:val="Char1"/>
    <w:uiPriority w:val="99"/>
    <w:rsid w:val="003901BB"/>
    <w:pPr>
      <w:tabs>
        <w:tab w:val="center" w:pos="4153"/>
        <w:tab w:val="right" w:pos="8306"/>
      </w:tabs>
      <w:snapToGrid w:val="0"/>
    </w:pPr>
    <w:rPr>
      <w:sz w:val="18"/>
      <w:szCs w:val="18"/>
    </w:rPr>
  </w:style>
  <w:style w:type="character" w:customStyle="1" w:styleId="Char1">
    <w:name w:val="页脚 Char"/>
    <w:basedOn w:val="a0"/>
    <w:link w:val="a5"/>
    <w:uiPriority w:val="99"/>
    <w:rsid w:val="003901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4119</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2021-05-17T13:15:00Z</dcterms:created>
  <dcterms:modified xsi:type="dcterms:W3CDTF">2021-05-26T04:11:00Z</dcterms:modified>
</cp:coreProperties>
</file>