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E0D8"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 xml:space="preserve">Name of Journal: </w:t>
      </w:r>
      <w:r w:rsidRPr="00DC00DE">
        <w:rPr>
          <w:rFonts w:ascii="Book Antiqua" w:eastAsia="Book Antiqua" w:hAnsi="Book Antiqua" w:cs="Book Antiqua"/>
          <w:i/>
          <w:color w:val="000000"/>
        </w:rPr>
        <w:t>World Journal of Clinical Cases</w:t>
      </w:r>
    </w:p>
    <w:p w14:paraId="607193A9"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 xml:space="preserve">Manuscript NO: </w:t>
      </w:r>
      <w:r w:rsidRPr="00DC00DE">
        <w:rPr>
          <w:rFonts w:ascii="Book Antiqua" w:eastAsia="Book Antiqua" w:hAnsi="Book Antiqua" w:cs="Book Antiqua"/>
          <w:color w:val="000000"/>
        </w:rPr>
        <w:t>62503</w:t>
      </w:r>
    </w:p>
    <w:p w14:paraId="003AA865"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 xml:space="preserve">Manuscript Type: </w:t>
      </w:r>
      <w:r w:rsidRPr="00DC00DE">
        <w:rPr>
          <w:rFonts w:ascii="Book Antiqua" w:eastAsia="Book Antiqua" w:hAnsi="Book Antiqua" w:cs="Book Antiqua"/>
          <w:color w:val="000000"/>
        </w:rPr>
        <w:t>CASE REPORT</w:t>
      </w:r>
    </w:p>
    <w:p w14:paraId="655AD0AE" w14:textId="77777777" w:rsidR="00A77B3E" w:rsidRPr="00DC00DE" w:rsidRDefault="00A77B3E" w:rsidP="00A96959">
      <w:pPr>
        <w:spacing w:line="360" w:lineRule="auto"/>
        <w:jc w:val="both"/>
        <w:rPr>
          <w:rFonts w:ascii="Book Antiqua" w:hAnsi="Book Antiqua"/>
        </w:rPr>
      </w:pPr>
    </w:p>
    <w:p w14:paraId="68048092"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Octreotide-induced acute life-threatening gallstones after vicarious contrast medium excretion: A case report</w:t>
      </w:r>
    </w:p>
    <w:p w14:paraId="0FC555B5" w14:textId="77777777" w:rsidR="00A77B3E" w:rsidRPr="00DC00DE" w:rsidRDefault="00A77B3E" w:rsidP="00A96959">
      <w:pPr>
        <w:spacing w:line="360" w:lineRule="auto"/>
        <w:jc w:val="both"/>
        <w:rPr>
          <w:rFonts w:ascii="Book Antiqua" w:hAnsi="Book Antiqua"/>
        </w:rPr>
      </w:pPr>
    </w:p>
    <w:p w14:paraId="2075AD1D" w14:textId="77777777" w:rsidR="00A77B3E" w:rsidRPr="00DC00DE" w:rsidRDefault="003E2788" w:rsidP="00A96959">
      <w:pPr>
        <w:spacing w:line="360" w:lineRule="auto"/>
        <w:jc w:val="both"/>
        <w:rPr>
          <w:rFonts w:ascii="Book Antiqua" w:hAnsi="Book Antiqua"/>
          <w:lang w:eastAsia="zh-CN"/>
        </w:rPr>
      </w:pPr>
      <w:r w:rsidRPr="00DC00DE">
        <w:rPr>
          <w:rFonts w:ascii="Book Antiqua" w:eastAsia="Book Antiqua" w:hAnsi="Book Antiqua" w:cs="Book Antiqua"/>
          <w:color w:val="000000"/>
        </w:rPr>
        <w:t xml:space="preserve">Han </w:t>
      </w:r>
      <w:r w:rsidRPr="00DC00DE">
        <w:rPr>
          <w:rFonts w:ascii="Book Antiqua" w:hAnsi="Book Antiqua" w:cs="Book Antiqua" w:hint="eastAsia"/>
          <w:color w:val="000000"/>
          <w:lang w:eastAsia="zh-CN"/>
        </w:rPr>
        <w:t xml:space="preserve">ZH </w:t>
      </w:r>
      <w:r w:rsidRPr="00DC00DE">
        <w:rPr>
          <w:rFonts w:ascii="Book Antiqua" w:hAnsi="Book Antiqua" w:cs="Book Antiqua" w:hint="eastAsia"/>
          <w:i/>
          <w:color w:val="000000"/>
          <w:lang w:eastAsia="zh-CN"/>
        </w:rPr>
        <w:t>et al</w:t>
      </w:r>
      <w:r w:rsidRPr="00DC00DE">
        <w:rPr>
          <w:rFonts w:ascii="Book Antiqua" w:hAnsi="Book Antiqua" w:cs="Book Antiqua" w:hint="eastAsia"/>
          <w:color w:val="000000"/>
          <w:lang w:eastAsia="zh-CN"/>
        </w:rPr>
        <w:t xml:space="preserve">. </w:t>
      </w:r>
      <w:r w:rsidR="001E078C" w:rsidRPr="00DC00DE">
        <w:rPr>
          <w:rFonts w:ascii="Book Antiqua" w:eastAsia="Book Antiqua" w:hAnsi="Book Antiqua" w:cs="Book Antiqua"/>
          <w:color w:val="000000"/>
        </w:rPr>
        <w:t xml:space="preserve">Octreotide-induced gallstones after </w:t>
      </w:r>
      <w:r w:rsidR="00524D14" w:rsidRPr="00DC00DE">
        <w:rPr>
          <w:rFonts w:ascii="Book Antiqua" w:hAnsi="Book Antiqua" w:cs="Book Antiqua" w:hint="eastAsia"/>
          <w:color w:val="000000"/>
          <w:lang w:eastAsia="zh-CN"/>
        </w:rPr>
        <w:t>VCME</w:t>
      </w:r>
    </w:p>
    <w:p w14:paraId="5D7EF964" w14:textId="77777777" w:rsidR="00A77B3E" w:rsidRPr="00DC00DE" w:rsidRDefault="00A77B3E" w:rsidP="00A96959">
      <w:pPr>
        <w:spacing w:line="360" w:lineRule="auto"/>
        <w:jc w:val="both"/>
        <w:rPr>
          <w:rFonts w:ascii="Book Antiqua" w:hAnsi="Book Antiqua"/>
        </w:rPr>
      </w:pPr>
    </w:p>
    <w:p w14:paraId="6B325295"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Zong</w:t>
      </w:r>
      <w:r w:rsidR="00524D14" w:rsidRPr="00DC00DE">
        <w:rPr>
          <w:rFonts w:ascii="Book Antiqua" w:hAnsi="Book Antiqua" w:cs="Book Antiqua" w:hint="eastAsia"/>
          <w:color w:val="000000"/>
          <w:lang w:eastAsia="zh-CN"/>
        </w:rPr>
        <w:t>-H</w:t>
      </w:r>
      <w:r w:rsidRPr="00DC00DE">
        <w:rPr>
          <w:rFonts w:ascii="Book Antiqua" w:eastAsia="Book Antiqua" w:hAnsi="Book Antiqua" w:cs="Book Antiqua"/>
          <w:color w:val="000000"/>
        </w:rPr>
        <w:t>ong Han, Zhong</w:t>
      </w:r>
      <w:r w:rsidR="00524D14" w:rsidRPr="00DC00DE">
        <w:rPr>
          <w:rFonts w:ascii="Book Antiqua" w:hAnsi="Book Antiqua" w:cs="Book Antiqua" w:hint="eastAsia"/>
          <w:color w:val="000000"/>
          <w:lang w:eastAsia="zh-CN"/>
        </w:rPr>
        <w:t>-M</w:t>
      </w:r>
      <w:r w:rsidRPr="00DC00DE">
        <w:rPr>
          <w:rFonts w:ascii="Book Antiqua" w:eastAsia="Book Antiqua" w:hAnsi="Book Antiqua" w:cs="Book Antiqua"/>
          <w:color w:val="000000"/>
        </w:rPr>
        <w:t>ing He, Wen</w:t>
      </w:r>
      <w:r w:rsidR="00524D14" w:rsidRPr="00DC00DE">
        <w:rPr>
          <w:rFonts w:ascii="Book Antiqua" w:hAnsi="Book Antiqua" w:cs="Book Antiqua" w:hint="eastAsia"/>
          <w:color w:val="000000"/>
          <w:lang w:eastAsia="zh-CN"/>
        </w:rPr>
        <w:t>-H</w:t>
      </w:r>
      <w:r w:rsidRPr="00DC00DE">
        <w:rPr>
          <w:rFonts w:ascii="Book Antiqua" w:eastAsia="Book Antiqua" w:hAnsi="Book Antiqua" w:cs="Book Antiqua"/>
          <w:color w:val="000000"/>
        </w:rPr>
        <w:t>ua Chen, Cao</w:t>
      </w:r>
      <w:r w:rsidR="00524D14" w:rsidRPr="00DC00DE">
        <w:rPr>
          <w:rFonts w:ascii="Book Antiqua" w:hAnsi="Book Antiqua" w:cs="Book Antiqua" w:hint="eastAsia"/>
          <w:color w:val="000000"/>
          <w:lang w:eastAsia="zh-CN"/>
        </w:rPr>
        <w:t>-Y</w:t>
      </w:r>
      <w:r w:rsidRPr="00DC00DE">
        <w:rPr>
          <w:rFonts w:ascii="Book Antiqua" w:eastAsia="Book Antiqua" w:hAnsi="Book Antiqua" w:cs="Book Antiqua"/>
          <w:color w:val="000000"/>
        </w:rPr>
        <w:t>e Wang, Qi Wang</w:t>
      </w:r>
    </w:p>
    <w:p w14:paraId="0497157E" w14:textId="77777777" w:rsidR="00A77B3E" w:rsidRPr="00DC00DE" w:rsidRDefault="00A77B3E" w:rsidP="00A96959">
      <w:pPr>
        <w:spacing w:line="360" w:lineRule="auto"/>
        <w:jc w:val="both"/>
        <w:rPr>
          <w:rFonts w:ascii="Book Antiqua" w:hAnsi="Book Antiqua"/>
        </w:rPr>
      </w:pPr>
    </w:p>
    <w:p w14:paraId="332043E3"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Zong</w:t>
      </w:r>
      <w:r w:rsidR="00524D14" w:rsidRPr="00DC00DE">
        <w:rPr>
          <w:rFonts w:ascii="Book Antiqua" w:hAnsi="Book Antiqua" w:cs="Book Antiqua" w:hint="eastAsia"/>
          <w:b/>
          <w:bCs/>
          <w:color w:val="000000"/>
          <w:lang w:eastAsia="zh-CN"/>
        </w:rPr>
        <w:t>-H</w:t>
      </w:r>
      <w:r w:rsidRPr="00DC00DE">
        <w:rPr>
          <w:rFonts w:ascii="Book Antiqua" w:eastAsia="Book Antiqua" w:hAnsi="Book Antiqua" w:cs="Book Antiqua"/>
          <w:b/>
          <w:bCs/>
          <w:color w:val="000000"/>
        </w:rPr>
        <w:t>ong Han, Zhong</w:t>
      </w:r>
      <w:r w:rsidR="00524D14" w:rsidRPr="00DC00DE">
        <w:rPr>
          <w:rFonts w:ascii="Book Antiqua" w:hAnsi="Book Antiqua" w:cs="Book Antiqua" w:hint="eastAsia"/>
          <w:b/>
          <w:bCs/>
          <w:color w:val="000000"/>
          <w:lang w:eastAsia="zh-CN"/>
        </w:rPr>
        <w:t>-M</w:t>
      </w:r>
      <w:r w:rsidRPr="00DC00DE">
        <w:rPr>
          <w:rFonts w:ascii="Book Antiqua" w:eastAsia="Book Antiqua" w:hAnsi="Book Antiqua" w:cs="Book Antiqua"/>
          <w:b/>
          <w:bCs/>
          <w:color w:val="000000"/>
        </w:rPr>
        <w:t>ing He, Wen</w:t>
      </w:r>
      <w:r w:rsidR="00524D14" w:rsidRPr="00DC00DE">
        <w:rPr>
          <w:rFonts w:ascii="Book Antiqua" w:hAnsi="Book Antiqua" w:cs="Book Antiqua" w:hint="eastAsia"/>
          <w:b/>
          <w:bCs/>
          <w:color w:val="000000"/>
          <w:lang w:eastAsia="zh-CN"/>
        </w:rPr>
        <w:t>-H</w:t>
      </w:r>
      <w:r w:rsidRPr="00DC00DE">
        <w:rPr>
          <w:rFonts w:ascii="Book Antiqua" w:eastAsia="Book Antiqua" w:hAnsi="Book Antiqua" w:cs="Book Antiqua"/>
          <w:b/>
          <w:bCs/>
          <w:color w:val="000000"/>
        </w:rPr>
        <w:t>ua Chen, Cao</w:t>
      </w:r>
      <w:r w:rsidR="00524D14" w:rsidRPr="00DC00DE">
        <w:rPr>
          <w:rFonts w:ascii="Book Antiqua" w:hAnsi="Book Antiqua" w:cs="Book Antiqua" w:hint="eastAsia"/>
          <w:b/>
          <w:bCs/>
          <w:color w:val="000000"/>
          <w:lang w:eastAsia="zh-CN"/>
        </w:rPr>
        <w:t>-Y</w:t>
      </w:r>
      <w:r w:rsidRPr="00DC00DE">
        <w:rPr>
          <w:rFonts w:ascii="Book Antiqua" w:eastAsia="Book Antiqua" w:hAnsi="Book Antiqua" w:cs="Book Antiqua"/>
          <w:b/>
          <w:bCs/>
          <w:color w:val="000000"/>
        </w:rPr>
        <w:t xml:space="preserve">e Wang, Qi Wang, </w:t>
      </w:r>
      <w:r w:rsidRPr="00DC00DE">
        <w:rPr>
          <w:rFonts w:ascii="Book Antiqua" w:eastAsia="Book Antiqua" w:hAnsi="Book Antiqua" w:cs="Book Antiqua"/>
          <w:color w:val="000000"/>
        </w:rPr>
        <w:t>Department of Interventional Radiology, The First People’s Hospital of Changzhou, Changzhou 213003, Jiangsu</w:t>
      </w:r>
      <w:r w:rsidR="00960F85" w:rsidRPr="00DC00DE">
        <w:rPr>
          <w:rFonts w:ascii="Book Antiqua" w:hAnsi="Book Antiqua" w:cs="Book Antiqua" w:hint="eastAsia"/>
          <w:color w:val="000000"/>
          <w:lang w:eastAsia="zh-CN"/>
        </w:rPr>
        <w:t xml:space="preserve"> Province</w:t>
      </w:r>
      <w:r w:rsidRPr="00DC00DE">
        <w:rPr>
          <w:rFonts w:ascii="Book Antiqua" w:eastAsia="Book Antiqua" w:hAnsi="Book Antiqua" w:cs="Book Antiqua"/>
          <w:color w:val="000000"/>
        </w:rPr>
        <w:t>, China</w:t>
      </w:r>
    </w:p>
    <w:p w14:paraId="77D92F62" w14:textId="77777777" w:rsidR="00A77B3E" w:rsidRPr="00DC00DE" w:rsidRDefault="00A77B3E" w:rsidP="00A96959">
      <w:pPr>
        <w:spacing w:line="360" w:lineRule="auto"/>
        <w:jc w:val="both"/>
        <w:rPr>
          <w:rFonts w:ascii="Book Antiqua" w:hAnsi="Book Antiqua"/>
        </w:rPr>
      </w:pPr>
    </w:p>
    <w:p w14:paraId="61FBAD39" w14:textId="3CE89D40"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Author contributions: </w:t>
      </w:r>
      <w:r w:rsidRPr="00DC00DE">
        <w:rPr>
          <w:rFonts w:ascii="Book Antiqua" w:eastAsia="Book Antiqua" w:hAnsi="Book Antiqua" w:cs="Book Antiqua"/>
          <w:color w:val="000000"/>
        </w:rPr>
        <w:t>Han ZH and Wang CY conceived and designed the research</w:t>
      </w:r>
      <w:r w:rsidR="00D624C1" w:rsidRPr="00DC00DE">
        <w:rPr>
          <w:rFonts w:ascii="Book Antiqua" w:hAnsi="Book Antiqua" w:cs="Book Antiqua" w:hint="eastAsia"/>
          <w:color w:val="000000"/>
          <w:lang w:eastAsia="zh-CN"/>
        </w:rPr>
        <w:t>;</w:t>
      </w:r>
      <w:r w:rsidRPr="00DC00DE">
        <w:rPr>
          <w:rFonts w:ascii="Book Antiqua" w:eastAsia="Book Antiqua" w:hAnsi="Book Antiqua" w:cs="Book Antiqua"/>
          <w:color w:val="000000"/>
        </w:rPr>
        <w:t xml:space="preserve"> He ZM and Chen WH acquired data</w:t>
      </w:r>
      <w:r w:rsidR="00D624C1" w:rsidRPr="00DC00DE">
        <w:rPr>
          <w:rFonts w:ascii="Book Antiqua" w:hAnsi="Book Antiqua" w:cs="Book Antiqua" w:hint="eastAsia"/>
          <w:color w:val="000000"/>
          <w:lang w:eastAsia="zh-CN"/>
        </w:rPr>
        <w:t>;</w:t>
      </w:r>
      <w:r w:rsidRPr="00DC00DE">
        <w:rPr>
          <w:rFonts w:ascii="Book Antiqua" w:eastAsia="Book Antiqua" w:hAnsi="Book Antiqua" w:cs="Book Antiqua"/>
          <w:color w:val="000000"/>
        </w:rPr>
        <w:t xml:space="preserve"> Han ZH and Wang Q prepared and revised the manuscript</w:t>
      </w:r>
      <w:r w:rsidR="00D624C1" w:rsidRPr="00DC00DE">
        <w:rPr>
          <w:rFonts w:ascii="Book Antiqua" w:hAnsi="Book Antiqua" w:cs="Book Antiqua" w:hint="eastAsia"/>
          <w:color w:val="000000"/>
          <w:lang w:eastAsia="zh-CN"/>
        </w:rPr>
        <w:t>;</w:t>
      </w:r>
      <w:r w:rsidRPr="00DC00DE">
        <w:rPr>
          <w:rFonts w:ascii="Book Antiqua" w:eastAsia="Book Antiqua" w:hAnsi="Book Antiqua" w:cs="Book Antiqua"/>
          <w:color w:val="000000"/>
        </w:rPr>
        <w:t xml:space="preserve"> Chen WH provided helpful suggestions about the study</w:t>
      </w:r>
      <w:r w:rsidR="00D624C1" w:rsidRPr="00DC00DE">
        <w:rPr>
          <w:rFonts w:ascii="Book Antiqua" w:hAnsi="Book Antiqua" w:cs="Book Antiqua" w:hint="eastAsia"/>
          <w:color w:val="000000"/>
          <w:lang w:eastAsia="zh-CN"/>
        </w:rPr>
        <w:t>;</w:t>
      </w:r>
      <w:r w:rsidRPr="00DC00DE">
        <w:rPr>
          <w:rFonts w:ascii="Book Antiqua" w:eastAsia="Book Antiqua" w:hAnsi="Book Antiqua" w:cs="Book Antiqua"/>
          <w:color w:val="000000"/>
        </w:rPr>
        <w:t xml:space="preserve"> </w:t>
      </w:r>
      <w:r w:rsidR="007E36E8" w:rsidRPr="00DC00DE">
        <w:rPr>
          <w:rFonts w:ascii="Book Antiqua" w:hAnsi="Book Antiqua" w:cs="Book Antiqua"/>
          <w:color w:val="000000"/>
          <w:lang w:eastAsia="zh-CN"/>
        </w:rPr>
        <w:t>A</w:t>
      </w:r>
      <w:r w:rsidRPr="00DC00DE">
        <w:rPr>
          <w:rFonts w:ascii="Book Antiqua" w:eastAsia="Book Antiqua" w:hAnsi="Book Antiqua" w:cs="Book Antiqua"/>
          <w:color w:val="000000"/>
        </w:rPr>
        <w:t>ll authors issued final approval of the version for submission.</w:t>
      </w:r>
    </w:p>
    <w:p w14:paraId="0F314FD5" w14:textId="77777777" w:rsidR="00A77B3E" w:rsidRPr="00DC00DE" w:rsidRDefault="00A77B3E" w:rsidP="00A96959">
      <w:pPr>
        <w:spacing w:line="360" w:lineRule="auto"/>
        <w:jc w:val="both"/>
        <w:rPr>
          <w:rFonts w:ascii="Book Antiqua" w:hAnsi="Book Antiqua"/>
        </w:rPr>
      </w:pPr>
    </w:p>
    <w:p w14:paraId="71D055F9"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Supported by </w:t>
      </w:r>
      <w:r w:rsidRPr="00DC00DE">
        <w:rPr>
          <w:rFonts w:ascii="Book Antiqua" w:eastAsia="Book Antiqua" w:hAnsi="Book Antiqua" w:cs="Book Antiqua"/>
          <w:color w:val="000000"/>
        </w:rPr>
        <w:t>the Changzhou Commission of Health, No. WZ201904.</w:t>
      </w:r>
    </w:p>
    <w:p w14:paraId="607F291E" w14:textId="77777777" w:rsidR="00A77B3E" w:rsidRPr="00DC00DE" w:rsidRDefault="00A77B3E" w:rsidP="00A96959">
      <w:pPr>
        <w:spacing w:line="360" w:lineRule="auto"/>
        <w:jc w:val="both"/>
        <w:rPr>
          <w:rFonts w:ascii="Book Antiqua" w:hAnsi="Book Antiqua"/>
        </w:rPr>
      </w:pPr>
    </w:p>
    <w:p w14:paraId="095940E3"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Corresponding author: Qi Wang, MD, Chief Doctor, </w:t>
      </w:r>
      <w:r w:rsidRPr="00DC00DE">
        <w:rPr>
          <w:rFonts w:ascii="Book Antiqua" w:eastAsia="Book Antiqua" w:hAnsi="Book Antiqua" w:cs="Book Antiqua"/>
          <w:color w:val="000000"/>
        </w:rPr>
        <w:t>Department of Interventional Radiology, The First Peop</w:t>
      </w:r>
      <w:r w:rsidR="002974A9" w:rsidRPr="00DC00DE">
        <w:rPr>
          <w:rFonts w:ascii="Book Antiqua" w:eastAsia="Book Antiqua" w:hAnsi="Book Antiqua" w:cs="Book Antiqua"/>
          <w:color w:val="000000"/>
        </w:rPr>
        <w:t xml:space="preserve">le’s Hospital of Changzhou, </w:t>
      </w:r>
      <w:r w:rsidR="002974A9" w:rsidRPr="00DC00DE">
        <w:rPr>
          <w:rFonts w:ascii="Book Antiqua" w:hAnsi="Book Antiqua" w:cs="Book Antiqua" w:hint="eastAsia"/>
          <w:color w:val="000000"/>
          <w:lang w:eastAsia="zh-CN"/>
        </w:rPr>
        <w:t xml:space="preserve">No. </w:t>
      </w:r>
      <w:r w:rsidR="002974A9" w:rsidRPr="00DC00DE">
        <w:rPr>
          <w:rFonts w:ascii="Book Antiqua" w:eastAsia="Book Antiqua" w:hAnsi="Book Antiqua" w:cs="Book Antiqua"/>
          <w:color w:val="000000"/>
        </w:rPr>
        <w:t>185</w:t>
      </w:r>
      <w:r w:rsidRPr="00DC00DE">
        <w:rPr>
          <w:rFonts w:ascii="Book Antiqua" w:eastAsia="Book Antiqua" w:hAnsi="Book Antiqua" w:cs="Book Antiqua"/>
          <w:color w:val="000000"/>
        </w:rPr>
        <w:t xml:space="preserve"> Juqian Street, Changzhou 213003, Jiangsu</w:t>
      </w:r>
      <w:r w:rsidR="002974A9" w:rsidRPr="00DC00DE">
        <w:rPr>
          <w:rFonts w:ascii="Book Antiqua" w:hAnsi="Book Antiqua" w:cs="Book Antiqua" w:hint="eastAsia"/>
          <w:color w:val="000000"/>
          <w:lang w:eastAsia="zh-CN"/>
        </w:rPr>
        <w:t xml:space="preserve"> Province</w:t>
      </w:r>
      <w:r w:rsidRPr="00DC00DE">
        <w:rPr>
          <w:rFonts w:ascii="Book Antiqua" w:eastAsia="Book Antiqua" w:hAnsi="Book Antiqua" w:cs="Book Antiqua"/>
          <w:color w:val="000000"/>
        </w:rPr>
        <w:t>, China. czwangqi666@sina.com</w:t>
      </w:r>
    </w:p>
    <w:p w14:paraId="401B07E7" w14:textId="77777777" w:rsidR="00A77B3E" w:rsidRPr="00DC00DE" w:rsidRDefault="00A77B3E" w:rsidP="00A96959">
      <w:pPr>
        <w:spacing w:line="360" w:lineRule="auto"/>
        <w:jc w:val="both"/>
        <w:rPr>
          <w:rFonts w:ascii="Book Antiqua" w:hAnsi="Book Antiqua"/>
        </w:rPr>
      </w:pPr>
    </w:p>
    <w:p w14:paraId="680AEEAD"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Received: </w:t>
      </w:r>
      <w:r w:rsidRPr="00DC00DE">
        <w:rPr>
          <w:rFonts w:ascii="Book Antiqua" w:eastAsia="Book Antiqua" w:hAnsi="Book Antiqua" w:cs="Book Antiqua"/>
          <w:color w:val="000000"/>
        </w:rPr>
        <w:t>January 16, 2021</w:t>
      </w:r>
    </w:p>
    <w:p w14:paraId="067340D0"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Revised: </w:t>
      </w:r>
      <w:r w:rsidRPr="00DC00DE">
        <w:rPr>
          <w:rFonts w:ascii="Book Antiqua" w:eastAsia="Book Antiqua" w:hAnsi="Book Antiqua" w:cs="Book Antiqua"/>
          <w:color w:val="000000"/>
        </w:rPr>
        <w:t>May 12, 2021</w:t>
      </w:r>
    </w:p>
    <w:p w14:paraId="0E8A1680" w14:textId="10EA7161"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Accepted: </w:t>
      </w:r>
      <w:bookmarkStart w:id="0" w:name="OLE_LINK15"/>
      <w:bookmarkStart w:id="1" w:name="OLE_LINK33"/>
      <w:bookmarkStart w:id="2" w:name="OLE_LINK48"/>
      <w:r w:rsidR="00B70B81" w:rsidRPr="00DC00DE">
        <w:rPr>
          <w:rFonts w:ascii="Book Antiqua" w:eastAsia="宋体" w:hAnsi="Book Antiqua"/>
          <w:color w:val="000000" w:themeColor="text1"/>
        </w:rPr>
        <w:t>J</w:t>
      </w:r>
      <w:r w:rsidR="00B70B81" w:rsidRPr="00DC00DE">
        <w:rPr>
          <w:rFonts w:ascii="Book Antiqua" w:eastAsia="宋体" w:hAnsi="Book Antiqua" w:hint="eastAsia"/>
          <w:color w:val="000000" w:themeColor="text1"/>
        </w:rPr>
        <w:t>u</w:t>
      </w:r>
      <w:r w:rsidR="00B70B81" w:rsidRPr="00DC00DE">
        <w:rPr>
          <w:rFonts w:ascii="Book Antiqua" w:eastAsia="宋体" w:hAnsi="Book Antiqua"/>
          <w:color w:val="000000" w:themeColor="text1"/>
        </w:rPr>
        <w:t>ly 16, 2021</w:t>
      </w:r>
      <w:bookmarkEnd w:id="0"/>
      <w:bookmarkEnd w:id="1"/>
      <w:bookmarkEnd w:id="2"/>
    </w:p>
    <w:p w14:paraId="784C2630" w14:textId="2D92F1F7" w:rsidR="00A77B3E" w:rsidRPr="00DC00DE" w:rsidRDefault="001E078C" w:rsidP="00181F86">
      <w:pPr>
        <w:spacing w:line="360" w:lineRule="auto"/>
        <w:rPr>
          <w:rFonts w:ascii="Book Antiqua" w:hAnsi="Book Antiqua"/>
        </w:rPr>
        <w:sectPr w:rsidR="00A77B3E" w:rsidRPr="00DC00DE">
          <w:footerReference w:type="default" r:id="rId7"/>
          <w:pgSz w:w="12240" w:h="15840"/>
          <w:pgMar w:top="1440" w:right="1440" w:bottom="1440" w:left="1440" w:header="720" w:footer="720" w:gutter="0"/>
          <w:cols w:space="720"/>
          <w:docGrid w:linePitch="360"/>
        </w:sectPr>
      </w:pPr>
      <w:r w:rsidRPr="00DC00DE">
        <w:rPr>
          <w:rFonts w:ascii="Book Antiqua" w:eastAsia="Book Antiqua" w:hAnsi="Book Antiqua" w:cs="Book Antiqua"/>
          <w:b/>
          <w:bCs/>
          <w:color w:val="000000"/>
        </w:rPr>
        <w:lastRenderedPageBreak/>
        <w:t xml:space="preserve">Published online: </w:t>
      </w:r>
      <w:r w:rsidR="00181F86" w:rsidRPr="00DC00DE">
        <w:rPr>
          <w:rFonts w:ascii="Book Antiqua" w:hAnsi="Book Antiqua" w:hint="eastAsia"/>
          <w:lang w:eastAsia="zh-CN"/>
        </w:rPr>
        <w:t>September 6, 2021</w:t>
      </w:r>
    </w:p>
    <w:p w14:paraId="1C61EFAF"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lastRenderedPageBreak/>
        <w:t>Abstract</w:t>
      </w:r>
    </w:p>
    <w:p w14:paraId="7434C3F2"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BACKGROUND</w:t>
      </w:r>
    </w:p>
    <w:p w14:paraId="274DFDAC" w14:textId="77A0C080"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Octreotide is widely used </w:t>
      </w:r>
      <w:r w:rsidR="007E36E8" w:rsidRPr="00DC00DE">
        <w:rPr>
          <w:rFonts w:ascii="Book Antiqua" w:eastAsia="Book Antiqua" w:hAnsi="Book Antiqua" w:cs="Book Antiqua"/>
          <w:color w:val="000000"/>
        </w:rPr>
        <w:t>for</w:t>
      </w:r>
      <w:r w:rsidRPr="00DC00DE">
        <w:rPr>
          <w:rFonts w:ascii="Book Antiqua" w:eastAsia="Book Antiqua" w:hAnsi="Book Antiqua" w:cs="Book Antiqua"/>
          <w:color w:val="000000"/>
        </w:rPr>
        <w:t xml:space="preserve"> the treatment of acromegaly, neuroendocrine tumors, and secretory diarrhea. However, long-term octreotide treatment can increase the incidence of gallstones. Vicarious contrast medium excretion</w:t>
      </w:r>
      <w:r w:rsidR="00524D14" w:rsidRPr="00DC00DE">
        <w:rPr>
          <w:rFonts w:ascii="Book Antiqua" w:hAnsi="Book Antiqua" w:cs="Book Antiqua" w:hint="eastAsia"/>
          <w:color w:val="000000"/>
          <w:lang w:eastAsia="zh-CN"/>
        </w:rPr>
        <w:t xml:space="preserve"> (</w:t>
      </w:r>
      <w:r w:rsidR="00524D14" w:rsidRPr="00DC00DE">
        <w:rPr>
          <w:rFonts w:ascii="Book Antiqua" w:eastAsia="Book Antiqua" w:hAnsi="Book Antiqua" w:cs="Book Antiqua"/>
          <w:color w:val="000000"/>
        </w:rPr>
        <w:t>VCME</w:t>
      </w:r>
      <w:r w:rsidR="00524D14" w:rsidRPr="00DC00DE">
        <w:rPr>
          <w:rFonts w:ascii="Book Antiqua" w:hAnsi="Book Antiqua" w:cs="Book Antiqua" w:hint="eastAsia"/>
          <w:color w:val="000000"/>
          <w:lang w:eastAsia="zh-CN"/>
        </w:rPr>
        <w:t>)</w:t>
      </w:r>
      <w:r w:rsidRPr="00DC00DE">
        <w:rPr>
          <w:rFonts w:ascii="Book Antiqua" w:eastAsia="Book Antiqua" w:hAnsi="Book Antiqua" w:cs="Book Antiqua"/>
          <w:color w:val="000000"/>
        </w:rPr>
        <w:t xml:space="preserve"> through the hepatobiliary system is well known. However, few studies have reported octreotide-induced acute gallstones following </w:t>
      </w:r>
      <w:r w:rsidR="00524D14" w:rsidRPr="00DC00DE">
        <w:rPr>
          <w:rFonts w:ascii="Book Antiqua" w:eastAsia="Book Antiqua" w:hAnsi="Book Antiqua" w:cs="Book Antiqua"/>
          <w:color w:val="000000"/>
        </w:rPr>
        <w:t>VCME</w:t>
      </w:r>
      <w:r w:rsidRPr="00DC00DE">
        <w:rPr>
          <w:rFonts w:ascii="Book Antiqua" w:eastAsia="Book Antiqua" w:hAnsi="Book Antiqua" w:cs="Book Antiqua"/>
          <w:color w:val="000000"/>
        </w:rPr>
        <w:t>.</w:t>
      </w:r>
    </w:p>
    <w:p w14:paraId="7609728B" w14:textId="77777777" w:rsidR="00A77B3E" w:rsidRPr="00DC00DE" w:rsidRDefault="00A77B3E" w:rsidP="00A96959">
      <w:pPr>
        <w:spacing w:line="360" w:lineRule="auto"/>
        <w:jc w:val="both"/>
        <w:rPr>
          <w:rFonts w:ascii="Book Antiqua" w:hAnsi="Book Antiqua"/>
        </w:rPr>
      </w:pPr>
    </w:p>
    <w:p w14:paraId="637C2E23"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CASE SUMMARY</w:t>
      </w:r>
    </w:p>
    <w:p w14:paraId="2E02E76E"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A 69-year-old man presented with left lower back pain and hematuria caused by a fall. The patient had a history of polycystic kidney disease. </w:t>
      </w:r>
      <w:r w:rsidR="00524D14" w:rsidRPr="00DC00DE">
        <w:rPr>
          <w:rFonts w:ascii="Book Antiqua" w:eastAsia="Book Antiqua" w:hAnsi="Book Antiqua" w:cs="Book Antiqua"/>
          <w:color w:val="000000"/>
        </w:rPr>
        <w:t>VCME</w:t>
      </w:r>
      <w:r w:rsidRPr="00DC00DE">
        <w:rPr>
          <w:rFonts w:ascii="Book Antiqua" w:eastAsia="Book Antiqua" w:hAnsi="Book Antiqua" w:cs="Book Antiqua"/>
          <w:color w:val="000000"/>
        </w:rPr>
        <w:t xml:space="preserve"> occurred following renal artery embolization for a ruptured polycystic kidney. After 5 d of treatment with octreotide, the patient developed acute gallstones and intrahepatic cholestasis which further induced pancreatitis and cholangitis. He was discharged after hemodialysis, antibiotics, and supportive treatments.</w:t>
      </w:r>
    </w:p>
    <w:p w14:paraId="40754452" w14:textId="77777777" w:rsidR="00A77B3E" w:rsidRPr="00DC00DE" w:rsidRDefault="00A77B3E" w:rsidP="00A96959">
      <w:pPr>
        <w:spacing w:line="360" w:lineRule="auto"/>
        <w:jc w:val="both"/>
        <w:rPr>
          <w:rFonts w:ascii="Book Antiqua" w:hAnsi="Book Antiqua"/>
        </w:rPr>
      </w:pPr>
    </w:p>
    <w:p w14:paraId="6DCAE410"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CONCLUSION</w:t>
      </w:r>
    </w:p>
    <w:p w14:paraId="1B9C37B2"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For patients with a high-risk of </w:t>
      </w:r>
      <w:r w:rsidR="00524D14" w:rsidRPr="00DC00DE">
        <w:rPr>
          <w:rFonts w:ascii="Book Antiqua" w:eastAsia="Book Antiqua" w:hAnsi="Book Antiqua" w:cs="Book Antiqua"/>
          <w:color w:val="000000"/>
        </w:rPr>
        <w:t>VCME</w:t>
      </w:r>
      <w:r w:rsidRPr="00DC00DE">
        <w:rPr>
          <w:rFonts w:ascii="Book Antiqua" w:eastAsia="Book Antiqua" w:hAnsi="Book Antiqua" w:cs="Book Antiqua"/>
          <w:color w:val="000000"/>
        </w:rPr>
        <w:t>, octreotide should be cautiously administered and carefully monitored.</w:t>
      </w:r>
    </w:p>
    <w:p w14:paraId="53116122" w14:textId="77777777" w:rsidR="00A77B3E" w:rsidRPr="00DC00DE" w:rsidRDefault="00A77B3E" w:rsidP="00A96959">
      <w:pPr>
        <w:spacing w:line="360" w:lineRule="auto"/>
        <w:jc w:val="both"/>
        <w:rPr>
          <w:rFonts w:ascii="Book Antiqua" w:hAnsi="Book Antiqua"/>
        </w:rPr>
      </w:pPr>
    </w:p>
    <w:p w14:paraId="5CC83B67"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Key Words: </w:t>
      </w:r>
      <w:r w:rsidRPr="00DC00DE">
        <w:rPr>
          <w:rFonts w:ascii="Book Antiqua" w:eastAsia="Book Antiqua" w:hAnsi="Book Antiqua" w:cs="Book Antiqua"/>
          <w:color w:val="000000"/>
        </w:rPr>
        <w:t>Octreotide; Gallstones; Contrast medium; Case report</w:t>
      </w:r>
    </w:p>
    <w:p w14:paraId="16731CFE" w14:textId="77777777" w:rsidR="00DC00DE" w:rsidRPr="00DC00DE" w:rsidRDefault="00DC00DE" w:rsidP="00DC00DE">
      <w:pPr>
        <w:spacing w:line="360" w:lineRule="auto"/>
        <w:rPr>
          <w:rFonts w:ascii="Book Antiqua" w:hAnsi="Book Antiqua" w:cs="Book Antiqua"/>
          <w:b/>
          <w:color w:val="000000"/>
        </w:rPr>
      </w:pPr>
    </w:p>
    <w:p w14:paraId="592C0B3F" w14:textId="77777777" w:rsidR="00DC00DE" w:rsidRPr="00DC00DE" w:rsidRDefault="00DC00DE" w:rsidP="00DC00DE">
      <w:pPr>
        <w:spacing w:line="360" w:lineRule="auto"/>
        <w:rPr>
          <w:rFonts w:ascii="Book Antiqua" w:eastAsia="Book Antiqua" w:hAnsi="Book Antiqua" w:cs="Book Antiqua"/>
          <w:color w:val="000000"/>
        </w:rPr>
      </w:pPr>
      <w:proofErr w:type="gramStart"/>
      <w:r w:rsidRPr="00DC00DE">
        <w:rPr>
          <w:rFonts w:ascii="Book Antiqua" w:eastAsia="Book Antiqua" w:hAnsi="Book Antiqua" w:cs="Book Antiqua"/>
          <w:b/>
          <w:color w:val="000000"/>
        </w:rPr>
        <w:t>©The</w:t>
      </w:r>
      <w:r w:rsidRPr="00DC00DE">
        <w:rPr>
          <w:rFonts w:ascii="Book Antiqua" w:eastAsia="Book Antiqua" w:hAnsi="Book Antiqua" w:cs="Book Antiqua"/>
          <w:color w:val="000000"/>
        </w:rPr>
        <w:t xml:space="preserve"> </w:t>
      </w:r>
      <w:r w:rsidRPr="00DC00DE">
        <w:rPr>
          <w:rFonts w:ascii="Book Antiqua" w:eastAsia="Book Antiqua" w:hAnsi="Book Antiqua" w:cs="Book Antiqua"/>
          <w:b/>
          <w:color w:val="000000"/>
        </w:rPr>
        <w:t>Author(s) 2021.</w:t>
      </w:r>
      <w:proofErr w:type="gramEnd"/>
      <w:r w:rsidRPr="00DC00DE">
        <w:rPr>
          <w:rFonts w:ascii="Book Antiqua" w:eastAsia="Book Antiqua" w:hAnsi="Book Antiqua" w:cs="Book Antiqua"/>
          <w:b/>
          <w:color w:val="000000"/>
        </w:rPr>
        <w:t xml:space="preserve"> </w:t>
      </w:r>
      <w:proofErr w:type="gramStart"/>
      <w:r w:rsidRPr="00DC00DE">
        <w:rPr>
          <w:rFonts w:ascii="Book Antiqua" w:eastAsia="Book Antiqua" w:hAnsi="Book Antiqua" w:cs="Book Antiqua"/>
          <w:color w:val="000000"/>
        </w:rPr>
        <w:t xml:space="preserve">Published by </w:t>
      </w:r>
      <w:proofErr w:type="spellStart"/>
      <w:r w:rsidRPr="00DC00DE">
        <w:rPr>
          <w:rFonts w:ascii="Book Antiqua" w:eastAsia="Book Antiqua" w:hAnsi="Book Antiqua" w:cs="Book Antiqua"/>
          <w:color w:val="000000"/>
        </w:rPr>
        <w:t>Baishideng</w:t>
      </w:r>
      <w:proofErr w:type="spellEnd"/>
      <w:r w:rsidRPr="00DC00DE">
        <w:rPr>
          <w:rFonts w:ascii="Book Antiqua" w:eastAsia="Book Antiqua" w:hAnsi="Book Antiqua" w:cs="Book Antiqua"/>
          <w:color w:val="000000"/>
        </w:rPr>
        <w:t xml:space="preserve"> Publishing Group Inc.</w:t>
      </w:r>
      <w:proofErr w:type="gramEnd"/>
      <w:r w:rsidRPr="00DC00DE">
        <w:rPr>
          <w:rFonts w:ascii="Book Antiqua" w:eastAsia="Book Antiqua" w:hAnsi="Book Antiqua" w:cs="Book Antiqua"/>
          <w:color w:val="000000"/>
        </w:rPr>
        <w:t xml:space="preserve"> All rights reserved. </w:t>
      </w:r>
    </w:p>
    <w:p w14:paraId="089BC765" w14:textId="77777777" w:rsidR="00A77B3E" w:rsidRPr="00DC00DE" w:rsidRDefault="00A77B3E" w:rsidP="00A96959">
      <w:pPr>
        <w:spacing w:line="360" w:lineRule="auto"/>
        <w:jc w:val="both"/>
        <w:rPr>
          <w:rFonts w:ascii="Book Antiqua" w:hAnsi="Book Antiqua"/>
        </w:rPr>
      </w:pPr>
    </w:p>
    <w:p w14:paraId="6EF9AC02" w14:textId="351F85D5" w:rsidR="006E570D" w:rsidRPr="00DC00DE" w:rsidRDefault="00DC00DE" w:rsidP="00A96959">
      <w:pPr>
        <w:spacing w:line="360" w:lineRule="auto"/>
        <w:jc w:val="both"/>
        <w:rPr>
          <w:rFonts w:ascii="Book Antiqua" w:hAnsi="Book Antiqua" w:cs="Book Antiqua" w:hint="eastAsia"/>
          <w:color w:val="000000"/>
          <w:lang w:eastAsia="zh-CN"/>
        </w:rPr>
      </w:pPr>
      <w:r w:rsidRPr="00DC00DE">
        <w:rPr>
          <w:rFonts w:ascii="Book Antiqua" w:eastAsia="Book Antiqua" w:hAnsi="Book Antiqua" w:cs="Book Antiqua"/>
          <w:b/>
          <w:color w:val="000000"/>
        </w:rPr>
        <w:t xml:space="preserve">Citation: </w:t>
      </w:r>
      <w:r w:rsidR="001E078C" w:rsidRPr="00DC00DE">
        <w:rPr>
          <w:rFonts w:ascii="Book Antiqua" w:eastAsia="Book Antiqua" w:hAnsi="Book Antiqua" w:cs="Book Antiqua"/>
          <w:color w:val="000000"/>
        </w:rPr>
        <w:t>Han Z</w:t>
      </w:r>
      <w:r w:rsidR="007972F7" w:rsidRPr="00DC00DE">
        <w:rPr>
          <w:rFonts w:ascii="Book Antiqua" w:hAnsi="Book Antiqua" w:cs="Book Antiqua" w:hint="eastAsia"/>
          <w:color w:val="000000"/>
          <w:lang w:eastAsia="zh-CN"/>
        </w:rPr>
        <w:t>H</w:t>
      </w:r>
      <w:r w:rsidR="001E078C" w:rsidRPr="00DC00DE">
        <w:rPr>
          <w:rFonts w:ascii="Book Antiqua" w:eastAsia="Book Antiqua" w:hAnsi="Book Antiqua" w:cs="Book Antiqua"/>
          <w:color w:val="000000"/>
        </w:rPr>
        <w:t>, He Z</w:t>
      </w:r>
      <w:r w:rsidR="007972F7" w:rsidRPr="00DC00DE">
        <w:rPr>
          <w:rFonts w:ascii="Book Antiqua" w:hAnsi="Book Antiqua" w:cs="Book Antiqua" w:hint="eastAsia"/>
          <w:color w:val="000000"/>
          <w:lang w:eastAsia="zh-CN"/>
        </w:rPr>
        <w:t>M</w:t>
      </w:r>
      <w:r w:rsidR="001E078C" w:rsidRPr="00DC00DE">
        <w:rPr>
          <w:rFonts w:ascii="Book Antiqua" w:eastAsia="Book Antiqua" w:hAnsi="Book Antiqua" w:cs="Book Antiqua"/>
          <w:color w:val="000000"/>
        </w:rPr>
        <w:t>, Chen W</w:t>
      </w:r>
      <w:r w:rsidR="007972F7" w:rsidRPr="00DC00DE">
        <w:rPr>
          <w:rFonts w:ascii="Book Antiqua" w:hAnsi="Book Antiqua" w:cs="Book Antiqua" w:hint="eastAsia"/>
          <w:color w:val="000000"/>
          <w:lang w:eastAsia="zh-CN"/>
        </w:rPr>
        <w:t>H</w:t>
      </w:r>
      <w:r w:rsidR="001E078C" w:rsidRPr="00DC00DE">
        <w:rPr>
          <w:rFonts w:ascii="Book Antiqua" w:eastAsia="Book Antiqua" w:hAnsi="Book Antiqua" w:cs="Book Antiqua"/>
          <w:color w:val="000000"/>
        </w:rPr>
        <w:t xml:space="preserve">, </w:t>
      </w:r>
      <w:proofErr w:type="gramStart"/>
      <w:r w:rsidR="001E078C" w:rsidRPr="00DC00DE">
        <w:rPr>
          <w:rFonts w:ascii="Book Antiqua" w:eastAsia="Book Antiqua" w:hAnsi="Book Antiqua" w:cs="Book Antiqua"/>
          <w:color w:val="000000"/>
        </w:rPr>
        <w:t>Wang</w:t>
      </w:r>
      <w:proofErr w:type="gramEnd"/>
      <w:r w:rsidR="001E078C" w:rsidRPr="00DC00DE">
        <w:rPr>
          <w:rFonts w:ascii="Book Antiqua" w:eastAsia="Book Antiqua" w:hAnsi="Book Antiqua" w:cs="Book Antiqua"/>
          <w:color w:val="000000"/>
        </w:rPr>
        <w:t xml:space="preserve"> C</w:t>
      </w:r>
      <w:r w:rsidR="007972F7" w:rsidRPr="00DC00DE">
        <w:rPr>
          <w:rFonts w:ascii="Book Antiqua" w:hAnsi="Book Antiqua" w:cs="Book Antiqua" w:hint="eastAsia"/>
          <w:color w:val="000000"/>
          <w:lang w:eastAsia="zh-CN"/>
        </w:rPr>
        <w:t>Y</w:t>
      </w:r>
      <w:r w:rsidR="001E078C" w:rsidRPr="00DC00DE">
        <w:rPr>
          <w:rFonts w:ascii="Book Antiqua" w:eastAsia="Book Antiqua" w:hAnsi="Book Antiqua" w:cs="Book Antiqua"/>
          <w:color w:val="000000"/>
        </w:rPr>
        <w:t xml:space="preserve">, Wang Q. Octreotide-induced acute life-threatening gallstones after vicarious contrast medium excretion: A case report. </w:t>
      </w:r>
      <w:r w:rsidR="001E078C" w:rsidRPr="00DC00DE">
        <w:rPr>
          <w:rFonts w:ascii="Book Antiqua" w:eastAsia="Book Antiqua" w:hAnsi="Book Antiqua" w:cs="Book Antiqua"/>
          <w:i/>
          <w:iCs/>
          <w:color w:val="000000"/>
        </w:rPr>
        <w:t xml:space="preserve">World J </w:t>
      </w:r>
      <w:proofErr w:type="spellStart"/>
      <w:r w:rsidR="001E078C" w:rsidRPr="00DC00DE">
        <w:rPr>
          <w:rFonts w:ascii="Book Antiqua" w:eastAsia="Book Antiqua" w:hAnsi="Book Antiqua" w:cs="Book Antiqua"/>
          <w:i/>
          <w:iCs/>
          <w:color w:val="000000"/>
        </w:rPr>
        <w:t>Clin</w:t>
      </w:r>
      <w:proofErr w:type="spellEnd"/>
      <w:r w:rsidR="001E078C" w:rsidRPr="00DC00DE">
        <w:rPr>
          <w:rFonts w:ascii="Book Antiqua" w:eastAsia="Book Antiqua" w:hAnsi="Book Antiqua" w:cs="Book Antiqua"/>
          <w:i/>
          <w:iCs/>
          <w:color w:val="000000"/>
        </w:rPr>
        <w:t xml:space="preserve"> Cases</w:t>
      </w:r>
      <w:r w:rsidR="001E078C" w:rsidRPr="00DC00DE">
        <w:rPr>
          <w:rFonts w:ascii="Book Antiqua" w:eastAsia="Book Antiqua" w:hAnsi="Book Antiqua" w:cs="Book Antiqua"/>
          <w:color w:val="000000"/>
        </w:rPr>
        <w:t xml:space="preserve"> 2021;</w:t>
      </w:r>
      <w:r w:rsidR="00E77111" w:rsidRPr="00DC00DE">
        <w:rPr>
          <w:rFonts w:ascii="Book Antiqua" w:eastAsia="Book Antiqua" w:hAnsi="Book Antiqua" w:cs="Book Antiqua"/>
          <w:color w:val="000000"/>
        </w:rPr>
        <w:t xml:space="preserve"> 9(25): </w:t>
      </w:r>
      <w:r w:rsidRPr="00DC00DE">
        <w:rPr>
          <w:rFonts w:ascii="Book Antiqua" w:hAnsi="Book Antiqua" w:cs="Book Antiqua" w:hint="eastAsia"/>
          <w:color w:val="000000"/>
          <w:lang w:eastAsia="zh-CN"/>
        </w:rPr>
        <w:t>7484-7489</w:t>
      </w:r>
      <w:r w:rsidR="00E77111" w:rsidRPr="00DC00DE">
        <w:rPr>
          <w:rFonts w:ascii="Book Antiqua" w:eastAsia="Book Antiqua" w:hAnsi="Book Antiqua" w:cs="Book Antiqua"/>
          <w:color w:val="000000"/>
        </w:rPr>
        <w:t xml:space="preserve">  </w:t>
      </w:r>
    </w:p>
    <w:p w14:paraId="3209475E" w14:textId="7F3E9692" w:rsidR="006E570D" w:rsidRPr="00DC00DE" w:rsidRDefault="00E77111" w:rsidP="00A96959">
      <w:pPr>
        <w:spacing w:line="360" w:lineRule="auto"/>
        <w:jc w:val="both"/>
        <w:rPr>
          <w:rFonts w:ascii="Book Antiqua" w:hAnsi="Book Antiqua" w:cs="Book Antiqua" w:hint="eastAsia"/>
          <w:color w:val="000000"/>
          <w:lang w:eastAsia="zh-CN"/>
        </w:rPr>
      </w:pPr>
      <w:r w:rsidRPr="00DC00DE">
        <w:rPr>
          <w:rFonts w:ascii="Book Antiqua" w:eastAsia="Book Antiqua" w:hAnsi="Book Antiqua" w:cs="Book Antiqua"/>
          <w:color w:val="000000"/>
        </w:rPr>
        <w:t>URL: https://www.wjgnet.com/2307-8960/full/v9/i25/</w:t>
      </w:r>
      <w:r w:rsidR="00DC00DE" w:rsidRPr="00DC00DE">
        <w:rPr>
          <w:rFonts w:ascii="Book Antiqua" w:hAnsi="Book Antiqua" w:cs="Book Antiqua" w:hint="eastAsia"/>
          <w:color w:val="000000"/>
          <w:lang w:eastAsia="zh-CN"/>
        </w:rPr>
        <w:t>7484</w:t>
      </w:r>
      <w:r w:rsidRPr="00DC00DE">
        <w:rPr>
          <w:rFonts w:ascii="Book Antiqua" w:eastAsia="Book Antiqua" w:hAnsi="Book Antiqua" w:cs="Book Antiqua"/>
          <w:color w:val="000000"/>
        </w:rPr>
        <w:t xml:space="preserve">.htm  </w:t>
      </w:r>
    </w:p>
    <w:p w14:paraId="5B3D3386" w14:textId="1236496B" w:rsidR="00A77B3E" w:rsidRPr="00DC00DE" w:rsidRDefault="00E77111" w:rsidP="00A96959">
      <w:pPr>
        <w:spacing w:line="360" w:lineRule="auto"/>
        <w:jc w:val="both"/>
        <w:rPr>
          <w:rFonts w:ascii="Book Antiqua" w:hAnsi="Book Antiqua"/>
        </w:rPr>
      </w:pPr>
      <w:r w:rsidRPr="00DC00DE">
        <w:rPr>
          <w:rFonts w:ascii="Book Antiqua" w:eastAsia="Book Antiqua" w:hAnsi="Book Antiqua" w:cs="Book Antiqua"/>
          <w:color w:val="000000"/>
        </w:rPr>
        <w:lastRenderedPageBreak/>
        <w:t>DOI: https://dx.doi.org/10.12998/wjcc.v9.i25.</w:t>
      </w:r>
      <w:r w:rsidR="00DC00DE" w:rsidRPr="00DC00DE">
        <w:rPr>
          <w:rFonts w:ascii="Book Antiqua" w:hAnsi="Book Antiqua" w:cs="Book Antiqua" w:hint="eastAsia"/>
          <w:color w:val="000000"/>
          <w:lang w:eastAsia="zh-CN"/>
        </w:rPr>
        <w:t>7484</w:t>
      </w:r>
    </w:p>
    <w:p w14:paraId="55EE809B" w14:textId="77777777" w:rsidR="00A77B3E" w:rsidRPr="00DC00DE" w:rsidRDefault="00A77B3E" w:rsidP="00A96959">
      <w:pPr>
        <w:spacing w:line="360" w:lineRule="auto"/>
        <w:jc w:val="both"/>
        <w:rPr>
          <w:rFonts w:ascii="Book Antiqua" w:hAnsi="Book Antiqua"/>
        </w:rPr>
      </w:pPr>
    </w:p>
    <w:p w14:paraId="39C8ADD9"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Core Tip: </w:t>
      </w:r>
      <w:r w:rsidR="00524D14" w:rsidRPr="00DC00DE">
        <w:rPr>
          <w:rFonts w:ascii="Book Antiqua" w:eastAsia="Book Antiqua" w:hAnsi="Book Antiqua" w:cs="Book Antiqua"/>
          <w:color w:val="000000"/>
        </w:rPr>
        <w:t xml:space="preserve">Vicarious </w:t>
      </w:r>
      <w:r w:rsidR="007972F7" w:rsidRPr="00DC00DE">
        <w:rPr>
          <w:rFonts w:ascii="Book Antiqua" w:hAnsi="Book Antiqua" w:cs="Book Antiqua" w:hint="eastAsia"/>
          <w:color w:val="000000"/>
          <w:lang w:eastAsia="zh-CN"/>
        </w:rPr>
        <w:t>c</w:t>
      </w:r>
      <w:r w:rsidR="007972F7" w:rsidRPr="00DC00DE">
        <w:rPr>
          <w:rFonts w:ascii="Book Antiqua" w:eastAsia="Book Antiqua" w:hAnsi="Book Antiqua" w:cs="Book Antiqua"/>
          <w:color w:val="000000"/>
        </w:rPr>
        <w:t>ontrast medium (CM)</w:t>
      </w:r>
      <w:r w:rsidR="00524D14" w:rsidRPr="00DC00DE">
        <w:rPr>
          <w:rFonts w:ascii="Book Antiqua" w:eastAsia="Book Antiqua" w:hAnsi="Book Antiqua" w:cs="Book Antiqua"/>
          <w:color w:val="000000"/>
        </w:rPr>
        <w:t xml:space="preserve"> excretion (VCME)</w:t>
      </w:r>
      <w:r w:rsidRPr="00DC00DE">
        <w:rPr>
          <w:rFonts w:ascii="Book Antiqua" w:eastAsia="Book Antiqua" w:hAnsi="Book Antiqua" w:cs="Book Antiqua"/>
          <w:color w:val="000000"/>
        </w:rPr>
        <w:t xml:space="preserve"> through the hepatobiliary system is well known. Long-term octreotide treatment can increase the incidence of gallstones. In this case, acute gallstones may have been induced by octreotide after </w:t>
      </w:r>
      <w:r w:rsidR="00524D14" w:rsidRPr="00DC00DE">
        <w:rPr>
          <w:rFonts w:ascii="Book Antiqua" w:eastAsia="Book Antiqua" w:hAnsi="Book Antiqua" w:cs="Book Antiqua"/>
          <w:color w:val="000000"/>
        </w:rPr>
        <w:t>VCME</w:t>
      </w:r>
      <w:r w:rsidRPr="00DC00DE">
        <w:rPr>
          <w:rFonts w:ascii="Book Antiqua" w:eastAsia="Book Antiqua" w:hAnsi="Book Antiqua" w:cs="Book Antiqua"/>
          <w:color w:val="000000"/>
        </w:rPr>
        <w:t xml:space="preserve"> through the hepatobiliary system. When the </w:t>
      </w:r>
      <w:r w:rsidR="007972F7" w:rsidRPr="00DC00DE">
        <w:rPr>
          <w:rFonts w:ascii="Book Antiqua" w:hAnsi="Book Antiqua" w:cs="Book Antiqua" w:hint="eastAsia"/>
          <w:color w:val="000000"/>
          <w:lang w:eastAsia="zh-CN"/>
        </w:rPr>
        <w:t>CM</w:t>
      </w:r>
      <w:r w:rsidRPr="00DC00DE">
        <w:rPr>
          <w:rFonts w:ascii="Book Antiqua" w:eastAsia="Book Antiqua" w:hAnsi="Book Antiqua" w:cs="Book Antiqua"/>
          <w:color w:val="000000"/>
        </w:rPr>
        <w:t xml:space="preserve"> was excreted into the hepatobiliary system, which was retained for a long time and concentrated by octreotide, it might change the physicochemical properties of bile and decreased nucleation time, finally resulting in the formation of acute gallstones.</w:t>
      </w:r>
    </w:p>
    <w:p w14:paraId="62C23B1E" w14:textId="77777777" w:rsidR="00A77B3E" w:rsidRPr="00DC00DE" w:rsidRDefault="00A77B3E" w:rsidP="00A96959">
      <w:pPr>
        <w:spacing w:line="360" w:lineRule="auto"/>
        <w:jc w:val="both"/>
        <w:rPr>
          <w:rFonts w:ascii="Book Antiqua" w:hAnsi="Book Antiqua"/>
        </w:rPr>
      </w:pPr>
    </w:p>
    <w:p w14:paraId="5062CD35" w14:textId="77777777" w:rsidR="00A77B3E" w:rsidRPr="00DC00DE" w:rsidRDefault="00524D14" w:rsidP="00A96959">
      <w:pPr>
        <w:spacing w:line="360" w:lineRule="auto"/>
        <w:jc w:val="both"/>
        <w:rPr>
          <w:rFonts w:ascii="Book Antiqua" w:hAnsi="Book Antiqua"/>
        </w:rPr>
      </w:pPr>
      <w:r w:rsidRPr="00DC00DE">
        <w:rPr>
          <w:rFonts w:ascii="Book Antiqua" w:eastAsia="Book Antiqua" w:hAnsi="Book Antiqua" w:cs="Book Antiqua"/>
          <w:b/>
          <w:caps/>
          <w:color w:val="000000"/>
          <w:u w:val="single"/>
        </w:rPr>
        <w:br w:type="page"/>
      </w:r>
      <w:r w:rsidR="001E078C" w:rsidRPr="00DC00DE">
        <w:rPr>
          <w:rFonts w:ascii="Book Antiqua" w:eastAsia="Book Antiqua" w:hAnsi="Book Antiqua" w:cs="Book Antiqua"/>
          <w:b/>
          <w:caps/>
          <w:color w:val="000000"/>
          <w:u w:val="single"/>
        </w:rPr>
        <w:lastRenderedPageBreak/>
        <w:t>INTRODUCTION</w:t>
      </w:r>
    </w:p>
    <w:p w14:paraId="270F6D4E" w14:textId="6D05E2C9" w:rsidR="007E36E8" w:rsidRPr="00DC00DE" w:rsidRDefault="001E078C" w:rsidP="00A96959">
      <w:pPr>
        <w:spacing w:line="360" w:lineRule="auto"/>
        <w:jc w:val="both"/>
        <w:rPr>
          <w:rFonts w:ascii="Book Antiqua" w:eastAsia="Book Antiqua" w:hAnsi="Book Antiqua" w:cs="Book Antiqua"/>
          <w:color w:val="000000"/>
        </w:rPr>
      </w:pPr>
      <w:r w:rsidRPr="00DC00DE">
        <w:rPr>
          <w:rFonts w:ascii="Book Antiqua" w:eastAsia="Book Antiqua" w:hAnsi="Book Antiqua" w:cs="Book Antiqua"/>
          <w:color w:val="000000"/>
        </w:rPr>
        <w:t xml:space="preserve">Contrast medium (CM) is widely used in intravenous pyelography, computed tomography (CT), and angiography examinations. The incidence of adverse reactions due to CM is low, especially when using modern non-ionic CMs. Vicarious </w:t>
      </w:r>
      <w:r w:rsidR="007972F7" w:rsidRPr="00DC00DE">
        <w:rPr>
          <w:rFonts w:ascii="Book Antiqua" w:hAnsi="Book Antiqua" w:cs="Book Antiqua" w:hint="eastAsia"/>
          <w:color w:val="000000"/>
          <w:lang w:eastAsia="zh-CN"/>
        </w:rPr>
        <w:t>CM</w:t>
      </w:r>
      <w:r w:rsidRPr="00DC00DE">
        <w:rPr>
          <w:rFonts w:ascii="Book Antiqua" w:eastAsia="Book Antiqua" w:hAnsi="Book Antiqua" w:cs="Book Antiqua"/>
          <w:color w:val="000000"/>
        </w:rPr>
        <w:t xml:space="preserve"> excretion (VCME) is a well-recognized entity, of which excretion through the hepatobiliary system accounts for the majority of cases, and is asymptomatic</w:t>
      </w:r>
      <w:r w:rsidRPr="00DC00DE">
        <w:rPr>
          <w:rFonts w:ascii="Book Antiqua" w:eastAsia="Book Antiqua" w:hAnsi="Book Antiqua" w:cs="Book Antiqua"/>
          <w:color w:val="000000"/>
          <w:vertAlign w:val="superscript"/>
        </w:rPr>
        <w:t>[1]</w:t>
      </w:r>
      <w:r w:rsidRPr="00DC00DE">
        <w:rPr>
          <w:rFonts w:ascii="Book Antiqua" w:eastAsia="Book Antiqua" w:hAnsi="Book Antiqua" w:cs="Book Antiqua"/>
          <w:color w:val="000000"/>
        </w:rPr>
        <w:t xml:space="preserve">. Octreotide is widely used </w:t>
      </w:r>
      <w:r w:rsidR="007E36E8" w:rsidRPr="00DC00DE">
        <w:rPr>
          <w:rFonts w:ascii="Book Antiqua" w:eastAsia="Book Antiqua" w:hAnsi="Book Antiqua" w:cs="Book Antiqua"/>
          <w:color w:val="000000"/>
        </w:rPr>
        <w:t>for</w:t>
      </w:r>
      <w:r w:rsidRPr="00DC00DE">
        <w:rPr>
          <w:rFonts w:ascii="Book Antiqua" w:eastAsia="Book Antiqua" w:hAnsi="Book Antiqua" w:cs="Book Antiqua"/>
          <w:color w:val="000000"/>
        </w:rPr>
        <w:t xml:space="preserve"> the treatment of acromegaly, neuroendocrine tumors, and secretory diarrhea, and long-term treatment significantly increases the incidence of gallstones, most of which are </w:t>
      </w:r>
      <w:proofErr w:type="gramStart"/>
      <w:r w:rsidRPr="00DC00DE">
        <w:rPr>
          <w:rFonts w:ascii="Book Antiqua" w:eastAsia="Book Antiqua" w:hAnsi="Book Antiqua" w:cs="Book Antiqua"/>
          <w:color w:val="000000"/>
        </w:rPr>
        <w:t>asymptomatic</w:t>
      </w:r>
      <w:r w:rsidRPr="00DC00DE">
        <w:rPr>
          <w:rFonts w:ascii="Book Antiqua" w:eastAsia="Book Antiqua" w:hAnsi="Book Antiqua" w:cs="Book Antiqua"/>
          <w:color w:val="000000"/>
          <w:vertAlign w:val="superscript"/>
        </w:rPr>
        <w:t>[</w:t>
      </w:r>
      <w:proofErr w:type="gramEnd"/>
      <w:r w:rsidRPr="00DC00DE">
        <w:rPr>
          <w:rFonts w:ascii="Book Antiqua" w:eastAsia="Book Antiqua" w:hAnsi="Book Antiqua" w:cs="Book Antiqua"/>
          <w:color w:val="000000"/>
          <w:vertAlign w:val="superscript"/>
        </w:rPr>
        <w:t>2]</w:t>
      </w:r>
      <w:r w:rsidRPr="00DC00DE">
        <w:rPr>
          <w:rFonts w:ascii="Book Antiqua" w:eastAsia="Book Antiqua" w:hAnsi="Book Antiqua" w:cs="Book Antiqua"/>
          <w:color w:val="000000"/>
        </w:rPr>
        <w:t xml:space="preserve">. </w:t>
      </w:r>
    </w:p>
    <w:p w14:paraId="796745E3" w14:textId="182D908F" w:rsidR="00A77B3E" w:rsidRPr="00DC00DE" w:rsidRDefault="001E078C" w:rsidP="00B40B15">
      <w:pPr>
        <w:spacing w:line="360" w:lineRule="auto"/>
        <w:ind w:firstLine="270"/>
        <w:jc w:val="both"/>
        <w:rPr>
          <w:rFonts w:ascii="Book Antiqua" w:hAnsi="Book Antiqua"/>
        </w:rPr>
      </w:pPr>
      <w:r w:rsidRPr="00DC00DE">
        <w:rPr>
          <w:rFonts w:ascii="Book Antiqua" w:eastAsia="Book Antiqua" w:hAnsi="Book Antiqua" w:cs="Book Antiqua"/>
          <w:color w:val="000000"/>
        </w:rPr>
        <w:t>We report a patient who developed acute gallstones following treatment with octreotide after VCME.</w:t>
      </w:r>
    </w:p>
    <w:p w14:paraId="09F11B4A" w14:textId="77777777" w:rsidR="00A77B3E" w:rsidRPr="00DC00DE" w:rsidRDefault="00A77B3E" w:rsidP="00A96959">
      <w:pPr>
        <w:spacing w:line="360" w:lineRule="auto"/>
        <w:jc w:val="both"/>
        <w:rPr>
          <w:rFonts w:ascii="Book Antiqua" w:hAnsi="Book Antiqua"/>
        </w:rPr>
      </w:pPr>
    </w:p>
    <w:p w14:paraId="01B0A93F"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aps/>
          <w:color w:val="000000"/>
          <w:u w:val="single"/>
        </w:rPr>
        <w:t>CASE PRESENTATION</w:t>
      </w:r>
    </w:p>
    <w:p w14:paraId="715994AD"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i/>
          <w:color w:val="000000"/>
        </w:rPr>
        <w:t>Chief complaints</w:t>
      </w:r>
    </w:p>
    <w:p w14:paraId="14A992EF"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A 69-year-old Chinese male complained of yellow discoloration of the skin and urine with abdominal distension.</w:t>
      </w:r>
    </w:p>
    <w:p w14:paraId="48769C63" w14:textId="77777777" w:rsidR="00A77B3E" w:rsidRPr="00DC00DE" w:rsidRDefault="00A77B3E" w:rsidP="00A96959">
      <w:pPr>
        <w:spacing w:line="360" w:lineRule="auto"/>
        <w:jc w:val="both"/>
        <w:rPr>
          <w:rFonts w:ascii="Book Antiqua" w:hAnsi="Book Antiqua"/>
        </w:rPr>
      </w:pPr>
    </w:p>
    <w:p w14:paraId="095A5956"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i/>
          <w:color w:val="000000"/>
        </w:rPr>
        <w:t>History of present illness</w:t>
      </w:r>
    </w:p>
    <w:p w14:paraId="6A21E3C6" w14:textId="66174205" w:rsidR="00A77B3E" w:rsidRPr="00DC00DE" w:rsidRDefault="001E078C" w:rsidP="00A96959">
      <w:pPr>
        <w:spacing w:line="360" w:lineRule="auto"/>
        <w:jc w:val="both"/>
        <w:rPr>
          <w:rFonts w:ascii="Book Antiqua" w:eastAsia="Book Antiqua" w:hAnsi="Book Antiqua" w:cs="Book Antiqua"/>
          <w:color w:val="000000"/>
        </w:rPr>
      </w:pPr>
      <w:r w:rsidRPr="00DC00DE">
        <w:rPr>
          <w:rFonts w:ascii="Book Antiqua" w:eastAsia="Book Antiqua" w:hAnsi="Book Antiqua" w:cs="Book Antiqua"/>
          <w:color w:val="000000"/>
        </w:rPr>
        <w:t>The patient was admitted to the emergency department of our hospital in the afternoon of June 11, 2020 complaining of left lower back pain and hematuria caused by a fall 6 h previously. His blood pressure was 81/46 mmHg at admission, and laboratory tests revealed</w:t>
      </w:r>
      <w:r w:rsidR="007972F7" w:rsidRPr="00DC00DE">
        <w:rPr>
          <w:rFonts w:ascii="Book Antiqua" w:hAnsi="Book Antiqua" w:cs="Book Antiqua" w:hint="eastAsia"/>
          <w:color w:val="000000"/>
          <w:lang w:eastAsia="zh-CN"/>
        </w:rPr>
        <w:t xml:space="preserve"> </w:t>
      </w:r>
      <w:r w:rsidRPr="00DC00DE">
        <w:rPr>
          <w:rFonts w:ascii="Book Antiqua" w:eastAsia="Book Antiqua" w:hAnsi="Book Antiqua" w:cs="Book Antiqua"/>
          <w:color w:val="000000"/>
        </w:rPr>
        <w:t xml:space="preserve">a hemoglobin level of 80 g/L, blood urea nitrogen of 7.9 mmol/L, creatinine of 105 μmol/L, and pH 7.30. Ultrasonography (US) and contrast-enhanced </w:t>
      </w:r>
      <w:r w:rsidR="007972F7" w:rsidRPr="00DC00DE">
        <w:rPr>
          <w:rFonts w:ascii="Book Antiqua" w:eastAsia="Book Antiqua" w:hAnsi="Book Antiqua" w:cs="Book Antiqua"/>
          <w:color w:val="000000"/>
        </w:rPr>
        <w:t>CT</w:t>
      </w:r>
      <w:r w:rsidRPr="00DC00DE">
        <w:rPr>
          <w:rFonts w:ascii="Book Antiqua" w:eastAsia="Book Antiqua" w:hAnsi="Book Antiqua" w:cs="Book Antiqua"/>
          <w:color w:val="000000"/>
        </w:rPr>
        <w:t xml:space="preserve"> (60 mL, 270 mg of iodine/mL</w:t>
      </w:r>
      <w:r w:rsidR="007E36E8" w:rsidRPr="00DC00DE">
        <w:rPr>
          <w:rFonts w:ascii="Book Antiqua" w:eastAsia="Book Antiqua" w:hAnsi="Book Antiqua" w:cs="Book Antiqua"/>
          <w:color w:val="000000"/>
        </w:rPr>
        <w:t>;</w:t>
      </w:r>
      <w:r w:rsidRPr="00DC00DE">
        <w:rPr>
          <w:rFonts w:ascii="Book Antiqua" w:eastAsia="Book Antiqua" w:hAnsi="Book Antiqua" w:cs="Book Antiqua"/>
          <w:color w:val="000000"/>
        </w:rPr>
        <w:t xml:space="preserve"> Yangtze River Pharmaceutical Group, </w:t>
      </w:r>
      <w:r w:rsidR="007E36E8" w:rsidRPr="00DC00DE">
        <w:rPr>
          <w:rFonts w:ascii="Book Antiqua" w:eastAsia="Book Antiqua" w:hAnsi="Book Antiqua" w:cs="Book Antiqua"/>
          <w:color w:val="000000"/>
        </w:rPr>
        <w:t xml:space="preserve">Taizhou, </w:t>
      </w:r>
      <w:r w:rsidRPr="00DC00DE">
        <w:rPr>
          <w:rFonts w:ascii="Book Antiqua" w:eastAsia="Book Antiqua" w:hAnsi="Book Antiqua" w:cs="Book Antiqua"/>
          <w:color w:val="000000"/>
        </w:rPr>
        <w:t xml:space="preserve">China) revealed bilateral polycystic kidney with rupture of the left kidney, a huge hematoma, and multiple liver cysts. The gallbladder and pancreas were normal. Emergency renal artery embolization (RAE, 150 mL </w:t>
      </w:r>
      <w:r w:rsidR="007E36E8" w:rsidRPr="00DC00DE">
        <w:rPr>
          <w:rFonts w:ascii="Book Antiqua" w:eastAsia="Book Antiqua" w:hAnsi="Book Antiqua" w:cs="Book Antiqua"/>
          <w:color w:val="000000"/>
        </w:rPr>
        <w:t>i</w:t>
      </w:r>
      <w:r w:rsidRPr="00DC00DE">
        <w:rPr>
          <w:rFonts w:ascii="Book Antiqua" w:eastAsia="Book Antiqua" w:hAnsi="Book Antiqua" w:cs="Book Antiqua"/>
          <w:color w:val="000000"/>
        </w:rPr>
        <w:t xml:space="preserve">odixanol) was performed, </w:t>
      </w:r>
      <w:r w:rsidR="007E36E8" w:rsidRPr="00DC00DE">
        <w:rPr>
          <w:rFonts w:ascii="Book Antiqua" w:eastAsia="Book Antiqua" w:hAnsi="Book Antiqua" w:cs="Book Antiqua"/>
          <w:color w:val="000000"/>
        </w:rPr>
        <w:t xml:space="preserve">after which </w:t>
      </w:r>
      <w:r w:rsidRPr="00DC00DE">
        <w:rPr>
          <w:rFonts w:ascii="Book Antiqua" w:eastAsia="Book Antiqua" w:hAnsi="Book Antiqua" w:cs="Book Antiqua"/>
          <w:color w:val="000000"/>
        </w:rPr>
        <w:t xml:space="preserve">his blood pressure promptly returned to normal and hematuria decreased. On the second day after RAE (d1-post-RAE), the patient complained of abdominal distension with absence of the </w:t>
      </w:r>
      <w:r w:rsidRPr="00DC00DE">
        <w:rPr>
          <w:rFonts w:ascii="Book Antiqua" w:eastAsia="Book Antiqua" w:hAnsi="Book Antiqua" w:cs="Book Antiqua"/>
          <w:color w:val="000000"/>
        </w:rPr>
        <w:lastRenderedPageBreak/>
        <w:t>passage of both flatus and stool. Paralytic intestinal obstruction was diagnosed together with absence of bowel sounds. He was treated with fasting, gastrointestinal decompression, fluid replacement</w:t>
      </w:r>
      <w:r w:rsidR="007E36E8" w:rsidRPr="00DC00DE">
        <w:rPr>
          <w:rFonts w:ascii="Book Antiqua" w:eastAsia="Book Antiqua" w:hAnsi="Book Antiqua" w:cs="Book Antiqua"/>
          <w:color w:val="000000"/>
        </w:rPr>
        <w:t>,</w:t>
      </w:r>
      <w:r w:rsidRPr="00DC00DE">
        <w:rPr>
          <w:rFonts w:ascii="Book Antiqua" w:eastAsia="Book Antiqua" w:hAnsi="Book Antiqua" w:cs="Book Antiqua"/>
          <w:color w:val="000000"/>
        </w:rPr>
        <w:t xml:space="preserve"> and octreotide (100 mg, once daily</w:t>
      </w:r>
      <w:r w:rsidR="007E36E8" w:rsidRPr="00DC00DE">
        <w:rPr>
          <w:rFonts w:ascii="Book Antiqua" w:eastAsia="Book Antiqua" w:hAnsi="Book Antiqua" w:cs="Book Antiqua"/>
          <w:color w:val="000000"/>
        </w:rPr>
        <w:t>;</w:t>
      </w:r>
      <w:r w:rsidRPr="00DC00DE">
        <w:rPr>
          <w:rFonts w:ascii="Book Antiqua" w:eastAsia="Book Antiqua" w:hAnsi="Book Antiqua" w:cs="Book Antiqua"/>
          <w:color w:val="000000"/>
        </w:rPr>
        <w:t xml:space="preserve"> Novartis Pharma </w:t>
      </w:r>
      <w:proofErr w:type="spellStart"/>
      <w:r w:rsidRPr="00DC00DE">
        <w:rPr>
          <w:rFonts w:ascii="Book Antiqua" w:eastAsia="Book Antiqua" w:hAnsi="Book Antiqua" w:cs="Book Antiqua"/>
          <w:color w:val="000000"/>
        </w:rPr>
        <w:t>Schweiz</w:t>
      </w:r>
      <w:proofErr w:type="spellEnd"/>
      <w:r w:rsidRPr="00DC00DE">
        <w:rPr>
          <w:rFonts w:ascii="Book Antiqua" w:eastAsia="Book Antiqua" w:hAnsi="Book Antiqua" w:cs="Book Antiqua"/>
          <w:color w:val="000000"/>
        </w:rPr>
        <w:t xml:space="preserve"> AG, </w:t>
      </w:r>
      <w:proofErr w:type="spellStart"/>
      <w:r w:rsidR="007E36E8" w:rsidRPr="00DC00DE">
        <w:rPr>
          <w:rFonts w:ascii="Book Antiqua" w:eastAsia="Book Antiqua" w:hAnsi="Book Antiqua" w:cs="Book Antiqua"/>
          <w:color w:val="000000"/>
        </w:rPr>
        <w:t>Risch-Rotkreuz</w:t>
      </w:r>
      <w:proofErr w:type="spellEnd"/>
      <w:r w:rsidR="007E36E8" w:rsidRPr="00DC00DE">
        <w:rPr>
          <w:rFonts w:ascii="Book Antiqua" w:eastAsia="Book Antiqua" w:hAnsi="Book Antiqua" w:cs="Book Antiqua"/>
          <w:color w:val="000000"/>
        </w:rPr>
        <w:t xml:space="preserve">, </w:t>
      </w:r>
      <w:r w:rsidRPr="00DC00DE">
        <w:rPr>
          <w:rFonts w:ascii="Book Antiqua" w:eastAsia="Book Antiqua" w:hAnsi="Book Antiqua" w:cs="Book Antiqua"/>
          <w:color w:val="000000"/>
        </w:rPr>
        <w:t>Switzerland). On d5-post-RAE, the patient resumed passage of both flatus and stool, and the above treatments were discontinued.</w:t>
      </w:r>
    </w:p>
    <w:p w14:paraId="312C113A" w14:textId="77777777" w:rsidR="00A77B3E" w:rsidRPr="00DC00DE" w:rsidRDefault="00A77B3E" w:rsidP="00A96959">
      <w:pPr>
        <w:spacing w:line="360" w:lineRule="auto"/>
        <w:jc w:val="both"/>
        <w:rPr>
          <w:rFonts w:ascii="Book Antiqua" w:hAnsi="Book Antiqua"/>
        </w:rPr>
      </w:pPr>
    </w:p>
    <w:p w14:paraId="029D9FF0"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i/>
          <w:color w:val="000000"/>
        </w:rPr>
        <w:t>History of past illness</w:t>
      </w:r>
    </w:p>
    <w:p w14:paraId="740D60B3"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He had a history of polycystic kidney disease for 40 years, but had no other illnesses.</w:t>
      </w:r>
    </w:p>
    <w:p w14:paraId="40439ACE" w14:textId="77777777" w:rsidR="00A77B3E" w:rsidRPr="00DC00DE" w:rsidRDefault="00A77B3E" w:rsidP="00A96959">
      <w:pPr>
        <w:spacing w:line="360" w:lineRule="auto"/>
        <w:jc w:val="both"/>
        <w:rPr>
          <w:rFonts w:ascii="Book Antiqua" w:hAnsi="Book Antiqua"/>
        </w:rPr>
      </w:pPr>
    </w:p>
    <w:p w14:paraId="7C96B144"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i/>
          <w:color w:val="000000"/>
        </w:rPr>
        <w:t>Personal and family history</w:t>
      </w:r>
    </w:p>
    <w:p w14:paraId="3C1B7524"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He denied a history of similar diseases in close relatives.</w:t>
      </w:r>
    </w:p>
    <w:p w14:paraId="0469AE3D" w14:textId="77777777" w:rsidR="00A77B3E" w:rsidRPr="00DC00DE" w:rsidRDefault="00A77B3E" w:rsidP="00A96959">
      <w:pPr>
        <w:spacing w:line="360" w:lineRule="auto"/>
        <w:jc w:val="both"/>
        <w:rPr>
          <w:rFonts w:ascii="Book Antiqua" w:hAnsi="Book Antiqua"/>
        </w:rPr>
      </w:pPr>
    </w:p>
    <w:p w14:paraId="654E0A90"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i/>
          <w:color w:val="000000"/>
        </w:rPr>
        <w:t>Physical examination</w:t>
      </w:r>
    </w:p>
    <w:p w14:paraId="7DF81D30"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Physical examination revealed that the skin and sclera were slightly jaundiced, and a mass 16</w:t>
      </w:r>
      <w:r w:rsidR="007972F7" w:rsidRPr="00DC00DE">
        <w:rPr>
          <w:rFonts w:ascii="Book Antiqua" w:hAnsi="Book Antiqua" w:cs="Book Antiqua" w:hint="eastAsia"/>
          <w:color w:val="000000"/>
          <w:lang w:eastAsia="zh-CN"/>
        </w:rPr>
        <w:t xml:space="preserve"> </w:t>
      </w:r>
      <w:r w:rsidR="007972F7" w:rsidRPr="00DC00DE">
        <w:rPr>
          <w:rFonts w:ascii="Book Antiqua" w:eastAsia="Book Antiqua" w:hAnsi="Book Antiqua" w:cs="Book Antiqua"/>
          <w:color w:val="000000"/>
        </w:rPr>
        <w:t>cm</w:t>
      </w:r>
      <w:r w:rsidR="007972F7" w:rsidRPr="00DC00DE">
        <w:rPr>
          <w:rFonts w:ascii="Book Antiqua" w:hAnsi="Book Antiqua" w:cs="Book Antiqua" w:hint="eastAsia"/>
          <w:color w:val="000000"/>
          <w:lang w:eastAsia="zh-CN"/>
        </w:rPr>
        <w:t xml:space="preserve"> </w:t>
      </w:r>
      <w:r w:rsidRPr="00DC00DE">
        <w:rPr>
          <w:rFonts w:ascii="Book Antiqua" w:eastAsia="Book Antiqua" w:hAnsi="Book Antiqua" w:cs="Book Antiqua"/>
          <w:color w:val="000000"/>
        </w:rPr>
        <w:t>×</w:t>
      </w:r>
      <w:r w:rsidR="007972F7" w:rsidRPr="00DC00DE">
        <w:rPr>
          <w:rFonts w:ascii="Book Antiqua" w:hAnsi="Book Antiqua" w:cs="Book Antiqua" w:hint="eastAsia"/>
          <w:color w:val="000000"/>
          <w:lang w:eastAsia="zh-CN"/>
        </w:rPr>
        <w:t xml:space="preserve"> </w:t>
      </w:r>
      <w:r w:rsidRPr="00DC00DE">
        <w:rPr>
          <w:rFonts w:ascii="Book Antiqua" w:eastAsia="Book Antiqua" w:hAnsi="Book Antiqua" w:cs="Book Antiqua"/>
          <w:color w:val="000000"/>
        </w:rPr>
        <w:t>12 cm in size on the left flank was observed, which was soft and tender with percussion pain in the left renal region. There were no abnormal liver and gallbladder findings.</w:t>
      </w:r>
    </w:p>
    <w:p w14:paraId="3284A357" w14:textId="77777777" w:rsidR="00A77B3E" w:rsidRPr="00DC00DE" w:rsidRDefault="00A77B3E" w:rsidP="00A96959">
      <w:pPr>
        <w:spacing w:line="360" w:lineRule="auto"/>
        <w:jc w:val="both"/>
        <w:rPr>
          <w:rFonts w:ascii="Book Antiqua" w:hAnsi="Book Antiqua"/>
        </w:rPr>
      </w:pPr>
    </w:p>
    <w:p w14:paraId="257AFF79"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i/>
          <w:color w:val="000000"/>
        </w:rPr>
        <w:t>Laboratory examinations</w:t>
      </w:r>
    </w:p>
    <w:p w14:paraId="7AA787A4"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On d6-post-RAE, the patient’s sclera and skin were slightly yellow, and was worse the following day. Laboratory tests showed that the levels of bilirubin, alkaline phosphatase (AKP) and gamma-glutamyl transpeptidase (γ-GT) were significantly increased (Table 1), but transaminases were normal. Urinalysis showed that urinary bilirubin was positive and urobilinogen was negative.</w:t>
      </w:r>
    </w:p>
    <w:p w14:paraId="080B91BF" w14:textId="77777777" w:rsidR="00A77B3E" w:rsidRPr="00DC00DE" w:rsidRDefault="00A77B3E" w:rsidP="00A96959">
      <w:pPr>
        <w:spacing w:line="360" w:lineRule="auto"/>
        <w:jc w:val="both"/>
        <w:rPr>
          <w:rFonts w:ascii="Book Antiqua" w:hAnsi="Book Antiqua"/>
        </w:rPr>
      </w:pPr>
    </w:p>
    <w:p w14:paraId="3EE306E8"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i/>
          <w:color w:val="000000"/>
        </w:rPr>
        <w:t>Imaging examinations</w:t>
      </w:r>
    </w:p>
    <w:p w14:paraId="268CC6CD"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On d3-post-RAE, non-contrast CT showed high density in the gallbladder and colon, which was considered to be due to VCME, while in the upper pole of the left kidney CM had spilled out of the renal artery (Figure 1A). On d7-post-RAE, repeat US revealed </w:t>
      </w:r>
      <w:r w:rsidRPr="00DC00DE">
        <w:rPr>
          <w:rFonts w:ascii="Book Antiqua" w:eastAsia="Book Antiqua" w:hAnsi="Book Antiqua" w:cs="Book Antiqua"/>
          <w:color w:val="000000"/>
        </w:rPr>
        <w:lastRenderedPageBreak/>
        <w:t>a large amount of sludge in the gallbladder, but no dilation of intrahepatic and extrahepatic bile ducts.</w:t>
      </w:r>
    </w:p>
    <w:p w14:paraId="5DAD55FA"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aps/>
          <w:color w:val="000000"/>
          <w:u w:val="single"/>
        </w:rPr>
        <w:t>FINAL DIAGNOSIS</w:t>
      </w:r>
    </w:p>
    <w:p w14:paraId="5DC831CF"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Final diagnoses were octreotide-induced acute gallstones and VCME.</w:t>
      </w:r>
    </w:p>
    <w:p w14:paraId="642BC8CF" w14:textId="77777777" w:rsidR="00A77B3E" w:rsidRPr="00DC00DE" w:rsidRDefault="00A77B3E" w:rsidP="00A96959">
      <w:pPr>
        <w:spacing w:line="360" w:lineRule="auto"/>
        <w:jc w:val="both"/>
        <w:rPr>
          <w:rFonts w:ascii="Book Antiqua" w:hAnsi="Book Antiqua"/>
        </w:rPr>
      </w:pPr>
    </w:p>
    <w:p w14:paraId="7EC39BA4"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aps/>
          <w:color w:val="000000"/>
          <w:u w:val="single"/>
        </w:rPr>
        <w:t>TREATMENT</w:t>
      </w:r>
    </w:p>
    <w:p w14:paraId="3136D8BE" w14:textId="7E58CAB5"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On the evening of d7-post-RAE, the patient complained of upper abdominal pain. Laboratory tests revealed an amylase level of 640 U/L and lipase level of 1198 U/L, resulting in a diagnosis of acute pancreatitis, which dropped to normal following treatment for 5 d. However, the levels of bilirubin, AKP and γ-GT continuously increased (Table 1). On d8-post-RAE, endoscopic retrograde cholangiopancreatography (ERCP) (10 mL </w:t>
      </w:r>
      <w:proofErr w:type="spellStart"/>
      <w:r w:rsidR="007E36E8" w:rsidRPr="00DC00DE">
        <w:rPr>
          <w:rFonts w:ascii="Book Antiqua" w:eastAsia="Book Antiqua" w:hAnsi="Book Antiqua" w:cs="Book Antiqua"/>
          <w:color w:val="000000"/>
        </w:rPr>
        <w:t>i</w:t>
      </w:r>
      <w:r w:rsidRPr="00DC00DE">
        <w:rPr>
          <w:rFonts w:ascii="Book Antiqua" w:eastAsia="Book Antiqua" w:hAnsi="Book Antiqua" w:cs="Book Antiqua"/>
          <w:color w:val="000000"/>
        </w:rPr>
        <w:t>oversol</w:t>
      </w:r>
      <w:proofErr w:type="spellEnd"/>
      <w:r w:rsidRPr="00DC00DE">
        <w:rPr>
          <w:rFonts w:ascii="Book Antiqua" w:eastAsia="Book Antiqua" w:hAnsi="Book Antiqua" w:cs="Book Antiqua"/>
          <w:color w:val="000000"/>
        </w:rPr>
        <w:t>, 320 mg of iodine/mL</w:t>
      </w:r>
      <w:r w:rsidR="007E36E8" w:rsidRPr="00DC00DE">
        <w:rPr>
          <w:rFonts w:ascii="Book Antiqua" w:eastAsia="Book Antiqua" w:hAnsi="Book Antiqua" w:cs="Book Antiqua"/>
          <w:color w:val="000000"/>
        </w:rPr>
        <w:t>;</w:t>
      </w:r>
      <w:r w:rsidRPr="00DC00DE">
        <w:rPr>
          <w:rFonts w:ascii="Book Antiqua" w:eastAsia="Book Antiqua" w:hAnsi="Book Antiqua" w:cs="Book Antiqua"/>
          <w:color w:val="000000"/>
        </w:rPr>
        <w:t xml:space="preserve"> </w:t>
      </w:r>
      <w:proofErr w:type="spellStart"/>
      <w:r w:rsidRPr="00DC00DE">
        <w:rPr>
          <w:rFonts w:ascii="Book Antiqua" w:eastAsia="Book Antiqua" w:hAnsi="Book Antiqua" w:cs="Book Antiqua"/>
          <w:color w:val="000000"/>
        </w:rPr>
        <w:t>Hengrui</w:t>
      </w:r>
      <w:proofErr w:type="spellEnd"/>
      <w:r w:rsidRPr="00DC00DE">
        <w:rPr>
          <w:rFonts w:ascii="Book Antiqua" w:eastAsia="Book Antiqua" w:hAnsi="Book Antiqua" w:cs="Book Antiqua"/>
          <w:color w:val="000000"/>
        </w:rPr>
        <w:t xml:space="preserve"> Medicine, </w:t>
      </w:r>
      <w:r w:rsidR="007E36E8" w:rsidRPr="00DC00DE">
        <w:rPr>
          <w:rFonts w:ascii="Book Antiqua" w:eastAsia="Book Antiqua" w:hAnsi="Book Antiqua" w:cs="Book Antiqua"/>
          <w:color w:val="000000"/>
        </w:rPr>
        <w:t xml:space="preserve">Jiangsu, </w:t>
      </w:r>
      <w:r w:rsidRPr="00DC00DE">
        <w:rPr>
          <w:rFonts w:ascii="Book Antiqua" w:eastAsia="Book Antiqua" w:hAnsi="Book Antiqua" w:cs="Book Antiqua"/>
          <w:color w:val="000000"/>
        </w:rPr>
        <w:t xml:space="preserve">China) was conducted and revealed that the duodenal papilla was plump, and brown-black bile and sludge were observed, a nasobiliary catheter was then placed for the drainage of bile. A non-contrast CT on d10-post-RAE showed that the liver was normal except for multiple cysts, while the CM still remained in the gallbladder and colon. Tests for hepatitis A virus, </w:t>
      </w:r>
      <w:r w:rsidR="007972F7" w:rsidRPr="00DC00DE">
        <w:rPr>
          <w:rFonts w:ascii="Book Antiqua" w:eastAsia="Book Antiqua" w:hAnsi="Book Antiqua" w:cs="Book Antiqua"/>
          <w:color w:val="000000"/>
        </w:rPr>
        <w:t xml:space="preserve">hepatitis </w:t>
      </w:r>
      <w:r w:rsidR="007972F7" w:rsidRPr="00DC00DE">
        <w:rPr>
          <w:rFonts w:ascii="Book Antiqua" w:hAnsi="Book Antiqua" w:cs="Book Antiqua" w:hint="eastAsia"/>
          <w:color w:val="000000"/>
          <w:lang w:eastAsia="zh-CN"/>
        </w:rPr>
        <w:t>B</w:t>
      </w:r>
      <w:r w:rsidR="007972F7" w:rsidRPr="00DC00DE">
        <w:rPr>
          <w:rFonts w:ascii="Book Antiqua" w:eastAsia="Book Antiqua" w:hAnsi="Book Antiqua" w:cs="Book Antiqua"/>
          <w:color w:val="000000"/>
        </w:rPr>
        <w:t xml:space="preserve"> virus</w:t>
      </w:r>
      <w:r w:rsidRPr="00DC00DE">
        <w:rPr>
          <w:rFonts w:ascii="Book Antiqua" w:eastAsia="Book Antiqua" w:hAnsi="Book Antiqua" w:cs="Book Antiqua"/>
          <w:color w:val="000000"/>
        </w:rPr>
        <w:t xml:space="preserve">, </w:t>
      </w:r>
      <w:r w:rsidR="007972F7" w:rsidRPr="00DC00DE">
        <w:rPr>
          <w:rFonts w:ascii="Book Antiqua" w:eastAsia="Book Antiqua" w:hAnsi="Book Antiqua" w:cs="Book Antiqua"/>
          <w:color w:val="000000"/>
        </w:rPr>
        <w:t xml:space="preserve">hepatitis </w:t>
      </w:r>
      <w:r w:rsidR="007972F7" w:rsidRPr="00DC00DE">
        <w:rPr>
          <w:rFonts w:ascii="Book Antiqua" w:hAnsi="Book Antiqua" w:cs="Book Antiqua" w:hint="eastAsia"/>
          <w:color w:val="000000"/>
          <w:lang w:eastAsia="zh-CN"/>
        </w:rPr>
        <w:t>C</w:t>
      </w:r>
      <w:r w:rsidR="007972F7" w:rsidRPr="00DC00DE">
        <w:rPr>
          <w:rFonts w:ascii="Book Antiqua" w:eastAsia="Book Antiqua" w:hAnsi="Book Antiqua" w:cs="Book Antiqua"/>
          <w:color w:val="000000"/>
        </w:rPr>
        <w:t xml:space="preserve"> virus</w:t>
      </w:r>
      <w:r w:rsidRPr="00DC00DE">
        <w:rPr>
          <w:rFonts w:ascii="Book Antiqua" w:eastAsia="Book Antiqua" w:hAnsi="Book Antiqua" w:cs="Book Antiqua"/>
          <w:color w:val="000000"/>
        </w:rPr>
        <w:t xml:space="preserve">, </w:t>
      </w:r>
      <w:r w:rsidR="007972F7" w:rsidRPr="00DC00DE">
        <w:rPr>
          <w:rFonts w:ascii="Book Antiqua" w:eastAsia="Book Antiqua" w:hAnsi="Book Antiqua" w:cs="Book Antiqua"/>
          <w:color w:val="000000"/>
        </w:rPr>
        <w:t xml:space="preserve">hepatitis </w:t>
      </w:r>
      <w:r w:rsidR="007972F7" w:rsidRPr="00DC00DE">
        <w:rPr>
          <w:rFonts w:ascii="Book Antiqua" w:hAnsi="Book Antiqua" w:cs="Book Antiqua" w:hint="eastAsia"/>
          <w:color w:val="000000"/>
          <w:lang w:eastAsia="zh-CN"/>
        </w:rPr>
        <w:t>E</w:t>
      </w:r>
      <w:r w:rsidR="007972F7" w:rsidRPr="00DC00DE">
        <w:rPr>
          <w:rFonts w:ascii="Book Antiqua" w:eastAsia="Book Antiqua" w:hAnsi="Book Antiqua" w:cs="Book Antiqua"/>
          <w:color w:val="000000"/>
        </w:rPr>
        <w:t xml:space="preserve"> virus</w:t>
      </w:r>
      <w:r w:rsidRPr="00DC00DE">
        <w:rPr>
          <w:rFonts w:ascii="Book Antiqua" w:eastAsia="Book Antiqua" w:hAnsi="Book Antiqua" w:cs="Book Antiqua"/>
          <w:color w:val="000000"/>
        </w:rPr>
        <w:t xml:space="preserve">, hemolysis and autoimmune hepatitis were negative, and upper abdominal magnetic resonance imaging was normal except for multiple cysts and sludge in the gallbladder (Figure 1B). Antibiotics were upgraded to imipenem-cilastatin sodium as bile culture showed multi-drug resistant </w:t>
      </w:r>
      <w:r w:rsidRPr="00DC00DE">
        <w:rPr>
          <w:rFonts w:ascii="Book Antiqua" w:eastAsia="Book Antiqua" w:hAnsi="Book Antiqua" w:cs="Book Antiqua"/>
          <w:i/>
          <w:iCs/>
          <w:color w:val="000000"/>
        </w:rPr>
        <w:t>Escherichia coli</w:t>
      </w:r>
      <w:r w:rsidRPr="00DC00DE">
        <w:rPr>
          <w:rFonts w:ascii="Book Antiqua" w:eastAsia="Book Antiqua" w:hAnsi="Book Antiqua" w:cs="Book Antiqua"/>
          <w:color w:val="000000"/>
        </w:rPr>
        <w:t xml:space="preserve">. However, dynamic monitoring of the levels of bilirubin, AKP and γ-GT continued to increase with skin and sclera becoming more yellow (Table 1). The patient developed transient lethargy at night on d16-post-RAE, and then recovered after treatment with the double plasma molecular adsorption system (DPMAS) for 4 h the following day. Dynamic laboratory tests showed that the levels of bilirubin, AKP and γ-GT had declined, but increased again the next day (Table 1). DPMAS was performed again to reduce bilirubin on d19-post-RAE, and to achieve the previous similar changes in laboratory tests (Table 1). Repeat bile culture showed multi-drug resistant </w:t>
      </w:r>
      <w:r w:rsidRPr="00DC00DE">
        <w:rPr>
          <w:rFonts w:ascii="Book Antiqua" w:eastAsia="Book Antiqua" w:hAnsi="Book Antiqua" w:cs="Book Antiqua"/>
          <w:i/>
          <w:iCs/>
          <w:color w:val="000000"/>
        </w:rPr>
        <w:t>Klebsiella pneumoniae</w:t>
      </w:r>
      <w:r w:rsidRPr="00DC00DE">
        <w:rPr>
          <w:rFonts w:ascii="Book Antiqua" w:eastAsia="Book Antiqua" w:hAnsi="Book Antiqua" w:cs="Book Antiqua"/>
          <w:color w:val="000000"/>
        </w:rPr>
        <w:t xml:space="preserve"> subsp, and the antibiotics were changed to </w:t>
      </w:r>
      <w:r w:rsidRPr="00DC00DE">
        <w:rPr>
          <w:rFonts w:ascii="Book Antiqua" w:eastAsia="Book Antiqua" w:hAnsi="Book Antiqua" w:cs="Book Antiqua"/>
          <w:color w:val="000000"/>
        </w:rPr>
        <w:lastRenderedPageBreak/>
        <w:t>sulbactam-cefoperazone followed by a multidisciplinary consultation. Surprisingly, dynamic laboratory tests showed that the levels of bilirubin, AKP, γ-GT</w:t>
      </w:r>
      <w:r w:rsidR="007E36E8" w:rsidRPr="00DC00DE">
        <w:rPr>
          <w:rFonts w:ascii="Book Antiqua" w:eastAsia="Book Antiqua" w:hAnsi="Book Antiqua" w:cs="Book Antiqua"/>
          <w:color w:val="000000"/>
        </w:rPr>
        <w:t>,</w:t>
      </w:r>
      <w:r w:rsidRPr="00DC00DE">
        <w:rPr>
          <w:rFonts w:ascii="Book Antiqua" w:eastAsia="Book Antiqua" w:hAnsi="Book Antiqua" w:cs="Book Antiqua"/>
          <w:color w:val="000000"/>
        </w:rPr>
        <w:t xml:space="preserve"> and the </w:t>
      </w:r>
      <w:r w:rsidR="007E36E8" w:rsidRPr="00DC00DE">
        <w:rPr>
          <w:rFonts w:ascii="Book Antiqua" w:eastAsia="Book Antiqua" w:hAnsi="Book Antiqua" w:cs="Book Antiqua"/>
          <w:color w:val="000000"/>
        </w:rPr>
        <w:t xml:space="preserve">white blood cell </w:t>
      </w:r>
      <w:r w:rsidRPr="00DC00DE">
        <w:rPr>
          <w:rFonts w:ascii="Book Antiqua" w:eastAsia="Book Antiqua" w:hAnsi="Book Antiqua" w:cs="Book Antiqua"/>
          <w:color w:val="000000"/>
        </w:rPr>
        <w:t xml:space="preserve">count gradually began to decrease (Table 1) together with a decrease in the patient's fever, and yellowing of the sclera and skin. </w:t>
      </w:r>
    </w:p>
    <w:p w14:paraId="2025B5BC" w14:textId="77777777" w:rsidR="00A77B3E" w:rsidRPr="00DC00DE" w:rsidRDefault="00A77B3E" w:rsidP="00A96959">
      <w:pPr>
        <w:spacing w:line="360" w:lineRule="auto"/>
        <w:jc w:val="both"/>
        <w:rPr>
          <w:rFonts w:ascii="Book Antiqua" w:hAnsi="Book Antiqua"/>
        </w:rPr>
      </w:pPr>
    </w:p>
    <w:p w14:paraId="61B9B66D"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aps/>
          <w:color w:val="000000"/>
          <w:u w:val="single"/>
        </w:rPr>
        <w:t>OUTCOME AND FOLLOW-UP</w:t>
      </w:r>
    </w:p>
    <w:p w14:paraId="2C98583A" w14:textId="522C0CAA"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The patient recovered and was discharged after </w:t>
      </w:r>
      <w:r w:rsidR="007E36E8" w:rsidRPr="00DC00DE">
        <w:rPr>
          <w:rFonts w:ascii="Book Antiqua" w:eastAsia="Book Antiqua" w:hAnsi="Book Antiqua" w:cs="Book Antiqua"/>
          <w:color w:val="000000"/>
        </w:rPr>
        <w:t xml:space="preserve">2 </w:t>
      </w:r>
      <w:proofErr w:type="spellStart"/>
      <w:r w:rsidR="007E36E8" w:rsidRPr="00DC00DE">
        <w:rPr>
          <w:rFonts w:ascii="Book Antiqua" w:eastAsia="Book Antiqua" w:hAnsi="Book Antiqua" w:cs="Book Antiqua"/>
          <w:color w:val="000000"/>
        </w:rPr>
        <w:t>wk</w:t>
      </w:r>
      <w:proofErr w:type="spellEnd"/>
      <w:r w:rsidRPr="00DC00DE">
        <w:rPr>
          <w:rFonts w:ascii="Book Antiqua" w:eastAsia="Book Antiqua" w:hAnsi="Book Antiqua" w:cs="Book Antiqua"/>
          <w:color w:val="000000"/>
        </w:rPr>
        <w:t xml:space="preserve"> of treatment. </w:t>
      </w:r>
      <w:r w:rsidR="007E36E8" w:rsidRPr="00DC00DE">
        <w:rPr>
          <w:rFonts w:ascii="Book Antiqua" w:eastAsia="Book Antiqua" w:hAnsi="Book Antiqua" w:cs="Book Antiqua"/>
          <w:color w:val="000000"/>
        </w:rPr>
        <w:t xml:space="preserve">After 1 and 3 </w:t>
      </w:r>
      <w:proofErr w:type="spellStart"/>
      <w:r w:rsidR="007E36E8" w:rsidRPr="00DC00DE">
        <w:rPr>
          <w:rFonts w:ascii="Book Antiqua" w:eastAsia="Book Antiqua" w:hAnsi="Book Antiqua" w:cs="Book Antiqua"/>
          <w:color w:val="000000"/>
        </w:rPr>
        <w:t>mo</w:t>
      </w:r>
      <w:proofErr w:type="spellEnd"/>
      <w:r w:rsidRPr="00DC00DE">
        <w:rPr>
          <w:rFonts w:ascii="Book Antiqua" w:eastAsia="Book Antiqua" w:hAnsi="Book Antiqua" w:cs="Book Antiqua"/>
          <w:color w:val="000000"/>
        </w:rPr>
        <w:t>, repeated laboratory tests showed that blood cell counts, liver and kidney function were all within normal limits (Table 1).</w:t>
      </w:r>
    </w:p>
    <w:p w14:paraId="6B7D80BC" w14:textId="77777777" w:rsidR="00A77B3E" w:rsidRPr="00DC00DE" w:rsidRDefault="00A77B3E" w:rsidP="00A96959">
      <w:pPr>
        <w:spacing w:line="360" w:lineRule="auto"/>
        <w:jc w:val="both"/>
        <w:rPr>
          <w:rFonts w:ascii="Book Antiqua" w:hAnsi="Book Antiqua"/>
        </w:rPr>
      </w:pPr>
    </w:p>
    <w:p w14:paraId="48C09A11"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aps/>
          <w:color w:val="000000"/>
          <w:u w:val="single"/>
        </w:rPr>
        <w:t>DISCUSSION</w:t>
      </w:r>
    </w:p>
    <w:p w14:paraId="1FE35C10"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VCME refers to the excretion of water-soluble CM through a route other than renal secretion, and is a well-known phenomenon, although the exact mechanism is still not fully understood. According to previous studies, these authors believed that possible factors promoting the heterotopic biliary (vicarious) excretion of CM included prolonged recirculation of the CM due to impaired renal function, hypovolemia and hypotension, and increased protein binding of CM in the presence of acidosis</w:t>
      </w:r>
      <w:r w:rsidRPr="00DC00DE">
        <w:rPr>
          <w:rFonts w:ascii="Book Antiqua" w:eastAsia="Book Antiqua" w:hAnsi="Book Antiqua" w:cs="Book Antiqua"/>
          <w:color w:val="000000"/>
          <w:vertAlign w:val="superscript"/>
        </w:rPr>
        <w:t>[1,3]</w:t>
      </w:r>
      <w:r w:rsidRPr="00DC00DE">
        <w:rPr>
          <w:rFonts w:ascii="Book Antiqua" w:eastAsia="Book Antiqua" w:hAnsi="Book Antiqua" w:cs="Book Antiqua"/>
          <w:color w:val="000000"/>
        </w:rPr>
        <w:t>. Higher doses, higher molecular weight and lower osmotic pressure of CM are also thought to be factors contributing to VCME</w:t>
      </w:r>
      <w:r w:rsidRPr="00DC00DE">
        <w:rPr>
          <w:rFonts w:ascii="Book Antiqua" w:eastAsia="Book Antiqua" w:hAnsi="Book Antiqua" w:cs="Book Antiqua"/>
          <w:color w:val="000000"/>
          <w:vertAlign w:val="superscript"/>
        </w:rPr>
        <w:t>[1,3]</w:t>
      </w:r>
      <w:r w:rsidRPr="00DC00DE">
        <w:rPr>
          <w:rFonts w:ascii="Book Antiqua" w:eastAsia="Book Antiqua" w:hAnsi="Book Antiqua" w:cs="Book Antiqua"/>
          <w:color w:val="000000"/>
        </w:rPr>
        <w:t>. Although VCME can also occur in patients with normal renal function, studies have shown that patients with renal insufficiency have a higher incidence of VCME</w:t>
      </w:r>
      <w:r w:rsidRPr="00DC00DE">
        <w:rPr>
          <w:rFonts w:ascii="Book Antiqua" w:eastAsia="Book Antiqua" w:hAnsi="Book Antiqua" w:cs="Book Antiqua"/>
          <w:color w:val="000000"/>
          <w:vertAlign w:val="superscript"/>
        </w:rPr>
        <w:t>[1]</w:t>
      </w:r>
      <w:r w:rsidRPr="00DC00DE">
        <w:rPr>
          <w:rFonts w:ascii="Book Antiqua" w:eastAsia="Book Antiqua" w:hAnsi="Book Antiqua" w:cs="Book Antiqua"/>
          <w:color w:val="000000"/>
        </w:rPr>
        <w:t xml:space="preserve">. An analysis of our patient showed that some of the above-mentioned high-risk factors were present, which may have led to VCME. </w:t>
      </w:r>
    </w:p>
    <w:p w14:paraId="704F9C24" w14:textId="77777777" w:rsidR="00A77B3E" w:rsidRPr="00DC00DE" w:rsidRDefault="001E078C" w:rsidP="00B40B15">
      <w:pPr>
        <w:spacing w:line="360" w:lineRule="auto"/>
        <w:ind w:firstLine="270"/>
        <w:jc w:val="both"/>
        <w:rPr>
          <w:rFonts w:ascii="Book Antiqua" w:hAnsi="Book Antiqua"/>
        </w:rPr>
      </w:pPr>
      <w:r w:rsidRPr="00DC00DE">
        <w:rPr>
          <w:rFonts w:ascii="Book Antiqua" w:eastAsia="Book Antiqua" w:hAnsi="Book Antiqua" w:cs="Book Antiqua"/>
          <w:color w:val="000000"/>
        </w:rPr>
        <w:t>Long-term treatment with octreotide can lead to a significant increase in the incidence of gallstones, which is reported to be 10</w:t>
      </w:r>
      <w:r w:rsidR="007972F7" w:rsidRPr="00DC00DE">
        <w:rPr>
          <w:rFonts w:ascii="Book Antiqua" w:eastAsia="Book Antiqua" w:hAnsi="Book Antiqua" w:cs="Book Antiqua"/>
          <w:color w:val="000000"/>
        </w:rPr>
        <w:t>%</w:t>
      </w:r>
      <w:r w:rsidRPr="00DC00DE">
        <w:rPr>
          <w:rFonts w:ascii="Book Antiqua" w:eastAsia="Book Antiqua" w:hAnsi="Book Antiqua" w:cs="Book Antiqua"/>
          <w:color w:val="000000"/>
        </w:rPr>
        <w:t>-63%, but these patients are often asymptomatic</w:t>
      </w:r>
      <w:r w:rsidRPr="00DC00DE">
        <w:rPr>
          <w:rFonts w:ascii="Book Antiqua" w:eastAsia="Book Antiqua" w:hAnsi="Book Antiqua" w:cs="Book Antiqua"/>
          <w:color w:val="000000"/>
          <w:vertAlign w:val="superscript"/>
        </w:rPr>
        <w:t>[2]</w:t>
      </w:r>
      <w:r w:rsidRPr="00DC00DE">
        <w:rPr>
          <w:rFonts w:ascii="Book Antiqua" w:eastAsia="Book Antiqua" w:hAnsi="Book Antiqua" w:cs="Book Antiqua"/>
          <w:color w:val="000000"/>
        </w:rPr>
        <w:t xml:space="preserve">. Many previous studies have shown that octreotide not only inhibits meal-stimulated cholecystokinin release from the small intestine and gallbladder contraction, but it also directly promotes gallbladder absorption, which may act synergistically to increase the concentration of prolithogenic factors in bile and facilitate </w:t>
      </w:r>
      <w:r w:rsidRPr="00DC00DE">
        <w:rPr>
          <w:rFonts w:ascii="Book Antiqua" w:eastAsia="Book Antiqua" w:hAnsi="Book Antiqua" w:cs="Book Antiqua"/>
          <w:color w:val="000000"/>
        </w:rPr>
        <w:lastRenderedPageBreak/>
        <w:t>nucleation and stone growth</w:t>
      </w:r>
      <w:r w:rsidRPr="00DC00DE">
        <w:rPr>
          <w:rFonts w:ascii="Book Antiqua" w:eastAsia="Book Antiqua" w:hAnsi="Book Antiqua" w:cs="Book Antiqua"/>
          <w:color w:val="000000"/>
          <w:vertAlign w:val="superscript"/>
        </w:rPr>
        <w:t>[4]</w:t>
      </w:r>
      <w:r w:rsidRPr="00DC00DE">
        <w:rPr>
          <w:rFonts w:ascii="Book Antiqua" w:eastAsia="Book Antiqua" w:hAnsi="Book Antiqua" w:cs="Book Antiqua"/>
          <w:color w:val="000000"/>
        </w:rPr>
        <w:t>. Moreover, octreotide induces lithogenic changes in bile composition and physical chemistry such as supersaturated bile, excess biliary cholesterol transport in vesicles, a high vesicular cholesterol: phospholipids molar ratio, and abnormally rapid nucleation of cholesterol microcrystals</w:t>
      </w:r>
      <w:r w:rsidRPr="00DC00DE">
        <w:rPr>
          <w:rFonts w:ascii="Book Antiqua" w:eastAsia="Book Antiqua" w:hAnsi="Book Antiqua" w:cs="Book Antiqua"/>
          <w:color w:val="000000"/>
          <w:vertAlign w:val="superscript"/>
        </w:rPr>
        <w:t>[5]</w:t>
      </w:r>
      <w:r w:rsidRPr="00DC00DE">
        <w:rPr>
          <w:rFonts w:ascii="Book Antiqua" w:eastAsia="Book Antiqua" w:hAnsi="Book Antiqua" w:cs="Book Antiqua"/>
          <w:color w:val="000000"/>
        </w:rPr>
        <w:t>. Some studies have shown that octreotide prolonged intestinal transit leads to increased deoxycholic acid absorption from the colon and thereby the risk of gallstone formation</w:t>
      </w:r>
      <w:r w:rsidRPr="00DC00DE">
        <w:rPr>
          <w:rFonts w:ascii="Book Antiqua" w:eastAsia="Book Antiqua" w:hAnsi="Book Antiqua" w:cs="Book Antiqua"/>
          <w:color w:val="000000"/>
          <w:vertAlign w:val="superscript"/>
        </w:rPr>
        <w:t>[6,7]</w:t>
      </w:r>
      <w:r w:rsidRPr="00DC00DE">
        <w:rPr>
          <w:rFonts w:ascii="Book Antiqua" w:eastAsia="Book Antiqua" w:hAnsi="Book Antiqua" w:cs="Book Antiqua"/>
          <w:color w:val="000000"/>
        </w:rPr>
        <w:t>, which was consistent with the long-term retention of CM in the gallbladder and colon in this case. In addition, octreotide inhibits the usual prandial relaxation of the sphincter of Oddi, thus creating physical conditions favoring microcrystal precipitation and stone formation</w:t>
      </w:r>
      <w:r w:rsidRPr="00DC00DE">
        <w:rPr>
          <w:rFonts w:ascii="Book Antiqua" w:eastAsia="Book Antiqua" w:hAnsi="Book Antiqua" w:cs="Book Antiqua"/>
          <w:color w:val="000000"/>
          <w:vertAlign w:val="superscript"/>
        </w:rPr>
        <w:t>[6]</w:t>
      </w:r>
      <w:r w:rsidRPr="00DC00DE">
        <w:rPr>
          <w:rFonts w:ascii="Book Antiqua" w:eastAsia="Book Antiqua" w:hAnsi="Book Antiqua" w:cs="Book Antiqua"/>
          <w:color w:val="000000"/>
        </w:rPr>
        <w:t>. The development of stones occurs after an average period of 3 years, and increases with the dose of medication and duration of treatment</w:t>
      </w:r>
      <w:r w:rsidRPr="00DC00DE">
        <w:rPr>
          <w:rFonts w:ascii="Book Antiqua" w:eastAsia="Book Antiqua" w:hAnsi="Book Antiqua" w:cs="Book Antiqua"/>
          <w:color w:val="000000"/>
          <w:vertAlign w:val="superscript"/>
        </w:rPr>
        <w:t>[8]</w:t>
      </w:r>
      <w:r w:rsidRPr="00DC00DE">
        <w:rPr>
          <w:rFonts w:ascii="Book Antiqua" w:eastAsia="Book Antiqua" w:hAnsi="Book Antiqua" w:cs="Book Antiqua"/>
          <w:color w:val="000000"/>
        </w:rPr>
        <w:t xml:space="preserve">. In this patient, the gallbladder sediment-like stones developed after treatment with octreotide for only 5 d, which was inconsistent with previous studies. Parasher </w:t>
      </w:r>
      <w:r w:rsidRPr="00DC00DE">
        <w:rPr>
          <w:rFonts w:ascii="Book Antiqua" w:eastAsia="Book Antiqua" w:hAnsi="Book Antiqua" w:cs="Book Antiqua"/>
          <w:i/>
          <w:iCs/>
          <w:color w:val="000000"/>
        </w:rPr>
        <w:t>et al</w:t>
      </w:r>
      <w:r w:rsidRPr="00DC00DE">
        <w:rPr>
          <w:rFonts w:ascii="Book Antiqua" w:eastAsia="Book Antiqua" w:hAnsi="Book Antiqua" w:cs="Book Antiqua"/>
          <w:color w:val="000000"/>
          <w:vertAlign w:val="superscript"/>
        </w:rPr>
        <w:t>[9]</w:t>
      </w:r>
      <w:r w:rsidRPr="00DC00DE">
        <w:rPr>
          <w:rFonts w:ascii="Book Antiqua" w:eastAsia="Book Antiqua" w:hAnsi="Book Antiqua" w:cs="Book Antiqua"/>
          <w:color w:val="000000"/>
        </w:rPr>
        <w:t xml:space="preserve"> demonstrated that ERCP CMs have crystals that can mimic calcium bilirubinate granules (pseudomicrolithiasis). In our patient, we speculate that the cause of intrahepatic cholestasis was calculi in the intrahepatic biliary tract induced by octreotide after VCME through the hepatobiliary system, as autoimmune liver disease, hemolytic and hepatocellular jaundice were excluded, and the intrahepatic bile duct did not dilate. When the CM was excreted into the hepatobiliary system, which was retained for a long time and concentrated by octreotide, this may have changed the physicochemical properties of bile and decreased nucleation time, resulting in the formation of acute gallstones. Similar changes might have occurred simultaneously in the intrahepatic biliary tree, which was the cause of poor bile excretion, and led to intrahepatic cholestasis and jaundice. When these gallstones were eliminated and passed through the duodenal papilla, they were embedded and induced acute pancreatitis. Ju </w:t>
      </w:r>
      <w:r w:rsidRPr="00DC00DE">
        <w:rPr>
          <w:rFonts w:ascii="Book Antiqua" w:eastAsia="Book Antiqua" w:hAnsi="Book Antiqua" w:cs="Book Antiqua"/>
          <w:i/>
          <w:iCs/>
          <w:color w:val="000000"/>
        </w:rPr>
        <w:t>et al</w:t>
      </w:r>
      <w:r w:rsidRPr="00DC00DE">
        <w:rPr>
          <w:rFonts w:ascii="Book Antiqua" w:eastAsia="Book Antiqua" w:hAnsi="Book Antiqua" w:cs="Book Antiqua"/>
          <w:color w:val="000000"/>
          <w:vertAlign w:val="superscript"/>
        </w:rPr>
        <w:t>[10]</w:t>
      </w:r>
      <w:r w:rsidRPr="00DC00DE">
        <w:rPr>
          <w:rFonts w:ascii="Book Antiqua" w:eastAsia="Book Antiqua" w:hAnsi="Book Antiqua" w:cs="Book Antiqua"/>
          <w:color w:val="000000"/>
        </w:rPr>
        <w:t xml:space="preserve"> demonstrated that the growth of gallbladder endothelial cells was significantly inhibited by CM and was positively correlated with osmotic pressure. Unfortunately, analysis of gallstones composition was not performed. In our patient, the causes of cholangitis may have been cholestasis, long-term indwelling nasobiliary catheter, and CM damage to the bile duct epithelium. </w:t>
      </w:r>
      <w:r w:rsidRPr="00DC00DE">
        <w:rPr>
          <w:rFonts w:ascii="Book Antiqua" w:eastAsia="Book Antiqua" w:hAnsi="Book Antiqua" w:cs="Book Antiqua"/>
          <w:color w:val="000000"/>
        </w:rPr>
        <w:lastRenderedPageBreak/>
        <w:t>Gallstones, cholestasis, and cholangitis caused severe jaundice, which can induce bilirubin encephalopathy.</w:t>
      </w:r>
    </w:p>
    <w:p w14:paraId="3925F21C" w14:textId="77777777" w:rsidR="00A77B3E" w:rsidRPr="00DC00DE" w:rsidRDefault="00A77B3E" w:rsidP="00A96959">
      <w:pPr>
        <w:spacing w:line="360" w:lineRule="auto"/>
        <w:ind w:firstLine="480"/>
        <w:jc w:val="both"/>
        <w:rPr>
          <w:rFonts w:ascii="Book Antiqua" w:hAnsi="Book Antiqua"/>
        </w:rPr>
      </w:pPr>
    </w:p>
    <w:p w14:paraId="7FC5FEB3"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aps/>
          <w:color w:val="000000"/>
          <w:u w:val="single"/>
        </w:rPr>
        <w:t>CONCLUSION</w:t>
      </w:r>
    </w:p>
    <w:p w14:paraId="69C913C2"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Although symptomatic VCME and octreotide-induced gallstones are relatively rare, with the widespread use of CM, the frequency of this rare complication is expected to increase and careful observation of patients is required in order not to miss the opportunity of treatment especially when the patient is at high risk of ectopic excretion. As we did not have data on the composition of the gallstones to confirm our hypothesis, future research is required.</w:t>
      </w:r>
    </w:p>
    <w:p w14:paraId="6207E7B2" w14:textId="77777777" w:rsidR="00A77B3E" w:rsidRPr="00DC00DE" w:rsidRDefault="00A77B3E" w:rsidP="00A96959">
      <w:pPr>
        <w:spacing w:line="360" w:lineRule="auto"/>
        <w:jc w:val="both"/>
        <w:rPr>
          <w:rFonts w:ascii="Book Antiqua" w:hAnsi="Book Antiqua"/>
        </w:rPr>
      </w:pPr>
    </w:p>
    <w:p w14:paraId="645078EB"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REFERENCES</w:t>
      </w:r>
    </w:p>
    <w:p w14:paraId="7E3BC6BA" w14:textId="77777777" w:rsidR="00A77B3E" w:rsidRPr="00DC00DE" w:rsidRDefault="001E078C" w:rsidP="00A96959">
      <w:pPr>
        <w:spacing w:line="360" w:lineRule="auto"/>
        <w:jc w:val="both"/>
        <w:rPr>
          <w:rFonts w:ascii="Book Antiqua" w:hAnsi="Book Antiqua"/>
        </w:rPr>
      </w:pPr>
      <w:bookmarkStart w:id="3" w:name="OLE_LINK3"/>
      <w:r w:rsidRPr="00DC00DE">
        <w:rPr>
          <w:rFonts w:ascii="Book Antiqua" w:eastAsia="Book Antiqua" w:hAnsi="Book Antiqua" w:cs="Book Antiqua"/>
          <w:color w:val="000000"/>
        </w:rPr>
        <w:t xml:space="preserve">1 </w:t>
      </w:r>
      <w:r w:rsidRPr="00DC00DE">
        <w:rPr>
          <w:rFonts w:ascii="Book Antiqua" w:eastAsia="Book Antiqua" w:hAnsi="Book Antiqua" w:cs="Book Antiqua"/>
          <w:b/>
          <w:bCs/>
          <w:color w:val="000000"/>
        </w:rPr>
        <w:t>Yamazaki H</w:t>
      </w:r>
      <w:r w:rsidRPr="00DC00DE">
        <w:rPr>
          <w:rFonts w:ascii="Book Antiqua" w:eastAsia="Book Antiqua" w:hAnsi="Book Antiqua" w:cs="Book Antiqua"/>
          <w:color w:val="000000"/>
        </w:rPr>
        <w:t xml:space="preserve">, Oi H, Matsushita M, </w:t>
      </w:r>
      <w:proofErr w:type="spellStart"/>
      <w:r w:rsidRPr="00DC00DE">
        <w:rPr>
          <w:rFonts w:ascii="Book Antiqua" w:eastAsia="Book Antiqua" w:hAnsi="Book Antiqua" w:cs="Book Antiqua"/>
          <w:color w:val="000000"/>
        </w:rPr>
        <w:t>Teshima</w:t>
      </w:r>
      <w:proofErr w:type="spellEnd"/>
      <w:r w:rsidRPr="00DC00DE">
        <w:rPr>
          <w:rFonts w:ascii="Book Antiqua" w:eastAsia="Book Antiqua" w:hAnsi="Book Antiqua" w:cs="Book Antiqua"/>
          <w:color w:val="000000"/>
        </w:rPr>
        <w:t xml:space="preserve"> T, Murayama S, Nose T, Koizumi T, Tanaka E. Gallbladder opacification 12-24 h after angiography by CT examination: a multivariate analysis. </w:t>
      </w:r>
      <w:proofErr w:type="spellStart"/>
      <w:r w:rsidRPr="00DC00DE">
        <w:rPr>
          <w:rFonts w:ascii="Book Antiqua" w:eastAsia="Book Antiqua" w:hAnsi="Book Antiqua" w:cs="Book Antiqua"/>
          <w:i/>
          <w:iCs/>
          <w:color w:val="000000"/>
        </w:rPr>
        <w:t>Abdom</w:t>
      </w:r>
      <w:proofErr w:type="spellEnd"/>
      <w:r w:rsidRPr="00DC00DE">
        <w:rPr>
          <w:rFonts w:ascii="Book Antiqua" w:eastAsia="Book Antiqua" w:hAnsi="Book Antiqua" w:cs="Book Antiqua"/>
          <w:i/>
          <w:iCs/>
          <w:color w:val="000000"/>
        </w:rPr>
        <w:t xml:space="preserve"> Imaging</w:t>
      </w:r>
      <w:r w:rsidRPr="00DC00DE">
        <w:rPr>
          <w:rFonts w:ascii="Book Antiqua" w:eastAsia="Book Antiqua" w:hAnsi="Book Antiqua" w:cs="Book Antiqua"/>
          <w:color w:val="000000"/>
        </w:rPr>
        <w:t xml:space="preserve"> 1996; </w:t>
      </w:r>
      <w:r w:rsidRPr="00DC00DE">
        <w:rPr>
          <w:rFonts w:ascii="Book Antiqua" w:eastAsia="Book Antiqua" w:hAnsi="Book Antiqua" w:cs="Book Antiqua"/>
          <w:b/>
          <w:bCs/>
          <w:color w:val="000000"/>
        </w:rPr>
        <w:t>21</w:t>
      </w:r>
      <w:r w:rsidRPr="00DC00DE">
        <w:rPr>
          <w:rFonts w:ascii="Book Antiqua" w:eastAsia="Book Antiqua" w:hAnsi="Book Antiqua" w:cs="Book Antiqua"/>
          <w:color w:val="000000"/>
        </w:rPr>
        <w:t>: 507-511 [PMID: 8875872 DOI: 10.1007/s002619900114]</w:t>
      </w:r>
    </w:p>
    <w:p w14:paraId="5643DB55"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2 </w:t>
      </w:r>
      <w:r w:rsidRPr="00DC00DE">
        <w:rPr>
          <w:rFonts w:ascii="Book Antiqua" w:eastAsia="Book Antiqua" w:hAnsi="Book Antiqua" w:cs="Book Antiqua"/>
          <w:b/>
          <w:bCs/>
          <w:color w:val="000000"/>
        </w:rPr>
        <w:t>Bergeron E</w:t>
      </w:r>
      <w:r w:rsidRPr="00DC00DE">
        <w:rPr>
          <w:rFonts w:ascii="Book Antiqua" w:eastAsia="Book Antiqua" w:hAnsi="Book Antiqua" w:cs="Book Antiqua"/>
          <w:color w:val="000000"/>
        </w:rPr>
        <w:t xml:space="preserve">, </w:t>
      </w:r>
      <w:proofErr w:type="spellStart"/>
      <w:r w:rsidRPr="00DC00DE">
        <w:rPr>
          <w:rFonts w:ascii="Book Antiqua" w:eastAsia="Book Antiqua" w:hAnsi="Book Antiqua" w:cs="Book Antiqua"/>
          <w:color w:val="000000"/>
        </w:rPr>
        <w:t>Bensoussan</w:t>
      </w:r>
      <w:proofErr w:type="spellEnd"/>
      <w:r w:rsidRPr="00DC00DE">
        <w:rPr>
          <w:rFonts w:ascii="Book Antiqua" w:eastAsia="Book Antiqua" w:hAnsi="Book Antiqua" w:cs="Book Antiqua"/>
          <w:color w:val="000000"/>
        </w:rPr>
        <w:t xml:space="preserve"> M. Massively distended, necrotic and hemorrhagic gallbladder in a long-term octreotide-treated patient with added </w:t>
      </w:r>
      <w:proofErr w:type="spellStart"/>
      <w:r w:rsidRPr="00DC00DE">
        <w:rPr>
          <w:rFonts w:ascii="Book Antiqua" w:eastAsia="Book Antiqua" w:hAnsi="Book Antiqua" w:cs="Book Antiqua"/>
          <w:color w:val="000000"/>
        </w:rPr>
        <w:t>everolimus</w:t>
      </w:r>
      <w:proofErr w:type="spellEnd"/>
      <w:r w:rsidRPr="00DC00DE">
        <w:rPr>
          <w:rFonts w:ascii="Book Antiqua" w:eastAsia="Book Antiqua" w:hAnsi="Book Antiqua" w:cs="Book Antiqua"/>
          <w:color w:val="000000"/>
        </w:rPr>
        <w:t xml:space="preserve">. </w:t>
      </w:r>
      <w:r w:rsidRPr="00DC00DE">
        <w:rPr>
          <w:rFonts w:ascii="Book Antiqua" w:eastAsia="Book Antiqua" w:hAnsi="Book Antiqua" w:cs="Book Antiqua"/>
          <w:i/>
          <w:iCs/>
          <w:color w:val="000000"/>
        </w:rPr>
        <w:t>Int J Surg Case Rep</w:t>
      </w:r>
      <w:r w:rsidRPr="00DC00DE">
        <w:rPr>
          <w:rFonts w:ascii="Book Antiqua" w:eastAsia="Book Antiqua" w:hAnsi="Book Antiqua" w:cs="Book Antiqua"/>
          <w:color w:val="000000"/>
        </w:rPr>
        <w:t xml:space="preserve"> 2019; </w:t>
      </w:r>
      <w:r w:rsidRPr="00DC00DE">
        <w:rPr>
          <w:rFonts w:ascii="Book Antiqua" w:eastAsia="Book Antiqua" w:hAnsi="Book Antiqua" w:cs="Book Antiqua"/>
          <w:b/>
          <w:bCs/>
          <w:color w:val="000000"/>
        </w:rPr>
        <w:t>61</w:t>
      </w:r>
      <w:r w:rsidRPr="00DC00DE">
        <w:rPr>
          <w:rFonts w:ascii="Book Antiqua" w:eastAsia="Book Antiqua" w:hAnsi="Book Antiqua" w:cs="Book Antiqua"/>
          <w:color w:val="000000"/>
        </w:rPr>
        <w:t>: 107-110 [PMID: 31352317 DOI: 10.1016/j.ijscr.2019.07.014]</w:t>
      </w:r>
    </w:p>
    <w:p w14:paraId="04423F33"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3 </w:t>
      </w:r>
      <w:r w:rsidRPr="00DC00DE">
        <w:rPr>
          <w:rFonts w:ascii="Book Antiqua" w:eastAsia="Book Antiqua" w:hAnsi="Book Antiqua" w:cs="Book Antiqua"/>
          <w:b/>
          <w:bCs/>
          <w:color w:val="000000"/>
        </w:rPr>
        <w:t>Ku MC</w:t>
      </w:r>
      <w:r w:rsidRPr="00DC00DE">
        <w:rPr>
          <w:rFonts w:ascii="Book Antiqua" w:eastAsia="Book Antiqua" w:hAnsi="Book Antiqua" w:cs="Book Antiqua"/>
          <w:color w:val="000000"/>
        </w:rPr>
        <w:t xml:space="preserve">, </w:t>
      </w:r>
      <w:proofErr w:type="spellStart"/>
      <w:r w:rsidRPr="00DC00DE">
        <w:rPr>
          <w:rFonts w:ascii="Book Antiqua" w:eastAsia="Book Antiqua" w:hAnsi="Book Antiqua" w:cs="Book Antiqua"/>
          <w:color w:val="000000"/>
        </w:rPr>
        <w:t>Kok</w:t>
      </w:r>
      <w:proofErr w:type="spellEnd"/>
      <w:r w:rsidRPr="00DC00DE">
        <w:rPr>
          <w:rFonts w:ascii="Book Antiqua" w:eastAsia="Book Antiqua" w:hAnsi="Book Antiqua" w:cs="Book Antiqua"/>
          <w:color w:val="000000"/>
        </w:rPr>
        <w:t xml:space="preserve"> VC, Lee MY, Hsu SM, Lee PY, Chang CW, Tyan YS, Juan CW. Clinical analysis of contributors to the delayed gallbladder opacification following the use of water-soluble contrast medium. </w:t>
      </w:r>
      <w:proofErr w:type="spellStart"/>
      <w:r w:rsidRPr="00DC00DE">
        <w:rPr>
          <w:rFonts w:ascii="Book Antiqua" w:eastAsia="Book Antiqua" w:hAnsi="Book Antiqua" w:cs="Book Antiqua"/>
          <w:i/>
          <w:iCs/>
          <w:color w:val="000000"/>
        </w:rPr>
        <w:t>Ther</w:t>
      </w:r>
      <w:proofErr w:type="spellEnd"/>
      <w:r w:rsidRPr="00DC00DE">
        <w:rPr>
          <w:rFonts w:ascii="Book Antiqua" w:eastAsia="Book Antiqua" w:hAnsi="Book Antiqua" w:cs="Book Antiqua"/>
          <w:i/>
          <w:iCs/>
          <w:color w:val="000000"/>
        </w:rPr>
        <w:t xml:space="preserve"> </w:t>
      </w:r>
      <w:proofErr w:type="spellStart"/>
      <w:r w:rsidRPr="00DC00DE">
        <w:rPr>
          <w:rFonts w:ascii="Book Antiqua" w:eastAsia="Book Antiqua" w:hAnsi="Book Antiqua" w:cs="Book Antiqua"/>
          <w:i/>
          <w:iCs/>
          <w:color w:val="000000"/>
        </w:rPr>
        <w:t>Clin</w:t>
      </w:r>
      <w:proofErr w:type="spellEnd"/>
      <w:r w:rsidRPr="00DC00DE">
        <w:rPr>
          <w:rFonts w:ascii="Book Antiqua" w:eastAsia="Book Antiqua" w:hAnsi="Book Antiqua" w:cs="Book Antiqua"/>
          <w:i/>
          <w:iCs/>
          <w:color w:val="000000"/>
        </w:rPr>
        <w:t xml:space="preserve"> Risk </w:t>
      </w:r>
      <w:proofErr w:type="spellStart"/>
      <w:r w:rsidRPr="00DC00DE">
        <w:rPr>
          <w:rFonts w:ascii="Book Antiqua" w:eastAsia="Book Antiqua" w:hAnsi="Book Antiqua" w:cs="Book Antiqua"/>
          <w:i/>
          <w:iCs/>
          <w:color w:val="000000"/>
        </w:rPr>
        <w:t>Manag</w:t>
      </w:r>
      <w:proofErr w:type="spellEnd"/>
      <w:r w:rsidRPr="00DC00DE">
        <w:rPr>
          <w:rFonts w:ascii="Book Antiqua" w:eastAsia="Book Antiqua" w:hAnsi="Book Antiqua" w:cs="Book Antiqua"/>
          <w:color w:val="000000"/>
        </w:rPr>
        <w:t xml:space="preserve"> 2016; </w:t>
      </w:r>
      <w:r w:rsidRPr="00DC00DE">
        <w:rPr>
          <w:rFonts w:ascii="Book Antiqua" w:eastAsia="Book Antiqua" w:hAnsi="Book Antiqua" w:cs="Book Antiqua"/>
          <w:b/>
          <w:bCs/>
          <w:color w:val="000000"/>
        </w:rPr>
        <w:t>12</w:t>
      </w:r>
      <w:r w:rsidRPr="00DC00DE">
        <w:rPr>
          <w:rFonts w:ascii="Book Antiqua" w:eastAsia="Book Antiqua" w:hAnsi="Book Antiqua" w:cs="Book Antiqua"/>
          <w:color w:val="000000"/>
        </w:rPr>
        <w:t>: 1357-1364 [PMID: 27660453 DOI: 10.2147/TCRM.S116899]</w:t>
      </w:r>
    </w:p>
    <w:p w14:paraId="7C7F298B"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4 </w:t>
      </w:r>
      <w:proofErr w:type="spellStart"/>
      <w:r w:rsidRPr="00DC00DE">
        <w:rPr>
          <w:rFonts w:ascii="Book Antiqua" w:eastAsia="Book Antiqua" w:hAnsi="Book Antiqua" w:cs="Book Antiqua"/>
          <w:b/>
          <w:bCs/>
          <w:color w:val="000000"/>
        </w:rPr>
        <w:t>Moschetta</w:t>
      </w:r>
      <w:proofErr w:type="spellEnd"/>
      <w:r w:rsidRPr="00DC00DE">
        <w:rPr>
          <w:rFonts w:ascii="Book Antiqua" w:eastAsia="Book Antiqua" w:hAnsi="Book Antiqua" w:cs="Book Antiqua"/>
          <w:b/>
          <w:bCs/>
          <w:color w:val="000000"/>
        </w:rPr>
        <w:t xml:space="preserve"> A</w:t>
      </w:r>
      <w:r w:rsidRPr="00DC00DE">
        <w:rPr>
          <w:rFonts w:ascii="Book Antiqua" w:eastAsia="Book Antiqua" w:hAnsi="Book Antiqua" w:cs="Book Antiqua"/>
          <w:color w:val="000000"/>
        </w:rPr>
        <w:t xml:space="preserve">, </w:t>
      </w:r>
      <w:proofErr w:type="spellStart"/>
      <w:r w:rsidRPr="00DC00DE">
        <w:rPr>
          <w:rFonts w:ascii="Book Antiqua" w:eastAsia="Book Antiqua" w:hAnsi="Book Antiqua" w:cs="Book Antiqua"/>
          <w:color w:val="000000"/>
        </w:rPr>
        <w:t>Stolk</w:t>
      </w:r>
      <w:proofErr w:type="spellEnd"/>
      <w:r w:rsidRPr="00DC00DE">
        <w:rPr>
          <w:rFonts w:ascii="Book Antiqua" w:eastAsia="Book Antiqua" w:hAnsi="Book Antiqua" w:cs="Book Antiqua"/>
          <w:color w:val="000000"/>
        </w:rPr>
        <w:t xml:space="preserve"> MF, </w:t>
      </w:r>
      <w:proofErr w:type="spellStart"/>
      <w:r w:rsidRPr="00DC00DE">
        <w:rPr>
          <w:rFonts w:ascii="Book Antiqua" w:eastAsia="Book Antiqua" w:hAnsi="Book Antiqua" w:cs="Book Antiqua"/>
          <w:color w:val="000000"/>
        </w:rPr>
        <w:t>Rehfeld</w:t>
      </w:r>
      <w:proofErr w:type="spellEnd"/>
      <w:r w:rsidRPr="00DC00DE">
        <w:rPr>
          <w:rFonts w:ascii="Book Antiqua" w:eastAsia="Book Antiqua" w:hAnsi="Book Antiqua" w:cs="Book Antiqua"/>
          <w:color w:val="000000"/>
        </w:rPr>
        <w:t xml:space="preserve"> JF, </w:t>
      </w:r>
      <w:proofErr w:type="spellStart"/>
      <w:r w:rsidRPr="00DC00DE">
        <w:rPr>
          <w:rFonts w:ascii="Book Antiqua" w:eastAsia="Book Antiqua" w:hAnsi="Book Antiqua" w:cs="Book Antiqua"/>
          <w:color w:val="000000"/>
        </w:rPr>
        <w:t>Portincasa</w:t>
      </w:r>
      <w:proofErr w:type="spellEnd"/>
      <w:r w:rsidRPr="00DC00DE">
        <w:rPr>
          <w:rFonts w:ascii="Book Antiqua" w:eastAsia="Book Antiqua" w:hAnsi="Book Antiqua" w:cs="Book Antiqua"/>
          <w:color w:val="000000"/>
        </w:rPr>
        <w:t xml:space="preserve"> P, </w:t>
      </w:r>
      <w:proofErr w:type="spellStart"/>
      <w:r w:rsidRPr="00DC00DE">
        <w:rPr>
          <w:rFonts w:ascii="Book Antiqua" w:eastAsia="Book Antiqua" w:hAnsi="Book Antiqua" w:cs="Book Antiqua"/>
          <w:color w:val="000000"/>
        </w:rPr>
        <w:t>Slee</w:t>
      </w:r>
      <w:proofErr w:type="spellEnd"/>
      <w:r w:rsidRPr="00DC00DE">
        <w:rPr>
          <w:rFonts w:ascii="Book Antiqua" w:eastAsia="Book Antiqua" w:hAnsi="Book Antiqua" w:cs="Book Antiqua"/>
          <w:color w:val="000000"/>
        </w:rPr>
        <w:t xml:space="preserve"> PH, </w:t>
      </w:r>
      <w:proofErr w:type="spellStart"/>
      <w:r w:rsidRPr="00DC00DE">
        <w:rPr>
          <w:rFonts w:ascii="Book Antiqua" w:eastAsia="Book Antiqua" w:hAnsi="Book Antiqua" w:cs="Book Antiqua"/>
          <w:color w:val="000000"/>
        </w:rPr>
        <w:t>Koppeschaar</w:t>
      </w:r>
      <w:proofErr w:type="spellEnd"/>
      <w:r w:rsidRPr="00DC00DE">
        <w:rPr>
          <w:rFonts w:ascii="Book Antiqua" w:eastAsia="Book Antiqua" w:hAnsi="Book Antiqua" w:cs="Book Antiqua"/>
          <w:color w:val="000000"/>
        </w:rPr>
        <w:t xml:space="preserve"> HP, Van </w:t>
      </w:r>
      <w:proofErr w:type="spellStart"/>
      <w:r w:rsidRPr="00DC00DE">
        <w:rPr>
          <w:rFonts w:ascii="Book Antiqua" w:eastAsia="Book Antiqua" w:hAnsi="Book Antiqua" w:cs="Book Antiqua"/>
          <w:color w:val="000000"/>
        </w:rPr>
        <w:t>Erpecum</w:t>
      </w:r>
      <w:proofErr w:type="spellEnd"/>
      <w:r w:rsidRPr="00DC00DE">
        <w:rPr>
          <w:rFonts w:ascii="Book Antiqua" w:eastAsia="Book Antiqua" w:hAnsi="Book Antiqua" w:cs="Book Antiqua"/>
          <w:color w:val="000000"/>
        </w:rPr>
        <w:t xml:space="preserve"> KJ, </w:t>
      </w:r>
      <w:proofErr w:type="spellStart"/>
      <w:r w:rsidRPr="00DC00DE">
        <w:rPr>
          <w:rFonts w:ascii="Book Antiqua" w:eastAsia="Book Antiqua" w:hAnsi="Book Antiqua" w:cs="Book Antiqua"/>
          <w:color w:val="000000"/>
        </w:rPr>
        <w:t>Vanberge-Henegouwen</w:t>
      </w:r>
      <w:proofErr w:type="spellEnd"/>
      <w:r w:rsidRPr="00DC00DE">
        <w:rPr>
          <w:rFonts w:ascii="Book Antiqua" w:eastAsia="Book Antiqua" w:hAnsi="Book Antiqua" w:cs="Book Antiqua"/>
          <w:color w:val="000000"/>
        </w:rPr>
        <w:t xml:space="preserve"> GP. Severe impairment of postprandial cholecystokinin release and gall-bladder emptying and high risk of gallstone formation in </w:t>
      </w:r>
      <w:proofErr w:type="spellStart"/>
      <w:r w:rsidRPr="00DC00DE">
        <w:rPr>
          <w:rFonts w:ascii="Book Antiqua" w:eastAsia="Book Antiqua" w:hAnsi="Book Antiqua" w:cs="Book Antiqua"/>
          <w:color w:val="000000"/>
        </w:rPr>
        <w:t>acromegalic</w:t>
      </w:r>
      <w:proofErr w:type="spellEnd"/>
      <w:r w:rsidRPr="00DC00DE">
        <w:rPr>
          <w:rFonts w:ascii="Book Antiqua" w:eastAsia="Book Antiqua" w:hAnsi="Book Antiqua" w:cs="Book Antiqua"/>
          <w:color w:val="000000"/>
        </w:rPr>
        <w:t xml:space="preserve"> patients during </w:t>
      </w:r>
      <w:proofErr w:type="spellStart"/>
      <w:r w:rsidRPr="00DC00DE">
        <w:rPr>
          <w:rFonts w:ascii="Book Antiqua" w:eastAsia="Book Antiqua" w:hAnsi="Book Antiqua" w:cs="Book Antiqua"/>
          <w:color w:val="000000"/>
        </w:rPr>
        <w:t>Sandostatin</w:t>
      </w:r>
      <w:proofErr w:type="spellEnd"/>
      <w:r w:rsidRPr="00DC00DE">
        <w:rPr>
          <w:rFonts w:ascii="Book Antiqua" w:eastAsia="Book Antiqua" w:hAnsi="Book Antiqua" w:cs="Book Antiqua"/>
          <w:color w:val="000000"/>
        </w:rPr>
        <w:t xml:space="preserve"> LAR. </w:t>
      </w:r>
      <w:r w:rsidRPr="00DC00DE">
        <w:rPr>
          <w:rFonts w:ascii="Book Antiqua" w:eastAsia="Book Antiqua" w:hAnsi="Book Antiqua" w:cs="Book Antiqua"/>
          <w:i/>
          <w:iCs/>
          <w:color w:val="000000"/>
        </w:rPr>
        <w:t xml:space="preserve">Aliment </w:t>
      </w:r>
      <w:proofErr w:type="spellStart"/>
      <w:r w:rsidRPr="00DC00DE">
        <w:rPr>
          <w:rFonts w:ascii="Book Antiqua" w:eastAsia="Book Antiqua" w:hAnsi="Book Antiqua" w:cs="Book Antiqua"/>
          <w:i/>
          <w:iCs/>
          <w:color w:val="000000"/>
        </w:rPr>
        <w:t>Pharmacol</w:t>
      </w:r>
      <w:proofErr w:type="spellEnd"/>
      <w:r w:rsidRPr="00DC00DE">
        <w:rPr>
          <w:rFonts w:ascii="Book Antiqua" w:eastAsia="Book Antiqua" w:hAnsi="Book Antiqua" w:cs="Book Antiqua"/>
          <w:i/>
          <w:iCs/>
          <w:color w:val="000000"/>
        </w:rPr>
        <w:t xml:space="preserve"> </w:t>
      </w:r>
      <w:proofErr w:type="spellStart"/>
      <w:r w:rsidRPr="00DC00DE">
        <w:rPr>
          <w:rFonts w:ascii="Book Antiqua" w:eastAsia="Book Antiqua" w:hAnsi="Book Antiqua" w:cs="Book Antiqua"/>
          <w:i/>
          <w:iCs/>
          <w:color w:val="000000"/>
        </w:rPr>
        <w:t>Ther</w:t>
      </w:r>
      <w:proofErr w:type="spellEnd"/>
      <w:r w:rsidRPr="00DC00DE">
        <w:rPr>
          <w:rFonts w:ascii="Book Antiqua" w:eastAsia="Book Antiqua" w:hAnsi="Book Antiqua" w:cs="Book Antiqua"/>
          <w:color w:val="000000"/>
        </w:rPr>
        <w:t xml:space="preserve"> 2001; </w:t>
      </w:r>
      <w:r w:rsidRPr="00DC00DE">
        <w:rPr>
          <w:rFonts w:ascii="Book Antiqua" w:eastAsia="Book Antiqua" w:hAnsi="Book Antiqua" w:cs="Book Antiqua"/>
          <w:b/>
          <w:bCs/>
          <w:color w:val="000000"/>
        </w:rPr>
        <w:t>15</w:t>
      </w:r>
      <w:r w:rsidRPr="00DC00DE">
        <w:rPr>
          <w:rFonts w:ascii="Book Antiqua" w:eastAsia="Book Antiqua" w:hAnsi="Book Antiqua" w:cs="Book Antiqua"/>
          <w:color w:val="000000"/>
        </w:rPr>
        <w:t>: 181-185 [PMID: 11148435 DOI: 10.1046/j.1365-2036.2001.00924.x]</w:t>
      </w:r>
    </w:p>
    <w:p w14:paraId="3569A52B"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lastRenderedPageBreak/>
        <w:t xml:space="preserve">5 </w:t>
      </w:r>
      <w:proofErr w:type="spellStart"/>
      <w:r w:rsidRPr="00DC00DE">
        <w:rPr>
          <w:rFonts w:ascii="Book Antiqua" w:eastAsia="Book Antiqua" w:hAnsi="Book Antiqua" w:cs="Book Antiqua"/>
          <w:b/>
          <w:bCs/>
          <w:color w:val="000000"/>
        </w:rPr>
        <w:t>Hussaini</w:t>
      </w:r>
      <w:proofErr w:type="spellEnd"/>
      <w:r w:rsidRPr="00DC00DE">
        <w:rPr>
          <w:rFonts w:ascii="Book Antiqua" w:eastAsia="Book Antiqua" w:hAnsi="Book Antiqua" w:cs="Book Antiqua"/>
          <w:b/>
          <w:bCs/>
          <w:color w:val="000000"/>
        </w:rPr>
        <w:t xml:space="preserve"> SH</w:t>
      </w:r>
      <w:r w:rsidRPr="00DC00DE">
        <w:rPr>
          <w:rFonts w:ascii="Book Antiqua" w:eastAsia="Book Antiqua" w:hAnsi="Book Antiqua" w:cs="Book Antiqua"/>
          <w:color w:val="000000"/>
        </w:rPr>
        <w:t xml:space="preserve">, Murphy GM, Kennedy C, Besser GM, Wass JA, Dowling RH. The role of bile composition and physical chemistry in the pathogenesis of octreotide-associated gallbladder stones. </w:t>
      </w:r>
      <w:r w:rsidRPr="00DC00DE">
        <w:rPr>
          <w:rFonts w:ascii="Book Antiqua" w:eastAsia="Book Antiqua" w:hAnsi="Book Antiqua" w:cs="Book Antiqua"/>
          <w:i/>
          <w:iCs/>
          <w:color w:val="000000"/>
        </w:rPr>
        <w:t>Gastroenterology</w:t>
      </w:r>
      <w:r w:rsidRPr="00DC00DE">
        <w:rPr>
          <w:rFonts w:ascii="Book Antiqua" w:eastAsia="Book Antiqua" w:hAnsi="Book Antiqua" w:cs="Book Antiqua"/>
          <w:color w:val="000000"/>
        </w:rPr>
        <w:t xml:space="preserve"> 1994; </w:t>
      </w:r>
      <w:r w:rsidRPr="00DC00DE">
        <w:rPr>
          <w:rFonts w:ascii="Book Antiqua" w:eastAsia="Book Antiqua" w:hAnsi="Book Antiqua" w:cs="Book Antiqua"/>
          <w:b/>
          <w:bCs/>
          <w:color w:val="000000"/>
        </w:rPr>
        <w:t>107</w:t>
      </w:r>
      <w:r w:rsidRPr="00DC00DE">
        <w:rPr>
          <w:rFonts w:ascii="Book Antiqua" w:eastAsia="Book Antiqua" w:hAnsi="Book Antiqua" w:cs="Book Antiqua"/>
          <w:color w:val="000000"/>
        </w:rPr>
        <w:t>: 1503-1513 [PMID: 7926514 DOI: 10.1016/0016-5085(94)90556-8]</w:t>
      </w:r>
    </w:p>
    <w:p w14:paraId="30F23D36"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6 </w:t>
      </w:r>
      <w:r w:rsidRPr="00DC00DE">
        <w:rPr>
          <w:rFonts w:ascii="Book Antiqua" w:eastAsia="Book Antiqua" w:hAnsi="Book Antiqua" w:cs="Book Antiqua"/>
          <w:b/>
          <w:bCs/>
          <w:color w:val="000000"/>
        </w:rPr>
        <w:t>Hofmann AF</w:t>
      </w:r>
      <w:r w:rsidRPr="00DC00DE">
        <w:rPr>
          <w:rFonts w:ascii="Book Antiqua" w:eastAsia="Book Antiqua" w:hAnsi="Book Antiqua" w:cs="Book Antiqua"/>
          <w:color w:val="000000"/>
        </w:rPr>
        <w:t xml:space="preserve">. Increased deoxycholic acid absorption and gall stones in acromegalic patients treated with octreotide: more evidence for a connection between slow transit constipation and gall stones. </w:t>
      </w:r>
      <w:r w:rsidRPr="00DC00DE">
        <w:rPr>
          <w:rFonts w:ascii="Book Antiqua" w:eastAsia="Book Antiqua" w:hAnsi="Book Antiqua" w:cs="Book Antiqua"/>
          <w:i/>
          <w:iCs/>
          <w:color w:val="000000"/>
        </w:rPr>
        <w:t>Gut</w:t>
      </w:r>
      <w:r w:rsidRPr="00DC00DE">
        <w:rPr>
          <w:rFonts w:ascii="Book Antiqua" w:eastAsia="Book Antiqua" w:hAnsi="Book Antiqua" w:cs="Book Antiqua"/>
          <w:color w:val="000000"/>
        </w:rPr>
        <w:t xml:space="preserve"> 2005; </w:t>
      </w:r>
      <w:r w:rsidRPr="00DC00DE">
        <w:rPr>
          <w:rFonts w:ascii="Book Antiqua" w:eastAsia="Book Antiqua" w:hAnsi="Book Antiqua" w:cs="Book Antiqua"/>
          <w:b/>
          <w:bCs/>
          <w:color w:val="000000"/>
        </w:rPr>
        <w:t>54</w:t>
      </w:r>
      <w:r w:rsidRPr="00DC00DE">
        <w:rPr>
          <w:rFonts w:ascii="Book Antiqua" w:eastAsia="Book Antiqua" w:hAnsi="Book Antiqua" w:cs="Book Antiqua"/>
          <w:color w:val="000000"/>
        </w:rPr>
        <w:t>: 575-578 [PMID: 15831896 DOI: 10.1136/gut.2004.048074]</w:t>
      </w:r>
    </w:p>
    <w:p w14:paraId="58230B3F"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7 </w:t>
      </w:r>
      <w:r w:rsidRPr="00DC00DE">
        <w:rPr>
          <w:rFonts w:ascii="Book Antiqua" w:eastAsia="Book Antiqua" w:hAnsi="Book Antiqua" w:cs="Book Antiqua"/>
          <w:b/>
          <w:bCs/>
          <w:color w:val="000000"/>
        </w:rPr>
        <w:t>Thomas LA</w:t>
      </w:r>
      <w:r w:rsidRPr="00DC00DE">
        <w:rPr>
          <w:rFonts w:ascii="Book Antiqua" w:eastAsia="Book Antiqua" w:hAnsi="Book Antiqua" w:cs="Book Antiqua"/>
          <w:color w:val="000000"/>
        </w:rPr>
        <w:t xml:space="preserve">, </w:t>
      </w:r>
      <w:proofErr w:type="spellStart"/>
      <w:r w:rsidRPr="00DC00DE">
        <w:rPr>
          <w:rFonts w:ascii="Book Antiqua" w:eastAsia="Book Antiqua" w:hAnsi="Book Antiqua" w:cs="Book Antiqua"/>
          <w:color w:val="000000"/>
        </w:rPr>
        <w:t>Veysey</w:t>
      </w:r>
      <w:proofErr w:type="spellEnd"/>
      <w:r w:rsidRPr="00DC00DE">
        <w:rPr>
          <w:rFonts w:ascii="Book Antiqua" w:eastAsia="Book Antiqua" w:hAnsi="Book Antiqua" w:cs="Book Antiqua"/>
          <w:color w:val="000000"/>
        </w:rPr>
        <w:t xml:space="preserve"> MJ, Murphy GM, Russell-Jones D, French GL, Wass JA, Dowling RH. Octreotide induced prolongation of colonic transit increases </w:t>
      </w:r>
      <w:proofErr w:type="spellStart"/>
      <w:r w:rsidRPr="00DC00DE">
        <w:rPr>
          <w:rFonts w:ascii="Book Antiqua" w:eastAsia="Book Antiqua" w:hAnsi="Book Antiqua" w:cs="Book Antiqua"/>
          <w:color w:val="000000"/>
        </w:rPr>
        <w:t>faecal</w:t>
      </w:r>
      <w:proofErr w:type="spellEnd"/>
      <w:r w:rsidRPr="00DC00DE">
        <w:rPr>
          <w:rFonts w:ascii="Book Antiqua" w:eastAsia="Book Antiqua" w:hAnsi="Book Antiqua" w:cs="Book Antiqua"/>
          <w:color w:val="000000"/>
        </w:rPr>
        <w:t xml:space="preserve"> anaerobic bacteria, bile acid </w:t>
      </w:r>
      <w:proofErr w:type="spellStart"/>
      <w:r w:rsidRPr="00DC00DE">
        <w:rPr>
          <w:rFonts w:ascii="Book Antiqua" w:eastAsia="Book Antiqua" w:hAnsi="Book Antiqua" w:cs="Book Antiqua"/>
          <w:color w:val="000000"/>
        </w:rPr>
        <w:t>metabolising</w:t>
      </w:r>
      <w:proofErr w:type="spellEnd"/>
      <w:r w:rsidRPr="00DC00DE">
        <w:rPr>
          <w:rFonts w:ascii="Book Antiqua" w:eastAsia="Book Antiqua" w:hAnsi="Book Antiqua" w:cs="Book Antiqua"/>
          <w:color w:val="000000"/>
        </w:rPr>
        <w:t xml:space="preserve"> enzymes, and serum deoxycholic acid in patients with acromegaly. </w:t>
      </w:r>
      <w:r w:rsidRPr="00DC00DE">
        <w:rPr>
          <w:rFonts w:ascii="Book Antiqua" w:eastAsia="Book Antiqua" w:hAnsi="Book Antiqua" w:cs="Book Antiqua"/>
          <w:i/>
          <w:iCs/>
          <w:color w:val="000000"/>
        </w:rPr>
        <w:t>Gut</w:t>
      </w:r>
      <w:r w:rsidRPr="00DC00DE">
        <w:rPr>
          <w:rFonts w:ascii="Book Antiqua" w:eastAsia="Book Antiqua" w:hAnsi="Book Antiqua" w:cs="Book Antiqua"/>
          <w:color w:val="000000"/>
        </w:rPr>
        <w:t xml:space="preserve"> 2005; </w:t>
      </w:r>
      <w:r w:rsidRPr="00DC00DE">
        <w:rPr>
          <w:rFonts w:ascii="Book Antiqua" w:eastAsia="Book Antiqua" w:hAnsi="Book Antiqua" w:cs="Book Antiqua"/>
          <w:b/>
          <w:bCs/>
          <w:color w:val="000000"/>
        </w:rPr>
        <w:t>54</w:t>
      </w:r>
      <w:r w:rsidRPr="00DC00DE">
        <w:rPr>
          <w:rFonts w:ascii="Book Antiqua" w:eastAsia="Book Antiqua" w:hAnsi="Book Antiqua" w:cs="Book Antiqua"/>
          <w:color w:val="000000"/>
        </w:rPr>
        <w:t>: 630-635 [PMID: 15831907 DOI: 10.1136/gut.2003.028431]</w:t>
      </w:r>
    </w:p>
    <w:p w14:paraId="5373466E"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8 </w:t>
      </w:r>
      <w:proofErr w:type="spellStart"/>
      <w:r w:rsidRPr="00DC00DE">
        <w:rPr>
          <w:rFonts w:ascii="Book Antiqua" w:eastAsia="Book Antiqua" w:hAnsi="Book Antiqua" w:cs="Book Antiqua"/>
          <w:b/>
          <w:bCs/>
          <w:color w:val="000000"/>
        </w:rPr>
        <w:t>Brighi</w:t>
      </w:r>
      <w:proofErr w:type="spellEnd"/>
      <w:r w:rsidRPr="00DC00DE">
        <w:rPr>
          <w:rFonts w:ascii="Book Antiqua" w:eastAsia="Book Antiqua" w:hAnsi="Book Antiqua" w:cs="Book Antiqua"/>
          <w:b/>
          <w:bCs/>
          <w:color w:val="000000"/>
        </w:rPr>
        <w:t xml:space="preserve"> N</w:t>
      </w:r>
      <w:r w:rsidRPr="00DC00DE">
        <w:rPr>
          <w:rFonts w:ascii="Book Antiqua" w:eastAsia="Book Antiqua" w:hAnsi="Book Antiqua" w:cs="Book Antiqua"/>
          <w:color w:val="000000"/>
        </w:rPr>
        <w:t xml:space="preserve">, </w:t>
      </w:r>
      <w:proofErr w:type="spellStart"/>
      <w:r w:rsidRPr="00DC00DE">
        <w:rPr>
          <w:rFonts w:ascii="Book Antiqua" w:eastAsia="Book Antiqua" w:hAnsi="Book Antiqua" w:cs="Book Antiqua"/>
          <w:color w:val="000000"/>
        </w:rPr>
        <w:t>Lamberti</w:t>
      </w:r>
      <w:proofErr w:type="spellEnd"/>
      <w:r w:rsidRPr="00DC00DE">
        <w:rPr>
          <w:rFonts w:ascii="Book Antiqua" w:eastAsia="Book Antiqua" w:hAnsi="Book Antiqua" w:cs="Book Antiqua"/>
          <w:color w:val="000000"/>
        </w:rPr>
        <w:t xml:space="preserve"> G, Maggio I, </w:t>
      </w:r>
      <w:proofErr w:type="spellStart"/>
      <w:r w:rsidRPr="00DC00DE">
        <w:rPr>
          <w:rFonts w:ascii="Book Antiqua" w:eastAsia="Book Antiqua" w:hAnsi="Book Antiqua" w:cs="Book Antiqua"/>
          <w:color w:val="000000"/>
        </w:rPr>
        <w:t>Manuzzi</w:t>
      </w:r>
      <w:proofErr w:type="spellEnd"/>
      <w:r w:rsidRPr="00DC00DE">
        <w:rPr>
          <w:rFonts w:ascii="Book Antiqua" w:eastAsia="Book Antiqua" w:hAnsi="Book Antiqua" w:cs="Book Antiqua"/>
          <w:color w:val="000000"/>
        </w:rPr>
        <w:t xml:space="preserve"> L, Ricci C, </w:t>
      </w:r>
      <w:proofErr w:type="spellStart"/>
      <w:r w:rsidRPr="00DC00DE">
        <w:rPr>
          <w:rFonts w:ascii="Book Antiqua" w:eastAsia="Book Antiqua" w:hAnsi="Book Antiqua" w:cs="Book Antiqua"/>
          <w:color w:val="000000"/>
        </w:rPr>
        <w:t>Casadei</w:t>
      </w:r>
      <w:proofErr w:type="spellEnd"/>
      <w:r w:rsidRPr="00DC00DE">
        <w:rPr>
          <w:rFonts w:ascii="Book Antiqua" w:eastAsia="Book Antiqua" w:hAnsi="Book Antiqua" w:cs="Book Antiqua"/>
          <w:color w:val="000000"/>
        </w:rPr>
        <w:t xml:space="preserve"> R, </w:t>
      </w:r>
      <w:proofErr w:type="spellStart"/>
      <w:r w:rsidRPr="00DC00DE">
        <w:rPr>
          <w:rFonts w:ascii="Book Antiqua" w:eastAsia="Book Antiqua" w:hAnsi="Book Antiqua" w:cs="Book Antiqua"/>
          <w:color w:val="000000"/>
        </w:rPr>
        <w:t>Santini</w:t>
      </w:r>
      <w:proofErr w:type="spellEnd"/>
      <w:r w:rsidRPr="00DC00DE">
        <w:rPr>
          <w:rFonts w:ascii="Book Antiqua" w:eastAsia="Book Antiqua" w:hAnsi="Book Antiqua" w:cs="Book Antiqua"/>
          <w:color w:val="000000"/>
        </w:rPr>
        <w:t xml:space="preserve"> D, </w:t>
      </w:r>
      <w:proofErr w:type="spellStart"/>
      <w:r w:rsidRPr="00DC00DE">
        <w:rPr>
          <w:rFonts w:ascii="Book Antiqua" w:eastAsia="Book Antiqua" w:hAnsi="Book Antiqua" w:cs="Book Antiqua"/>
          <w:color w:val="000000"/>
        </w:rPr>
        <w:t>Mosconi</w:t>
      </w:r>
      <w:proofErr w:type="spellEnd"/>
      <w:r w:rsidRPr="00DC00DE">
        <w:rPr>
          <w:rFonts w:ascii="Book Antiqua" w:eastAsia="Book Antiqua" w:hAnsi="Book Antiqua" w:cs="Book Antiqua"/>
          <w:color w:val="000000"/>
        </w:rPr>
        <w:t xml:space="preserve"> C, </w:t>
      </w:r>
      <w:proofErr w:type="spellStart"/>
      <w:r w:rsidRPr="00DC00DE">
        <w:rPr>
          <w:rFonts w:ascii="Book Antiqua" w:eastAsia="Book Antiqua" w:hAnsi="Book Antiqua" w:cs="Book Antiqua"/>
          <w:color w:val="000000"/>
        </w:rPr>
        <w:t>Lisotti</w:t>
      </w:r>
      <w:proofErr w:type="spellEnd"/>
      <w:r w:rsidRPr="00DC00DE">
        <w:rPr>
          <w:rFonts w:ascii="Book Antiqua" w:eastAsia="Book Antiqua" w:hAnsi="Book Antiqua" w:cs="Book Antiqua"/>
          <w:color w:val="000000"/>
        </w:rPr>
        <w:t xml:space="preserve"> A, </w:t>
      </w:r>
      <w:proofErr w:type="spellStart"/>
      <w:r w:rsidRPr="00DC00DE">
        <w:rPr>
          <w:rFonts w:ascii="Book Antiqua" w:eastAsia="Book Antiqua" w:hAnsi="Book Antiqua" w:cs="Book Antiqua"/>
          <w:color w:val="000000"/>
        </w:rPr>
        <w:t>Ambrosini</w:t>
      </w:r>
      <w:proofErr w:type="spellEnd"/>
      <w:r w:rsidRPr="00DC00DE">
        <w:rPr>
          <w:rFonts w:ascii="Book Antiqua" w:eastAsia="Book Antiqua" w:hAnsi="Book Antiqua" w:cs="Book Antiqua"/>
          <w:color w:val="000000"/>
        </w:rPr>
        <w:t xml:space="preserve"> V, Pantaleo MA, Campana D. Biliary stone disease in patients receiving somatostatin analogs for neuroendocrine neoplasms. A retrospective observational study. </w:t>
      </w:r>
      <w:r w:rsidRPr="00DC00DE">
        <w:rPr>
          <w:rFonts w:ascii="Book Antiqua" w:eastAsia="Book Antiqua" w:hAnsi="Book Antiqua" w:cs="Book Antiqua"/>
          <w:i/>
          <w:iCs/>
          <w:color w:val="000000"/>
        </w:rPr>
        <w:t>Dig Liver Dis</w:t>
      </w:r>
      <w:r w:rsidRPr="00DC00DE">
        <w:rPr>
          <w:rFonts w:ascii="Book Antiqua" w:eastAsia="Book Antiqua" w:hAnsi="Book Antiqua" w:cs="Book Antiqua"/>
          <w:color w:val="000000"/>
        </w:rPr>
        <w:t xml:space="preserve"> 2019; </w:t>
      </w:r>
      <w:r w:rsidRPr="00DC00DE">
        <w:rPr>
          <w:rFonts w:ascii="Book Antiqua" w:eastAsia="Book Antiqua" w:hAnsi="Book Antiqua" w:cs="Book Antiqua"/>
          <w:b/>
          <w:bCs/>
          <w:color w:val="000000"/>
        </w:rPr>
        <w:t>51</w:t>
      </w:r>
      <w:r w:rsidRPr="00DC00DE">
        <w:rPr>
          <w:rFonts w:ascii="Book Antiqua" w:eastAsia="Book Antiqua" w:hAnsi="Book Antiqua" w:cs="Book Antiqua"/>
          <w:color w:val="000000"/>
        </w:rPr>
        <w:t>: 689-694 [PMID: 30314949 DOI: 10.1016/j.dld.2018.09.013]</w:t>
      </w:r>
    </w:p>
    <w:p w14:paraId="0861BBF0"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9 </w:t>
      </w:r>
      <w:r w:rsidRPr="00DC00DE">
        <w:rPr>
          <w:rFonts w:ascii="Book Antiqua" w:eastAsia="Book Antiqua" w:hAnsi="Book Antiqua" w:cs="Book Antiqua"/>
          <w:b/>
          <w:bCs/>
          <w:color w:val="000000"/>
        </w:rPr>
        <w:t>Parasher VK</w:t>
      </w:r>
      <w:r w:rsidRPr="00DC00DE">
        <w:rPr>
          <w:rFonts w:ascii="Book Antiqua" w:eastAsia="Book Antiqua" w:hAnsi="Book Antiqua" w:cs="Book Antiqua"/>
          <w:color w:val="000000"/>
        </w:rPr>
        <w:t xml:space="preserve">, Romain K, Sukumar R, Jordan J. Can ERCP contrast agents cause pseudomicrolithiasis? Their effect on the final outcome of bile analysis in patients with suspected microlithiasis. </w:t>
      </w:r>
      <w:proofErr w:type="spellStart"/>
      <w:r w:rsidRPr="00DC00DE">
        <w:rPr>
          <w:rFonts w:ascii="Book Antiqua" w:eastAsia="Book Antiqua" w:hAnsi="Book Antiqua" w:cs="Book Antiqua"/>
          <w:i/>
          <w:iCs/>
          <w:color w:val="000000"/>
        </w:rPr>
        <w:t>Gastrointest</w:t>
      </w:r>
      <w:proofErr w:type="spellEnd"/>
      <w:r w:rsidRPr="00DC00DE">
        <w:rPr>
          <w:rFonts w:ascii="Book Antiqua" w:eastAsia="Book Antiqua" w:hAnsi="Book Antiqua" w:cs="Book Antiqua"/>
          <w:i/>
          <w:iCs/>
          <w:color w:val="000000"/>
        </w:rPr>
        <w:t xml:space="preserve"> </w:t>
      </w:r>
      <w:proofErr w:type="spellStart"/>
      <w:r w:rsidRPr="00DC00DE">
        <w:rPr>
          <w:rFonts w:ascii="Book Antiqua" w:eastAsia="Book Antiqua" w:hAnsi="Book Antiqua" w:cs="Book Antiqua"/>
          <w:i/>
          <w:iCs/>
          <w:color w:val="000000"/>
        </w:rPr>
        <w:t>Endosc</w:t>
      </w:r>
      <w:proofErr w:type="spellEnd"/>
      <w:r w:rsidRPr="00DC00DE">
        <w:rPr>
          <w:rFonts w:ascii="Book Antiqua" w:eastAsia="Book Antiqua" w:hAnsi="Book Antiqua" w:cs="Book Antiqua"/>
          <w:color w:val="000000"/>
        </w:rPr>
        <w:t xml:space="preserve"> 2000; </w:t>
      </w:r>
      <w:r w:rsidRPr="00DC00DE">
        <w:rPr>
          <w:rFonts w:ascii="Book Antiqua" w:eastAsia="Book Antiqua" w:hAnsi="Book Antiqua" w:cs="Book Antiqua"/>
          <w:b/>
          <w:bCs/>
          <w:color w:val="000000"/>
        </w:rPr>
        <w:t>51</w:t>
      </w:r>
      <w:r w:rsidRPr="00DC00DE">
        <w:rPr>
          <w:rFonts w:ascii="Book Antiqua" w:eastAsia="Book Antiqua" w:hAnsi="Book Antiqua" w:cs="Book Antiqua"/>
          <w:color w:val="000000"/>
        </w:rPr>
        <w:t>: 401-404 [PMID: 10744809 DOI: 10.1016/s0016-5107(00)70438-x]</w:t>
      </w:r>
    </w:p>
    <w:p w14:paraId="28738EBA"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 xml:space="preserve">10 </w:t>
      </w:r>
      <w:r w:rsidRPr="00DC00DE">
        <w:rPr>
          <w:rFonts w:ascii="Book Antiqua" w:eastAsia="Book Antiqua" w:hAnsi="Book Antiqua" w:cs="Book Antiqua"/>
          <w:b/>
          <w:bCs/>
          <w:color w:val="000000"/>
        </w:rPr>
        <w:t>Ju YM</w:t>
      </w:r>
      <w:r w:rsidRPr="00DC00DE">
        <w:rPr>
          <w:rFonts w:ascii="Book Antiqua" w:eastAsia="Book Antiqua" w:hAnsi="Book Antiqua" w:cs="Book Antiqua"/>
          <w:color w:val="000000"/>
        </w:rPr>
        <w:t xml:space="preserve">, Kim MH, Lee SK, Seo DW, Min YI, Kim JY. Comparative cytotoxicity of low-osmolar nonionic and high-osmolar ionic contrast media to dog gallbladder epithelial cells. </w:t>
      </w:r>
      <w:proofErr w:type="spellStart"/>
      <w:r w:rsidRPr="00DC00DE">
        <w:rPr>
          <w:rFonts w:ascii="Book Antiqua" w:eastAsia="Book Antiqua" w:hAnsi="Book Antiqua" w:cs="Book Antiqua"/>
          <w:i/>
          <w:iCs/>
          <w:color w:val="000000"/>
        </w:rPr>
        <w:t>Gastrointest</w:t>
      </w:r>
      <w:proofErr w:type="spellEnd"/>
      <w:r w:rsidRPr="00DC00DE">
        <w:rPr>
          <w:rFonts w:ascii="Book Antiqua" w:eastAsia="Book Antiqua" w:hAnsi="Book Antiqua" w:cs="Book Antiqua"/>
          <w:i/>
          <w:iCs/>
          <w:color w:val="000000"/>
        </w:rPr>
        <w:t xml:space="preserve"> </w:t>
      </w:r>
      <w:proofErr w:type="spellStart"/>
      <w:r w:rsidRPr="00DC00DE">
        <w:rPr>
          <w:rFonts w:ascii="Book Antiqua" w:eastAsia="Book Antiqua" w:hAnsi="Book Antiqua" w:cs="Book Antiqua"/>
          <w:i/>
          <w:iCs/>
          <w:color w:val="000000"/>
        </w:rPr>
        <w:t>Endosc</w:t>
      </w:r>
      <w:proofErr w:type="spellEnd"/>
      <w:r w:rsidRPr="00DC00DE">
        <w:rPr>
          <w:rFonts w:ascii="Book Antiqua" w:eastAsia="Book Antiqua" w:hAnsi="Book Antiqua" w:cs="Book Antiqua"/>
          <w:color w:val="000000"/>
        </w:rPr>
        <w:t xml:space="preserve"> 2002; </w:t>
      </w:r>
      <w:r w:rsidRPr="00DC00DE">
        <w:rPr>
          <w:rFonts w:ascii="Book Antiqua" w:eastAsia="Book Antiqua" w:hAnsi="Book Antiqua" w:cs="Book Antiqua"/>
          <w:b/>
          <w:bCs/>
          <w:color w:val="000000"/>
        </w:rPr>
        <w:t>55</w:t>
      </w:r>
      <w:r w:rsidRPr="00DC00DE">
        <w:rPr>
          <w:rFonts w:ascii="Book Antiqua" w:eastAsia="Book Antiqua" w:hAnsi="Book Antiqua" w:cs="Book Antiqua"/>
          <w:color w:val="000000"/>
        </w:rPr>
        <w:t>: 382-386 [PMID: 11868013 DOI: 10.1067/mge.2002.121595]</w:t>
      </w:r>
    </w:p>
    <w:bookmarkEnd w:id="3"/>
    <w:p w14:paraId="7437334F" w14:textId="77777777" w:rsidR="00A77B3E" w:rsidRPr="00DC00DE" w:rsidRDefault="00A77B3E" w:rsidP="00A96959">
      <w:pPr>
        <w:spacing w:line="360" w:lineRule="auto"/>
        <w:jc w:val="both"/>
        <w:rPr>
          <w:rFonts w:ascii="Book Antiqua" w:hAnsi="Book Antiqua"/>
        </w:rPr>
        <w:sectPr w:rsidR="00A77B3E" w:rsidRPr="00DC00DE">
          <w:pgSz w:w="12240" w:h="15840"/>
          <w:pgMar w:top="1440" w:right="1440" w:bottom="1440" w:left="1440" w:header="720" w:footer="720" w:gutter="0"/>
          <w:cols w:space="720"/>
          <w:docGrid w:linePitch="360"/>
        </w:sectPr>
      </w:pPr>
    </w:p>
    <w:p w14:paraId="04B85151"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lastRenderedPageBreak/>
        <w:t>Footnotes</w:t>
      </w:r>
    </w:p>
    <w:p w14:paraId="2E144E65"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Informed consent statement: </w:t>
      </w:r>
      <w:r w:rsidRPr="00DC00DE">
        <w:rPr>
          <w:rFonts w:ascii="Book Antiqua" w:eastAsia="Book Antiqua" w:hAnsi="Book Antiqua" w:cs="Book Antiqua"/>
          <w:color w:val="000000"/>
        </w:rPr>
        <w:t>Informed written consent was obtained from the patient for publication of this report and any accompanying images.</w:t>
      </w:r>
    </w:p>
    <w:p w14:paraId="5C10347C" w14:textId="77777777" w:rsidR="00A77B3E" w:rsidRPr="00DC00DE" w:rsidRDefault="00A77B3E" w:rsidP="00A96959">
      <w:pPr>
        <w:spacing w:line="360" w:lineRule="auto"/>
        <w:jc w:val="both"/>
        <w:rPr>
          <w:rFonts w:ascii="Book Antiqua" w:hAnsi="Book Antiqua"/>
        </w:rPr>
      </w:pPr>
    </w:p>
    <w:p w14:paraId="74BA50EF"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Conflict-of-interest statement: </w:t>
      </w:r>
      <w:r w:rsidRPr="00DC00DE">
        <w:rPr>
          <w:rFonts w:ascii="Book Antiqua" w:eastAsia="Book Antiqua" w:hAnsi="Book Antiqua" w:cs="Book Antiqua"/>
          <w:color w:val="000000"/>
        </w:rPr>
        <w:t>The authors declare that they have no conflict of interest.</w:t>
      </w:r>
    </w:p>
    <w:p w14:paraId="2ABFE380" w14:textId="77777777" w:rsidR="00A77B3E" w:rsidRPr="00DC00DE" w:rsidRDefault="00A77B3E" w:rsidP="00A96959">
      <w:pPr>
        <w:spacing w:line="360" w:lineRule="auto"/>
        <w:jc w:val="both"/>
        <w:rPr>
          <w:rFonts w:ascii="Book Antiqua" w:hAnsi="Book Antiqua"/>
        </w:rPr>
      </w:pPr>
    </w:p>
    <w:p w14:paraId="1E8776F3"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CARE Checklist (2016) statement: </w:t>
      </w:r>
      <w:r w:rsidRPr="00DC00DE">
        <w:rPr>
          <w:rFonts w:ascii="Book Antiqua" w:eastAsia="Book Antiqua" w:hAnsi="Book Antiqua" w:cs="Book Antiqua"/>
          <w:color w:val="000000"/>
        </w:rPr>
        <w:t>The authors have read the CARE Checklist (2016), and the manuscript was prepared and revised according to the CARE Checklist (2016).</w:t>
      </w:r>
    </w:p>
    <w:p w14:paraId="4DEB0CC3" w14:textId="77777777" w:rsidR="00A77B3E" w:rsidRPr="00DC00DE" w:rsidRDefault="00A77B3E" w:rsidP="00A96959">
      <w:pPr>
        <w:spacing w:line="360" w:lineRule="auto"/>
        <w:jc w:val="both"/>
        <w:rPr>
          <w:rFonts w:ascii="Book Antiqua" w:hAnsi="Book Antiqua"/>
        </w:rPr>
      </w:pPr>
    </w:p>
    <w:p w14:paraId="4D556F6D"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bCs/>
          <w:color w:val="000000"/>
        </w:rPr>
        <w:t xml:space="preserve">Open-Access: </w:t>
      </w:r>
      <w:r w:rsidRPr="00DC00D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A09996" w14:textId="77777777" w:rsidR="00A77B3E" w:rsidRPr="00DC00DE" w:rsidRDefault="00A77B3E" w:rsidP="00A96959">
      <w:pPr>
        <w:spacing w:line="360" w:lineRule="auto"/>
        <w:jc w:val="both"/>
        <w:rPr>
          <w:rFonts w:ascii="Book Antiqua" w:hAnsi="Book Antiqua"/>
        </w:rPr>
      </w:pPr>
    </w:p>
    <w:p w14:paraId="69310C65"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 xml:space="preserve">Manuscript source: </w:t>
      </w:r>
      <w:r w:rsidRPr="00DC00DE">
        <w:rPr>
          <w:rFonts w:ascii="Book Antiqua" w:eastAsia="Book Antiqua" w:hAnsi="Book Antiqua" w:cs="Book Antiqua"/>
          <w:color w:val="000000"/>
        </w:rPr>
        <w:t xml:space="preserve">Unsolicited </w:t>
      </w:r>
      <w:r w:rsidR="00B867FA" w:rsidRPr="00DC00DE">
        <w:rPr>
          <w:rFonts w:ascii="Book Antiqua" w:hAnsi="Book Antiqua" w:cs="Book Antiqua" w:hint="eastAsia"/>
          <w:color w:val="000000"/>
          <w:lang w:eastAsia="zh-CN"/>
        </w:rPr>
        <w:t>m</w:t>
      </w:r>
      <w:r w:rsidRPr="00DC00DE">
        <w:rPr>
          <w:rFonts w:ascii="Book Antiqua" w:eastAsia="Book Antiqua" w:hAnsi="Book Antiqua" w:cs="Book Antiqua"/>
          <w:color w:val="000000"/>
        </w:rPr>
        <w:t>anuscript</w:t>
      </w:r>
    </w:p>
    <w:p w14:paraId="19B57707" w14:textId="77777777" w:rsidR="00A77B3E" w:rsidRPr="00DC00DE" w:rsidRDefault="00A77B3E" w:rsidP="00A96959">
      <w:pPr>
        <w:spacing w:line="360" w:lineRule="auto"/>
        <w:jc w:val="both"/>
        <w:rPr>
          <w:rFonts w:ascii="Book Antiqua" w:hAnsi="Book Antiqua"/>
        </w:rPr>
      </w:pPr>
    </w:p>
    <w:p w14:paraId="61A41671"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 xml:space="preserve">Peer-review started: </w:t>
      </w:r>
      <w:r w:rsidRPr="00DC00DE">
        <w:rPr>
          <w:rFonts w:ascii="Book Antiqua" w:eastAsia="Book Antiqua" w:hAnsi="Book Antiqua" w:cs="Book Antiqua"/>
          <w:color w:val="000000"/>
        </w:rPr>
        <w:t>January 16, 2021</w:t>
      </w:r>
    </w:p>
    <w:p w14:paraId="6EFDD127"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 xml:space="preserve">First decision: </w:t>
      </w:r>
      <w:r w:rsidRPr="00DC00DE">
        <w:rPr>
          <w:rFonts w:ascii="Book Antiqua" w:eastAsia="Book Antiqua" w:hAnsi="Book Antiqua" w:cs="Book Antiqua"/>
          <w:color w:val="000000"/>
        </w:rPr>
        <w:t>April 29, 2021</w:t>
      </w:r>
    </w:p>
    <w:p w14:paraId="1A4DB8C9" w14:textId="080BF54F"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 xml:space="preserve">Article in press: </w:t>
      </w:r>
      <w:r w:rsidR="00E17D92" w:rsidRPr="00DC00DE">
        <w:rPr>
          <w:rFonts w:ascii="Book Antiqua" w:eastAsia="宋体" w:hAnsi="Book Antiqua"/>
          <w:color w:val="000000" w:themeColor="text1"/>
        </w:rPr>
        <w:t>J</w:t>
      </w:r>
      <w:r w:rsidR="00E17D92" w:rsidRPr="00DC00DE">
        <w:rPr>
          <w:rFonts w:ascii="Book Antiqua" w:eastAsia="宋体" w:hAnsi="Book Antiqua" w:hint="eastAsia"/>
          <w:color w:val="000000" w:themeColor="text1"/>
        </w:rPr>
        <w:t>u</w:t>
      </w:r>
      <w:r w:rsidR="00E17D92" w:rsidRPr="00DC00DE">
        <w:rPr>
          <w:rFonts w:ascii="Book Antiqua" w:eastAsia="宋体" w:hAnsi="Book Antiqua"/>
          <w:color w:val="000000" w:themeColor="text1"/>
        </w:rPr>
        <w:t>ly 16, 2021</w:t>
      </w:r>
    </w:p>
    <w:p w14:paraId="32B6B4FD" w14:textId="77777777" w:rsidR="00A77B3E" w:rsidRPr="00DC00DE" w:rsidRDefault="00A77B3E" w:rsidP="00A96959">
      <w:pPr>
        <w:spacing w:line="360" w:lineRule="auto"/>
        <w:jc w:val="both"/>
        <w:rPr>
          <w:rFonts w:ascii="Book Antiqua" w:hAnsi="Book Antiqua"/>
        </w:rPr>
      </w:pPr>
    </w:p>
    <w:p w14:paraId="264A09B4"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 xml:space="preserve">Specialty type: </w:t>
      </w:r>
      <w:bookmarkStart w:id="4" w:name="_Hlk71726650"/>
      <w:bookmarkStart w:id="5" w:name="OLE_LINK1953"/>
      <w:bookmarkStart w:id="6" w:name="OLE_LINK1952"/>
      <w:bookmarkStart w:id="7" w:name="OLE_LINK2066"/>
      <w:r w:rsidR="00B867FA" w:rsidRPr="00DC00DE">
        <w:rPr>
          <w:rFonts w:ascii="Book Antiqua" w:eastAsia="微软雅黑" w:hAnsi="Book Antiqua" w:cs="宋体"/>
        </w:rPr>
        <w:t>Medicine, research and experimenta</w:t>
      </w:r>
      <w:bookmarkEnd w:id="4"/>
      <w:r w:rsidR="00B867FA" w:rsidRPr="00DC00DE">
        <w:rPr>
          <w:rFonts w:ascii="Book Antiqua" w:eastAsia="微软雅黑" w:hAnsi="Book Antiqua" w:cs="宋体"/>
        </w:rPr>
        <w:t>l</w:t>
      </w:r>
      <w:bookmarkEnd w:id="5"/>
      <w:bookmarkEnd w:id="6"/>
      <w:bookmarkEnd w:id="7"/>
    </w:p>
    <w:p w14:paraId="01631649"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 xml:space="preserve">Country/Territory of origin: </w:t>
      </w:r>
      <w:r w:rsidRPr="00DC00DE">
        <w:rPr>
          <w:rFonts w:ascii="Book Antiqua" w:eastAsia="Book Antiqua" w:hAnsi="Book Antiqua" w:cs="Book Antiqua"/>
          <w:color w:val="000000"/>
        </w:rPr>
        <w:t>China</w:t>
      </w:r>
    </w:p>
    <w:p w14:paraId="515AA478"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t>Peer-review report’s scientific quality classification</w:t>
      </w:r>
    </w:p>
    <w:p w14:paraId="1D64610B"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Grade A (Excellent): A</w:t>
      </w:r>
    </w:p>
    <w:p w14:paraId="2EEBB2F2"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Grade B (Very good): 0</w:t>
      </w:r>
    </w:p>
    <w:p w14:paraId="233CC07D"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Grade C (Good): C</w:t>
      </w:r>
    </w:p>
    <w:p w14:paraId="6CB13554"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lastRenderedPageBreak/>
        <w:t>Grade D (Fair): D</w:t>
      </w:r>
    </w:p>
    <w:p w14:paraId="6557C103"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color w:val="000000"/>
        </w:rPr>
        <w:t>Grade E (Poor): 0</w:t>
      </w:r>
    </w:p>
    <w:p w14:paraId="729486B3" w14:textId="77777777" w:rsidR="00A77B3E" w:rsidRPr="00DC00DE" w:rsidRDefault="00A77B3E" w:rsidP="00A96959">
      <w:pPr>
        <w:spacing w:line="360" w:lineRule="auto"/>
        <w:jc w:val="both"/>
        <w:rPr>
          <w:rFonts w:ascii="Book Antiqua" w:hAnsi="Book Antiqua"/>
        </w:rPr>
      </w:pPr>
    </w:p>
    <w:p w14:paraId="47006F79" w14:textId="13C772DE" w:rsidR="00A77B3E" w:rsidRPr="00DC00DE" w:rsidRDefault="001E078C" w:rsidP="00A96959">
      <w:pPr>
        <w:spacing w:line="360" w:lineRule="auto"/>
        <w:jc w:val="both"/>
        <w:rPr>
          <w:rFonts w:ascii="Book Antiqua" w:hAnsi="Book Antiqua"/>
        </w:rPr>
        <w:sectPr w:rsidR="00A77B3E" w:rsidRPr="00DC00DE">
          <w:pgSz w:w="12240" w:h="15840"/>
          <w:pgMar w:top="1440" w:right="1440" w:bottom="1440" w:left="1440" w:header="720" w:footer="720" w:gutter="0"/>
          <w:cols w:space="720"/>
          <w:docGrid w:linePitch="360"/>
        </w:sectPr>
      </w:pPr>
      <w:r w:rsidRPr="00DC00DE">
        <w:rPr>
          <w:rFonts w:ascii="Book Antiqua" w:eastAsia="Book Antiqua" w:hAnsi="Book Antiqua" w:cs="Book Antiqua"/>
          <w:b/>
          <w:color w:val="000000"/>
        </w:rPr>
        <w:t xml:space="preserve">P-Reviewer: </w:t>
      </w:r>
      <w:r w:rsidRPr="00DC00DE">
        <w:rPr>
          <w:rFonts w:ascii="Book Antiqua" w:eastAsia="Book Antiqua" w:hAnsi="Book Antiqua" w:cs="Book Antiqua"/>
          <w:color w:val="000000"/>
        </w:rPr>
        <w:t>Piozzi GN, Sakaguchi Y</w:t>
      </w:r>
      <w:r w:rsidRPr="00DC00DE">
        <w:rPr>
          <w:rFonts w:ascii="Book Antiqua" w:eastAsia="Book Antiqua" w:hAnsi="Book Antiqua" w:cs="Book Antiqua"/>
          <w:b/>
          <w:color w:val="000000"/>
        </w:rPr>
        <w:t xml:space="preserve"> S-Editor: </w:t>
      </w:r>
      <w:r w:rsidRPr="00DC00DE">
        <w:rPr>
          <w:rFonts w:ascii="Book Antiqua" w:eastAsia="Book Antiqua" w:hAnsi="Book Antiqua" w:cs="Book Antiqua"/>
          <w:color w:val="000000"/>
        </w:rPr>
        <w:t>Fan JR</w:t>
      </w:r>
      <w:r w:rsidRPr="00DC00DE">
        <w:rPr>
          <w:rFonts w:ascii="Book Antiqua" w:eastAsia="Book Antiqua" w:hAnsi="Book Antiqua" w:cs="Book Antiqua"/>
          <w:b/>
          <w:color w:val="000000"/>
        </w:rPr>
        <w:t xml:space="preserve"> L-Editor:</w:t>
      </w:r>
      <w:r w:rsidR="0018419C" w:rsidRPr="00DC00DE">
        <w:rPr>
          <w:rFonts w:ascii="Book Antiqua" w:eastAsia="Book Antiqua" w:hAnsi="Book Antiqua" w:cs="Book Antiqua"/>
          <w:b/>
          <w:color w:val="000000"/>
        </w:rPr>
        <w:t xml:space="preserve"> </w:t>
      </w:r>
      <w:proofErr w:type="spellStart"/>
      <w:r w:rsidR="0018419C" w:rsidRPr="00DC00DE">
        <w:rPr>
          <w:rFonts w:ascii="Book Antiqua" w:eastAsia="Book Antiqua" w:hAnsi="Book Antiqua" w:cs="Book Antiqua"/>
          <w:bCs/>
          <w:color w:val="000000"/>
        </w:rPr>
        <w:t>Filipodia</w:t>
      </w:r>
      <w:proofErr w:type="spellEnd"/>
      <w:r w:rsidRPr="00DC00DE">
        <w:rPr>
          <w:rFonts w:ascii="Book Antiqua" w:eastAsia="Book Antiqua" w:hAnsi="Book Antiqua" w:cs="Book Antiqua"/>
          <w:bCs/>
          <w:color w:val="000000"/>
        </w:rPr>
        <w:t xml:space="preserve"> </w:t>
      </w:r>
      <w:r w:rsidRPr="00DC00DE">
        <w:rPr>
          <w:rFonts w:ascii="Book Antiqua" w:eastAsia="Book Antiqua" w:hAnsi="Book Antiqua" w:cs="Book Antiqua"/>
          <w:b/>
          <w:color w:val="000000"/>
        </w:rPr>
        <w:t>P-Editor:</w:t>
      </w:r>
      <w:r w:rsidR="00AC7CD9" w:rsidRPr="00DC00DE">
        <w:rPr>
          <w:rFonts w:ascii="Book Antiqua" w:hAnsi="Book Antiqua" w:cs="Book Antiqua" w:hint="eastAsia"/>
          <w:b/>
          <w:color w:val="000000"/>
          <w:lang w:eastAsia="zh-CN"/>
        </w:rPr>
        <w:t xml:space="preserve"> </w:t>
      </w:r>
      <w:r w:rsidR="00AC7CD9" w:rsidRPr="00DC00DE">
        <w:rPr>
          <w:rFonts w:ascii="Book Antiqua" w:hAnsi="Book Antiqua" w:cs="Book Antiqua" w:hint="eastAsia"/>
          <w:color w:val="000000"/>
          <w:lang w:eastAsia="zh-CN"/>
        </w:rPr>
        <w:t>Ma YJ</w:t>
      </w:r>
      <w:r w:rsidRPr="00DC00DE">
        <w:rPr>
          <w:rFonts w:ascii="Book Antiqua" w:eastAsia="Book Antiqua" w:hAnsi="Book Antiqua" w:cs="Book Antiqua"/>
          <w:b/>
          <w:color w:val="000000"/>
        </w:rPr>
        <w:t xml:space="preserve"> </w:t>
      </w:r>
    </w:p>
    <w:p w14:paraId="76C144E7" w14:textId="77777777" w:rsidR="00A77B3E" w:rsidRPr="00DC00DE" w:rsidRDefault="001E078C" w:rsidP="00A96959">
      <w:pPr>
        <w:spacing w:line="360" w:lineRule="auto"/>
        <w:jc w:val="both"/>
        <w:rPr>
          <w:rFonts w:ascii="Book Antiqua" w:hAnsi="Book Antiqua"/>
        </w:rPr>
      </w:pPr>
      <w:r w:rsidRPr="00DC00DE">
        <w:rPr>
          <w:rFonts w:ascii="Book Antiqua" w:eastAsia="Book Antiqua" w:hAnsi="Book Antiqua" w:cs="Book Antiqua"/>
          <w:b/>
          <w:color w:val="000000"/>
        </w:rPr>
        <w:lastRenderedPageBreak/>
        <w:t>Figure Legends</w:t>
      </w:r>
    </w:p>
    <w:p w14:paraId="6F7D4ADA" w14:textId="77777777" w:rsidR="00ED08B8" w:rsidRPr="00DC00DE" w:rsidRDefault="00363AE9" w:rsidP="00A96959">
      <w:pPr>
        <w:spacing w:line="360" w:lineRule="auto"/>
        <w:jc w:val="both"/>
        <w:rPr>
          <w:rFonts w:ascii="Book Antiqua" w:hAnsi="Book Antiqua" w:cs="Book Antiqua"/>
          <w:b/>
          <w:bCs/>
          <w:color w:val="000000"/>
          <w:lang w:eastAsia="zh-CN"/>
        </w:rPr>
      </w:pPr>
      <w:r w:rsidRPr="00DC00DE">
        <w:rPr>
          <w:rFonts w:ascii="Book Antiqua" w:hAnsi="Book Antiqua"/>
          <w:noProof/>
          <w:lang w:eastAsia="zh-CN"/>
        </w:rPr>
        <w:drawing>
          <wp:inline distT="0" distB="0" distL="0" distR="0" wp14:anchorId="7FF2C832" wp14:editId="1FF710B7">
            <wp:extent cx="5486400" cy="2141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141220"/>
                    </a:xfrm>
                    <a:prstGeom prst="rect">
                      <a:avLst/>
                    </a:prstGeom>
                  </pic:spPr>
                </pic:pic>
              </a:graphicData>
            </a:graphic>
          </wp:inline>
        </w:drawing>
      </w:r>
    </w:p>
    <w:p w14:paraId="34AD6DA1" w14:textId="77777777" w:rsidR="00A77B3E" w:rsidRPr="00DC00DE" w:rsidRDefault="001E078C" w:rsidP="00A96959">
      <w:pPr>
        <w:spacing w:line="360" w:lineRule="auto"/>
        <w:jc w:val="both"/>
        <w:rPr>
          <w:rFonts w:ascii="Book Antiqua" w:hAnsi="Book Antiqua" w:cs="Book Antiqua"/>
          <w:color w:val="000000"/>
          <w:lang w:eastAsia="zh-CN"/>
        </w:rPr>
      </w:pPr>
      <w:r w:rsidRPr="00DC00DE">
        <w:rPr>
          <w:rFonts w:ascii="Book Antiqua" w:eastAsia="Book Antiqua" w:hAnsi="Book Antiqua" w:cs="Book Antiqua"/>
          <w:b/>
          <w:bCs/>
          <w:color w:val="000000"/>
        </w:rPr>
        <w:t xml:space="preserve">Figure 1 Abdominal </w:t>
      </w:r>
      <w:r w:rsidR="00ED08B8" w:rsidRPr="00DC00DE">
        <w:rPr>
          <w:rFonts w:ascii="Book Antiqua" w:eastAsia="Book Antiqua" w:hAnsi="Book Antiqua" w:cs="Book Antiqua"/>
          <w:b/>
          <w:color w:val="000000"/>
        </w:rPr>
        <w:t>computed tomography</w:t>
      </w:r>
      <w:r w:rsidRPr="00DC00DE">
        <w:rPr>
          <w:rFonts w:ascii="Book Antiqua" w:eastAsia="Book Antiqua" w:hAnsi="Book Antiqua" w:cs="Book Antiqua"/>
          <w:b/>
          <w:bCs/>
          <w:color w:val="000000"/>
        </w:rPr>
        <w:t xml:space="preserve"> and </w:t>
      </w:r>
      <w:r w:rsidR="00ED08B8" w:rsidRPr="00DC00DE">
        <w:rPr>
          <w:rFonts w:ascii="Book Antiqua" w:eastAsia="Book Antiqua" w:hAnsi="Book Antiqua" w:cs="Book Antiqua"/>
          <w:b/>
          <w:color w:val="000000"/>
        </w:rPr>
        <w:t>magnetic resonance imaging</w:t>
      </w:r>
      <w:r w:rsidRPr="00DC00DE">
        <w:rPr>
          <w:rFonts w:ascii="Book Antiqua" w:eastAsia="Book Antiqua" w:hAnsi="Book Antiqua" w:cs="Book Antiqua"/>
          <w:b/>
          <w:bCs/>
          <w:color w:val="000000"/>
        </w:rPr>
        <w:t xml:space="preserve"> of the patient after </w:t>
      </w:r>
      <w:r w:rsidR="00ED08B8" w:rsidRPr="00DC00DE">
        <w:rPr>
          <w:rFonts w:ascii="Book Antiqua" w:eastAsia="Book Antiqua" w:hAnsi="Book Antiqua" w:cs="Book Antiqua"/>
          <w:b/>
          <w:color w:val="000000"/>
        </w:rPr>
        <w:t>renal artery embolization</w:t>
      </w:r>
      <w:r w:rsidR="00ED08B8" w:rsidRPr="00DC00DE">
        <w:rPr>
          <w:rFonts w:ascii="Book Antiqua" w:eastAsia="Book Antiqua" w:hAnsi="Book Antiqua" w:cs="Book Antiqua"/>
          <w:b/>
          <w:bCs/>
          <w:color w:val="000000"/>
        </w:rPr>
        <w:t>.</w:t>
      </w:r>
      <w:r w:rsidR="00ED08B8" w:rsidRPr="00DC00DE">
        <w:rPr>
          <w:rFonts w:ascii="Book Antiqua" w:eastAsia="Book Antiqua" w:hAnsi="Book Antiqua" w:cs="Book Antiqua"/>
          <w:color w:val="000000"/>
        </w:rPr>
        <w:t xml:space="preserve"> </w:t>
      </w:r>
      <w:r w:rsidRPr="00DC00DE">
        <w:rPr>
          <w:rFonts w:ascii="Book Antiqua" w:eastAsia="Book Antiqua" w:hAnsi="Book Antiqua" w:cs="Book Antiqua"/>
          <w:color w:val="000000"/>
        </w:rPr>
        <w:t xml:space="preserve">A: High density in the gallbladder and colon was vicarious excretion of </w:t>
      </w:r>
      <w:r w:rsidR="0019297E" w:rsidRPr="00DC00DE">
        <w:rPr>
          <w:rFonts w:ascii="Book Antiqua" w:hAnsi="Book Antiqua" w:cs="Book Antiqua"/>
          <w:color w:val="000000"/>
          <w:lang w:eastAsia="zh-CN"/>
        </w:rPr>
        <w:t>c</w:t>
      </w:r>
      <w:r w:rsidR="0019297E" w:rsidRPr="00DC00DE">
        <w:rPr>
          <w:rFonts w:ascii="Book Antiqua" w:eastAsia="Book Antiqua" w:hAnsi="Book Antiqua" w:cs="Book Antiqua"/>
          <w:color w:val="000000"/>
        </w:rPr>
        <w:t>ontrast medium (CM)</w:t>
      </w:r>
      <w:r w:rsidRPr="00DC00DE">
        <w:rPr>
          <w:rFonts w:ascii="Book Antiqua" w:eastAsia="Book Antiqua" w:hAnsi="Book Antiqua" w:cs="Book Antiqua"/>
          <w:color w:val="000000"/>
        </w:rPr>
        <w:t xml:space="preserve"> (thick arrow), while in the left kidney CM had spilled out of </w:t>
      </w:r>
      <w:r w:rsidR="00ED08B8" w:rsidRPr="00DC00DE">
        <w:rPr>
          <w:rFonts w:ascii="Book Antiqua" w:eastAsia="Book Antiqua" w:hAnsi="Book Antiqua" w:cs="Book Antiqua"/>
          <w:color w:val="000000"/>
        </w:rPr>
        <w:t>the renal artery (thin arrow)</w:t>
      </w:r>
      <w:r w:rsidR="00ED08B8" w:rsidRPr="00DC00DE">
        <w:rPr>
          <w:rFonts w:ascii="Book Antiqua" w:hAnsi="Book Antiqua" w:cs="Book Antiqua"/>
          <w:color w:val="000000"/>
          <w:lang w:eastAsia="zh-CN"/>
        </w:rPr>
        <w:t>;</w:t>
      </w:r>
      <w:r w:rsidR="00ED08B8" w:rsidRPr="00DC00DE">
        <w:rPr>
          <w:rFonts w:ascii="Book Antiqua" w:eastAsia="Book Antiqua" w:hAnsi="Book Antiqua" w:cs="Book Antiqua"/>
          <w:color w:val="000000"/>
        </w:rPr>
        <w:t xml:space="preserve"> </w:t>
      </w:r>
      <w:r w:rsidRPr="00DC00DE">
        <w:rPr>
          <w:rFonts w:ascii="Book Antiqua" w:eastAsia="Book Antiqua" w:hAnsi="Book Antiqua" w:cs="Book Antiqua"/>
          <w:color w:val="000000"/>
        </w:rPr>
        <w:t>B: T2-weighted image shows that the low signal in the gallbladder was sludge (thick arrow).</w:t>
      </w:r>
    </w:p>
    <w:p w14:paraId="7C538AA2" w14:textId="4C440AAF" w:rsidR="00A12995" w:rsidRPr="00DC00DE" w:rsidRDefault="00A12995" w:rsidP="00A96959">
      <w:pPr>
        <w:spacing w:line="360" w:lineRule="auto"/>
        <w:jc w:val="both"/>
        <w:rPr>
          <w:rFonts w:ascii="Book Antiqua" w:hAnsi="Book Antiqua"/>
          <w:b/>
        </w:rPr>
      </w:pPr>
      <w:r w:rsidRPr="00DC00DE">
        <w:rPr>
          <w:rFonts w:ascii="Book Antiqua" w:hAnsi="Book Antiqua" w:cs="Book Antiqua"/>
          <w:color w:val="000000"/>
          <w:lang w:eastAsia="zh-CN"/>
        </w:rPr>
        <w:br w:type="page"/>
      </w:r>
      <w:r w:rsidRPr="00DC00DE">
        <w:rPr>
          <w:rFonts w:ascii="Book Antiqua" w:hAnsi="Book Antiqua"/>
          <w:b/>
        </w:rPr>
        <w:lastRenderedPageBreak/>
        <w:t xml:space="preserve">Table 1 Levels of bilirubin, </w:t>
      </w:r>
      <w:r w:rsidR="006E2282" w:rsidRPr="00DC00DE">
        <w:rPr>
          <w:rFonts w:ascii="Book Antiqua" w:eastAsia="Book Antiqua" w:hAnsi="Book Antiqua" w:cs="Book Antiqua"/>
          <w:b/>
          <w:color w:val="000000"/>
        </w:rPr>
        <w:t>alkaline phosphatase</w:t>
      </w:r>
      <w:r w:rsidR="005C3BB2" w:rsidRPr="00DC00DE">
        <w:rPr>
          <w:rFonts w:ascii="Book Antiqua" w:eastAsia="Book Antiqua" w:hAnsi="Book Antiqua" w:cs="Book Antiqua"/>
          <w:b/>
          <w:color w:val="000000"/>
        </w:rPr>
        <w:t>,</w:t>
      </w:r>
      <w:r w:rsidRPr="00DC00DE">
        <w:rPr>
          <w:rFonts w:ascii="Book Antiqua" w:hAnsi="Book Antiqua"/>
          <w:b/>
        </w:rPr>
        <w:t xml:space="preserve"> and </w:t>
      </w:r>
      <w:r w:rsidR="006E2282" w:rsidRPr="00DC00DE">
        <w:rPr>
          <w:rFonts w:ascii="Book Antiqua" w:eastAsia="Book Antiqua" w:hAnsi="Book Antiqua" w:cs="Book Antiqua"/>
          <w:b/>
          <w:color w:val="000000"/>
        </w:rPr>
        <w:t>gamma-glutamyl transpeptidase</w:t>
      </w:r>
      <w:r w:rsidRPr="00DC00DE">
        <w:rPr>
          <w:rFonts w:ascii="Book Antiqua" w:hAnsi="Book Antiqua"/>
          <w:b/>
        </w:rPr>
        <w:t xml:space="preserve"> during treatment and follow-up</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60"/>
        <w:gridCol w:w="2424"/>
        <w:gridCol w:w="2423"/>
        <w:gridCol w:w="1628"/>
        <w:gridCol w:w="1641"/>
      </w:tblGrid>
      <w:tr w:rsidR="00A12995" w:rsidRPr="00DC00DE" w14:paraId="7A322823" w14:textId="77777777" w:rsidTr="00773C8F">
        <w:trPr>
          <w:trHeight w:val="300"/>
          <w:jc w:val="center"/>
        </w:trPr>
        <w:tc>
          <w:tcPr>
            <w:tcW w:w="762" w:type="pct"/>
            <w:vMerge w:val="restart"/>
            <w:tcBorders>
              <w:top w:val="single" w:sz="4" w:space="0" w:color="auto"/>
              <w:bottom w:val="single" w:sz="4" w:space="0" w:color="auto"/>
            </w:tcBorders>
            <w:shd w:val="clear" w:color="auto" w:fill="auto"/>
            <w:noWrap/>
            <w:hideMark/>
          </w:tcPr>
          <w:p w14:paraId="2BFA5E31" w14:textId="77777777" w:rsidR="00A12995" w:rsidRPr="00DC00DE" w:rsidRDefault="00A12995" w:rsidP="00732E79">
            <w:pPr>
              <w:spacing w:line="360" w:lineRule="auto"/>
              <w:jc w:val="both"/>
              <w:rPr>
                <w:rFonts w:ascii="Book Antiqua" w:eastAsia="宋体" w:hAnsi="Book Antiqua"/>
                <w:b/>
                <w:color w:val="000000" w:themeColor="text1"/>
              </w:rPr>
            </w:pPr>
            <w:r w:rsidRPr="00DC00DE">
              <w:rPr>
                <w:rFonts w:ascii="Book Antiqua" w:hAnsi="Book Antiqua"/>
                <w:b/>
                <w:color w:val="000000" w:themeColor="text1"/>
              </w:rPr>
              <w:t>Date</w:t>
            </w:r>
          </w:p>
        </w:tc>
        <w:tc>
          <w:tcPr>
            <w:tcW w:w="1265" w:type="pct"/>
            <w:tcBorders>
              <w:top w:val="single" w:sz="4" w:space="0" w:color="auto"/>
              <w:bottom w:val="single" w:sz="4" w:space="0" w:color="auto"/>
            </w:tcBorders>
            <w:shd w:val="clear" w:color="auto" w:fill="auto"/>
            <w:noWrap/>
            <w:hideMark/>
          </w:tcPr>
          <w:p w14:paraId="3EFC42A9" w14:textId="77777777" w:rsidR="00A12995" w:rsidRPr="00DC00DE" w:rsidRDefault="00A12995" w:rsidP="00732E79">
            <w:pPr>
              <w:spacing w:line="360" w:lineRule="auto"/>
              <w:jc w:val="both"/>
              <w:rPr>
                <w:rFonts w:ascii="Book Antiqua" w:eastAsia="宋体" w:hAnsi="Book Antiqua"/>
                <w:b/>
                <w:color w:val="000000" w:themeColor="text1"/>
              </w:rPr>
            </w:pPr>
            <w:r w:rsidRPr="00DC00DE">
              <w:rPr>
                <w:rFonts w:ascii="Book Antiqua" w:hAnsi="Book Antiqua"/>
                <w:b/>
                <w:color w:val="000000" w:themeColor="text1"/>
              </w:rPr>
              <w:t>TB</w:t>
            </w:r>
          </w:p>
        </w:tc>
        <w:tc>
          <w:tcPr>
            <w:tcW w:w="1265" w:type="pct"/>
            <w:tcBorders>
              <w:top w:val="single" w:sz="4" w:space="0" w:color="auto"/>
              <w:bottom w:val="single" w:sz="4" w:space="0" w:color="auto"/>
            </w:tcBorders>
            <w:shd w:val="clear" w:color="auto" w:fill="auto"/>
            <w:noWrap/>
            <w:hideMark/>
          </w:tcPr>
          <w:p w14:paraId="6E962475" w14:textId="77777777" w:rsidR="00A12995" w:rsidRPr="00DC00DE" w:rsidRDefault="00A12995" w:rsidP="00732E79">
            <w:pPr>
              <w:spacing w:line="360" w:lineRule="auto"/>
              <w:jc w:val="both"/>
              <w:rPr>
                <w:rFonts w:ascii="Book Antiqua" w:eastAsia="宋体" w:hAnsi="Book Antiqua"/>
                <w:b/>
                <w:color w:val="000000" w:themeColor="text1"/>
              </w:rPr>
            </w:pPr>
            <w:r w:rsidRPr="00DC00DE">
              <w:rPr>
                <w:rFonts w:ascii="Book Antiqua" w:hAnsi="Book Antiqua"/>
                <w:b/>
                <w:color w:val="000000" w:themeColor="text1"/>
              </w:rPr>
              <w:t>DB</w:t>
            </w:r>
          </w:p>
        </w:tc>
        <w:tc>
          <w:tcPr>
            <w:tcW w:w="850" w:type="pct"/>
            <w:tcBorders>
              <w:top w:val="single" w:sz="4" w:space="0" w:color="auto"/>
              <w:bottom w:val="single" w:sz="4" w:space="0" w:color="auto"/>
            </w:tcBorders>
            <w:shd w:val="clear" w:color="auto" w:fill="auto"/>
            <w:noWrap/>
            <w:hideMark/>
          </w:tcPr>
          <w:p w14:paraId="11019F42" w14:textId="77777777" w:rsidR="00A12995" w:rsidRPr="00DC00DE" w:rsidRDefault="00A12995" w:rsidP="00732E79">
            <w:pPr>
              <w:spacing w:line="360" w:lineRule="auto"/>
              <w:jc w:val="both"/>
              <w:rPr>
                <w:rFonts w:ascii="Book Antiqua" w:eastAsia="宋体" w:hAnsi="Book Antiqua"/>
                <w:b/>
                <w:color w:val="000000" w:themeColor="text1"/>
              </w:rPr>
            </w:pPr>
            <w:r w:rsidRPr="00DC00DE">
              <w:rPr>
                <w:rFonts w:ascii="Book Antiqua" w:hAnsi="Book Antiqua"/>
                <w:b/>
                <w:color w:val="000000" w:themeColor="text1"/>
              </w:rPr>
              <w:t>AKP</w:t>
            </w:r>
          </w:p>
        </w:tc>
        <w:tc>
          <w:tcPr>
            <w:tcW w:w="857" w:type="pct"/>
            <w:tcBorders>
              <w:top w:val="single" w:sz="4" w:space="0" w:color="auto"/>
              <w:bottom w:val="single" w:sz="4" w:space="0" w:color="auto"/>
            </w:tcBorders>
            <w:shd w:val="clear" w:color="auto" w:fill="auto"/>
            <w:noWrap/>
            <w:hideMark/>
          </w:tcPr>
          <w:p w14:paraId="0647591C" w14:textId="77777777" w:rsidR="00A12995" w:rsidRPr="00DC00DE" w:rsidRDefault="00A12995" w:rsidP="00732E79">
            <w:pPr>
              <w:spacing w:line="360" w:lineRule="auto"/>
              <w:jc w:val="both"/>
              <w:rPr>
                <w:rFonts w:ascii="Book Antiqua" w:eastAsia="宋体" w:hAnsi="Book Antiqua"/>
                <w:b/>
                <w:color w:val="000000" w:themeColor="text1"/>
              </w:rPr>
            </w:pPr>
            <w:r w:rsidRPr="00DC00DE">
              <w:rPr>
                <w:rFonts w:ascii="Book Antiqua" w:hAnsi="Book Antiqua"/>
                <w:b/>
                <w:color w:val="000000" w:themeColor="text1"/>
              </w:rPr>
              <w:t>γ-GT</w:t>
            </w:r>
          </w:p>
        </w:tc>
      </w:tr>
      <w:tr w:rsidR="00A12995" w:rsidRPr="00DC00DE" w14:paraId="61CDCDC4" w14:textId="77777777" w:rsidTr="00773C8F">
        <w:trPr>
          <w:trHeight w:val="315"/>
          <w:jc w:val="center"/>
        </w:trPr>
        <w:tc>
          <w:tcPr>
            <w:tcW w:w="762" w:type="pct"/>
            <w:vMerge/>
            <w:tcBorders>
              <w:top w:val="single" w:sz="4" w:space="0" w:color="auto"/>
              <w:bottom w:val="single" w:sz="4" w:space="0" w:color="auto"/>
            </w:tcBorders>
            <w:shd w:val="clear" w:color="auto" w:fill="auto"/>
            <w:hideMark/>
          </w:tcPr>
          <w:p w14:paraId="713AC3EB" w14:textId="77777777" w:rsidR="00A12995" w:rsidRPr="00DC00DE" w:rsidRDefault="00A12995" w:rsidP="00732E79">
            <w:pPr>
              <w:spacing w:line="360" w:lineRule="auto"/>
              <w:jc w:val="both"/>
              <w:rPr>
                <w:rFonts w:ascii="Book Antiqua" w:eastAsia="宋体" w:hAnsi="Book Antiqua"/>
                <w:b/>
                <w:color w:val="000000" w:themeColor="text1"/>
              </w:rPr>
            </w:pPr>
          </w:p>
        </w:tc>
        <w:tc>
          <w:tcPr>
            <w:tcW w:w="1265" w:type="pct"/>
            <w:tcBorders>
              <w:top w:val="single" w:sz="4" w:space="0" w:color="auto"/>
              <w:bottom w:val="single" w:sz="4" w:space="0" w:color="auto"/>
            </w:tcBorders>
            <w:shd w:val="clear" w:color="auto" w:fill="auto"/>
            <w:noWrap/>
            <w:hideMark/>
          </w:tcPr>
          <w:p w14:paraId="767AFC4A" w14:textId="2800F92B" w:rsidR="00A12995" w:rsidRPr="00DC00DE" w:rsidRDefault="00A12995" w:rsidP="00732E79">
            <w:pPr>
              <w:spacing w:line="360" w:lineRule="auto"/>
              <w:jc w:val="both"/>
              <w:rPr>
                <w:rFonts w:ascii="Book Antiqua" w:eastAsia="宋体" w:hAnsi="Book Antiqua"/>
                <w:b/>
                <w:color w:val="000000" w:themeColor="text1"/>
              </w:rPr>
            </w:pPr>
            <w:proofErr w:type="spellStart"/>
            <w:r w:rsidRPr="00DC00DE">
              <w:rPr>
                <w:rFonts w:ascii="Book Antiqua" w:hAnsi="Book Antiqua"/>
                <w:b/>
                <w:color w:val="000000" w:themeColor="text1"/>
                <w:shd w:val="clear" w:color="auto" w:fill="FFFFFF"/>
              </w:rPr>
              <w:t>μ</w:t>
            </w:r>
            <w:r w:rsidRPr="00DC00DE">
              <w:rPr>
                <w:rFonts w:ascii="Book Antiqua" w:hAnsi="Book Antiqua"/>
                <w:b/>
                <w:color w:val="000000" w:themeColor="text1"/>
              </w:rPr>
              <w:t>mol</w:t>
            </w:r>
            <w:proofErr w:type="spellEnd"/>
            <w:r w:rsidRPr="00DC00DE">
              <w:rPr>
                <w:rFonts w:ascii="Book Antiqua" w:hAnsi="Book Antiqua"/>
                <w:b/>
                <w:color w:val="000000" w:themeColor="text1"/>
              </w:rPr>
              <w:t>/L</w:t>
            </w:r>
          </w:p>
        </w:tc>
        <w:tc>
          <w:tcPr>
            <w:tcW w:w="1265" w:type="pct"/>
            <w:tcBorders>
              <w:top w:val="single" w:sz="4" w:space="0" w:color="auto"/>
              <w:bottom w:val="single" w:sz="4" w:space="0" w:color="auto"/>
            </w:tcBorders>
            <w:shd w:val="clear" w:color="auto" w:fill="auto"/>
            <w:noWrap/>
            <w:hideMark/>
          </w:tcPr>
          <w:p w14:paraId="672D8EB4" w14:textId="30F5F8ED" w:rsidR="00A12995" w:rsidRPr="00DC00DE" w:rsidRDefault="00A12995" w:rsidP="00732E79">
            <w:pPr>
              <w:spacing w:line="360" w:lineRule="auto"/>
              <w:jc w:val="both"/>
              <w:rPr>
                <w:rFonts w:ascii="Book Antiqua" w:eastAsia="宋体" w:hAnsi="Book Antiqua"/>
                <w:b/>
                <w:color w:val="000000" w:themeColor="text1"/>
              </w:rPr>
            </w:pPr>
            <w:proofErr w:type="spellStart"/>
            <w:r w:rsidRPr="00DC00DE">
              <w:rPr>
                <w:rFonts w:ascii="Book Antiqua" w:hAnsi="Book Antiqua"/>
                <w:b/>
                <w:color w:val="000000" w:themeColor="text1"/>
                <w:shd w:val="clear" w:color="auto" w:fill="FFFFFF"/>
              </w:rPr>
              <w:t>μ</w:t>
            </w:r>
            <w:r w:rsidRPr="00DC00DE">
              <w:rPr>
                <w:rFonts w:ascii="Book Antiqua" w:hAnsi="Book Antiqua"/>
                <w:b/>
                <w:color w:val="000000" w:themeColor="text1"/>
              </w:rPr>
              <w:t>mol</w:t>
            </w:r>
            <w:proofErr w:type="spellEnd"/>
            <w:r w:rsidRPr="00DC00DE">
              <w:rPr>
                <w:rFonts w:ascii="Book Antiqua" w:hAnsi="Book Antiqua"/>
                <w:b/>
                <w:color w:val="000000" w:themeColor="text1"/>
              </w:rPr>
              <w:t>/L</w:t>
            </w:r>
          </w:p>
        </w:tc>
        <w:tc>
          <w:tcPr>
            <w:tcW w:w="850" w:type="pct"/>
            <w:tcBorders>
              <w:top w:val="single" w:sz="4" w:space="0" w:color="auto"/>
              <w:bottom w:val="single" w:sz="4" w:space="0" w:color="auto"/>
            </w:tcBorders>
            <w:shd w:val="clear" w:color="auto" w:fill="auto"/>
            <w:noWrap/>
            <w:hideMark/>
          </w:tcPr>
          <w:p w14:paraId="59C877EA" w14:textId="39C59580" w:rsidR="00A12995" w:rsidRPr="00DC00DE" w:rsidRDefault="00A12995" w:rsidP="00732E79">
            <w:pPr>
              <w:spacing w:line="360" w:lineRule="auto"/>
              <w:jc w:val="both"/>
              <w:rPr>
                <w:rFonts w:ascii="Book Antiqua" w:eastAsia="宋体" w:hAnsi="Book Antiqua"/>
                <w:b/>
                <w:color w:val="000000" w:themeColor="text1"/>
              </w:rPr>
            </w:pPr>
            <w:r w:rsidRPr="00DC00DE">
              <w:rPr>
                <w:rFonts w:ascii="Book Antiqua" w:hAnsi="Book Antiqua"/>
                <w:b/>
                <w:color w:val="000000" w:themeColor="text1"/>
                <w:shd w:val="clear" w:color="auto" w:fill="FFFFFF"/>
              </w:rPr>
              <w:t>μ</w:t>
            </w:r>
            <w:r w:rsidRPr="00DC00DE">
              <w:rPr>
                <w:rFonts w:ascii="Book Antiqua" w:hAnsi="Book Antiqua"/>
                <w:b/>
                <w:color w:val="000000" w:themeColor="text1"/>
              </w:rPr>
              <w:t>/L</w:t>
            </w:r>
          </w:p>
        </w:tc>
        <w:tc>
          <w:tcPr>
            <w:tcW w:w="857" w:type="pct"/>
            <w:tcBorders>
              <w:top w:val="single" w:sz="4" w:space="0" w:color="auto"/>
              <w:bottom w:val="single" w:sz="4" w:space="0" w:color="auto"/>
            </w:tcBorders>
            <w:shd w:val="clear" w:color="auto" w:fill="auto"/>
            <w:noWrap/>
            <w:hideMark/>
          </w:tcPr>
          <w:p w14:paraId="7AAD34C1" w14:textId="1B15D70B" w:rsidR="00A12995" w:rsidRPr="00DC00DE" w:rsidRDefault="00A12995" w:rsidP="00732E79">
            <w:pPr>
              <w:spacing w:line="360" w:lineRule="auto"/>
              <w:jc w:val="both"/>
              <w:rPr>
                <w:rFonts w:ascii="Book Antiqua" w:eastAsia="宋体" w:hAnsi="Book Antiqua"/>
                <w:b/>
                <w:color w:val="000000" w:themeColor="text1"/>
              </w:rPr>
            </w:pPr>
            <w:r w:rsidRPr="00DC00DE">
              <w:rPr>
                <w:rFonts w:ascii="Book Antiqua" w:hAnsi="Book Antiqua"/>
                <w:b/>
                <w:color w:val="000000" w:themeColor="text1"/>
                <w:shd w:val="clear" w:color="auto" w:fill="FFFFFF"/>
              </w:rPr>
              <w:t>μ</w:t>
            </w:r>
            <w:r w:rsidRPr="00DC00DE">
              <w:rPr>
                <w:rFonts w:ascii="Book Antiqua" w:hAnsi="Book Antiqua"/>
                <w:b/>
                <w:color w:val="000000" w:themeColor="text1"/>
              </w:rPr>
              <w:t>/L</w:t>
            </w:r>
          </w:p>
        </w:tc>
      </w:tr>
      <w:tr w:rsidR="00A12995" w:rsidRPr="00DC00DE" w14:paraId="162E57B4" w14:textId="77777777" w:rsidTr="00773C8F">
        <w:trPr>
          <w:trHeight w:val="300"/>
          <w:jc w:val="center"/>
        </w:trPr>
        <w:tc>
          <w:tcPr>
            <w:tcW w:w="762" w:type="pct"/>
            <w:tcBorders>
              <w:top w:val="single" w:sz="4" w:space="0" w:color="auto"/>
            </w:tcBorders>
            <w:shd w:val="clear" w:color="auto" w:fill="auto"/>
            <w:noWrap/>
            <w:hideMark/>
          </w:tcPr>
          <w:p w14:paraId="2F5BC992"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6.12</w:t>
            </w:r>
          </w:p>
        </w:tc>
        <w:tc>
          <w:tcPr>
            <w:tcW w:w="1265" w:type="pct"/>
            <w:tcBorders>
              <w:top w:val="single" w:sz="4" w:space="0" w:color="auto"/>
            </w:tcBorders>
            <w:shd w:val="clear" w:color="auto" w:fill="auto"/>
            <w:noWrap/>
            <w:hideMark/>
          </w:tcPr>
          <w:p w14:paraId="6F50B90F"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13.4</w:t>
            </w:r>
          </w:p>
        </w:tc>
        <w:tc>
          <w:tcPr>
            <w:tcW w:w="1265" w:type="pct"/>
            <w:tcBorders>
              <w:top w:val="single" w:sz="4" w:space="0" w:color="auto"/>
            </w:tcBorders>
            <w:shd w:val="clear" w:color="auto" w:fill="auto"/>
            <w:noWrap/>
            <w:hideMark/>
          </w:tcPr>
          <w:p w14:paraId="06D8582F"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6.1</w:t>
            </w:r>
          </w:p>
        </w:tc>
        <w:tc>
          <w:tcPr>
            <w:tcW w:w="850" w:type="pct"/>
            <w:tcBorders>
              <w:top w:val="single" w:sz="4" w:space="0" w:color="auto"/>
            </w:tcBorders>
            <w:shd w:val="clear" w:color="auto" w:fill="auto"/>
            <w:noWrap/>
            <w:hideMark/>
          </w:tcPr>
          <w:p w14:paraId="34BBAD8F"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58</w:t>
            </w:r>
          </w:p>
        </w:tc>
        <w:tc>
          <w:tcPr>
            <w:tcW w:w="857" w:type="pct"/>
            <w:tcBorders>
              <w:top w:val="single" w:sz="4" w:space="0" w:color="auto"/>
            </w:tcBorders>
            <w:shd w:val="clear" w:color="auto" w:fill="auto"/>
            <w:noWrap/>
            <w:hideMark/>
          </w:tcPr>
          <w:p w14:paraId="1EFE206A"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23.2</w:t>
            </w:r>
          </w:p>
        </w:tc>
      </w:tr>
      <w:tr w:rsidR="00A12995" w:rsidRPr="00DC00DE" w14:paraId="189BB33C" w14:textId="77777777" w:rsidTr="00773C8F">
        <w:trPr>
          <w:trHeight w:val="300"/>
          <w:jc w:val="center"/>
        </w:trPr>
        <w:tc>
          <w:tcPr>
            <w:tcW w:w="762" w:type="pct"/>
            <w:shd w:val="clear" w:color="auto" w:fill="auto"/>
            <w:noWrap/>
            <w:hideMark/>
          </w:tcPr>
          <w:p w14:paraId="0AE75C07" w14:textId="77777777" w:rsidR="00A12995" w:rsidRPr="00DC00DE" w:rsidRDefault="00A12995" w:rsidP="00190070">
            <w:pPr>
              <w:spacing w:line="360" w:lineRule="auto"/>
              <w:jc w:val="both"/>
              <w:rPr>
                <w:rFonts w:ascii="Book Antiqua" w:eastAsia="宋体" w:hAnsi="Book Antiqua"/>
                <w:color w:val="000000"/>
                <w:lang w:eastAsia="zh-CN"/>
              </w:rPr>
            </w:pPr>
            <w:r w:rsidRPr="00DC00DE">
              <w:rPr>
                <w:rFonts w:ascii="Book Antiqua" w:hAnsi="Book Antiqua"/>
                <w:color w:val="000000"/>
              </w:rPr>
              <w:t>D1</w:t>
            </w:r>
            <w:r w:rsidR="00190070" w:rsidRPr="00DC00DE">
              <w:rPr>
                <w:rFonts w:ascii="Book Antiqua" w:hAnsi="Book Antiqua" w:hint="eastAsia"/>
                <w:color w:val="000000"/>
                <w:vertAlign w:val="superscript"/>
                <w:lang w:eastAsia="zh-CN"/>
              </w:rPr>
              <w:t>1</w:t>
            </w:r>
          </w:p>
        </w:tc>
        <w:tc>
          <w:tcPr>
            <w:tcW w:w="1265" w:type="pct"/>
            <w:shd w:val="clear" w:color="auto" w:fill="auto"/>
            <w:noWrap/>
            <w:hideMark/>
          </w:tcPr>
          <w:p w14:paraId="68C21E8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10.0</w:t>
            </w:r>
          </w:p>
        </w:tc>
        <w:tc>
          <w:tcPr>
            <w:tcW w:w="1265" w:type="pct"/>
            <w:shd w:val="clear" w:color="auto" w:fill="auto"/>
            <w:noWrap/>
            <w:hideMark/>
          </w:tcPr>
          <w:p w14:paraId="7A1A24C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5.1</w:t>
            </w:r>
          </w:p>
        </w:tc>
        <w:tc>
          <w:tcPr>
            <w:tcW w:w="850" w:type="pct"/>
            <w:shd w:val="clear" w:color="auto" w:fill="auto"/>
            <w:noWrap/>
            <w:hideMark/>
          </w:tcPr>
          <w:p w14:paraId="5801597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77</w:t>
            </w:r>
          </w:p>
        </w:tc>
        <w:tc>
          <w:tcPr>
            <w:tcW w:w="857" w:type="pct"/>
            <w:shd w:val="clear" w:color="auto" w:fill="auto"/>
            <w:noWrap/>
            <w:hideMark/>
          </w:tcPr>
          <w:p w14:paraId="46D29B4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20.3</w:t>
            </w:r>
          </w:p>
        </w:tc>
      </w:tr>
      <w:tr w:rsidR="00A12995" w:rsidRPr="00DC00DE" w14:paraId="03467978" w14:textId="77777777" w:rsidTr="00773C8F">
        <w:trPr>
          <w:trHeight w:val="300"/>
          <w:jc w:val="center"/>
        </w:trPr>
        <w:tc>
          <w:tcPr>
            <w:tcW w:w="762" w:type="pct"/>
            <w:shd w:val="clear" w:color="auto" w:fill="auto"/>
            <w:noWrap/>
            <w:hideMark/>
          </w:tcPr>
          <w:p w14:paraId="2837C05E"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D2</w:t>
            </w:r>
          </w:p>
        </w:tc>
        <w:tc>
          <w:tcPr>
            <w:tcW w:w="1265" w:type="pct"/>
            <w:shd w:val="clear" w:color="auto" w:fill="auto"/>
            <w:noWrap/>
            <w:hideMark/>
          </w:tcPr>
          <w:p w14:paraId="7DDB9922"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11.4</w:t>
            </w:r>
          </w:p>
        </w:tc>
        <w:tc>
          <w:tcPr>
            <w:tcW w:w="1265" w:type="pct"/>
            <w:shd w:val="clear" w:color="auto" w:fill="auto"/>
            <w:noWrap/>
            <w:hideMark/>
          </w:tcPr>
          <w:p w14:paraId="6C8E960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5.7</w:t>
            </w:r>
          </w:p>
        </w:tc>
        <w:tc>
          <w:tcPr>
            <w:tcW w:w="850" w:type="pct"/>
            <w:shd w:val="clear" w:color="auto" w:fill="auto"/>
            <w:noWrap/>
            <w:hideMark/>
          </w:tcPr>
          <w:p w14:paraId="351E5AF1"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83</w:t>
            </w:r>
          </w:p>
        </w:tc>
        <w:tc>
          <w:tcPr>
            <w:tcW w:w="857" w:type="pct"/>
            <w:shd w:val="clear" w:color="auto" w:fill="auto"/>
            <w:noWrap/>
            <w:hideMark/>
          </w:tcPr>
          <w:p w14:paraId="6893A5A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18.8</w:t>
            </w:r>
          </w:p>
        </w:tc>
      </w:tr>
      <w:tr w:rsidR="00A12995" w:rsidRPr="00DC00DE" w14:paraId="00C756B5" w14:textId="77777777" w:rsidTr="00773C8F">
        <w:trPr>
          <w:trHeight w:val="300"/>
          <w:jc w:val="center"/>
        </w:trPr>
        <w:tc>
          <w:tcPr>
            <w:tcW w:w="762" w:type="pct"/>
            <w:shd w:val="clear" w:color="auto" w:fill="auto"/>
            <w:noWrap/>
            <w:hideMark/>
          </w:tcPr>
          <w:p w14:paraId="41AEB1D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D3</w:t>
            </w:r>
          </w:p>
        </w:tc>
        <w:tc>
          <w:tcPr>
            <w:tcW w:w="1265" w:type="pct"/>
            <w:shd w:val="clear" w:color="auto" w:fill="auto"/>
            <w:noWrap/>
            <w:hideMark/>
          </w:tcPr>
          <w:p w14:paraId="65EA006A"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17.8</w:t>
            </w:r>
          </w:p>
        </w:tc>
        <w:tc>
          <w:tcPr>
            <w:tcW w:w="1265" w:type="pct"/>
            <w:shd w:val="clear" w:color="auto" w:fill="auto"/>
            <w:noWrap/>
            <w:hideMark/>
          </w:tcPr>
          <w:p w14:paraId="5D1EDBE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9.0</w:t>
            </w:r>
          </w:p>
        </w:tc>
        <w:tc>
          <w:tcPr>
            <w:tcW w:w="850" w:type="pct"/>
            <w:shd w:val="clear" w:color="auto" w:fill="auto"/>
            <w:noWrap/>
            <w:hideMark/>
          </w:tcPr>
          <w:p w14:paraId="03E69D90"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75</w:t>
            </w:r>
          </w:p>
        </w:tc>
        <w:tc>
          <w:tcPr>
            <w:tcW w:w="857" w:type="pct"/>
            <w:shd w:val="clear" w:color="auto" w:fill="auto"/>
            <w:noWrap/>
            <w:hideMark/>
          </w:tcPr>
          <w:p w14:paraId="413747B9"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19.3</w:t>
            </w:r>
          </w:p>
        </w:tc>
      </w:tr>
      <w:tr w:rsidR="00A12995" w:rsidRPr="00DC00DE" w14:paraId="0933F7B7" w14:textId="77777777" w:rsidTr="00773C8F">
        <w:trPr>
          <w:trHeight w:val="300"/>
          <w:jc w:val="center"/>
        </w:trPr>
        <w:tc>
          <w:tcPr>
            <w:tcW w:w="762" w:type="pct"/>
            <w:shd w:val="clear" w:color="auto" w:fill="auto"/>
            <w:noWrap/>
            <w:hideMark/>
          </w:tcPr>
          <w:p w14:paraId="7A5610B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D7</w:t>
            </w:r>
          </w:p>
        </w:tc>
        <w:tc>
          <w:tcPr>
            <w:tcW w:w="1265" w:type="pct"/>
            <w:shd w:val="clear" w:color="auto" w:fill="auto"/>
            <w:noWrap/>
            <w:hideMark/>
          </w:tcPr>
          <w:p w14:paraId="52CBB70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214.1</w:t>
            </w:r>
          </w:p>
        </w:tc>
        <w:tc>
          <w:tcPr>
            <w:tcW w:w="1265" w:type="pct"/>
            <w:shd w:val="clear" w:color="auto" w:fill="auto"/>
            <w:noWrap/>
            <w:hideMark/>
          </w:tcPr>
          <w:p w14:paraId="6C38C99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166.8</w:t>
            </w:r>
          </w:p>
        </w:tc>
        <w:tc>
          <w:tcPr>
            <w:tcW w:w="850" w:type="pct"/>
            <w:shd w:val="clear" w:color="auto" w:fill="auto"/>
            <w:noWrap/>
            <w:hideMark/>
          </w:tcPr>
          <w:p w14:paraId="599A0449"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874</w:t>
            </w:r>
          </w:p>
        </w:tc>
        <w:tc>
          <w:tcPr>
            <w:tcW w:w="857" w:type="pct"/>
            <w:shd w:val="clear" w:color="auto" w:fill="auto"/>
            <w:noWrap/>
            <w:hideMark/>
          </w:tcPr>
          <w:p w14:paraId="04A35657"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366.3</w:t>
            </w:r>
          </w:p>
        </w:tc>
      </w:tr>
      <w:tr w:rsidR="00A12995" w:rsidRPr="00DC00DE" w14:paraId="59309616" w14:textId="77777777" w:rsidTr="00773C8F">
        <w:trPr>
          <w:trHeight w:val="300"/>
          <w:jc w:val="center"/>
        </w:trPr>
        <w:tc>
          <w:tcPr>
            <w:tcW w:w="762" w:type="pct"/>
            <w:shd w:val="clear" w:color="auto" w:fill="auto"/>
            <w:noWrap/>
            <w:hideMark/>
          </w:tcPr>
          <w:p w14:paraId="29B2CC1F"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D9</w:t>
            </w:r>
          </w:p>
        </w:tc>
        <w:tc>
          <w:tcPr>
            <w:tcW w:w="1265" w:type="pct"/>
            <w:shd w:val="clear" w:color="auto" w:fill="auto"/>
            <w:noWrap/>
            <w:hideMark/>
          </w:tcPr>
          <w:p w14:paraId="4B4D944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230.9</w:t>
            </w:r>
          </w:p>
        </w:tc>
        <w:tc>
          <w:tcPr>
            <w:tcW w:w="1265" w:type="pct"/>
            <w:shd w:val="clear" w:color="auto" w:fill="auto"/>
            <w:noWrap/>
            <w:hideMark/>
          </w:tcPr>
          <w:p w14:paraId="7A3E71E2"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177.6</w:t>
            </w:r>
          </w:p>
        </w:tc>
        <w:tc>
          <w:tcPr>
            <w:tcW w:w="850" w:type="pct"/>
            <w:shd w:val="clear" w:color="auto" w:fill="auto"/>
            <w:noWrap/>
            <w:hideMark/>
          </w:tcPr>
          <w:p w14:paraId="48A3E23D"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1092</w:t>
            </w:r>
          </w:p>
        </w:tc>
        <w:tc>
          <w:tcPr>
            <w:tcW w:w="857" w:type="pct"/>
            <w:shd w:val="clear" w:color="auto" w:fill="auto"/>
            <w:noWrap/>
            <w:hideMark/>
          </w:tcPr>
          <w:p w14:paraId="522B10CE"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447.5</w:t>
            </w:r>
          </w:p>
        </w:tc>
      </w:tr>
      <w:tr w:rsidR="00A12995" w:rsidRPr="00DC00DE" w14:paraId="3E004CCA" w14:textId="77777777" w:rsidTr="00773C8F">
        <w:trPr>
          <w:trHeight w:val="300"/>
          <w:jc w:val="center"/>
        </w:trPr>
        <w:tc>
          <w:tcPr>
            <w:tcW w:w="762" w:type="pct"/>
            <w:shd w:val="clear" w:color="auto" w:fill="auto"/>
            <w:noWrap/>
            <w:hideMark/>
          </w:tcPr>
          <w:p w14:paraId="37FAAF5F"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D10</w:t>
            </w:r>
          </w:p>
        </w:tc>
        <w:tc>
          <w:tcPr>
            <w:tcW w:w="1265" w:type="pct"/>
            <w:shd w:val="clear" w:color="auto" w:fill="auto"/>
            <w:noWrap/>
            <w:hideMark/>
          </w:tcPr>
          <w:p w14:paraId="2726A02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309.3</w:t>
            </w:r>
          </w:p>
        </w:tc>
        <w:tc>
          <w:tcPr>
            <w:tcW w:w="1265" w:type="pct"/>
            <w:shd w:val="clear" w:color="auto" w:fill="auto"/>
            <w:noWrap/>
            <w:hideMark/>
          </w:tcPr>
          <w:p w14:paraId="0FDA2347"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232.3</w:t>
            </w:r>
          </w:p>
        </w:tc>
        <w:tc>
          <w:tcPr>
            <w:tcW w:w="850" w:type="pct"/>
            <w:shd w:val="clear" w:color="auto" w:fill="auto"/>
            <w:noWrap/>
            <w:hideMark/>
          </w:tcPr>
          <w:p w14:paraId="3E8815FD"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1489</w:t>
            </w:r>
          </w:p>
        </w:tc>
        <w:tc>
          <w:tcPr>
            <w:tcW w:w="857" w:type="pct"/>
            <w:shd w:val="clear" w:color="auto" w:fill="auto"/>
            <w:noWrap/>
            <w:hideMark/>
          </w:tcPr>
          <w:p w14:paraId="05C0516C"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563.7</w:t>
            </w:r>
          </w:p>
        </w:tc>
      </w:tr>
      <w:tr w:rsidR="00A12995" w:rsidRPr="00DC00DE" w14:paraId="1A49D4E3" w14:textId="77777777" w:rsidTr="00773C8F">
        <w:trPr>
          <w:trHeight w:val="300"/>
          <w:jc w:val="center"/>
        </w:trPr>
        <w:tc>
          <w:tcPr>
            <w:tcW w:w="762" w:type="pct"/>
            <w:shd w:val="clear" w:color="auto" w:fill="auto"/>
            <w:noWrap/>
            <w:hideMark/>
          </w:tcPr>
          <w:p w14:paraId="2C8EAFD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D11</w:t>
            </w:r>
          </w:p>
        </w:tc>
        <w:tc>
          <w:tcPr>
            <w:tcW w:w="1265" w:type="pct"/>
            <w:shd w:val="clear" w:color="auto" w:fill="auto"/>
            <w:noWrap/>
            <w:hideMark/>
          </w:tcPr>
          <w:p w14:paraId="78FC5F09"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367.6</w:t>
            </w:r>
          </w:p>
        </w:tc>
        <w:tc>
          <w:tcPr>
            <w:tcW w:w="1265" w:type="pct"/>
            <w:shd w:val="clear" w:color="auto" w:fill="auto"/>
            <w:noWrap/>
            <w:hideMark/>
          </w:tcPr>
          <w:p w14:paraId="04D6C240"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289.5</w:t>
            </w:r>
          </w:p>
        </w:tc>
        <w:tc>
          <w:tcPr>
            <w:tcW w:w="850" w:type="pct"/>
            <w:shd w:val="clear" w:color="auto" w:fill="auto"/>
            <w:noWrap/>
            <w:hideMark/>
          </w:tcPr>
          <w:p w14:paraId="3DE6CCF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1759</w:t>
            </w:r>
          </w:p>
        </w:tc>
        <w:tc>
          <w:tcPr>
            <w:tcW w:w="857" w:type="pct"/>
            <w:shd w:val="clear" w:color="auto" w:fill="auto"/>
            <w:noWrap/>
            <w:hideMark/>
          </w:tcPr>
          <w:p w14:paraId="5A52170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734.5</w:t>
            </w:r>
          </w:p>
        </w:tc>
      </w:tr>
      <w:tr w:rsidR="00A12995" w:rsidRPr="00DC00DE" w14:paraId="74BE2B29" w14:textId="77777777" w:rsidTr="00773C8F">
        <w:trPr>
          <w:trHeight w:val="300"/>
          <w:jc w:val="center"/>
        </w:trPr>
        <w:tc>
          <w:tcPr>
            <w:tcW w:w="762" w:type="pct"/>
            <w:shd w:val="clear" w:color="auto" w:fill="auto"/>
            <w:noWrap/>
            <w:hideMark/>
          </w:tcPr>
          <w:p w14:paraId="1D78D98A"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D12</w:t>
            </w:r>
          </w:p>
        </w:tc>
        <w:tc>
          <w:tcPr>
            <w:tcW w:w="1265" w:type="pct"/>
            <w:shd w:val="clear" w:color="auto" w:fill="auto"/>
            <w:noWrap/>
            <w:hideMark/>
          </w:tcPr>
          <w:p w14:paraId="403E4B2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422.7</w:t>
            </w:r>
          </w:p>
        </w:tc>
        <w:tc>
          <w:tcPr>
            <w:tcW w:w="1265" w:type="pct"/>
            <w:shd w:val="clear" w:color="auto" w:fill="auto"/>
            <w:noWrap/>
            <w:hideMark/>
          </w:tcPr>
          <w:p w14:paraId="30D56CE9"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319.5</w:t>
            </w:r>
          </w:p>
        </w:tc>
        <w:tc>
          <w:tcPr>
            <w:tcW w:w="850" w:type="pct"/>
            <w:shd w:val="clear" w:color="auto" w:fill="auto"/>
            <w:noWrap/>
            <w:hideMark/>
          </w:tcPr>
          <w:p w14:paraId="06BFEF67"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1936</w:t>
            </w:r>
          </w:p>
        </w:tc>
        <w:tc>
          <w:tcPr>
            <w:tcW w:w="857" w:type="pct"/>
            <w:shd w:val="clear" w:color="auto" w:fill="auto"/>
            <w:noWrap/>
            <w:hideMark/>
          </w:tcPr>
          <w:p w14:paraId="0C500435"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782.1</w:t>
            </w:r>
          </w:p>
        </w:tc>
      </w:tr>
      <w:tr w:rsidR="00A12995" w:rsidRPr="00DC00DE" w14:paraId="2995E860" w14:textId="77777777" w:rsidTr="00773C8F">
        <w:trPr>
          <w:trHeight w:val="300"/>
          <w:jc w:val="center"/>
        </w:trPr>
        <w:tc>
          <w:tcPr>
            <w:tcW w:w="762" w:type="pct"/>
            <w:shd w:val="clear" w:color="auto" w:fill="auto"/>
            <w:noWrap/>
            <w:hideMark/>
          </w:tcPr>
          <w:p w14:paraId="3E8AAFC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D14</w:t>
            </w:r>
          </w:p>
        </w:tc>
        <w:tc>
          <w:tcPr>
            <w:tcW w:w="1265" w:type="pct"/>
            <w:shd w:val="clear" w:color="auto" w:fill="auto"/>
            <w:noWrap/>
            <w:hideMark/>
          </w:tcPr>
          <w:p w14:paraId="6986C7CD"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453.8</w:t>
            </w:r>
          </w:p>
        </w:tc>
        <w:tc>
          <w:tcPr>
            <w:tcW w:w="1265" w:type="pct"/>
            <w:shd w:val="clear" w:color="auto" w:fill="auto"/>
            <w:noWrap/>
            <w:hideMark/>
          </w:tcPr>
          <w:p w14:paraId="72ABE121"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355.0</w:t>
            </w:r>
          </w:p>
        </w:tc>
        <w:tc>
          <w:tcPr>
            <w:tcW w:w="850" w:type="pct"/>
            <w:shd w:val="clear" w:color="auto" w:fill="auto"/>
            <w:noWrap/>
            <w:hideMark/>
          </w:tcPr>
          <w:p w14:paraId="46E8B12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2147</w:t>
            </w:r>
          </w:p>
        </w:tc>
        <w:tc>
          <w:tcPr>
            <w:tcW w:w="857" w:type="pct"/>
            <w:shd w:val="clear" w:color="auto" w:fill="auto"/>
            <w:noWrap/>
            <w:hideMark/>
          </w:tcPr>
          <w:p w14:paraId="67E0792F"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805.5</w:t>
            </w:r>
          </w:p>
        </w:tc>
      </w:tr>
      <w:tr w:rsidR="00A12995" w:rsidRPr="00DC00DE" w14:paraId="7C52EE62" w14:textId="77777777" w:rsidTr="00773C8F">
        <w:trPr>
          <w:trHeight w:val="300"/>
          <w:jc w:val="center"/>
        </w:trPr>
        <w:tc>
          <w:tcPr>
            <w:tcW w:w="762" w:type="pct"/>
            <w:shd w:val="clear" w:color="auto" w:fill="auto"/>
            <w:noWrap/>
            <w:hideMark/>
          </w:tcPr>
          <w:p w14:paraId="77007EB7"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D16</w:t>
            </w:r>
          </w:p>
        </w:tc>
        <w:tc>
          <w:tcPr>
            <w:tcW w:w="1265" w:type="pct"/>
            <w:shd w:val="clear" w:color="auto" w:fill="auto"/>
            <w:noWrap/>
            <w:hideMark/>
          </w:tcPr>
          <w:p w14:paraId="690A3C7F"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466.9</w:t>
            </w:r>
          </w:p>
        </w:tc>
        <w:tc>
          <w:tcPr>
            <w:tcW w:w="1265" w:type="pct"/>
            <w:shd w:val="clear" w:color="auto" w:fill="auto"/>
            <w:noWrap/>
            <w:hideMark/>
          </w:tcPr>
          <w:p w14:paraId="48BFC47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363.1</w:t>
            </w:r>
          </w:p>
        </w:tc>
        <w:tc>
          <w:tcPr>
            <w:tcW w:w="850" w:type="pct"/>
            <w:shd w:val="clear" w:color="auto" w:fill="auto"/>
            <w:noWrap/>
            <w:hideMark/>
          </w:tcPr>
          <w:p w14:paraId="7FE07AB1"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2318</w:t>
            </w:r>
          </w:p>
        </w:tc>
        <w:tc>
          <w:tcPr>
            <w:tcW w:w="857" w:type="pct"/>
            <w:shd w:val="clear" w:color="auto" w:fill="auto"/>
            <w:noWrap/>
            <w:hideMark/>
          </w:tcPr>
          <w:p w14:paraId="61CFCF5C"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868.3</w:t>
            </w:r>
          </w:p>
        </w:tc>
      </w:tr>
      <w:tr w:rsidR="00A12995" w:rsidRPr="00DC00DE" w14:paraId="7F75EA74" w14:textId="77777777" w:rsidTr="00773C8F">
        <w:trPr>
          <w:trHeight w:val="300"/>
          <w:jc w:val="center"/>
        </w:trPr>
        <w:tc>
          <w:tcPr>
            <w:tcW w:w="762" w:type="pct"/>
            <w:shd w:val="clear" w:color="auto" w:fill="auto"/>
            <w:noWrap/>
            <w:hideMark/>
          </w:tcPr>
          <w:p w14:paraId="1490305F"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D17</w:t>
            </w:r>
          </w:p>
        </w:tc>
        <w:tc>
          <w:tcPr>
            <w:tcW w:w="1265" w:type="pct"/>
            <w:shd w:val="clear" w:color="auto" w:fill="auto"/>
            <w:noWrap/>
            <w:hideMark/>
          </w:tcPr>
          <w:p w14:paraId="7A9C6F45"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413.7</w:t>
            </w:r>
          </w:p>
        </w:tc>
        <w:tc>
          <w:tcPr>
            <w:tcW w:w="1265" w:type="pct"/>
            <w:shd w:val="clear" w:color="auto" w:fill="auto"/>
            <w:noWrap/>
            <w:hideMark/>
          </w:tcPr>
          <w:p w14:paraId="5E65A43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320.7</w:t>
            </w:r>
          </w:p>
        </w:tc>
        <w:tc>
          <w:tcPr>
            <w:tcW w:w="850" w:type="pct"/>
            <w:shd w:val="clear" w:color="auto" w:fill="auto"/>
            <w:noWrap/>
            <w:hideMark/>
          </w:tcPr>
          <w:p w14:paraId="7C59155C"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2045</w:t>
            </w:r>
          </w:p>
        </w:tc>
        <w:tc>
          <w:tcPr>
            <w:tcW w:w="857" w:type="pct"/>
            <w:shd w:val="clear" w:color="auto" w:fill="auto"/>
            <w:noWrap/>
            <w:hideMark/>
          </w:tcPr>
          <w:p w14:paraId="00956CA7"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774.6</w:t>
            </w:r>
          </w:p>
        </w:tc>
      </w:tr>
      <w:tr w:rsidR="00A12995" w:rsidRPr="00DC00DE" w14:paraId="4FAB9897" w14:textId="77777777" w:rsidTr="00773C8F">
        <w:trPr>
          <w:trHeight w:val="300"/>
          <w:jc w:val="center"/>
        </w:trPr>
        <w:tc>
          <w:tcPr>
            <w:tcW w:w="762" w:type="pct"/>
            <w:shd w:val="clear" w:color="auto" w:fill="auto"/>
            <w:noWrap/>
            <w:hideMark/>
          </w:tcPr>
          <w:p w14:paraId="69B04F49"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D17</w:t>
            </w:r>
          </w:p>
        </w:tc>
        <w:tc>
          <w:tcPr>
            <w:tcW w:w="1265" w:type="pct"/>
            <w:shd w:val="clear" w:color="auto" w:fill="auto"/>
            <w:noWrap/>
            <w:hideMark/>
          </w:tcPr>
          <w:p w14:paraId="2BDEA58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374.8</w:t>
            </w:r>
          </w:p>
        </w:tc>
        <w:tc>
          <w:tcPr>
            <w:tcW w:w="1265" w:type="pct"/>
            <w:shd w:val="clear" w:color="auto" w:fill="auto"/>
            <w:noWrap/>
            <w:hideMark/>
          </w:tcPr>
          <w:p w14:paraId="1780BEC7"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305.7</w:t>
            </w:r>
          </w:p>
        </w:tc>
        <w:tc>
          <w:tcPr>
            <w:tcW w:w="850" w:type="pct"/>
            <w:shd w:val="clear" w:color="auto" w:fill="auto"/>
            <w:noWrap/>
            <w:hideMark/>
          </w:tcPr>
          <w:p w14:paraId="41239B81"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1871</w:t>
            </w:r>
          </w:p>
        </w:tc>
        <w:tc>
          <w:tcPr>
            <w:tcW w:w="857" w:type="pct"/>
            <w:shd w:val="clear" w:color="auto" w:fill="auto"/>
            <w:noWrap/>
            <w:hideMark/>
          </w:tcPr>
          <w:p w14:paraId="0E117B15"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689.1</w:t>
            </w:r>
          </w:p>
        </w:tc>
      </w:tr>
      <w:tr w:rsidR="00A12995" w:rsidRPr="00DC00DE" w14:paraId="52056503" w14:textId="77777777" w:rsidTr="00773C8F">
        <w:trPr>
          <w:trHeight w:val="300"/>
          <w:jc w:val="center"/>
        </w:trPr>
        <w:tc>
          <w:tcPr>
            <w:tcW w:w="762" w:type="pct"/>
            <w:shd w:val="clear" w:color="auto" w:fill="auto"/>
            <w:noWrap/>
            <w:hideMark/>
          </w:tcPr>
          <w:p w14:paraId="0509A90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D17</w:t>
            </w:r>
          </w:p>
        </w:tc>
        <w:tc>
          <w:tcPr>
            <w:tcW w:w="1265" w:type="pct"/>
            <w:shd w:val="clear" w:color="auto" w:fill="auto"/>
            <w:noWrap/>
            <w:hideMark/>
          </w:tcPr>
          <w:p w14:paraId="5EA6590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226.7</w:t>
            </w:r>
          </w:p>
        </w:tc>
        <w:tc>
          <w:tcPr>
            <w:tcW w:w="1265" w:type="pct"/>
            <w:shd w:val="clear" w:color="auto" w:fill="auto"/>
            <w:noWrap/>
            <w:hideMark/>
          </w:tcPr>
          <w:p w14:paraId="2EB1E8BD"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194.0</w:t>
            </w:r>
          </w:p>
        </w:tc>
        <w:tc>
          <w:tcPr>
            <w:tcW w:w="850" w:type="pct"/>
            <w:shd w:val="clear" w:color="auto" w:fill="auto"/>
            <w:noWrap/>
            <w:hideMark/>
          </w:tcPr>
          <w:p w14:paraId="7A3A5EE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1137</w:t>
            </w:r>
          </w:p>
        </w:tc>
        <w:tc>
          <w:tcPr>
            <w:tcW w:w="857" w:type="pct"/>
            <w:shd w:val="clear" w:color="auto" w:fill="auto"/>
            <w:noWrap/>
            <w:hideMark/>
          </w:tcPr>
          <w:p w14:paraId="2C58496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462.3</w:t>
            </w:r>
          </w:p>
        </w:tc>
      </w:tr>
      <w:tr w:rsidR="00A12995" w:rsidRPr="00DC00DE" w14:paraId="2D410376" w14:textId="77777777" w:rsidTr="00773C8F">
        <w:trPr>
          <w:trHeight w:val="300"/>
          <w:jc w:val="center"/>
        </w:trPr>
        <w:tc>
          <w:tcPr>
            <w:tcW w:w="762" w:type="pct"/>
            <w:shd w:val="clear" w:color="auto" w:fill="auto"/>
            <w:noWrap/>
            <w:hideMark/>
          </w:tcPr>
          <w:p w14:paraId="34010772"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D17</w:t>
            </w:r>
          </w:p>
        </w:tc>
        <w:tc>
          <w:tcPr>
            <w:tcW w:w="1265" w:type="pct"/>
            <w:shd w:val="clear" w:color="auto" w:fill="auto"/>
            <w:noWrap/>
            <w:hideMark/>
          </w:tcPr>
          <w:p w14:paraId="268774B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206.4</w:t>
            </w:r>
          </w:p>
        </w:tc>
        <w:tc>
          <w:tcPr>
            <w:tcW w:w="1265" w:type="pct"/>
            <w:shd w:val="clear" w:color="auto" w:fill="auto"/>
            <w:noWrap/>
            <w:hideMark/>
          </w:tcPr>
          <w:p w14:paraId="35952AD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174.3</w:t>
            </w:r>
          </w:p>
        </w:tc>
        <w:tc>
          <w:tcPr>
            <w:tcW w:w="850" w:type="pct"/>
            <w:shd w:val="clear" w:color="auto" w:fill="auto"/>
            <w:noWrap/>
            <w:hideMark/>
          </w:tcPr>
          <w:p w14:paraId="3699EB00"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1055</w:t>
            </w:r>
          </w:p>
        </w:tc>
        <w:tc>
          <w:tcPr>
            <w:tcW w:w="857" w:type="pct"/>
            <w:shd w:val="clear" w:color="auto" w:fill="auto"/>
            <w:noWrap/>
            <w:hideMark/>
          </w:tcPr>
          <w:p w14:paraId="49D937DD"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448.6</w:t>
            </w:r>
          </w:p>
        </w:tc>
      </w:tr>
      <w:tr w:rsidR="00A12995" w:rsidRPr="00DC00DE" w14:paraId="7C00680A" w14:textId="77777777" w:rsidTr="00773C8F">
        <w:trPr>
          <w:trHeight w:val="300"/>
          <w:jc w:val="center"/>
        </w:trPr>
        <w:tc>
          <w:tcPr>
            <w:tcW w:w="762" w:type="pct"/>
            <w:shd w:val="clear" w:color="auto" w:fill="auto"/>
            <w:noWrap/>
            <w:hideMark/>
          </w:tcPr>
          <w:p w14:paraId="322E881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D18</w:t>
            </w:r>
          </w:p>
        </w:tc>
        <w:tc>
          <w:tcPr>
            <w:tcW w:w="1265" w:type="pct"/>
            <w:shd w:val="clear" w:color="auto" w:fill="auto"/>
            <w:noWrap/>
            <w:hideMark/>
          </w:tcPr>
          <w:p w14:paraId="3E283D2A"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285.3</w:t>
            </w:r>
          </w:p>
        </w:tc>
        <w:tc>
          <w:tcPr>
            <w:tcW w:w="1265" w:type="pct"/>
            <w:shd w:val="clear" w:color="auto" w:fill="auto"/>
            <w:noWrap/>
            <w:hideMark/>
          </w:tcPr>
          <w:p w14:paraId="28BF476E"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226.1</w:t>
            </w:r>
          </w:p>
        </w:tc>
        <w:tc>
          <w:tcPr>
            <w:tcW w:w="850" w:type="pct"/>
            <w:shd w:val="clear" w:color="auto" w:fill="auto"/>
            <w:noWrap/>
            <w:hideMark/>
          </w:tcPr>
          <w:p w14:paraId="4D24124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1365</w:t>
            </w:r>
          </w:p>
        </w:tc>
        <w:tc>
          <w:tcPr>
            <w:tcW w:w="857" w:type="pct"/>
            <w:shd w:val="clear" w:color="auto" w:fill="auto"/>
            <w:noWrap/>
            <w:hideMark/>
          </w:tcPr>
          <w:p w14:paraId="7BDD833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532.7</w:t>
            </w:r>
          </w:p>
        </w:tc>
      </w:tr>
      <w:tr w:rsidR="00A12995" w:rsidRPr="00DC00DE" w14:paraId="005652DA" w14:textId="77777777" w:rsidTr="00773C8F">
        <w:trPr>
          <w:trHeight w:val="300"/>
          <w:jc w:val="center"/>
        </w:trPr>
        <w:tc>
          <w:tcPr>
            <w:tcW w:w="762" w:type="pct"/>
            <w:shd w:val="clear" w:color="auto" w:fill="auto"/>
            <w:noWrap/>
            <w:hideMark/>
          </w:tcPr>
          <w:p w14:paraId="36A4405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D19</w:t>
            </w:r>
          </w:p>
        </w:tc>
        <w:tc>
          <w:tcPr>
            <w:tcW w:w="1265" w:type="pct"/>
            <w:shd w:val="clear" w:color="auto" w:fill="auto"/>
            <w:noWrap/>
            <w:hideMark/>
          </w:tcPr>
          <w:p w14:paraId="56453B6C"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245.4</w:t>
            </w:r>
          </w:p>
        </w:tc>
        <w:tc>
          <w:tcPr>
            <w:tcW w:w="1265" w:type="pct"/>
            <w:shd w:val="clear" w:color="auto" w:fill="auto"/>
            <w:noWrap/>
            <w:hideMark/>
          </w:tcPr>
          <w:p w14:paraId="390574B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198.0</w:t>
            </w:r>
          </w:p>
        </w:tc>
        <w:tc>
          <w:tcPr>
            <w:tcW w:w="850" w:type="pct"/>
            <w:shd w:val="clear" w:color="auto" w:fill="auto"/>
            <w:noWrap/>
            <w:hideMark/>
          </w:tcPr>
          <w:p w14:paraId="215AE865"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1194</w:t>
            </w:r>
          </w:p>
        </w:tc>
        <w:tc>
          <w:tcPr>
            <w:tcW w:w="857" w:type="pct"/>
            <w:shd w:val="clear" w:color="auto" w:fill="auto"/>
            <w:noWrap/>
            <w:hideMark/>
          </w:tcPr>
          <w:p w14:paraId="37923DB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457.4</w:t>
            </w:r>
          </w:p>
        </w:tc>
      </w:tr>
      <w:tr w:rsidR="00A12995" w:rsidRPr="00DC00DE" w14:paraId="68FB81C1" w14:textId="77777777" w:rsidTr="00773C8F">
        <w:trPr>
          <w:trHeight w:val="300"/>
          <w:jc w:val="center"/>
        </w:trPr>
        <w:tc>
          <w:tcPr>
            <w:tcW w:w="762" w:type="pct"/>
            <w:shd w:val="clear" w:color="auto" w:fill="auto"/>
            <w:noWrap/>
            <w:hideMark/>
          </w:tcPr>
          <w:p w14:paraId="0AB51F9C"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D19</w:t>
            </w:r>
          </w:p>
        </w:tc>
        <w:tc>
          <w:tcPr>
            <w:tcW w:w="1265" w:type="pct"/>
            <w:shd w:val="clear" w:color="auto" w:fill="auto"/>
            <w:noWrap/>
            <w:hideMark/>
          </w:tcPr>
          <w:p w14:paraId="618A4FCE"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142.1</w:t>
            </w:r>
          </w:p>
        </w:tc>
        <w:tc>
          <w:tcPr>
            <w:tcW w:w="1265" w:type="pct"/>
            <w:shd w:val="clear" w:color="auto" w:fill="auto"/>
            <w:noWrap/>
            <w:hideMark/>
          </w:tcPr>
          <w:p w14:paraId="1224798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117.9</w:t>
            </w:r>
          </w:p>
        </w:tc>
        <w:tc>
          <w:tcPr>
            <w:tcW w:w="850" w:type="pct"/>
            <w:shd w:val="clear" w:color="auto" w:fill="auto"/>
            <w:noWrap/>
            <w:hideMark/>
          </w:tcPr>
          <w:p w14:paraId="1C57099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658</w:t>
            </w:r>
          </w:p>
        </w:tc>
        <w:tc>
          <w:tcPr>
            <w:tcW w:w="857" w:type="pct"/>
            <w:shd w:val="clear" w:color="auto" w:fill="auto"/>
            <w:noWrap/>
            <w:hideMark/>
          </w:tcPr>
          <w:p w14:paraId="5217754A"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249.3</w:t>
            </w:r>
          </w:p>
        </w:tc>
      </w:tr>
      <w:tr w:rsidR="00A12995" w:rsidRPr="00DC00DE" w14:paraId="1D3FF450" w14:textId="77777777" w:rsidTr="00773C8F">
        <w:trPr>
          <w:trHeight w:val="300"/>
          <w:jc w:val="center"/>
        </w:trPr>
        <w:tc>
          <w:tcPr>
            <w:tcW w:w="762" w:type="pct"/>
            <w:shd w:val="clear" w:color="auto" w:fill="auto"/>
            <w:noWrap/>
            <w:hideMark/>
          </w:tcPr>
          <w:p w14:paraId="13ADBC35"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D19</w:t>
            </w:r>
          </w:p>
        </w:tc>
        <w:tc>
          <w:tcPr>
            <w:tcW w:w="1265" w:type="pct"/>
            <w:shd w:val="clear" w:color="auto" w:fill="auto"/>
            <w:noWrap/>
            <w:hideMark/>
          </w:tcPr>
          <w:p w14:paraId="0B19F0BC"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120.5</w:t>
            </w:r>
          </w:p>
        </w:tc>
        <w:tc>
          <w:tcPr>
            <w:tcW w:w="1265" w:type="pct"/>
            <w:shd w:val="clear" w:color="auto" w:fill="auto"/>
            <w:noWrap/>
            <w:hideMark/>
          </w:tcPr>
          <w:p w14:paraId="7D35079A"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99.3</w:t>
            </w:r>
          </w:p>
        </w:tc>
        <w:tc>
          <w:tcPr>
            <w:tcW w:w="850" w:type="pct"/>
            <w:shd w:val="clear" w:color="auto" w:fill="auto"/>
            <w:noWrap/>
            <w:hideMark/>
          </w:tcPr>
          <w:p w14:paraId="76719EB2"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601</w:t>
            </w:r>
          </w:p>
        </w:tc>
        <w:tc>
          <w:tcPr>
            <w:tcW w:w="857" w:type="pct"/>
            <w:shd w:val="clear" w:color="auto" w:fill="auto"/>
            <w:noWrap/>
            <w:hideMark/>
          </w:tcPr>
          <w:p w14:paraId="7FE2075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213.9</w:t>
            </w:r>
          </w:p>
        </w:tc>
      </w:tr>
      <w:tr w:rsidR="00A12995" w:rsidRPr="00DC00DE" w14:paraId="345B3899" w14:textId="77777777" w:rsidTr="00773C8F">
        <w:trPr>
          <w:trHeight w:val="300"/>
          <w:jc w:val="center"/>
        </w:trPr>
        <w:tc>
          <w:tcPr>
            <w:tcW w:w="762" w:type="pct"/>
            <w:shd w:val="clear" w:color="auto" w:fill="auto"/>
            <w:noWrap/>
            <w:hideMark/>
          </w:tcPr>
          <w:p w14:paraId="398C6FF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D21</w:t>
            </w:r>
          </w:p>
        </w:tc>
        <w:tc>
          <w:tcPr>
            <w:tcW w:w="1265" w:type="pct"/>
            <w:shd w:val="clear" w:color="auto" w:fill="auto"/>
            <w:noWrap/>
            <w:hideMark/>
          </w:tcPr>
          <w:p w14:paraId="5BB0147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168.3</w:t>
            </w:r>
          </w:p>
        </w:tc>
        <w:tc>
          <w:tcPr>
            <w:tcW w:w="1265" w:type="pct"/>
            <w:shd w:val="clear" w:color="auto" w:fill="auto"/>
            <w:noWrap/>
            <w:hideMark/>
          </w:tcPr>
          <w:p w14:paraId="0D0E333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136.9</w:t>
            </w:r>
          </w:p>
        </w:tc>
        <w:tc>
          <w:tcPr>
            <w:tcW w:w="850" w:type="pct"/>
            <w:shd w:val="clear" w:color="auto" w:fill="auto"/>
            <w:noWrap/>
            <w:hideMark/>
          </w:tcPr>
          <w:p w14:paraId="74CF5C81"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746</w:t>
            </w:r>
          </w:p>
        </w:tc>
        <w:tc>
          <w:tcPr>
            <w:tcW w:w="857" w:type="pct"/>
            <w:shd w:val="clear" w:color="auto" w:fill="auto"/>
            <w:noWrap/>
            <w:hideMark/>
          </w:tcPr>
          <w:p w14:paraId="521CC26A"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335.1</w:t>
            </w:r>
          </w:p>
        </w:tc>
      </w:tr>
      <w:tr w:rsidR="00A12995" w:rsidRPr="00DC00DE" w14:paraId="561EDF39" w14:textId="77777777" w:rsidTr="00773C8F">
        <w:trPr>
          <w:trHeight w:val="300"/>
          <w:jc w:val="center"/>
        </w:trPr>
        <w:tc>
          <w:tcPr>
            <w:tcW w:w="762" w:type="pct"/>
            <w:shd w:val="clear" w:color="auto" w:fill="auto"/>
            <w:noWrap/>
            <w:hideMark/>
          </w:tcPr>
          <w:p w14:paraId="2A970220"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D22</w:t>
            </w:r>
          </w:p>
        </w:tc>
        <w:tc>
          <w:tcPr>
            <w:tcW w:w="1265" w:type="pct"/>
            <w:shd w:val="clear" w:color="auto" w:fill="auto"/>
            <w:noWrap/>
            <w:hideMark/>
          </w:tcPr>
          <w:p w14:paraId="7E39567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142.1</w:t>
            </w:r>
          </w:p>
        </w:tc>
        <w:tc>
          <w:tcPr>
            <w:tcW w:w="1265" w:type="pct"/>
            <w:shd w:val="clear" w:color="auto" w:fill="auto"/>
            <w:noWrap/>
            <w:hideMark/>
          </w:tcPr>
          <w:p w14:paraId="78B7396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115.4</w:t>
            </w:r>
          </w:p>
        </w:tc>
        <w:tc>
          <w:tcPr>
            <w:tcW w:w="850" w:type="pct"/>
            <w:shd w:val="clear" w:color="auto" w:fill="auto"/>
            <w:noWrap/>
            <w:hideMark/>
          </w:tcPr>
          <w:p w14:paraId="2822B99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641</w:t>
            </w:r>
          </w:p>
        </w:tc>
        <w:tc>
          <w:tcPr>
            <w:tcW w:w="857" w:type="pct"/>
            <w:shd w:val="clear" w:color="auto" w:fill="auto"/>
            <w:noWrap/>
            <w:hideMark/>
          </w:tcPr>
          <w:p w14:paraId="5736386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253.6</w:t>
            </w:r>
          </w:p>
        </w:tc>
      </w:tr>
      <w:tr w:rsidR="00A12995" w:rsidRPr="00DC00DE" w14:paraId="7329276D" w14:textId="77777777" w:rsidTr="00773C8F">
        <w:trPr>
          <w:trHeight w:val="300"/>
          <w:jc w:val="center"/>
        </w:trPr>
        <w:tc>
          <w:tcPr>
            <w:tcW w:w="762" w:type="pct"/>
            <w:shd w:val="clear" w:color="auto" w:fill="auto"/>
            <w:noWrap/>
            <w:hideMark/>
          </w:tcPr>
          <w:p w14:paraId="796667B1"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D23</w:t>
            </w:r>
          </w:p>
        </w:tc>
        <w:tc>
          <w:tcPr>
            <w:tcW w:w="1265" w:type="pct"/>
            <w:shd w:val="clear" w:color="auto" w:fill="auto"/>
            <w:noWrap/>
            <w:hideMark/>
          </w:tcPr>
          <w:p w14:paraId="68A4F745"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109.0</w:t>
            </w:r>
          </w:p>
        </w:tc>
        <w:tc>
          <w:tcPr>
            <w:tcW w:w="1265" w:type="pct"/>
            <w:shd w:val="clear" w:color="auto" w:fill="auto"/>
            <w:noWrap/>
            <w:hideMark/>
          </w:tcPr>
          <w:p w14:paraId="1BAF0994"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95.1</w:t>
            </w:r>
          </w:p>
        </w:tc>
        <w:tc>
          <w:tcPr>
            <w:tcW w:w="850" w:type="pct"/>
            <w:shd w:val="clear" w:color="auto" w:fill="auto"/>
            <w:noWrap/>
            <w:hideMark/>
          </w:tcPr>
          <w:p w14:paraId="250F41BE"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408</w:t>
            </w:r>
          </w:p>
        </w:tc>
        <w:tc>
          <w:tcPr>
            <w:tcW w:w="857" w:type="pct"/>
            <w:shd w:val="clear" w:color="auto" w:fill="auto"/>
            <w:noWrap/>
            <w:hideMark/>
          </w:tcPr>
          <w:p w14:paraId="5559DAB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175.2</w:t>
            </w:r>
          </w:p>
        </w:tc>
      </w:tr>
      <w:tr w:rsidR="00A12995" w:rsidRPr="00DC00DE" w14:paraId="46326897" w14:textId="77777777" w:rsidTr="00773C8F">
        <w:trPr>
          <w:trHeight w:val="300"/>
          <w:jc w:val="center"/>
        </w:trPr>
        <w:tc>
          <w:tcPr>
            <w:tcW w:w="762" w:type="pct"/>
            <w:shd w:val="clear" w:color="auto" w:fill="auto"/>
            <w:noWrap/>
            <w:hideMark/>
          </w:tcPr>
          <w:p w14:paraId="0CDA653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D25</w:t>
            </w:r>
          </w:p>
        </w:tc>
        <w:tc>
          <w:tcPr>
            <w:tcW w:w="1265" w:type="pct"/>
            <w:shd w:val="clear" w:color="auto" w:fill="auto"/>
            <w:noWrap/>
            <w:hideMark/>
          </w:tcPr>
          <w:p w14:paraId="316A39D0"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82.3</w:t>
            </w:r>
          </w:p>
        </w:tc>
        <w:tc>
          <w:tcPr>
            <w:tcW w:w="1265" w:type="pct"/>
            <w:shd w:val="clear" w:color="auto" w:fill="auto"/>
            <w:noWrap/>
            <w:hideMark/>
          </w:tcPr>
          <w:p w14:paraId="5338AEF0"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70.9</w:t>
            </w:r>
          </w:p>
        </w:tc>
        <w:tc>
          <w:tcPr>
            <w:tcW w:w="850" w:type="pct"/>
            <w:shd w:val="clear" w:color="auto" w:fill="auto"/>
            <w:noWrap/>
            <w:hideMark/>
          </w:tcPr>
          <w:p w14:paraId="409C06E1"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325</w:t>
            </w:r>
          </w:p>
        </w:tc>
        <w:tc>
          <w:tcPr>
            <w:tcW w:w="857" w:type="pct"/>
            <w:shd w:val="clear" w:color="auto" w:fill="auto"/>
            <w:noWrap/>
            <w:hideMark/>
          </w:tcPr>
          <w:p w14:paraId="3CC0A979"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136.6</w:t>
            </w:r>
          </w:p>
        </w:tc>
      </w:tr>
      <w:tr w:rsidR="00A12995" w:rsidRPr="00DC00DE" w14:paraId="4FCE4C3B" w14:textId="77777777" w:rsidTr="00773C8F">
        <w:trPr>
          <w:trHeight w:val="300"/>
          <w:jc w:val="center"/>
        </w:trPr>
        <w:tc>
          <w:tcPr>
            <w:tcW w:w="762" w:type="pct"/>
            <w:shd w:val="clear" w:color="auto" w:fill="auto"/>
            <w:noWrap/>
            <w:hideMark/>
          </w:tcPr>
          <w:p w14:paraId="16E3365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D27</w:t>
            </w:r>
          </w:p>
        </w:tc>
        <w:tc>
          <w:tcPr>
            <w:tcW w:w="1265" w:type="pct"/>
            <w:shd w:val="clear" w:color="auto" w:fill="auto"/>
            <w:noWrap/>
            <w:hideMark/>
          </w:tcPr>
          <w:p w14:paraId="25A82DAD"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58.9</w:t>
            </w:r>
          </w:p>
        </w:tc>
        <w:tc>
          <w:tcPr>
            <w:tcW w:w="1265" w:type="pct"/>
            <w:shd w:val="clear" w:color="auto" w:fill="auto"/>
            <w:noWrap/>
            <w:hideMark/>
          </w:tcPr>
          <w:p w14:paraId="3FED14AC"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50.2</w:t>
            </w:r>
          </w:p>
        </w:tc>
        <w:tc>
          <w:tcPr>
            <w:tcW w:w="850" w:type="pct"/>
            <w:shd w:val="clear" w:color="auto" w:fill="auto"/>
            <w:noWrap/>
            <w:hideMark/>
          </w:tcPr>
          <w:p w14:paraId="053EE7A0"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265</w:t>
            </w:r>
          </w:p>
        </w:tc>
        <w:tc>
          <w:tcPr>
            <w:tcW w:w="857" w:type="pct"/>
            <w:shd w:val="clear" w:color="auto" w:fill="auto"/>
            <w:noWrap/>
            <w:hideMark/>
          </w:tcPr>
          <w:p w14:paraId="59489022"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102.1</w:t>
            </w:r>
          </w:p>
        </w:tc>
      </w:tr>
      <w:tr w:rsidR="00A12995" w:rsidRPr="00DC00DE" w14:paraId="6910E3BA" w14:textId="77777777" w:rsidTr="00773C8F">
        <w:trPr>
          <w:trHeight w:val="300"/>
          <w:jc w:val="center"/>
        </w:trPr>
        <w:tc>
          <w:tcPr>
            <w:tcW w:w="762" w:type="pct"/>
            <w:shd w:val="clear" w:color="auto" w:fill="auto"/>
            <w:noWrap/>
            <w:hideMark/>
          </w:tcPr>
          <w:p w14:paraId="384F5225"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lastRenderedPageBreak/>
              <w:t>D30</w:t>
            </w:r>
          </w:p>
        </w:tc>
        <w:tc>
          <w:tcPr>
            <w:tcW w:w="1265" w:type="pct"/>
            <w:shd w:val="clear" w:color="auto" w:fill="auto"/>
            <w:noWrap/>
            <w:hideMark/>
          </w:tcPr>
          <w:p w14:paraId="560F1FB2"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50.9</w:t>
            </w:r>
          </w:p>
        </w:tc>
        <w:tc>
          <w:tcPr>
            <w:tcW w:w="1265" w:type="pct"/>
            <w:shd w:val="clear" w:color="auto" w:fill="auto"/>
            <w:noWrap/>
            <w:hideMark/>
          </w:tcPr>
          <w:p w14:paraId="1D3FC9B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41.5</w:t>
            </w:r>
          </w:p>
        </w:tc>
        <w:tc>
          <w:tcPr>
            <w:tcW w:w="850" w:type="pct"/>
            <w:shd w:val="clear" w:color="auto" w:fill="auto"/>
            <w:noWrap/>
            <w:hideMark/>
          </w:tcPr>
          <w:p w14:paraId="332ACB2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198</w:t>
            </w:r>
          </w:p>
        </w:tc>
        <w:tc>
          <w:tcPr>
            <w:tcW w:w="857" w:type="pct"/>
            <w:shd w:val="clear" w:color="auto" w:fill="auto"/>
            <w:noWrap/>
            <w:hideMark/>
          </w:tcPr>
          <w:p w14:paraId="0BC03DD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98.1</w:t>
            </w:r>
          </w:p>
        </w:tc>
      </w:tr>
      <w:tr w:rsidR="00A12995" w:rsidRPr="00DC00DE" w14:paraId="43C6B617" w14:textId="77777777" w:rsidTr="00773C8F">
        <w:trPr>
          <w:trHeight w:val="300"/>
          <w:jc w:val="center"/>
        </w:trPr>
        <w:tc>
          <w:tcPr>
            <w:tcW w:w="762" w:type="pct"/>
            <w:shd w:val="clear" w:color="auto" w:fill="auto"/>
            <w:noWrap/>
            <w:hideMark/>
          </w:tcPr>
          <w:p w14:paraId="47FD3E1F"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D34</w:t>
            </w:r>
          </w:p>
        </w:tc>
        <w:tc>
          <w:tcPr>
            <w:tcW w:w="1265" w:type="pct"/>
            <w:shd w:val="clear" w:color="auto" w:fill="auto"/>
            <w:noWrap/>
            <w:hideMark/>
          </w:tcPr>
          <w:p w14:paraId="5945062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35.3</w:t>
            </w:r>
          </w:p>
        </w:tc>
        <w:tc>
          <w:tcPr>
            <w:tcW w:w="1265" w:type="pct"/>
            <w:shd w:val="clear" w:color="auto" w:fill="auto"/>
            <w:noWrap/>
            <w:hideMark/>
          </w:tcPr>
          <w:p w14:paraId="4809C64E"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29.1</w:t>
            </w:r>
          </w:p>
        </w:tc>
        <w:tc>
          <w:tcPr>
            <w:tcW w:w="850" w:type="pct"/>
            <w:shd w:val="clear" w:color="auto" w:fill="auto"/>
            <w:noWrap/>
            <w:hideMark/>
          </w:tcPr>
          <w:p w14:paraId="3A098AC2"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153</w:t>
            </w:r>
          </w:p>
        </w:tc>
        <w:tc>
          <w:tcPr>
            <w:tcW w:w="857" w:type="pct"/>
            <w:shd w:val="clear" w:color="auto" w:fill="auto"/>
            <w:noWrap/>
            <w:hideMark/>
          </w:tcPr>
          <w:p w14:paraId="1B1D07F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77.6</w:t>
            </w:r>
          </w:p>
        </w:tc>
      </w:tr>
      <w:tr w:rsidR="00A12995" w:rsidRPr="00DC00DE" w14:paraId="4008EE96" w14:textId="77777777" w:rsidTr="00773C8F">
        <w:trPr>
          <w:trHeight w:val="300"/>
          <w:jc w:val="center"/>
        </w:trPr>
        <w:tc>
          <w:tcPr>
            <w:tcW w:w="762" w:type="pct"/>
            <w:shd w:val="clear" w:color="auto" w:fill="auto"/>
            <w:noWrap/>
            <w:hideMark/>
          </w:tcPr>
          <w:p w14:paraId="39446EC4" w14:textId="77777777" w:rsidR="00A12995" w:rsidRPr="00DC00DE" w:rsidRDefault="00A12995" w:rsidP="00190070">
            <w:pPr>
              <w:spacing w:line="360" w:lineRule="auto"/>
              <w:jc w:val="both"/>
              <w:rPr>
                <w:rFonts w:ascii="Book Antiqua" w:eastAsia="宋体" w:hAnsi="Book Antiqua"/>
                <w:color w:val="000000"/>
                <w:lang w:eastAsia="zh-CN"/>
              </w:rPr>
            </w:pPr>
            <w:r w:rsidRPr="00DC00DE">
              <w:rPr>
                <w:rFonts w:ascii="Book Antiqua" w:hAnsi="Book Antiqua"/>
                <w:color w:val="000000"/>
              </w:rPr>
              <w:t>M1</w:t>
            </w:r>
            <w:r w:rsidR="00190070" w:rsidRPr="00DC00DE">
              <w:rPr>
                <w:rFonts w:ascii="Book Antiqua" w:hAnsi="Book Antiqua" w:hint="eastAsia"/>
                <w:color w:val="000000"/>
                <w:vertAlign w:val="superscript"/>
                <w:lang w:eastAsia="zh-CN"/>
              </w:rPr>
              <w:t>2</w:t>
            </w:r>
          </w:p>
        </w:tc>
        <w:tc>
          <w:tcPr>
            <w:tcW w:w="1265" w:type="pct"/>
            <w:shd w:val="clear" w:color="auto" w:fill="auto"/>
            <w:noWrap/>
            <w:hideMark/>
          </w:tcPr>
          <w:p w14:paraId="115A29F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17.2</w:t>
            </w:r>
          </w:p>
        </w:tc>
        <w:tc>
          <w:tcPr>
            <w:tcW w:w="1265" w:type="pct"/>
            <w:shd w:val="clear" w:color="auto" w:fill="auto"/>
            <w:noWrap/>
            <w:hideMark/>
          </w:tcPr>
          <w:p w14:paraId="4B081376"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5.9</w:t>
            </w:r>
          </w:p>
        </w:tc>
        <w:tc>
          <w:tcPr>
            <w:tcW w:w="850" w:type="pct"/>
            <w:shd w:val="clear" w:color="auto" w:fill="auto"/>
            <w:noWrap/>
            <w:hideMark/>
          </w:tcPr>
          <w:p w14:paraId="0FDF7AF3"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92</w:t>
            </w:r>
          </w:p>
        </w:tc>
        <w:tc>
          <w:tcPr>
            <w:tcW w:w="857" w:type="pct"/>
            <w:shd w:val="clear" w:color="auto" w:fill="auto"/>
            <w:noWrap/>
            <w:hideMark/>
          </w:tcPr>
          <w:p w14:paraId="0B7C7108"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37.5</w:t>
            </w:r>
          </w:p>
        </w:tc>
      </w:tr>
      <w:tr w:rsidR="00A12995" w:rsidRPr="00DC00DE" w14:paraId="772F42CC" w14:textId="77777777" w:rsidTr="00773C8F">
        <w:trPr>
          <w:trHeight w:val="315"/>
          <w:jc w:val="center"/>
        </w:trPr>
        <w:tc>
          <w:tcPr>
            <w:tcW w:w="762" w:type="pct"/>
            <w:shd w:val="clear" w:color="auto" w:fill="auto"/>
            <w:noWrap/>
            <w:hideMark/>
          </w:tcPr>
          <w:p w14:paraId="31B5D08D"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M3</w:t>
            </w:r>
          </w:p>
        </w:tc>
        <w:tc>
          <w:tcPr>
            <w:tcW w:w="1265" w:type="pct"/>
            <w:shd w:val="clear" w:color="auto" w:fill="auto"/>
            <w:noWrap/>
            <w:hideMark/>
          </w:tcPr>
          <w:p w14:paraId="270E85D2"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13.6</w:t>
            </w:r>
          </w:p>
        </w:tc>
        <w:tc>
          <w:tcPr>
            <w:tcW w:w="1265" w:type="pct"/>
            <w:shd w:val="clear" w:color="auto" w:fill="auto"/>
            <w:noWrap/>
            <w:hideMark/>
          </w:tcPr>
          <w:p w14:paraId="73307F89"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5.4</w:t>
            </w:r>
          </w:p>
        </w:tc>
        <w:tc>
          <w:tcPr>
            <w:tcW w:w="850" w:type="pct"/>
            <w:shd w:val="clear" w:color="auto" w:fill="auto"/>
            <w:noWrap/>
            <w:hideMark/>
          </w:tcPr>
          <w:p w14:paraId="26999817"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51</w:t>
            </w:r>
          </w:p>
        </w:tc>
        <w:tc>
          <w:tcPr>
            <w:tcW w:w="857" w:type="pct"/>
            <w:shd w:val="clear" w:color="auto" w:fill="auto"/>
            <w:noWrap/>
            <w:hideMark/>
          </w:tcPr>
          <w:p w14:paraId="6D6C84CB" w14:textId="77777777" w:rsidR="00A12995" w:rsidRPr="00DC00DE" w:rsidRDefault="00A12995" w:rsidP="00732E79">
            <w:pPr>
              <w:spacing w:line="360" w:lineRule="auto"/>
              <w:jc w:val="both"/>
              <w:rPr>
                <w:rFonts w:ascii="Book Antiqua" w:eastAsia="宋体" w:hAnsi="Book Antiqua"/>
                <w:color w:val="000000"/>
              </w:rPr>
            </w:pPr>
            <w:r w:rsidRPr="00DC00DE">
              <w:rPr>
                <w:rFonts w:ascii="Book Antiqua" w:hAnsi="Book Antiqua"/>
                <w:color w:val="000000"/>
              </w:rPr>
              <w:t>22.3</w:t>
            </w:r>
          </w:p>
        </w:tc>
      </w:tr>
    </w:tbl>
    <w:p w14:paraId="62BFA913" w14:textId="04F62807" w:rsidR="00516C02" w:rsidRPr="00DC00DE" w:rsidRDefault="002E5F14" w:rsidP="00A96959">
      <w:pPr>
        <w:spacing w:line="360" w:lineRule="auto"/>
        <w:jc w:val="both"/>
        <w:rPr>
          <w:rFonts w:ascii="Book Antiqua" w:hAnsi="Book Antiqua"/>
          <w:color w:val="000000"/>
          <w:lang w:eastAsia="zh-CN"/>
        </w:rPr>
      </w:pPr>
      <w:r w:rsidRPr="00DC00DE">
        <w:rPr>
          <w:rFonts w:ascii="Book Antiqua" w:hAnsi="Book Antiqua" w:hint="eastAsia"/>
          <w:vertAlign w:val="superscript"/>
          <w:lang w:eastAsia="zh-CN"/>
        </w:rPr>
        <w:t>1</w:t>
      </w:r>
      <w:r w:rsidR="00A12995" w:rsidRPr="00DC00DE">
        <w:rPr>
          <w:rFonts w:ascii="Book Antiqua" w:hAnsi="Book Antiqua"/>
        </w:rPr>
        <w:t xml:space="preserve">D1 represents the first day after </w:t>
      </w:r>
      <w:r w:rsidR="00C04D7D" w:rsidRPr="00DC00DE">
        <w:rPr>
          <w:rFonts w:ascii="Book Antiqua" w:eastAsia="Book Antiqua" w:hAnsi="Book Antiqua" w:cs="Book Antiqua"/>
          <w:color w:val="000000"/>
        </w:rPr>
        <w:t>renal artery embolization</w:t>
      </w:r>
      <w:r w:rsidR="00A12995" w:rsidRPr="00DC00DE">
        <w:rPr>
          <w:rFonts w:ascii="Book Antiqua" w:hAnsi="Book Antiqua"/>
        </w:rPr>
        <w:t>, and so on</w:t>
      </w:r>
      <w:r w:rsidR="00516C02" w:rsidRPr="00DC00DE">
        <w:rPr>
          <w:rFonts w:ascii="Book Antiqua" w:hAnsi="Book Antiqua" w:hint="eastAsia"/>
          <w:lang w:eastAsia="zh-CN"/>
        </w:rPr>
        <w:t>.</w:t>
      </w:r>
      <w:r w:rsidR="00A12995" w:rsidRPr="00DC00DE">
        <w:rPr>
          <w:rFonts w:ascii="Book Antiqua" w:hAnsi="Book Antiqua"/>
          <w:color w:val="000000"/>
        </w:rPr>
        <w:t xml:space="preserve"> </w:t>
      </w:r>
    </w:p>
    <w:p w14:paraId="6B229168" w14:textId="6DC627A0" w:rsidR="00A12995" w:rsidRPr="00DC00DE" w:rsidRDefault="00190070" w:rsidP="00A96959">
      <w:pPr>
        <w:spacing w:line="360" w:lineRule="auto"/>
        <w:jc w:val="both"/>
        <w:rPr>
          <w:rFonts w:ascii="Book Antiqua" w:hAnsi="Book Antiqua"/>
          <w:kern w:val="2"/>
          <w:lang w:eastAsia="zh-CN"/>
        </w:rPr>
      </w:pPr>
      <w:r w:rsidRPr="00DC00DE">
        <w:rPr>
          <w:rFonts w:ascii="Book Antiqua" w:hAnsi="Book Antiqua" w:hint="eastAsia"/>
          <w:color w:val="000000"/>
          <w:vertAlign w:val="superscript"/>
          <w:lang w:eastAsia="zh-CN"/>
        </w:rPr>
        <w:t>2</w:t>
      </w:r>
      <w:r w:rsidR="00A12995" w:rsidRPr="00DC00DE">
        <w:rPr>
          <w:rFonts w:ascii="Book Antiqua" w:hAnsi="Book Antiqua"/>
          <w:color w:val="000000"/>
        </w:rPr>
        <w:t>M1 represents</w:t>
      </w:r>
      <w:r w:rsidR="00A12995" w:rsidRPr="00DC00DE">
        <w:rPr>
          <w:rFonts w:ascii="Book Antiqua" w:hAnsi="Book Antiqua"/>
        </w:rPr>
        <w:t xml:space="preserve"> </w:t>
      </w:r>
      <w:r w:rsidR="007E36E8" w:rsidRPr="00DC00DE">
        <w:rPr>
          <w:rFonts w:ascii="Book Antiqua" w:hAnsi="Book Antiqua"/>
        </w:rPr>
        <w:t xml:space="preserve">1 </w:t>
      </w:r>
      <w:proofErr w:type="spellStart"/>
      <w:r w:rsidR="00A12995" w:rsidRPr="00DC00DE">
        <w:rPr>
          <w:rFonts w:ascii="Book Antiqua" w:hAnsi="Book Antiqua"/>
        </w:rPr>
        <w:t>mo</w:t>
      </w:r>
      <w:proofErr w:type="spellEnd"/>
      <w:r w:rsidR="007E36E8" w:rsidRPr="00DC00DE">
        <w:rPr>
          <w:rFonts w:ascii="Book Antiqua" w:hAnsi="Book Antiqua"/>
        </w:rPr>
        <w:t xml:space="preserve"> </w:t>
      </w:r>
      <w:r w:rsidR="00A12995" w:rsidRPr="00DC00DE">
        <w:rPr>
          <w:rFonts w:ascii="Book Antiqua" w:hAnsi="Book Antiqua"/>
        </w:rPr>
        <w:t xml:space="preserve">after discharge, and so </w:t>
      </w:r>
      <w:r w:rsidR="005C3BB2" w:rsidRPr="00DC00DE">
        <w:rPr>
          <w:rFonts w:ascii="Book Antiqua" w:hAnsi="Book Antiqua"/>
        </w:rPr>
        <w:t>forth</w:t>
      </w:r>
      <w:r w:rsidR="00A12995" w:rsidRPr="00DC00DE">
        <w:rPr>
          <w:rFonts w:ascii="Book Antiqua" w:hAnsi="Book Antiqua"/>
        </w:rPr>
        <w:t xml:space="preserve">. </w:t>
      </w:r>
      <w:r w:rsidR="005C3BB2" w:rsidRPr="00DC00DE">
        <w:rPr>
          <w:rFonts w:ascii="Book Antiqua" w:hAnsi="Book Antiqua"/>
          <w:color w:val="000000"/>
        </w:rPr>
        <w:t>AKP</w:t>
      </w:r>
      <w:r w:rsidR="005C3BB2" w:rsidRPr="00DC00DE">
        <w:rPr>
          <w:rFonts w:ascii="Book Antiqua" w:hAnsi="Book Antiqua" w:hint="eastAsia"/>
          <w:color w:val="000000"/>
          <w:lang w:eastAsia="zh-CN"/>
        </w:rPr>
        <w:t xml:space="preserve">: </w:t>
      </w:r>
      <w:r w:rsidR="005C3BB2" w:rsidRPr="00DC00DE">
        <w:rPr>
          <w:rFonts w:ascii="Book Antiqua" w:hAnsi="Book Antiqua" w:cs="Book Antiqua" w:hint="eastAsia"/>
          <w:color w:val="000000"/>
          <w:lang w:eastAsia="zh-CN"/>
        </w:rPr>
        <w:t>A</w:t>
      </w:r>
      <w:r w:rsidR="005C3BB2" w:rsidRPr="00DC00DE">
        <w:rPr>
          <w:rFonts w:ascii="Book Antiqua" w:eastAsia="Book Antiqua" w:hAnsi="Book Antiqua" w:cs="Book Antiqua"/>
          <w:color w:val="000000"/>
        </w:rPr>
        <w:t>lkaline phosphatase</w:t>
      </w:r>
      <w:r w:rsidR="005C3BB2" w:rsidRPr="00DC00DE">
        <w:rPr>
          <w:rFonts w:ascii="Book Antiqua" w:hAnsi="Book Antiqua" w:hint="eastAsia"/>
          <w:color w:val="000000"/>
          <w:lang w:eastAsia="zh-CN"/>
        </w:rPr>
        <w:t xml:space="preserve">; </w:t>
      </w:r>
      <w:r w:rsidR="00A12995" w:rsidRPr="00DC00DE">
        <w:rPr>
          <w:rFonts w:ascii="Book Antiqua" w:hAnsi="Book Antiqua"/>
        </w:rPr>
        <w:t xml:space="preserve">DB: </w:t>
      </w:r>
      <w:r w:rsidR="002720BD" w:rsidRPr="00DC00DE">
        <w:rPr>
          <w:rFonts w:ascii="Book Antiqua" w:hAnsi="Book Antiqua" w:hint="eastAsia"/>
          <w:lang w:eastAsia="zh-CN"/>
        </w:rPr>
        <w:t>D</w:t>
      </w:r>
      <w:r w:rsidR="00A12995" w:rsidRPr="00DC00DE">
        <w:rPr>
          <w:rFonts w:ascii="Book Antiqua" w:hAnsi="Book Antiqua"/>
        </w:rPr>
        <w:t>irect bilirubin</w:t>
      </w:r>
      <w:r w:rsidR="00C04D7D" w:rsidRPr="00DC00DE">
        <w:rPr>
          <w:rFonts w:ascii="Book Antiqua" w:hAnsi="Book Antiqua" w:hint="eastAsia"/>
          <w:lang w:eastAsia="zh-CN"/>
        </w:rPr>
        <w:t>;</w:t>
      </w:r>
      <w:r w:rsidR="00C04D7D" w:rsidRPr="00DC00DE">
        <w:rPr>
          <w:rFonts w:ascii="Book Antiqua" w:hAnsi="Book Antiqua"/>
          <w:color w:val="000000"/>
        </w:rPr>
        <w:t xml:space="preserve"> γ-GT</w:t>
      </w:r>
      <w:r w:rsidR="00C04D7D" w:rsidRPr="00DC00DE">
        <w:rPr>
          <w:rFonts w:ascii="Book Antiqua" w:hAnsi="Book Antiqua" w:hint="eastAsia"/>
          <w:color w:val="000000"/>
          <w:lang w:eastAsia="zh-CN"/>
        </w:rPr>
        <w:t xml:space="preserve">: </w:t>
      </w:r>
      <w:r w:rsidR="00C04D7D" w:rsidRPr="00DC00DE">
        <w:rPr>
          <w:rFonts w:ascii="Book Antiqua" w:hAnsi="Book Antiqua" w:cs="Book Antiqua" w:hint="eastAsia"/>
          <w:color w:val="000000"/>
          <w:lang w:eastAsia="zh-CN"/>
        </w:rPr>
        <w:t>G</w:t>
      </w:r>
      <w:r w:rsidR="00C04D7D" w:rsidRPr="00DC00DE">
        <w:rPr>
          <w:rFonts w:ascii="Book Antiqua" w:eastAsia="Book Antiqua" w:hAnsi="Book Antiqua" w:cs="Book Antiqua"/>
          <w:color w:val="000000"/>
        </w:rPr>
        <w:t>amma-glutamyl transpeptidase</w:t>
      </w:r>
      <w:r w:rsidR="005C3BB2" w:rsidRPr="00DC00DE">
        <w:rPr>
          <w:rFonts w:ascii="Book Antiqua" w:hAnsi="Book Antiqua"/>
          <w:color w:val="000000"/>
          <w:lang w:eastAsia="zh-CN"/>
        </w:rPr>
        <w:t xml:space="preserve">; </w:t>
      </w:r>
      <w:r w:rsidR="005C3BB2" w:rsidRPr="00DC00DE">
        <w:rPr>
          <w:rFonts w:ascii="Book Antiqua" w:hAnsi="Book Antiqua"/>
        </w:rPr>
        <w:t xml:space="preserve">TB: </w:t>
      </w:r>
      <w:r w:rsidR="005C3BB2" w:rsidRPr="00DC00DE">
        <w:rPr>
          <w:rFonts w:ascii="Book Antiqua" w:hAnsi="Book Antiqua" w:hint="eastAsia"/>
          <w:lang w:eastAsia="zh-CN"/>
        </w:rPr>
        <w:t>T</w:t>
      </w:r>
      <w:r w:rsidR="005C3BB2" w:rsidRPr="00DC00DE">
        <w:rPr>
          <w:rFonts w:ascii="Book Antiqua" w:hAnsi="Book Antiqua"/>
        </w:rPr>
        <w:t>otal bilirubin.</w:t>
      </w:r>
    </w:p>
    <w:p w14:paraId="28312204" w14:textId="3CFDE4C4" w:rsidR="00DC00DE" w:rsidRPr="00DC00DE" w:rsidRDefault="00DC00DE" w:rsidP="00A96959">
      <w:pPr>
        <w:spacing w:line="360" w:lineRule="auto"/>
        <w:jc w:val="both"/>
        <w:rPr>
          <w:rFonts w:ascii="Book Antiqua" w:hAnsi="Book Antiqua"/>
          <w:lang w:eastAsia="zh-CN"/>
        </w:rPr>
      </w:pPr>
    </w:p>
    <w:p w14:paraId="733E0ADE" w14:textId="77777777" w:rsidR="00DC00DE" w:rsidRPr="00DC00DE" w:rsidRDefault="00DC00DE">
      <w:pPr>
        <w:rPr>
          <w:rFonts w:ascii="Book Antiqua" w:hAnsi="Book Antiqua"/>
          <w:lang w:eastAsia="zh-CN"/>
        </w:rPr>
      </w:pPr>
      <w:r w:rsidRPr="00DC00DE">
        <w:rPr>
          <w:rFonts w:ascii="Book Antiqua" w:hAnsi="Book Antiqua"/>
          <w:lang w:eastAsia="zh-CN"/>
        </w:rPr>
        <w:br w:type="page"/>
      </w:r>
    </w:p>
    <w:p w14:paraId="415658AF" w14:textId="77777777" w:rsidR="00DC00DE" w:rsidRPr="00DC00DE" w:rsidRDefault="00DC00DE" w:rsidP="00DC00DE">
      <w:pPr>
        <w:jc w:val="center"/>
        <w:rPr>
          <w:rFonts w:ascii="Book Antiqua" w:hAnsi="Book Antiqua"/>
        </w:rPr>
      </w:pPr>
    </w:p>
    <w:p w14:paraId="2894F8C2" w14:textId="77777777" w:rsidR="00DC00DE" w:rsidRPr="00DC00DE" w:rsidRDefault="00DC00DE" w:rsidP="00DC00DE">
      <w:pPr>
        <w:jc w:val="center"/>
        <w:rPr>
          <w:rFonts w:ascii="Book Antiqua" w:hAnsi="Book Antiqua"/>
        </w:rPr>
      </w:pPr>
    </w:p>
    <w:p w14:paraId="7617F361" w14:textId="77777777" w:rsidR="00DC00DE" w:rsidRPr="00DC00DE" w:rsidRDefault="00DC00DE" w:rsidP="00DC00DE">
      <w:pPr>
        <w:jc w:val="center"/>
        <w:rPr>
          <w:rFonts w:ascii="Book Antiqua" w:hAnsi="Book Antiqua"/>
        </w:rPr>
      </w:pPr>
    </w:p>
    <w:p w14:paraId="0FE0C654" w14:textId="77777777" w:rsidR="00DC00DE" w:rsidRPr="00DC00DE" w:rsidRDefault="00DC00DE" w:rsidP="00DC00DE">
      <w:pPr>
        <w:jc w:val="center"/>
        <w:rPr>
          <w:rFonts w:ascii="Book Antiqua" w:hAnsi="Book Antiqua"/>
        </w:rPr>
      </w:pPr>
    </w:p>
    <w:p w14:paraId="3D25422F" w14:textId="77777777" w:rsidR="00DC00DE" w:rsidRPr="00DC00DE" w:rsidRDefault="00DC00DE" w:rsidP="00DC00DE">
      <w:pPr>
        <w:jc w:val="center"/>
        <w:rPr>
          <w:rFonts w:ascii="Book Antiqua" w:hAnsi="Book Antiqua"/>
        </w:rPr>
      </w:pPr>
    </w:p>
    <w:p w14:paraId="5968CB5B" w14:textId="255F2F19" w:rsidR="00DC00DE" w:rsidRPr="00DC00DE" w:rsidRDefault="00DC00DE" w:rsidP="00DC00DE">
      <w:pPr>
        <w:jc w:val="center"/>
        <w:rPr>
          <w:rFonts w:ascii="Book Antiqua" w:hAnsi="Book Antiqua"/>
        </w:rPr>
      </w:pPr>
      <w:r w:rsidRPr="00DC00DE">
        <w:rPr>
          <w:rFonts w:ascii="Book Antiqua" w:hAnsi="Book Antiqua"/>
          <w:noProof/>
          <w:lang w:eastAsia="zh-CN"/>
        </w:rPr>
        <w:drawing>
          <wp:inline distT="0" distB="0" distL="0" distR="0" wp14:anchorId="7C8A467D" wp14:editId="505D464F">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4E4A70" w14:textId="77777777" w:rsidR="00DC00DE" w:rsidRPr="00DC00DE" w:rsidRDefault="00DC00DE" w:rsidP="00DC00DE">
      <w:pPr>
        <w:jc w:val="center"/>
        <w:rPr>
          <w:rFonts w:ascii="Book Antiqua" w:hAnsi="Book Antiqua"/>
        </w:rPr>
      </w:pPr>
    </w:p>
    <w:p w14:paraId="6A8A5F23" w14:textId="77777777" w:rsidR="00DC00DE" w:rsidRPr="00DC00DE" w:rsidRDefault="00DC00DE" w:rsidP="00DC00DE">
      <w:pPr>
        <w:autoSpaceDE w:val="0"/>
        <w:autoSpaceDN w:val="0"/>
        <w:adjustRightInd w:val="0"/>
        <w:jc w:val="center"/>
        <w:rPr>
          <w:rFonts w:ascii="Book Antiqua" w:eastAsia="Garamond-Bold" w:hAnsi="Book Antiqua" w:cs="Garamond-Bold"/>
          <w:b/>
          <w:bCs/>
          <w:color w:val="000000"/>
          <w:sz w:val="28"/>
          <w:szCs w:val="28"/>
        </w:rPr>
      </w:pPr>
      <w:r w:rsidRPr="00DC00DE">
        <w:rPr>
          <w:rFonts w:ascii="Book Antiqua" w:eastAsia="TimesNewRomanPSMT" w:hAnsi="Book Antiqua" w:cs="TimesNewRomanPSMT"/>
          <w:color w:val="000000"/>
          <w:sz w:val="28"/>
          <w:szCs w:val="28"/>
        </w:rPr>
        <w:t xml:space="preserve">Published by </w:t>
      </w:r>
      <w:proofErr w:type="spellStart"/>
      <w:r w:rsidRPr="00DC00DE">
        <w:rPr>
          <w:rFonts w:ascii="Book Antiqua" w:eastAsia="Garamond-Bold" w:hAnsi="Book Antiqua" w:cs="Garamond-Bold"/>
          <w:b/>
          <w:bCs/>
          <w:color w:val="000000"/>
          <w:sz w:val="28"/>
          <w:szCs w:val="28"/>
        </w:rPr>
        <w:t>Baishideng</w:t>
      </w:r>
      <w:proofErr w:type="spellEnd"/>
      <w:r w:rsidRPr="00DC00DE">
        <w:rPr>
          <w:rFonts w:ascii="Book Antiqua" w:eastAsia="Garamond-Bold" w:hAnsi="Book Antiqua" w:cs="Garamond-Bold"/>
          <w:b/>
          <w:bCs/>
          <w:color w:val="000000"/>
          <w:sz w:val="28"/>
          <w:szCs w:val="28"/>
        </w:rPr>
        <w:t xml:space="preserve"> Publishing Group </w:t>
      </w:r>
      <w:proofErr w:type="spellStart"/>
      <w:r w:rsidRPr="00DC00DE">
        <w:rPr>
          <w:rFonts w:ascii="Book Antiqua" w:eastAsia="Garamond-Bold" w:hAnsi="Book Antiqua" w:cs="Garamond-Bold"/>
          <w:b/>
          <w:bCs/>
          <w:color w:val="000000"/>
          <w:sz w:val="28"/>
          <w:szCs w:val="28"/>
        </w:rPr>
        <w:t>Inc</w:t>
      </w:r>
      <w:proofErr w:type="spellEnd"/>
    </w:p>
    <w:p w14:paraId="5970A13F" w14:textId="77777777" w:rsidR="00DC00DE" w:rsidRPr="00DC00DE" w:rsidRDefault="00DC00DE" w:rsidP="00DC00DE">
      <w:pPr>
        <w:autoSpaceDE w:val="0"/>
        <w:autoSpaceDN w:val="0"/>
        <w:adjustRightInd w:val="0"/>
        <w:jc w:val="center"/>
        <w:rPr>
          <w:rFonts w:ascii="Book Antiqua" w:eastAsia="TimesNewRomanPSMT" w:hAnsi="Book Antiqua" w:cs="Garamond"/>
          <w:color w:val="000000"/>
          <w:sz w:val="28"/>
          <w:szCs w:val="28"/>
        </w:rPr>
      </w:pPr>
      <w:r w:rsidRPr="00DC00DE">
        <w:rPr>
          <w:rFonts w:ascii="Book Antiqua" w:eastAsia="TimesNewRomanPSMT" w:hAnsi="Book Antiqua" w:cs="Garamond"/>
          <w:color w:val="000000"/>
          <w:sz w:val="28"/>
          <w:szCs w:val="28"/>
        </w:rPr>
        <w:t>7041 Koll Center Parkway, Suite 160, Pleasanton, CA 94566, USA</w:t>
      </w:r>
    </w:p>
    <w:p w14:paraId="50E6DE6E" w14:textId="77777777" w:rsidR="00DC00DE" w:rsidRPr="00DC00DE" w:rsidRDefault="00DC00DE" w:rsidP="00DC00DE">
      <w:pPr>
        <w:autoSpaceDE w:val="0"/>
        <w:autoSpaceDN w:val="0"/>
        <w:adjustRightInd w:val="0"/>
        <w:jc w:val="center"/>
        <w:rPr>
          <w:rFonts w:ascii="Book Antiqua" w:eastAsia="TimesNewRomanPSMT" w:hAnsi="Book Antiqua" w:cs="Garamond"/>
          <w:color w:val="000000"/>
          <w:sz w:val="28"/>
          <w:szCs w:val="28"/>
        </w:rPr>
      </w:pPr>
      <w:r w:rsidRPr="00DC00DE">
        <w:rPr>
          <w:rFonts w:ascii="Book Antiqua" w:eastAsia="Garamond-Bold" w:hAnsi="Book Antiqua" w:cs="Garamond-Bold"/>
          <w:b/>
          <w:bCs/>
          <w:color w:val="000000"/>
          <w:sz w:val="28"/>
          <w:szCs w:val="28"/>
        </w:rPr>
        <w:t xml:space="preserve">Telephone: </w:t>
      </w:r>
      <w:r w:rsidRPr="00DC00DE">
        <w:rPr>
          <w:rFonts w:ascii="Book Antiqua" w:eastAsia="TimesNewRomanPSMT" w:hAnsi="Book Antiqua" w:cs="Garamond"/>
          <w:color w:val="000000"/>
          <w:sz w:val="28"/>
          <w:szCs w:val="28"/>
        </w:rPr>
        <w:t>+1-925-3991568</w:t>
      </w:r>
    </w:p>
    <w:p w14:paraId="43EFF50E" w14:textId="77777777" w:rsidR="00DC00DE" w:rsidRPr="00DC00DE" w:rsidRDefault="00DC00DE" w:rsidP="00DC00DE">
      <w:pPr>
        <w:autoSpaceDE w:val="0"/>
        <w:autoSpaceDN w:val="0"/>
        <w:adjustRightInd w:val="0"/>
        <w:jc w:val="center"/>
        <w:rPr>
          <w:rFonts w:ascii="Book Antiqua" w:eastAsia="TimesNewRomanPSMT" w:hAnsi="Book Antiqua" w:cs="Garamond"/>
          <w:color w:val="D56400"/>
          <w:sz w:val="28"/>
          <w:szCs w:val="28"/>
        </w:rPr>
      </w:pPr>
      <w:r w:rsidRPr="00DC00DE">
        <w:rPr>
          <w:rFonts w:ascii="Book Antiqua" w:eastAsia="Garamond-Bold" w:hAnsi="Book Antiqua" w:cs="Garamond-Bold"/>
          <w:b/>
          <w:bCs/>
          <w:color w:val="000000"/>
          <w:sz w:val="28"/>
          <w:szCs w:val="28"/>
        </w:rPr>
        <w:t xml:space="preserve">E-mail: </w:t>
      </w:r>
      <w:r w:rsidRPr="00DC00DE">
        <w:rPr>
          <w:rFonts w:ascii="Book Antiqua" w:eastAsia="TimesNewRomanPSMT" w:hAnsi="Book Antiqua" w:cs="Garamond"/>
          <w:color w:val="D56400"/>
          <w:sz w:val="28"/>
          <w:szCs w:val="28"/>
        </w:rPr>
        <w:t>bpgoffice@wjgnet.com</w:t>
      </w:r>
    </w:p>
    <w:p w14:paraId="679904C8" w14:textId="77777777" w:rsidR="00DC00DE" w:rsidRPr="00DC00DE" w:rsidRDefault="00DC00DE" w:rsidP="00DC00DE">
      <w:pPr>
        <w:autoSpaceDE w:val="0"/>
        <w:autoSpaceDN w:val="0"/>
        <w:adjustRightInd w:val="0"/>
        <w:jc w:val="center"/>
        <w:rPr>
          <w:rFonts w:ascii="Book Antiqua" w:eastAsia="TimesNewRomanPSMT" w:hAnsi="Book Antiqua" w:cs="Garamond"/>
          <w:color w:val="D56400"/>
          <w:sz w:val="28"/>
          <w:szCs w:val="28"/>
        </w:rPr>
      </w:pPr>
      <w:r w:rsidRPr="00DC00DE">
        <w:rPr>
          <w:rFonts w:ascii="Book Antiqua" w:eastAsia="Garamond-Bold" w:hAnsi="Book Antiqua" w:cs="Garamond-Bold"/>
          <w:b/>
          <w:bCs/>
          <w:color w:val="000000"/>
          <w:sz w:val="28"/>
          <w:szCs w:val="28"/>
        </w:rPr>
        <w:t xml:space="preserve">Help Desk: </w:t>
      </w:r>
      <w:r w:rsidRPr="00DC00DE">
        <w:rPr>
          <w:rFonts w:ascii="Book Antiqua" w:eastAsia="TimesNewRomanPSMT" w:hAnsi="Book Antiqua" w:cs="Garamond"/>
          <w:color w:val="D56400"/>
          <w:sz w:val="28"/>
          <w:szCs w:val="28"/>
        </w:rPr>
        <w:t>https://www.f6publishing.com/helpdesk</w:t>
      </w:r>
    </w:p>
    <w:p w14:paraId="74595FAB" w14:textId="77777777" w:rsidR="00DC00DE" w:rsidRPr="00DC00DE" w:rsidRDefault="00DC00DE" w:rsidP="00DC00DE">
      <w:pPr>
        <w:jc w:val="center"/>
        <w:rPr>
          <w:rFonts w:ascii="Book Antiqua" w:eastAsia="宋体" w:hAnsi="Book Antiqua"/>
        </w:rPr>
      </w:pPr>
      <w:r w:rsidRPr="00DC00DE">
        <w:rPr>
          <w:rFonts w:ascii="Book Antiqua" w:eastAsia="TimesNewRomanPSMT" w:hAnsi="Book Antiqua" w:cs="Garamond"/>
          <w:color w:val="D56400"/>
          <w:sz w:val="28"/>
          <w:szCs w:val="28"/>
        </w:rPr>
        <w:t>https://www.wjgnet.com</w:t>
      </w:r>
    </w:p>
    <w:p w14:paraId="23B81C5B" w14:textId="77777777" w:rsidR="00DC00DE" w:rsidRPr="00DC00DE" w:rsidRDefault="00DC00DE" w:rsidP="00DC00DE">
      <w:pPr>
        <w:jc w:val="center"/>
        <w:rPr>
          <w:rFonts w:ascii="Book Antiqua" w:hAnsi="Book Antiqua"/>
        </w:rPr>
      </w:pPr>
    </w:p>
    <w:p w14:paraId="6924A4D9" w14:textId="77777777" w:rsidR="00DC00DE" w:rsidRPr="00DC00DE" w:rsidRDefault="00DC00DE" w:rsidP="00DC00DE">
      <w:pPr>
        <w:jc w:val="center"/>
        <w:rPr>
          <w:rFonts w:ascii="Book Antiqua" w:hAnsi="Book Antiqua"/>
        </w:rPr>
      </w:pPr>
    </w:p>
    <w:p w14:paraId="3DD51836" w14:textId="77777777" w:rsidR="00DC00DE" w:rsidRPr="00DC00DE" w:rsidRDefault="00DC00DE" w:rsidP="00DC00DE">
      <w:pPr>
        <w:jc w:val="center"/>
        <w:rPr>
          <w:rFonts w:ascii="Book Antiqua" w:hAnsi="Book Antiqua"/>
        </w:rPr>
      </w:pPr>
    </w:p>
    <w:p w14:paraId="330EA15D" w14:textId="1EB1623E" w:rsidR="00DC00DE" w:rsidRPr="00DC00DE" w:rsidRDefault="00DC00DE" w:rsidP="00DC00DE">
      <w:pPr>
        <w:jc w:val="center"/>
        <w:rPr>
          <w:rFonts w:ascii="Book Antiqua" w:hAnsi="Book Antiqua"/>
        </w:rPr>
      </w:pPr>
      <w:r w:rsidRPr="00DC00DE">
        <w:rPr>
          <w:rFonts w:ascii="Book Antiqua" w:hAnsi="Book Antiqua"/>
          <w:noProof/>
          <w:lang w:eastAsia="zh-CN"/>
        </w:rPr>
        <w:drawing>
          <wp:inline distT="0" distB="0" distL="0" distR="0" wp14:anchorId="5FBF1A07" wp14:editId="239ED07F">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514D24" w14:textId="77777777" w:rsidR="00DC00DE" w:rsidRPr="00DC00DE" w:rsidRDefault="00DC00DE" w:rsidP="00DC00DE">
      <w:pPr>
        <w:jc w:val="center"/>
        <w:rPr>
          <w:rFonts w:ascii="Book Antiqua" w:hAnsi="Book Antiqua"/>
        </w:rPr>
      </w:pPr>
    </w:p>
    <w:p w14:paraId="71094E8B" w14:textId="77777777" w:rsidR="00DC00DE" w:rsidRPr="00DC00DE" w:rsidRDefault="00DC00DE" w:rsidP="00DC00DE">
      <w:pPr>
        <w:jc w:val="center"/>
        <w:rPr>
          <w:rFonts w:ascii="Book Antiqua" w:hAnsi="Book Antiqua"/>
        </w:rPr>
      </w:pPr>
    </w:p>
    <w:p w14:paraId="0D171CFD" w14:textId="77777777" w:rsidR="00DC00DE" w:rsidRPr="00DC00DE" w:rsidRDefault="00DC00DE" w:rsidP="00DC00DE">
      <w:pPr>
        <w:jc w:val="center"/>
        <w:rPr>
          <w:rFonts w:ascii="Book Antiqua" w:hAnsi="Book Antiqua"/>
        </w:rPr>
      </w:pPr>
    </w:p>
    <w:p w14:paraId="4ABFDE5E" w14:textId="77777777" w:rsidR="00DC00DE" w:rsidRPr="00DC00DE" w:rsidRDefault="00DC00DE" w:rsidP="00DC00DE">
      <w:pPr>
        <w:jc w:val="center"/>
        <w:rPr>
          <w:rFonts w:ascii="Book Antiqua" w:hAnsi="Book Antiqua"/>
        </w:rPr>
      </w:pPr>
    </w:p>
    <w:p w14:paraId="3DC2886D" w14:textId="77777777" w:rsidR="00DC00DE" w:rsidRPr="00DC00DE" w:rsidRDefault="00DC00DE" w:rsidP="00DC00DE">
      <w:pPr>
        <w:jc w:val="center"/>
        <w:rPr>
          <w:rFonts w:ascii="Book Antiqua" w:hAnsi="Book Antiqua"/>
        </w:rPr>
      </w:pPr>
    </w:p>
    <w:p w14:paraId="6AF893FD" w14:textId="77777777" w:rsidR="00DC00DE" w:rsidRPr="00DC00DE" w:rsidRDefault="00DC00DE" w:rsidP="00DC00DE">
      <w:pPr>
        <w:jc w:val="center"/>
        <w:rPr>
          <w:rFonts w:ascii="Book Antiqua" w:hAnsi="Book Antiqua"/>
        </w:rPr>
      </w:pPr>
    </w:p>
    <w:p w14:paraId="5D523B4F" w14:textId="77777777" w:rsidR="00DC00DE" w:rsidRPr="00DC00DE" w:rsidRDefault="00DC00DE" w:rsidP="00DC00DE">
      <w:pPr>
        <w:jc w:val="center"/>
        <w:rPr>
          <w:rFonts w:ascii="Book Antiqua" w:hAnsi="Book Antiqua"/>
        </w:rPr>
      </w:pPr>
    </w:p>
    <w:p w14:paraId="36BA1CD7" w14:textId="77777777" w:rsidR="00DC00DE" w:rsidRPr="00DC00DE" w:rsidRDefault="00DC00DE" w:rsidP="00DC00DE">
      <w:pPr>
        <w:jc w:val="center"/>
        <w:rPr>
          <w:rFonts w:ascii="Book Antiqua" w:hAnsi="Book Antiqua"/>
        </w:rPr>
      </w:pPr>
    </w:p>
    <w:p w14:paraId="1CF14776" w14:textId="77777777" w:rsidR="00DC00DE" w:rsidRPr="00DC00DE" w:rsidRDefault="00DC00DE" w:rsidP="00DC00DE">
      <w:pPr>
        <w:jc w:val="center"/>
        <w:rPr>
          <w:rFonts w:ascii="Book Antiqua" w:hAnsi="Book Antiqua"/>
        </w:rPr>
      </w:pPr>
    </w:p>
    <w:p w14:paraId="6F4F4E29" w14:textId="77777777" w:rsidR="00DC00DE" w:rsidRPr="00DC00DE" w:rsidRDefault="00DC00DE" w:rsidP="00DC00DE">
      <w:pPr>
        <w:jc w:val="right"/>
        <w:rPr>
          <w:rFonts w:ascii="Book Antiqua" w:hAnsi="Book Antiqua"/>
          <w:color w:val="000000" w:themeColor="text1"/>
        </w:rPr>
      </w:pPr>
    </w:p>
    <w:p w14:paraId="507661FF" w14:textId="77777777" w:rsidR="00DC00DE" w:rsidRDefault="00DC00DE" w:rsidP="00DC00DE">
      <w:pPr>
        <w:jc w:val="center"/>
        <w:rPr>
          <w:rFonts w:ascii="Book Antiqua" w:hAnsi="Book Antiqua"/>
          <w:color w:val="000000" w:themeColor="text1"/>
        </w:rPr>
      </w:pPr>
      <w:r w:rsidRPr="00DC00DE">
        <w:rPr>
          <w:rFonts w:ascii="Book Antiqua" w:eastAsia="BookAntiqua-Bold" w:hAnsi="Book Antiqua" w:cs="BookAntiqua-Bold"/>
          <w:b/>
          <w:bCs/>
          <w:color w:val="000000" w:themeColor="text1"/>
        </w:rPr>
        <w:t xml:space="preserve">© 2021 </w:t>
      </w:r>
      <w:proofErr w:type="spellStart"/>
      <w:r w:rsidRPr="00DC00DE">
        <w:rPr>
          <w:rFonts w:ascii="Book Antiqua" w:eastAsia="BookAntiqua-Bold" w:hAnsi="Book Antiqua" w:cs="BookAntiqua-Bold"/>
          <w:b/>
          <w:bCs/>
          <w:color w:val="000000" w:themeColor="text1"/>
        </w:rPr>
        <w:t>Baishideng</w:t>
      </w:r>
      <w:proofErr w:type="spellEnd"/>
      <w:r w:rsidRPr="00DC00DE">
        <w:rPr>
          <w:rFonts w:ascii="Book Antiqua" w:eastAsia="BookAntiqua-Bold" w:hAnsi="Book Antiqua" w:cs="BookAntiqua-Bold"/>
          <w:b/>
          <w:bCs/>
          <w:color w:val="000000" w:themeColor="text1"/>
        </w:rPr>
        <w:t xml:space="preserve"> Publishing Group Inc. All rights reserved.</w:t>
      </w:r>
      <w:r w:rsidRPr="00DC00DE">
        <w:rPr>
          <w:rFonts w:ascii="Book Antiqua" w:hAnsi="Book Antiqua"/>
          <w:color w:val="000000" w:themeColor="text1"/>
        </w:rPr>
        <w:fldChar w:fldCharType="begin"/>
      </w:r>
      <w:r w:rsidRPr="00DC00DE">
        <w:rPr>
          <w:rFonts w:ascii="Book Antiqua" w:hAnsi="Book Antiqua"/>
          <w:color w:val="000000" w:themeColor="text1"/>
        </w:rPr>
        <w:instrText xml:space="preserve"> ADDIN EN.REFLIST </w:instrText>
      </w:r>
      <w:r w:rsidRPr="00DC00DE">
        <w:rPr>
          <w:rFonts w:ascii="Book Antiqua" w:hAnsi="Book Antiqua"/>
          <w:color w:val="000000" w:themeColor="text1"/>
        </w:rPr>
        <w:fldChar w:fldCharType="end"/>
      </w:r>
      <w:bookmarkStart w:id="8" w:name="_GoBack"/>
      <w:bookmarkEnd w:id="8"/>
    </w:p>
    <w:p w14:paraId="689A4B13" w14:textId="77777777" w:rsidR="00DC00DE" w:rsidRDefault="00DC00DE" w:rsidP="00DC00DE">
      <w:pPr>
        <w:snapToGrid w:val="0"/>
        <w:spacing w:line="360" w:lineRule="auto"/>
        <w:rPr>
          <w:rFonts w:asciiTheme="minorEastAsia" w:hAnsiTheme="minorEastAsia"/>
          <w:b/>
        </w:rPr>
      </w:pPr>
    </w:p>
    <w:sectPr w:rsidR="00DC00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0109" w14:textId="77777777" w:rsidR="008870B1" w:rsidRDefault="008870B1" w:rsidP="00B843E1">
      <w:r>
        <w:separator/>
      </w:r>
    </w:p>
  </w:endnote>
  <w:endnote w:type="continuationSeparator" w:id="0">
    <w:p w14:paraId="21511D03" w14:textId="77777777" w:rsidR="008870B1" w:rsidRDefault="008870B1" w:rsidP="00B8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16662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0226FB" w14:textId="77777777" w:rsidR="00B843E1" w:rsidRPr="00934BDB" w:rsidRDefault="00B843E1">
            <w:pPr>
              <w:pStyle w:val="a4"/>
              <w:jc w:val="right"/>
              <w:rPr>
                <w:rFonts w:ascii="Book Antiqua" w:hAnsi="Book Antiqua"/>
                <w:sz w:val="24"/>
                <w:szCs w:val="24"/>
              </w:rPr>
            </w:pPr>
            <w:r w:rsidRPr="00B843E1">
              <w:rPr>
                <w:rFonts w:ascii="Book Antiqua" w:hAnsi="Book Antiqua"/>
                <w:sz w:val="24"/>
                <w:szCs w:val="24"/>
                <w:lang w:val="zh-CN" w:eastAsia="zh-CN"/>
              </w:rPr>
              <w:t xml:space="preserve"> </w:t>
            </w:r>
            <w:r w:rsidRPr="00B40B15">
              <w:rPr>
                <w:rFonts w:ascii="Book Antiqua" w:hAnsi="Book Antiqua"/>
                <w:sz w:val="24"/>
                <w:szCs w:val="24"/>
              </w:rPr>
              <w:fldChar w:fldCharType="begin"/>
            </w:r>
            <w:r w:rsidRPr="00B40B15">
              <w:rPr>
                <w:rFonts w:ascii="Book Antiqua" w:hAnsi="Book Antiqua"/>
                <w:sz w:val="24"/>
                <w:szCs w:val="24"/>
              </w:rPr>
              <w:instrText>PAGE</w:instrText>
            </w:r>
            <w:r w:rsidRPr="00B40B15">
              <w:rPr>
                <w:rFonts w:ascii="Book Antiqua" w:hAnsi="Book Antiqua"/>
                <w:sz w:val="24"/>
                <w:szCs w:val="24"/>
              </w:rPr>
              <w:fldChar w:fldCharType="separate"/>
            </w:r>
            <w:r w:rsidR="00DC00DE">
              <w:rPr>
                <w:rFonts w:ascii="Book Antiqua" w:hAnsi="Book Antiqua"/>
                <w:noProof/>
                <w:sz w:val="24"/>
                <w:szCs w:val="24"/>
              </w:rPr>
              <w:t>17</w:t>
            </w:r>
            <w:r w:rsidRPr="00B40B15">
              <w:rPr>
                <w:rFonts w:ascii="Book Antiqua" w:hAnsi="Book Antiqua"/>
                <w:sz w:val="24"/>
                <w:szCs w:val="24"/>
              </w:rPr>
              <w:fldChar w:fldCharType="end"/>
            </w:r>
            <w:r w:rsidRPr="00934BDB">
              <w:rPr>
                <w:rFonts w:ascii="Book Antiqua" w:hAnsi="Book Antiqua"/>
                <w:sz w:val="24"/>
                <w:szCs w:val="24"/>
                <w:lang w:val="zh-CN" w:eastAsia="zh-CN"/>
              </w:rPr>
              <w:t xml:space="preserve"> / </w:t>
            </w:r>
            <w:r w:rsidRPr="00B40B15">
              <w:rPr>
                <w:rFonts w:ascii="Book Antiqua" w:hAnsi="Book Antiqua"/>
                <w:sz w:val="24"/>
                <w:szCs w:val="24"/>
              </w:rPr>
              <w:fldChar w:fldCharType="begin"/>
            </w:r>
            <w:r w:rsidRPr="00B40B15">
              <w:rPr>
                <w:rFonts w:ascii="Book Antiqua" w:hAnsi="Book Antiqua"/>
                <w:sz w:val="24"/>
                <w:szCs w:val="24"/>
              </w:rPr>
              <w:instrText>NUMPAGES</w:instrText>
            </w:r>
            <w:r w:rsidRPr="00B40B15">
              <w:rPr>
                <w:rFonts w:ascii="Book Antiqua" w:hAnsi="Book Antiqua"/>
                <w:sz w:val="24"/>
                <w:szCs w:val="24"/>
              </w:rPr>
              <w:fldChar w:fldCharType="separate"/>
            </w:r>
            <w:r w:rsidR="00DC00DE">
              <w:rPr>
                <w:rFonts w:ascii="Book Antiqua" w:hAnsi="Book Antiqua"/>
                <w:noProof/>
                <w:sz w:val="24"/>
                <w:szCs w:val="24"/>
              </w:rPr>
              <w:t>17</w:t>
            </w:r>
            <w:r w:rsidRPr="00B40B15">
              <w:rPr>
                <w:rFonts w:ascii="Book Antiqua" w:hAnsi="Book Antiqua"/>
                <w:sz w:val="24"/>
                <w:szCs w:val="24"/>
              </w:rPr>
              <w:fldChar w:fldCharType="end"/>
            </w:r>
          </w:p>
        </w:sdtContent>
      </w:sdt>
    </w:sdtContent>
  </w:sdt>
  <w:p w14:paraId="199E36F0" w14:textId="77777777" w:rsidR="00B843E1" w:rsidRDefault="00B843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DCA89" w14:textId="77777777" w:rsidR="008870B1" w:rsidRDefault="008870B1" w:rsidP="00B843E1">
      <w:r>
        <w:separator/>
      </w:r>
    </w:p>
  </w:footnote>
  <w:footnote w:type="continuationSeparator" w:id="0">
    <w:p w14:paraId="19E7A5CC" w14:textId="77777777" w:rsidR="008870B1" w:rsidRDefault="008870B1" w:rsidP="00B84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06A"/>
    <w:rsid w:val="000B17B6"/>
    <w:rsid w:val="000D1AC5"/>
    <w:rsid w:val="00181F86"/>
    <w:rsid w:val="0018419C"/>
    <w:rsid w:val="00190070"/>
    <w:rsid w:val="0019297E"/>
    <w:rsid w:val="001E078C"/>
    <w:rsid w:val="002720BD"/>
    <w:rsid w:val="002974A9"/>
    <w:rsid w:val="002E5F14"/>
    <w:rsid w:val="00363AE9"/>
    <w:rsid w:val="003E2788"/>
    <w:rsid w:val="0045211C"/>
    <w:rsid w:val="00507F58"/>
    <w:rsid w:val="00516C02"/>
    <w:rsid w:val="00524D14"/>
    <w:rsid w:val="005C3BB2"/>
    <w:rsid w:val="006D67CC"/>
    <w:rsid w:val="006E2282"/>
    <w:rsid w:val="006E570D"/>
    <w:rsid w:val="00732E79"/>
    <w:rsid w:val="00773C8F"/>
    <w:rsid w:val="007972F7"/>
    <w:rsid w:val="007E36E8"/>
    <w:rsid w:val="008870B1"/>
    <w:rsid w:val="00934BDB"/>
    <w:rsid w:val="0093735F"/>
    <w:rsid w:val="00960F85"/>
    <w:rsid w:val="0098227E"/>
    <w:rsid w:val="009A6B42"/>
    <w:rsid w:val="009D2904"/>
    <w:rsid w:val="00A12995"/>
    <w:rsid w:val="00A753C4"/>
    <w:rsid w:val="00A77B3E"/>
    <w:rsid w:val="00A96959"/>
    <w:rsid w:val="00AA772E"/>
    <w:rsid w:val="00AC7CD9"/>
    <w:rsid w:val="00B1218B"/>
    <w:rsid w:val="00B40B15"/>
    <w:rsid w:val="00B51ED4"/>
    <w:rsid w:val="00B70B81"/>
    <w:rsid w:val="00B843E1"/>
    <w:rsid w:val="00B867FA"/>
    <w:rsid w:val="00C04D7D"/>
    <w:rsid w:val="00CA2A55"/>
    <w:rsid w:val="00D2502A"/>
    <w:rsid w:val="00D624C1"/>
    <w:rsid w:val="00DC00DE"/>
    <w:rsid w:val="00DD0B68"/>
    <w:rsid w:val="00E17D92"/>
    <w:rsid w:val="00E77111"/>
    <w:rsid w:val="00ED08B8"/>
    <w:rsid w:val="00EF3F99"/>
    <w:rsid w:val="00EF4612"/>
    <w:rsid w:val="00F21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1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4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43E1"/>
    <w:rPr>
      <w:sz w:val="18"/>
      <w:szCs w:val="18"/>
    </w:rPr>
  </w:style>
  <w:style w:type="paragraph" w:styleId="a4">
    <w:name w:val="footer"/>
    <w:basedOn w:val="a"/>
    <w:link w:val="Char0"/>
    <w:uiPriority w:val="99"/>
    <w:rsid w:val="00B843E1"/>
    <w:pPr>
      <w:tabs>
        <w:tab w:val="center" w:pos="4153"/>
        <w:tab w:val="right" w:pos="8306"/>
      </w:tabs>
      <w:snapToGrid w:val="0"/>
    </w:pPr>
    <w:rPr>
      <w:sz w:val="18"/>
      <w:szCs w:val="18"/>
    </w:rPr>
  </w:style>
  <w:style w:type="character" w:customStyle="1" w:styleId="Char0">
    <w:name w:val="页脚 Char"/>
    <w:basedOn w:val="a0"/>
    <w:link w:val="a4"/>
    <w:uiPriority w:val="99"/>
    <w:rsid w:val="00B843E1"/>
    <w:rPr>
      <w:sz w:val="18"/>
      <w:szCs w:val="18"/>
    </w:rPr>
  </w:style>
  <w:style w:type="paragraph" w:styleId="a5">
    <w:name w:val="Balloon Text"/>
    <w:basedOn w:val="a"/>
    <w:link w:val="Char1"/>
    <w:rsid w:val="00363AE9"/>
    <w:rPr>
      <w:sz w:val="18"/>
      <w:szCs w:val="18"/>
    </w:rPr>
  </w:style>
  <w:style w:type="character" w:customStyle="1" w:styleId="Char1">
    <w:name w:val="批注框文本 Char"/>
    <w:basedOn w:val="a0"/>
    <w:link w:val="a5"/>
    <w:rsid w:val="00363A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4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43E1"/>
    <w:rPr>
      <w:sz w:val="18"/>
      <w:szCs w:val="18"/>
    </w:rPr>
  </w:style>
  <w:style w:type="paragraph" w:styleId="a4">
    <w:name w:val="footer"/>
    <w:basedOn w:val="a"/>
    <w:link w:val="Char0"/>
    <w:uiPriority w:val="99"/>
    <w:rsid w:val="00B843E1"/>
    <w:pPr>
      <w:tabs>
        <w:tab w:val="center" w:pos="4153"/>
        <w:tab w:val="right" w:pos="8306"/>
      </w:tabs>
      <w:snapToGrid w:val="0"/>
    </w:pPr>
    <w:rPr>
      <w:sz w:val="18"/>
      <w:szCs w:val="18"/>
    </w:rPr>
  </w:style>
  <w:style w:type="character" w:customStyle="1" w:styleId="Char0">
    <w:name w:val="页脚 Char"/>
    <w:basedOn w:val="a0"/>
    <w:link w:val="a4"/>
    <w:uiPriority w:val="99"/>
    <w:rsid w:val="00B843E1"/>
    <w:rPr>
      <w:sz w:val="18"/>
      <w:szCs w:val="18"/>
    </w:rPr>
  </w:style>
  <w:style w:type="paragraph" w:styleId="a5">
    <w:name w:val="Balloon Text"/>
    <w:basedOn w:val="a"/>
    <w:link w:val="Char1"/>
    <w:rsid w:val="00363AE9"/>
    <w:rPr>
      <w:sz w:val="18"/>
      <w:szCs w:val="18"/>
    </w:rPr>
  </w:style>
  <w:style w:type="character" w:customStyle="1" w:styleId="Char1">
    <w:name w:val="批注框文本 Char"/>
    <w:basedOn w:val="a0"/>
    <w:link w:val="a5"/>
    <w:rsid w:val="00363A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6301">
      <w:bodyDiv w:val="1"/>
      <w:marLeft w:val="0"/>
      <w:marRight w:val="0"/>
      <w:marTop w:val="0"/>
      <w:marBottom w:val="0"/>
      <w:divBdr>
        <w:top w:val="none" w:sz="0" w:space="0" w:color="auto"/>
        <w:left w:val="none" w:sz="0" w:space="0" w:color="auto"/>
        <w:bottom w:val="none" w:sz="0" w:space="0" w:color="auto"/>
        <w:right w:val="none" w:sz="0" w:space="0" w:color="auto"/>
      </w:divBdr>
    </w:div>
    <w:div w:id="1162546418">
      <w:bodyDiv w:val="1"/>
      <w:marLeft w:val="0"/>
      <w:marRight w:val="0"/>
      <w:marTop w:val="0"/>
      <w:marBottom w:val="0"/>
      <w:divBdr>
        <w:top w:val="none" w:sz="0" w:space="0" w:color="auto"/>
        <w:left w:val="none" w:sz="0" w:space="0" w:color="auto"/>
        <w:bottom w:val="none" w:sz="0" w:space="0" w:color="auto"/>
        <w:right w:val="none" w:sz="0" w:space="0" w:color="auto"/>
      </w:divBdr>
    </w:div>
    <w:div w:id="1194919731">
      <w:bodyDiv w:val="1"/>
      <w:marLeft w:val="0"/>
      <w:marRight w:val="0"/>
      <w:marTop w:val="0"/>
      <w:marBottom w:val="0"/>
      <w:divBdr>
        <w:top w:val="none" w:sz="0" w:space="0" w:color="auto"/>
        <w:left w:val="none" w:sz="0" w:space="0" w:color="auto"/>
        <w:bottom w:val="none" w:sz="0" w:space="0" w:color="auto"/>
        <w:right w:val="none" w:sz="0" w:space="0" w:color="auto"/>
      </w:divBdr>
    </w:div>
    <w:div w:id="180808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10</cp:revision>
  <dcterms:created xsi:type="dcterms:W3CDTF">2021-07-27T03:21:00Z</dcterms:created>
  <dcterms:modified xsi:type="dcterms:W3CDTF">2021-08-26T17:22:00Z</dcterms:modified>
</cp:coreProperties>
</file>