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Methodology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62578</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FRONTIER</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Genomics in medicine: A new era in medicine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Pattan </w:t>
      </w:r>
      <w:r>
        <w:rPr>
          <w:rFonts w:hint="eastAsia" w:ascii="Book Antiqua" w:hAnsi="Book Antiqua" w:cs="Book Antiqua"/>
          <w:color w:val="000000"/>
          <w:highlight w:val="none"/>
          <w:lang w:eastAsia="zh-CN"/>
        </w:rPr>
        <w:t xml:space="preserve">V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Medical genomics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Vishwanath Pattan, Rahul Kashyap, Vikas Bansal, Narsimha Candula, Thoyaja Koritala, Salim Surani</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Vishwanath Pattan, </w:t>
      </w:r>
      <w:r>
        <w:rPr>
          <w:rFonts w:ascii="Book Antiqua" w:hAnsi="Book Antiqua" w:eastAsia="Book Antiqua" w:cs="Book Antiqua"/>
          <w:color w:val="000000"/>
          <w:highlight w:val="none"/>
        </w:rPr>
        <w:t>Division of Endocrinology, Wyoming Medical Center, Casper, WY 82601,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Rahul Kashyap, Vikas Bansal, </w:t>
      </w:r>
      <w:r>
        <w:rPr>
          <w:rFonts w:ascii="Book Antiqua" w:hAnsi="Book Antiqua" w:eastAsia="Book Antiqua" w:cs="Book Antiqua"/>
          <w:color w:val="000000"/>
          <w:highlight w:val="none"/>
        </w:rPr>
        <w:t>Department of Anesthesiology and Peri-operative Medicine, Mayo Clinic, Rochester, MN 55905,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Narsimha Candula, </w:t>
      </w:r>
      <w:r>
        <w:rPr>
          <w:rFonts w:ascii="Book Antiqua" w:hAnsi="Book Antiqua" w:eastAsia="Book Antiqua" w:cs="Book Antiqua"/>
          <w:color w:val="000000"/>
          <w:highlight w:val="none"/>
        </w:rPr>
        <w:t>Hospital Medicine, University Florida Health, Jacksonville, FL 32209,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Thoyaja Koritala, </w:t>
      </w:r>
      <w:r>
        <w:rPr>
          <w:rFonts w:ascii="Book Antiqua" w:hAnsi="Book Antiqua" w:eastAsia="Book Antiqua" w:cs="Book Antiqua"/>
          <w:color w:val="000000"/>
          <w:highlight w:val="none"/>
        </w:rPr>
        <w:t>Hospital Medicine, Mayo Clinic Health System, Mankato, MN 56001,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Salim Surani, </w:t>
      </w:r>
      <w:r>
        <w:rPr>
          <w:rFonts w:ascii="Book Antiqua" w:hAnsi="Book Antiqua" w:eastAsia="Book Antiqua" w:cs="Book Antiqua"/>
          <w:color w:val="000000"/>
          <w:highlight w:val="none"/>
        </w:rPr>
        <w:t>Department of Internal Medicine, Texas A&amp;M University, Corpus Christi, TX 78405, United States</w:t>
      </w:r>
    </w:p>
    <w:p>
      <w:pPr>
        <w:spacing w:line="360" w:lineRule="auto"/>
        <w:jc w:val="both"/>
        <w:rPr>
          <w:rFonts w:ascii="Book Antiqua" w:hAnsi="Book Antiqua" w:cs="Book Antiqua"/>
          <w:color w:val="000000"/>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Pattan V, Kashyap R and Surani S were involved with idea origination, writing and review of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Bansal V, Candula N and Koritala T were involved in writing and review of literature</w:t>
      </w:r>
      <w:r>
        <w:rPr>
          <w:rFonts w:hint="eastAsia" w:ascii="Book Antiqua" w:hAnsi="Book Antiqua" w:cs="Book Antiqua"/>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Salim Surani, FACC, FACP, FCCP, MD, Professor, </w:t>
      </w:r>
      <w:r>
        <w:rPr>
          <w:rFonts w:ascii="Book Antiqua" w:hAnsi="Book Antiqua" w:eastAsia="Book Antiqua" w:cs="Book Antiqua"/>
          <w:color w:val="000000"/>
          <w:highlight w:val="none"/>
        </w:rPr>
        <w:t>Department of Internal Medicine, Texas A&amp;M University, 701 Ayers Street, Corpus Christi, TX 78405, United States. srsurani@gmail.com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January 12,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18,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0" w:name="OLE_LINK33"/>
      <w:bookmarkStart w:id="1" w:name="OLE_LINK48"/>
      <w:bookmarkStart w:id="2" w:name="OLE_LINK15"/>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19, 2021</w:t>
      </w:r>
      <w:bookmarkEnd w:id="0"/>
      <w:bookmarkEnd w:id="1"/>
      <w:bookmarkEnd w:id="2"/>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September 20</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The sequencing of complete human genome revolutionized the genomic medicine.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However, the complex interplay of gene-environment-lifestyle and influence of non-coding genomic regions on human health remain largely unexplored. Genomic medicine has great potential for diagnoses or disease prediction, disease prevention and, targeted treatment. However, many of the promising tools of genomic medicine are still in their infancy and their application may be limited because of the limited knowledge we have that precludes its use in many clinical settings. In this review article, we have reviewed the evolution of genomic methodologies/tools, their limitations, and scope, for current and future clinical application.</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szCs w:val="22"/>
          <w:highlight w:val="none"/>
        </w:rPr>
        <w:t xml:space="preserve">Key Words: </w:t>
      </w:r>
      <w:r>
        <w:rPr>
          <w:rFonts w:ascii="Book Antiqua" w:hAnsi="Book Antiqua" w:eastAsia="Book Antiqua" w:cs="Book Antiqua"/>
          <w:color w:val="000000"/>
          <w:highlight w:val="none"/>
        </w:rPr>
        <w:t>Genomic medicine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Medical genetics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Gene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equencing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DNA sequencing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RNA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equencing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lustered regularly interspaced short palindromic repeat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Gene </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ased therapy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Genomic tools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Genome editing</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Pattan V, Kashyap R, Bansal V, Candula N, Koritala T, Surani S. Genomics in medicine: A new era in medicine. </w:t>
      </w:r>
      <w:r>
        <w:rPr>
          <w:rFonts w:ascii="Book Antiqua" w:hAnsi="Book Antiqua" w:eastAsia="Book Antiqua" w:cs="Book Antiqua"/>
          <w:i/>
          <w:iCs/>
          <w:color w:val="000000"/>
          <w:highlight w:val="none"/>
        </w:rPr>
        <w:t>World J Methodol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11(5): </w:t>
      </w:r>
      <w:r>
        <w:rPr>
          <w:rFonts w:hint="eastAsia" w:ascii="Book Antiqua" w:hAnsi="Book Antiqua"/>
          <w:color w:val="000000" w:themeColor="text1"/>
          <w:sz w:val="24"/>
          <w:szCs w:val="24"/>
          <w:highlight w:val="none"/>
          <w:lang w:val="en-US" w:eastAsia="zh-CN"/>
          <w14:textFill>
            <w14:solidFill>
              <w14:schemeClr w14:val="tx1"/>
            </w14:solidFill>
          </w14:textFill>
        </w:rPr>
        <w:t>231-242</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https://www.wjgnet.com/2222-0682/full/v11/i5/</w:t>
      </w:r>
      <w:r>
        <w:rPr>
          <w:rFonts w:hint="eastAsia" w:ascii="Book Antiqua" w:hAnsi="Book Antiqua" w:eastAsia="宋体" w:cs="Book Antiqua"/>
          <w:color w:val="000000"/>
          <w:highlight w:val="none"/>
          <w:lang w:val="en-US" w:eastAsia="zh-CN"/>
        </w:rPr>
        <w:t>231</w:t>
      </w:r>
      <w:r>
        <w:rPr>
          <w:rFonts w:hint="eastAsia" w:ascii="Book Antiqua" w:hAnsi="Book Antiqua" w:eastAsia="Book Antiqua" w:cs="Book Antiqua"/>
          <w:color w:val="000000"/>
          <w:highlight w:val="none"/>
        </w:rPr>
        <w:t xml:space="preserve">.htm </w:t>
      </w:r>
    </w:p>
    <w:p>
      <w:pPr>
        <w:spacing w:line="360" w:lineRule="auto"/>
        <w:jc w:val="both"/>
        <w:rPr>
          <w:rFonts w:hint="default"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https://dx.doi.org/10.5662/wjm.v11.i5.</w:t>
      </w:r>
      <w:r>
        <w:rPr>
          <w:rFonts w:hint="eastAsia" w:ascii="Book Antiqua" w:hAnsi="Book Antiqua" w:eastAsia="宋体" w:cs="Book Antiqua"/>
          <w:color w:val="000000"/>
          <w:highlight w:val="none"/>
          <w:lang w:val="en-US" w:eastAsia="zh-CN"/>
        </w:rPr>
        <w:t>231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The field of Genomics is the future of medicine, as evidenced by the unprecedented research and clinical application which pushed the time boundaries for the coronavirus disease 2019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mRNA vaccines. However the path to unleashing the potential from genomic tools is far from perfect. A thorough research with international collaboration and cooperation is a necessity and the need of the hour.</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lang w:eastAsia="zh-CN"/>
        </w:rPr>
      </w:pPr>
      <w:r>
        <w:rPr>
          <w:rFonts w:ascii="Book Antiqua" w:hAnsi="Book Antiqua" w:eastAsia="Book Antiqua" w:cs="Book Antiqua"/>
          <w:color w:val="000000"/>
          <w:highlight w:val="none"/>
        </w:rPr>
        <w:t>Understanding the human genome has come a long way since the initial discovery of DNA structure by Watson and Crick in 1953</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The genome study and reference used to be a very specialized area, but lately with the advent of the messenger based RNA vaccine have brought the concept of genetics even to the lay public.</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 the 1970s, the ability to manipulate DNA with recombinant DNA technology increased the horizon. Our understanding of medical genetics began with inheritance patterns of single-gene diseases. The database of Mendelian Inheritance in Man (MIM) was initiated in the early 1960s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McKusick</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As of January 5, 2021, 4368 genes were mapped to phenotype-causing mutations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However, only a small portion of diseases have a monogenic cause. The majority of the common diseases are polygenic, and elucidation of their mechanism has remained elusive.</w:t>
      </w:r>
    </w:p>
    <w:p>
      <w:pPr>
        <w:spacing w:line="360" w:lineRule="auto"/>
        <w:ind w:firstLine="240" w:firstLineChars="100"/>
        <w:jc w:val="both"/>
        <w:rPr>
          <w:highlight w:val="none"/>
        </w:rPr>
      </w:pPr>
      <w:r>
        <w:rPr>
          <w:rFonts w:ascii="Book Antiqua" w:hAnsi="Book Antiqua" w:eastAsia="Book Antiqua" w:cs="Book Antiqua"/>
          <w:color w:val="000000"/>
          <w:highlight w:val="none"/>
        </w:rPr>
        <w:t>The human genome project, which was completed in 2003, revolutionized the understanding of the human genome and served as a turning point to fast forward the genomic methodologies. However, the clinical application of findings from these genomic studies is still in its infancy. This is large</w:t>
      </w:r>
      <w:r>
        <w:rPr>
          <w:rFonts w:hint="eastAsia" w:ascii="Book Antiqua" w:hAnsi="Book Antiqua" w:eastAsia="宋体" w:cs="Book Antiqua"/>
          <w:color w:val="000000"/>
          <w:highlight w:val="none"/>
          <w:lang w:val="en-US" w:eastAsia="zh-CN"/>
        </w:rPr>
        <w:t>ly</w:t>
      </w:r>
      <w:r>
        <w:rPr>
          <w:rFonts w:ascii="Book Antiqua" w:hAnsi="Book Antiqua" w:eastAsia="Book Antiqua" w:cs="Book Antiqua"/>
          <w:color w:val="000000"/>
          <w:highlight w:val="none"/>
        </w:rPr>
        <w:t xml:space="preserve"> because we still have not understood or made complete sense of the available information. That is, the sequence data have been difficult to correlate to functional outcomes, making it difficult to understand the genetic basis of diseases and the complex gene-lifestyle-environment influences or their interaction. Moreover, most of the initial focus of the research had been on coding regions of DNA which comprises approximately 2% of the DNA and the knowledge about specific implications of non-coding DNA regions (98% of DNA) are largely unknown</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Remarkably, the human genome and the closest related species chimpanzees differ in single nucleotide alterations by a mere 1.23% and in deletions, insertions, and copy number variations by 3%</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In humans, the genomes of any two individuals are about 99.9% identical. However, a mere 0.1% variation allows for changes in a massive number of nucleotides because the human genome has approximately 30 billion base pairs (3.3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10</w:t>
      </w:r>
      <w:r>
        <w:rPr>
          <w:rFonts w:ascii="Book Antiqua" w:hAnsi="Book Antiqua" w:eastAsia="Book Antiqua" w:cs="Book Antiqua"/>
          <w:color w:val="000000"/>
          <w:szCs w:val="20"/>
          <w:highlight w:val="none"/>
          <w:vertAlign w:val="superscript"/>
        </w:rPr>
        <w:t>9</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this review, we will discuss the evolution in genomic methodology, limitations, and their scope for current and future clinical application.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Genomic tools and their evolution</w:t>
      </w:r>
    </w:p>
    <w:p>
      <w:pPr>
        <w:spacing w:line="360" w:lineRule="auto"/>
        <w:jc w:val="both"/>
        <w:rPr>
          <w:i/>
          <w:highlight w:val="none"/>
          <w:lang w:eastAsia="zh-CN"/>
        </w:rPr>
      </w:pPr>
      <w:r>
        <w:rPr>
          <w:rFonts w:ascii="Book Antiqua" w:hAnsi="Book Antiqua" w:eastAsia="Book Antiqua" w:cs="Book Antiqua"/>
          <w:b/>
          <w:bCs/>
          <w:i/>
          <w:color w:val="000000"/>
          <w:highlight w:val="none"/>
        </w:rPr>
        <w:t>DNA sequencing</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After the initial DNA sequencing method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Maxam and Gilbert</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in 197</w:t>
      </w:r>
      <w:r>
        <w:rPr>
          <w:rFonts w:hint="eastAsia" w:ascii="Book Antiqua" w:hAnsi="Book Antiqua" w:cs="Book Antiqua"/>
          <w:color w:val="000000"/>
          <w:highlight w:val="none"/>
          <w:lang w:eastAsia="zh-CN"/>
        </w:rPr>
        <w:t>7</w:t>
      </w:r>
      <w:r>
        <w:rPr>
          <w:rFonts w:ascii="Book Antiqua" w:hAnsi="Book Antiqua" w:eastAsia="Book Antiqua" w:cs="Book Antiqua"/>
          <w:color w:val="000000"/>
          <w:highlight w:val="none"/>
        </w:rPr>
        <w:t>, the chain-termination DNA sequencing method developed by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Sanger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 1977 was used for the next few decades. It relied on the template DNA strand and had limited capacity for sequencing gene panels. Subsequently, with commercial production of high throughput technologies or next-generation sequencing (NGS) revolutionized the DNA sequencing by 2007</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Also called as massively parallel sequencing, NGS does parallel sequencing of millions of small DNA fragments. Each DNA fragment is fixed at a unique location on the solid support. While the sample of the patient's DNA which serves as a template in NGS is amplified and fragmented, the third-generation sequencing uses single DNA molecules rather than the amplified DNA as a template thus eliminating errors from DNA amplification processes. The NGS can be used for whole-genome sequencing, exome sequencing, or targeted gene panels comprising tens to hundreds of genes.</w:t>
      </w:r>
    </w:p>
    <w:p>
      <w:pPr>
        <w:spacing w:line="360" w:lineRule="auto"/>
        <w:jc w:val="both"/>
        <w:rPr>
          <w:highlight w:val="none"/>
          <w:lang w:eastAsia="zh-CN"/>
        </w:rPr>
      </w:pPr>
    </w:p>
    <w:p>
      <w:pPr>
        <w:spacing w:line="360" w:lineRule="auto"/>
        <w:jc w:val="both"/>
        <w:rPr>
          <w:rFonts w:ascii="Book Antiqua" w:hAnsi="Book Antiqua" w:cs="Book Antiqua"/>
          <w:i/>
          <w:color w:val="000000"/>
          <w:highlight w:val="none"/>
          <w:lang w:eastAsia="zh-CN"/>
        </w:rPr>
      </w:pPr>
      <w:r>
        <w:rPr>
          <w:rFonts w:ascii="Book Antiqua" w:hAnsi="Book Antiqua" w:eastAsia="Book Antiqua" w:cs="Book Antiqua"/>
          <w:b/>
          <w:bCs/>
          <w:i/>
          <w:color w:val="000000"/>
          <w:highlight w:val="none"/>
        </w:rPr>
        <w:t>Single nucleotide polymorphism</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Single nucleotide polymorphism (SNP) is the variation in genetic sequence by a single nucleotide. It is the most common type of genetic variation in man</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It was detected in the 1980s using restriction enzymes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With application of the microarray technology to SNPs, the scope of SNP in clinical practice has widened, especially in oncology.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first SNP array analysis was done in 1998 and the first application of SNP array analysis in cancer was done in 2000</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SNP array analysis is used to determine loss of heterozygosity, allelic imbalance, genomic copy number changes, frequency of homozygous chromosome regions, uniparental disomy, DNA methylation alterations and linkage analysis of DNA polymorphisms in cancer cells</w:t>
      </w:r>
      <w:r>
        <w:rPr>
          <w:rFonts w:ascii="Book Antiqua" w:hAnsi="Book Antiqua" w:eastAsia="Book Antiqua" w:cs="Book Antiqua"/>
          <w:color w:val="000000"/>
          <w:highlight w:val="none"/>
          <w:vertAlign w:val="superscript"/>
        </w:rPr>
        <w:t>[13,14]</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DNA amplification</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Kary Banks Mullis successfully demonstrated polymerase chain reaction (PCR) in 1983</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PCR is a cost-effective method that can amplify a single DNA exponentially</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It is a rapid, highly specific, and extremely sensitive method. PCR is being used in SNP genotyping, detection of rare sequences, insertion-deletion variants, and structural variants like copy-number variants.</w:t>
      </w:r>
    </w:p>
    <w:p>
      <w:pPr>
        <w:spacing w:line="360" w:lineRule="auto"/>
        <w:jc w:val="both"/>
        <w:rPr>
          <w:highlight w:val="none"/>
          <w:lang w:eastAsia="zh-CN"/>
        </w:rPr>
      </w:pPr>
    </w:p>
    <w:p>
      <w:pPr>
        <w:spacing w:line="360" w:lineRule="auto"/>
        <w:jc w:val="both"/>
        <w:rPr>
          <w:rFonts w:ascii="Book Antiqua" w:hAnsi="Book Antiqua" w:cs="Book Antiqua"/>
          <w:i/>
          <w:color w:val="000000"/>
          <w:highlight w:val="none"/>
          <w:lang w:eastAsia="zh-CN"/>
        </w:rPr>
      </w:pPr>
      <w:r>
        <w:rPr>
          <w:rFonts w:ascii="Book Antiqua" w:hAnsi="Book Antiqua" w:eastAsia="Book Antiqua" w:cs="Book Antiqua"/>
          <w:b/>
          <w:bCs/>
          <w:i/>
          <w:color w:val="000000"/>
          <w:highlight w:val="none"/>
        </w:rPr>
        <w:t>Linkage and association analysis</w:t>
      </w:r>
    </w:p>
    <w:p>
      <w:pPr>
        <w:spacing w:line="360" w:lineRule="auto"/>
        <w:jc w:val="both"/>
        <w:rPr>
          <w:highlight w:val="none"/>
        </w:rPr>
      </w:pPr>
      <w:r>
        <w:rPr>
          <w:rFonts w:ascii="Book Antiqua" w:hAnsi="Book Antiqua" w:eastAsia="Book Antiqua" w:cs="Book Antiqua"/>
          <w:color w:val="000000"/>
          <w:highlight w:val="none"/>
        </w:rPr>
        <w:t>Linkage studies have been used for mapping of genes for heritable traits to their chromosomal locations. 1</w:t>
      </w:r>
      <w:r>
        <w:rPr>
          <w:rFonts w:ascii="Book Antiqua" w:hAnsi="Book Antiqua" w:eastAsia="Book Antiqua" w:cs="Book Antiqua"/>
          <w:color w:val="000000"/>
          <w:szCs w:val="20"/>
          <w:highlight w:val="none"/>
          <w:vertAlign w:val="superscript"/>
        </w:rPr>
        <w:t>st</w:t>
      </w:r>
      <w:r>
        <w:rPr>
          <w:rFonts w:ascii="Book Antiqua" w:hAnsi="Book Antiqua" w:eastAsia="Book Antiqua" w:cs="Book Antiqua"/>
          <w:color w:val="000000"/>
          <w:highlight w:val="none"/>
        </w:rPr>
        <w:t xml:space="preserve"> genetic linkage map was done in 1911 by Sturtevant</w:t>
      </w:r>
      <w:r>
        <w:rPr>
          <w:rFonts w:hint="eastAsia" w:ascii="Book Antiqua" w:hAnsi="Book Antiqua" w:cs="Book Antiqua"/>
          <w:color w:val="000000"/>
          <w:highlight w:val="none"/>
          <w:lang w:eastAsia="zh-CN"/>
        </w:rPr>
        <w:t xml:space="preserve"> A</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Parametric linkage analysis is used to map the disease-causing gene for monogenic diseases. Here, the logarithm of the odds (LOD) scores and recombination fractions are used to map the gene location. Model-free linkage analysis or non-parametric linkage analysis is used for complex or polygenic diseases, or when the model of inheritance is not known</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Linkage analysis of the whole genome can identify large regions of the chromosome with evidence of disease containing the gene</w:t>
      </w:r>
      <w:r>
        <w:rPr>
          <w:rFonts w:ascii="Book Antiqua" w:hAnsi="Book Antiqua" w:eastAsia="Book Antiqua" w:cs="Book Antiqua"/>
          <w:color w:val="000000"/>
          <w:highlight w:val="none"/>
          <w:vertAlign w:val="superscript"/>
        </w:rPr>
        <w:t>[19,20]</w:t>
      </w:r>
      <w:r>
        <w:rPr>
          <w:rFonts w:ascii="Book Antiqua" w:hAnsi="Book Antiqua" w:eastAsia="Book Antiqua" w:cs="Book Antiqua"/>
          <w:color w:val="000000"/>
          <w:highlight w:val="none"/>
        </w:rPr>
        <w:t>, but this large span of chromosomes can have hundreds of candidate genes.</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Linkage studies have been used for mapping Mendelian traits with high penetrance in families and relatives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They are especially useful to identify rare alleles that are present in a small number of families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for disease genes with weak effects and polygenic diseases, linkage disequilibrium association mapping has proved to be more useful. In </w:t>
      </w:r>
      <w:r>
        <w:rPr>
          <w:rFonts w:ascii="Book Antiqua" w:hAnsi="Book Antiqua" w:eastAsia="Book Antiqua" w:cs="Book Antiqua"/>
          <w:bCs/>
          <w:color w:val="000000"/>
          <w:highlight w:val="none"/>
        </w:rPr>
        <w:t>genome-wide association studies (GWAS),</w:t>
      </w:r>
      <w:r>
        <w:rPr>
          <w:rFonts w:ascii="Book Antiqua" w:hAnsi="Book Antiqua" w:eastAsia="Book Antiqua" w:cs="Book Antiqua"/>
          <w:color w:val="000000"/>
          <w:highlight w:val="none"/>
        </w:rPr>
        <w:t xml:space="preserve"> genotyping of hundreds or thousands of SNPs is done in cases and control populations and their association with heritability is analyzed.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 combination of linkage and association methodologies helps to identify and characterize the wider range of disease-susceptibility variants</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bCs/>
          <w:color w:val="000000"/>
          <w:highlight w:val="none"/>
        </w:rPr>
        <w:t>Fluorescence in Situ Hybridization (FISH)</w:t>
      </w:r>
      <w:r>
        <w:rPr>
          <w:rFonts w:ascii="Book Antiqua" w:hAnsi="Book Antiqua" w:eastAsia="Book Antiqua" w:cs="Book Antiqua"/>
          <w:color w:val="000000"/>
          <w:highlight w:val="none"/>
        </w:rPr>
        <w:t xml:space="preserve"> was developed in 1987. It is a cytogenetic technique which uses fluorescent DNA probes which are designed to label precise chromosomal locations. The advantage of FISH over conventional cytogenetic metaphase karyotype analysis is lack of cell culture requirement. It can rapidly evaluate interphase nuclei in the fresh or paraffin-embedded sample</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However, the resolution of this technique is only as good as that of karyotype bands. Cloned DNA FISH probes of about 100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kb, called bacterial artificial chromosomes, are now available. FISH is being utilized more in making clinical diagnosis among Oncology due to its simplicity and reliability to evaluate the key biomarkers in various malignancies.</w:t>
      </w:r>
    </w:p>
    <w:p>
      <w:pPr>
        <w:spacing w:line="360" w:lineRule="auto"/>
        <w:jc w:val="both"/>
        <w:rPr>
          <w:highlight w:val="none"/>
          <w:lang w:eastAsia="zh-CN"/>
        </w:rPr>
      </w:pPr>
    </w:p>
    <w:p>
      <w:pPr>
        <w:spacing w:line="360" w:lineRule="auto"/>
        <w:jc w:val="both"/>
        <w:rPr>
          <w:rFonts w:ascii="Book Antiqua" w:hAnsi="Book Antiqua" w:cs="Book Antiqua"/>
          <w:i/>
          <w:color w:val="000000"/>
          <w:highlight w:val="none"/>
          <w:lang w:eastAsia="zh-CN"/>
        </w:rPr>
      </w:pPr>
      <w:r>
        <w:rPr>
          <w:rFonts w:ascii="Book Antiqua" w:hAnsi="Book Antiqua" w:eastAsia="Book Antiqua" w:cs="Book Antiqua"/>
          <w:b/>
          <w:bCs/>
          <w:i/>
          <w:color w:val="000000"/>
          <w:highlight w:val="none"/>
        </w:rPr>
        <w:t>Comparative genomic hybridization</w:t>
      </w:r>
    </w:p>
    <w:p>
      <w:pPr>
        <w:spacing w:line="360" w:lineRule="auto"/>
        <w:jc w:val="both"/>
        <w:rPr>
          <w:highlight w:val="none"/>
          <w:lang w:eastAsia="zh-CN"/>
        </w:rPr>
      </w:pPr>
      <w:r>
        <w:rPr>
          <w:rFonts w:ascii="Book Antiqua" w:hAnsi="Book Antiqua" w:eastAsia="Book Antiqua" w:cs="Book Antiqua"/>
          <w:color w:val="000000"/>
          <w:highlight w:val="none"/>
        </w:rPr>
        <w:t>Comparative genomic hybridization (CGH) was developed in 1992. CGH can detect DNA copy number changes across the entire genome of a patient sample in a single experiment. It compares the hybridization signal intensity of a test sample (for example tumor sample) against a reference sample along the chromosomes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HapMap and 1000 Genome projects have created a catalog of SNPs</w:t>
      </w:r>
    </w:p>
    <w:p>
      <w:pPr>
        <w:spacing w:line="360" w:lineRule="auto"/>
        <w:jc w:val="both"/>
        <w:rPr>
          <w:highlight w:val="none"/>
        </w:rPr>
      </w:pPr>
      <w:r>
        <w:rPr>
          <w:rFonts w:ascii="Book Antiqua" w:hAnsi="Book Antiqua" w:eastAsia="Book Antiqua" w:cs="Book Antiqua"/>
          <w:color w:val="000000"/>
          <w:highlight w:val="none"/>
        </w:rPr>
        <w:t>The HapMap project was started in 2002 to develop a haplotype map of the human genome. It can also describe the common patterns of human genetic variation</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The 1000 Genomes Project comprised a total of 26 diverse population set in which whole-genome sequencing was performed. It also used deep exome sequencing and dense microarray genotyping to give a comprehensive description of common human genetic variation</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Targeted genome editing or genome engineering</w:t>
      </w:r>
    </w:p>
    <w:p>
      <w:pPr>
        <w:spacing w:line="360" w:lineRule="auto"/>
        <w:jc w:val="both"/>
        <w:rPr>
          <w:highlight w:val="none"/>
        </w:rPr>
      </w:pPr>
      <w:r>
        <w:rPr>
          <w:rFonts w:ascii="Book Antiqua" w:hAnsi="Book Antiqua" w:eastAsia="Book Antiqua" w:cs="Book Antiqua"/>
          <w:color w:val="000000"/>
          <w:highlight w:val="none"/>
        </w:rPr>
        <w:t>It involves modification of the genome at a precise, prespecified locus using programmable nucleases. Examples of some of the programmable nucleases include zinc-finger nucleases (ZFNs), transcription activator-like effector nucleases (TALENs), and clustered regularly interspaced short palindromic repeat (CRISPR)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Cas (CRISPR-associated) system. These programmable nucleases are designed to impart site-specific double-strand breaks (dsBs) in chromosomal DNA. The cell is therefore forced to use one of the endogenous DNA repair mechanisms </w:t>
      </w:r>
      <w:bookmarkStart w:id="3" w:name="_Hlk61967700"/>
      <w:r>
        <w:rPr>
          <w:rFonts w:ascii="Book Antiqua" w:hAnsi="Book Antiqua" w:eastAsia="Book Antiqua" w:cs="Book Antiqua"/>
          <w:bCs/>
          <w:color w:val="000000"/>
          <w:highlight w:val="none"/>
        </w:rPr>
        <w:t>—</w:t>
      </w:r>
      <w:bookmarkEnd w:id="3"/>
      <w:r>
        <w:rPr>
          <w:rFonts w:ascii="Book Antiqua" w:hAnsi="Book Antiqua" w:eastAsia="Book Antiqua" w:cs="Book Antiqua"/>
          <w:color w:val="000000"/>
          <w:highlight w:val="none"/>
        </w:rPr>
        <w:t xml:space="preserve"> homologous recombination or homology-directed repair (HDR) and nonhomologous end-joining (NHEJ). This enables targeted genetic modifications during the repair process in the living cells (</w:t>
      </w:r>
      <w:r>
        <w:rPr>
          <w:rFonts w:ascii="Book Antiqua" w:hAnsi="Book Antiqua" w:eastAsia="Book Antiqua" w:cs="Book Antiqua"/>
          <w:i/>
          <w:color w:val="000000"/>
          <w:highlight w:val="none"/>
        </w:rPr>
        <w:t>in vivo</w:t>
      </w:r>
      <w:r>
        <w:rPr>
          <w:rFonts w:ascii="Book Antiqua" w:hAnsi="Book Antiqua" w:eastAsia="Book Antiqua" w:cs="Book Antiqua"/>
          <w:color w:val="000000"/>
          <w:highlight w:val="none"/>
        </w:rPr>
        <w:t>) (Table 1)</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ZFNs and TALENS recognize the target sequence through protein-DNA interaction. CRISPR-Cas nucleases recognize target sequences through RNA and DNA base pairing</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In the year 2013, Cong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and Mali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showed successful genome editing in mammalian cells using the CRISPR system. In the last 5 years, we have seen a leap in the research interest (both animal and human) in CRISPR genomic editing.</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While genome editing holds promise to correct the defective genome in vivo, therapies can also be designed to alter the gene expression without altering the genomic code. For example, anti-sense oligonucleotide can be used to alter the splice points of pre-mRNA to correct for a defective gene or suppress its expression. Examples of drugs which use splice modulation and approved by Food and Drug Administration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FDA</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are Eteplirsen (exon skipping, approved for Duchenne muscular dystrophy) and nusinersen (exon inclusion, approved for spinal muscular atrophy)</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Table 1 summarizes the commonly used genomic tools, their working principle, advantages/applications and limitations (see Table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 Table 2 summarizes the major genome/gene editing tools their working principle, advantages/applications and limitations. Table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 summarizes gene-based therapies that are either FDA approved therapies or investigational therapies showing promise.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Discussion</w:t>
      </w:r>
    </w:p>
    <w:p>
      <w:pPr>
        <w:spacing w:line="360" w:lineRule="auto"/>
        <w:jc w:val="both"/>
        <w:rPr>
          <w:highlight w:val="none"/>
          <w:lang w:eastAsia="zh-CN"/>
        </w:rPr>
      </w:pPr>
      <w:r>
        <w:rPr>
          <w:rFonts w:ascii="Book Antiqua" w:hAnsi="Book Antiqua" w:eastAsia="Book Antiqua" w:cs="Book Antiqua"/>
          <w:color w:val="000000"/>
          <w:highlight w:val="none"/>
        </w:rPr>
        <w:t>The newer genomic technology and tools have broadened the scope and pushed the time limits for development of new diagnostic kits, preventive strategies like vaccines, therapeutic strategies like gene modulation and gene therapy. A lot is yet to be studied in terms of the complex interaction of gene-environment-lifestyle-disease. Knowing the impact of genomics on disease pathophysiology and response to medications</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expands the scope of research and clinical application.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While genome editing holds promise to correct the defective genome in vivo, therapies can also be designed to alter the gene expression without altering the genomic code (example exon skipping, or inclusion discussed above).</w:t>
      </w:r>
    </w:p>
    <w:p>
      <w:pPr>
        <w:spacing w:line="360" w:lineRule="auto"/>
        <w:ind w:firstLine="240" w:firstLineChars="100"/>
        <w:jc w:val="both"/>
        <w:rPr>
          <w:highlight w:val="none"/>
        </w:rPr>
      </w:pPr>
      <w:r>
        <w:rPr>
          <w:rFonts w:ascii="Book Antiqua" w:hAnsi="Book Antiqua" w:eastAsia="Book Antiqua" w:cs="Book Antiqua"/>
          <w:color w:val="000000"/>
          <w:highlight w:val="none"/>
        </w:rPr>
        <w:t>The newer genomic editing tools have showed great potential and promise but they need to be studied extensively before clinical application. Also, uniform international ethical guidelines and guiding principles need to be established so that these genomic technologies are not misused.</w:t>
      </w:r>
    </w:p>
    <w:p>
      <w:pPr>
        <w:spacing w:line="360" w:lineRule="auto"/>
        <w:ind w:firstLine="240" w:firstLineChars="100"/>
        <w:jc w:val="both"/>
        <w:rPr>
          <w:highlight w:val="none"/>
        </w:rPr>
      </w:pPr>
      <w:r>
        <w:rPr>
          <w:rFonts w:ascii="Book Antiqua" w:hAnsi="Book Antiqua" w:eastAsia="Book Antiqua" w:cs="Book Antiqua"/>
          <w:color w:val="000000"/>
          <w:highlight w:val="none"/>
        </w:rPr>
        <w:t>It is very important to include diverse populations and to represent minority population in the genomic studies, so that results could be generalized and more accurate diagnostic, predictive and therapeutic tools can be developed.</w:t>
      </w:r>
    </w:p>
    <w:p>
      <w:pPr>
        <w:spacing w:line="360" w:lineRule="auto"/>
        <w:ind w:firstLine="240" w:firstLineChars="100"/>
        <w:jc w:val="both"/>
        <w:rPr>
          <w:highlight w:val="none"/>
        </w:rPr>
      </w:pPr>
      <w:r>
        <w:rPr>
          <w:rFonts w:ascii="Book Antiqua" w:hAnsi="Book Antiqua" w:eastAsia="Book Antiqua" w:cs="Book Antiqua"/>
          <w:color w:val="000000"/>
          <w:highlight w:val="none"/>
        </w:rPr>
        <w:t>Genomics in medicine is indeed a new era in medicine. Even the control of coronavirus disease 2019 pandemic</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has just begun at the time of writing of this article with gene based therapies eliciting immune response against severe acute respiratory syndrome coronavirus 2 spike proteins. A unified international collaboration</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xml:space="preserve"> is needed to continue expanding gene therapy use in opening new frontiers for fight against novel infections and disease.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lang w:eastAsia="zh-CN"/>
        </w:rPr>
      </w:pPr>
      <w:r>
        <w:rPr>
          <w:rFonts w:ascii="Book Antiqua" w:hAnsi="Book Antiqua" w:eastAsia="Book Antiqua" w:cs="Book Antiqua"/>
          <w:color w:val="000000"/>
          <w:highlight w:val="none"/>
        </w:rPr>
        <w:t>Genomic medicine holds great promise for providing insight into disease pathophysiology, provide better diagnostic or disease predictive tools, preventive therapies and finally for targeted treatment of diseases. Although some of the newer tools (like CRISPR system) have great potential, more research is needed before these tools can be unleashed to clinical use. Hence there is great need for studies to unravel the mystery of complex interaction of both coding and noncoding genomic regions with environment and lifestyle influences on disease occurrence and management.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4" w:name="OLE_LINK23"/>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Watson JD</w:t>
      </w:r>
      <w:r>
        <w:rPr>
          <w:rFonts w:ascii="Book Antiqua" w:hAnsi="Book Antiqua" w:eastAsia="Book Antiqua" w:cs="Book Antiqua"/>
          <w:color w:val="000000"/>
          <w:highlight w:val="none"/>
        </w:rPr>
        <w:t xml:space="preserve">, Crick FH. The structure of DNA. </w:t>
      </w:r>
      <w:r>
        <w:rPr>
          <w:rFonts w:ascii="Book Antiqua" w:hAnsi="Book Antiqua" w:eastAsia="Book Antiqua" w:cs="Book Antiqua"/>
          <w:i/>
          <w:iCs/>
          <w:color w:val="000000"/>
          <w:highlight w:val="none"/>
        </w:rPr>
        <w:t>Cold Spring Harb Symp Quant Biol</w:t>
      </w:r>
      <w:r>
        <w:rPr>
          <w:rFonts w:ascii="Book Antiqua" w:hAnsi="Book Antiqua" w:eastAsia="Book Antiqua" w:cs="Book Antiqua"/>
          <w:color w:val="000000"/>
          <w:highlight w:val="none"/>
        </w:rPr>
        <w:t xml:space="preserve"> 1953;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123-131 [PMID: 13168976 DOI: 10.1101/sqb.1953.018.01.020]</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McKusick VA</w:t>
      </w:r>
      <w:r>
        <w:rPr>
          <w:rFonts w:ascii="Book Antiqua" w:hAnsi="Book Antiqua" w:eastAsia="Book Antiqua" w:cs="Book Antiqua"/>
          <w:color w:val="000000"/>
          <w:highlight w:val="none"/>
        </w:rPr>
        <w:t xml:space="preserve">. Mendelian Inheritance in Man and its online version, OMIM. </w:t>
      </w:r>
      <w:r>
        <w:rPr>
          <w:rFonts w:ascii="Book Antiqua" w:hAnsi="Book Antiqua" w:eastAsia="Book Antiqua" w:cs="Book Antiqua"/>
          <w:i/>
          <w:iCs/>
          <w:color w:val="000000"/>
          <w:highlight w:val="none"/>
        </w:rPr>
        <w:t>Am J Hum Genet</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588-604 [PMID: 17357067 DOI: 10.1086/514346]</w:t>
      </w:r>
    </w:p>
    <w:p>
      <w:pPr>
        <w:spacing w:line="360" w:lineRule="auto"/>
        <w:jc w:val="both"/>
        <w:rPr>
          <w:highlight w:val="none"/>
          <w:lang w:eastAsia="zh-CN"/>
        </w:rPr>
      </w:pPr>
      <w:r>
        <w:rPr>
          <w:rFonts w:ascii="Book Antiqua" w:hAnsi="Book Antiqua" w:eastAsia="Book Antiqua" w:cs="Book Antiqua"/>
          <w:color w:val="000000"/>
          <w:highlight w:val="none"/>
        </w:rPr>
        <w:t xml:space="preserve">3 </w:t>
      </w:r>
      <w:r>
        <w:rPr>
          <w:rFonts w:ascii="Book Antiqua" w:hAnsi="Book Antiqua" w:eastAsia="Book Antiqua" w:cs="Book Antiqua"/>
          <w:b/>
          <w:color w:val="000000"/>
          <w:highlight w:val="none"/>
        </w:rPr>
        <w:t>Johns Hopkins University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OMIM Gene Map Statistics</w:t>
      </w:r>
      <w:r>
        <w:rPr>
          <w:rFonts w:hint="eastAsia" w:ascii="Book Antiqua" w:hAnsi="Book Antiqua" w:cs="Book Antiqua"/>
          <w:bCs/>
          <w:color w:val="000000"/>
          <w:highlight w:val="none"/>
          <w:lang w:eastAsia="zh-CN"/>
        </w:rPr>
        <w:t xml:space="preserve">. [cited 20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In</w:t>
      </w:r>
      <w:r>
        <w:rPr>
          <w:rFonts w:ascii="Book Antiqua" w:hAnsi="Book Antiqua" w:eastAsia="Book Antiqua" w:cs="Book Antiqua"/>
          <w:color w:val="000000"/>
          <w:highlight w:val="none"/>
        </w:rPr>
        <w:t>: Johns Hopkins University</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Available from: https://www.omim.org/statistics/geneMap</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Ling H</w:t>
      </w:r>
      <w:r>
        <w:rPr>
          <w:rFonts w:ascii="Book Antiqua" w:hAnsi="Book Antiqua" w:eastAsia="Book Antiqua" w:cs="Book Antiqua"/>
          <w:color w:val="000000"/>
          <w:highlight w:val="none"/>
        </w:rPr>
        <w:t xml:space="preserve">, Vincent K, Pichler M, Fodde R, Berindan-Neagoe I, Slack FJ, Calin GA. Junk DNA and the long non-coding RNA twist in cancer genetics. </w:t>
      </w:r>
      <w:r>
        <w:rPr>
          <w:rFonts w:ascii="Book Antiqua" w:hAnsi="Book Antiqua" w:eastAsia="Book Antiqua" w:cs="Book Antiqua"/>
          <w:i/>
          <w:iCs/>
          <w:color w:val="000000"/>
          <w:highlight w:val="none"/>
        </w:rPr>
        <w:t>Oncogene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5003-5011 [PMID: 25619839 DOI: 10.1038/onc.2014.456]</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Gloss BS</w:t>
      </w:r>
      <w:r>
        <w:rPr>
          <w:rFonts w:ascii="Book Antiqua" w:hAnsi="Book Antiqua" w:eastAsia="Book Antiqua" w:cs="Book Antiqua"/>
          <w:color w:val="000000"/>
          <w:highlight w:val="none"/>
        </w:rPr>
        <w:t xml:space="preserve">, Dinger ME. Realizing the significance of noncoding functionality in clinical genomics. </w:t>
      </w:r>
      <w:r>
        <w:rPr>
          <w:rFonts w:ascii="Book Antiqua" w:hAnsi="Book Antiqua" w:eastAsia="Book Antiqua" w:cs="Book Antiqua"/>
          <w:i/>
          <w:iCs/>
          <w:color w:val="000000"/>
          <w:highlight w:val="none"/>
        </w:rPr>
        <w:t>Exp Mol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1-8 [PMID: 30089779 DOI: 10.1038/s12276-018-0087-0]</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Suntsova MV</w:t>
      </w:r>
      <w:r>
        <w:rPr>
          <w:rFonts w:ascii="Book Antiqua" w:hAnsi="Book Antiqua" w:eastAsia="Book Antiqua" w:cs="Book Antiqua"/>
          <w:color w:val="000000"/>
          <w:highlight w:val="none"/>
        </w:rPr>
        <w:t xml:space="preserve">, Buzdin AA. Differences between human and chimpanzee genomes and their implications in gene expression, protein functions and biochemical properties of the two species. </w:t>
      </w:r>
      <w:r>
        <w:rPr>
          <w:rFonts w:ascii="Book Antiqua" w:hAnsi="Book Antiqua" w:eastAsia="Book Antiqua" w:cs="Book Antiqua"/>
          <w:i/>
          <w:iCs/>
          <w:color w:val="000000"/>
          <w:highlight w:val="none"/>
        </w:rPr>
        <w:t>BMC Genomics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535 [PMID: 32912141 DOI: 10.1186/s12864-020-06962-8]</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Gyles C</w:t>
      </w:r>
      <w:r>
        <w:rPr>
          <w:rFonts w:ascii="Book Antiqua" w:hAnsi="Book Antiqua" w:eastAsia="Book Antiqua" w:cs="Book Antiqua"/>
          <w:color w:val="000000"/>
          <w:highlight w:val="none"/>
        </w:rPr>
        <w:t xml:space="preserve">. The DNA revolution. </w:t>
      </w:r>
      <w:r>
        <w:rPr>
          <w:rFonts w:ascii="Book Antiqua" w:hAnsi="Book Antiqua" w:eastAsia="Book Antiqua" w:cs="Book Antiqua"/>
          <w:i/>
          <w:iCs/>
          <w:color w:val="000000"/>
          <w:highlight w:val="none"/>
        </w:rPr>
        <w:t>Can Vet J</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745-746 [PMID: 18978969]</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Maxam AM</w:t>
      </w:r>
      <w:r>
        <w:rPr>
          <w:rFonts w:ascii="Book Antiqua" w:hAnsi="Book Antiqua" w:eastAsia="Book Antiqua" w:cs="Book Antiqua"/>
          <w:color w:val="000000"/>
          <w:highlight w:val="none"/>
        </w:rPr>
        <w:t xml:space="preserve">, Gilbert W. A new method for sequencing DNA.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1977;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560-564 [PMID: 265521 DOI: 10.1073/pnas.74.2.560]</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Sanger F</w:t>
      </w:r>
      <w:r>
        <w:rPr>
          <w:rFonts w:ascii="Book Antiqua" w:hAnsi="Book Antiqua" w:eastAsia="Book Antiqua" w:cs="Book Antiqua"/>
          <w:color w:val="000000"/>
          <w:highlight w:val="none"/>
        </w:rPr>
        <w:t xml:space="preserve">, Nicklen S, Coulson AR. DNA sequencing with chain-terminating inhibitors.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1977;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5463-5467 [PMID: 271968 DOI: 10.1073/pnas.74.12.5463]</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Reuter JA</w:t>
      </w:r>
      <w:r>
        <w:rPr>
          <w:rFonts w:ascii="Book Antiqua" w:hAnsi="Book Antiqua" w:eastAsia="Book Antiqua" w:cs="Book Antiqua"/>
          <w:color w:val="000000"/>
          <w:highlight w:val="none"/>
        </w:rPr>
        <w:t xml:space="preserve">, Spacek DV, Snyder MP. High-throughput sequencing technologies. </w:t>
      </w:r>
      <w:r>
        <w:rPr>
          <w:rFonts w:ascii="Book Antiqua" w:hAnsi="Book Antiqua" w:eastAsia="Book Antiqua" w:cs="Book Antiqua"/>
          <w:i/>
          <w:iCs/>
          <w:color w:val="000000"/>
          <w:highlight w:val="none"/>
        </w:rPr>
        <w:t>Mol Cell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586-597 [PMID: 26000844 DOI: 10.1016/j.molcel.2015.05.004]</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Shen LX</w:t>
      </w:r>
      <w:r>
        <w:rPr>
          <w:rFonts w:ascii="Book Antiqua" w:hAnsi="Book Antiqua" w:eastAsia="Book Antiqua" w:cs="Book Antiqua"/>
          <w:color w:val="000000"/>
          <w:highlight w:val="none"/>
        </w:rPr>
        <w:t xml:space="preserve">, Basilion JP, Stanton VP Jr. Single-nucleotide polymorphisms can cause different structural folds of mRNA. </w:t>
      </w:r>
      <w:r>
        <w:rPr>
          <w:rFonts w:ascii="Book Antiqua" w:hAnsi="Book Antiqua" w:eastAsia="Book Antiqua" w:cs="Book Antiqua"/>
          <w:i/>
          <w:iCs/>
          <w:color w:val="000000"/>
          <w:highlight w:val="none"/>
        </w:rPr>
        <w:t>Proc Natl Acad Sci U S A</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96</w:t>
      </w:r>
      <w:r>
        <w:rPr>
          <w:rFonts w:ascii="Book Antiqua" w:hAnsi="Book Antiqua" w:eastAsia="Book Antiqua" w:cs="Book Antiqua"/>
          <w:color w:val="000000"/>
          <w:highlight w:val="none"/>
        </w:rPr>
        <w:t>: 7871-7876 [PMID: 10393914 DOI: 10.1073/pnas.96.14.7871]</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Gray IC</w:t>
      </w:r>
      <w:r>
        <w:rPr>
          <w:rFonts w:ascii="Book Antiqua" w:hAnsi="Book Antiqua" w:eastAsia="Book Antiqua" w:cs="Book Antiqua"/>
          <w:color w:val="000000"/>
          <w:highlight w:val="none"/>
        </w:rPr>
        <w:t xml:space="preserve">, Campbell DA, Spurr NK. Single nucleotide polymorphisms as tools in human genetics. </w:t>
      </w:r>
      <w:r>
        <w:rPr>
          <w:rFonts w:ascii="Book Antiqua" w:hAnsi="Book Antiqua" w:eastAsia="Book Antiqua" w:cs="Book Antiqua"/>
          <w:i/>
          <w:iCs/>
          <w:color w:val="000000"/>
          <w:highlight w:val="none"/>
        </w:rPr>
        <w:t>Hum Mol Genet</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2403-2408 [PMID: 11005795 DOI: 10.1093/hmg/9.16.2403]</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Mao X</w:t>
      </w:r>
      <w:r>
        <w:rPr>
          <w:rFonts w:ascii="Book Antiqua" w:hAnsi="Book Antiqua" w:eastAsia="Book Antiqua" w:cs="Book Antiqua"/>
          <w:color w:val="000000"/>
          <w:highlight w:val="none"/>
        </w:rPr>
        <w:t xml:space="preserve">, Young BD, Lu YJ. The application of single nucleotide polymorphism microarrays in cancer research. </w:t>
      </w:r>
      <w:r>
        <w:rPr>
          <w:rFonts w:ascii="Book Antiqua" w:hAnsi="Book Antiqua" w:eastAsia="Book Antiqua" w:cs="Book Antiqua"/>
          <w:i/>
          <w:iCs/>
          <w:color w:val="000000"/>
          <w:highlight w:val="none"/>
        </w:rPr>
        <w:t>Curr Genomics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219-228 [PMID: 18645599 DOI: 10.2174/138920207781386924]</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Sato-Otsubo A</w:t>
      </w:r>
      <w:r>
        <w:rPr>
          <w:rFonts w:ascii="Book Antiqua" w:hAnsi="Book Antiqua" w:eastAsia="Book Antiqua" w:cs="Book Antiqua"/>
          <w:color w:val="000000"/>
          <w:highlight w:val="none"/>
        </w:rPr>
        <w:t xml:space="preserve">, Sanada M, Ogawa S. Single-nucleotide polymorphism array karyotyping in clinical practice: where, when, and how? </w:t>
      </w:r>
      <w:r>
        <w:rPr>
          <w:rFonts w:ascii="Book Antiqua" w:hAnsi="Book Antiqua" w:eastAsia="Book Antiqua" w:cs="Book Antiqua"/>
          <w:i/>
          <w:iCs/>
          <w:color w:val="000000"/>
          <w:highlight w:val="none"/>
        </w:rPr>
        <w:t>Semin Oncol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13-25 [PMID: 22289488 DOI: 10.1053/j.seminoncol.2011.11.010]</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Fairfax MR</w:t>
      </w:r>
      <w:r>
        <w:rPr>
          <w:rFonts w:ascii="Book Antiqua" w:hAnsi="Book Antiqua" w:eastAsia="Book Antiqua" w:cs="Book Antiqua"/>
          <w:color w:val="000000"/>
          <w:highlight w:val="none"/>
        </w:rPr>
        <w:t xml:space="preserve">, Salimnia H. Diagnostic molecular microbiology: a 2013 snapshot. </w:t>
      </w:r>
      <w:r>
        <w:rPr>
          <w:rFonts w:ascii="Book Antiqua" w:hAnsi="Book Antiqua" w:eastAsia="Book Antiqua" w:cs="Book Antiqua"/>
          <w:i/>
          <w:iCs/>
          <w:color w:val="000000"/>
          <w:highlight w:val="none"/>
        </w:rPr>
        <w:t>Clin Lab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787-803 [PMID: 24267186 DOI: 10.1016/j.cll.2013.08.003]</w:t>
      </w:r>
    </w:p>
    <w:p>
      <w:pPr>
        <w:spacing w:line="360" w:lineRule="auto"/>
        <w:jc w:val="both"/>
        <w:rPr>
          <w:highlight w:val="none"/>
          <w:lang w:eastAsia="zh-CN"/>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Wages JM</w:t>
      </w:r>
      <w:r>
        <w:rPr>
          <w:rFonts w:ascii="Book Antiqua" w:hAnsi="Book Antiqua" w:eastAsia="Book Antiqua" w:cs="Book Antiqua"/>
          <w:bCs/>
          <w:color w:val="000000"/>
          <w:highlight w:val="none"/>
        </w:rPr>
        <w:t>. Polymerase Chain Reaction. In: Worsfold P,</w:t>
      </w:r>
      <w:r>
        <w:rPr>
          <w:rFonts w:ascii="Book Antiqua" w:hAnsi="Book Antiqua" w:eastAsia="Book Antiqua" w:cs="Book Antiqua"/>
          <w:color w:val="000000"/>
          <w:highlight w:val="none"/>
        </w:rPr>
        <w:t xml:space="preserve"> Townshend A, Poole C. Encyclopedia of Analytical Science. Oxford: Elsevier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2005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243-</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50</w:t>
      </w:r>
    </w:p>
    <w:p>
      <w:pPr>
        <w:spacing w:line="360" w:lineRule="auto"/>
        <w:jc w:val="both"/>
        <w:rPr>
          <w:highlight w:val="none"/>
          <w:lang w:eastAsia="zh-CN"/>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Griffiths AJ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Miller JH, Suzuki DT, Lewontin RC, Gelbart WM. An Introduction to Genetic Analysis - NCBI Bookshelf. 7</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 New York: W. H. Freeman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2000</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Dawn Teare M</w:t>
      </w:r>
      <w:r>
        <w:rPr>
          <w:rFonts w:ascii="Book Antiqua" w:hAnsi="Book Antiqua" w:eastAsia="Book Antiqua" w:cs="Book Antiqua"/>
          <w:color w:val="000000"/>
          <w:highlight w:val="none"/>
        </w:rPr>
        <w:t xml:space="preserve">, Barrett JH. Genetic linkage studies.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366</w:t>
      </w:r>
      <w:r>
        <w:rPr>
          <w:rFonts w:ascii="Book Antiqua" w:hAnsi="Book Antiqua" w:eastAsia="Book Antiqua" w:cs="Book Antiqua"/>
          <w:color w:val="000000"/>
          <w:highlight w:val="none"/>
        </w:rPr>
        <w:t>: 1036-1044 [PMID: 16168786 DOI: 10.1016/S0140-6736(05)67382-5]</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Ott J</w:t>
      </w:r>
      <w:r>
        <w:rPr>
          <w:rFonts w:ascii="Book Antiqua" w:hAnsi="Book Antiqua" w:eastAsia="Book Antiqua" w:cs="Book Antiqua"/>
          <w:color w:val="000000"/>
          <w:highlight w:val="none"/>
        </w:rPr>
        <w:t xml:space="preserve">, Wang J, Leal SM. Genetic linkage analysis in the age of whole-genome sequencing. </w:t>
      </w:r>
      <w:r>
        <w:rPr>
          <w:rFonts w:ascii="Book Antiqua" w:hAnsi="Book Antiqua" w:eastAsia="Book Antiqua" w:cs="Book Antiqua"/>
          <w:i/>
          <w:iCs/>
          <w:color w:val="000000"/>
          <w:highlight w:val="none"/>
        </w:rPr>
        <w:t>Nat Rev Genet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275-284 [PMID: 25824869 DOI: 10.1038/nrg3908]</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Pulst SM</w:t>
      </w:r>
      <w:r>
        <w:rPr>
          <w:rFonts w:ascii="Book Antiqua" w:hAnsi="Book Antiqua" w:eastAsia="Book Antiqua" w:cs="Book Antiqua"/>
          <w:color w:val="000000"/>
          <w:highlight w:val="none"/>
        </w:rPr>
        <w:t xml:space="preserve">. Genetic linkage analysis. </w:t>
      </w:r>
      <w:r>
        <w:rPr>
          <w:rFonts w:ascii="Book Antiqua" w:hAnsi="Book Antiqua" w:eastAsia="Book Antiqua" w:cs="Book Antiqua"/>
          <w:i/>
          <w:iCs/>
          <w:color w:val="000000"/>
          <w:highlight w:val="none"/>
        </w:rPr>
        <w:t>Arch Neurol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667-672 [PMID: 10369304 DOI: 10.1001/archneur.56.6.667]</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Hinrichs AL</w:t>
      </w:r>
      <w:r>
        <w:rPr>
          <w:rFonts w:ascii="Book Antiqua" w:hAnsi="Book Antiqua" w:eastAsia="Book Antiqua" w:cs="Book Antiqua"/>
          <w:color w:val="000000"/>
          <w:highlight w:val="none"/>
        </w:rPr>
        <w:t xml:space="preserve">, Suarez BK. Incorporating linkage information into a common disease/rare variant framework. </w:t>
      </w:r>
      <w:r>
        <w:rPr>
          <w:rFonts w:ascii="Book Antiqua" w:hAnsi="Book Antiqua" w:eastAsia="Book Antiqua" w:cs="Book Antiqua"/>
          <w:i/>
          <w:iCs/>
          <w:color w:val="000000"/>
          <w:highlight w:val="none"/>
        </w:rPr>
        <w:t>Genet Epidemiol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35 Suppl 1</w:t>
      </w:r>
      <w:r>
        <w:rPr>
          <w:rFonts w:ascii="Book Antiqua" w:hAnsi="Book Antiqua" w:eastAsia="Book Antiqua" w:cs="Book Antiqua"/>
          <w:color w:val="000000"/>
          <w:highlight w:val="none"/>
        </w:rPr>
        <w:t>: S74-S79 [PMID: 22128063 DOI: 10.1002/gepi.20654]</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Ott J</w:t>
      </w:r>
      <w:r>
        <w:rPr>
          <w:rFonts w:ascii="Book Antiqua" w:hAnsi="Book Antiqua" w:eastAsia="Book Antiqua" w:cs="Book Antiqua"/>
          <w:color w:val="000000"/>
          <w:highlight w:val="none"/>
        </w:rPr>
        <w:t xml:space="preserve">, Kamatani Y, Lathrop M. Family-based designs for genome-wide association studies. </w:t>
      </w:r>
      <w:r>
        <w:rPr>
          <w:rFonts w:ascii="Book Antiqua" w:hAnsi="Book Antiqua" w:eastAsia="Book Antiqua" w:cs="Book Antiqua"/>
          <w:i/>
          <w:iCs/>
          <w:color w:val="000000"/>
          <w:highlight w:val="none"/>
        </w:rPr>
        <w:t>Nat Rev Genet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465-474 [PMID: 21629274 DOI: 10.1038/nrg2989]</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Hu L</w:t>
      </w:r>
      <w:r>
        <w:rPr>
          <w:rFonts w:ascii="Book Antiqua" w:hAnsi="Book Antiqua" w:eastAsia="Book Antiqua" w:cs="Book Antiqua"/>
          <w:color w:val="000000"/>
          <w:highlight w:val="none"/>
        </w:rPr>
        <w:t xml:space="preserve">, Ru K, Zhang L, Huang Y, Zhu X, Liu H, Zetterberg A, Cheng T, Miao W. Fluorescence in situ hybridization (FISH): an increasingly demanded tool for biomarker research and personalized medicine. </w:t>
      </w:r>
      <w:r>
        <w:rPr>
          <w:rFonts w:ascii="Book Antiqua" w:hAnsi="Book Antiqua" w:eastAsia="Book Antiqua" w:cs="Book Antiqua"/>
          <w:i/>
          <w:iCs/>
          <w:color w:val="000000"/>
          <w:highlight w:val="none"/>
        </w:rPr>
        <w:t>Biomark Res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3 [PMID: 24499728 DOI: 10.1186/2050-7771-2-3]</w:t>
      </w:r>
    </w:p>
    <w:p>
      <w:pPr>
        <w:spacing w:line="360" w:lineRule="auto"/>
        <w:jc w:val="both"/>
        <w:rPr>
          <w:highlight w:val="none"/>
          <w:lang w:eastAsia="zh-CN"/>
        </w:rPr>
      </w:pPr>
      <w:r>
        <w:rPr>
          <w:rFonts w:ascii="Book Antiqua" w:hAnsi="Book Antiqua" w:eastAsia="Book Antiqua" w:cs="Book Antiqua"/>
          <w:color w:val="000000"/>
          <w:highlight w:val="none"/>
        </w:rPr>
        <w:t xml:space="preserve">24 </w:t>
      </w:r>
      <w:r>
        <w:rPr>
          <w:rFonts w:ascii="Book Antiqua" w:hAnsi="Book Antiqua" w:eastAsia="Book Antiqua" w:cs="Book Antiqua"/>
          <w:b/>
          <w:color w:val="000000"/>
          <w:highlight w:val="none"/>
        </w:rPr>
        <w:t>National Human Genome Research Institute</w:t>
      </w:r>
      <w:r>
        <w:rPr>
          <w:rFonts w:hint="eastAsia" w:ascii="Book Antiqua" w:hAnsi="Book Antiqua" w:cs="Book Antiqua"/>
          <w:color w:val="000000"/>
          <w:highlight w:val="none"/>
          <w:lang w:eastAsia="zh-CN"/>
        </w:rPr>
        <w:t>.</w:t>
      </w:r>
      <w:r>
        <w:rPr>
          <w:rFonts w:ascii="Book Antiqua" w:hAnsi="Book Antiqua" w:eastAsia="Book Antiqua" w:cs="Book Antiqua"/>
          <w:bCs/>
          <w:color w:val="000000"/>
          <w:highlight w:val="none"/>
        </w:rPr>
        <w:t xml:space="preserve"> The International HapMap Project</w:t>
      </w:r>
      <w:r>
        <w:rPr>
          <w:rFonts w:hint="eastAsia" w:ascii="Book Antiqua" w:hAnsi="Book Antiqua" w:cs="Book Antiqua"/>
          <w:bCs/>
          <w:color w:val="000000"/>
          <w:highlight w:val="none"/>
          <w:lang w:eastAsia="zh-CN"/>
        </w:rPr>
        <w:t xml:space="preserve">.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pdated 06/04/2012.</w:t>
      </w:r>
      <w:r>
        <w:rPr>
          <w:rFonts w:hint="eastAsia" w:ascii="Book Antiqua" w:hAnsi="Book Antiqua" w:cs="Book Antiqua"/>
          <w:color w:val="000000"/>
          <w:highlight w:val="none"/>
          <w:lang w:eastAsia="zh-CN"/>
        </w:rPr>
        <w:t xml:space="preserve"> </w:t>
      </w:r>
      <w:r>
        <w:rPr>
          <w:rFonts w:hint="eastAsia" w:ascii="Book Antiqua" w:hAnsi="Book Antiqua" w:cs="Book Antiqua"/>
          <w:bCs/>
          <w:color w:val="000000"/>
          <w:highlight w:val="none"/>
          <w:lang w:eastAsia="zh-CN"/>
        </w:rPr>
        <w:t xml:space="preserve">[cited 10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In</w:t>
      </w:r>
      <w:r>
        <w:rPr>
          <w:rFonts w:ascii="Book Antiqua" w:hAnsi="Book Antiqua" w:eastAsia="Book Antiqua" w:cs="Book Antiqua"/>
          <w:color w:val="000000"/>
          <w:highlight w:val="none"/>
        </w:rPr>
        <w:t>: National Human Genome Research Institute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https://www.genome.gov/11511175/about-the-international-hapmap-project-fact-sheet</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1000 Genomes Project Consortium</w:t>
      </w:r>
      <w:r>
        <w:rPr>
          <w:rFonts w:ascii="Book Antiqua" w:hAnsi="Book Antiqua" w:eastAsia="Book Antiqua" w:cs="Book Antiqua"/>
          <w:color w:val="000000"/>
          <w:highlight w:val="none"/>
        </w:rPr>
        <w:t xml:space="preserve">, Auton A, Brooks LD, Durbin RM, Garrison EP, Kang HM, Korbel JO, Marchini JL, McCarthy S, McVean GA, Abecasis GR. A global reference for human genetic variation.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526</w:t>
      </w:r>
      <w:r>
        <w:rPr>
          <w:rFonts w:ascii="Book Antiqua" w:hAnsi="Book Antiqua" w:eastAsia="Book Antiqua" w:cs="Book Antiqua"/>
          <w:color w:val="000000"/>
          <w:highlight w:val="none"/>
        </w:rPr>
        <w:t>: 68-74 [PMID: 26432245 DOI: 10.1038/nature15393]</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Kim H</w:t>
      </w:r>
      <w:r>
        <w:rPr>
          <w:rFonts w:ascii="Book Antiqua" w:hAnsi="Book Antiqua" w:eastAsia="Book Antiqua" w:cs="Book Antiqua"/>
          <w:color w:val="000000"/>
          <w:highlight w:val="none"/>
        </w:rPr>
        <w:t xml:space="preserve">, Kim JS. A guide to genome engineering with programmable nucleases. </w:t>
      </w:r>
      <w:r>
        <w:rPr>
          <w:rFonts w:ascii="Book Antiqua" w:hAnsi="Book Antiqua" w:eastAsia="Book Antiqua" w:cs="Book Antiqua"/>
          <w:i/>
          <w:iCs/>
          <w:color w:val="000000"/>
          <w:highlight w:val="none"/>
        </w:rPr>
        <w:t>Nat Rev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321-334 [PMID: 24690881 DOI: 10.1038/nrg3686]</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Cong L</w:t>
      </w:r>
      <w:r>
        <w:rPr>
          <w:rFonts w:ascii="Book Antiqua" w:hAnsi="Book Antiqua" w:eastAsia="Book Antiqua" w:cs="Book Antiqua"/>
          <w:color w:val="000000"/>
          <w:highlight w:val="none"/>
        </w:rPr>
        <w:t xml:space="preserve">, Ran FA, Cox D, Lin S, Barretto R, Habib N, Hsu PD, Wu X, Jiang W, Marraffini LA, Zhang F. Multiplex genome engineering using CRISPR/Cas systems.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339</w:t>
      </w:r>
      <w:r>
        <w:rPr>
          <w:rFonts w:ascii="Book Antiqua" w:hAnsi="Book Antiqua" w:eastAsia="Book Antiqua" w:cs="Book Antiqua"/>
          <w:color w:val="000000"/>
          <w:highlight w:val="none"/>
        </w:rPr>
        <w:t>: 819-823 [PMID: 23287718 DOI: 10.1126/science.1231143]</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Mali P</w:t>
      </w:r>
      <w:r>
        <w:rPr>
          <w:rFonts w:ascii="Book Antiqua" w:hAnsi="Book Antiqua" w:eastAsia="Book Antiqua" w:cs="Book Antiqua"/>
          <w:color w:val="000000"/>
          <w:highlight w:val="none"/>
        </w:rPr>
        <w:t xml:space="preserve">, Yang L, Esvelt KM, Aach J, Guell M, DiCarlo JE, Norville JE, Church GM. RNA-guided human genome engineering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Cas9.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339</w:t>
      </w:r>
      <w:r>
        <w:rPr>
          <w:rFonts w:ascii="Book Antiqua" w:hAnsi="Book Antiqua" w:eastAsia="Book Antiqua" w:cs="Book Antiqua"/>
          <w:color w:val="000000"/>
          <w:highlight w:val="none"/>
        </w:rPr>
        <w:t>: 823-826 [PMID: 23287722 DOI: 10.1126/science.1232033]</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Lim KRQ</w:t>
      </w:r>
      <w:r>
        <w:rPr>
          <w:rFonts w:ascii="Book Antiqua" w:hAnsi="Book Antiqua" w:eastAsia="Book Antiqua" w:cs="Book Antiqua"/>
          <w:color w:val="000000"/>
          <w:highlight w:val="none"/>
        </w:rPr>
        <w:t xml:space="preserve">, Yokota T. Invention and Early History of Exon Skipping and Splice Modulation. </w:t>
      </w:r>
      <w:r>
        <w:rPr>
          <w:rFonts w:ascii="Book Antiqua" w:hAnsi="Book Antiqua" w:eastAsia="Book Antiqua" w:cs="Book Antiqua"/>
          <w:i/>
          <w:iCs/>
          <w:color w:val="000000"/>
          <w:highlight w:val="none"/>
        </w:rPr>
        <w:t>Methods Mol Biol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1828</w:t>
      </w:r>
      <w:r>
        <w:rPr>
          <w:rFonts w:ascii="Book Antiqua" w:hAnsi="Book Antiqua" w:eastAsia="Book Antiqua" w:cs="Book Antiqua"/>
          <w:color w:val="000000"/>
          <w:highlight w:val="none"/>
        </w:rPr>
        <w:t>: 3-30 [PMID: 30171532 DOI: 10.1007/978-1-4939-8651-4_1]</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Pattan V</w:t>
      </w:r>
      <w:r>
        <w:rPr>
          <w:rFonts w:ascii="Book Antiqua" w:hAnsi="Book Antiqua" w:eastAsia="Book Antiqua" w:cs="Book Antiqua"/>
          <w:color w:val="000000"/>
          <w:highlight w:val="none"/>
        </w:rPr>
        <w:t xml:space="preserve">, Seth S, Jehangir W, Bhargava B, Maulik SK. Effect of Atorvastatin and Pioglitazone on Plasma Levels of Adhesion Molecules in Non-Diabetic Patients With Hypertension or Stable Angina or Both. </w:t>
      </w:r>
      <w:r>
        <w:rPr>
          <w:rFonts w:ascii="Book Antiqua" w:hAnsi="Book Antiqua" w:eastAsia="Book Antiqua" w:cs="Book Antiqua"/>
          <w:i/>
          <w:iCs/>
          <w:color w:val="000000"/>
          <w:highlight w:val="none"/>
        </w:rPr>
        <w:t>J Clin Med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613-619 [PMID: 26124907 DOI: 10.14740/jocmr2178e]</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Shah A</w:t>
      </w:r>
      <w:r>
        <w:rPr>
          <w:rFonts w:ascii="Book Antiqua" w:hAnsi="Book Antiqua" w:eastAsia="Book Antiqua" w:cs="Book Antiqua"/>
          <w:color w:val="000000"/>
          <w:highlight w:val="none"/>
        </w:rPr>
        <w:t xml:space="preserve">, Kashyap R, Tosh P, Sampathkumar P, O'Horo JC. Guide to Understanding the 2019 Novel Coronavirus. </w:t>
      </w:r>
      <w:r>
        <w:rPr>
          <w:rFonts w:ascii="Book Antiqua" w:hAnsi="Book Antiqua" w:eastAsia="Book Antiqua" w:cs="Book Antiqua"/>
          <w:i/>
          <w:iCs/>
          <w:color w:val="000000"/>
          <w:highlight w:val="none"/>
        </w:rPr>
        <w:t>Mayo Clin Proc</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95</w:t>
      </w:r>
      <w:r>
        <w:rPr>
          <w:rFonts w:ascii="Book Antiqua" w:hAnsi="Book Antiqua" w:eastAsia="Book Antiqua" w:cs="Book Antiqua"/>
          <w:color w:val="000000"/>
          <w:highlight w:val="none"/>
        </w:rPr>
        <w:t>: 646-652 [PMID: 32122636 DOI: 10.1016/j.mayocp.2020.02.003]</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Walkey AJ</w:t>
      </w:r>
      <w:r>
        <w:rPr>
          <w:rFonts w:ascii="Book Antiqua" w:hAnsi="Book Antiqua" w:eastAsia="Book Antiqua" w:cs="Book Antiqua"/>
          <w:color w:val="000000"/>
          <w:highlight w:val="none"/>
        </w:rPr>
        <w:t xml:space="preserve">, Kumar VK, Harhay MO, Bolesta S, Bansal V, Gajic O, Kashyap R. The Viral Infection and Respiratory Illness Universal Study (VIRUS): An International Registry of Coronavirus 2019-Related Critical Illness. </w:t>
      </w:r>
      <w:r>
        <w:rPr>
          <w:rFonts w:ascii="Book Antiqua" w:hAnsi="Book Antiqua" w:eastAsia="Book Antiqua" w:cs="Book Antiqua"/>
          <w:i/>
          <w:iCs/>
          <w:color w:val="000000"/>
          <w:highlight w:val="none"/>
        </w:rPr>
        <w:t>Crit Care Explor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e0113 [PMID: 32426754 DOI: 10.1097/CCE.0000000000000113]</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Walkey AJ</w:t>
      </w:r>
      <w:r>
        <w:rPr>
          <w:rFonts w:ascii="Book Antiqua" w:hAnsi="Book Antiqua" w:eastAsia="Book Antiqua" w:cs="Book Antiqua"/>
          <w:color w:val="000000"/>
          <w:highlight w:val="none"/>
        </w:rPr>
        <w:t xml:space="preserve">, Sheldrick RC, Kashyap R, Kumar VK, Boman K, Bolesta S, Zampieri FG, Bansal V, Harhay MO, Gajic O. Guiding Principles for the Conduct of Observational Critical Care Research for Coronavirus Disease 2019 Pandemics and Beyond: The Society of Critical Care Medicine Discovery Viral Infection and Respiratory Illness Universal Study Registry. </w:t>
      </w:r>
      <w:r>
        <w:rPr>
          <w:rFonts w:ascii="Book Antiqua" w:hAnsi="Book Antiqua" w:eastAsia="Book Antiqua" w:cs="Book Antiqua"/>
          <w:i/>
          <w:iCs/>
          <w:color w:val="000000"/>
          <w:highlight w:val="none"/>
        </w:rPr>
        <w:t>Crit Care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e1038-e1044 [PMID: 32932348 DOI: 10.1097/CCM.0000000000004572]</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Severe Covid-19 GWAS Group</w:t>
      </w:r>
      <w:r>
        <w:rPr>
          <w:rFonts w:ascii="Book Antiqua" w:hAnsi="Book Antiqua" w:eastAsia="Book Antiqua" w:cs="Book Antiqua"/>
          <w:color w:val="000000"/>
          <w:highlight w:val="none"/>
        </w:rPr>
        <w:t xml:space="preserve">, Ellinghaus D, Degenhardt F, Bujanda L, Buti M, Albillos A, Invernizzi P, Fernández J, Prati D, Baselli G, Asselta R, Grimsrud MM, Milani C, Aziz F, Kässens J, May S, Wendorff M, Wienbrandt L, Uellendahl-Werth F, Zheng T, Yi X, de Pablo R, Chercoles AG, Palom A, Garcia-Fernandez AE, Rodriguez-Frias F, Zanella A, Bandera A, Protti A, Aghemo A, Lleo A, Biondi A, Caballero-Garralda A, Gori A, Tanck A, Carreras Nolla A, Latiano A, Fracanzani AL, Peschuck A, Julià A, Pesenti A, Voza A, Jiménez D, Mateos B, Nafria Jimenez B, Quereda C, Paccapelo C, Gassner C, Angelini C, Cea C, Solier A, Pestaña D, Muñiz-Diaz E, Sandoval E, Paraboschi EM, Navas E, García Sánchez F, Ceriotti F, Martinelli-Boneschi F, Peyvandi F, Blasi F, Téllez L, Blanco-Grau A, Hemmrich-Stanisak G, Grasselli G, Costantino G, Cardamone G, Foti G, Aneli S, Kurihara H, ElAbd H, My I, Galván-Femenia I, Martín J, Erdmann J, Ferrusquía-Acosta J, Garcia-Etxebarria K, Izquierdo-Sanchez L, Bettini LR, Sumoy L, Terranova L, Moreira L, Santoro L, Scudeller L, Mesonero F, Roade L, Rühlemann MC, Schaefer M, Carrabba M, Riveiro-Barciela M, Figuera Basso ME, Valsecchi MG, Hernandez-Tejero M, Acosta-Herrera M, D'Angiò M, Baldini M, Cazzaniga M, Schulzky M, Cecconi M, Wittig M, Ciccarelli M, Rodríguez-Gandía M, Bocciolone M, Miozzo M, Montano N, Braun N, Sacchi N, Martínez N, Özer O, Palmieri O, Faverio P, Preatoni P, Bonfanti P, Omodei P, Tentorio P, Castro P, Rodrigues PM, Blandino Ortiz A, de Cid R, Ferrer R, Gualtierotti R, Nieto R, Goerg S, Badalamenti S, Marsal S, Matullo G, Pelusi S, Juzenas S, Aliberti S, Monzani V, Moreno V, Wesse T, Lenz TL, Pumarola T, Rimoldi V, Bosari S, Albrecht W, Peter W, Romero-Gómez M, D'Amato M, Duga S, Banales JM, Hov JR, Folseraas T, Valenti L, Franke A, Karlsen TH. Genomewide Association Study of Severe Covid-19 with Respiratory Failure.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1522-1534 [PMID: 32558485 DOI: 10.1056/NEJMoa2020283]</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Mills MC</w:t>
      </w:r>
      <w:r>
        <w:rPr>
          <w:rFonts w:ascii="Book Antiqua" w:hAnsi="Book Antiqua" w:eastAsia="Book Antiqua" w:cs="Book Antiqua"/>
          <w:color w:val="000000"/>
          <w:highlight w:val="none"/>
        </w:rPr>
        <w:t xml:space="preserve">, Rahal C. A scientometric review of genome-wide association studies. </w:t>
      </w:r>
      <w:r>
        <w:rPr>
          <w:rFonts w:ascii="Book Antiqua" w:hAnsi="Book Antiqua" w:eastAsia="Book Antiqua" w:cs="Book Antiqua"/>
          <w:i/>
          <w:iCs/>
          <w:color w:val="000000"/>
          <w:highlight w:val="none"/>
        </w:rPr>
        <w:t>Commun Biol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9 [PMID: 30623105 DOI: 10.1038/s42003-018-0261-x]</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Battle A</w:t>
      </w:r>
      <w:r>
        <w:rPr>
          <w:rFonts w:ascii="Book Antiqua" w:hAnsi="Book Antiqua" w:eastAsia="Book Antiqua" w:cs="Book Antiqua"/>
          <w:color w:val="000000"/>
          <w:highlight w:val="none"/>
        </w:rPr>
        <w:t xml:space="preserve">, Montgomery SB. Determining causality and consequence of expression quantitative trait loci. </w:t>
      </w:r>
      <w:r>
        <w:rPr>
          <w:rFonts w:ascii="Book Antiqua" w:hAnsi="Book Antiqua" w:eastAsia="Book Antiqua" w:cs="Book Antiqua"/>
          <w:i/>
          <w:iCs/>
          <w:color w:val="000000"/>
          <w:highlight w:val="none"/>
        </w:rPr>
        <w:t>Hum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133</w:t>
      </w:r>
      <w:r>
        <w:rPr>
          <w:rFonts w:ascii="Book Antiqua" w:hAnsi="Book Antiqua" w:eastAsia="Book Antiqua" w:cs="Book Antiqua"/>
          <w:color w:val="000000"/>
          <w:highlight w:val="none"/>
        </w:rPr>
        <w:t>: 727-735 [PMID: 24770875 DOI: 10.1007/s00439-014-1446-0]</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Glubb DM</w:t>
      </w:r>
      <w:r>
        <w:rPr>
          <w:rFonts w:ascii="Book Antiqua" w:hAnsi="Book Antiqua" w:eastAsia="Book Antiqua" w:cs="Book Antiqua"/>
          <w:color w:val="000000"/>
          <w:highlight w:val="none"/>
        </w:rPr>
        <w:t xml:space="preserve">, Dholakia N, Innocenti F. Liver expression quantitative trait loci: a foundation for pharmacogenomic research. </w:t>
      </w:r>
      <w:r>
        <w:rPr>
          <w:rFonts w:ascii="Book Antiqua" w:hAnsi="Book Antiqua" w:eastAsia="Book Antiqua" w:cs="Book Antiqua"/>
          <w:i/>
          <w:iCs/>
          <w:color w:val="000000"/>
          <w:highlight w:val="none"/>
        </w:rPr>
        <w:t>Front Genet</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153 [PMID: 22912647 DOI: 10.3389/fgene.2012.00153]</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Nica AC</w:t>
      </w:r>
      <w:r>
        <w:rPr>
          <w:rFonts w:ascii="Book Antiqua" w:hAnsi="Book Antiqua" w:eastAsia="Book Antiqua" w:cs="Book Antiqua"/>
          <w:color w:val="000000"/>
          <w:highlight w:val="none"/>
        </w:rPr>
        <w:t xml:space="preserve">, Dermitzakis ET. Expression quantitative trait loci: present and future. </w:t>
      </w:r>
      <w:r>
        <w:rPr>
          <w:rFonts w:ascii="Book Antiqua" w:hAnsi="Book Antiqua" w:eastAsia="Book Antiqua" w:cs="Book Antiqua"/>
          <w:i/>
          <w:iCs/>
          <w:color w:val="000000"/>
          <w:highlight w:val="none"/>
        </w:rPr>
        <w:t>Philos Trans R Soc Lond B Biol Sci</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368</w:t>
      </w:r>
      <w:r>
        <w:rPr>
          <w:rFonts w:ascii="Book Antiqua" w:hAnsi="Book Antiqua" w:eastAsia="Book Antiqua" w:cs="Book Antiqua"/>
          <w:color w:val="000000"/>
          <w:highlight w:val="none"/>
        </w:rPr>
        <w:t>: 20120362 [PMID: 23650636 DOI: 10.1098/rstb.2012.0362]</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Ku CS</w:t>
      </w:r>
      <w:r>
        <w:rPr>
          <w:rFonts w:ascii="Book Antiqua" w:hAnsi="Book Antiqua" w:eastAsia="Book Antiqua" w:cs="Book Antiqua"/>
          <w:color w:val="000000"/>
          <w:highlight w:val="none"/>
        </w:rPr>
        <w:t xml:space="preserve">, Naidoo N, Pawitan Y. Revisiting Mendelian disorders through exome sequencing. </w:t>
      </w:r>
      <w:r>
        <w:rPr>
          <w:rFonts w:ascii="Book Antiqua" w:hAnsi="Book Antiqua" w:eastAsia="Book Antiqua" w:cs="Book Antiqua"/>
          <w:i/>
          <w:iCs/>
          <w:color w:val="000000"/>
          <w:highlight w:val="none"/>
        </w:rPr>
        <w:t>Hum Genet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129</w:t>
      </w:r>
      <w:r>
        <w:rPr>
          <w:rFonts w:ascii="Book Antiqua" w:hAnsi="Book Antiqua" w:eastAsia="Book Antiqua" w:cs="Book Antiqua"/>
          <w:color w:val="000000"/>
          <w:highlight w:val="none"/>
        </w:rPr>
        <w:t>: 351-370 [PMID: 21331778 DOI: 10.1007/s00439-011-0964-2]</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Köser CU</w:t>
      </w:r>
      <w:r>
        <w:rPr>
          <w:rFonts w:ascii="Book Antiqua" w:hAnsi="Book Antiqua" w:eastAsia="Book Antiqua" w:cs="Book Antiqua"/>
          <w:color w:val="000000"/>
          <w:highlight w:val="none"/>
        </w:rPr>
        <w:t xml:space="preserve">, Bryant JM, Becq J, Török ME, Ellington MJ, Marti-Renom MA, Carmichael AJ, Parkhill J, Smith GP, Peacock SJ. Whole-genome sequencing for rapid susceptibility testing of M. tuberculosis.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369</w:t>
      </w:r>
      <w:r>
        <w:rPr>
          <w:rFonts w:ascii="Book Antiqua" w:hAnsi="Book Antiqua" w:eastAsia="Book Antiqua" w:cs="Book Antiqua"/>
          <w:color w:val="000000"/>
          <w:highlight w:val="none"/>
        </w:rPr>
        <w:t>: 290-292 [PMID: 23863072 DOI: 10.1056/NEJMc1215305]</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Zhang Y</w:t>
      </w:r>
      <w:r>
        <w:rPr>
          <w:rFonts w:ascii="Book Antiqua" w:hAnsi="Book Antiqua" w:eastAsia="Book Antiqua" w:cs="Book Antiqua"/>
          <w:color w:val="000000"/>
          <w:highlight w:val="none"/>
        </w:rPr>
        <w:t xml:space="preserve">, Li S, Abyzov A, Gerstein MB. Landscape and variation of novel retroduplications in 26 human populations. </w:t>
      </w:r>
      <w:r>
        <w:rPr>
          <w:rFonts w:ascii="Book Antiqua" w:hAnsi="Book Antiqua" w:eastAsia="Book Antiqua" w:cs="Book Antiqua"/>
          <w:i/>
          <w:iCs/>
          <w:color w:val="000000"/>
          <w:highlight w:val="none"/>
        </w:rPr>
        <w:t>PLoS Comput 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e1005567 [PMID: 28662076 DOI: 10.1371/journal.pcbi.1005567]</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Rabbani B</w:t>
      </w:r>
      <w:r>
        <w:rPr>
          <w:rFonts w:ascii="Book Antiqua" w:hAnsi="Book Antiqua" w:eastAsia="Book Antiqua" w:cs="Book Antiqua"/>
          <w:color w:val="000000"/>
          <w:highlight w:val="none"/>
        </w:rPr>
        <w:t xml:space="preserve">, Tekin M, Mahdieh N. The promise of whole-exome sequencing in medical genetics. </w:t>
      </w:r>
      <w:r>
        <w:rPr>
          <w:rFonts w:ascii="Book Antiqua" w:hAnsi="Book Antiqua" w:eastAsia="Book Antiqua" w:cs="Book Antiqua"/>
          <w:i/>
          <w:iCs/>
          <w:color w:val="000000"/>
          <w:highlight w:val="none"/>
        </w:rPr>
        <w:t>J Hum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5-15 [PMID: 24196381 DOI: 10.1038/jhg.2013.114]</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Tang F</w:t>
      </w:r>
      <w:r>
        <w:rPr>
          <w:rFonts w:ascii="Book Antiqua" w:hAnsi="Book Antiqua" w:eastAsia="Book Antiqua" w:cs="Book Antiqua"/>
          <w:color w:val="000000"/>
          <w:highlight w:val="none"/>
        </w:rPr>
        <w:t xml:space="preserve">, Barbacioru C, Wang Y, Nordman E, Lee C, Xu N, Wang X, Bodeau J, Tuch BB, Siddiqui A, Lao K, Surani MA. mRNA-Seq whole-transcriptome analysis of a single cell. </w:t>
      </w:r>
      <w:r>
        <w:rPr>
          <w:rFonts w:ascii="Book Antiqua" w:hAnsi="Book Antiqua" w:eastAsia="Book Antiqua" w:cs="Book Antiqua"/>
          <w:i/>
          <w:iCs/>
          <w:color w:val="000000"/>
          <w:highlight w:val="none"/>
        </w:rPr>
        <w:t>Nat Methods</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377-382 [PMID: 19349980 DOI: 10.1038/nmeth.1315]</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Kukurba KR</w:t>
      </w:r>
      <w:r>
        <w:rPr>
          <w:rFonts w:ascii="Book Antiqua" w:hAnsi="Book Antiqua" w:eastAsia="Book Antiqua" w:cs="Book Antiqua"/>
          <w:color w:val="000000"/>
          <w:highlight w:val="none"/>
        </w:rPr>
        <w:t xml:space="preserve">, Montgomery SB. RNA Sequencing and Analysis. </w:t>
      </w:r>
      <w:r>
        <w:rPr>
          <w:rFonts w:ascii="Book Antiqua" w:hAnsi="Book Antiqua" w:eastAsia="Book Antiqua" w:cs="Book Antiqua"/>
          <w:i/>
          <w:iCs/>
          <w:color w:val="000000"/>
          <w:highlight w:val="none"/>
        </w:rPr>
        <w:t>Cold Spring Harb Protoc</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2015</w:t>
      </w:r>
      <w:r>
        <w:rPr>
          <w:rFonts w:ascii="Book Antiqua" w:hAnsi="Book Antiqua" w:eastAsia="Book Antiqua" w:cs="Book Antiqua"/>
          <w:color w:val="000000"/>
          <w:highlight w:val="none"/>
        </w:rPr>
        <w:t>: 951-969 [PMID: 25870306 DOI: 10.1101/pdb.top084970]</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Gasperskaja E</w:t>
      </w:r>
      <w:r>
        <w:rPr>
          <w:rFonts w:ascii="Book Antiqua" w:hAnsi="Book Antiqua" w:eastAsia="Book Antiqua" w:cs="Book Antiqua"/>
          <w:color w:val="000000"/>
          <w:highlight w:val="none"/>
        </w:rPr>
        <w:t xml:space="preserve">, Kučinskas V. The most common technologies and tools for functional genome analysis. </w:t>
      </w:r>
      <w:r>
        <w:rPr>
          <w:rFonts w:ascii="Book Antiqua" w:hAnsi="Book Antiqua" w:eastAsia="Book Antiqua" w:cs="Book Antiqua"/>
          <w:i/>
          <w:iCs/>
          <w:color w:val="000000"/>
          <w:highlight w:val="none"/>
        </w:rPr>
        <w:t>Acta Med Litu</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1-11 [PMID: 28630587 DOI: 10.6001/actamedica.v24i1.3457]</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Pillai S</w:t>
      </w:r>
      <w:r>
        <w:rPr>
          <w:rFonts w:ascii="Book Antiqua" w:hAnsi="Book Antiqua" w:eastAsia="Book Antiqua" w:cs="Book Antiqua"/>
          <w:color w:val="000000"/>
          <w:highlight w:val="none"/>
        </w:rPr>
        <w:t xml:space="preserve">, Chellappan SP. ChIP on chip and ChIP-Seq assays: genome-wide analysis of transcription factor binding and histone modifications. </w:t>
      </w:r>
      <w:r>
        <w:rPr>
          <w:rFonts w:ascii="Book Antiqua" w:hAnsi="Book Antiqua" w:eastAsia="Book Antiqua" w:cs="Book Antiqua"/>
          <w:i/>
          <w:iCs/>
          <w:color w:val="000000"/>
          <w:highlight w:val="none"/>
        </w:rPr>
        <w:t>Methods Mol Biol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1288</w:t>
      </w:r>
      <w:r>
        <w:rPr>
          <w:rFonts w:ascii="Book Antiqua" w:hAnsi="Book Antiqua" w:eastAsia="Book Antiqua" w:cs="Book Antiqua"/>
          <w:color w:val="000000"/>
          <w:highlight w:val="none"/>
        </w:rPr>
        <w:t>: 447-472 [PMID: 25827896 DOI: 10.1007/978-1-4939-2474-5_26]</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Rhee HS</w:t>
      </w:r>
      <w:r>
        <w:rPr>
          <w:rFonts w:ascii="Book Antiqua" w:hAnsi="Book Antiqua" w:eastAsia="Book Antiqua" w:cs="Book Antiqua"/>
          <w:color w:val="000000"/>
          <w:highlight w:val="none"/>
        </w:rPr>
        <w:t xml:space="preserve">, Pugh BF. ChIP-exo method for identifying genomic location of DNA-binding proteins with near-single-nucleotide accuracy. </w:t>
      </w:r>
      <w:r>
        <w:rPr>
          <w:rFonts w:ascii="Book Antiqua" w:hAnsi="Book Antiqua" w:eastAsia="Book Antiqua" w:cs="Book Antiqua"/>
          <w:i/>
          <w:iCs/>
          <w:color w:val="000000"/>
          <w:highlight w:val="none"/>
        </w:rPr>
        <w:t>Curr Protoc Mol Biol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Chapter 21</w:t>
      </w:r>
      <w:r>
        <w:rPr>
          <w:rFonts w:ascii="Book Antiqua" w:hAnsi="Book Antiqua" w:eastAsia="Book Antiqua" w:cs="Book Antiqua"/>
          <w:color w:val="000000"/>
          <w:highlight w:val="none"/>
        </w:rPr>
        <w:t>: Unit 21.24 [PMID: 23026909 DOI: 10.1002/0471142727.mb2124s100]</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Jensen E</w:t>
      </w:r>
      <w:r>
        <w:rPr>
          <w:rFonts w:ascii="Book Antiqua" w:hAnsi="Book Antiqua" w:eastAsia="Book Antiqua" w:cs="Book Antiqua"/>
          <w:color w:val="000000"/>
          <w:highlight w:val="none"/>
        </w:rPr>
        <w:t xml:space="preserve">. Technical review: In situ hybridization. </w:t>
      </w:r>
      <w:r>
        <w:rPr>
          <w:rFonts w:ascii="Book Antiqua" w:hAnsi="Book Antiqua" w:eastAsia="Book Antiqua" w:cs="Book Antiqua"/>
          <w:i/>
          <w:iCs/>
          <w:color w:val="000000"/>
          <w:highlight w:val="none"/>
        </w:rPr>
        <w:t>Anat Rec (Hoboken)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297</w:t>
      </w:r>
      <w:r>
        <w:rPr>
          <w:rFonts w:ascii="Book Antiqua" w:hAnsi="Book Antiqua" w:eastAsia="Book Antiqua" w:cs="Book Antiqua"/>
          <w:color w:val="000000"/>
          <w:highlight w:val="none"/>
        </w:rPr>
        <w:t>: 1349-1353 [PMID: 24810158 DOI: 10.1002/ar.22944]</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He SL</w:t>
      </w:r>
      <w:r>
        <w:rPr>
          <w:rFonts w:ascii="Book Antiqua" w:hAnsi="Book Antiqua" w:eastAsia="Book Antiqua" w:cs="Book Antiqua"/>
          <w:color w:val="000000"/>
          <w:highlight w:val="none"/>
        </w:rPr>
        <w:t xml:space="preserve">, Green R. Northern blotting. </w:t>
      </w:r>
      <w:r>
        <w:rPr>
          <w:rFonts w:ascii="Book Antiqua" w:hAnsi="Book Antiqua" w:eastAsia="Book Antiqua" w:cs="Book Antiqua"/>
          <w:i/>
          <w:iCs/>
          <w:color w:val="000000"/>
          <w:highlight w:val="none"/>
        </w:rPr>
        <w:t>Methods Enzymol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530</w:t>
      </w:r>
      <w:r>
        <w:rPr>
          <w:rFonts w:ascii="Book Antiqua" w:hAnsi="Book Antiqua" w:eastAsia="Book Antiqua" w:cs="Book Antiqua"/>
          <w:color w:val="000000"/>
          <w:highlight w:val="none"/>
        </w:rPr>
        <w:t>: 75-87 [PMID: 24034315 DOI: 10.1016/B978-0-12-420037-1.00003-8]</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Deepak S</w:t>
      </w:r>
      <w:r>
        <w:rPr>
          <w:rFonts w:ascii="Book Antiqua" w:hAnsi="Book Antiqua" w:eastAsia="Book Antiqua" w:cs="Book Antiqua"/>
          <w:color w:val="000000"/>
          <w:highlight w:val="none"/>
        </w:rPr>
        <w:t xml:space="preserve">, Kottapalli K, Rakwal R, Oros G, Rangappa K, Iwahashi H, Masuo Y, Agrawal G. Real-Time PCR: Revolutionizing Detection and Expression Analysis of Genes. </w:t>
      </w:r>
      <w:r>
        <w:rPr>
          <w:rFonts w:ascii="Book Antiqua" w:hAnsi="Book Antiqua" w:eastAsia="Book Antiqua" w:cs="Book Antiqua"/>
          <w:i/>
          <w:iCs/>
          <w:color w:val="000000"/>
          <w:highlight w:val="none"/>
        </w:rPr>
        <w:t>Curr Genomics</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234-251 [PMID: 18645596 DOI: 10.2174/138920207781386960]</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Bumgarner R</w:t>
      </w:r>
      <w:r>
        <w:rPr>
          <w:rFonts w:ascii="Book Antiqua" w:hAnsi="Book Antiqua" w:eastAsia="Book Antiqua" w:cs="Book Antiqua"/>
          <w:color w:val="000000"/>
          <w:highlight w:val="none"/>
        </w:rPr>
        <w:t xml:space="preserve">. Overview of DNA microarrays: types, applications, and their future. </w:t>
      </w:r>
      <w:r>
        <w:rPr>
          <w:rFonts w:ascii="Book Antiqua" w:hAnsi="Book Antiqua" w:eastAsia="Book Antiqua" w:cs="Book Antiqua"/>
          <w:i/>
          <w:iCs/>
          <w:color w:val="000000"/>
          <w:highlight w:val="none"/>
        </w:rPr>
        <w:t>Curr Protoc Mol Biol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Chapter 22</w:t>
      </w:r>
      <w:r>
        <w:rPr>
          <w:rFonts w:ascii="Book Antiqua" w:hAnsi="Book Antiqua" w:eastAsia="Book Antiqua" w:cs="Book Antiqua"/>
          <w:color w:val="000000"/>
          <w:highlight w:val="none"/>
        </w:rPr>
        <w:t>: Unit 22.1. [PMID: 23288464 DOI: 10.1002/0471142727.mb2201s101]</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Qu Y</w:t>
      </w:r>
      <w:r>
        <w:rPr>
          <w:rFonts w:ascii="Book Antiqua" w:hAnsi="Book Antiqua" w:eastAsia="Book Antiqua" w:cs="Book Antiqua"/>
          <w:color w:val="000000"/>
          <w:highlight w:val="none"/>
        </w:rPr>
        <w:t xml:space="preserve">, Boutjdir M. RNase protection assay for quantifying gene expression levels. </w:t>
      </w:r>
      <w:r>
        <w:rPr>
          <w:rFonts w:ascii="Book Antiqua" w:hAnsi="Book Antiqua" w:eastAsia="Book Antiqua" w:cs="Book Antiqua"/>
          <w:i/>
          <w:iCs/>
          <w:color w:val="000000"/>
          <w:highlight w:val="none"/>
        </w:rPr>
        <w:t>Methods Mol Biol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366</w:t>
      </w:r>
      <w:r>
        <w:rPr>
          <w:rFonts w:ascii="Book Antiqua" w:hAnsi="Book Antiqua" w:eastAsia="Book Antiqua" w:cs="Book Antiqua"/>
          <w:color w:val="000000"/>
          <w:highlight w:val="none"/>
        </w:rPr>
        <w:t>: 145-158 [PMID: 17568123 DOI: 10.1007/978-1-59745-030-0_8]</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Bustin SA</w:t>
      </w:r>
      <w:r>
        <w:rPr>
          <w:rFonts w:ascii="Book Antiqua" w:hAnsi="Book Antiqua" w:eastAsia="Book Antiqua" w:cs="Book Antiqua"/>
          <w:color w:val="000000"/>
          <w:highlight w:val="none"/>
        </w:rPr>
        <w:t xml:space="preserve">, Nolan T. Pitfalls of quantitative real-time reverse-transcription polymerase chain reaction. </w:t>
      </w:r>
      <w:r>
        <w:rPr>
          <w:rFonts w:ascii="Book Antiqua" w:hAnsi="Book Antiqua" w:eastAsia="Book Antiqua" w:cs="Book Antiqua"/>
          <w:i/>
          <w:iCs/>
          <w:color w:val="000000"/>
          <w:highlight w:val="none"/>
        </w:rPr>
        <w:t>J Biomol Tech</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155-166 [PMID: 15331581]</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Xu L</w:t>
      </w:r>
      <w:r>
        <w:rPr>
          <w:rFonts w:ascii="Book Antiqua" w:hAnsi="Book Antiqua" w:eastAsia="Book Antiqua" w:cs="Book Antiqua"/>
          <w:color w:val="000000"/>
          <w:highlight w:val="none"/>
        </w:rPr>
        <w:t xml:space="preserve">, Wang J, Liu Y, Xie L, Su B, Mou D, Wang L, Liu T, Wang X, Zhang B, Zhao L, Hu L, Ning H, Zhang Y, Deng K, Liu L, Lu X, Zhang T, Xu J, Li C, Wu H, Deng H, Chen H. CRISPR-Edited Stem Cells in a Patient with HIV and Acute Lymphocytic Leukemia.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381</w:t>
      </w:r>
      <w:r>
        <w:rPr>
          <w:rFonts w:ascii="Book Antiqua" w:hAnsi="Book Antiqua" w:eastAsia="Book Antiqua" w:cs="Book Antiqua"/>
          <w:color w:val="000000"/>
          <w:highlight w:val="none"/>
        </w:rPr>
        <w:t>: 1240-1247 [PMID: 31509667 DOI: 10.1056/NEJMoa1817426]</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Wu SS</w:t>
      </w:r>
      <w:r>
        <w:rPr>
          <w:rFonts w:ascii="Book Antiqua" w:hAnsi="Book Antiqua" w:eastAsia="Book Antiqua" w:cs="Book Antiqua"/>
          <w:color w:val="000000"/>
          <w:highlight w:val="none"/>
        </w:rPr>
        <w:t xml:space="preserve">, Li QC, Yin CQ, Xue W, Song CQ. Advances in CRISPR/Cas-based Gene Therapy in Human Genetic Diseases. </w:t>
      </w:r>
      <w:r>
        <w:rPr>
          <w:rFonts w:ascii="Book Antiqua" w:hAnsi="Book Antiqua" w:eastAsia="Book Antiqua" w:cs="Book Antiqua"/>
          <w:i/>
          <w:iCs/>
          <w:color w:val="000000"/>
          <w:highlight w:val="none"/>
        </w:rPr>
        <w:t>Theranostics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4374-4382 [PMID: 32292501 DOI: 10.7150/thno.43360]</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Tian X</w:t>
      </w:r>
      <w:r>
        <w:rPr>
          <w:rFonts w:ascii="Book Antiqua" w:hAnsi="Book Antiqua" w:eastAsia="Book Antiqua" w:cs="Book Antiqua"/>
          <w:color w:val="000000"/>
          <w:highlight w:val="none"/>
        </w:rPr>
        <w:t xml:space="preserve">, Gu T, Patel S, Bode AM, Lee MH, Dong Z. CRISPR/Cas9 - An evolving biological tool kit for cancer biology and oncology. </w:t>
      </w:r>
      <w:r>
        <w:rPr>
          <w:rFonts w:ascii="Book Antiqua" w:hAnsi="Book Antiqua" w:eastAsia="Book Antiqua" w:cs="Book Antiqua"/>
          <w:i/>
          <w:iCs/>
          <w:color w:val="000000"/>
          <w:highlight w:val="none"/>
        </w:rPr>
        <w:t>NPJ Precis Oncol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8 [PMID: 30911676 DOI: 10.1038/s41698-019-0080-7]</w:t>
      </w:r>
    </w:p>
    <w:p>
      <w:pPr>
        <w:spacing w:line="360" w:lineRule="auto"/>
        <w:jc w:val="both"/>
        <w:rPr>
          <w:highlight w:val="none"/>
        </w:rPr>
      </w:pPr>
      <w:r>
        <w:rPr>
          <w:rFonts w:ascii="Book Antiqua" w:hAnsi="Book Antiqua" w:eastAsia="Book Antiqua" w:cs="Book Antiqua"/>
          <w:color w:val="000000"/>
          <w:highlight w:val="none"/>
        </w:rPr>
        <w:t xml:space="preserve">57 </w:t>
      </w:r>
      <w:r>
        <w:rPr>
          <w:rFonts w:hint="eastAsia" w:ascii="Book Antiqua" w:hAnsi="Book Antiqua" w:cs="Book Antiqua"/>
          <w:b/>
          <w:color w:val="000000"/>
          <w:highlight w:val="none"/>
          <w:lang w:eastAsia="zh-CN"/>
        </w:rPr>
        <w:t xml:space="preserve">Lu </w:t>
      </w:r>
      <w:r>
        <w:rPr>
          <w:rFonts w:ascii="Book Antiqua" w:hAnsi="Book Antiqua" w:eastAsia="Book Antiqua" w:cs="Book Antiqua"/>
          <w:b/>
          <w:bCs/>
          <w:color w:val="000000"/>
          <w:highlight w:val="none"/>
        </w:rPr>
        <w:t>X</w:t>
      </w:r>
      <w:r>
        <w:rPr>
          <w:rFonts w:hint="eastAsia" w:ascii="Book Antiqua" w:hAnsi="Book Antiqua" w:cs="Book Antiqua"/>
          <w:b/>
          <w:bCs/>
          <w:color w:val="000000"/>
          <w:highlight w:val="none"/>
          <w:lang w:eastAsia="zh-CN"/>
        </w:rPr>
        <w:t>J</w:t>
      </w:r>
      <w:r>
        <w:rPr>
          <w:rFonts w:ascii="Book Antiqua" w:hAnsi="Book Antiqua" w:eastAsia="Book Antiqua" w:cs="Book Antiqua"/>
          <w:color w:val="000000"/>
          <w:highlight w:val="none"/>
        </w:rPr>
        <w:t>, X</w:t>
      </w:r>
      <w:r>
        <w:rPr>
          <w:rFonts w:hint="eastAsia" w:ascii="Book Antiqua" w:hAnsi="Book Antiqua" w:cs="Book Antiqua"/>
          <w:color w:val="000000"/>
          <w:highlight w:val="none"/>
          <w:lang w:eastAsia="zh-CN"/>
        </w:rPr>
        <w:t>ue HY</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K</w:t>
      </w:r>
      <w:r>
        <w:rPr>
          <w:rFonts w:hint="eastAsia" w:ascii="Book Antiqua" w:hAnsi="Book Antiqua" w:cs="Book Antiqua"/>
          <w:color w:val="000000"/>
          <w:highlight w:val="none"/>
          <w:lang w:eastAsia="zh-CN"/>
        </w:rPr>
        <w:t>e ZP</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w:t>
      </w:r>
      <w:r>
        <w:rPr>
          <w:rFonts w:hint="eastAsia" w:ascii="Book Antiqua" w:hAnsi="Book Antiqua" w:cs="Book Antiqua"/>
          <w:color w:val="000000"/>
          <w:highlight w:val="none"/>
          <w:lang w:eastAsia="zh-CN"/>
        </w:rPr>
        <w:t>hen JL</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J</w:t>
      </w:r>
      <w:r>
        <w:rPr>
          <w:rFonts w:hint="eastAsia" w:ascii="Book Antiqua" w:hAnsi="Book Antiqua" w:cs="Book Antiqua"/>
          <w:color w:val="000000"/>
          <w:highlight w:val="none"/>
          <w:lang w:eastAsia="zh-CN"/>
        </w:rPr>
        <w:t>i LJ</w:t>
      </w:r>
      <w:r>
        <w:rPr>
          <w:rFonts w:ascii="Book Antiqua" w:hAnsi="Book Antiqua" w:eastAsia="Book Antiqua" w:cs="Book Antiqua"/>
          <w:color w:val="000000"/>
          <w:highlight w:val="none"/>
        </w:rPr>
        <w:t xml:space="preserve">. CRISPR-Cas9: a new and promising player in gene therapy. </w:t>
      </w:r>
      <w:r>
        <w:rPr>
          <w:rFonts w:ascii="Book Antiqua" w:hAnsi="Book Antiqua" w:eastAsia="Book Antiqua" w:cs="Book Antiqua"/>
          <w:i/>
          <w:iCs/>
          <w:color w:val="000000"/>
          <w:highlight w:val="none"/>
        </w:rPr>
        <w:t>J Med Genet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289-296 [PMID: 25713109 DOI: 10.1136/jmedgenet-2014-102968]</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Cho GY</w:t>
      </w:r>
      <w:r>
        <w:rPr>
          <w:rFonts w:ascii="Book Antiqua" w:hAnsi="Book Antiqua" w:eastAsia="Book Antiqua" w:cs="Book Antiqua"/>
          <w:color w:val="000000"/>
          <w:highlight w:val="none"/>
        </w:rPr>
        <w:t xml:space="preserve">, Schaefer KA, Bassuk AG, Tsang SH, Mahajan VB. CRISPR GENOME SURGERY IN THE RETINA IN LIGHT OF OFF-TARGETING. </w:t>
      </w:r>
      <w:r>
        <w:rPr>
          <w:rFonts w:ascii="Book Antiqua" w:hAnsi="Book Antiqua" w:eastAsia="Book Antiqua" w:cs="Book Antiqua"/>
          <w:i/>
          <w:iCs/>
          <w:color w:val="000000"/>
          <w:highlight w:val="none"/>
        </w:rPr>
        <w:t>Retina</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1443-1455 [PMID: 29746416 DOI: 10.1097/IAE.0000000000002197]</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Kang SH</w:t>
      </w:r>
      <w:r>
        <w:rPr>
          <w:rFonts w:ascii="Book Antiqua" w:hAnsi="Book Antiqua" w:eastAsia="Book Antiqua" w:cs="Book Antiqua"/>
          <w:color w:val="000000"/>
          <w:highlight w:val="none"/>
        </w:rPr>
        <w:t xml:space="preserve">, Lee WJ, An JH, Lee JH, Kim YH, Kim H, Oh Y, Park YH, Jin YB, Jun BH, Hur JK, Kim SU, Lee SH. Prediction-based highly sensitive CRISPR off-target validation using target-specific DNA enrichment.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3596 [PMID: 32681048 DOI: 10.1038/s41467-020-17418-8]</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English MA</w:t>
      </w:r>
      <w:r>
        <w:rPr>
          <w:rFonts w:ascii="Book Antiqua" w:hAnsi="Book Antiqua" w:eastAsia="Book Antiqua" w:cs="Book Antiqua"/>
          <w:color w:val="000000"/>
          <w:highlight w:val="none"/>
        </w:rPr>
        <w:t xml:space="preserve">, Soenksen LR, Gayet RV, de Puig H, Angenent-Mari NM, Mao AS, Nguyen PQ, Collins JJ. Programmable CRISPR-responsive smart materials. </w:t>
      </w:r>
      <w:r>
        <w:rPr>
          <w:rFonts w:ascii="Book Antiqua" w:hAnsi="Book Antiqua" w:eastAsia="Book Antiqua" w:cs="Book Antiqua"/>
          <w:i/>
          <w:iCs/>
          <w:color w:val="000000"/>
          <w:highlight w:val="none"/>
        </w:rPr>
        <w:t>Science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365</w:t>
      </w:r>
      <w:r>
        <w:rPr>
          <w:rFonts w:ascii="Book Antiqua" w:hAnsi="Book Antiqua" w:eastAsia="Book Antiqua" w:cs="Book Antiqua"/>
          <w:color w:val="000000"/>
          <w:highlight w:val="none"/>
        </w:rPr>
        <w:t>: 780-785 [PMID: 31439791 DOI: 10.1126/science.aaw5122]</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Broughton JP</w:t>
      </w:r>
      <w:r>
        <w:rPr>
          <w:rFonts w:ascii="Book Antiqua" w:hAnsi="Book Antiqua" w:eastAsia="Book Antiqua" w:cs="Book Antiqua"/>
          <w:color w:val="000000"/>
          <w:highlight w:val="none"/>
        </w:rPr>
        <w:t xml:space="preserve">, Deng X, Yu G, Fasching CL, Servellita V, Singh J, Miao X, Streithorst JA, Granados A, Sotomayor-Gonzalez A, Zorn K, Gopez A, Hsu E, Gu W, Miller S, Pan CY, Guevara H, Wadford DA, Chen JS, Chiu CY. CRISPR-Cas12-based detection of SARS-CoV-2. </w:t>
      </w:r>
      <w:r>
        <w:rPr>
          <w:rFonts w:ascii="Book Antiqua" w:hAnsi="Book Antiqua" w:eastAsia="Book Antiqua" w:cs="Book Antiqua"/>
          <w:i/>
          <w:iCs/>
          <w:color w:val="000000"/>
          <w:highlight w:val="none"/>
        </w:rPr>
        <w:t>Nat Biotechnol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870-874 [PMID: 32300245 DOI: 10.1038/s41587-020-0513-4]</w:t>
      </w:r>
    </w:p>
    <w:p>
      <w:pPr>
        <w:spacing w:line="360" w:lineRule="auto"/>
        <w:jc w:val="both"/>
        <w:rPr>
          <w:highlight w:val="none"/>
          <w:lang w:eastAsia="zh-CN"/>
        </w:rPr>
      </w:pPr>
      <w:r>
        <w:rPr>
          <w:rFonts w:ascii="Book Antiqua" w:hAnsi="Book Antiqua" w:eastAsia="Book Antiqua" w:cs="Book Antiqua"/>
          <w:color w:val="000000"/>
          <w:highlight w:val="none"/>
        </w:rPr>
        <w:t xml:space="preserve">62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 SARS-CoV-2 RNA DETECTR Assay Accelerated Emergency Use Authorization (EUA) Summary SARS-COV-2 RNA Detectr Assa</w:t>
      </w:r>
      <w:r>
        <w:rPr>
          <w:rFonts w:hint="eastAsia" w:ascii="Book Antiqua" w:hAnsi="Book Antiqua" w:cs="Book Antiqua"/>
          <w:bCs/>
          <w:color w:val="000000"/>
          <w:highlight w:val="none"/>
          <w:lang w:eastAsia="zh-CN"/>
        </w:rPr>
        <w:t>y</w:t>
      </w:r>
      <w:r>
        <w:rPr>
          <w:rFonts w:ascii="Book Antiqua" w:hAnsi="Book Antiqua" w:eastAsia="Book Antiqua" w:cs="Book Antiqua"/>
          <w:bCs/>
          <w:color w:val="000000"/>
          <w:highlight w:val="none"/>
        </w:rPr>
        <w:t xml:space="preserve"> (UCSF Health Clinical Laboratories,</w:t>
      </w:r>
      <w:r>
        <w:rPr>
          <w:rFonts w:ascii="Book Antiqua" w:hAnsi="Book Antiqua" w:eastAsia="Book Antiqua" w:cs="Book Antiqua"/>
          <w:color w:val="000000"/>
          <w:highlight w:val="none"/>
        </w:rPr>
        <w:t xml:space="preserve"> UCSF Clinical Labs at China Basin)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https://www.fda.gov/media/139937/download</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Joung J</w:t>
      </w:r>
      <w:r>
        <w:rPr>
          <w:rFonts w:ascii="Book Antiqua" w:hAnsi="Book Antiqua" w:eastAsia="Book Antiqua" w:cs="Book Antiqua"/>
          <w:color w:val="000000"/>
          <w:highlight w:val="none"/>
        </w:rPr>
        <w:t xml:space="preserve">, Ladha A, Saito M, Segel M, Bruneau R, Huang MW, Kim NG, Yu X, Li J, Walker BD, Greninger AL, Jerome KR, Gootenberg JS, Abudayyeh OO, Zhang F. Point-of-care testing for COVID-19 using SHERLOCK diagnostics. </w:t>
      </w:r>
      <w:r>
        <w:rPr>
          <w:rFonts w:ascii="Book Antiqua" w:hAnsi="Book Antiqua" w:eastAsia="Book Antiqua" w:cs="Book Antiqua"/>
          <w:i/>
          <w:iCs/>
          <w:color w:val="000000"/>
          <w:highlight w:val="none"/>
        </w:rPr>
        <w:t>medRxiv</w:t>
      </w:r>
      <w:r>
        <w:rPr>
          <w:rFonts w:ascii="Book Antiqua" w:hAnsi="Book Antiqua" w:eastAsia="Book Antiqua" w:cs="Book Antiqua"/>
          <w:color w:val="000000"/>
          <w:highlight w:val="none"/>
        </w:rPr>
        <w:t xml:space="preserve"> 2020 [PMID: 32511521 DOI: 10.1101/2020.05.04.20091231]</w:t>
      </w:r>
    </w:p>
    <w:p>
      <w:pPr>
        <w:spacing w:line="360" w:lineRule="auto"/>
        <w:jc w:val="both"/>
        <w:rPr>
          <w:highlight w:val="none"/>
          <w:lang w:eastAsia="zh-CN"/>
        </w:rPr>
      </w:pPr>
      <w:r>
        <w:rPr>
          <w:rFonts w:ascii="Book Antiqua" w:hAnsi="Book Antiqua" w:eastAsia="Book Antiqua" w:cs="Book Antiqua"/>
          <w:color w:val="000000"/>
          <w:highlight w:val="none"/>
        </w:rPr>
        <w:t xml:space="preserve">64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Instructions For Use Sherlock Tm Crispr SARS-CoV-2 kit</w:t>
      </w:r>
      <w:r>
        <w:rPr>
          <w:rFonts w:hint="eastAsia" w:ascii="Book Antiqua" w:hAnsi="Book Antiqua" w:cs="Book Antiqua"/>
          <w:color w:val="000000"/>
          <w:highlight w:val="none"/>
          <w:lang w:eastAsia="zh-CN"/>
        </w:rPr>
        <w:t>. [</w:t>
      </w:r>
      <w:r>
        <w:rPr>
          <w:rFonts w:hint="eastAsia" w:ascii="Book Antiqua" w:hAnsi="Book Antiqua" w:cs="Book Antiqua"/>
          <w:bCs/>
          <w:color w:val="000000"/>
          <w:highlight w:val="none"/>
          <w:lang w:eastAsia="zh-CN"/>
        </w:rPr>
        <w:t xml:space="preserve">cited 10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Available from: https://www.fda.gov/media/137746/download</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Matsoukas IG</w:t>
      </w:r>
      <w:r>
        <w:rPr>
          <w:rFonts w:ascii="Book Antiqua" w:hAnsi="Book Antiqua" w:eastAsia="Book Antiqua" w:cs="Book Antiqua"/>
          <w:color w:val="000000"/>
          <w:highlight w:val="none"/>
        </w:rPr>
        <w:t xml:space="preserve">. Prime Editing: Genome Editing for Rare Genetic Diseases Without Double-Strand Breaks or Donor DNA. </w:t>
      </w:r>
      <w:r>
        <w:rPr>
          <w:rFonts w:ascii="Book Antiqua" w:hAnsi="Book Antiqua" w:eastAsia="Book Antiqua" w:cs="Book Antiqua"/>
          <w:i/>
          <w:iCs/>
          <w:color w:val="000000"/>
          <w:highlight w:val="none"/>
        </w:rPr>
        <w:t>Front Genet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528 [PMID: 32582281 DOI: 10.3389/fgene.2020.00528]</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Anzalone AV</w:t>
      </w:r>
      <w:r>
        <w:rPr>
          <w:rFonts w:ascii="Book Antiqua" w:hAnsi="Book Antiqua" w:eastAsia="Book Antiqua" w:cs="Book Antiqua"/>
          <w:color w:val="000000"/>
          <w:highlight w:val="none"/>
        </w:rPr>
        <w:t xml:space="preserve">, Randolph PB, Davis JR, Sousa AA, Koblan LW, Levy JM, Chen PJ, Wilson C, Newby GA, Raguram A, Liu DR. Search-and-replace genome editing without double-strand breaks or donor DNA.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576</w:t>
      </w:r>
      <w:r>
        <w:rPr>
          <w:rFonts w:ascii="Book Antiqua" w:hAnsi="Book Antiqua" w:eastAsia="Book Antiqua" w:cs="Book Antiqua"/>
          <w:color w:val="000000"/>
          <w:highlight w:val="none"/>
        </w:rPr>
        <w:t>: 149-157 [PMID: 31634902 DOI: 10.1038/s41586-019-1711-4]</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Davies JP</w:t>
      </w:r>
      <w:r>
        <w:rPr>
          <w:rFonts w:ascii="Book Antiqua" w:hAnsi="Book Antiqua" w:eastAsia="Book Antiqua" w:cs="Book Antiqua"/>
          <w:color w:val="000000"/>
          <w:highlight w:val="none"/>
        </w:rPr>
        <w:t xml:space="preserve">, Kumar S, Sastry-Dent L. Use of Zinc-Finger Nucleases for Crop Improvement. </w:t>
      </w:r>
      <w:r>
        <w:rPr>
          <w:rFonts w:ascii="Book Antiqua" w:hAnsi="Book Antiqua" w:eastAsia="Book Antiqua" w:cs="Book Antiqua"/>
          <w:i/>
          <w:iCs/>
          <w:color w:val="000000"/>
          <w:highlight w:val="none"/>
        </w:rPr>
        <w:t>Prog Mol Biol Transl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149</w:t>
      </w:r>
      <w:r>
        <w:rPr>
          <w:rFonts w:ascii="Book Antiqua" w:hAnsi="Book Antiqua" w:eastAsia="Book Antiqua" w:cs="Book Antiqua"/>
          <w:color w:val="000000"/>
          <w:highlight w:val="none"/>
        </w:rPr>
        <w:t>: 47-63 [PMID: 28712500 DOI: 10.1016/bs.pmbts.2017.03.006]</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Kim MS</w:t>
      </w:r>
      <w:r>
        <w:rPr>
          <w:rFonts w:ascii="Book Antiqua" w:hAnsi="Book Antiqua" w:eastAsia="Book Antiqua" w:cs="Book Antiqua"/>
          <w:color w:val="000000"/>
          <w:highlight w:val="none"/>
        </w:rPr>
        <w:t xml:space="preserve">, Kini AG. Engineering and Application of Zinc Finger Proteins and TALEs for Biomedical Research. </w:t>
      </w:r>
      <w:r>
        <w:rPr>
          <w:rFonts w:ascii="Book Antiqua" w:hAnsi="Book Antiqua" w:eastAsia="Book Antiqua" w:cs="Book Antiqua"/>
          <w:i/>
          <w:iCs/>
          <w:color w:val="000000"/>
          <w:highlight w:val="none"/>
        </w:rPr>
        <w:t>Mol Cells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533-541 [PMID: 28835021 DOI: 10.14348/molcells.2017.0139]</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Epstein BE</w:t>
      </w:r>
      <w:r>
        <w:rPr>
          <w:rFonts w:ascii="Book Antiqua" w:hAnsi="Book Antiqua" w:eastAsia="Book Antiqua" w:cs="Book Antiqua"/>
          <w:color w:val="000000"/>
          <w:highlight w:val="none"/>
        </w:rPr>
        <w:t xml:space="preserve">, Schaffer DV. Combining Engineered Nucleases with Adeno-associated Viral Vectors for Therapeutic Gene Editing. </w:t>
      </w:r>
      <w:r>
        <w:rPr>
          <w:rFonts w:ascii="Book Antiqua" w:hAnsi="Book Antiqua" w:eastAsia="Book Antiqua" w:cs="Book Antiqua"/>
          <w:i/>
          <w:iCs/>
          <w:color w:val="000000"/>
          <w:highlight w:val="none"/>
        </w:rPr>
        <w:t>Adv Exp Med Biol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1016</w:t>
      </w:r>
      <w:r>
        <w:rPr>
          <w:rFonts w:ascii="Book Antiqua" w:hAnsi="Book Antiqua" w:eastAsia="Book Antiqua" w:cs="Book Antiqua"/>
          <w:color w:val="000000"/>
          <w:highlight w:val="none"/>
        </w:rPr>
        <w:t>: 29-42 [PMID: 29130152 DOI: 10.1007/978-3-319-63904-8_2]</w:t>
      </w:r>
    </w:p>
    <w:p>
      <w:pPr>
        <w:spacing w:line="360" w:lineRule="auto"/>
        <w:jc w:val="both"/>
        <w:rPr>
          <w:highlight w:val="none"/>
          <w:lang w:eastAsia="zh-CN"/>
        </w:rPr>
      </w:pPr>
      <w:r>
        <w:rPr>
          <w:rFonts w:ascii="Book Antiqua" w:hAnsi="Book Antiqua" w:eastAsia="Book Antiqua" w:cs="Book Antiqua"/>
          <w:color w:val="000000"/>
          <w:highlight w:val="none"/>
        </w:rPr>
        <w:t xml:space="preserve">70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Fact Sheet for Healthcare Providers Administering Vaccine (Vaccination Providers): emergency use authorization (EUA) of the </w:t>
      </w:r>
      <w:r>
        <w:rPr>
          <w:rFonts w:hint="eastAsia" w:ascii="Book Antiqua" w:hAnsi="Book Antiqua" w:cs="Book Antiqua"/>
          <w:color w:val="000000"/>
          <w:highlight w:val="none"/>
          <w:lang w:eastAsia="zh-CN"/>
        </w:rPr>
        <w:t>J</w:t>
      </w:r>
      <w:r>
        <w:rPr>
          <w:rFonts w:ascii="Book Antiqua" w:hAnsi="Book Antiqua" w:eastAsia="Book Antiqua" w:cs="Book Antiqua"/>
          <w:color w:val="000000"/>
          <w:highlight w:val="none"/>
        </w:rPr>
        <w:t>anssen COVID-19 vaccine</w:t>
      </w:r>
      <w:r>
        <w:rPr>
          <w:rFonts w:hint="eastAsia" w:ascii="Book Antiqua" w:hAnsi="Book Antiqua" w:cs="Book Antiqua"/>
          <w:color w:val="000000"/>
          <w:highlight w:val="none"/>
          <w:lang w:eastAsia="zh-CN"/>
        </w:rPr>
        <w:t>. [</w:t>
      </w:r>
      <w:r>
        <w:rPr>
          <w:rFonts w:hint="eastAsia" w:ascii="Book Antiqua" w:hAnsi="Book Antiqua" w:cs="Book Antiqua"/>
          <w:bCs/>
          <w:color w:val="000000"/>
          <w:highlight w:val="none"/>
          <w:lang w:eastAsia="zh-CN"/>
        </w:rPr>
        <w:t xml:space="preserve">cited 10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Available from: https://www.cdc.gov/vaccines/covid-19/clinical-considerations/managing-anaphylaxis.html</w:t>
      </w:r>
    </w:p>
    <w:p>
      <w:pPr>
        <w:spacing w:line="360" w:lineRule="auto"/>
        <w:jc w:val="both"/>
        <w:rPr>
          <w:highlight w:val="none"/>
          <w:lang w:eastAsia="zh-CN"/>
        </w:rPr>
      </w:pPr>
      <w:r>
        <w:rPr>
          <w:rFonts w:ascii="Book Antiqua" w:hAnsi="Book Antiqua" w:eastAsia="Book Antiqua" w:cs="Book Antiqua"/>
          <w:color w:val="000000"/>
          <w:highlight w:val="none"/>
        </w:rPr>
        <w:t xml:space="preserve">71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Joint CDC and FDA Statement on Johnson &amp; Johnson COVID-19 Vaccine.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https://www.fda.gov/news-events/press-announcements/joint-cdc-and-fda-statement-johnson-johnson-covid-19-vaccine</w:t>
      </w:r>
    </w:p>
    <w:p>
      <w:pPr>
        <w:spacing w:line="360" w:lineRule="auto"/>
        <w:jc w:val="both"/>
        <w:rPr>
          <w:highlight w:val="none"/>
          <w:lang w:eastAsia="zh-CN"/>
        </w:rPr>
      </w:pPr>
      <w:r>
        <w:rPr>
          <w:rFonts w:ascii="Book Antiqua" w:hAnsi="Book Antiqua" w:eastAsia="Book Antiqua" w:cs="Book Antiqua"/>
          <w:color w:val="000000"/>
          <w:highlight w:val="none"/>
        </w:rPr>
        <w:t xml:space="preserve">72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FDA and CDC Lift Recommended Pause on Johnson &amp; Johnson (Janssen) COVID-19 Vaccine Use Following Thorough Safety Review.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https://www.fda.gov/news-events/press-announcements/fda-and-cdc-lift-recommended-pause-johnson-johnson-janssen-covid-19-vaccine-use-following-thorough</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Polack FP</w:t>
      </w:r>
      <w:r>
        <w:rPr>
          <w:rFonts w:ascii="Book Antiqua" w:hAnsi="Book Antiqua" w:eastAsia="Book Antiqua" w:cs="Book Antiqua"/>
          <w:color w:val="000000"/>
          <w:highlight w:val="none"/>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2603-2615 [PMID: 33301246 DOI: 10.1056/NEJMoa2034577]</w:t>
      </w:r>
    </w:p>
    <w:p>
      <w:pPr>
        <w:spacing w:line="360" w:lineRule="auto"/>
        <w:jc w:val="both"/>
        <w:rPr>
          <w:highlight w:val="none"/>
          <w:lang w:eastAsia="zh-CN"/>
        </w:rPr>
      </w:pPr>
      <w:r>
        <w:rPr>
          <w:rFonts w:ascii="Book Antiqua" w:hAnsi="Book Antiqua" w:eastAsia="Book Antiqua" w:cs="Book Antiqua"/>
          <w:color w:val="000000"/>
          <w:highlight w:val="none"/>
        </w:rPr>
        <w:t xml:space="preserve">74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Fact Sheet for Healthcare Providers Administering Vaccine (Vaccination Providers):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mergency use authorization (EUA) of the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fizer-</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ioNTech COVID-19 vaccine to prevent coronavirus disease 2019 (COVID-19)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Available from: https://www.fda.gov/media/144413/download</w:t>
      </w:r>
    </w:p>
    <w:p>
      <w:pPr>
        <w:spacing w:line="360" w:lineRule="auto"/>
        <w:jc w:val="both"/>
        <w:rPr>
          <w:highlight w:val="none"/>
          <w:lang w:eastAsia="zh-CN"/>
        </w:rPr>
      </w:pPr>
      <w:r>
        <w:rPr>
          <w:rFonts w:ascii="Book Antiqua" w:hAnsi="Book Antiqua" w:eastAsia="Book Antiqua" w:cs="Book Antiqua"/>
          <w:color w:val="000000"/>
          <w:highlight w:val="none"/>
        </w:rPr>
        <w:t xml:space="preserve">75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Pfizer-BioNTech COVID-19 Vaccine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Available from: https://www.fda.gov/emergency-preparedness-and-response/coronavirus-disease-2019-covid-19/pfizer-biontech-covid-19-vaccine</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Jackson LA</w:t>
      </w:r>
      <w:r>
        <w:rPr>
          <w:rFonts w:ascii="Book Antiqua" w:hAnsi="Book Antiqua" w:eastAsia="Book Antiqua" w:cs="Book Antiqua"/>
          <w:color w:val="000000"/>
          <w:highlight w:val="none"/>
        </w:rPr>
        <w:t xml:space="preserve">, Anderson EJ, Rouphael NG, Roberts PC, Makhene M, Coler RN, McCullough MP, Chappell JD, Denison MR, Stevens LJ, Pruijssers AJ, McDermott A, Flach B, Doria-Rose NA, Corbett KS, Morabito KM, O'Dell S, Schmidt SD, Swanson PA 2nd, Padilla M, Mascola JR, Neuzil KM, Bennett H, Sun W, Peters E, Makowski M, Albert J, Cross K, Buchanan W, Pikaart-Tautges R, Ledgerwood JE, Graham BS, Beigel JH; mRNA-1273 Study Group. An mRNA Vaccine against SARS-CoV-2 - Preliminary Report.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383</w:t>
      </w:r>
      <w:r>
        <w:rPr>
          <w:rFonts w:ascii="Book Antiqua" w:hAnsi="Book Antiqua" w:eastAsia="Book Antiqua" w:cs="Book Antiqua"/>
          <w:color w:val="000000"/>
          <w:highlight w:val="none"/>
        </w:rPr>
        <w:t>: 1920-1931 [PMID: 32663912 DOI: 10.1056/NEJMoa2022483]</w:t>
      </w:r>
      <w:bookmarkStart w:id="5" w:name="_GoBack"/>
      <w:bookmarkEnd w:id="5"/>
    </w:p>
    <w:p>
      <w:pPr>
        <w:spacing w:line="360" w:lineRule="auto"/>
        <w:jc w:val="both"/>
        <w:rPr>
          <w:highlight w:val="none"/>
          <w:lang w:eastAsia="zh-CN"/>
        </w:rPr>
      </w:pPr>
      <w:r>
        <w:rPr>
          <w:rFonts w:ascii="Book Antiqua" w:hAnsi="Book Antiqua" w:eastAsia="Book Antiqua" w:cs="Book Antiqua"/>
          <w:color w:val="000000"/>
          <w:highlight w:val="none"/>
        </w:rPr>
        <w:t xml:space="preserve">77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Fact Sheet for Healthcare Providers Administering Vaccine (Vaccination Providers): Emergency use authorization (EUA) of the moderna COVID-19 vaccine to prevent coronavirus disease 2019 (COVID-19)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https://www.fda.gov/media/144637/download</w:t>
      </w:r>
    </w:p>
    <w:p>
      <w:pPr>
        <w:spacing w:line="360" w:lineRule="auto"/>
        <w:jc w:val="both"/>
        <w:rPr>
          <w:highlight w:val="none"/>
          <w:lang w:eastAsia="zh-CN"/>
        </w:rPr>
      </w:pPr>
      <w:r>
        <w:rPr>
          <w:rFonts w:ascii="Book Antiqua" w:hAnsi="Book Antiqua" w:eastAsia="Book Antiqua" w:cs="Book Antiqua"/>
          <w:color w:val="000000"/>
          <w:highlight w:val="none"/>
        </w:rPr>
        <w:t xml:space="preserve">78 </w:t>
      </w:r>
      <w:r>
        <w:rPr>
          <w:rFonts w:ascii="Book Antiqua" w:hAnsi="Book Antiqua" w:eastAsia="Book Antiqua" w:cs="Book Antiqua"/>
          <w:b/>
          <w:color w:val="000000"/>
          <w:highlight w:val="none"/>
        </w:rPr>
        <w:t>U.S. Food and Drug Administration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Moderna COVID-19 Vaccine</w:t>
      </w:r>
      <w:r>
        <w:rPr>
          <w:rFonts w:hint="eastAsia" w:ascii="Book Antiqua" w:hAnsi="Book Antiqua" w:cs="Book Antiqua"/>
          <w:color w:val="000000"/>
          <w:highlight w:val="none"/>
          <w:lang w:eastAsia="zh-CN"/>
        </w:rPr>
        <w:t>. [</w:t>
      </w:r>
      <w:r>
        <w:rPr>
          <w:rFonts w:hint="eastAsia" w:ascii="Book Antiqua" w:hAnsi="Book Antiqua" w:cs="Book Antiqua"/>
          <w:bCs/>
          <w:color w:val="000000"/>
          <w:highlight w:val="none"/>
          <w:lang w:eastAsia="zh-CN"/>
        </w:rPr>
        <w:t xml:space="preserve">cited 11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U.S. Food and Drug Administration</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https://www.fda.gov/emergency-preparedness-and-response/coronavirus-disease-2019-covid-19/moderna-covid-19-vaccine</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Liebow A</w:t>
      </w:r>
      <w:r>
        <w:rPr>
          <w:rFonts w:ascii="Book Antiqua" w:hAnsi="Book Antiqua" w:eastAsia="Book Antiqua" w:cs="Book Antiqua"/>
          <w:color w:val="000000"/>
          <w:highlight w:val="none"/>
        </w:rPr>
        <w:t xml:space="preserve">, Li X, Racie T, Hettinger J, Bettencourt BR, Najafian N, Haslett P, Fitzgerald K, Holmes RP, Erbe D, Querbes W, Knight J. An Investigational RNAi Therapeutic Targeting Glycolate Oxidase Reduces Oxalate Production in Models of Primary Hyperoxaluria. </w:t>
      </w:r>
      <w:r>
        <w:rPr>
          <w:rFonts w:ascii="Book Antiqua" w:hAnsi="Book Antiqua" w:eastAsia="Book Antiqua" w:cs="Book Antiqua"/>
          <w:i/>
          <w:iCs/>
          <w:color w:val="000000"/>
          <w:highlight w:val="none"/>
        </w:rPr>
        <w:t>J Am Soc Nephrol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494-503 [PMID: 27432743 DOI: 10.1681/ASN.2016030338]</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Roshmi RR</w:t>
      </w:r>
      <w:r>
        <w:rPr>
          <w:rFonts w:ascii="Book Antiqua" w:hAnsi="Book Antiqua" w:eastAsia="Book Antiqua" w:cs="Book Antiqua"/>
          <w:color w:val="000000"/>
          <w:highlight w:val="none"/>
        </w:rPr>
        <w:t xml:space="preserve">, Yokota T. Viltolarsen for the treatment of Duchenne muscular dystrophy. </w:t>
      </w:r>
      <w:r>
        <w:rPr>
          <w:rFonts w:ascii="Book Antiqua" w:hAnsi="Book Antiqua" w:eastAsia="Book Antiqua" w:cs="Book Antiqua"/>
          <w:i/>
          <w:iCs/>
          <w:color w:val="000000"/>
          <w:highlight w:val="none"/>
        </w:rPr>
        <w:t>Drugs Today (Barc)</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627-639 [PMID: 31720560 DOI: 10.1358/dot.2019.55.10.3045038]</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Beyar-Katz O</w:t>
      </w:r>
      <w:r>
        <w:rPr>
          <w:rFonts w:ascii="Book Antiqua" w:hAnsi="Book Antiqua" w:eastAsia="Book Antiqua" w:cs="Book Antiqua"/>
          <w:color w:val="000000"/>
          <w:highlight w:val="none"/>
        </w:rPr>
        <w:t xml:space="preserve">, Gill S. Advances in chimeric antigen receptor T cells. </w:t>
      </w:r>
      <w:r>
        <w:rPr>
          <w:rFonts w:ascii="Book Antiqua" w:hAnsi="Book Antiqua" w:eastAsia="Book Antiqua" w:cs="Book Antiqua"/>
          <w:i/>
          <w:iCs/>
          <w:color w:val="000000"/>
          <w:highlight w:val="none"/>
        </w:rPr>
        <w:t>Curr Opin Hematol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368-377 [PMID: 32925186 DOI: 10.1097/MOH.0000000000000614]</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Heo YA</w:t>
      </w:r>
      <w:r>
        <w:rPr>
          <w:rFonts w:ascii="Book Antiqua" w:hAnsi="Book Antiqua" w:eastAsia="Book Antiqua" w:cs="Book Antiqua"/>
          <w:color w:val="000000"/>
          <w:highlight w:val="none"/>
        </w:rPr>
        <w:t xml:space="preserve">. Golodirsen: First Approval. </w:t>
      </w:r>
      <w:r>
        <w:rPr>
          <w:rFonts w:ascii="Book Antiqua" w:hAnsi="Book Antiqua" w:eastAsia="Book Antiqua" w:cs="Book Antiqua"/>
          <w:i/>
          <w:iCs/>
          <w:color w:val="000000"/>
          <w:highlight w:val="none"/>
        </w:rPr>
        <w:t>Drugs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329-333 [PMID: 32026421 DOI: 10.1007/s40265-020-01267-2]</w:t>
      </w:r>
    </w:p>
    <w:p>
      <w:pPr>
        <w:spacing w:line="360" w:lineRule="auto"/>
        <w:jc w:val="both"/>
        <w:rPr>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Scott LJ</w:t>
      </w:r>
      <w:r>
        <w:rPr>
          <w:rFonts w:ascii="Book Antiqua" w:hAnsi="Book Antiqua" w:eastAsia="Book Antiqua" w:cs="Book Antiqua"/>
          <w:color w:val="000000"/>
          <w:highlight w:val="none"/>
        </w:rPr>
        <w:t xml:space="preserve">. Givosiran: First Approval. </w:t>
      </w:r>
      <w:r>
        <w:rPr>
          <w:rFonts w:ascii="Book Antiqua" w:hAnsi="Book Antiqua" w:eastAsia="Book Antiqua" w:cs="Book Antiqua"/>
          <w:i/>
          <w:iCs/>
          <w:color w:val="000000"/>
          <w:highlight w:val="none"/>
        </w:rPr>
        <w:t>Drugs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335-339 [PMID: 32034693 DOI: 10.1007/s40265-020-01269-0]</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Hoy SM</w:t>
      </w:r>
      <w:r>
        <w:rPr>
          <w:rFonts w:ascii="Book Antiqua" w:hAnsi="Book Antiqua" w:eastAsia="Book Antiqua" w:cs="Book Antiqua"/>
          <w:color w:val="000000"/>
          <w:highlight w:val="none"/>
        </w:rPr>
        <w:t xml:space="preserve">. Onasemnogene Abeparvovec: First Global Approval. </w:t>
      </w:r>
      <w:r>
        <w:rPr>
          <w:rFonts w:ascii="Book Antiqua" w:hAnsi="Book Antiqua" w:eastAsia="Book Antiqua" w:cs="Book Antiqua"/>
          <w:i/>
          <w:iCs/>
          <w:color w:val="000000"/>
          <w:highlight w:val="none"/>
        </w:rPr>
        <w:t>Drugs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79</w:t>
      </w:r>
      <w:r>
        <w:rPr>
          <w:rFonts w:ascii="Book Antiqua" w:hAnsi="Book Antiqua" w:eastAsia="Book Antiqua" w:cs="Book Antiqua"/>
          <w:color w:val="000000"/>
          <w:highlight w:val="none"/>
        </w:rPr>
        <w:t>: 1255-1262 [PMID: 31270752 DOI: 10.1007/s40265-019-01162-5]</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Benson MD</w:t>
      </w:r>
      <w:r>
        <w:rPr>
          <w:rFonts w:ascii="Book Antiqua" w:hAnsi="Book Antiqua" w:eastAsia="Book Antiqua" w:cs="Book Antiqua"/>
          <w:color w:val="000000"/>
          <w:highlight w:val="none"/>
        </w:rPr>
        <w:t xml:space="preserve">, Waddington-Cruz M, Berk JL, Polydefkis M, Dyck PJ, Wang AK, Planté-Bordeneuve V, Barroso FA, Merlini G, Obici L, Scheinberg M, Brannagan TH 3rd, Litchy WJ, Whelan C, Drachman BM, Adams D, Heitner SB, Conceição I, Schmidt HH, Vita G, Campistol JM, Gamez J, Gorevic PD, Gane E, Shah AM, Solomon SD, Monia BP, Hughes SG, Kwoh TJ, McEvoy BW, Jung SW, Baker BF, Ackermann EJ, Gertz MA, Coelho T. Inotersen Treatment for Patients with Hereditary Transthyretin Amyloidosis.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379</w:t>
      </w:r>
      <w:r>
        <w:rPr>
          <w:rFonts w:ascii="Book Antiqua" w:hAnsi="Book Antiqua" w:eastAsia="Book Antiqua" w:cs="Book Antiqua"/>
          <w:color w:val="000000"/>
          <w:highlight w:val="none"/>
        </w:rPr>
        <w:t>: 22-31 [PMID: 29972757 DOI: 10.1056/NEJMoa1716793]</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Riedell PA</w:t>
      </w:r>
      <w:r>
        <w:rPr>
          <w:rFonts w:ascii="Book Antiqua" w:hAnsi="Book Antiqua" w:eastAsia="Book Antiqua" w:cs="Book Antiqua"/>
          <w:color w:val="000000"/>
          <w:highlight w:val="none"/>
        </w:rPr>
        <w:t xml:space="preserve">, Bishop MR. Safety and efficacy of axicabtagene ciloleucel in refractory large B-cell lymphomas. </w:t>
      </w:r>
      <w:r>
        <w:rPr>
          <w:rFonts w:ascii="Book Antiqua" w:hAnsi="Book Antiqua" w:eastAsia="Book Antiqua" w:cs="Book Antiqua"/>
          <w:i/>
          <w:iCs/>
          <w:color w:val="000000"/>
          <w:highlight w:val="none"/>
        </w:rPr>
        <w:t>Ther Adv Hematol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2040620720902899 [PMID: 32064069 DOI: 10.1177/2040620720902899]</w:t>
      </w:r>
    </w:p>
    <w:p>
      <w:pPr>
        <w:spacing w:line="360" w:lineRule="auto"/>
        <w:jc w:val="both"/>
        <w:rPr>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Maude SL</w:t>
      </w:r>
      <w:r>
        <w:rPr>
          <w:rFonts w:ascii="Book Antiqua" w:hAnsi="Book Antiqua" w:eastAsia="Book Antiqua" w:cs="Book Antiqua"/>
          <w:color w:val="000000"/>
          <w:highlight w:val="none"/>
        </w:rPr>
        <w:t xml:space="preserve">,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Tisagenlecleucel in Children and Young Adults with B-Cell Lymphoblastic Leukemia.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378</w:t>
      </w:r>
      <w:r>
        <w:rPr>
          <w:rFonts w:ascii="Book Antiqua" w:hAnsi="Book Antiqua" w:eastAsia="Book Antiqua" w:cs="Book Antiqua"/>
          <w:color w:val="000000"/>
          <w:highlight w:val="none"/>
        </w:rPr>
        <w:t>: 439-448 [PMID: 29385370 DOI: 10.1056/NEJMoa1709866]</w:t>
      </w:r>
    </w:p>
    <w:p>
      <w:pPr>
        <w:spacing w:line="360" w:lineRule="auto"/>
        <w:jc w:val="both"/>
        <w:rPr>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Chiriboga CA</w:t>
      </w:r>
      <w:r>
        <w:rPr>
          <w:rFonts w:ascii="Book Antiqua" w:hAnsi="Book Antiqua" w:eastAsia="Book Antiqua" w:cs="Book Antiqua"/>
          <w:color w:val="000000"/>
          <w:highlight w:val="none"/>
        </w:rPr>
        <w:t xml:space="preserve">. Nusinersen for the treatment of spinal muscular atrophy. </w:t>
      </w:r>
      <w:r>
        <w:rPr>
          <w:rFonts w:ascii="Book Antiqua" w:hAnsi="Book Antiqua" w:eastAsia="Book Antiqua" w:cs="Book Antiqua"/>
          <w:i/>
          <w:iCs/>
          <w:color w:val="000000"/>
          <w:highlight w:val="none"/>
        </w:rPr>
        <w:t>Expert Rev Neurother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955-962 [PMID: 28884620 DOI: 10.1080/14737175.2017.1364159]</w:t>
      </w:r>
    </w:p>
    <w:p>
      <w:pPr>
        <w:spacing w:line="360" w:lineRule="auto"/>
        <w:jc w:val="both"/>
        <w:rPr>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Lim KR</w:t>
      </w:r>
      <w:r>
        <w:rPr>
          <w:rFonts w:ascii="Book Antiqua" w:hAnsi="Book Antiqua" w:eastAsia="Book Antiqua" w:cs="Book Antiqua"/>
          <w:color w:val="000000"/>
          <w:highlight w:val="none"/>
        </w:rPr>
        <w:t xml:space="preserve">, Maruyama R, Yokota T. Eteplirsen in the treatment of Duchenne muscular dystrophy. </w:t>
      </w:r>
      <w:r>
        <w:rPr>
          <w:rFonts w:ascii="Book Antiqua" w:hAnsi="Book Antiqua" w:eastAsia="Book Antiqua" w:cs="Book Antiqua"/>
          <w:i/>
          <w:iCs/>
          <w:color w:val="000000"/>
          <w:highlight w:val="none"/>
        </w:rPr>
        <w:t>Drug Des Devel Ther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533-545 [PMID: 28280301 DOI: 10.2147/DDDT.S97635]</w:t>
      </w:r>
    </w:p>
    <w:p>
      <w:pPr>
        <w:spacing w:line="360" w:lineRule="auto"/>
        <w:jc w:val="both"/>
        <w:rPr>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Bommareddy PK</w:t>
      </w:r>
      <w:r>
        <w:rPr>
          <w:rFonts w:ascii="Book Antiqua" w:hAnsi="Book Antiqua" w:eastAsia="Book Antiqua" w:cs="Book Antiqua"/>
          <w:color w:val="000000"/>
          <w:highlight w:val="none"/>
        </w:rPr>
        <w:t xml:space="preserve">, Patel A, Hossain S, Kaufman HL. Talimogene Laherparepvec (T-VEC) and Other Oncolytic Viruses for the Treatment of Melanoma. </w:t>
      </w:r>
      <w:r>
        <w:rPr>
          <w:rFonts w:ascii="Book Antiqua" w:hAnsi="Book Antiqua" w:eastAsia="Book Antiqua" w:cs="Book Antiqua"/>
          <w:i/>
          <w:iCs/>
          <w:color w:val="000000"/>
          <w:highlight w:val="none"/>
        </w:rPr>
        <w:t>Am J Clin Dermatol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1-15 [PMID: 27988837 DOI: 10.1007/s40257-016-0238-9]</w:t>
      </w:r>
    </w:p>
    <w:p>
      <w:pPr>
        <w:spacing w:line="360" w:lineRule="auto"/>
        <w:jc w:val="both"/>
        <w:rPr>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color w:val="000000"/>
          <w:highlight w:val="none"/>
        </w:rPr>
        <w:t>Business Wire</w:t>
      </w:r>
      <w:r>
        <w:rPr>
          <w:rFonts w:ascii="Book Antiqua" w:hAnsi="Book Antiqua" w:eastAsia="Book Antiqua" w:cs="Book Antiqua"/>
          <w:color w:val="000000"/>
          <w:highlight w:val="none"/>
        </w:rPr>
        <w:t>. Pfizer and Sangamo Announce Updated Phase 1/2 Results Showing Sustained Factor VIII Activity Levels and No Bleeding Events or Factor Usage in 3e13 vg/kg Cohort Following giroctocogene fitelparvovec (SB-525) Gene Therapy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bCs/>
          <w:color w:val="000000"/>
          <w:highlight w:val="none"/>
          <w:lang w:eastAsia="zh-CN"/>
        </w:rPr>
        <w:t xml:space="preserve">[cited 10 </w:t>
      </w:r>
      <w:r>
        <w:rPr>
          <w:rFonts w:ascii="Book Antiqua" w:hAnsi="Book Antiqua" w:cs="Book Antiqua"/>
          <w:bCs/>
          <w:color w:val="000000"/>
          <w:highlight w:val="none"/>
          <w:lang w:eastAsia="zh-CN"/>
        </w:rPr>
        <w:t>December</w:t>
      </w:r>
      <w:r>
        <w:rPr>
          <w:rFonts w:hint="eastAsia" w:ascii="Book Antiqua" w:hAnsi="Book Antiqua" w:cs="Book Antiqua"/>
          <w:bCs/>
          <w:color w:val="000000"/>
          <w:highlight w:val="none"/>
          <w:lang w:eastAsia="zh-CN"/>
        </w:rPr>
        <w:t xml:space="preserve"> 2020]. </w:t>
      </w:r>
      <w:r>
        <w:rPr>
          <w:rFonts w:hint="eastAsia" w:ascii="Book Antiqua" w:hAnsi="Book Antiqua" w:cs="Book Antiqua"/>
          <w:color w:val="000000"/>
          <w:highlight w:val="none"/>
          <w:lang w:eastAsia="zh-CN"/>
        </w:rPr>
        <w:t>In</w:t>
      </w:r>
      <w:r>
        <w:rPr>
          <w:rFonts w:ascii="Book Antiqua" w:hAnsi="Book Antiqua" w:eastAsia="Book Antiqua" w:cs="Book Antiqua"/>
          <w:color w:val="000000"/>
          <w:highlight w:val="none"/>
        </w:rPr>
        <w:t xml:space="preserve">: Business Wire: Berkshire Hathaway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ompany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Available from: https://www.businesswire.com/news/home/20200618005091/en/</w:t>
      </w:r>
    </w:p>
    <w:p>
      <w:pPr>
        <w:spacing w:line="360" w:lineRule="auto"/>
        <w:jc w:val="both"/>
        <w:rPr>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Brandts J</w:t>
      </w:r>
      <w:r>
        <w:rPr>
          <w:rFonts w:ascii="Book Antiqua" w:hAnsi="Book Antiqua" w:eastAsia="Book Antiqua" w:cs="Book Antiqua"/>
          <w:color w:val="000000"/>
          <w:highlight w:val="none"/>
        </w:rPr>
        <w:t xml:space="preserve">, Ray KK. Clinical implications and outcomes of the ORION Phase III trials. </w:t>
      </w:r>
      <w:r>
        <w:rPr>
          <w:rFonts w:ascii="Book Antiqua" w:hAnsi="Book Antiqua" w:eastAsia="Book Antiqua" w:cs="Book Antiqua"/>
          <w:i/>
          <w:iCs/>
          <w:color w:val="000000"/>
          <w:highlight w:val="none"/>
        </w:rPr>
        <w:t>Future Cardiol</w:t>
      </w:r>
      <w:r>
        <w:rPr>
          <w:rFonts w:ascii="Book Antiqua" w:hAnsi="Book Antiqua" w:eastAsia="Book Antiqua" w:cs="Book Antiqua"/>
          <w:color w:val="000000"/>
          <w:highlight w:val="none"/>
        </w:rPr>
        <w:t xml:space="preserve"> 2020 [PMID: 33345605 DOI: 10.2217/fca-2020-0150]</w:t>
      </w:r>
    </w:p>
    <w:p>
      <w:pPr>
        <w:spacing w:line="360" w:lineRule="auto"/>
        <w:jc w:val="both"/>
        <w:rPr>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Witztum JL</w:t>
      </w:r>
      <w:r>
        <w:rPr>
          <w:rFonts w:ascii="Book Antiqua" w:hAnsi="Book Antiqua" w:eastAsia="Book Antiqua" w:cs="Book Antiqua"/>
          <w:color w:val="000000"/>
          <w:highlight w:val="none"/>
        </w:rPr>
        <w:t xml:space="preserve">, Gaudet D, Freedman SD, Alexander VJ, Digenio A, Williams KR, Yang Q, Hughes SG, Geary RS, Arca M, Stroes ESG, Bergeron J, Soran H, Civeira F, Hemphill L, Tsimikas S, Blom DJ, O'Dea L, Bruckert E. Volanesorsen and Triglyceride Levels in Familial Chylomicronemia Syndrome.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381</w:t>
      </w:r>
      <w:r>
        <w:rPr>
          <w:rFonts w:ascii="Book Antiqua" w:hAnsi="Book Antiqua" w:eastAsia="Book Antiqua" w:cs="Book Antiqua"/>
          <w:color w:val="000000"/>
          <w:highlight w:val="none"/>
        </w:rPr>
        <w:t>: 531-542 [PMID: 31390500 DOI: 10.1056/NEJMoa1715944]</w:t>
      </w:r>
    </w:p>
    <w:p>
      <w:pPr>
        <w:spacing w:line="360" w:lineRule="auto"/>
        <w:jc w:val="both"/>
        <w:rPr>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Frangoul H</w:t>
      </w:r>
      <w:r>
        <w:rPr>
          <w:rFonts w:ascii="Book Antiqua" w:hAnsi="Book Antiqua" w:eastAsia="Book Antiqua" w:cs="Book Antiqua"/>
          <w:color w:val="000000"/>
          <w:highlight w:val="none"/>
        </w:rPr>
        <w:t xml:space="preserve">, Altshuler D, Cappellini MD, Chen YS, Domm J, Eustace BK, Foell J, de la Fuente J, Grupp S, Handgretinger R, Ho TW, Kattamis A, Kernytsky A, Lekstrom-Himes J, Li AM, Locatelli F, Mapara MY, de Montalembert M, Rondelli D, Sharma A, Sheth S, Soni S, Steinberg MH, Wall D, Yen A, Corbacioglu S. CRISPR-Cas9 Gene Editing for Sickle Cell Disease and β-Thalassemia.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384</w:t>
      </w:r>
      <w:r>
        <w:rPr>
          <w:rFonts w:ascii="Book Antiqua" w:hAnsi="Book Antiqua" w:eastAsia="Book Antiqua" w:cs="Book Antiqua"/>
          <w:color w:val="000000"/>
          <w:highlight w:val="none"/>
        </w:rPr>
        <w:t>: 252-260 [PMID: 33283989 DOI: 10.1056/NEJMoa2031054]</w:t>
      </w:r>
    </w:p>
    <w:bookmarkEnd w:id="4"/>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None of the authors have any conflict of interest.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January 12,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17,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19,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Medical laboratory technology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Taheri S</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br w:type="page"/>
      </w:r>
      <w:r>
        <w:rPr>
          <w:rFonts w:ascii="Book Antiqua" w:hAnsi="Book Antiqua" w:eastAsia="Book Antiqua" w:cs="Book Antiqua"/>
          <w:b/>
          <w:color w:val="000000"/>
          <w:highlight w:val="none"/>
        </w:rPr>
        <w:t>Table 1</w:t>
      </w:r>
      <w:r>
        <w:rPr>
          <w:rFonts w:hint="eastAsia" w:ascii="Book Antiqua" w:hAnsi="Book Antiqua" w:cs="Book Antiqua"/>
          <w:b/>
          <w:color w:val="000000"/>
          <w:highlight w:val="none"/>
          <w:lang w:eastAsia="zh-CN"/>
        </w:rPr>
        <w:t xml:space="preserve"> </w:t>
      </w:r>
      <w:r>
        <w:rPr>
          <w:rFonts w:ascii="Book Antiqua" w:hAnsi="Book Antiqua" w:eastAsia="Book Antiqua" w:cs="Book Antiqua"/>
          <w:b/>
          <w:color w:val="000000"/>
          <w:highlight w:val="none"/>
        </w:rPr>
        <w:t>Characteristics of commonly used genomic tools</w:t>
      </w:r>
    </w:p>
    <w:tbl>
      <w:tblPr>
        <w:tblStyle w:val="14"/>
        <w:tblW w:w="10747" w:type="dxa"/>
        <w:tblInd w:w="-90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4"/>
        <w:gridCol w:w="3013"/>
        <w:gridCol w:w="2813"/>
        <w:gridCol w:w="30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4" w:type="dxa"/>
            <w:tcBorders>
              <w:bottom w:val="single" w:color="auto" w:sz="4" w:space="0"/>
              <w:insideV w:val="nil"/>
            </w:tcBorders>
            <w:shd w:val="clear" w:color="auto" w:fill="auto"/>
          </w:tcPr>
          <w:p>
            <w:pPr>
              <w:pStyle w:val="13"/>
              <w:spacing w:line="360" w:lineRule="auto"/>
              <w:jc w:val="both"/>
              <w:rPr>
                <w:rFonts w:ascii="Book Antiqua" w:hAnsi="Book Antiqua" w:cs="Times New Roman"/>
                <w:b/>
                <w:bCs/>
                <w:color w:val="auto"/>
                <w:sz w:val="24"/>
                <w:szCs w:val="24"/>
                <w:highlight w:val="none"/>
              </w:rPr>
            </w:pPr>
            <w:r>
              <w:rPr>
                <w:rFonts w:ascii="Book Antiqua" w:hAnsi="Book Antiqua" w:cs="Times New Roman"/>
                <w:b/>
                <w:bCs/>
                <w:color w:val="auto"/>
                <w:sz w:val="24"/>
                <w:szCs w:val="24"/>
                <w:highlight w:val="none"/>
              </w:rPr>
              <w:t>Tools for genomics</w:t>
            </w:r>
          </w:p>
        </w:tc>
        <w:tc>
          <w:tcPr>
            <w:tcW w:w="3013" w:type="dxa"/>
            <w:tcBorders>
              <w:bottom w:val="single" w:color="auto" w:sz="4" w:space="0"/>
              <w:insideV w:val="nil"/>
            </w:tcBorders>
            <w:shd w:val="clear" w:color="auto" w:fill="auto"/>
          </w:tcPr>
          <w:p>
            <w:pPr>
              <w:pStyle w:val="13"/>
              <w:spacing w:line="360" w:lineRule="auto"/>
              <w:jc w:val="both"/>
              <w:rPr>
                <w:rFonts w:ascii="Book Antiqua" w:hAnsi="Book Antiqua" w:cs="Times New Roman"/>
                <w:b/>
                <w:bCs/>
                <w:color w:val="auto"/>
                <w:sz w:val="24"/>
                <w:szCs w:val="24"/>
                <w:highlight w:val="none"/>
              </w:rPr>
            </w:pPr>
            <w:r>
              <w:rPr>
                <w:rFonts w:ascii="Book Antiqua" w:hAnsi="Book Antiqua" w:cs="Times New Roman"/>
                <w:b/>
                <w:bCs/>
                <w:color w:val="auto"/>
                <w:sz w:val="24"/>
                <w:szCs w:val="24"/>
                <w:highlight w:val="none"/>
              </w:rPr>
              <w:t>Principle of use</w:t>
            </w:r>
          </w:p>
        </w:tc>
        <w:tc>
          <w:tcPr>
            <w:tcW w:w="2813" w:type="dxa"/>
            <w:tcBorders>
              <w:bottom w:val="single" w:color="auto" w:sz="4" w:space="0"/>
              <w:insideV w:val="nil"/>
            </w:tcBorders>
            <w:shd w:val="clear" w:color="auto" w:fill="auto"/>
          </w:tcPr>
          <w:p>
            <w:pPr>
              <w:pStyle w:val="13"/>
              <w:spacing w:line="360" w:lineRule="auto"/>
              <w:jc w:val="both"/>
              <w:rPr>
                <w:rFonts w:ascii="Book Antiqua" w:hAnsi="Book Antiqua" w:cs="Times New Roman"/>
                <w:b/>
                <w:bCs/>
                <w:color w:val="auto"/>
                <w:sz w:val="24"/>
                <w:szCs w:val="24"/>
                <w:highlight w:val="none"/>
              </w:rPr>
            </w:pPr>
            <w:r>
              <w:rPr>
                <w:rFonts w:ascii="Book Antiqua" w:hAnsi="Book Antiqua" w:cs="Times New Roman"/>
                <w:b/>
                <w:bCs/>
                <w:color w:val="auto"/>
                <w:sz w:val="24"/>
                <w:szCs w:val="24"/>
                <w:highlight w:val="none"/>
              </w:rPr>
              <w:t xml:space="preserve">Pros and </w:t>
            </w:r>
            <w:r>
              <w:rPr>
                <w:rFonts w:hint="eastAsia" w:ascii="Book Antiqua" w:hAnsi="Book Antiqua" w:cs="Times New Roman"/>
                <w:b/>
                <w:bCs/>
                <w:color w:val="auto"/>
                <w:sz w:val="24"/>
                <w:szCs w:val="24"/>
                <w:highlight w:val="none"/>
                <w:lang w:eastAsia="zh-CN"/>
              </w:rPr>
              <w:t>a</w:t>
            </w:r>
            <w:r>
              <w:rPr>
                <w:rFonts w:ascii="Book Antiqua" w:hAnsi="Book Antiqua" w:cs="Times New Roman"/>
                <w:b/>
                <w:bCs/>
                <w:color w:val="auto"/>
                <w:sz w:val="24"/>
                <w:szCs w:val="24"/>
                <w:highlight w:val="none"/>
              </w:rPr>
              <w:t>pplication</w:t>
            </w:r>
          </w:p>
        </w:tc>
        <w:tc>
          <w:tcPr>
            <w:tcW w:w="3067" w:type="dxa"/>
            <w:tcBorders>
              <w:bottom w:val="single" w:color="auto" w:sz="4" w:space="0"/>
              <w:insideV w:val="nil"/>
            </w:tcBorders>
            <w:shd w:val="clear" w:color="auto" w:fill="auto"/>
          </w:tcPr>
          <w:p>
            <w:pPr>
              <w:pStyle w:val="13"/>
              <w:spacing w:line="360" w:lineRule="auto"/>
              <w:jc w:val="both"/>
              <w:rPr>
                <w:rFonts w:ascii="Book Antiqua" w:hAnsi="Book Antiqua" w:cs="Times New Roman"/>
                <w:b/>
                <w:bCs/>
                <w:color w:val="auto"/>
                <w:sz w:val="24"/>
                <w:szCs w:val="24"/>
                <w:highlight w:val="none"/>
              </w:rPr>
            </w:pPr>
            <w:r>
              <w:rPr>
                <w:rFonts w:ascii="Book Antiqua" w:hAnsi="Book Antiqua" w:cs="Times New Roman"/>
                <w:b/>
                <w:bCs/>
                <w:color w:val="auto"/>
                <w:sz w:val="24"/>
                <w:szCs w:val="24"/>
                <w:highlight w:val="none"/>
              </w:rPr>
              <w:t>Limitation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4" w:type="dxa"/>
            <w:tcBorders>
              <w:top w:val="single" w:color="auto" w:sz="4" w:space="0"/>
            </w:tcBorders>
            <w:shd w:val="clear" w:color="auto" w:fill="auto"/>
          </w:tcPr>
          <w:p>
            <w:pPr>
              <w:pStyle w:val="13"/>
              <w:spacing w:line="360" w:lineRule="auto"/>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Genome-wide association studies (GWAS)</w:t>
            </w:r>
          </w:p>
        </w:tc>
        <w:tc>
          <w:tcPr>
            <w:tcW w:w="3013" w:type="dxa"/>
            <w:tcBorders>
              <w:top w:val="single" w:color="auto" w:sz="4" w:space="0"/>
            </w:tcBorders>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Gene mapping study using DNA microarray to identify the association between SNP and specific risk alleles that are more prevalent in cases than in controls, via linkage disequilibrium</w:t>
            </w:r>
          </w:p>
        </w:tc>
        <w:tc>
          <w:tcPr>
            <w:tcW w:w="2813" w:type="dxa"/>
            <w:tcBorders>
              <w:top w:val="single" w:color="auto" w:sz="4" w:space="0"/>
            </w:tcBorders>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Has potential for population-based application.</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Example</w:t>
            </w:r>
            <w:r>
              <w:rPr>
                <w:rFonts w:hint="eastAsia" w:ascii="Book Antiqua" w:hAnsi="Book Antiqua" w:cs="Times New Roman"/>
                <w:sz w:val="24"/>
                <w:szCs w:val="24"/>
                <w:highlight w:val="none"/>
                <w:lang w:eastAsia="zh-CN"/>
              </w:rPr>
              <w:t xml:space="preserve"> </w:t>
            </w:r>
            <w:r>
              <w:rPr>
                <w:rFonts w:ascii="Book Antiqua" w:hAnsi="Book Antiqua" w:eastAsia="Book Antiqua" w:cs="Book Antiqua"/>
                <w:bCs/>
                <w:color w:val="000000"/>
                <w:highlight w:val="none"/>
              </w:rPr>
              <w:t>—</w:t>
            </w:r>
            <w:r>
              <w:rPr>
                <w:rFonts w:ascii="Book Antiqua" w:hAnsi="Book Antiqua" w:cs="Times New Roman"/>
                <w:sz w:val="24"/>
                <w:szCs w:val="24"/>
                <w:highlight w:val="none"/>
              </w:rPr>
              <w:t xml:space="preserve"> The Severe COV</w:t>
            </w:r>
            <w:r>
              <w:rPr>
                <w:rFonts w:hint="eastAsia" w:ascii="Book Antiqua" w:hAnsi="Book Antiqua" w:cs="Times New Roman"/>
                <w:sz w:val="24"/>
                <w:szCs w:val="24"/>
                <w:highlight w:val="none"/>
                <w:lang w:val="en-US" w:eastAsia="zh-CN"/>
              </w:rPr>
              <w:t>ID</w:t>
            </w:r>
            <w:r>
              <w:rPr>
                <w:rFonts w:ascii="Book Antiqua" w:hAnsi="Book Antiqua" w:cs="Times New Roman"/>
                <w:sz w:val="24"/>
                <w:szCs w:val="24"/>
                <w:highlight w:val="none"/>
              </w:rPr>
              <w:t>-19 GWAS Group</w:t>
            </w:r>
            <w:r>
              <w:rPr>
                <w:rFonts w:hint="eastAsia" w:ascii="Book Antiqua" w:hAnsi="Book Antiqua" w:cs="Times New Roman"/>
                <w:sz w:val="24"/>
                <w:szCs w:val="24"/>
                <w:highlight w:val="none"/>
                <w:vertAlign w:val="superscript"/>
                <w:lang w:eastAsia="zh-CN"/>
              </w:rPr>
              <w:t>[34]</w:t>
            </w:r>
            <w:r>
              <w:rPr>
                <w:rFonts w:ascii="Book Antiqua" w:hAnsi="Book Antiqua" w:cs="Times New Roman"/>
                <w:sz w:val="24"/>
                <w:szCs w:val="24"/>
                <w:highlight w:val="none"/>
              </w:rPr>
              <w:t xml:space="preserve"> studied patients with respiratory failure from severe COVID-19 and narrowed down the genetic susceptibility locus to a gene cluster on chromosome locus 3p21.31. They also verified the potential involvement of the ABO blood group system</w:t>
            </w:r>
          </w:p>
        </w:tc>
        <w:tc>
          <w:tcPr>
            <w:tcW w:w="3067" w:type="dxa"/>
            <w:tcBorders>
              <w:top w:val="single" w:color="auto" w:sz="4" w:space="0"/>
            </w:tcBorders>
            <w:shd w:val="clear" w:color="auto" w:fill="auto"/>
          </w:tcPr>
          <w:p>
            <w:pPr>
              <w:pStyle w:val="13"/>
              <w:spacing w:line="360" w:lineRule="auto"/>
              <w:jc w:val="both"/>
              <w:rPr>
                <w:rFonts w:ascii="Book Antiqua" w:hAnsi="Book Antiqua" w:cs="Times New Roman"/>
                <w:sz w:val="24"/>
                <w:szCs w:val="24"/>
                <w:highlight w:val="none"/>
                <w:lang w:eastAsia="zh-CN"/>
              </w:rPr>
            </w:pPr>
            <w:r>
              <w:rPr>
                <w:rFonts w:hint="eastAsia" w:ascii="Book Antiqua" w:hAnsi="Book Antiqua" w:cs="Times New Roman"/>
                <w:sz w:val="24"/>
                <w:szCs w:val="24"/>
                <w:highlight w:val="none"/>
                <w:lang w:eastAsia="zh-CN"/>
              </w:rPr>
              <w:t>D</w:t>
            </w:r>
            <w:r>
              <w:rPr>
                <w:rFonts w:ascii="Book Antiqua" w:hAnsi="Book Antiqua" w:cs="Times New Roman"/>
                <w:sz w:val="24"/>
                <w:szCs w:val="24"/>
                <w:highlight w:val="none"/>
              </w:rPr>
              <w:t>oes not establish causality but only an association with SNP</w:t>
            </w:r>
            <w:r>
              <w:rPr>
                <w:rFonts w:hint="eastAsia" w:ascii="Book Antiqua" w:hAnsi="Book Antiqua" w:cs="Times New Roman"/>
                <w:sz w:val="24"/>
                <w:szCs w:val="24"/>
                <w:highlight w:val="none"/>
                <w:lang w:eastAsia="zh-CN"/>
              </w:rPr>
              <w:t>; M</w:t>
            </w:r>
            <w:r>
              <w:rPr>
                <w:rFonts w:ascii="Book Antiqua" w:hAnsi="Book Antiqua" w:cs="Times New Roman"/>
                <w:sz w:val="24"/>
                <w:szCs w:val="24"/>
                <w:highlight w:val="none"/>
              </w:rPr>
              <w:t>issing heritability- cannot explain variance in complex traits or genes with a small effect size</w:t>
            </w:r>
            <w:r>
              <w:rPr>
                <w:rFonts w:hint="eastAsia" w:ascii="Book Antiqua" w:hAnsi="Book Antiqua" w:cs="Times New Roman"/>
                <w:sz w:val="24"/>
                <w:szCs w:val="24"/>
                <w:highlight w:val="none"/>
                <w:lang w:eastAsia="zh-CN"/>
              </w:rPr>
              <w:t>; D</w:t>
            </w:r>
            <w:r>
              <w:rPr>
                <w:rFonts w:ascii="Book Antiqua" w:hAnsi="Book Antiqua" w:cs="Times New Roman"/>
                <w:sz w:val="24"/>
                <w:szCs w:val="24"/>
                <w:highlight w:val="none"/>
              </w:rPr>
              <w:t>oes not account for epigenetic changes and epistasis (gene-gene interaction)</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GWAS data catalog mostly from individuals of European descent  which may limit application in minority population</w:t>
            </w:r>
            <w:r>
              <w:rPr>
                <w:rFonts w:hint="eastAsia" w:ascii="Book Antiqua" w:hAnsi="Book Antiqua" w:cs="Times New Roman"/>
                <w:sz w:val="24"/>
                <w:szCs w:val="24"/>
                <w:highlight w:val="none"/>
                <w:vertAlign w:val="superscript"/>
                <w:lang w:eastAsia="zh-CN"/>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4" w:type="dxa"/>
            <w:shd w:val="clear" w:color="auto" w:fill="auto"/>
          </w:tcPr>
          <w:p>
            <w:pPr>
              <w:pStyle w:val="13"/>
              <w:spacing w:line="360" w:lineRule="auto"/>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Expression quantitative trait loci (eQTL) analysis</w:t>
            </w:r>
          </w:p>
        </w:tc>
        <w:tc>
          <w:tcPr>
            <w:tcW w:w="30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Links SNPs to changes in gene expression by measuring the expression of many genes simultaneously in microarrays. Helps to narrow down to SNPs more likely to impact the disease condition</w:t>
            </w:r>
          </w:p>
        </w:tc>
        <w:tc>
          <w:tcPr>
            <w:tcW w:w="28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Provides better insight into specific causal mechanisms</w:t>
            </w:r>
            <w:r>
              <w:rPr>
                <w:rFonts w:hint="eastAsia" w:ascii="Book Antiqua" w:hAnsi="Book Antiqua" w:cs="Times New Roman"/>
                <w:sz w:val="24"/>
                <w:szCs w:val="24"/>
                <w:highlight w:val="none"/>
                <w:vertAlign w:val="superscript"/>
                <w:lang w:eastAsia="zh-CN"/>
              </w:rPr>
              <w:t>[36]</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 xml:space="preserve">Liver eQTL </w:t>
            </w:r>
            <w:r>
              <w:rPr>
                <w:rFonts w:ascii="Book Antiqua" w:hAnsi="Book Antiqua" w:eastAsia="Book Antiqua" w:cs="Book Antiqua"/>
                <w:bCs/>
                <w:color w:val="000000"/>
                <w:highlight w:val="none"/>
              </w:rPr>
              <w:t>—</w:t>
            </w:r>
            <w:r>
              <w:rPr>
                <w:rFonts w:ascii="Book Antiqua" w:hAnsi="Book Antiqua" w:cs="Times New Roman"/>
                <w:sz w:val="24"/>
                <w:szCs w:val="24"/>
                <w:highlight w:val="none"/>
              </w:rPr>
              <w:t xml:space="preserve"> useful in pharmacogenomic studies by analyzing Epistatic eQTL Interactions</w:t>
            </w:r>
            <w:r>
              <w:rPr>
                <w:rFonts w:hint="eastAsia" w:ascii="Book Antiqua" w:hAnsi="Book Antiqua" w:cs="Times New Roman"/>
                <w:sz w:val="24"/>
                <w:szCs w:val="24"/>
                <w:highlight w:val="none"/>
                <w:vertAlign w:val="superscript"/>
                <w:lang w:eastAsia="zh-CN"/>
              </w:rPr>
              <w:t>[37]</w:t>
            </w:r>
          </w:p>
        </w:tc>
        <w:tc>
          <w:tcPr>
            <w:tcW w:w="3067" w:type="dxa"/>
            <w:shd w:val="clear" w:color="auto" w:fill="auto"/>
          </w:tcPr>
          <w:p>
            <w:pPr>
              <w:pStyle w:val="13"/>
              <w:spacing w:line="360" w:lineRule="auto"/>
              <w:jc w:val="both"/>
              <w:rPr>
                <w:rFonts w:ascii="Book Antiqua" w:hAnsi="Book Antiqua" w:cs="Times New Roman"/>
                <w:sz w:val="24"/>
                <w:szCs w:val="24"/>
                <w:highlight w:val="none"/>
                <w:lang w:eastAsia="zh-CN"/>
              </w:rPr>
            </w:pPr>
            <w:r>
              <w:rPr>
                <w:rFonts w:ascii="Book Antiqua" w:hAnsi="Book Antiqua" w:cs="Times New Roman"/>
                <w:sz w:val="24"/>
                <w:szCs w:val="24"/>
                <w:highlight w:val="none"/>
              </w:rPr>
              <w:t>Limited tissue interrogation will give misleading biological interpretations about the gene mediating the regulatory effect to increase disease risk</w:t>
            </w:r>
            <w:r>
              <w:rPr>
                <w:rFonts w:hint="eastAsia" w:ascii="Book Antiqua" w:hAnsi="Book Antiqua" w:cs="Times New Roman"/>
                <w:sz w:val="24"/>
                <w:szCs w:val="24"/>
                <w:highlight w:val="none"/>
                <w:vertAlign w:val="superscript"/>
                <w:lang w:eastAsia="zh-CN"/>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2" w:hRule="atLeast"/>
        </w:trPr>
        <w:tc>
          <w:tcPr>
            <w:tcW w:w="1854" w:type="dxa"/>
            <w:vMerge w:val="restart"/>
            <w:shd w:val="clear" w:color="auto" w:fill="auto"/>
          </w:tcPr>
          <w:p>
            <w:pPr>
              <w:pStyle w:val="13"/>
              <w:spacing w:line="360" w:lineRule="auto"/>
              <w:jc w:val="both"/>
              <w:rPr>
                <w:rFonts w:ascii="Book Antiqua" w:hAnsi="Book Antiqua" w:cs="Times New Roman"/>
                <w:b w:val="0"/>
                <w:bCs/>
                <w:color w:val="auto"/>
                <w:sz w:val="24"/>
                <w:szCs w:val="24"/>
                <w:highlight w:val="none"/>
                <w:lang w:eastAsia="zh-CN"/>
              </w:rPr>
            </w:pPr>
            <w:r>
              <w:rPr>
                <w:rFonts w:ascii="Book Antiqua" w:hAnsi="Book Antiqua" w:cs="Times New Roman"/>
                <w:b w:val="0"/>
                <w:bCs/>
                <w:color w:val="auto"/>
                <w:sz w:val="24"/>
                <w:szCs w:val="24"/>
                <w:highlight w:val="none"/>
              </w:rPr>
              <w:t>Deep sequencing or Next-generation sequencing</w:t>
            </w:r>
          </w:p>
        </w:tc>
        <w:tc>
          <w:tcPr>
            <w:tcW w:w="3013" w:type="dxa"/>
            <w:shd w:val="clear" w:color="auto" w:fill="auto"/>
          </w:tcPr>
          <w:p>
            <w:pPr>
              <w:pStyle w:val="13"/>
              <w:spacing w:line="360" w:lineRule="auto"/>
              <w:jc w:val="both"/>
              <w:rPr>
                <w:rFonts w:ascii="Book Antiqua" w:hAnsi="Book Antiqua" w:cs="Times New Roman"/>
                <w:sz w:val="24"/>
                <w:szCs w:val="24"/>
                <w:highlight w:val="none"/>
                <w:u w:val="single"/>
              </w:rPr>
            </w:pPr>
            <w:r>
              <w:rPr>
                <w:rFonts w:ascii="Book Antiqua" w:hAnsi="Book Antiqua" w:cs="Times New Roman"/>
                <w:b/>
                <w:bCs/>
                <w:sz w:val="24"/>
                <w:szCs w:val="24"/>
                <w:highlight w:val="none"/>
              </w:rPr>
              <w:t>Exome sequencing</w:t>
            </w:r>
            <w:r>
              <w:rPr>
                <w:rFonts w:hint="eastAsia" w:ascii="Book Antiqua" w:hAnsi="Book Antiqua" w:cs="Times New Roman"/>
                <w:b/>
                <w:bCs/>
                <w:sz w:val="24"/>
                <w:szCs w:val="24"/>
                <w:highlight w:val="none"/>
                <w:lang w:eastAsia="zh-CN"/>
              </w:rPr>
              <w:t xml:space="preserve">: </w:t>
            </w:r>
            <w:r>
              <w:rPr>
                <w:rFonts w:ascii="Book Antiqua" w:hAnsi="Book Antiqua" w:cs="Times New Roman"/>
                <w:sz w:val="24"/>
                <w:szCs w:val="24"/>
                <w:highlight w:val="none"/>
              </w:rPr>
              <w:t>85% of known disease-causing mutations in Mendelian disorders are found in exons. Exome sequencing is a useful tool to find the causal genes for Mendelian disorders</w:t>
            </w:r>
          </w:p>
        </w:tc>
        <w:tc>
          <w:tcPr>
            <w:tcW w:w="28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Reduced cost and limited data to interpret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Linkage study design is unsuitable for extremely rare and sporadic Mendelian disorders for which exome sequencing would be more practical</w:t>
            </w:r>
            <w:r>
              <w:rPr>
                <w:rFonts w:hint="eastAsia" w:ascii="Book Antiqua" w:hAnsi="Book Antiqua" w:cs="Times New Roman"/>
                <w:sz w:val="24"/>
                <w:szCs w:val="24"/>
                <w:highlight w:val="none"/>
                <w:vertAlign w:val="superscript"/>
                <w:lang w:eastAsia="zh-CN"/>
              </w:rPr>
              <w:t>[39]</w:t>
            </w:r>
          </w:p>
        </w:tc>
        <w:tc>
          <w:tcPr>
            <w:tcW w:w="3067"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b/>
                <w:bCs/>
                <w:sz w:val="24"/>
                <w:szCs w:val="24"/>
                <w:highlight w:val="none"/>
              </w:rPr>
              <w:t>Exome sequencing</w:t>
            </w:r>
            <w:r>
              <w:rPr>
                <w:rFonts w:hint="eastAsia" w:ascii="Book Antiqua" w:hAnsi="Book Antiqua" w:cs="Times New Roman"/>
                <w:sz w:val="24"/>
                <w:szCs w:val="24"/>
                <w:highlight w:val="none"/>
                <w:lang w:eastAsia="zh-CN"/>
              </w:rPr>
              <w:t>:</w:t>
            </w:r>
            <w:r>
              <w:rPr>
                <w:rFonts w:ascii="Book Antiqua" w:hAnsi="Book Antiqua" w:cs="Times New Roman"/>
                <w:sz w:val="24"/>
                <w:szCs w:val="24"/>
                <w:highlight w:val="none"/>
              </w:rPr>
              <w:t xml:space="preserve"> It can miss pathogenic variants in a non-coding region.</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Repetitive regions (</w:t>
            </w:r>
            <w:r>
              <w:rPr>
                <w:rFonts w:ascii="Book Antiqua" w:hAnsi="Book Antiqua" w:cs="Times New Roman"/>
                <w:i/>
                <w:sz w:val="24"/>
                <w:szCs w:val="24"/>
                <w:highlight w:val="none"/>
              </w:rPr>
              <w:t>e.g.</w:t>
            </w:r>
            <w:r>
              <w:rPr>
                <w:rFonts w:ascii="Book Antiqua" w:hAnsi="Book Antiqua" w:cs="Times New Roman"/>
                <w:sz w:val="24"/>
                <w:szCs w:val="24"/>
                <w:highlight w:val="none"/>
              </w:rPr>
              <w:t>, pseudogenes) can</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confound results in whole-exome sequencing</w:t>
            </w:r>
            <w:r>
              <w:rPr>
                <w:rFonts w:hint="eastAsia" w:ascii="Book Antiqua" w:hAnsi="Book Antiqua" w:cs="Times New Roman"/>
                <w:sz w:val="24"/>
                <w:szCs w:val="24"/>
                <w:highlight w:val="none"/>
                <w:vertAlign w:val="superscript"/>
                <w:lang w:eastAsia="zh-CN"/>
              </w:rPr>
              <w:t>[41]</w:t>
            </w:r>
            <w:r>
              <w:rPr>
                <w:rFonts w:hint="eastAsia" w:ascii="Book Antiqua" w:hAnsi="Book Antiqua" w:cs="Times New Roman"/>
                <w:sz w:val="24"/>
                <w:szCs w:val="24"/>
                <w:highlight w:val="none"/>
                <w:lang w:eastAsia="zh-CN"/>
              </w:rPr>
              <w:t>;</w:t>
            </w:r>
            <w:r>
              <w:rPr>
                <w:rFonts w:ascii="Book Antiqua" w:hAnsi="Book Antiqua" w:cs="Times New Roman"/>
                <w:sz w:val="24"/>
                <w:szCs w:val="24"/>
                <w:highlight w:val="none"/>
              </w:rPr>
              <w:t xml:space="preserve"> </w:t>
            </w:r>
            <w:r>
              <w:rPr>
                <w:rFonts w:hint="eastAsia" w:ascii="Book Antiqua" w:hAnsi="Book Antiqua" w:cs="Times New Roman"/>
                <w:sz w:val="24"/>
                <w:szCs w:val="24"/>
                <w:highlight w:val="none"/>
                <w:lang w:eastAsia="zh-CN"/>
              </w:rPr>
              <w:t>P</w:t>
            </w:r>
            <w:r>
              <w:rPr>
                <w:rFonts w:ascii="Book Antiqua" w:hAnsi="Book Antiqua" w:cs="Times New Roman"/>
                <w:sz w:val="24"/>
                <w:szCs w:val="24"/>
                <w:highlight w:val="none"/>
              </w:rPr>
              <w:t>otentiate technical biases regarding exon capture limiting its use in detecting copy-number variants</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as well as in genomic regions where capture is less efficient</w:t>
            </w:r>
            <w:r>
              <w:rPr>
                <w:rFonts w:hint="eastAsia" w:ascii="Book Antiqua" w:hAnsi="Book Antiqua" w:cs="Times New Roman"/>
                <w:sz w:val="24"/>
                <w:szCs w:val="24"/>
                <w:highlight w:val="none"/>
                <w:vertAlign w:val="superscript"/>
                <w:lang w:eastAsia="zh-CN"/>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2" w:hRule="atLeast"/>
        </w:trPr>
        <w:tc>
          <w:tcPr>
            <w:tcW w:w="1854" w:type="dxa"/>
            <w:vMerge w:val="continue"/>
            <w:shd w:val="clear" w:color="auto" w:fill="auto"/>
          </w:tcPr>
          <w:p>
            <w:pPr>
              <w:pStyle w:val="13"/>
              <w:spacing w:line="360" w:lineRule="auto"/>
              <w:jc w:val="both"/>
              <w:rPr>
                <w:highlight w:val="none"/>
              </w:rPr>
            </w:pPr>
          </w:p>
        </w:tc>
        <w:tc>
          <w:tcPr>
            <w:tcW w:w="3013" w:type="dxa"/>
            <w:shd w:val="clear" w:color="auto" w:fill="auto"/>
          </w:tcPr>
          <w:p>
            <w:pPr>
              <w:pStyle w:val="13"/>
              <w:spacing w:line="360" w:lineRule="auto"/>
              <w:jc w:val="both"/>
              <w:rPr>
                <w:highlight w:val="none"/>
              </w:rPr>
            </w:pPr>
            <w:r>
              <w:rPr>
                <w:rFonts w:ascii="Book Antiqua" w:hAnsi="Book Antiqua" w:cs="Times New Roman"/>
                <w:b/>
                <w:bCs/>
                <w:sz w:val="24"/>
                <w:szCs w:val="24"/>
                <w:highlight w:val="none"/>
              </w:rPr>
              <w:t>Whole-genome sequencing</w:t>
            </w:r>
            <w:r>
              <w:rPr>
                <w:rFonts w:hint="eastAsia" w:ascii="Book Antiqua" w:hAnsi="Book Antiqua" w:cs="Times New Roman"/>
                <w:b/>
                <w:bCs/>
                <w:sz w:val="24"/>
                <w:szCs w:val="24"/>
                <w:highlight w:val="none"/>
                <w:lang w:eastAsia="zh-CN"/>
              </w:rPr>
              <w:t>:</w:t>
            </w:r>
            <w:r>
              <w:rPr>
                <w:rFonts w:ascii="Book Antiqua" w:hAnsi="Book Antiqua" w:cs="Times New Roman"/>
                <w:sz w:val="24"/>
                <w:szCs w:val="24"/>
                <w:highlight w:val="none"/>
              </w:rPr>
              <w:t xml:space="preserve"> </w:t>
            </w:r>
            <w:r>
              <w:rPr>
                <w:rFonts w:hint="eastAsia" w:ascii="Book Antiqua" w:hAnsi="Book Antiqua" w:cs="Times New Roman"/>
                <w:sz w:val="24"/>
                <w:szCs w:val="24"/>
                <w:highlight w:val="none"/>
                <w:shd w:val="clear" w:color="auto" w:fill="FFFFFF"/>
                <w:lang w:eastAsia="zh-CN"/>
              </w:rPr>
              <w:t>C</w:t>
            </w:r>
            <w:r>
              <w:rPr>
                <w:rFonts w:ascii="Book Antiqua" w:hAnsi="Book Antiqua" w:cs="Times New Roman"/>
                <w:sz w:val="24"/>
                <w:szCs w:val="24"/>
                <w:highlight w:val="none"/>
                <w:shd w:val="clear" w:color="auto" w:fill="FFFFFF"/>
              </w:rPr>
              <w:t xml:space="preserve">an sequence every nucleotide base in the human genome (approximately 3.3 </w:t>
            </w:r>
            <w:r>
              <w:rPr>
                <w:rFonts w:ascii="Book Antiqua" w:hAnsi="Book Antiqua" w:cs="Book Antiqua"/>
                <w:color w:val="000000"/>
                <w:sz w:val="24"/>
                <w:szCs w:val="24"/>
                <w:highlight w:val="none"/>
              </w:rPr>
              <w:t>×</w:t>
            </w:r>
            <w:r>
              <w:rPr>
                <w:rFonts w:ascii="Book Antiqua" w:hAnsi="Book Antiqua" w:cs="Times New Roman"/>
                <w:sz w:val="24"/>
                <w:szCs w:val="24"/>
                <w:highlight w:val="none"/>
                <w:shd w:val="clear" w:color="auto" w:fill="FFFFFF"/>
              </w:rPr>
              <w:t xml:space="preserve"> 10</w:t>
            </w:r>
            <w:r>
              <w:rPr>
                <w:rFonts w:ascii="Book Antiqua" w:hAnsi="Book Antiqua" w:cs="Times New Roman"/>
                <w:sz w:val="24"/>
                <w:szCs w:val="24"/>
                <w:highlight w:val="none"/>
                <w:shd w:val="clear" w:color="auto" w:fill="FFFFFF"/>
                <w:vertAlign w:val="superscript"/>
              </w:rPr>
              <w:t xml:space="preserve">9 </w:t>
            </w:r>
            <w:r>
              <w:rPr>
                <w:rFonts w:ascii="Book Antiqua" w:hAnsi="Book Antiqua" w:cs="Times New Roman"/>
                <w:sz w:val="24"/>
                <w:szCs w:val="24"/>
                <w:highlight w:val="none"/>
                <w:shd w:val="clear" w:color="auto" w:fill="FFFFFF"/>
              </w:rPr>
              <w:t>base pairs</w:t>
            </w:r>
            <w:r>
              <w:rPr>
                <w:rFonts w:ascii="Book Antiqua" w:hAnsi="Book Antiqua" w:cs="Times New Roman"/>
                <w:sz w:val="24"/>
                <w:szCs w:val="24"/>
                <w:highlight w:val="none"/>
              </w:rPr>
              <w:t>)</w:t>
            </w:r>
          </w:p>
        </w:tc>
        <w:tc>
          <w:tcPr>
            <w:tcW w:w="28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b/>
                <w:bCs/>
                <w:sz w:val="24"/>
                <w:szCs w:val="24"/>
                <w:highlight w:val="none"/>
              </w:rPr>
              <w:t>Whole-genome sequencing</w:t>
            </w:r>
            <w:r>
              <w:rPr>
                <w:rFonts w:hint="eastAsia" w:ascii="Book Antiqua" w:hAnsi="Book Antiqua" w:cs="Times New Roman"/>
                <w:sz w:val="24"/>
                <w:szCs w:val="24"/>
                <w:highlight w:val="none"/>
                <w:lang w:eastAsia="zh-CN"/>
              </w:rPr>
              <w:t>: A</w:t>
            </w:r>
            <w:r>
              <w:rPr>
                <w:rFonts w:ascii="Book Antiqua" w:hAnsi="Book Antiqua" w:cs="Times New Roman"/>
                <w:sz w:val="24"/>
                <w:szCs w:val="24"/>
                <w:highlight w:val="none"/>
              </w:rPr>
              <w:t>voids inherent biases of exome capture</w:t>
            </w:r>
          </w:p>
        </w:tc>
        <w:tc>
          <w:tcPr>
            <w:tcW w:w="3067"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b/>
                <w:bCs/>
                <w:sz w:val="24"/>
                <w:szCs w:val="24"/>
                <w:highlight w:val="none"/>
              </w:rPr>
              <w:t>Whole-genome sequencing</w:t>
            </w:r>
            <w:r>
              <w:rPr>
                <w:rFonts w:hint="eastAsia" w:ascii="Book Antiqua" w:hAnsi="Book Antiqua" w:cs="Times New Roman"/>
                <w:sz w:val="24"/>
                <w:szCs w:val="24"/>
                <w:highlight w:val="none"/>
                <w:lang w:eastAsia="zh-CN"/>
              </w:rPr>
              <w:t>:</w:t>
            </w:r>
            <w:r>
              <w:rPr>
                <w:rFonts w:ascii="Book Antiqua" w:hAnsi="Book Antiqua" w:cs="Times New Roman"/>
                <w:sz w:val="24"/>
                <w:szCs w:val="24"/>
                <w:highlight w:val="none"/>
              </w:rPr>
              <w:t xml:space="preserve"> Too much data but little clinical knowledge available to interpret</w:t>
            </w:r>
            <w:r>
              <w:rPr>
                <w:rFonts w:hint="eastAsia" w:ascii="Book Antiqua" w:hAnsi="Book Antiqua" w:cs="Times New Roman"/>
                <w:sz w:val="24"/>
                <w:szCs w:val="24"/>
                <w:highlight w:val="none"/>
                <w:lang w:eastAsia="zh-CN"/>
              </w:rPr>
              <w:t>; H</w:t>
            </w:r>
            <w:r>
              <w:rPr>
                <w:rFonts w:ascii="Book Antiqua" w:hAnsi="Book Antiqua" w:cs="Times New Roman"/>
                <w:sz w:val="24"/>
                <w:szCs w:val="24"/>
                <w:highlight w:val="none"/>
              </w:rPr>
              <w:t>igher cost compared to clinical utility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4" w:hRule="atLeast"/>
        </w:trPr>
        <w:tc>
          <w:tcPr>
            <w:tcW w:w="1854" w:type="dxa"/>
            <w:vMerge w:val="continue"/>
            <w:shd w:val="clear" w:color="auto" w:fill="auto"/>
          </w:tcPr>
          <w:p>
            <w:pPr>
              <w:pStyle w:val="13"/>
              <w:spacing w:line="360" w:lineRule="auto"/>
              <w:jc w:val="both"/>
              <w:rPr>
                <w:highlight w:val="none"/>
              </w:rPr>
            </w:pPr>
          </w:p>
        </w:tc>
        <w:tc>
          <w:tcPr>
            <w:tcW w:w="3013" w:type="dxa"/>
            <w:shd w:val="clear" w:color="auto" w:fill="auto"/>
          </w:tcPr>
          <w:p>
            <w:pPr>
              <w:pStyle w:val="13"/>
              <w:spacing w:line="360" w:lineRule="auto"/>
              <w:jc w:val="both"/>
              <w:rPr>
                <w:rFonts w:ascii="Book Antiqua" w:hAnsi="Book Antiqua" w:cs="Times New Roman"/>
                <w:b/>
                <w:bCs/>
                <w:sz w:val="24"/>
                <w:szCs w:val="24"/>
                <w:highlight w:val="none"/>
              </w:rPr>
            </w:pPr>
            <w:r>
              <w:rPr>
                <w:rFonts w:ascii="Book Antiqua" w:hAnsi="Book Antiqua" w:cs="Times New Roman"/>
                <w:b/>
                <w:bCs/>
                <w:sz w:val="24"/>
                <w:szCs w:val="24"/>
                <w:highlight w:val="none"/>
              </w:rPr>
              <w:t>Targeted gene panel</w:t>
            </w:r>
            <w:r>
              <w:rPr>
                <w:rFonts w:hint="eastAsia" w:ascii="Book Antiqua" w:hAnsi="Book Antiqua" w:cs="Times New Roman"/>
                <w:b/>
                <w:bCs/>
                <w:sz w:val="24"/>
                <w:szCs w:val="24"/>
                <w:highlight w:val="none"/>
                <w:lang w:eastAsia="zh-CN"/>
              </w:rPr>
              <w:t xml:space="preserve">: </w:t>
            </w:r>
            <w:r>
              <w:rPr>
                <w:rFonts w:hint="eastAsia" w:ascii="Book Antiqua" w:hAnsi="Book Antiqua" w:cs="Times New Roman"/>
                <w:sz w:val="24"/>
                <w:szCs w:val="24"/>
                <w:highlight w:val="none"/>
                <w:lang w:eastAsia="zh-CN"/>
              </w:rPr>
              <w:t>P</w:t>
            </w:r>
            <w:r>
              <w:rPr>
                <w:rFonts w:ascii="Book Antiqua" w:hAnsi="Book Antiqua" w:cs="Times New Roman"/>
                <w:sz w:val="24"/>
                <w:szCs w:val="24"/>
                <w:highlight w:val="none"/>
              </w:rPr>
              <w:t>rovides information on prespecified disease-associated genes</w:t>
            </w:r>
          </w:p>
        </w:tc>
        <w:tc>
          <w:tcPr>
            <w:tcW w:w="2813" w:type="dxa"/>
            <w:shd w:val="clear" w:color="auto" w:fill="auto"/>
          </w:tcPr>
          <w:p>
            <w:pPr>
              <w:pStyle w:val="13"/>
              <w:spacing w:line="360" w:lineRule="auto"/>
              <w:jc w:val="both"/>
              <w:rPr>
                <w:rFonts w:ascii="Book Antiqua" w:hAnsi="Book Antiqua" w:cs="Times New Roman"/>
                <w:b/>
                <w:bCs/>
                <w:sz w:val="24"/>
                <w:szCs w:val="24"/>
                <w:highlight w:val="none"/>
              </w:rPr>
            </w:pPr>
            <w:r>
              <w:rPr>
                <w:rFonts w:ascii="Book Antiqua" w:hAnsi="Book Antiqua" w:cs="Times New Roman"/>
                <w:b/>
                <w:bCs/>
                <w:sz w:val="24"/>
                <w:szCs w:val="24"/>
                <w:highlight w:val="none"/>
              </w:rPr>
              <w:t>Examples</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Rapid whole-genome sequencing to investigate extensively drug-resistant (XDR) tuberculosis</w:t>
            </w:r>
            <w:r>
              <w:rPr>
                <w:rFonts w:hint="eastAsia" w:ascii="Book Antiqua" w:hAnsi="Book Antiqua" w:cs="Times New Roman"/>
                <w:sz w:val="24"/>
                <w:szCs w:val="24"/>
                <w:highlight w:val="none"/>
                <w:vertAlign w:val="superscript"/>
                <w:lang w:eastAsia="zh-CN"/>
              </w:rPr>
              <w:t>[40]</w:t>
            </w:r>
          </w:p>
        </w:tc>
        <w:tc>
          <w:tcPr>
            <w:tcW w:w="3067" w:type="dxa"/>
            <w:shd w:val="clear" w:color="auto" w:fill="auto"/>
          </w:tcPr>
          <w:p>
            <w:pPr>
              <w:pStyle w:val="13"/>
              <w:spacing w:line="360" w:lineRule="auto"/>
              <w:jc w:val="both"/>
              <w:rPr>
                <w:rFonts w:ascii="Book Antiqua" w:hAnsi="Book Antiqua" w:cs="Times New Roman"/>
                <w:b/>
                <w:bCs/>
                <w:sz w:val="24"/>
                <w:szCs w:val="24"/>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4" w:type="dxa"/>
            <w:shd w:val="clear" w:color="auto" w:fill="auto"/>
          </w:tcPr>
          <w:p>
            <w:pPr>
              <w:pStyle w:val="13"/>
              <w:spacing w:line="360" w:lineRule="auto"/>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RNA-seq</w:t>
            </w:r>
          </w:p>
        </w:tc>
        <w:tc>
          <w:tcPr>
            <w:tcW w:w="30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 xml:space="preserve">Uses NGS to analyze RNA expression patterns or transcriptome profiling by reverse transcription of RNA sample to </w:t>
            </w:r>
            <w:r>
              <w:rPr>
                <w:rFonts w:hint="eastAsia" w:ascii="Book Antiqua" w:hAnsi="Book Antiqua" w:cs="Times New Roman"/>
                <w:sz w:val="24"/>
                <w:szCs w:val="24"/>
                <w:highlight w:val="none"/>
                <w:lang w:eastAsia="zh-CN"/>
              </w:rPr>
              <w:t>c</w:t>
            </w:r>
            <w:r>
              <w:rPr>
                <w:rFonts w:ascii="Book Antiqua" w:hAnsi="Book Antiqua" w:cs="Times New Roman"/>
                <w:sz w:val="24"/>
                <w:szCs w:val="24"/>
                <w:highlight w:val="none"/>
              </w:rPr>
              <w:t>omplementary DNAs</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(cDNA) and PCR amplification</w:t>
            </w:r>
          </w:p>
        </w:tc>
        <w:tc>
          <w:tcPr>
            <w:tcW w:w="28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b/>
                <w:bCs/>
                <w:sz w:val="24"/>
                <w:szCs w:val="24"/>
                <w:highlight w:val="none"/>
              </w:rPr>
              <w:t>Can be used</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to analyze RNA expression profile at single cell level or quantify gene expression</w:t>
            </w:r>
            <w:r>
              <w:rPr>
                <w:rFonts w:hint="eastAsia" w:ascii="Book Antiqua" w:hAnsi="Book Antiqua" w:cs="Times New Roman"/>
                <w:sz w:val="24"/>
                <w:szCs w:val="24"/>
                <w:highlight w:val="none"/>
                <w:vertAlign w:val="superscript"/>
                <w:lang w:eastAsia="zh-CN"/>
              </w:rPr>
              <w:t>[43]</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to obtain data on novel transcripts and is not limited by availability of reference genome data</w:t>
            </w:r>
            <w:r>
              <w:rPr>
                <w:rFonts w:hint="eastAsia" w:ascii="Book Antiqua" w:hAnsi="Book Antiqua" w:cs="Times New Roman"/>
                <w:sz w:val="24"/>
                <w:szCs w:val="24"/>
                <w:highlight w:val="none"/>
                <w:vertAlign w:val="superscript"/>
                <w:lang w:eastAsia="zh-CN"/>
              </w:rPr>
              <w:t>[44]</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shd w:val="clear" w:color="auto" w:fill="FFFFFF"/>
              </w:rPr>
              <w:t>to identify alternatively spliced genes</w:t>
            </w:r>
            <w:r>
              <w:rPr>
                <w:rFonts w:hint="eastAsia" w:ascii="Book Antiqua" w:hAnsi="Book Antiqua" w:cs="Times New Roman"/>
                <w:sz w:val="24"/>
                <w:szCs w:val="24"/>
                <w:highlight w:val="none"/>
                <w:shd w:val="clear" w:color="auto" w:fill="FFFFFF"/>
                <w:lang w:eastAsia="zh-CN"/>
              </w:rPr>
              <w:t>;</w:t>
            </w:r>
            <w:r>
              <w:rPr>
                <w:rFonts w:ascii="Book Antiqua" w:hAnsi="Book Antiqua" w:cs="Times New Roman"/>
                <w:sz w:val="24"/>
                <w:szCs w:val="24"/>
                <w:highlight w:val="none"/>
                <w:shd w:val="clear" w:color="auto" w:fill="FFFFFF"/>
              </w:rPr>
              <w:t xml:space="preserve"> to detect allele-specific gene expression</w:t>
            </w:r>
            <w:r>
              <w:rPr>
                <w:rFonts w:hint="eastAsia" w:ascii="Book Antiqua" w:hAnsi="Book Antiqua" w:cs="Times New Roman"/>
                <w:sz w:val="24"/>
                <w:szCs w:val="24"/>
                <w:highlight w:val="none"/>
                <w:vertAlign w:val="superscript"/>
                <w:lang w:eastAsia="zh-CN"/>
              </w:rPr>
              <w:t>[44]</w:t>
            </w:r>
          </w:p>
        </w:tc>
        <w:tc>
          <w:tcPr>
            <w:tcW w:w="3067"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shd w:val="clear" w:color="auto" w:fill="FFFFFF"/>
              </w:rPr>
              <w:t>cDNA synthesis and PCR amplification steps can introduce bias and errors</w:t>
            </w:r>
            <w:r>
              <w:rPr>
                <w:rFonts w:hint="eastAsia" w:ascii="Book Antiqua" w:hAnsi="Book Antiqua" w:cs="Times New Roman"/>
                <w:sz w:val="24"/>
                <w:szCs w:val="24"/>
                <w:highlight w:val="none"/>
                <w:vertAlign w:val="superscript"/>
                <w:lang w:eastAsia="zh-CN"/>
              </w:rPr>
              <w:t>[44]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6" w:hRule="atLeast"/>
        </w:trPr>
        <w:tc>
          <w:tcPr>
            <w:tcW w:w="1854" w:type="dxa"/>
            <w:vMerge w:val="restart"/>
            <w:shd w:val="clear" w:color="auto" w:fill="auto"/>
          </w:tcPr>
          <w:p>
            <w:pPr>
              <w:pStyle w:val="13"/>
              <w:spacing w:line="360" w:lineRule="auto"/>
              <w:jc w:val="both"/>
              <w:rPr>
                <w:rFonts w:ascii="Book Antiqua" w:hAnsi="Book Antiqua" w:cs="Times New Roman"/>
                <w:b w:val="0"/>
                <w:bCs/>
                <w:color w:val="auto"/>
                <w:sz w:val="24"/>
                <w:szCs w:val="24"/>
                <w:highlight w:val="none"/>
                <w:lang w:eastAsia="zh-CN"/>
              </w:rPr>
            </w:pPr>
            <w:r>
              <w:rPr>
                <w:rFonts w:ascii="Book Antiqua" w:hAnsi="Book Antiqua" w:cs="Times New Roman"/>
                <w:b w:val="0"/>
                <w:bCs/>
                <w:color w:val="auto"/>
                <w:sz w:val="24"/>
                <w:szCs w:val="24"/>
                <w:highlight w:val="none"/>
              </w:rPr>
              <w:t>Epigenomics</w:t>
            </w:r>
          </w:p>
        </w:tc>
        <w:tc>
          <w:tcPr>
            <w:tcW w:w="3013" w:type="dxa"/>
            <w:shd w:val="clear" w:color="auto" w:fill="auto"/>
          </w:tcPr>
          <w:p>
            <w:pPr>
              <w:pStyle w:val="13"/>
              <w:spacing w:line="360" w:lineRule="auto"/>
              <w:jc w:val="both"/>
              <w:rPr>
                <w:rFonts w:ascii="Book Antiqua" w:hAnsi="Book Antiqua" w:cs="Times New Roman"/>
                <w:sz w:val="24"/>
                <w:szCs w:val="24"/>
                <w:highlight w:val="none"/>
                <w:lang w:eastAsia="zh-CN"/>
              </w:rPr>
            </w:pPr>
            <w:r>
              <w:rPr>
                <w:rFonts w:ascii="Book Antiqua" w:hAnsi="Book Antiqua" w:cs="Times New Roman"/>
                <w:sz w:val="24"/>
                <w:szCs w:val="24"/>
                <w:highlight w:val="none"/>
              </w:rPr>
              <w:t>Epigenomics involves methods used to identify DNA methylation and histone modifications. Sodium bisulfite can identify unmethylated cytosines due to its ability to convert unmethylated cytosines to uracil. However the methylated cytosine is resistant to this conversion. Methylation-dependent restriction enzymes are used for DNA methylation analysis</w:t>
            </w:r>
            <w:r>
              <w:rPr>
                <w:rFonts w:hint="eastAsia" w:ascii="Book Antiqua" w:hAnsi="Book Antiqua" w:cs="Times New Roman"/>
                <w:sz w:val="24"/>
                <w:szCs w:val="24"/>
                <w:highlight w:val="none"/>
                <w:vertAlign w:val="superscript"/>
                <w:lang w:eastAsia="zh-CN"/>
              </w:rPr>
              <w:t>[45]</w:t>
            </w:r>
            <w:r>
              <w:rPr>
                <w:rFonts w:ascii="Book Antiqua" w:hAnsi="Book Antiqua" w:cs="Times New Roman"/>
                <w:sz w:val="24"/>
                <w:szCs w:val="24"/>
                <w:highlight w:val="none"/>
              </w:rPr>
              <w:t>. Chromatin immunoprecipitation (ChIP) is used</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for the investigation of histone modifications</w:t>
            </w:r>
          </w:p>
        </w:tc>
        <w:tc>
          <w:tcPr>
            <w:tcW w:w="2813" w:type="dxa"/>
            <w:vMerge w:val="restart"/>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ChIP allows precise mapping of the DNA-protein interaction in living cells.</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 xml:space="preserve">Cross-linked protein-DNA complex can be treated with exonucleases to remove cross-linked DNA sequences that are not avidly bound to protein of interest. This is called ChIP-Exo. This allows mapping of </w:t>
            </w:r>
            <w:r>
              <w:rPr>
                <w:rFonts w:ascii="Book Antiqua" w:hAnsi="Book Antiqua" w:cs="Times New Roman"/>
                <w:i/>
                <w:sz w:val="24"/>
                <w:szCs w:val="24"/>
                <w:highlight w:val="none"/>
              </w:rPr>
              <w:t>in vivo</w:t>
            </w:r>
            <w:r>
              <w:rPr>
                <w:rFonts w:ascii="Book Antiqua" w:hAnsi="Book Antiqua" w:cs="Times New Roman"/>
                <w:sz w:val="24"/>
                <w:szCs w:val="24"/>
                <w:highlight w:val="none"/>
              </w:rPr>
              <w:t xml:space="preserve"> protein occupancy at single nucleotide-level resolution</w:t>
            </w:r>
            <w:r>
              <w:rPr>
                <w:rFonts w:hint="eastAsia" w:ascii="Book Antiqua" w:hAnsi="Book Antiqua" w:cs="Times New Roman"/>
                <w:sz w:val="24"/>
                <w:szCs w:val="24"/>
                <w:highlight w:val="none"/>
                <w:vertAlign w:val="superscript"/>
                <w:lang w:eastAsia="zh-CN"/>
              </w:rPr>
              <w:t>[47]</w:t>
            </w:r>
          </w:p>
        </w:tc>
        <w:tc>
          <w:tcPr>
            <w:tcW w:w="3067" w:type="dxa"/>
            <w:vMerge w:val="restart"/>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Needs design of antibodies specific to DNA-bound protein of interest which could be modified histone or transcription factors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6" w:hRule="atLeast"/>
        </w:trPr>
        <w:tc>
          <w:tcPr>
            <w:tcW w:w="1854" w:type="dxa"/>
            <w:vMerge w:val="continue"/>
            <w:shd w:val="clear" w:color="auto" w:fill="auto"/>
          </w:tcPr>
          <w:p>
            <w:pPr>
              <w:pStyle w:val="13"/>
              <w:spacing w:line="360" w:lineRule="auto"/>
              <w:jc w:val="both"/>
              <w:rPr>
                <w:highlight w:val="none"/>
              </w:rPr>
            </w:pPr>
          </w:p>
        </w:tc>
        <w:tc>
          <w:tcPr>
            <w:tcW w:w="30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b/>
                <w:bCs/>
                <w:sz w:val="24"/>
                <w:szCs w:val="24"/>
                <w:highlight w:val="none"/>
              </w:rPr>
              <w:t>Immunoprecipitation techniques</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ChIP on Chip</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ChIP-Seq</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Chromatin is isolated from the sample and the DNA involved in DNA protein cross-linked complex is isolated using antibodies specific to the DNA-bound protein. The isolated DNA is amplified using PCR and analyzed using gel electrophoresis imaging, microarray hybridization (ChIP-chip), or direct sequencing with NGS (ChIP-Seq)</w:t>
            </w:r>
            <w:r>
              <w:rPr>
                <w:rFonts w:hint="eastAsia" w:ascii="Book Antiqua" w:hAnsi="Book Antiqua" w:cs="Times New Roman"/>
                <w:sz w:val="24"/>
                <w:szCs w:val="24"/>
                <w:highlight w:val="none"/>
                <w:vertAlign w:val="superscript"/>
                <w:lang w:eastAsia="zh-CN"/>
              </w:rPr>
              <w:t>[46]</w:t>
            </w:r>
          </w:p>
        </w:tc>
        <w:tc>
          <w:tcPr>
            <w:tcW w:w="2813" w:type="dxa"/>
            <w:vMerge w:val="continue"/>
            <w:shd w:val="clear" w:color="auto" w:fill="auto"/>
          </w:tcPr>
          <w:p>
            <w:pPr>
              <w:pStyle w:val="13"/>
              <w:spacing w:line="360" w:lineRule="auto"/>
              <w:jc w:val="both"/>
              <w:rPr>
                <w:rFonts w:ascii="Book Antiqua" w:hAnsi="Book Antiqua" w:cs="Times New Roman"/>
                <w:sz w:val="24"/>
                <w:szCs w:val="24"/>
                <w:highlight w:val="none"/>
              </w:rPr>
            </w:pPr>
          </w:p>
        </w:tc>
        <w:tc>
          <w:tcPr>
            <w:tcW w:w="3067" w:type="dxa"/>
            <w:vMerge w:val="continue"/>
            <w:shd w:val="clear" w:color="auto" w:fill="auto"/>
          </w:tcPr>
          <w:p>
            <w:pPr>
              <w:pStyle w:val="13"/>
              <w:spacing w:line="360" w:lineRule="auto"/>
              <w:jc w:val="both"/>
              <w:rPr>
                <w:rFonts w:ascii="Book Antiqua" w:hAnsi="Book Antiqua" w:cs="Times New Roman"/>
                <w:sz w:val="24"/>
                <w:szCs w:val="24"/>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1854" w:type="dxa"/>
            <w:vMerge w:val="restart"/>
            <w:shd w:val="clear" w:color="auto" w:fill="auto"/>
          </w:tcPr>
          <w:p>
            <w:pPr>
              <w:pStyle w:val="13"/>
              <w:spacing w:line="360" w:lineRule="auto"/>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Transcriptomics</w:t>
            </w:r>
          </w:p>
        </w:tc>
        <w:tc>
          <w:tcPr>
            <w:tcW w:w="3013" w:type="dxa"/>
            <w:shd w:val="clear" w:color="auto" w:fill="auto"/>
          </w:tcPr>
          <w:p>
            <w:pPr>
              <w:pStyle w:val="13"/>
              <w:spacing w:line="360" w:lineRule="auto"/>
              <w:jc w:val="both"/>
              <w:rPr>
                <w:rFonts w:ascii="Book Antiqua" w:hAnsi="Book Antiqua" w:cs="Times New Roman"/>
                <w:b/>
                <w:sz w:val="24"/>
                <w:szCs w:val="24"/>
                <w:highlight w:val="none"/>
                <w:lang w:eastAsia="zh-CN"/>
              </w:rPr>
            </w:pPr>
            <w:r>
              <w:rPr>
                <w:rFonts w:ascii="Book Antiqua" w:hAnsi="Book Antiqua" w:cs="Times New Roman"/>
                <w:b/>
                <w:bCs/>
                <w:sz w:val="24"/>
                <w:szCs w:val="24"/>
                <w:highlight w:val="none"/>
              </w:rPr>
              <w:t>Northern blot</w:t>
            </w:r>
            <w:r>
              <w:rPr>
                <w:rFonts w:hint="eastAsia" w:ascii="Book Antiqua" w:hAnsi="Book Antiqua" w:cs="Times New Roman"/>
                <w:b/>
                <w:bCs/>
                <w:sz w:val="24"/>
                <w:szCs w:val="24"/>
                <w:highlight w:val="none"/>
                <w:lang w:eastAsia="zh-CN"/>
              </w:rPr>
              <w:t>:</w:t>
            </w:r>
            <w:r>
              <w:rPr>
                <w:rFonts w:ascii="Book Antiqua" w:hAnsi="Book Antiqua" w:cs="Times New Roman"/>
                <w:sz w:val="24"/>
                <w:szCs w:val="24"/>
                <w:highlight w:val="none"/>
              </w:rPr>
              <w:t xml:space="preserve"> RNA molecules separated by gel electrophoresis by size and subsequently hybridized with labeled complementary ssDNA and detected using chemic luminescence or autoradiography</w:t>
            </w:r>
          </w:p>
        </w:tc>
        <w:tc>
          <w:tcPr>
            <w:tcW w:w="2813"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Northern blot can both quantify the amount of RNA and also determine the size of mRNA transcript.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Can detect transcript variant of genes</w:t>
            </w:r>
            <w:r>
              <w:rPr>
                <w:rFonts w:hint="eastAsia" w:ascii="Book Antiqua" w:hAnsi="Book Antiqua" w:cs="Times New Roman"/>
                <w:sz w:val="24"/>
                <w:szCs w:val="24"/>
                <w:highlight w:val="none"/>
                <w:vertAlign w:val="superscript"/>
                <w:lang w:eastAsia="zh-CN"/>
              </w:rPr>
              <w:t>[49]</w:t>
            </w:r>
          </w:p>
        </w:tc>
        <w:tc>
          <w:tcPr>
            <w:tcW w:w="3067" w:type="dxa"/>
            <w:shd w:val="clear" w:color="auto" w:fill="auto"/>
          </w:tcPr>
          <w:p>
            <w:pPr>
              <w:pStyle w:val="13"/>
              <w:spacing w:line="360" w:lineRule="auto"/>
              <w:jc w:val="both"/>
              <w:rPr>
                <w:rFonts w:ascii="Book Antiqua" w:hAnsi="Book Antiqua" w:cs="Times New Roman"/>
                <w:sz w:val="24"/>
                <w:szCs w:val="24"/>
                <w:highlight w:val="none"/>
              </w:rPr>
            </w:pPr>
            <w:r>
              <w:rPr>
                <w:rFonts w:ascii="Book Antiqua" w:hAnsi="Book Antiqua" w:cs="Times New Roman"/>
                <w:sz w:val="24"/>
                <w:szCs w:val="24"/>
                <w:highlight w:val="none"/>
              </w:rPr>
              <w:t>Northern blot-need radioactive probes and has lower sensitivity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1854" w:type="dxa"/>
            <w:vMerge w:val="continue"/>
            <w:shd w:val="clear" w:color="auto" w:fill="auto"/>
          </w:tcPr>
          <w:p>
            <w:pPr>
              <w:pStyle w:val="13"/>
              <w:spacing w:line="360" w:lineRule="auto"/>
              <w:jc w:val="both"/>
              <w:rPr>
                <w:highlight w:val="none"/>
              </w:rPr>
            </w:pPr>
          </w:p>
        </w:tc>
        <w:tc>
          <w:tcPr>
            <w:tcW w:w="30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Ribonuclease (RNase) protection assay</w:t>
            </w:r>
            <w:r>
              <w:rPr>
                <w:rFonts w:hint="eastAsia" w:ascii="Book Antiqua" w:hAnsi="Book Antiqua" w:cs="Times New Roman"/>
                <w:sz w:val="24"/>
                <w:szCs w:val="24"/>
                <w:highlight w:val="none"/>
                <w:lang w:eastAsia="zh-CN"/>
              </w:rPr>
              <w:t>: D</w:t>
            </w:r>
            <w:r>
              <w:rPr>
                <w:rFonts w:ascii="Book Antiqua" w:hAnsi="Book Antiqua" w:cs="Times New Roman"/>
                <w:sz w:val="24"/>
                <w:szCs w:val="24"/>
                <w:highlight w:val="none"/>
              </w:rPr>
              <w:t>iffers from northern blot by use of antisense RNA probes called riboprobes</w:t>
            </w:r>
          </w:p>
        </w:tc>
        <w:tc>
          <w:tcPr>
            <w:tcW w:w="2813" w:type="dxa"/>
            <w:shd w:val="clear" w:color="auto" w:fill="auto"/>
          </w:tcPr>
          <w:p>
            <w:pPr>
              <w:pStyle w:val="13"/>
              <w:spacing w:line="360" w:lineRule="auto"/>
              <w:jc w:val="both"/>
              <w:rPr>
                <w:rFonts w:hint="eastAsia" w:ascii="Book Antiqua" w:hAnsi="Book Antiqua" w:cs="Times New Roman"/>
                <w:sz w:val="24"/>
                <w:szCs w:val="24"/>
                <w:highlight w:val="none"/>
                <w:shd w:val="clear" w:color="auto" w:fill="FFFFFF"/>
                <w:lang w:val="en-US" w:eastAsia="zh-CN"/>
              </w:rPr>
            </w:pPr>
            <w:r>
              <w:rPr>
                <w:rFonts w:ascii="Book Antiqua" w:hAnsi="Book Antiqua" w:cs="Times New Roman"/>
                <w:b/>
                <w:bCs/>
                <w:sz w:val="24"/>
                <w:szCs w:val="24"/>
                <w:highlight w:val="none"/>
              </w:rPr>
              <w:t>RNase protection assay</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shd w:val="clear" w:color="auto" w:fill="FFFFFF"/>
              </w:rPr>
              <w:t>It can simultaneously detect and quantify multiple mRNA targets in a single RNA sample</w:t>
            </w:r>
            <w:r>
              <w:rPr>
                <w:rFonts w:hint="eastAsia" w:ascii="Book Antiqua" w:hAnsi="Book Antiqua" w:cs="Times New Roman"/>
                <w:sz w:val="24"/>
                <w:szCs w:val="24"/>
                <w:highlight w:val="none"/>
                <w:shd w:val="clear" w:color="auto" w:fill="FFFFFF"/>
                <w:lang w:val="en-US" w:eastAsia="zh-CN"/>
              </w:rPr>
              <w:t xml:space="preserve"> .</w:t>
            </w:r>
            <w:r>
              <w:rPr>
                <w:rFonts w:ascii="Book Antiqua" w:hAnsi="Book Antiqua" w:cs="Times New Roman"/>
                <w:sz w:val="24"/>
                <w:szCs w:val="24"/>
                <w:highlight w:val="none"/>
                <w:shd w:val="clear" w:color="auto" w:fill="FFFFFF"/>
              </w:rPr>
              <w:t>It has high sensitivity</w:t>
            </w:r>
          </w:p>
          <w:p>
            <w:pPr>
              <w:pStyle w:val="13"/>
              <w:spacing w:line="360" w:lineRule="auto"/>
              <w:jc w:val="both"/>
              <w:rPr>
                <w:rFonts w:ascii="Book Antiqua" w:hAnsi="Book Antiqua" w:cs="Times New Roman"/>
                <w:b/>
                <w:bCs/>
                <w:sz w:val="24"/>
                <w:szCs w:val="24"/>
                <w:highlight w:val="none"/>
              </w:rPr>
            </w:pPr>
          </w:p>
        </w:tc>
        <w:tc>
          <w:tcPr>
            <w:tcW w:w="3067"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RNase protection assay</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Does not provide</w:t>
            </w:r>
            <w:r>
              <w:rPr>
                <w:rFonts w:ascii="Book Antiqua" w:hAnsi="Book Antiqua" w:cs="Times New Roman"/>
                <w:sz w:val="24"/>
                <w:szCs w:val="24"/>
                <w:highlight w:val="none"/>
                <w:shd w:val="clear" w:color="auto" w:fill="FFFFFF"/>
              </w:rPr>
              <w:t xml:space="preserve"> information on transcript size</w:t>
            </w:r>
            <w:r>
              <w:rPr>
                <w:rFonts w:hint="eastAsia" w:ascii="Book Antiqua" w:hAnsi="Book Antiqua" w:cs="Times New Roman"/>
                <w:sz w:val="24"/>
                <w:szCs w:val="24"/>
                <w:highlight w:val="none"/>
                <w:shd w:val="clear" w:color="auto" w:fill="FFFFFF"/>
                <w:vertAlign w:val="superscript"/>
                <w:lang w:eastAsia="zh-CN"/>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1854" w:type="dxa"/>
            <w:vMerge w:val="continue"/>
            <w:shd w:val="clear" w:color="auto" w:fill="auto"/>
          </w:tcPr>
          <w:p>
            <w:pPr>
              <w:pStyle w:val="13"/>
              <w:spacing w:line="360" w:lineRule="auto"/>
              <w:jc w:val="both"/>
              <w:rPr>
                <w:rFonts w:ascii="Book Antiqua" w:hAnsi="Book Antiqua" w:cs="Times New Roman"/>
                <w:b/>
                <w:bCs/>
                <w:sz w:val="24"/>
                <w:szCs w:val="24"/>
                <w:highlight w:val="none"/>
              </w:rPr>
            </w:pPr>
          </w:p>
        </w:tc>
        <w:tc>
          <w:tcPr>
            <w:tcW w:w="30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Real-time RT-PCR</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cDNA are synthesized by reverse transcription from the sample RNA identified. The resulting cDNA is amplified by using fluorescently labeled oligonucleotide primers. Fluorescence intensity is monitored and correlated with several PCR cycles</w:t>
            </w:r>
          </w:p>
        </w:tc>
        <w:tc>
          <w:tcPr>
            <w:tcW w:w="28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Real-time RT-PCR</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A</w:t>
            </w:r>
            <w:r>
              <w:rPr>
                <w:rFonts w:ascii="Book Antiqua" w:hAnsi="Book Antiqua" w:cs="Times New Roman"/>
                <w:sz w:val="24"/>
                <w:szCs w:val="24"/>
                <w:highlight w:val="none"/>
              </w:rPr>
              <w:t>llows quantitative genotyping, detection of SNPs and allelic variants or genetic variations even when mutation is found in</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very small fraction of cells in the sample.</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Has become clinical standard for diagnoses in Infectious diseases and it’s role is evolving rapidly in cancer diagnostics</w:t>
            </w:r>
            <w:r>
              <w:rPr>
                <w:rFonts w:hint="eastAsia" w:ascii="Book Antiqua" w:hAnsi="Book Antiqua" w:cs="Times New Roman"/>
                <w:sz w:val="24"/>
                <w:szCs w:val="24"/>
                <w:highlight w:val="none"/>
                <w:vertAlign w:val="superscript"/>
                <w:lang w:eastAsia="zh-CN"/>
              </w:rPr>
              <w:t>[50]</w:t>
            </w:r>
          </w:p>
        </w:tc>
        <w:tc>
          <w:tcPr>
            <w:tcW w:w="3067"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Real-time RT-PCR</w:t>
            </w:r>
            <w:r>
              <w:rPr>
                <w:rFonts w:hint="eastAsia" w:ascii="Book Antiqua" w:hAnsi="Book Antiqua" w:cs="Times New Roman"/>
                <w:b/>
                <w:bCs/>
                <w:sz w:val="24"/>
                <w:szCs w:val="24"/>
                <w:highlight w:val="none"/>
                <w:lang w:eastAsia="zh-CN"/>
              </w:rPr>
              <w:t xml:space="preserve">: </w:t>
            </w:r>
            <w:r>
              <w:rPr>
                <w:rFonts w:ascii="Book Antiqua" w:hAnsi="Book Antiqua" w:cs="Times New Roman"/>
                <w:sz w:val="24"/>
                <w:szCs w:val="24"/>
                <w:highlight w:val="none"/>
              </w:rPr>
              <w:t xml:space="preserve">The process is complex and any errors in </w:t>
            </w:r>
            <w:r>
              <w:rPr>
                <w:rFonts w:ascii="Book Antiqua" w:hAnsi="Book Antiqua" w:cs="Times New Roman"/>
                <w:sz w:val="24"/>
                <w:szCs w:val="24"/>
                <w:highlight w:val="none"/>
                <w:shd w:val="clear" w:color="auto" w:fill="FFFFFF"/>
              </w:rPr>
              <w:t>choice of reagents, primers or probes will affect accuracy</w:t>
            </w:r>
            <w:r>
              <w:rPr>
                <w:rFonts w:hint="eastAsia" w:ascii="Book Antiqua" w:hAnsi="Book Antiqua" w:cs="Times New Roman"/>
                <w:sz w:val="24"/>
                <w:szCs w:val="24"/>
                <w:highlight w:val="none"/>
                <w:shd w:val="clear" w:color="auto" w:fill="FFFFFF"/>
                <w:lang w:eastAsia="zh-CN"/>
              </w:rPr>
              <w:t xml:space="preserve">. </w:t>
            </w:r>
            <w:r>
              <w:rPr>
                <w:rFonts w:ascii="Book Antiqua" w:hAnsi="Book Antiqua" w:cs="Times New Roman"/>
                <w:sz w:val="24"/>
                <w:szCs w:val="24"/>
                <w:highlight w:val="none"/>
              </w:rPr>
              <w:t>There could be risk for errors during data analysis and reporting</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The process is expensive</w:t>
            </w:r>
            <w:r>
              <w:rPr>
                <w:rFonts w:hint="eastAsia" w:ascii="Book Antiqua" w:hAnsi="Book Antiqua" w:cs="Times New Roman"/>
                <w:sz w:val="24"/>
                <w:szCs w:val="24"/>
                <w:highlight w:val="none"/>
                <w:vertAlign w:val="superscript"/>
                <w:lang w:eastAsia="zh-CN"/>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1854" w:type="dxa"/>
            <w:vMerge w:val="continue"/>
            <w:shd w:val="clear" w:color="auto" w:fill="auto"/>
          </w:tcPr>
          <w:p>
            <w:pPr>
              <w:pStyle w:val="13"/>
              <w:spacing w:line="360" w:lineRule="auto"/>
              <w:jc w:val="both"/>
              <w:rPr>
                <w:rFonts w:ascii="Book Antiqua" w:hAnsi="Book Antiqua" w:cs="Times New Roman"/>
                <w:b/>
                <w:bCs/>
                <w:sz w:val="24"/>
                <w:szCs w:val="24"/>
                <w:highlight w:val="none"/>
              </w:rPr>
            </w:pPr>
          </w:p>
        </w:tc>
        <w:tc>
          <w:tcPr>
            <w:tcW w:w="30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In situ hybridization</w:t>
            </w:r>
            <w:r>
              <w:rPr>
                <w:rFonts w:hint="eastAsia" w:ascii="Book Antiqua" w:hAnsi="Book Antiqua" w:cs="Times New Roman"/>
                <w:b/>
                <w:bCs/>
                <w:sz w:val="24"/>
                <w:szCs w:val="24"/>
                <w:highlight w:val="none"/>
                <w:lang w:eastAsia="zh-CN"/>
              </w:rPr>
              <w:t>:</w:t>
            </w:r>
            <w:r>
              <w:rPr>
                <w:rFonts w:ascii="Book Antiqua" w:hAnsi="Book Antiqua" w:cs="Times New Roman"/>
                <w:sz w:val="24"/>
                <w:szCs w:val="24"/>
                <w:highlight w:val="none"/>
              </w:rPr>
              <w:t xml:space="preserve"> Tissue specimen is fixed to preserve morphology and then treated with proteases.</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A labeled probe is hybridized to the sample and detected using chemiluminescence or autoradiography</w:t>
            </w:r>
            <w:r>
              <w:rPr>
                <w:rFonts w:hint="eastAsia" w:ascii="Book Antiqua" w:hAnsi="Book Antiqua" w:cs="Times New Roman"/>
                <w:sz w:val="24"/>
                <w:szCs w:val="24"/>
                <w:highlight w:val="none"/>
                <w:vertAlign w:val="superscript"/>
                <w:lang w:eastAsia="zh-CN"/>
              </w:rPr>
              <w:t>[48]</w:t>
            </w:r>
          </w:p>
        </w:tc>
        <w:tc>
          <w:tcPr>
            <w:tcW w:w="28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In situ hybridization</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Very useful in diagnostic application when there is limited tissue sample (in embryos and biopsy specimen). Several specific hybridizations can be done on the same sample. Tissue samples can be freeze for future use</w:t>
            </w:r>
            <w:r>
              <w:rPr>
                <w:rFonts w:hint="eastAsia" w:ascii="Book Antiqua" w:hAnsi="Book Antiqua" w:cs="Times New Roman"/>
                <w:sz w:val="24"/>
                <w:szCs w:val="24"/>
                <w:highlight w:val="none"/>
                <w:vertAlign w:val="superscript"/>
                <w:lang w:eastAsia="zh-CN"/>
              </w:rPr>
              <w:t>[48]</w:t>
            </w:r>
          </w:p>
        </w:tc>
        <w:tc>
          <w:tcPr>
            <w:tcW w:w="3067"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In situ hybridization</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Low diagnostic yield when the sample has low DNA and RNA copies</w:t>
            </w:r>
            <w:r>
              <w:rPr>
                <w:rFonts w:hint="eastAsia" w:ascii="Book Antiqua" w:hAnsi="Book Antiqua" w:cs="Times New Roman"/>
                <w:sz w:val="24"/>
                <w:szCs w:val="24"/>
                <w:highlight w:val="none"/>
                <w:vertAlign w:val="superscript"/>
                <w:lang w:eastAsia="zh-CN"/>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4" w:hRule="atLeast"/>
        </w:trPr>
        <w:tc>
          <w:tcPr>
            <w:tcW w:w="1854" w:type="dxa"/>
            <w:vMerge w:val="continue"/>
            <w:shd w:val="clear" w:color="auto" w:fill="auto"/>
          </w:tcPr>
          <w:p>
            <w:pPr>
              <w:pStyle w:val="13"/>
              <w:spacing w:line="360" w:lineRule="auto"/>
              <w:jc w:val="both"/>
              <w:rPr>
                <w:rFonts w:ascii="Book Antiqua" w:hAnsi="Book Antiqua" w:cs="Times New Roman"/>
                <w:b/>
                <w:bCs/>
                <w:sz w:val="24"/>
                <w:szCs w:val="24"/>
                <w:highlight w:val="none"/>
              </w:rPr>
            </w:pPr>
          </w:p>
        </w:tc>
        <w:tc>
          <w:tcPr>
            <w:tcW w:w="30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Spotted DNA arrays</w:t>
            </w:r>
            <w:r>
              <w:rPr>
                <w:rFonts w:hint="eastAsia" w:ascii="Book Antiqua" w:hAnsi="Book Antiqua" w:cs="Times New Roman"/>
                <w:b/>
                <w:bCs/>
                <w:sz w:val="24"/>
                <w:szCs w:val="24"/>
                <w:highlight w:val="none"/>
                <w:lang w:eastAsia="zh-CN"/>
              </w:rPr>
              <w:t>:</w:t>
            </w:r>
            <w:r>
              <w:rPr>
                <w:rFonts w:ascii="Book Antiqua" w:hAnsi="Book Antiqua" w:cs="Times New Roman"/>
                <w:sz w:val="24"/>
                <w:szCs w:val="24"/>
                <w:highlight w:val="none"/>
              </w:rPr>
              <w:t xml:space="preserve"> Measures relative expression levels between 2 samples. cDNA probes amplified by PCR are spotted on a glass slide and then mRNAs are isolated from the samples. The mRNA from each sample is labeled with different fluorescent dyes. The samples are mixed, co-hybridized with cDNA probes on glass slides to measure relative gene expression</w:t>
            </w:r>
          </w:p>
        </w:tc>
        <w:tc>
          <w:tcPr>
            <w:tcW w:w="2813"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Spotted DNA arrays</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rPr>
              <w:t xml:space="preserve">The major application of DNA array is </w:t>
            </w:r>
            <w:r>
              <w:rPr>
                <w:rFonts w:ascii="Book Antiqua" w:hAnsi="Book Antiqua" w:cs="Times New Roman"/>
                <w:sz w:val="24"/>
                <w:szCs w:val="24"/>
                <w:highlight w:val="none"/>
                <w:shd w:val="clear" w:color="auto" w:fill="FFFFFF"/>
              </w:rPr>
              <w:t xml:space="preserve"> measurement of gene expression levels</w:t>
            </w:r>
            <w:r>
              <w:rPr>
                <w:rFonts w:hint="eastAsia" w:ascii="Book Antiqua" w:hAnsi="Book Antiqua" w:cs="Times New Roman"/>
                <w:sz w:val="24"/>
                <w:szCs w:val="24"/>
                <w:highlight w:val="none"/>
                <w:shd w:val="clear" w:color="auto" w:fill="FFFFFF"/>
                <w:vertAlign w:val="superscript"/>
                <w:lang w:eastAsia="zh-CN"/>
              </w:rPr>
              <w:t>[51]</w:t>
            </w:r>
          </w:p>
        </w:tc>
        <w:tc>
          <w:tcPr>
            <w:tcW w:w="3067" w:type="dxa"/>
            <w:shd w:val="clear" w:color="auto" w:fill="auto"/>
          </w:tcPr>
          <w:p>
            <w:pPr>
              <w:rPr>
                <w:rFonts w:ascii="Book Antiqua" w:hAnsi="Book Antiqua" w:cs="Times New Roman"/>
                <w:b/>
                <w:bCs/>
                <w:sz w:val="24"/>
                <w:szCs w:val="24"/>
                <w:highlight w:val="none"/>
              </w:rPr>
            </w:pPr>
            <w:r>
              <w:rPr>
                <w:rFonts w:ascii="Book Antiqua" w:hAnsi="Book Antiqua" w:cs="Times New Roman"/>
                <w:b/>
                <w:bCs/>
                <w:sz w:val="24"/>
                <w:szCs w:val="24"/>
                <w:highlight w:val="none"/>
              </w:rPr>
              <w:t>Spotted DNA arrays</w:t>
            </w:r>
            <w:r>
              <w:rPr>
                <w:rFonts w:hint="eastAsia" w:ascii="Book Antiqua" w:hAnsi="Book Antiqua" w:cs="Times New Roman"/>
                <w:b/>
                <w:bCs/>
                <w:sz w:val="24"/>
                <w:szCs w:val="24"/>
                <w:highlight w:val="none"/>
                <w:lang w:eastAsia="zh-CN"/>
              </w:rPr>
              <w:t>:</w:t>
            </w:r>
            <w:r>
              <w:rPr>
                <w:rFonts w:hint="eastAsia" w:ascii="Book Antiqua" w:hAnsi="Book Antiqua" w:cs="Times New Roman"/>
                <w:sz w:val="24"/>
                <w:szCs w:val="24"/>
                <w:highlight w:val="none"/>
                <w:lang w:eastAsia="zh-CN"/>
              </w:rPr>
              <w:t xml:space="preserve"> </w:t>
            </w:r>
            <w:r>
              <w:rPr>
                <w:rFonts w:ascii="Book Antiqua" w:hAnsi="Book Antiqua" w:cs="Times New Roman"/>
                <w:sz w:val="24"/>
                <w:szCs w:val="24"/>
                <w:highlight w:val="none"/>
                <w:shd w:val="clear" w:color="auto" w:fill="FFFFFF"/>
              </w:rPr>
              <w:t>DNA array can only detect known sequences, that were used to construct the array.</w:t>
            </w:r>
            <w:r>
              <w:rPr>
                <w:rFonts w:hint="eastAsia" w:ascii="Book Antiqua" w:hAnsi="Book Antiqua" w:cs="Times New Roman"/>
                <w:sz w:val="24"/>
                <w:szCs w:val="24"/>
                <w:highlight w:val="none"/>
                <w:shd w:val="clear" w:color="auto" w:fill="FFFFFF"/>
                <w:lang w:eastAsia="zh-CN"/>
              </w:rPr>
              <w:t xml:space="preserve"> </w:t>
            </w:r>
            <w:r>
              <w:rPr>
                <w:rFonts w:ascii="Book Antiqua" w:hAnsi="Book Antiqua" w:cs="Times New Roman"/>
                <w:sz w:val="24"/>
                <w:szCs w:val="24"/>
                <w:highlight w:val="none"/>
                <w:shd w:val="clear" w:color="auto" w:fill="FFFFFF"/>
              </w:rPr>
              <w:t>It only gives relative estimate of gene expression and not reliable for absolute quantification.</w:t>
            </w:r>
            <w:r>
              <w:rPr>
                <w:rFonts w:hint="eastAsia" w:ascii="Book Antiqua" w:hAnsi="Book Antiqua" w:cs="Times New Roman"/>
                <w:sz w:val="24"/>
                <w:szCs w:val="24"/>
                <w:highlight w:val="none"/>
                <w:shd w:val="clear" w:color="auto" w:fill="FFFFFF"/>
                <w:lang w:eastAsia="zh-CN"/>
              </w:rPr>
              <w:t xml:space="preserve"> </w:t>
            </w:r>
            <w:r>
              <w:rPr>
                <w:rFonts w:ascii="Book Antiqua" w:hAnsi="Book Antiqua" w:cs="Times New Roman"/>
                <w:sz w:val="24"/>
                <w:szCs w:val="24"/>
                <w:highlight w:val="none"/>
                <w:shd w:val="clear" w:color="auto" w:fill="FFFFFF"/>
              </w:rPr>
              <w:t>When the genome has multiple related sequences then design of array that distinguishes these sequences is challenging.</w:t>
            </w:r>
            <w:r>
              <w:rPr>
                <w:rFonts w:hint="eastAsia" w:ascii="Book Antiqua" w:hAnsi="Book Antiqua" w:cs="Times New Roman"/>
                <w:sz w:val="24"/>
                <w:szCs w:val="24"/>
                <w:highlight w:val="none"/>
                <w:shd w:val="clear" w:color="auto" w:fill="FFFFFF"/>
                <w:lang w:eastAsia="zh-CN"/>
              </w:rPr>
              <w:t xml:space="preserve"> </w:t>
            </w:r>
            <w:r>
              <w:rPr>
                <w:rFonts w:ascii="Book Antiqua" w:hAnsi="Book Antiqua" w:cs="Times New Roman"/>
                <w:sz w:val="24"/>
                <w:szCs w:val="24"/>
                <w:highlight w:val="none"/>
                <w:shd w:val="clear" w:color="auto" w:fill="FFFFFF"/>
              </w:rPr>
              <w:t>Difficult to reproduce the array</w:t>
            </w:r>
            <w:r>
              <w:rPr>
                <w:rFonts w:hint="eastAsia" w:ascii="Book Antiqua" w:hAnsi="Book Antiqua" w:cs="Times New Roman"/>
                <w:sz w:val="24"/>
                <w:szCs w:val="24"/>
                <w:highlight w:val="none"/>
                <w:shd w:val="clear" w:color="auto" w:fill="FFFFFF"/>
                <w:vertAlign w:val="superscript"/>
                <w:lang w:eastAsia="zh-CN"/>
              </w:rPr>
              <w:t>[51]</w:t>
            </w:r>
          </w:p>
        </w:tc>
      </w:tr>
    </w:tbl>
    <w:p>
      <w:pPr>
        <w:spacing w:line="360" w:lineRule="auto"/>
        <w:jc w:val="both"/>
        <w:rPr>
          <w:rFonts w:ascii="Book Antiqua" w:hAnsi="Book Antiqua"/>
          <w:highlight w:val="none"/>
          <w:lang w:eastAsia="zh-CN"/>
        </w:rPr>
      </w:pPr>
      <w:r>
        <w:rPr>
          <w:rFonts w:ascii="Book Antiqua" w:hAnsi="Book Antiqua"/>
          <w:highlight w:val="none"/>
          <w:lang w:eastAsia="zh-CN"/>
        </w:rPr>
        <w:t>SNP: Single nucleotide polymorphism; NGS: Next-generation sequencing; PCR: Polymerase chain reaction;</w:t>
      </w:r>
      <w:r>
        <w:rPr>
          <w:rFonts w:hint="eastAsia" w:ascii="Book Antiqua" w:hAnsi="Book Antiqua"/>
          <w:highlight w:val="none"/>
          <w:lang w:eastAsia="zh-CN"/>
        </w:rPr>
        <w:t xml:space="preserve"> RT-PCR: R</w:t>
      </w:r>
      <w:r>
        <w:rPr>
          <w:rFonts w:ascii="Book Antiqua" w:hAnsi="Book Antiqua"/>
          <w:highlight w:val="none"/>
          <w:lang w:eastAsia="zh-CN"/>
        </w:rPr>
        <w:t>eal-time reverse transcription polymerase chain reaction</w:t>
      </w:r>
      <w:r>
        <w:rPr>
          <w:rFonts w:hint="eastAsia" w:ascii="Book Antiqua" w:hAnsi="Book Antiqua"/>
          <w:highlight w:val="none"/>
          <w:lang w:eastAsia="zh-CN"/>
        </w:rPr>
        <w:t xml:space="preserve">; </w:t>
      </w:r>
      <w:r>
        <w:rPr>
          <w:rFonts w:ascii="Book Antiqua" w:hAnsi="Book Antiqua"/>
          <w:highlight w:val="none"/>
          <w:lang w:eastAsia="zh-CN"/>
        </w:rPr>
        <w:t xml:space="preserve">ssDNA: </w:t>
      </w:r>
      <w:r>
        <w:rPr>
          <w:rFonts w:hint="eastAsia" w:ascii="Book Antiqua" w:hAnsi="Book Antiqua"/>
          <w:highlight w:val="none"/>
          <w:lang w:eastAsia="zh-CN"/>
        </w:rPr>
        <w:t>S</w:t>
      </w:r>
      <w:r>
        <w:rPr>
          <w:rFonts w:ascii="Book Antiqua" w:hAnsi="Book Antiqua"/>
          <w:highlight w:val="none"/>
          <w:lang w:eastAsia="zh-CN"/>
        </w:rPr>
        <w:t>ingle stranded DNA</w:t>
      </w:r>
      <w:r>
        <w:rPr>
          <w:rFonts w:hint="eastAsia" w:ascii="Book Antiqua" w:hAnsi="Book Antiqua"/>
          <w:highlight w:val="none"/>
          <w:lang w:eastAsia="zh-CN"/>
        </w:rPr>
        <w:t>.</w:t>
      </w:r>
    </w:p>
    <w:p>
      <w:pPr>
        <w:spacing w:line="360" w:lineRule="auto"/>
        <w:jc w:val="both"/>
        <w:rPr>
          <w:rFonts w:ascii="Book Antiqua" w:hAnsi="Book Antiqua"/>
          <w:b/>
          <w:highlight w:val="none"/>
          <w:lang w:eastAsia="zh-CN"/>
        </w:rPr>
      </w:pPr>
      <w:r>
        <w:rPr>
          <w:rFonts w:ascii="Book Antiqua" w:hAnsi="Book Antiqua"/>
          <w:highlight w:val="none"/>
          <w:lang w:eastAsia="zh-CN"/>
        </w:rPr>
        <w:br w:type="page"/>
      </w:r>
      <w:r>
        <w:rPr>
          <w:rFonts w:ascii="Book Antiqua" w:hAnsi="Book Antiqua"/>
          <w:b/>
          <w:highlight w:val="none"/>
          <w:lang w:eastAsia="zh-CN"/>
        </w:rPr>
        <w:t>Table 2</w:t>
      </w:r>
      <w:r>
        <w:rPr>
          <w:rFonts w:hint="eastAsia" w:ascii="Book Antiqua" w:hAnsi="Book Antiqua"/>
          <w:b/>
          <w:highlight w:val="none"/>
          <w:lang w:eastAsia="zh-CN"/>
        </w:rPr>
        <w:t xml:space="preserve"> </w:t>
      </w:r>
      <w:r>
        <w:rPr>
          <w:rFonts w:ascii="Book Antiqua" w:hAnsi="Book Antiqua"/>
          <w:b/>
          <w:highlight w:val="none"/>
          <w:lang w:eastAsia="zh-CN"/>
        </w:rPr>
        <w:t>Characteristics of genome-editing technologies using programmable nucleases</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49"/>
        <w:gridCol w:w="2251"/>
        <w:gridCol w:w="2361"/>
        <w:gridCol w:w="2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Gene editing</w:t>
            </w:r>
          </w:p>
        </w:tc>
        <w:tc>
          <w:tcPr>
            <w:tcW w:w="2251" w:type="dxa"/>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Principle of use</w:t>
            </w:r>
          </w:p>
        </w:tc>
        <w:tc>
          <w:tcPr>
            <w:tcW w:w="2361" w:type="dxa"/>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 xml:space="preserve">Advantages or </w:t>
            </w:r>
            <w:r>
              <w:rPr>
                <w:rFonts w:hint="eastAsia" w:ascii="Book Antiqua" w:hAnsi="Book Antiqua" w:cs="Times New Roman"/>
                <w:b/>
                <w:bCs/>
                <w:color w:val="auto"/>
                <w:highlight w:val="none"/>
                <w:lang w:eastAsia="zh-CN"/>
              </w:rPr>
              <w:t>a</w:t>
            </w:r>
            <w:r>
              <w:rPr>
                <w:rFonts w:ascii="Book Antiqua" w:hAnsi="Book Antiqua" w:cs="Times New Roman"/>
                <w:b/>
                <w:bCs/>
                <w:color w:val="auto"/>
                <w:highlight w:val="none"/>
              </w:rPr>
              <w:t>pplication</w:t>
            </w:r>
          </w:p>
        </w:tc>
        <w:tc>
          <w:tcPr>
            <w:tcW w:w="2289" w:type="dxa"/>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Limitation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49" w:type="dxa"/>
            <w:tcBorders>
              <w:top w:val="single" w:color="auto" w:sz="4" w:space="0"/>
              <w:left w:val="nil"/>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CRISPR-Cas9 guided gene editing</w:t>
            </w:r>
            <w:r>
              <w:rPr>
                <w:rFonts w:hint="eastAsia" w:ascii="Book Antiqua" w:hAnsi="Book Antiqua" w:cs="Times New Roman"/>
                <w:b w:val="0"/>
                <w:bCs/>
                <w:color w:val="auto"/>
                <w:sz w:val="24"/>
                <w:szCs w:val="24"/>
                <w:highlight w:val="none"/>
                <w:lang w:eastAsia="zh-CN"/>
              </w:rPr>
              <w:t>: (1</w:t>
            </w:r>
            <w:r>
              <w:rPr>
                <w:rFonts w:ascii="Book Antiqua" w:hAnsi="Book Antiqua" w:cs="Times New Roman"/>
                <w:b w:val="0"/>
                <w:bCs/>
                <w:color w:val="auto"/>
                <w:sz w:val="24"/>
                <w:szCs w:val="24"/>
                <w:highlight w:val="none"/>
              </w:rPr>
              <w:t>)NHEJ</w:t>
            </w:r>
            <w:r>
              <w:rPr>
                <w:rFonts w:hint="eastAsia" w:ascii="Book Antiqua" w:hAnsi="Book Antiqua" w:cs="Times New Roman"/>
                <w:b w:val="0"/>
                <w:bCs/>
                <w:color w:val="auto"/>
                <w:sz w:val="24"/>
                <w:szCs w:val="24"/>
                <w:highlight w:val="none"/>
                <w:lang w:eastAsia="zh-CN"/>
              </w:rPr>
              <w:t>; and (2</w:t>
            </w:r>
            <w:r>
              <w:rPr>
                <w:rFonts w:ascii="Book Antiqua" w:hAnsi="Book Antiqua" w:cs="Times New Roman"/>
                <w:b w:val="0"/>
                <w:bCs/>
                <w:color w:val="auto"/>
                <w:sz w:val="24"/>
                <w:szCs w:val="24"/>
                <w:highlight w:val="none"/>
              </w:rPr>
              <w:t>)HDR</w:t>
            </w:r>
          </w:p>
        </w:tc>
        <w:tc>
          <w:tcPr>
            <w:tcW w:w="2251" w:type="dxa"/>
            <w:tcBorders>
              <w:top w:val="single" w:color="auto" w:sz="4" w:space="0"/>
            </w:tcBorders>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 xml:space="preserve">Cas9 enzyme (an endonuclease) cleaves ds- DNA at a specific site as determined by the specific sequence of the guide RNA. Genome editing is done when the cell tries to repair the dsB (either </w:t>
            </w:r>
            <w:r>
              <w:rPr>
                <w:rFonts w:ascii="Book Antiqua" w:hAnsi="Book Antiqua" w:cs="Times New Roman"/>
                <w:i/>
                <w:highlight w:val="none"/>
              </w:rPr>
              <w:t>via</w:t>
            </w:r>
            <w:r>
              <w:rPr>
                <w:rFonts w:ascii="Book Antiqua" w:hAnsi="Book Antiqua" w:cs="Times New Roman"/>
                <w:highlight w:val="none"/>
              </w:rPr>
              <w:t xml:space="preserve"> NHEJ or HDR)</w:t>
            </w:r>
          </w:p>
        </w:tc>
        <w:tc>
          <w:tcPr>
            <w:tcW w:w="2361" w:type="dxa"/>
            <w:tcBorders>
              <w:top w:val="single" w:color="auto" w:sz="4" w:space="0"/>
            </w:tcBorders>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 xml:space="preserve">Has the potential to edit genes in almost any cell type </w:t>
            </w:r>
            <w:r>
              <w:rPr>
                <w:rFonts w:ascii="Book Antiqua" w:hAnsi="Book Antiqua" w:cs="Times New Roman"/>
                <w:i/>
                <w:highlight w:val="none"/>
              </w:rPr>
              <w:t>in vivo</w:t>
            </w:r>
            <w:r>
              <w:rPr>
                <w:rFonts w:hint="eastAsia" w:ascii="Book Antiqua" w:hAnsi="Book Antiqua" w:cs="Times New Roman"/>
                <w:highlight w:val="none"/>
                <w:lang w:eastAsia="zh-CN"/>
              </w:rPr>
              <w:t xml:space="preserve">; </w:t>
            </w:r>
            <w:r>
              <w:rPr>
                <w:rFonts w:ascii="Book Antiqua" w:hAnsi="Book Antiqua" w:cs="Times New Roman"/>
                <w:highlight w:val="none"/>
              </w:rPr>
              <w:t>Has potential in every field, notably infections</w:t>
            </w:r>
            <w:r>
              <w:rPr>
                <w:rFonts w:hint="eastAsia" w:ascii="Book Antiqua" w:hAnsi="Book Antiqua" w:cs="Times New Roman"/>
                <w:highlight w:val="none"/>
                <w:vertAlign w:val="superscript"/>
                <w:lang w:eastAsia="zh-CN"/>
              </w:rPr>
              <w:t>[54]</w:t>
            </w:r>
            <w:r>
              <w:rPr>
                <w:rFonts w:ascii="Book Antiqua" w:hAnsi="Book Antiqua" w:cs="Times New Roman"/>
                <w:highlight w:val="none"/>
              </w:rPr>
              <w:t>, genetic disease</w:t>
            </w:r>
            <w:r>
              <w:rPr>
                <w:rFonts w:hint="eastAsia" w:ascii="Book Antiqua" w:hAnsi="Book Antiqua" w:cs="Times New Roman"/>
                <w:highlight w:val="none"/>
                <w:vertAlign w:val="superscript"/>
                <w:lang w:eastAsia="zh-CN"/>
              </w:rPr>
              <w:t>[55]</w:t>
            </w:r>
            <w:r>
              <w:rPr>
                <w:rFonts w:ascii="Book Antiqua" w:hAnsi="Book Antiqua" w:cs="Times New Roman"/>
                <w:highlight w:val="none"/>
              </w:rPr>
              <w:t>, cancer</w:t>
            </w:r>
            <w:r>
              <w:rPr>
                <w:rFonts w:hint="eastAsia" w:ascii="Book Antiqua" w:hAnsi="Book Antiqua" w:cs="Times New Roman"/>
                <w:highlight w:val="none"/>
                <w:vertAlign w:val="superscript"/>
                <w:lang w:eastAsia="zh-CN"/>
              </w:rPr>
              <w:t>[56]</w:t>
            </w:r>
            <w:r>
              <w:rPr>
                <w:rFonts w:ascii="Book Antiqua" w:hAnsi="Book Antiqua" w:cs="Times New Roman"/>
                <w:highlight w:val="none"/>
              </w:rPr>
              <w:t xml:space="preserve"> </w:t>
            </w:r>
            <w:r>
              <w:rPr>
                <w:rFonts w:ascii="Book Antiqua" w:hAnsi="Book Antiqua" w:cs="Times New Roman"/>
                <w:i/>
                <w:highlight w:val="none"/>
              </w:rPr>
              <w:t>etc</w:t>
            </w:r>
            <w:r>
              <w:rPr>
                <w:rFonts w:ascii="Book Antiqua" w:hAnsi="Book Antiqua" w:cs="Times New Roman"/>
                <w:highlight w:val="none"/>
              </w:rPr>
              <w:t>.</w:t>
            </w:r>
            <w:r>
              <w:rPr>
                <w:rFonts w:hint="eastAsia" w:ascii="Book Antiqua" w:hAnsi="Book Antiqua" w:cs="Times New Roman"/>
                <w:highlight w:val="none"/>
                <w:lang w:eastAsia="zh-CN"/>
              </w:rPr>
              <w:t>;</w:t>
            </w:r>
            <w:r>
              <w:rPr>
                <w:rFonts w:ascii="Book Antiqua" w:hAnsi="Book Antiqua" w:cs="Times New Roman"/>
                <w:highlight w:val="none"/>
              </w:rPr>
              <w:t xml:space="preserve"> CRISPR-Cas9 can also be used for large scale loss-of-function gene screen</w:t>
            </w:r>
            <w:r>
              <w:rPr>
                <w:rFonts w:hint="eastAsia" w:ascii="Book Antiqua" w:hAnsi="Book Antiqua" w:cs="Times New Roman"/>
                <w:highlight w:val="none"/>
                <w:lang w:eastAsia="zh-CN"/>
              </w:rPr>
              <w:t>: C</w:t>
            </w:r>
            <w:r>
              <w:rPr>
                <w:rFonts w:ascii="Book Antiqua" w:hAnsi="Book Antiqua" w:cs="Times New Roman"/>
                <w:highlight w:val="none"/>
              </w:rPr>
              <w:t>atalytically inactive Cas9 (dCas9) can be directed by guide RNA, bind to specific genes to reversibly suppress or activate gene transcription (by fusion of transcription activators or suppressors with dCas9)</w:t>
            </w:r>
            <w:r>
              <w:rPr>
                <w:rFonts w:hint="eastAsia" w:ascii="Book Antiqua" w:hAnsi="Book Antiqua" w:cs="Times New Roman"/>
                <w:highlight w:val="none"/>
                <w:vertAlign w:val="superscript"/>
                <w:lang w:eastAsia="zh-CN"/>
              </w:rPr>
              <w:t>[57]</w:t>
            </w:r>
            <w:r>
              <w:rPr>
                <w:rFonts w:hint="eastAsia" w:ascii="Book Antiqua" w:hAnsi="Book Antiqua" w:cs="Times New Roman"/>
                <w:highlight w:val="none"/>
                <w:lang w:eastAsia="zh-CN"/>
              </w:rPr>
              <w:t xml:space="preserve">; </w:t>
            </w:r>
            <w:r>
              <w:rPr>
                <w:rFonts w:ascii="Book Antiqua" w:hAnsi="Book Antiqua" w:cs="Times New Roman"/>
                <w:highlight w:val="none"/>
              </w:rPr>
              <w:t>Epigenetic modulators (</w:t>
            </w:r>
            <w:r>
              <w:rPr>
                <w:rFonts w:ascii="Book Antiqua" w:hAnsi="Book Antiqua" w:cs="Times New Roman"/>
                <w:i/>
                <w:highlight w:val="none"/>
              </w:rPr>
              <w:t>e.g.</w:t>
            </w:r>
            <w:r>
              <w:rPr>
                <w:rFonts w:ascii="Book Antiqua" w:hAnsi="Book Antiqua" w:cs="Times New Roman"/>
                <w:highlight w:val="none"/>
              </w:rPr>
              <w:t>, DNA methylase) can also be fused with dCas9 to achieve controlled epigenetic modulations</w:t>
            </w:r>
            <w:r>
              <w:rPr>
                <w:rFonts w:hint="eastAsia" w:ascii="Book Antiqua" w:hAnsi="Book Antiqua" w:cs="Times New Roman"/>
                <w:highlight w:val="none"/>
                <w:lang w:eastAsia="zh-CN"/>
              </w:rPr>
              <w:t xml:space="preserve">. </w:t>
            </w:r>
            <w:r>
              <w:rPr>
                <w:rFonts w:ascii="Book Antiqua" w:hAnsi="Book Antiqua" w:cs="Times New Roman"/>
                <w:highlight w:val="none"/>
              </w:rPr>
              <w:t>Cas-9</w:t>
            </w:r>
            <w:r>
              <w:rPr>
                <w:rFonts w:hint="eastAsia" w:ascii="Book Antiqua" w:hAnsi="Book Antiqua" w:cs="Times New Roman"/>
                <w:highlight w:val="none"/>
                <w:lang w:eastAsia="zh-CN"/>
              </w:rPr>
              <w:t xml:space="preserve"> </w:t>
            </w:r>
            <w:r>
              <w:rPr>
                <w:rFonts w:ascii="Book Antiqua" w:hAnsi="Book Antiqua" w:cs="Times New Roman"/>
                <w:highlight w:val="none"/>
              </w:rPr>
              <w:t>NHEJ is simpler and efficient</w:t>
            </w:r>
            <w:r>
              <w:rPr>
                <w:rFonts w:hint="eastAsia" w:ascii="Book Antiqua" w:hAnsi="Book Antiqua" w:cs="Times New Roman"/>
                <w:highlight w:val="none"/>
                <w:lang w:eastAsia="zh-CN"/>
              </w:rPr>
              <w:t xml:space="preserve">; </w:t>
            </w:r>
            <w:r>
              <w:rPr>
                <w:rFonts w:ascii="Book Antiqua" w:hAnsi="Book Antiqua" w:cs="Times New Roman"/>
                <w:highlight w:val="none"/>
              </w:rPr>
              <w:t>Cas-9 HDR is more precise but lower efficiency than NHEJ</w:t>
            </w:r>
            <w:r>
              <w:rPr>
                <w:rFonts w:hint="eastAsia" w:ascii="Book Antiqua" w:hAnsi="Book Antiqua" w:cs="Times New Roman"/>
                <w:highlight w:val="none"/>
                <w:lang w:eastAsia="zh-CN"/>
              </w:rPr>
              <w:t xml:space="preserve">. </w:t>
            </w:r>
            <w:r>
              <w:rPr>
                <w:rFonts w:ascii="Book Antiqua" w:hAnsi="Book Antiqua" w:cs="Times New Roman"/>
                <w:highlight w:val="none"/>
              </w:rPr>
              <w:t>The mutant version of the Cas9 called Cas9 nickase can be used to minimize the risk of off-targets</w:t>
            </w:r>
          </w:p>
        </w:tc>
        <w:tc>
          <w:tcPr>
            <w:tcW w:w="2289" w:type="dxa"/>
            <w:tcBorders>
              <w:top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The off-target activity of RNA-guided endonuclease-induced mutations</w:t>
            </w:r>
            <w:r>
              <w:rPr>
                <w:rFonts w:hint="eastAsia" w:ascii="Book Antiqua" w:hAnsi="Book Antiqua" w:cs="Times New Roman"/>
                <w:highlight w:val="none"/>
                <w:vertAlign w:val="superscript"/>
                <w:lang w:eastAsia="zh-CN"/>
              </w:rPr>
              <w:t>[58]</w:t>
            </w:r>
            <w:r>
              <w:rPr>
                <w:rFonts w:hint="eastAsia" w:ascii="Book Antiqua" w:hAnsi="Book Antiqua" w:cs="Times New Roman"/>
                <w:highlight w:val="none"/>
                <w:lang w:eastAsia="zh-CN"/>
              </w:rPr>
              <w:t xml:space="preserve">. </w:t>
            </w:r>
            <w:r>
              <w:rPr>
                <w:rFonts w:ascii="Book Antiqua" w:hAnsi="Book Antiqua" w:cs="Times New Roman"/>
                <w:highlight w:val="none"/>
              </w:rPr>
              <w:t>Off-target mutations with a frequency below 0.5% cannot be</w:t>
            </w:r>
            <w:r>
              <w:rPr>
                <w:rFonts w:hint="eastAsia" w:ascii="Book Antiqua" w:hAnsi="Book Antiqua" w:cs="Times New Roman"/>
                <w:highlight w:val="none"/>
                <w:lang w:eastAsia="zh-CN"/>
              </w:rPr>
              <w:t xml:space="preserve"> </w:t>
            </w:r>
            <w:r>
              <w:rPr>
                <w:rFonts w:ascii="Book Antiqua" w:hAnsi="Book Antiqua" w:cs="Times New Roman"/>
                <w:highlight w:val="none"/>
              </w:rPr>
              <w:t>detected by current off-target detection techniques</w:t>
            </w:r>
            <w:r>
              <w:rPr>
                <w:rFonts w:hint="eastAsia" w:ascii="Book Antiqua" w:hAnsi="Book Antiqua" w:cs="Times New Roman"/>
                <w:highlight w:val="none"/>
                <w:vertAlign w:val="superscript"/>
                <w:lang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left w:val="nil"/>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Augmented CRISPR-Cas12a system</w:t>
            </w:r>
          </w:p>
        </w:tc>
        <w:tc>
          <w:tcPr>
            <w:tcW w:w="2251" w:type="dxa"/>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Cas12a cuts target ds- DNA. However, unlike Cas9, Cas12a subsequently becomes activated and causes indiscriminate cleavage of ssDNA causing collateral damage.</w:t>
            </w:r>
            <w:r>
              <w:rPr>
                <w:rFonts w:hint="eastAsia" w:ascii="Book Antiqua" w:hAnsi="Book Antiqua" w:cs="Times New Roman"/>
                <w:highlight w:val="none"/>
                <w:lang w:eastAsia="zh-CN"/>
              </w:rPr>
              <w:t xml:space="preserve"> </w:t>
            </w:r>
            <w:r>
              <w:rPr>
                <w:rFonts w:ascii="Book Antiqua" w:hAnsi="Book Antiqua" w:cs="Times New Roman"/>
                <w:highlight w:val="none"/>
              </w:rPr>
              <w:t>SARS-CoV-2 RNA DETECTR Assay: samples from upper airway swabs are processed using simultaneous reverse transcription and isothermal amplification with loop-mediated amplification (RT-LAMP). Subsequently the Cas12 enzyme is added</w:t>
            </w:r>
          </w:p>
        </w:tc>
        <w:tc>
          <w:tcPr>
            <w:tcW w:w="2361"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CRISPR-Cas12a system can be used</w:t>
            </w:r>
            <w:r>
              <w:rPr>
                <w:rFonts w:hint="eastAsia" w:ascii="Book Antiqua" w:hAnsi="Book Antiqua" w:cs="Times New Roman"/>
                <w:highlight w:val="none"/>
                <w:lang w:eastAsia="zh-CN"/>
              </w:rPr>
              <w:t xml:space="preserve"> </w:t>
            </w:r>
            <w:r>
              <w:rPr>
                <w:rFonts w:ascii="Book Antiqua" w:hAnsi="Book Antiqua" w:cs="Times New Roman"/>
                <w:highlight w:val="none"/>
              </w:rPr>
              <w:t>to create new drug or cell delivery systems and</w:t>
            </w:r>
            <w:r>
              <w:rPr>
                <w:rFonts w:hint="eastAsia" w:ascii="Book Antiqua" w:hAnsi="Book Antiqua" w:cs="Times New Roman"/>
                <w:highlight w:val="none"/>
                <w:lang w:eastAsia="zh-CN"/>
              </w:rPr>
              <w:t xml:space="preserve"> </w:t>
            </w:r>
            <w:r>
              <w:rPr>
                <w:rFonts w:ascii="Book Antiqua" w:hAnsi="Book Antiqua" w:cs="Times New Roman"/>
                <w:highlight w:val="none"/>
              </w:rPr>
              <w:t>bio-sensing (</w:t>
            </w:r>
            <w:r>
              <w:rPr>
                <w:rFonts w:ascii="Book Antiqua" w:hAnsi="Book Antiqua" w:cs="Times New Roman"/>
                <w:i/>
                <w:highlight w:val="none"/>
              </w:rPr>
              <w:t>e.g.</w:t>
            </w:r>
            <w:r>
              <w:rPr>
                <w:rFonts w:ascii="Book Antiqua" w:hAnsi="Book Antiqua" w:cs="Times New Roman"/>
                <w:highlight w:val="none"/>
              </w:rPr>
              <w:t>, to detect methicillin-resistant Staphylococcus aureus, Ebola virus</w:t>
            </w:r>
            <w:r>
              <w:rPr>
                <w:rFonts w:hint="eastAsia" w:ascii="Book Antiqua" w:hAnsi="Book Antiqua" w:cs="Times New Roman"/>
                <w:highlight w:val="none"/>
                <w:vertAlign w:val="superscript"/>
                <w:lang w:eastAsia="zh-CN"/>
              </w:rPr>
              <w:t>[60]</w:t>
            </w:r>
            <w:r>
              <w:rPr>
                <w:rFonts w:hint="eastAsia" w:ascii="Book Antiqua" w:hAnsi="Book Antiqua" w:cs="Times New Roman"/>
                <w:highlight w:val="none"/>
                <w:lang w:eastAsia="zh-CN"/>
              </w:rPr>
              <w:t xml:space="preserve">. </w:t>
            </w:r>
            <w:r>
              <w:rPr>
                <w:rFonts w:ascii="Book Antiqua" w:hAnsi="Book Antiqua" w:cs="Times New Roman"/>
                <w:highlight w:val="none"/>
              </w:rPr>
              <w:t>Emergency Use Authorization (EUA) Only for qualitative detection of nucleic acid from the SARS-CoV-2 in upper respiratory specimens</w:t>
            </w:r>
            <w:r>
              <w:rPr>
                <w:rFonts w:hint="eastAsia" w:ascii="Book Antiqua" w:hAnsi="Book Antiqua" w:cs="Times New Roman"/>
                <w:highlight w:val="none"/>
                <w:vertAlign w:val="superscript"/>
                <w:lang w:eastAsia="zh-CN"/>
              </w:rPr>
              <w:t>[61,62]</w:t>
            </w:r>
          </w:p>
        </w:tc>
        <w:tc>
          <w:tcPr>
            <w:tcW w:w="2289" w:type="dxa"/>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Limited research data and application.</w:t>
            </w:r>
            <w:r>
              <w:rPr>
                <w:rFonts w:hint="eastAsia" w:ascii="Book Antiqua" w:hAnsi="Book Antiqua" w:cs="Times New Roman"/>
                <w:highlight w:val="none"/>
                <w:lang w:eastAsia="zh-CN"/>
              </w:rPr>
              <w:t xml:space="preserve"> </w:t>
            </w:r>
            <w:r>
              <w:rPr>
                <w:rFonts w:ascii="Book Antiqua" w:hAnsi="Book Antiqua" w:cs="Times New Roman"/>
                <w:highlight w:val="none"/>
              </w:rPr>
              <w:t>The technology is still in its infancy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left w:val="nil"/>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CRISPR-Cas 13</w:t>
            </w:r>
          </w:p>
        </w:tc>
        <w:tc>
          <w:tcPr>
            <w:tcW w:w="2251"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 xml:space="preserve">CRISPR-Cas 13 system can be used </w:t>
            </w:r>
            <w:r>
              <w:rPr>
                <w:rFonts w:ascii="Book Antiqua" w:hAnsi="Book Antiqua" w:cs="Times New Roman"/>
                <w:i/>
                <w:highlight w:val="none"/>
              </w:rPr>
              <w:t>via</w:t>
            </w:r>
            <w:r>
              <w:rPr>
                <w:rFonts w:ascii="Book Antiqua" w:hAnsi="Book Antiqua" w:cs="Times New Roman"/>
                <w:highlight w:val="none"/>
              </w:rPr>
              <w:t xml:space="preserve"> SHERLOCK technique for ultra-sensitive detection of RNA or DNA from the clinical samples</w:t>
            </w:r>
          </w:p>
        </w:tc>
        <w:tc>
          <w:tcPr>
            <w:tcW w:w="2361"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SherlockTM CRISPR SARS-CoV-2 kit: Emergency Use Authorization (EUA) qualitative for detection of nucleic acid from</w:t>
            </w:r>
          </w:p>
          <w:p>
            <w:pPr>
              <w:spacing w:line="360" w:lineRule="auto"/>
              <w:jc w:val="both"/>
              <w:rPr>
                <w:rFonts w:ascii="Book Antiqua" w:hAnsi="Book Antiqua" w:cs="Times New Roman"/>
                <w:highlight w:val="none"/>
                <w:lang w:eastAsia="zh-CN"/>
              </w:rPr>
            </w:pPr>
            <w:r>
              <w:rPr>
                <w:rFonts w:ascii="Book Antiqua" w:hAnsi="Book Antiqua" w:cs="Times New Roman"/>
                <w:highlight w:val="none"/>
              </w:rPr>
              <w:t>SARS-CoV-2 in upper respiratory specimens</w:t>
            </w:r>
            <w:r>
              <w:rPr>
                <w:rFonts w:hint="eastAsia" w:ascii="Book Antiqua" w:hAnsi="Book Antiqua" w:cs="Times New Roman"/>
                <w:highlight w:val="none"/>
                <w:vertAlign w:val="superscript"/>
                <w:lang w:eastAsia="zh-CN"/>
              </w:rPr>
              <w:t>[63,64]</w:t>
            </w:r>
          </w:p>
        </w:tc>
        <w:tc>
          <w:tcPr>
            <w:tcW w:w="2289" w:type="dxa"/>
            <w:shd w:val="clear" w:color="auto" w:fill="auto"/>
          </w:tcPr>
          <w:p>
            <w:pPr>
              <w:spacing w:line="360" w:lineRule="auto"/>
              <w:jc w:val="both"/>
              <w:rPr>
                <w:rFonts w:ascii="Book Antiqua" w:hAnsi="Book Antiqua" w:cs="Times New Roman"/>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left w:val="nil"/>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lang w:eastAsia="zh-CN"/>
              </w:rPr>
            </w:pPr>
            <w:r>
              <w:rPr>
                <w:rFonts w:ascii="Book Antiqua" w:hAnsi="Book Antiqua" w:cs="Times New Roman"/>
                <w:b w:val="0"/>
                <w:bCs/>
                <w:color w:val="auto"/>
                <w:sz w:val="24"/>
                <w:szCs w:val="24"/>
                <w:highlight w:val="none"/>
              </w:rPr>
              <w:t>Prime editors</w:t>
            </w:r>
          </w:p>
        </w:tc>
        <w:tc>
          <w:tcPr>
            <w:tcW w:w="2251"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It uses a catalytically</w:t>
            </w:r>
            <w:r>
              <w:rPr>
                <w:rFonts w:hint="eastAsia" w:ascii="Book Antiqua" w:hAnsi="Book Antiqua" w:cs="Times New Roman"/>
                <w:highlight w:val="none"/>
                <w:lang w:eastAsia="zh-CN"/>
              </w:rPr>
              <w:t xml:space="preserve"> </w:t>
            </w:r>
            <w:r>
              <w:rPr>
                <w:rFonts w:ascii="Book Antiqua" w:hAnsi="Book Antiqua" w:cs="Times New Roman"/>
                <w:highlight w:val="none"/>
              </w:rPr>
              <w:t>impaired Cas9 which is fused to an engineered reverse transcriptase and prime editing guide RNA. The guide RNA specifies the target site and encodes the desired sequence</w:t>
            </w:r>
          </w:p>
        </w:tc>
        <w:tc>
          <w:tcPr>
            <w:tcW w:w="2361" w:type="dxa"/>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shd w:val="clear" w:color="auto" w:fill="FFFFFF"/>
              </w:rPr>
              <w:t>Prime editing is associated with fewer off-target edits when compared with conventional CRISPR-Cas system</w:t>
            </w:r>
            <w:r>
              <w:rPr>
                <w:rFonts w:hint="eastAsia" w:ascii="Book Antiqua" w:hAnsi="Book Antiqua" w:cs="Times New Roman"/>
                <w:highlight w:val="none"/>
                <w:shd w:val="clear" w:color="auto" w:fill="FFFFFF"/>
                <w:vertAlign w:val="superscript"/>
                <w:lang w:eastAsia="zh-CN"/>
              </w:rPr>
              <w:t>[65]</w:t>
            </w:r>
            <w:r>
              <w:rPr>
                <w:rFonts w:hint="eastAsia" w:ascii="Book Antiqua" w:hAnsi="Book Antiqua" w:cs="Times New Roman"/>
                <w:highlight w:val="none"/>
                <w:shd w:val="clear" w:color="auto" w:fill="FFFFFF"/>
                <w:lang w:eastAsia="zh-CN"/>
              </w:rPr>
              <w:t xml:space="preserve">. </w:t>
            </w:r>
            <w:r>
              <w:rPr>
                <w:rFonts w:ascii="Book Antiqua" w:hAnsi="Book Antiqua" w:cs="Times New Roman"/>
                <w:highlight w:val="none"/>
              </w:rPr>
              <w:t xml:space="preserve">Anzalone </w:t>
            </w:r>
            <w:r>
              <w:rPr>
                <w:rFonts w:ascii="Book Antiqua" w:hAnsi="Book Antiqua" w:cs="Times New Roman"/>
                <w:i/>
                <w:highlight w:val="none"/>
              </w:rPr>
              <w:t>et al</w:t>
            </w:r>
            <w:r>
              <w:rPr>
                <w:rFonts w:hint="eastAsia" w:ascii="Book Antiqua" w:hAnsi="Book Antiqua" w:cs="Times New Roman"/>
                <w:highlight w:val="none"/>
                <w:shd w:val="clear" w:color="auto" w:fill="FFFFFF"/>
                <w:vertAlign w:val="superscript"/>
                <w:lang w:eastAsia="zh-CN"/>
              </w:rPr>
              <w:t>[66]</w:t>
            </w:r>
            <w:r>
              <w:rPr>
                <w:rFonts w:ascii="Book Antiqua" w:hAnsi="Book Antiqua" w:cs="Times New Roman"/>
                <w:highlight w:val="none"/>
              </w:rPr>
              <w:t xml:space="preserve"> applied prime editing in human cells to correct the primary genetic causes of sickle cell disease and Tay-Sachs disease. It does not require double-strand breaks or donor DNA templates</w:t>
            </w:r>
          </w:p>
        </w:tc>
        <w:tc>
          <w:tcPr>
            <w:tcW w:w="2289"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Research literature on application of prime editing is limited.</w:t>
            </w:r>
            <w:r>
              <w:rPr>
                <w:rFonts w:hint="eastAsia" w:ascii="Book Antiqua" w:hAnsi="Book Antiqua" w:cs="Times New Roman"/>
                <w:highlight w:val="none"/>
                <w:lang w:eastAsia="zh-CN"/>
              </w:rPr>
              <w:t xml:space="preserve"> </w:t>
            </w:r>
            <w:r>
              <w:rPr>
                <w:rFonts w:ascii="Book Antiqua" w:hAnsi="Book Antiqua" w:cs="Times New Roman"/>
                <w:highlight w:val="none"/>
              </w:rPr>
              <w:t xml:space="preserve">Unlike conventional </w:t>
            </w:r>
            <w:r>
              <w:rPr>
                <w:rFonts w:ascii="Book Antiqua" w:hAnsi="Book Antiqua" w:cs="Times New Roman"/>
                <w:highlight w:val="none"/>
                <w:shd w:val="clear" w:color="auto" w:fill="FFFFFF"/>
              </w:rPr>
              <w:t>CRISPR-Cas system</w:t>
            </w:r>
            <w:r>
              <w:rPr>
                <w:rFonts w:hint="eastAsia" w:ascii="Book Antiqua" w:hAnsi="Book Antiqua" w:cs="Times New Roman"/>
                <w:highlight w:val="none"/>
                <w:shd w:val="clear" w:color="auto" w:fill="FFFFFF"/>
                <w:lang w:eastAsia="zh-CN"/>
              </w:rPr>
              <w:t xml:space="preserve"> </w:t>
            </w:r>
            <w:r>
              <w:rPr>
                <w:rFonts w:ascii="Book Antiqua" w:hAnsi="Book Antiqua" w:cs="Times New Roman"/>
                <w:highlight w:val="none"/>
              </w:rPr>
              <w:t xml:space="preserve">prime editing may not be able to provide </w:t>
            </w:r>
            <w:r>
              <w:rPr>
                <w:rFonts w:ascii="Book Antiqua" w:hAnsi="Book Antiqua" w:cs="Times New Roman"/>
                <w:highlight w:val="none"/>
                <w:shd w:val="clear" w:color="auto" w:fill="FFFFFF"/>
              </w:rPr>
              <w:t>large DNA insertions or deletions</w:t>
            </w:r>
            <w:r>
              <w:rPr>
                <w:rFonts w:hint="eastAsia" w:ascii="Book Antiqua" w:hAnsi="Book Antiqua" w:cs="Times New Roman"/>
                <w:highlight w:val="none"/>
                <w:shd w:val="clear" w:color="auto" w:fill="FFFFFF"/>
                <w:vertAlign w:val="superscript"/>
                <w:lang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left w:val="nil"/>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rPr>
            </w:pPr>
            <w:r>
              <w:rPr>
                <w:rFonts w:ascii="Book Antiqua" w:hAnsi="Book Antiqua" w:cs="Times New Roman"/>
                <w:b w:val="0"/>
                <w:bCs/>
                <w:color w:val="auto"/>
                <w:sz w:val="24"/>
                <w:szCs w:val="24"/>
                <w:highlight w:val="none"/>
              </w:rPr>
              <w:t>Zinc finger nucleases</w:t>
            </w:r>
          </w:p>
        </w:tc>
        <w:tc>
          <w:tcPr>
            <w:tcW w:w="2251" w:type="dxa"/>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Zinc finger nuclease (dimer of zinc finger hybrid bound to restriction endonuclease) is a programmable nuclease that cleaves specific sites in DNA. They recognize the target sequence through protein-DNA interaction</w:t>
            </w:r>
          </w:p>
        </w:tc>
        <w:tc>
          <w:tcPr>
            <w:tcW w:w="2361" w:type="dxa"/>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P</w:t>
            </w:r>
            <w:r>
              <w:rPr>
                <w:rFonts w:ascii="Book Antiqua" w:hAnsi="Book Antiqua" w:cs="Times New Roman"/>
                <w:highlight w:val="none"/>
              </w:rPr>
              <w:t>otential for plant genome editing for crop improvement</w:t>
            </w:r>
            <w:r>
              <w:rPr>
                <w:rFonts w:hint="eastAsia" w:ascii="Book Antiqua" w:hAnsi="Book Antiqua" w:cs="Times New Roman"/>
                <w:highlight w:val="none"/>
                <w:shd w:val="clear" w:color="auto" w:fill="FFFFFF"/>
                <w:vertAlign w:val="superscript"/>
                <w:lang w:eastAsia="zh-CN"/>
              </w:rPr>
              <w:t>[67]</w:t>
            </w:r>
          </w:p>
        </w:tc>
        <w:tc>
          <w:tcPr>
            <w:tcW w:w="2289" w:type="dxa"/>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Necessity to engineer novel proteins for each target site</w:t>
            </w:r>
            <w:r>
              <w:rPr>
                <w:rFonts w:hint="eastAsia" w:ascii="Book Antiqua" w:hAnsi="Book Antiqua" w:cs="Times New Roman"/>
                <w:highlight w:val="none"/>
                <w:lang w:eastAsia="zh-CN"/>
              </w:rPr>
              <w:t>: E</w:t>
            </w:r>
            <w:r>
              <w:rPr>
                <w:rFonts w:ascii="Book Antiqua" w:hAnsi="Book Antiqua" w:cs="Times New Roman"/>
                <w:highlight w:val="none"/>
              </w:rPr>
              <w:t>xpensive</w:t>
            </w:r>
            <w:r>
              <w:rPr>
                <w:rFonts w:hint="eastAsia" w:ascii="Book Antiqua" w:hAnsi="Book Antiqua" w:cs="Times New Roman"/>
                <w:highlight w:val="none"/>
                <w:lang w:eastAsia="zh-CN"/>
              </w:rPr>
              <w:t>; D</w:t>
            </w:r>
            <w:r>
              <w:rPr>
                <w:rFonts w:ascii="Book Antiqua" w:hAnsi="Book Antiqua" w:cs="Times New Roman"/>
                <w:highlight w:val="none"/>
              </w:rPr>
              <w:t>ifficult to reproduce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49" w:type="dxa"/>
            <w:tcBorders>
              <w:left w:val="nil"/>
              <w:bottom w:val="single" w:color="auto" w:sz="4" w:space="0"/>
            </w:tcBorders>
            <w:shd w:val="clear" w:color="auto" w:fill="auto"/>
          </w:tcPr>
          <w:p>
            <w:pPr>
              <w:pStyle w:val="15"/>
              <w:spacing w:after="0" w:line="360" w:lineRule="auto"/>
              <w:ind w:left="0"/>
              <w:jc w:val="both"/>
              <w:rPr>
                <w:rFonts w:ascii="Book Antiqua" w:hAnsi="Book Antiqua" w:cs="Times New Roman"/>
                <w:b w:val="0"/>
                <w:bCs/>
                <w:color w:val="auto"/>
                <w:sz w:val="24"/>
                <w:szCs w:val="24"/>
                <w:highlight w:val="none"/>
                <w:lang w:eastAsia="zh-CN"/>
              </w:rPr>
            </w:pPr>
            <w:r>
              <w:rPr>
                <w:rFonts w:ascii="Book Antiqua" w:hAnsi="Book Antiqua" w:cs="Times New Roman"/>
                <w:b w:val="0"/>
                <w:bCs/>
                <w:color w:val="auto"/>
                <w:sz w:val="24"/>
                <w:szCs w:val="24"/>
                <w:highlight w:val="none"/>
              </w:rPr>
              <w:t>TALENS</w:t>
            </w:r>
          </w:p>
        </w:tc>
        <w:tc>
          <w:tcPr>
            <w:tcW w:w="2251" w:type="dxa"/>
            <w:tcBorders>
              <w:bottom w:val="single" w:color="auto" w:sz="4" w:space="0"/>
            </w:tcBorders>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TAL proteins have TAL effector DNA-binding domain fused to a DNA cleavage domain. TALENs create dsBs that require repair by NHEJ or HDR</w:t>
            </w:r>
          </w:p>
        </w:tc>
        <w:tc>
          <w:tcPr>
            <w:tcW w:w="2361" w:type="dxa"/>
            <w:tcBorders>
              <w:bottom w:val="single" w:color="auto" w:sz="4" w:space="0"/>
            </w:tcBorders>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T</w:t>
            </w:r>
            <w:r>
              <w:rPr>
                <w:rFonts w:ascii="Book Antiqua" w:hAnsi="Book Antiqua" w:cs="Times New Roman"/>
                <w:highlight w:val="none"/>
              </w:rPr>
              <w:t>he DNA-binding specificity of TALEs is easier to engineer than zinc-finger</w:t>
            </w:r>
          </w:p>
          <w:p>
            <w:pPr>
              <w:spacing w:line="360" w:lineRule="auto"/>
              <w:jc w:val="both"/>
              <w:rPr>
                <w:rFonts w:ascii="Book Antiqua" w:hAnsi="Book Antiqua" w:cs="Times New Roman"/>
                <w:highlight w:val="none"/>
                <w:lang w:eastAsia="zh-CN"/>
              </w:rPr>
            </w:pPr>
            <w:r>
              <w:rPr>
                <w:rFonts w:ascii="Book Antiqua" w:hAnsi="Book Antiqua" w:cs="Times New Roman"/>
                <w:highlight w:val="none"/>
              </w:rPr>
              <w:t>Proteins</w:t>
            </w:r>
            <w:r>
              <w:rPr>
                <w:rFonts w:hint="eastAsia" w:ascii="Book Antiqua" w:hAnsi="Book Antiqua" w:cs="Times New Roman"/>
                <w:highlight w:val="none"/>
                <w:vertAlign w:val="superscript"/>
                <w:lang w:eastAsia="zh-CN"/>
              </w:rPr>
              <w:t>[68]</w:t>
            </w:r>
          </w:p>
        </w:tc>
        <w:tc>
          <w:tcPr>
            <w:tcW w:w="2289" w:type="dxa"/>
            <w:tcBorders>
              <w:bottom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Necessity to engineer novel proteins for each target site</w:t>
            </w:r>
            <w:r>
              <w:rPr>
                <w:rFonts w:hint="eastAsia" w:ascii="Book Antiqua" w:hAnsi="Book Antiqua" w:cs="Times New Roman"/>
                <w:highlight w:val="none"/>
                <w:lang w:eastAsia="zh-CN"/>
              </w:rPr>
              <w:t xml:space="preserve">. </w:t>
            </w:r>
            <w:r>
              <w:rPr>
                <w:rFonts w:ascii="Book Antiqua" w:hAnsi="Book Antiqua" w:cs="Times New Roman"/>
                <w:highlight w:val="none"/>
              </w:rPr>
              <w:t>TALENs are large and pose packaging challenge in viral delivery systems</w:t>
            </w:r>
            <w:r>
              <w:rPr>
                <w:rFonts w:hint="eastAsia" w:ascii="Book Antiqua" w:hAnsi="Book Antiqua" w:cs="Times New Roman"/>
                <w:highlight w:val="none"/>
                <w:vertAlign w:val="superscript"/>
                <w:lang w:eastAsia="zh-CN"/>
              </w:rPr>
              <w:t>[69]</w:t>
            </w:r>
          </w:p>
        </w:tc>
      </w:tr>
    </w:tbl>
    <w:p>
      <w:pPr>
        <w:spacing w:line="360" w:lineRule="auto"/>
        <w:jc w:val="both"/>
        <w:rPr>
          <w:rFonts w:ascii="Book Antiqua" w:hAnsi="Book Antiqua"/>
          <w:highlight w:val="none"/>
          <w:lang w:eastAsia="zh-CN"/>
        </w:rPr>
      </w:pPr>
      <w:r>
        <w:rPr>
          <w:rFonts w:ascii="Book Antiqua" w:hAnsi="Book Antiqua"/>
          <w:highlight w:val="none"/>
          <w:lang w:eastAsia="zh-CN"/>
        </w:rPr>
        <w:t>HDR: Homology-directed repair; NHEJ: Nonhomologous end-joining; SARS-CoV-2: Severe acute respiratory syndrome coronavirus 2; TALENs: Transcription activator-like effector nucleases</w:t>
      </w:r>
      <w:r>
        <w:rPr>
          <w:rFonts w:hint="eastAsia" w:ascii="Book Antiqua" w:hAnsi="Book Antiqua"/>
          <w:highlight w:val="none"/>
          <w:lang w:eastAsia="zh-CN"/>
        </w:rPr>
        <w:t xml:space="preserve">; </w:t>
      </w:r>
      <w:r>
        <w:rPr>
          <w:rFonts w:ascii="Book Antiqua" w:hAnsi="Book Antiqua"/>
          <w:highlight w:val="none"/>
          <w:lang w:eastAsia="zh-CN"/>
        </w:rPr>
        <w:t xml:space="preserve">dsBs: </w:t>
      </w:r>
      <w:r>
        <w:rPr>
          <w:rFonts w:hint="eastAsia" w:ascii="Book Antiqua" w:hAnsi="Book Antiqua"/>
          <w:highlight w:val="none"/>
          <w:lang w:eastAsia="zh-CN"/>
        </w:rPr>
        <w:t>D</w:t>
      </w:r>
      <w:r>
        <w:rPr>
          <w:rFonts w:ascii="Book Antiqua" w:hAnsi="Book Antiqua"/>
          <w:highlight w:val="none"/>
          <w:lang w:eastAsia="zh-CN"/>
        </w:rPr>
        <w:t xml:space="preserve">ouble stranded breaks; ssDNA: </w:t>
      </w:r>
      <w:r>
        <w:rPr>
          <w:rFonts w:hint="eastAsia" w:ascii="Book Antiqua" w:hAnsi="Book Antiqua"/>
          <w:highlight w:val="none"/>
          <w:lang w:eastAsia="zh-CN"/>
        </w:rPr>
        <w:t>S</w:t>
      </w:r>
      <w:r>
        <w:rPr>
          <w:rFonts w:ascii="Book Antiqua" w:hAnsi="Book Antiqua"/>
          <w:highlight w:val="none"/>
          <w:lang w:eastAsia="zh-CN"/>
        </w:rPr>
        <w:t>ingle stranded DNA; TAL: Transcription activator-like; SHERLOCK: Specific High Sensitivity Enzymatic Reporter UnLOCKing</w:t>
      </w:r>
      <w:r>
        <w:rPr>
          <w:rFonts w:hint="eastAsia" w:ascii="Book Antiqua" w:hAnsi="Book Antiqua"/>
          <w:highlight w:val="none"/>
          <w:lang w:eastAsia="zh-CN"/>
        </w:rPr>
        <w:t>.</w:t>
      </w:r>
    </w:p>
    <w:p>
      <w:pPr>
        <w:spacing w:line="360" w:lineRule="auto"/>
        <w:jc w:val="both"/>
        <w:rPr>
          <w:rFonts w:ascii="Book Antiqua" w:hAnsi="Book Antiqua"/>
          <w:b/>
          <w:highlight w:val="none"/>
          <w:lang w:eastAsia="zh-CN"/>
        </w:rPr>
      </w:pPr>
      <w:r>
        <w:rPr>
          <w:rFonts w:ascii="Book Antiqua" w:hAnsi="Book Antiqua"/>
          <w:highlight w:val="none"/>
          <w:lang w:eastAsia="zh-CN"/>
        </w:rPr>
        <w:br w:type="page"/>
      </w:r>
      <w:r>
        <w:rPr>
          <w:rFonts w:ascii="Book Antiqua" w:hAnsi="Book Antiqua"/>
          <w:b/>
          <w:highlight w:val="none"/>
          <w:lang w:eastAsia="zh-CN"/>
        </w:rPr>
        <w:t>Table 3</w:t>
      </w:r>
      <w:r>
        <w:rPr>
          <w:rFonts w:hint="eastAsia" w:ascii="Book Antiqua" w:hAnsi="Book Antiqua"/>
          <w:b/>
          <w:highlight w:val="none"/>
          <w:lang w:eastAsia="zh-CN"/>
        </w:rPr>
        <w:t xml:space="preserve"> </w:t>
      </w:r>
      <w:r>
        <w:rPr>
          <w:rFonts w:ascii="Book Antiqua" w:hAnsi="Book Antiqua"/>
          <w:b/>
          <w:highlight w:val="none"/>
          <w:lang w:eastAsia="zh-CN"/>
        </w:rPr>
        <w:t>Gene based therapies: List of Food and Drug Administration approved therapies and investigational therapies showing promise</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3"/>
        <w:gridCol w:w="2815"/>
        <w:gridCol w:w="2181"/>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81" w:type="pct"/>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Therapy or drug</w:t>
            </w:r>
          </w:p>
        </w:tc>
        <w:tc>
          <w:tcPr>
            <w:tcW w:w="1470" w:type="pct"/>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Indication</w:t>
            </w:r>
          </w:p>
        </w:tc>
        <w:tc>
          <w:tcPr>
            <w:tcW w:w="1139" w:type="pct"/>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Mechanism of action</w:t>
            </w:r>
          </w:p>
        </w:tc>
        <w:tc>
          <w:tcPr>
            <w:tcW w:w="1110" w:type="pct"/>
            <w:tcBorders>
              <w:top w:val="single" w:color="auto" w:sz="4" w:space="0"/>
              <w:left w:val="nil"/>
              <w:bottom w:val="single" w:color="auto" w:sz="4" w:space="0"/>
              <w:right w:val="nil"/>
              <w:insideV w:val="nil"/>
            </w:tcBorders>
            <w:shd w:val="clear" w:color="auto" w:fill="auto"/>
          </w:tcPr>
          <w:p>
            <w:pPr>
              <w:spacing w:line="360" w:lineRule="auto"/>
              <w:jc w:val="both"/>
              <w:rPr>
                <w:rFonts w:ascii="Book Antiqua" w:hAnsi="Book Antiqua" w:cs="Times New Roman"/>
                <w:b/>
                <w:bCs/>
                <w:color w:val="auto"/>
                <w:highlight w:val="none"/>
              </w:rPr>
            </w:pPr>
            <w:r>
              <w:rPr>
                <w:rFonts w:ascii="Book Antiqua" w:hAnsi="Book Antiqua" w:cs="Times New Roman"/>
                <w:b/>
                <w:bCs/>
                <w:color w:val="auto"/>
                <w:highlight w:val="none"/>
              </w:rPr>
              <w:t>Approval status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top w:val="single" w:color="auto" w:sz="4" w:space="0"/>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 xml:space="preserve">Janssen COVID-19 </w:t>
            </w:r>
            <w:r>
              <w:rPr>
                <w:rFonts w:hint="eastAsia" w:ascii="Book Antiqua" w:hAnsi="Book Antiqua" w:cs="Times New Roman"/>
                <w:b w:val="0"/>
                <w:bCs/>
                <w:color w:val="auto"/>
                <w:highlight w:val="none"/>
                <w:lang w:eastAsia="zh-CN"/>
              </w:rPr>
              <w:t>v</w:t>
            </w:r>
            <w:r>
              <w:rPr>
                <w:rFonts w:ascii="Book Antiqua" w:hAnsi="Book Antiqua" w:cs="Times New Roman"/>
                <w:b w:val="0"/>
                <w:bCs/>
                <w:color w:val="auto"/>
                <w:highlight w:val="none"/>
              </w:rPr>
              <w:t>accine</w:t>
            </w:r>
          </w:p>
        </w:tc>
        <w:tc>
          <w:tcPr>
            <w:tcW w:w="1470" w:type="pct"/>
            <w:tcBorders>
              <w:top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Prevention of 2019 coronavirus disease (COVID-19) for individuals 18 y</w:t>
            </w:r>
            <w:r>
              <w:rPr>
                <w:rFonts w:hint="eastAsia" w:ascii="Book Antiqua" w:hAnsi="Book Antiqua" w:cs="Times New Roman"/>
                <w:highlight w:val="none"/>
                <w:lang w:eastAsia="zh-CN"/>
              </w:rPr>
              <w:t>r</w:t>
            </w:r>
            <w:r>
              <w:rPr>
                <w:rFonts w:ascii="Book Antiqua" w:hAnsi="Book Antiqua" w:cs="Times New Roman"/>
                <w:highlight w:val="none"/>
              </w:rPr>
              <w:t xml:space="preserve"> of age and older</w:t>
            </w:r>
          </w:p>
        </w:tc>
        <w:tc>
          <w:tcPr>
            <w:tcW w:w="1139" w:type="pct"/>
            <w:tcBorders>
              <w:top w:val="single" w:color="auto" w:sz="4" w:space="0"/>
            </w:tcBorders>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R</w:t>
            </w:r>
            <w:r>
              <w:rPr>
                <w:rFonts w:ascii="Book Antiqua" w:hAnsi="Book Antiqua" w:cs="Times New Roman"/>
                <w:highlight w:val="none"/>
              </w:rPr>
              <w:t>ecombinant, human</w:t>
            </w:r>
          </w:p>
          <w:p>
            <w:pPr>
              <w:spacing w:line="360" w:lineRule="auto"/>
              <w:jc w:val="both"/>
              <w:rPr>
                <w:rFonts w:ascii="Book Antiqua" w:hAnsi="Book Antiqua" w:cs="Times New Roman"/>
                <w:highlight w:val="none"/>
              </w:rPr>
            </w:pPr>
            <w:r>
              <w:rPr>
                <w:rFonts w:ascii="Book Antiqua" w:hAnsi="Book Antiqua" w:cs="Times New Roman"/>
                <w:highlight w:val="none"/>
              </w:rPr>
              <w:t>adenovirus type 26 vector which expresses the SARS-CoV-2 “S” antigen after entering human cells thus eliciting immune response against COVID</w:t>
            </w:r>
            <w:r>
              <w:rPr>
                <w:rFonts w:hint="eastAsia" w:ascii="Book Antiqua" w:hAnsi="Book Antiqua" w:cs="Times New Roman"/>
                <w:highlight w:val="none"/>
                <w:lang w:val="en-US" w:eastAsia="zh-CN"/>
              </w:rPr>
              <w:t>-</w:t>
            </w:r>
            <w:r>
              <w:rPr>
                <w:rFonts w:ascii="Book Antiqua" w:hAnsi="Book Antiqua" w:cs="Times New Roman"/>
                <w:highlight w:val="none"/>
              </w:rPr>
              <w:t>19</w:t>
            </w:r>
          </w:p>
        </w:tc>
        <w:tc>
          <w:tcPr>
            <w:tcW w:w="1110" w:type="pct"/>
            <w:tcBorders>
              <w:top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Emergency use authorization (EUA) on February 27, 2021</w:t>
            </w:r>
            <w:r>
              <w:rPr>
                <w:rFonts w:hint="eastAsia" w:ascii="Book Antiqua" w:hAnsi="Book Antiqua" w:cs="Times New Roman"/>
                <w:highlight w:val="none"/>
                <w:vertAlign w:val="superscript"/>
                <w:lang w:eastAsia="zh-CN"/>
              </w:rPr>
              <w:t>[70]</w:t>
            </w:r>
            <w:r>
              <w:rPr>
                <w:rFonts w:hint="eastAsia" w:ascii="Book Antiqua" w:hAnsi="Book Antiqua" w:cs="Times New Roman"/>
                <w:highlight w:val="none"/>
                <w:lang w:eastAsia="zh-CN"/>
              </w:rPr>
              <w:t xml:space="preserve">. </w:t>
            </w:r>
            <w:r>
              <w:rPr>
                <w:rFonts w:ascii="Book Antiqua" w:hAnsi="Book Antiqua" w:cs="Times New Roman"/>
                <w:highlight w:val="none"/>
              </w:rPr>
              <w:t>Pause placed on vaccine use on April 13, 2021</w:t>
            </w:r>
            <w:r>
              <w:rPr>
                <w:rFonts w:hint="eastAsia" w:ascii="Book Antiqua" w:hAnsi="Book Antiqua" w:cs="Times New Roman"/>
                <w:highlight w:val="none"/>
                <w:vertAlign w:val="superscript"/>
                <w:lang w:eastAsia="zh-CN"/>
              </w:rPr>
              <w:t>[71]</w:t>
            </w:r>
            <w:r>
              <w:rPr>
                <w:rFonts w:hint="eastAsia" w:ascii="Book Antiqua" w:hAnsi="Book Antiqua" w:cs="Times New Roman"/>
                <w:highlight w:val="none"/>
                <w:lang w:eastAsia="zh-CN"/>
              </w:rPr>
              <w:t xml:space="preserve">. </w:t>
            </w:r>
            <w:r>
              <w:rPr>
                <w:rFonts w:ascii="Book Antiqua" w:hAnsi="Book Antiqua" w:cs="Times New Roman"/>
                <w:highlight w:val="none"/>
              </w:rPr>
              <w:t>FDA lifted vaccination pause on April 23, 2021</w:t>
            </w:r>
            <w:r>
              <w:rPr>
                <w:rFonts w:hint="eastAsia" w:ascii="Book Antiqua" w:hAnsi="Book Antiqua" w:cs="Times New Roman"/>
                <w:highlight w:val="none"/>
                <w:vertAlign w:val="superscript"/>
                <w:lang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Pfizer-BioNTech COVID-19 Vaccine</w:t>
            </w:r>
            <w:r>
              <w:rPr>
                <w:rFonts w:hint="eastAsia" w:ascii="Book Antiqua" w:hAnsi="Book Antiqua" w:cs="Times New Roman"/>
                <w:b w:val="0"/>
                <w:bCs/>
                <w:color w:val="auto"/>
                <w:highlight w:val="none"/>
                <w:vertAlign w:val="superscript"/>
                <w:lang w:eastAsia="zh-CN"/>
              </w:rPr>
              <w:t>[73-75]</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Prevention of COVID-19 for individuals 16 y</w:t>
            </w:r>
            <w:r>
              <w:rPr>
                <w:rFonts w:hint="eastAsia" w:ascii="Book Antiqua" w:hAnsi="Book Antiqua" w:cs="Times New Roman"/>
                <w:highlight w:val="none"/>
                <w:lang w:eastAsia="zh-CN"/>
              </w:rPr>
              <w:t>r</w:t>
            </w:r>
            <w:r>
              <w:rPr>
                <w:rFonts w:ascii="Book Antiqua" w:hAnsi="Book Antiqua" w:cs="Times New Roman"/>
                <w:highlight w:val="none"/>
              </w:rPr>
              <w:t xml:space="preserve"> of age and older</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modRNA forumated in lipid particles when delivered to host cells express SARS-CoV-2 “S” antigen, thus eliciting immune response against COVID</w:t>
            </w:r>
            <w:r>
              <w:rPr>
                <w:rFonts w:hint="eastAsia" w:ascii="Book Antiqua" w:hAnsi="Book Antiqua" w:cs="Times New Roman"/>
                <w:highlight w:val="none"/>
                <w:lang w:val="en-US" w:eastAsia="zh-CN"/>
              </w:rPr>
              <w:t>-</w:t>
            </w:r>
            <w:r>
              <w:rPr>
                <w:rFonts w:ascii="Book Antiqua" w:hAnsi="Book Antiqua" w:cs="Times New Roman"/>
                <w:highlight w:val="none"/>
              </w:rPr>
              <w:t>19</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 xml:space="preserve">EUA </w:t>
            </w:r>
            <w:r>
              <w:rPr>
                <w:rFonts w:hint="eastAsia" w:ascii="Book Antiqua" w:hAnsi="Book Antiqua" w:cs="Times New Roman"/>
                <w:highlight w:val="none"/>
                <w:lang w:eastAsia="zh-CN"/>
              </w:rPr>
              <w:t>o</w:t>
            </w:r>
            <w:r>
              <w:rPr>
                <w:rFonts w:ascii="Book Antiqua" w:hAnsi="Book Antiqua" w:cs="Times New Roman"/>
                <w:highlight w:val="none"/>
              </w:rPr>
              <w:t>n December 11,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 xml:space="preserve">Moderna COVID-19 </w:t>
            </w:r>
            <w:r>
              <w:rPr>
                <w:rFonts w:hint="eastAsia" w:ascii="Book Antiqua" w:hAnsi="Book Antiqua" w:cs="Times New Roman"/>
                <w:b w:val="0"/>
                <w:bCs/>
                <w:color w:val="auto"/>
                <w:highlight w:val="none"/>
                <w:lang w:eastAsia="zh-CN"/>
              </w:rPr>
              <w:t>v</w:t>
            </w:r>
            <w:r>
              <w:rPr>
                <w:rFonts w:ascii="Book Antiqua" w:hAnsi="Book Antiqua" w:cs="Times New Roman"/>
                <w:b w:val="0"/>
                <w:bCs/>
                <w:color w:val="auto"/>
                <w:highlight w:val="none"/>
              </w:rPr>
              <w:t>accine</w:t>
            </w:r>
            <w:r>
              <w:rPr>
                <w:rFonts w:hint="eastAsia" w:ascii="Book Antiqua" w:hAnsi="Book Antiqua" w:cs="Times New Roman"/>
                <w:b w:val="0"/>
                <w:bCs/>
                <w:color w:val="auto"/>
                <w:highlight w:val="none"/>
                <w:vertAlign w:val="superscript"/>
                <w:lang w:eastAsia="zh-CN"/>
              </w:rPr>
              <w:t>[76-78]</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Prevention of COVID-19 for individuals 18 y</w:t>
            </w:r>
            <w:r>
              <w:rPr>
                <w:rFonts w:hint="eastAsia" w:ascii="Book Antiqua" w:hAnsi="Book Antiqua" w:cs="Times New Roman"/>
                <w:highlight w:val="none"/>
                <w:lang w:eastAsia="zh-CN"/>
              </w:rPr>
              <w:t>r</w:t>
            </w:r>
            <w:r>
              <w:rPr>
                <w:rFonts w:ascii="Book Antiqua" w:hAnsi="Book Antiqua" w:cs="Times New Roman"/>
                <w:highlight w:val="none"/>
              </w:rPr>
              <w:t xml:space="preserve"> of age and older</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modRNA forumated in lipid particles when delivered to host cells express SARS-CoV-2 “S” antigen, thus eliciting immune response against COVID</w:t>
            </w:r>
            <w:r>
              <w:rPr>
                <w:rFonts w:hint="eastAsia" w:ascii="Book Antiqua" w:hAnsi="Book Antiqua" w:cs="Times New Roman"/>
                <w:highlight w:val="none"/>
                <w:lang w:val="en-US" w:eastAsia="zh-CN"/>
              </w:rPr>
              <w:t>-</w:t>
            </w:r>
            <w:r>
              <w:rPr>
                <w:rFonts w:ascii="Book Antiqua" w:hAnsi="Book Antiqua" w:cs="Times New Roman"/>
                <w:highlight w:val="none"/>
              </w:rPr>
              <w:t>19</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EUA</w:t>
            </w:r>
            <w:r>
              <w:rPr>
                <w:rFonts w:hint="eastAsia" w:ascii="Book Antiqua" w:hAnsi="Book Antiqua" w:cs="Times New Roman"/>
                <w:highlight w:val="none"/>
                <w:lang w:eastAsia="zh-CN"/>
              </w:rPr>
              <w:t xml:space="preserve"> o</w:t>
            </w:r>
            <w:r>
              <w:rPr>
                <w:rFonts w:ascii="Book Antiqua" w:hAnsi="Book Antiqua" w:cs="Times New Roman"/>
                <w:highlight w:val="none"/>
              </w:rPr>
              <w:t>n December 18,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lang w:eastAsia="zh-CN"/>
              </w:rPr>
            </w:pPr>
            <w:r>
              <w:rPr>
                <w:rFonts w:ascii="Book Antiqua" w:hAnsi="Book Antiqua" w:cs="Times New Roman"/>
                <w:b w:val="0"/>
                <w:bCs/>
                <w:color w:val="auto"/>
                <w:highlight w:val="none"/>
              </w:rPr>
              <w:t>Lumasiran</w:t>
            </w:r>
            <w:r>
              <w:rPr>
                <w:rFonts w:hint="eastAsia" w:ascii="Book Antiqua" w:hAnsi="Book Antiqua" w:cs="Times New Roman"/>
                <w:b w:val="0"/>
                <w:bCs/>
                <w:color w:val="auto"/>
                <w:highlight w:val="none"/>
                <w:vertAlign w:val="superscript"/>
                <w:lang w:eastAsia="zh-CN"/>
              </w:rPr>
              <w:t>[79]</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Primary hyperoxaluria type 1</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HAO1-directed small interfering ribonucleic acid</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Nov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lang w:eastAsia="zh-CN"/>
              </w:rPr>
            </w:pPr>
            <w:r>
              <w:rPr>
                <w:rFonts w:ascii="Book Antiqua" w:hAnsi="Book Antiqua" w:cs="Times New Roman"/>
                <w:b w:val="0"/>
                <w:bCs/>
                <w:color w:val="auto"/>
                <w:highlight w:val="none"/>
              </w:rPr>
              <w:t>Viltolarsen</w:t>
            </w:r>
            <w:r>
              <w:rPr>
                <w:rFonts w:hint="eastAsia" w:ascii="Book Antiqua" w:hAnsi="Book Antiqua" w:cs="Times New Roman"/>
                <w:b w:val="0"/>
                <w:bCs/>
                <w:color w:val="auto"/>
                <w:highlight w:val="none"/>
                <w:vertAlign w:val="superscript"/>
                <w:lang w:eastAsia="zh-CN"/>
              </w:rPr>
              <w:t>[80]</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Duchenne muscular dystrophy</w:t>
            </w:r>
          </w:p>
        </w:tc>
        <w:tc>
          <w:tcPr>
            <w:tcW w:w="1139" w:type="pct"/>
            <w:shd w:val="clear" w:color="auto" w:fill="auto"/>
          </w:tcPr>
          <w:p>
            <w:pPr>
              <w:spacing w:line="360" w:lineRule="auto"/>
              <w:jc w:val="both"/>
              <w:rPr>
                <w:rFonts w:ascii="Book Antiqua" w:hAnsi="Book Antiqua" w:cs="Times New Roman"/>
                <w:highlight w:val="none"/>
                <w:lang w:eastAsia="zh-CN"/>
              </w:rPr>
            </w:pPr>
            <w:r>
              <w:rPr>
                <w:rFonts w:hint="eastAsia" w:ascii="Book Antiqua" w:hAnsi="Book Antiqua" w:cs="Times New Roman"/>
                <w:highlight w:val="none"/>
                <w:lang w:eastAsia="zh-CN"/>
              </w:rPr>
              <w:t>A</w:t>
            </w:r>
            <w:r>
              <w:rPr>
                <w:rFonts w:ascii="Book Antiqua" w:hAnsi="Book Antiqua" w:cs="Times New Roman"/>
                <w:highlight w:val="none"/>
              </w:rPr>
              <w:t>ntisense oligonucleotide directed to exon 53 skipping</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August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Brexucabtagene autoleucel</w:t>
            </w:r>
            <w:r>
              <w:rPr>
                <w:rFonts w:hint="eastAsia" w:ascii="Book Antiqua" w:hAnsi="Book Antiqua" w:cs="Times New Roman"/>
                <w:b w:val="0"/>
                <w:bCs/>
                <w:color w:val="auto"/>
                <w:highlight w:val="none"/>
                <w:vertAlign w:val="superscript"/>
                <w:lang w:eastAsia="zh-CN"/>
              </w:rPr>
              <w:t>[81]</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Relapsed/refractory mantle cell lymphoma</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G</w:t>
            </w:r>
            <w:r>
              <w:rPr>
                <w:rFonts w:ascii="Book Antiqua" w:hAnsi="Book Antiqua" w:cs="Times New Roman"/>
                <w:highlight w:val="none"/>
              </w:rPr>
              <w:t>enetically modified autologous CD19 T cells directed against CD19 expressing cancer cells</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July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Golodirsen</w:t>
            </w:r>
            <w:r>
              <w:rPr>
                <w:rFonts w:hint="eastAsia" w:ascii="Book Antiqua" w:hAnsi="Book Antiqua" w:cs="Times New Roman"/>
                <w:b w:val="0"/>
                <w:bCs/>
                <w:color w:val="auto"/>
                <w:highlight w:val="none"/>
                <w:vertAlign w:val="superscript"/>
                <w:lang w:eastAsia="zh-CN"/>
              </w:rPr>
              <w:t>[82]</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Duchenne muscular dystrophy</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A</w:t>
            </w:r>
            <w:r>
              <w:rPr>
                <w:rFonts w:ascii="Book Antiqua" w:hAnsi="Book Antiqua" w:cs="Times New Roman"/>
                <w:highlight w:val="none"/>
              </w:rPr>
              <w:t>ntisense oligonucleotide directed</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December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Givosiran</w:t>
            </w:r>
            <w:r>
              <w:rPr>
                <w:rFonts w:hint="eastAsia" w:ascii="Book Antiqua" w:hAnsi="Book Antiqua" w:cs="Times New Roman"/>
                <w:b w:val="0"/>
                <w:bCs/>
                <w:color w:val="auto"/>
                <w:highlight w:val="none"/>
                <w:vertAlign w:val="superscript"/>
                <w:lang w:eastAsia="zh-CN"/>
              </w:rPr>
              <w:t>[83]</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Acute hepatic porphyria</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D</w:t>
            </w:r>
            <w:r>
              <w:rPr>
                <w:rFonts w:ascii="Book Antiqua" w:hAnsi="Book Antiqua" w:cs="Times New Roman"/>
                <w:highlight w:val="none"/>
              </w:rPr>
              <w:t xml:space="preserve">ouble-stranded small interfering RNA that degrades the ALAS1 mRNA in hepatocytes </w:t>
            </w:r>
            <w:r>
              <w:rPr>
                <w:rFonts w:ascii="Book Antiqua" w:hAnsi="Book Antiqua" w:cs="Times New Roman"/>
                <w:i/>
                <w:highlight w:val="none"/>
              </w:rPr>
              <w:t>via</w:t>
            </w:r>
            <w:r>
              <w:rPr>
                <w:rFonts w:ascii="Book Antiqua" w:hAnsi="Book Antiqua" w:cs="Times New Roman"/>
                <w:highlight w:val="none"/>
              </w:rPr>
              <w:t xml:space="preserve"> RNA interference</w:t>
            </w:r>
          </w:p>
        </w:tc>
        <w:tc>
          <w:tcPr>
            <w:tcW w:w="111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Approved in November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Onasemnogene abeparvovec-xioi</w:t>
            </w:r>
            <w:r>
              <w:rPr>
                <w:rFonts w:hint="eastAsia" w:ascii="Book Antiqua" w:hAnsi="Book Antiqua" w:cs="Times New Roman"/>
                <w:b w:val="0"/>
                <w:bCs/>
                <w:color w:val="auto"/>
                <w:highlight w:val="none"/>
                <w:vertAlign w:val="superscript"/>
                <w:lang w:eastAsia="zh-CN"/>
              </w:rPr>
              <w:t>[84]</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Spinal muscular atrophy (SMA)</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AAV9-based gene therapy which encodes the human SMN protein</w:t>
            </w:r>
          </w:p>
        </w:tc>
        <w:tc>
          <w:tcPr>
            <w:tcW w:w="111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Approved in May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Inotersen</w:t>
            </w:r>
            <w:r>
              <w:rPr>
                <w:rFonts w:hint="eastAsia" w:ascii="Book Antiqua" w:hAnsi="Book Antiqua" w:cs="Times New Roman"/>
                <w:b w:val="0"/>
                <w:bCs/>
                <w:color w:val="auto"/>
                <w:highlight w:val="none"/>
                <w:vertAlign w:val="superscript"/>
                <w:lang w:eastAsia="zh-CN"/>
              </w:rPr>
              <w:t>[85]</w:t>
            </w:r>
          </w:p>
        </w:tc>
        <w:tc>
          <w:tcPr>
            <w:tcW w:w="1470" w:type="pct"/>
            <w:shd w:val="clear" w:color="auto" w:fill="auto"/>
          </w:tcPr>
          <w:p>
            <w:pPr>
              <w:spacing w:line="360" w:lineRule="auto"/>
              <w:jc w:val="both"/>
              <w:rPr>
                <w:rFonts w:ascii="Book Antiqua" w:hAnsi="Book Antiqua" w:cs="Times New Roman"/>
                <w:highlight w:val="none"/>
                <w:lang w:eastAsia="zh-CN"/>
              </w:rPr>
            </w:pPr>
            <w:r>
              <w:rPr>
                <w:rFonts w:hint="eastAsia" w:ascii="Book Antiqua" w:hAnsi="Book Antiqua" w:cs="Times New Roman"/>
                <w:highlight w:val="none"/>
                <w:lang w:eastAsia="zh-CN"/>
              </w:rPr>
              <w:t>P</w:t>
            </w:r>
            <w:r>
              <w:rPr>
                <w:rFonts w:ascii="Book Antiqua" w:hAnsi="Book Antiqua" w:cs="Times New Roman"/>
                <w:highlight w:val="none"/>
              </w:rPr>
              <w:t>olyneuropathy of hereditary transthyretin-mediated amyloidosis</w:t>
            </w:r>
          </w:p>
        </w:tc>
        <w:tc>
          <w:tcPr>
            <w:tcW w:w="1139" w:type="pct"/>
            <w:shd w:val="clear" w:color="auto" w:fill="auto"/>
          </w:tcPr>
          <w:p>
            <w:pPr>
              <w:spacing w:line="360" w:lineRule="auto"/>
              <w:jc w:val="both"/>
              <w:rPr>
                <w:rFonts w:ascii="Book Antiqua" w:hAnsi="Book Antiqua" w:cs="Times New Roman"/>
                <w:highlight w:val="none"/>
                <w:lang w:eastAsia="zh-CN"/>
              </w:rPr>
            </w:pPr>
            <w:r>
              <w:rPr>
                <w:rFonts w:hint="eastAsia" w:ascii="Book Antiqua" w:hAnsi="Book Antiqua" w:cs="Times New Roman"/>
                <w:highlight w:val="none"/>
                <w:lang w:eastAsia="zh-CN"/>
              </w:rPr>
              <w:t>T</w:t>
            </w:r>
            <w:r>
              <w:rPr>
                <w:rFonts w:ascii="Book Antiqua" w:hAnsi="Book Antiqua" w:cs="Times New Roman"/>
                <w:highlight w:val="none"/>
              </w:rPr>
              <w:t>ransthyretin-directed antisense oligonucleotide</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October 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Axicabtagene ciloleucel</w:t>
            </w:r>
            <w:r>
              <w:rPr>
                <w:rFonts w:hint="eastAsia" w:ascii="Book Antiqua" w:hAnsi="Book Antiqua" w:cs="Times New Roman"/>
                <w:b w:val="0"/>
                <w:bCs/>
                <w:color w:val="auto"/>
                <w:highlight w:val="none"/>
                <w:vertAlign w:val="superscript"/>
                <w:lang w:eastAsia="zh-CN"/>
              </w:rPr>
              <w:t>[86]</w:t>
            </w:r>
          </w:p>
        </w:tc>
        <w:tc>
          <w:tcPr>
            <w:tcW w:w="147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Relapsed or refractory large B-cell lymphoma after two or more lines of systemic therapy</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G</w:t>
            </w:r>
            <w:r>
              <w:rPr>
                <w:rFonts w:ascii="Book Antiqua" w:hAnsi="Book Antiqua" w:cs="Times New Roman"/>
                <w:highlight w:val="none"/>
              </w:rPr>
              <w:t>enetically modified autologous CD19 T cells directed against CD19 expressing cancer cells</w:t>
            </w:r>
          </w:p>
        </w:tc>
        <w:tc>
          <w:tcPr>
            <w:tcW w:w="111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Approved in October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Tisagenlecleucel</w:t>
            </w:r>
            <w:r>
              <w:rPr>
                <w:rFonts w:hint="eastAsia" w:ascii="Book Antiqua" w:hAnsi="Book Antiqua" w:cs="Times New Roman"/>
                <w:b w:val="0"/>
                <w:bCs/>
                <w:color w:val="auto"/>
                <w:highlight w:val="none"/>
                <w:vertAlign w:val="superscript"/>
                <w:lang w:eastAsia="zh-CN"/>
              </w:rPr>
              <w:t>[87]</w:t>
            </w:r>
          </w:p>
        </w:tc>
        <w:tc>
          <w:tcPr>
            <w:tcW w:w="147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Refractory or relapsed B-cell precursor acute lymphoblastic leukemia (ALL)</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G</w:t>
            </w:r>
            <w:r>
              <w:rPr>
                <w:rFonts w:ascii="Book Antiqua" w:hAnsi="Book Antiqua" w:cs="Times New Roman"/>
                <w:highlight w:val="none"/>
              </w:rPr>
              <w:t>enetically modified autologous CD19 T cells directed against CD19 expressing cancer cells</w:t>
            </w:r>
          </w:p>
        </w:tc>
        <w:tc>
          <w:tcPr>
            <w:tcW w:w="1110" w:type="pct"/>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Approved in August 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Nusinersen</w:t>
            </w:r>
            <w:r>
              <w:rPr>
                <w:rFonts w:hint="eastAsia" w:ascii="Book Antiqua" w:hAnsi="Book Antiqua" w:cs="Times New Roman"/>
                <w:b w:val="0"/>
                <w:bCs/>
                <w:color w:val="auto"/>
                <w:highlight w:val="none"/>
                <w:vertAlign w:val="superscript"/>
                <w:lang w:eastAsia="zh-CN"/>
              </w:rPr>
              <w:t>[88]</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SMA</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Survival motor neuron-2 (SMN2)-directed antisense oligonucleotide</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December 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Eteplirsen</w:t>
            </w:r>
            <w:r>
              <w:rPr>
                <w:rFonts w:hint="eastAsia" w:ascii="Book Antiqua" w:hAnsi="Book Antiqua" w:cs="Times New Roman"/>
                <w:b w:val="0"/>
                <w:bCs/>
                <w:color w:val="auto"/>
                <w:highlight w:val="none"/>
                <w:vertAlign w:val="superscript"/>
                <w:lang w:eastAsia="zh-CN"/>
              </w:rPr>
              <w:t>[89]</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Duchenne muscular dystrophy</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A</w:t>
            </w:r>
            <w:r>
              <w:rPr>
                <w:rFonts w:ascii="Book Antiqua" w:hAnsi="Book Antiqua" w:cs="Times New Roman"/>
                <w:highlight w:val="none"/>
              </w:rPr>
              <w:t>ntisense oligonucleotid  that binds to exon 51 of dystrophin pre-mRNA</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September 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Talimogene laherparepvec</w:t>
            </w:r>
            <w:r>
              <w:rPr>
                <w:rFonts w:hint="eastAsia" w:ascii="Book Antiqua" w:hAnsi="Book Antiqua" w:cs="Times New Roman"/>
                <w:b w:val="0"/>
                <w:bCs/>
                <w:color w:val="auto"/>
                <w:highlight w:val="none"/>
                <w:vertAlign w:val="superscript"/>
                <w:lang w:eastAsia="zh-CN"/>
              </w:rPr>
              <w:t>[90]</w:t>
            </w:r>
          </w:p>
        </w:tc>
        <w:tc>
          <w:tcPr>
            <w:tcW w:w="1470"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G</w:t>
            </w:r>
            <w:r>
              <w:rPr>
                <w:rFonts w:ascii="Book Antiqua" w:hAnsi="Book Antiqua" w:cs="Times New Roman"/>
                <w:highlight w:val="none"/>
              </w:rPr>
              <w:t>enetically modified herpes simplex virus, type 1 used as oncolytic viral therapy</w:t>
            </w:r>
          </w:p>
        </w:tc>
        <w:tc>
          <w:tcPr>
            <w:tcW w:w="1139"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They utilized the local treatment of unresectable cutaneous, subcutaneous, and nodal lesions in patients with melanoma who had the recurrence after the  initial surgery</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Approved in October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Giroctocogene fitelparvovec</w:t>
            </w:r>
            <w:r>
              <w:rPr>
                <w:rFonts w:hint="eastAsia" w:ascii="Book Antiqua" w:hAnsi="Book Antiqua" w:cs="Times New Roman"/>
                <w:b w:val="0"/>
                <w:bCs/>
                <w:color w:val="auto"/>
                <w:highlight w:val="none"/>
                <w:vertAlign w:val="superscript"/>
                <w:lang w:eastAsia="zh-CN"/>
              </w:rPr>
              <w:t>[91]</w:t>
            </w:r>
          </w:p>
        </w:tc>
        <w:tc>
          <w:tcPr>
            <w:tcW w:w="1470"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M</w:t>
            </w:r>
            <w:r>
              <w:rPr>
                <w:rFonts w:ascii="Book Antiqua" w:hAnsi="Book Antiqua" w:cs="Times New Roman"/>
                <w:highlight w:val="none"/>
              </w:rPr>
              <w:t>oderately severe to severe hemophilia A</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F</w:t>
            </w:r>
            <w:r>
              <w:rPr>
                <w:rFonts w:ascii="Book Antiqua" w:hAnsi="Book Antiqua" w:cs="Times New Roman"/>
                <w:highlight w:val="none"/>
              </w:rPr>
              <w:t>actor VIII gene delivery using recombinant adeno-associated viruses as vectors</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Investigational in phase 3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shd w:val="clear" w:color="auto" w:fill="FFFFFF"/>
              </w:rPr>
              <w:t>Inclisiran</w:t>
            </w:r>
            <w:r>
              <w:rPr>
                <w:rFonts w:hint="eastAsia" w:ascii="Book Antiqua" w:hAnsi="Book Antiqua" w:cs="Times New Roman"/>
                <w:b w:val="0"/>
                <w:bCs/>
                <w:color w:val="auto"/>
                <w:highlight w:val="none"/>
                <w:vertAlign w:val="superscript"/>
                <w:lang w:eastAsia="zh-CN"/>
              </w:rPr>
              <w:t>[92]</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Heterozygous and possibly homozygous familial hypercholesterolemia</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S</w:t>
            </w:r>
            <w:r>
              <w:rPr>
                <w:rFonts w:ascii="Book Antiqua" w:hAnsi="Book Antiqua" w:cs="Times New Roman"/>
                <w:highlight w:val="none"/>
              </w:rPr>
              <w:t>mall-interfering ribonucleic acid which decreases hepatic production of PCSK9</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Investigational phase 3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Volanesorsen</w:t>
            </w:r>
            <w:r>
              <w:rPr>
                <w:rFonts w:hint="eastAsia" w:ascii="Book Antiqua" w:hAnsi="Book Antiqua" w:cs="Times New Roman"/>
                <w:b w:val="0"/>
                <w:bCs/>
                <w:color w:val="auto"/>
                <w:highlight w:val="none"/>
                <w:vertAlign w:val="superscript"/>
                <w:lang w:eastAsia="zh-CN"/>
              </w:rPr>
              <w:t>[93]</w:t>
            </w:r>
          </w:p>
        </w:tc>
        <w:tc>
          <w:tcPr>
            <w:tcW w:w="147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Familial chylomicronemia syndrome</w:t>
            </w:r>
          </w:p>
        </w:tc>
        <w:tc>
          <w:tcPr>
            <w:tcW w:w="1139" w:type="pct"/>
            <w:shd w:val="clear" w:color="auto" w:fill="auto"/>
          </w:tcPr>
          <w:p>
            <w:pPr>
              <w:spacing w:line="360" w:lineRule="auto"/>
              <w:jc w:val="both"/>
              <w:rPr>
                <w:rFonts w:ascii="Book Antiqua" w:hAnsi="Book Antiqua" w:cs="Times New Roman"/>
                <w:highlight w:val="none"/>
              </w:rPr>
            </w:pPr>
            <w:r>
              <w:rPr>
                <w:rFonts w:hint="eastAsia" w:ascii="Book Antiqua" w:hAnsi="Book Antiqua" w:cs="Times New Roman"/>
                <w:highlight w:val="none"/>
                <w:lang w:eastAsia="zh-CN"/>
              </w:rPr>
              <w:t>A</w:t>
            </w:r>
            <w:r>
              <w:rPr>
                <w:rFonts w:ascii="Book Antiqua" w:hAnsi="Book Antiqua" w:cs="Times New Roman"/>
                <w:highlight w:val="none"/>
              </w:rPr>
              <w:t>ntisense oligonucleotide that targets the messenger RNA for apo-CIII</w:t>
            </w:r>
          </w:p>
        </w:tc>
        <w:tc>
          <w:tcPr>
            <w:tcW w:w="1110" w:type="pct"/>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Conditional approval by European Medicines Agency’s (EMA) but not by FDA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81" w:type="pct"/>
            <w:tcBorders>
              <w:left w:val="nil"/>
              <w:bottom w:val="single" w:color="auto" w:sz="4" w:space="0"/>
            </w:tcBorders>
            <w:shd w:val="clear" w:color="auto" w:fill="auto"/>
          </w:tcPr>
          <w:p>
            <w:pPr>
              <w:spacing w:line="360" w:lineRule="auto"/>
              <w:jc w:val="both"/>
              <w:rPr>
                <w:rFonts w:ascii="Book Antiqua" w:hAnsi="Book Antiqua" w:cs="Times New Roman"/>
                <w:b w:val="0"/>
                <w:bCs/>
                <w:color w:val="auto"/>
                <w:highlight w:val="none"/>
              </w:rPr>
            </w:pPr>
            <w:r>
              <w:rPr>
                <w:rFonts w:ascii="Book Antiqua" w:hAnsi="Book Antiqua" w:cs="Times New Roman"/>
                <w:b w:val="0"/>
                <w:bCs/>
                <w:color w:val="auto"/>
                <w:highlight w:val="none"/>
              </w:rPr>
              <w:t>CRISPR-Cas9 gene editing</w:t>
            </w:r>
            <w:r>
              <w:rPr>
                <w:rFonts w:hint="eastAsia" w:ascii="Book Antiqua" w:hAnsi="Book Antiqua" w:cs="Times New Roman"/>
                <w:b w:val="0"/>
                <w:bCs/>
                <w:color w:val="auto"/>
                <w:highlight w:val="none"/>
                <w:vertAlign w:val="superscript"/>
                <w:lang w:eastAsia="zh-CN"/>
              </w:rPr>
              <w:t>[94]</w:t>
            </w:r>
          </w:p>
        </w:tc>
        <w:tc>
          <w:tcPr>
            <w:tcW w:w="1470" w:type="pct"/>
            <w:tcBorders>
              <w:bottom w:val="single" w:color="auto" w:sz="4" w:space="0"/>
            </w:tcBorders>
            <w:shd w:val="clear" w:color="auto" w:fill="auto"/>
          </w:tcPr>
          <w:p>
            <w:pPr>
              <w:spacing w:line="360" w:lineRule="auto"/>
              <w:jc w:val="both"/>
              <w:rPr>
                <w:rFonts w:ascii="Book Antiqua" w:hAnsi="Book Antiqua" w:cs="Times New Roman"/>
                <w:highlight w:val="none"/>
                <w:lang w:eastAsia="zh-CN"/>
              </w:rPr>
            </w:pPr>
            <w:r>
              <w:rPr>
                <w:rFonts w:ascii="Book Antiqua" w:hAnsi="Book Antiqua" w:cs="Times New Roman"/>
                <w:highlight w:val="none"/>
              </w:rPr>
              <w:t>Sickle cell disease and β-thalassemia</w:t>
            </w:r>
          </w:p>
        </w:tc>
        <w:tc>
          <w:tcPr>
            <w:tcW w:w="1139" w:type="pct"/>
            <w:tcBorders>
              <w:bottom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CRISPR-Cas9based allele editing of the BCL11A erythroid-specific enhancer in autologous CD34+ cells</w:t>
            </w:r>
          </w:p>
        </w:tc>
        <w:tc>
          <w:tcPr>
            <w:tcW w:w="1110" w:type="pct"/>
            <w:tcBorders>
              <w:bottom w:val="single" w:color="auto" w:sz="4" w:space="0"/>
            </w:tcBorders>
            <w:shd w:val="clear" w:color="auto" w:fill="auto"/>
          </w:tcPr>
          <w:p>
            <w:pPr>
              <w:spacing w:line="360" w:lineRule="auto"/>
              <w:jc w:val="both"/>
              <w:rPr>
                <w:rFonts w:ascii="Book Antiqua" w:hAnsi="Book Antiqua" w:cs="Times New Roman"/>
                <w:highlight w:val="none"/>
              </w:rPr>
            </w:pPr>
            <w:r>
              <w:rPr>
                <w:rFonts w:ascii="Book Antiqua" w:hAnsi="Book Antiqua" w:cs="Times New Roman"/>
                <w:highlight w:val="none"/>
              </w:rPr>
              <w:t>Investigational- FDA Fast Track Designation for CTX001 in sickle cell disease</w:t>
            </w:r>
          </w:p>
        </w:tc>
      </w:tr>
    </w:tbl>
    <w:p>
      <w:pPr>
        <w:spacing w:line="360" w:lineRule="auto"/>
        <w:jc w:val="both"/>
        <w:rPr>
          <w:rFonts w:hint="eastAsia" w:ascii="Book Antiqua" w:hAnsi="Book Antiqua" w:cs="Book Antiqua"/>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lang w:eastAsia="zh-CN"/>
        </w:rPr>
        <w:t xml:space="preserve">AAV: </w:t>
      </w:r>
      <w:r>
        <w:rPr>
          <w:rFonts w:hint="eastAsia" w:ascii="Book Antiqua" w:hAnsi="Book Antiqua"/>
          <w:highlight w:val="none"/>
          <w:lang w:eastAsia="zh-CN"/>
        </w:rPr>
        <w:t>A</w:t>
      </w:r>
      <w:r>
        <w:rPr>
          <w:rFonts w:ascii="Book Antiqua" w:hAnsi="Book Antiqua"/>
          <w:highlight w:val="none"/>
          <w:lang w:eastAsia="zh-CN"/>
        </w:rPr>
        <w:t xml:space="preserve">deno-associated virus; ALAS1: </w:t>
      </w:r>
      <w:r>
        <w:rPr>
          <w:rFonts w:hint="eastAsia" w:ascii="Book Antiqua" w:hAnsi="Book Antiqua"/>
          <w:highlight w:val="none"/>
          <w:lang w:eastAsia="zh-CN"/>
        </w:rPr>
        <w:t>A</w:t>
      </w:r>
      <w:r>
        <w:rPr>
          <w:rFonts w:ascii="Book Antiqua" w:hAnsi="Book Antiqua"/>
          <w:highlight w:val="none"/>
          <w:lang w:eastAsia="zh-CN"/>
        </w:rPr>
        <w:t>minolevulinate synthase 1; BCL11A: B</w:t>
      </w:r>
      <w:r>
        <w:rPr>
          <w:rFonts w:hint="eastAsia" w:ascii="Book Antiqua" w:hAnsi="Book Antiqua"/>
          <w:highlight w:val="none"/>
          <w:lang w:eastAsia="zh-CN"/>
        </w:rPr>
        <w:t xml:space="preserve"> </w:t>
      </w:r>
      <w:r>
        <w:rPr>
          <w:rFonts w:ascii="Book Antiqua" w:hAnsi="Book Antiqua"/>
          <w:highlight w:val="none"/>
          <w:lang w:eastAsia="zh-CN"/>
        </w:rPr>
        <w:t xml:space="preserve">cell lymphoma/leukemia 11A; HAO1: Hydroxyacid oxidase (glycolate oxidase) 1; modRNA: </w:t>
      </w:r>
      <w:r>
        <w:rPr>
          <w:rFonts w:hint="eastAsia" w:ascii="Book Antiqua" w:hAnsi="Book Antiqua"/>
          <w:highlight w:val="none"/>
          <w:lang w:eastAsia="zh-CN"/>
        </w:rPr>
        <w:t>N</w:t>
      </w:r>
      <w:r>
        <w:rPr>
          <w:rFonts w:ascii="Book Antiqua" w:hAnsi="Book Antiqua"/>
          <w:highlight w:val="none"/>
          <w:lang w:eastAsia="zh-CN"/>
        </w:rPr>
        <w:t xml:space="preserve">ucleoside-modified messenger RNA; SMN: </w:t>
      </w:r>
      <w:r>
        <w:rPr>
          <w:rFonts w:hint="eastAsia" w:ascii="Book Antiqua" w:hAnsi="Book Antiqua"/>
          <w:highlight w:val="none"/>
          <w:lang w:eastAsia="zh-CN"/>
        </w:rPr>
        <w:t>S</w:t>
      </w:r>
      <w:r>
        <w:rPr>
          <w:rFonts w:ascii="Book Antiqua" w:hAnsi="Book Antiqua"/>
          <w:highlight w:val="none"/>
          <w:lang w:eastAsia="zh-CN"/>
        </w:rPr>
        <w:t>urvival motor neuron 1</w:t>
      </w:r>
      <w:r>
        <w:rPr>
          <w:rFonts w:hint="eastAsia" w:ascii="Book Antiqua" w:hAnsi="Book Antiqua"/>
          <w:highlight w:val="none"/>
          <w:lang w:eastAsia="zh-CN"/>
        </w:rPr>
        <w:t xml:space="preserve">; FDA: </w:t>
      </w:r>
      <w:r>
        <w:rPr>
          <w:rFonts w:ascii="Book Antiqua" w:hAnsi="Book Antiqua" w:eastAsia="Book Antiqua" w:cs="Book Antiqua"/>
          <w:color w:val="000000"/>
          <w:highlight w:val="none"/>
        </w:rPr>
        <w:t>Food and Drug Administration</w:t>
      </w:r>
      <w:r>
        <w:rPr>
          <w:rFonts w:hint="eastAsia" w:ascii="Book Antiqua" w:hAnsi="Book Antiqua" w:cs="Book Antiqua"/>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hint="eastAsia" w:ascii="Book Antiqua" w:hAnsi="Book Antiqua" w:cs="Book Antiqua"/>
          <w:color w:val="00000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57007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42</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576"/>
    <w:rsid w:val="00020102"/>
    <w:rsid w:val="001013A2"/>
    <w:rsid w:val="00221F9C"/>
    <w:rsid w:val="00314163"/>
    <w:rsid w:val="003E6BC1"/>
    <w:rsid w:val="0046208A"/>
    <w:rsid w:val="00536A48"/>
    <w:rsid w:val="00602478"/>
    <w:rsid w:val="00650F29"/>
    <w:rsid w:val="00693BAB"/>
    <w:rsid w:val="006C37A1"/>
    <w:rsid w:val="00705067"/>
    <w:rsid w:val="00777100"/>
    <w:rsid w:val="007F7068"/>
    <w:rsid w:val="007F7B11"/>
    <w:rsid w:val="008877C3"/>
    <w:rsid w:val="009235CF"/>
    <w:rsid w:val="009919DF"/>
    <w:rsid w:val="009C2DA8"/>
    <w:rsid w:val="00A02243"/>
    <w:rsid w:val="00A77B3E"/>
    <w:rsid w:val="00A96BFF"/>
    <w:rsid w:val="00B542E4"/>
    <w:rsid w:val="00BA0CB2"/>
    <w:rsid w:val="00BD6DA7"/>
    <w:rsid w:val="00C2262D"/>
    <w:rsid w:val="00C50C3A"/>
    <w:rsid w:val="00C83E69"/>
    <w:rsid w:val="00CA2A55"/>
    <w:rsid w:val="00D31878"/>
    <w:rsid w:val="00E13463"/>
    <w:rsid w:val="00E6599D"/>
    <w:rsid w:val="00EB75A5"/>
    <w:rsid w:val="00F0079A"/>
    <w:rsid w:val="00F569C3"/>
    <w:rsid w:val="0C8113AC"/>
    <w:rsid w:val="157767FC"/>
    <w:rsid w:val="29725218"/>
    <w:rsid w:val="2E857B9D"/>
    <w:rsid w:val="2F773EB2"/>
    <w:rsid w:val="36C34DC2"/>
    <w:rsid w:val="394B17CF"/>
    <w:rsid w:val="3AB4628F"/>
    <w:rsid w:val="3FB123FE"/>
    <w:rsid w:val="445758B4"/>
    <w:rsid w:val="495D0304"/>
    <w:rsid w:val="4FA63ACB"/>
    <w:rsid w:val="50245D2B"/>
    <w:rsid w:val="50590152"/>
    <w:rsid w:val="545562D6"/>
    <w:rsid w:val="562C7754"/>
    <w:rsid w:val="5A00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qFormat/>
    <w:uiPriority w:val="0"/>
    <w:rPr>
      <w:sz w:val="18"/>
      <w:szCs w:val="18"/>
    </w:rPr>
  </w:style>
  <w:style w:type="paragraph" w:styleId="4">
    <w:name w:val="footer"/>
    <w:basedOn w:val="1"/>
    <w:link w:val="18"/>
    <w:qFormat/>
    <w:uiPriority w:val="99"/>
    <w:pPr>
      <w:tabs>
        <w:tab w:val="center" w:pos="4153"/>
        <w:tab w:val="right" w:pos="8306"/>
      </w:tabs>
      <w:snapToGrid w:val="0"/>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qFormat/>
    <w:uiPriority w:val="0"/>
    <w:rPr>
      <w:sz w:val="18"/>
      <w:szCs w:val="18"/>
    </w:rPr>
  </w:style>
  <w:style w:type="paragraph" w:styleId="13">
    <w:name w:val="No Spacing"/>
    <w:qFormat/>
    <w:uiPriority w:val="1"/>
    <w:rPr>
      <w:rFonts w:asciiTheme="minorHAnsi" w:hAnsiTheme="minorHAnsi" w:eastAsiaTheme="minorEastAsia" w:cstheme="minorBidi"/>
      <w:sz w:val="22"/>
      <w:szCs w:val="22"/>
      <w:lang w:val="en-US" w:eastAsia="en-US" w:bidi="ar-SA"/>
    </w:rPr>
  </w:style>
  <w:style w:type="table" w:customStyle="1" w:styleId="14">
    <w:name w:val="Grid Table 5 Dark - Accent 11"/>
    <w:basedOn w:val="7"/>
    <w:qFormat/>
    <w:uiPriority w:val="50"/>
    <w:rPr>
      <w:rFonts w:asciiTheme="minorHAnsi" w:hAnsiTheme="minorHAnsi" w:cstheme="minorBidi"/>
      <w:sz w:val="22"/>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cPr>
        <w:shd w:val="clear" w:color="auto" w:fill="B8CCE4" w:themeFill="accent1" w:themeFillTint="66"/>
      </w:tcPr>
    </w:tblStylePr>
    <w:tblStylePr w:type="band1Horz">
      <w:tcPr>
        <w:shd w:val="clear" w:color="auto" w:fill="B8CCE4" w:themeFill="accent1" w:themeFillTint="66"/>
      </w:tcPr>
    </w:tblStylePr>
  </w:style>
  <w:style w:type="paragraph" w:styleId="15">
    <w:name w:val="List Paragraph"/>
    <w:basedOn w:val="1"/>
    <w:qFormat/>
    <w:uiPriority w:val="34"/>
    <w:pPr>
      <w:spacing w:after="200" w:line="276" w:lineRule="auto"/>
      <w:ind w:left="720"/>
      <w:contextualSpacing/>
    </w:pPr>
    <w:rPr>
      <w:rFonts w:asciiTheme="minorHAnsi" w:hAnsiTheme="minorHAnsi" w:cstheme="minorBidi"/>
      <w:sz w:val="22"/>
      <w:szCs w:val="22"/>
    </w:rPr>
  </w:style>
  <w:style w:type="table" w:customStyle="1" w:styleId="16">
    <w:name w:val="Grid Table 5 Dark - Accent 61"/>
    <w:basedOn w:val="7"/>
    <w:qFormat/>
    <w:uiPriority w:val="50"/>
    <w:rPr>
      <w:rFonts w:asciiTheme="minorHAnsi" w:hAnsiTheme="minorHAnsi" w:cstheme="minorBidi"/>
      <w:sz w:val="22"/>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character" w:customStyle="1" w:styleId="17">
    <w:name w:val="页眉 字符"/>
    <w:basedOn w:val="8"/>
    <w:link w:val="5"/>
    <w:qFormat/>
    <w:uiPriority w:val="0"/>
    <w:rPr>
      <w:sz w:val="18"/>
      <w:szCs w:val="18"/>
    </w:rPr>
  </w:style>
  <w:style w:type="character" w:customStyle="1" w:styleId="18">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42</Pages>
  <Words>8736</Words>
  <Characters>49799</Characters>
  <Lines>414</Lines>
  <Paragraphs>116</Paragraphs>
  <TotalTime>7</TotalTime>
  <ScaleCrop>false</ScaleCrop>
  <LinksUpToDate>false</LinksUpToDate>
  <CharactersWithSpaces>58419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2021-07-15T11:26:00Z</dcterms:created>
  <dc:creator>ChenChen Gao</dc:creator>
  <cp:lastModifiedBy>晓晨</cp:lastModifiedBy>
  <dcterms:modified xsi:type="dcterms:W3CDTF">2021-09-14T01:50:09Z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A82D46F7CDD0447281ED89585E918D33</vt:lpwstr>
  </property>
</Properties>
</file>