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49" w:rsidRPr="00462C6B" w:rsidRDefault="00965749" w:rsidP="006359CB">
      <w:pPr>
        <w:adjustRightInd w:val="0"/>
        <w:snapToGrid w:val="0"/>
        <w:spacing w:after="0" w:line="360" w:lineRule="auto"/>
        <w:jc w:val="both"/>
        <w:rPr>
          <w:rFonts w:ascii="Book Antiqua" w:hAnsi="Book Antiqua"/>
          <w:sz w:val="21"/>
          <w:szCs w:val="24"/>
        </w:rPr>
      </w:pPr>
      <w:bookmarkStart w:id="0" w:name="_GoBack"/>
      <w:bookmarkEnd w:id="0"/>
      <w:r w:rsidRPr="00462C6B">
        <w:rPr>
          <w:rFonts w:ascii="Book Antiqua" w:hAnsi="Book Antiqua" w:cs="宋体"/>
          <w:b/>
          <w:sz w:val="21"/>
          <w:szCs w:val="24"/>
        </w:rPr>
        <w:t xml:space="preserve">Name of journal: </w:t>
      </w:r>
      <w:bookmarkStart w:id="1" w:name="OLE_LINK718"/>
      <w:bookmarkStart w:id="2" w:name="OLE_LINK719"/>
      <w:r w:rsidRPr="00462C6B">
        <w:rPr>
          <w:rFonts w:ascii="Book Antiqua" w:hAnsi="Book Antiqua" w:cs="宋体"/>
          <w:b/>
          <w:sz w:val="21"/>
          <w:szCs w:val="24"/>
        </w:rPr>
        <w:t xml:space="preserve">World Journal of </w:t>
      </w:r>
      <w:bookmarkEnd w:id="1"/>
      <w:bookmarkEnd w:id="2"/>
      <w:r w:rsidRPr="00462C6B">
        <w:rPr>
          <w:rFonts w:ascii="Book Antiqua" w:hAnsi="Book Antiqua"/>
          <w:b/>
          <w:sz w:val="21"/>
          <w:szCs w:val="24"/>
        </w:rPr>
        <w:t xml:space="preserve">Gastroenterology </w:t>
      </w:r>
    </w:p>
    <w:p w:rsidR="00965749" w:rsidRPr="00462C6B" w:rsidRDefault="00965749" w:rsidP="006359CB">
      <w:pPr>
        <w:adjustRightInd w:val="0"/>
        <w:snapToGrid w:val="0"/>
        <w:spacing w:after="0" w:line="360" w:lineRule="auto"/>
        <w:jc w:val="both"/>
        <w:rPr>
          <w:rFonts w:ascii="Book Antiqua" w:hAnsi="Book Antiqua" w:cs="宋体"/>
          <w:b/>
          <w:sz w:val="21"/>
          <w:szCs w:val="24"/>
          <w:lang w:eastAsia="zh-CN"/>
        </w:rPr>
      </w:pPr>
      <w:r w:rsidRPr="00462C6B">
        <w:rPr>
          <w:rFonts w:ascii="Book Antiqua" w:hAnsi="Book Antiqua" w:cs="Arial"/>
          <w:b/>
          <w:sz w:val="21"/>
          <w:szCs w:val="24"/>
        </w:rPr>
        <w:t>ESPS Manuscript N</w:t>
      </w:r>
      <w:r w:rsidRPr="00462C6B">
        <w:rPr>
          <w:rFonts w:ascii="Book Antiqua" w:hAnsi="Book Antiqua" w:cs="Arial"/>
          <w:b/>
          <w:caps/>
          <w:sz w:val="21"/>
          <w:szCs w:val="24"/>
        </w:rPr>
        <w:t>o</w:t>
      </w:r>
      <w:r w:rsidRPr="00462C6B">
        <w:rPr>
          <w:rFonts w:ascii="Book Antiqua" w:hAnsi="Book Antiqua" w:cs="Arial"/>
          <w:b/>
          <w:sz w:val="21"/>
          <w:szCs w:val="24"/>
        </w:rPr>
        <w:t xml:space="preserve">: </w:t>
      </w:r>
      <w:r w:rsidRPr="00462C6B">
        <w:rPr>
          <w:rFonts w:ascii="Book Antiqua" w:hAnsi="Book Antiqua" w:cs="Arial"/>
          <w:b/>
          <w:sz w:val="21"/>
          <w:szCs w:val="24"/>
          <w:lang w:eastAsia="zh-CN"/>
        </w:rPr>
        <w:t>6272</w:t>
      </w:r>
    </w:p>
    <w:p w:rsidR="00965749" w:rsidRPr="00462C6B" w:rsidRDefault="00965749" w:rsidP="006359CB">
      <w:pPr>
        <w:suppressAutoHyphens/>
        <w:autoSpaceDE w:val="0"/>
        <w:autoSpaceDN w:val="0"/>
        <w:adjustRightInd w:val="0"/>
        <w:snapToGrid w:val="0"/>
        <w:spacing w:after="0" w:line="360" w:lineRule="auto"/>
        <w:jc w:val="both"/>
        <w:rPr>
          <w:rFonts w:ascii="Book Antiqua" w:eastAsia="幼圆" w:hAnsi="Book Antiqua"/>
          <w:b/>
          <w:color w:val="000000"/>
          <w:sz w:val="21"/>
          <w:szCs w:val="24"/>
        </w:rPr>
      </w:pPr>
      <w:bookmarkStart w:id="3" w:name="OLE_LINK1617"/>
      <w:bookmarkStart w:id="4" w:name="OLE_LINK1618"/>
      <w:r w:rsidRPr="00462C6B">
        <w:rPr>
          <w:rFonts w:ascii="Book Antiqua" w:hAnsi="Book Antiqua"/>
          <w:b/>
          <w:sz w:val="21"/>
          <w:szCs w:val="24"/>
        </w:rPr>
        <w:t xml:space="preserve">Columns: </w:t>
      </w:r>
      <w:bookmarkEnd w:id="3"/>
      <w:bookmarkEnd w:id="4"/>
      <w:r w:rsidRPr="00462C6B">
        <w:rPr>
          <w:rFonts w:ascii="Book Antiqua" w:eastAsia="幼圆" w:hAnsi="Book Antiqua"/>
          <w:b/>
          <w:color w:val="000000"/>
          <w:sz w:val="21"/>
          <w:szCs w:val="24"/>
        </w:rPr>
        <w:t>TOPIC HIGHLIGHTS</w:t>
      </w:r>
    </w:p>
    <w:p w:rsidR="00965749" w:rsidRPr="00CF7113" w:rsidRDefault="00965749" w:rsidP="006359CB">
      <w:pPr>
        <w:spacing w:after="0" w:line="360" w:lineRule="auto"/>
        <w:jc w:val="both"/>
        <w:rPr>
          <w:rFonts w:ascii="Book Antiqua" w:hAnsi="Book Antiqua"/>
          <w:sz w:val="24"/>
          <w:szCs w:val="24"/>
          <w:lang w:eastAsia="zh-CN"/>
        </w:rPr>
      </w:pPr>
    </w:p>
    <w:p w:rsidR="00965749" w:rsidRPr="00CF7113" w:rsidRDefault="00965749" w:rsidP="006359CB">
      <w:pPr>
        <w:spacing w:after="0" w:line="360" w:lineRule="auto"/>
        <w:jc w:val="both"/>
        <w:rPr>
          <w:rFonts w:ascii="Book Antiqua" w:hAnsi="Book Antiqua"/>
          <w:color w:val="000000"/>
          <w:sz w:val="24"/>
          <w:szCs w:val="24"/>
        </w:rPr>
      </w:pPr>
      <w:r w:rsidRPr="00CF7113">
        <w:rPr>
          <w:rFonts w:ascii="Book Antiqua" w:hAnsi="Book Antiqua" w:cs="TwCenMT-Bold"/>
          <w:bCs/>
          <w:sz w:val="24"/>
          <w:szCs w:val="24"/>
        </w:rPr>
        <w:t>WJG 20th Anniversary Special Issues</w:t>
      </w:r>
      <w:r w:rsidRPr="00CF7113">
        <w:rPr>
          <w:rFonts w:ascii="Book Antiqua" w:hAnsi="Book Antiqua"/>
          <w:color w:val="000000"/>
          <w:sz w:val="24"/>
          <w:szCs w:val="24"/>
        </w:rPr>
        <w:t xml:space="preserve"> (2): Hepatitis C virus</w:t>
      </w:r>
    </w:p>
    <w:p w:rsidR="00965749" w:rsidRPr="00CF7113" w:rsidRDefault="00965749" w:rsidP="006359CB">
      <w:pPr>
        <w:spacing w:after="0" w:line="360" w:lineRule="auto"/>
        <w:jc w:val="both"/>
        <w:rPr>
          <w:rFonts w:ascii="Book Antiqua" w:hAnsi="Book Antiqua"/>
          <w:sz w:val="24"/>
          <w:szCs w:val="24"/>
          <w:lang w:eastAsia="zh-CN"/>
        </w:rPr>
      </w:pPr>
    </w:p>
    <w:p w:rsidR="00965749" w:rsidRPr="00CF7113" w:rsidRDefault="00965749" w:rsidP="006359CB">
      <w:pPr>
        <w:spacing w:after="0" w:line="360" w:lineRule="auto"/>
        <w:jc w:val="both"/>
        <w:rPr>
          <w:rFonts w:ascii="Book Antiqua" w:hAnsi="Book Antiqua"/>
          <w:b/>
          <w:sz w:val="24"/>
          <w:szCs w:val="24"/>
        </w:rPr>
      </w:pPr>
      <w:r w:rsidRPr="00CF7113">
        <w:rPr>
          <w:rFonts w:ascii="Book Antiqua" w:hAnsi="Book Antiqua"/>
          <w:b/>
          <w:sz w:val="24"/>
          <w:szCs w:val="24"/>
        </w:rPr>
        <w:t xml:space="preserve">Emerging therapeutic options for the management of hepatitis </w:t>
      </w:r>
      <w:r w:rsidRPr="00CF7113">
        <w:rPr>
          <w:rFonts w:ascii="Book Antiqua" w:hAnsi="Book Antiqua"/>
          <w:b/>
          <w:caps/>
          <w:sz w:val="24"/>
          <w:szCs w:val="24"/>
        </w:rPr>
        <w:t>c</w:t>
      </w:r>
      <w:r w:rsidRPr="00CF7113">
        <w:rPr>
          <w:rFonts w:ascii="Book Antiqua" w:hAnsi="Book Antiqua"/>
          <w:b/>
          <w:sz w:val="24"/>
          <w:szCs w:val="24"/>
        </w:rPr>
        <w:t xml:space="preserve"> infection</w:t>
      </w:r>
    </w:p>
    <w:p w:rsidR="00965749" w:rsidRPr="00CF7113" w:rsidRDefault="00965749" w:rsidP="006359CB">
      <w:pPr>
        <w:pBdr>
          <w:bottom w:val="single" w:sz="12" w:space="1" w:color="auto"/>
        </w:pBdr>
        <w:spacing w:after="0" w:line="360" w:lineRule="auto"/>
        <w:jc w:val="both"/>
        <w:rPr>
          <w:rFonts w:ascii="Book Antiqua" w:hAnsi="Book Antiqua"/>
          <w:sz w:val="24"/>
          <w:szCs w:val="24"/>
          <w:lang w:eastAsia="zh-CN"/>
        </w:rPr>
      </w:pPr>
    </w:p>
    <w:p w:rsidR="00965749" w:rsidRPr="00CF7113" w:rsidRDefault="00965749" w:rsidP="006359CB">
      <w:pPr>
        <w:pBdr>
          <w:bottom w:val="single" w:sz="12" w:space="1" w:color="auto"/>
        </w:pBdr>
        <w:spacing w:after="0" w:line="360" w:lineRule="auto"/>
        <w:jc w:val="both"/>
        <w:rPr>
          <w:rFonts w:ascii="Book Antiqua" w:hAnsi="Book Antiqua"/>
          <w:sz w:val="24"/>
          <w:szCs w:val="24"/>
          <w:lang w:eastAsia="zh-CN"/>
        </w:rPr>
      </w:pPr>
      <w:r w:rsidRPr="00CF7113">
        <w:rPr>
          <w:rFonts w:ascii="Book Antiqua" w:hAnsi="Book Antiqua"/>
          <w:sz w:val="24"/>
          <w:szCs w:val="24"/>
        </w:rPr>
        <w:t>Thompson</w:t>
      </w:r>
      <w:r w:rsidRPr="00CF7113">
        <w:rPr>
          <w:rFonts w:ascii="Book Antiqua" w:hAnsi="Book Antiqua"/>
          <w:sz w:val="24"/>
          <w:szCs w:val="24"/>
          <w:lang w:eastAsia="zh-CN"/>
        </w:rPr>
        <w:t xml:space="preserve"> JR. Emerging options for hepatitis C</w:t>
      </w:r>
    </w:p>
    <w:p w:rsidR="00965749" w:rsidRPr="00CF7113" w:rsidRDefault="00965749" w:rsidP="006359CB">
      <w:pPr>
        <w:pBdr>
          <w:bottom w:val="single" w:sz="12" w:space="1" w:color="auto"/>
        </w:pBdr>
        <w:spacing w:after="0" w:line="360" w:lineRule="auto"/>
        <w:jc w:val="both"/>
        <w:rPr>
          <w:rFonts w:ascii="Book Antiqua" w:hAnsi="Book Antiqua"/>
          <w:sz w:val="24"/>
          <w:szCs w:val="24"/>
          <w:lang w:eastAsia="zh-CN"/>
        </w:rPr>
      </w:pPr>
    </w:p>
    <w:p w:rsidR="00965749" w:rsidRPr="00CF7113" w:rsidRDefault="00965749" w:rsidP="006359CB">
      <w:pPr>
        <w:pBdr>
          <w:bottom w:val="single" w:sz="12" w:space="1" w:color="auto"/>
        </w:pBdr>
        <w:spacing w:after="0" w:line="360" w:lineRule="auto"/>
        <w:jc w:val="both"/>
        <w:rPr>
          <w:rFonts w:ascii="Book Antiqua" w:hAnsi="Book Antiqua"/>
          <w:sz w:val="24"/>
          <w:szCs w:val="24"/>
          <w:lang w:eastAsia="zh-CN"/>
        </w:rPr>
      </w:pPr>
      <w:r w:rsidRPr="00CF7113">
        <w:rPr>
          <w:rFonts w:ascii="Book Antiqua" w:hAnsi="Book Antiqua"/>
          <w:sz w:val="24"/>
          <w:szCs w:val="24"/>
        </w:rPr>
        <w:t>J Richard Thompson</w:t>
      </w:r>
    </w:p>
    <w:p w:rsidR="00965749" w:rsidRPr="00CF7113" w:rsidRDefault="00965749" w:rsidP="006359CB">
      <w:pPr>
        <w:spacing w:after="0" w:line="360" w:lineRule="auto"/>
        <w:jc w:val="both"/>
        <w:rPr>
          <w:rFonts w:ascii="Book Antiqua" w:hAnsi="Book Antiqua"/>
          <w:b/>
          <w:sz w:val="24"/>
          <w:szCs w:val="24"/>
          <w:lang w:eastAsia="zh-CN"/>
        </w:rPr>
      </w:pPr>
    </w:p>
    <w:p w:rsidR="00965749" w:rsidRPr="00CF7113" w:rsidRDefault="00965749" w:rsidP="006359CB">
      <w:pPr>
        <w:spacing w:after="0" w:line="360" w:lineRule="auto"/>
        <w:jc w:val="both"/>
        <w:rPr>
          <w:rFonts w:ascii="Book Antiqua" w:hAnsi="Book Antiqua"/>
          <w:sz w:val="24"/>
          <w:szCs w:val="24"/>
          <w:lang w:eastAsia="zh-CN"/>
        </w:rPr>
      </w:pPr>
      <w:r w:rsidRPr="00CF7113">
        <w:rPr>
          <w:rFonts w:ascii="Book Antiqua" w:hAnsi="Book Antiqua"/>
          <w:b/>
          <w:sz w:val="24"/>
          <w:szCs w:val="24"/>
        </w:rPr>
        <w:t>J Richard Thompson,</w:t>
      </w:r>
      <w:r w:rsidRPr="00CF7113">
        <w:rPr>
          <w:rFonts w:ascii="Book Antiqua" w:hAnsi="Book Antiqua"/>
          <w:sz w:val="24"/>
          <w:szCs w:val="24"/>
        </w:rPr>
        <w:t xml:space="preserve"> Department of Pharmacy Practice, One University Park Drive,</w:t>
      </w:r>
      <w:r w:rsidRPr="00CF7113">
        <w:rPr>
          <w:rFonts w:ascii="Book Antiqua" w:hAnsi="Book Antiqua"/>
          <w:sz w:val="24"/>
          <w:szCs w:val="24"/>
          <w:lang w:eastAsia="zh-CN"/>
        </w:rPr>
        <w:t xml:space="preserve"> </w:t>
      </w:r>
      <w:r w:rsidRPr="00CF7113">
        <w:rPr>
          <w:rFonts w:ascii="Book Antiqua" w:hAnsi="Book Antiqua"/>
          <w:sz w:val="24"/>
          <w:szCs w:val="24"/>
        </w:rPr>
        <w:t>Lipscomb University College of Pharmacy, Nashville, TN 37204</w:t>
      </w:r>
      <w:r w:rsidRPr="00CF7113">
        <w:rPr>
          <w:rFonts w:ascii="Book Antiqua" w:hAnsi="Book Antiqua"/>
          <w:sz w:val="24"/>
          <w:szCs w:val="24"/>
          <w:lang w:eastAsia="zh-CN"/>
        </w:rPr>
        <w:t>, United States</w:t>
      </w:r>
    </w:p>
    <w:p w:rsidR="00965749" w:rsidRPr="00CF7113" w:rsidRDefault="00965749" w:rsidP="006359CB">
      <w:pPr>
        <w:spacing w:after="0" w:line="360" w:lineRule="auto"/>
        <w:jc w:val="both"/>
        <w:rPr>
          <w:rFonts w:ascii="Book Antiqua" w:hAnsi="Book Antiqua"/>
          <w:b/>
          <w:color w:val="000000"/>
          <w:sz w:val="24"/>
          <w:szCs w:val="24"/>
          <w:lang w:eastAsia="zh-CN"/>
        </w:rPr>
      </w:pPr>
    </w:p>
    <w:p w:rsidR="00965749" w:rsidRPr="00CF7113" w:rsidRDefault="00965749" w:rsidP="006359CB">
      <w:pPr>
        <w:spacing w:after="0" w:line="360" w:lineRule="auto"/>
        <w:jc w:val="both"/>
        <w:rPr>
          <w:rFonts w:ascii="Book Antiqua" w:hAnsi="Book Antiqua"/>
          <w:sz w:val="24"/>
          <w:szCs w:val="24"/>
          <w:lang w:eastAsia="zh-CN"/>
        </w:rPr>
      </w:pPr>
      <w:r w:rsidRPr="00CF7113">
        <w:rPr>
          <w:rFonts w:ascii="Book Antiqua" w:hAnsi="Book Antiqua"/>
          <w:b/>
          <w:color w:val="000000"/>
          <w:sz w:val="24"/>
          <w:szCs w:val="24"/>
        </w:rPr>
        <w:t>Author contributions:</w:t>
      </w:r>
      <w:r w:rsidRPr="00CF7113">
        <w:rPr>
          <w:rFonts w:ascii="Book Antiqua" w:hAnsi="Book Antiqua"/>
          <w:b/>
          <w:color w:val="000000"/>
          <w:sz w:val="24"/>
          <w:szCs w:val="24"/>
          <w:lang w:eastAsia="zh-CN"/>
        </w:rPr>
        <w:t xml:space="preserve"> </w:t>
      </w:r>
      <w:r w:rsidRPr="00CF7113">
        <w:rPr>
          <w:rFonts w:ascii="Book Antiqua" w:hAnsi="Book Antiqua"/>
          <w:color w:val="000000"/>
          <w:sz w:val="24"/>
          <w:szCs w:val="24"/>
        </w:rPr>
        <w:t xml:space="preserve">Thompson </w:t>
      </w:r>
      <w:r w:rsidRPr="00CF7113">
        <w:rPr>
          <w:rFonts w:ascii="Book Antiqua" w:hAnsi="Book Antiqua"/>
          <w:color w:val="000000"/>
          <w:sz w:val="24"/>
          <w:szCs w:val="24"/>
          <w:lang w:eastAsia="zh-CN"/>
        </w:rPr>
        <w:t xml:space="preserve">JR </w:t>
      </w:r>
      <w:r w:rsidRPr="00CF7113">
        <w:rPr>
          <w:rFonts w:ascii="Book Antiqua" w:hAnsi="Book Antiqua"/>
          <w:color w:val="000000"/>
          <w:sz w:val="24"/>
          <w:szCs w:val="24"/>
        </w:rPr>
        <w:t>reviewed the literature and wrote the entire content for the Highlight Topic: “Emerging Therapeutic Options for the Management of Hepatitis C Infection</w:t>
      </w:r>
      <w:r w:rsidRPr="00CF7113">
        <w:rPr>
          <w:rFonts w:ascii="Book Antiqua" w:hAnsi="Book Antiqua"/>
          <w:color w:val="000000"/>
          <w:sz w:val="24"/>
          <w:szCs w:val="24"/>
          <w:lang w:eastAsia="zh-CN"/>
        </w:rPr>
        <w:t>”.</w:t>
      </w:r>
    </w:p>
    <w:p w:rsidR="00965749" w:rsidRPr="00CF7113" w:rsidRDefault="00965749" w:rsidP="006359CB">
      <w:pPr>
        <w:spacing w:after="0" w:line="360" w:lineRule="auto"/>
        <w:jc w:val="both"/>
        <w:rPr>
          <w:rFonts w:ascii="Book Antiqua" w:hAnsi="Book Antiqua"/>
          <w:b/>
          <w:sz w:val="24"/>
          <w:szCs w:val="24"/>
          <w:lang w:eastAsia="zh-CN"/>
        </w:rPr>
      </w:pPr>
    </w:p>
    <w:p w:rsidR="00965749" w:rsidRPr="00CF7113" w:rsidRDefault="00965749" w:rsidP="006359CB">
      <w:pPr>
        <w:spacing w:after="0" w:line="360" w:lineRule="auto"/>
        <w:jc w:val="both"/>
        <w:rPr>
          <w:rFonts w:ascii="Book Antiqua" w:hAnsi="Book Antiqua"/>
          <w:sz w:val="24"/>
          <w:szCs w:val="24"/>
          <w:lang w:eastAsia="zh-CN"/>
        </w:rPr>
      </w:pPr>
      <w:r w:rsidRPr="00CF7113">
        <w:rPr>
          <w:rFonts w:ascii="Book Antiqua" w:hAnsi="Book Antiqua"/>
          <w:b/>
          <w:sz w:val="24"/>
          <w:szCs w:val="24"/>
        </w:rPr>
        <w:t>Correspondence to:</w:t>
      </w:r>
      <w:r>
        <w:rPr>
          <w:rFonts w:ascii="Book Antiqua" w:hAnsi="Book Antiqua"/>
          <w:sz w:val="24"/>
          <w:szCs w:val="24"/>
        </w:rPr>
        <w:t xml:space="preserve"> </w:t>
      </w:r>
      <w:r w:rsidRPr="00CF7113">
        <w:rPr>
          <w:rFonts w:ascii="Book Antiqua" w:hAnsi="Book Antiqua"/>
          <w:b/>
          <w:sz w:val="24"/>
          <w:szCs w:val="24"/>
        </w:rPr>
        <w:t>J Richard Thompson, PharmD, MBA, BCPS,</w:t>
      </w:r>
      <w:r w:rsidRPr="00CF7113">
        <w:rPr>
          <w:rFonts w:ascii="Book Antiqua" w:hAnsi="Book Antiqua"/>
          <w:sz w:val="24"/>
          <w:szCs w:val="24"/>
        </w:rPr>
        <w:t xml:space="preserve"> Department of Pharmacy Practice, One University Park Drive,</w:t>
      </w:r>
      <w:r w:rsidRPr="00CF7113">
        <w:rPr>
          <w:rFonts w:ascii="Book Antiqua" w:hAnsi="Book Antiqua"/>
          <w:sz w:val="24"/>
          <w:szCs w:val="24"/>
          <w:lang w:eastAsia="zh-CN"/>
        </w:rPr>
        <w:t xml:space="preserve"> </w:t>
      </w:r>
      <w:r w:rsidRPr="00CF7113">
        <w:rPr>
          <w:rFonts w:ascii="Book Antiqua" w:hAnsi="Book Antiqua"/>
          <w:sz w:val="24"/>
          <w:szCs w:val="24"/>
        </w:rPr>
        <w:t>Lipscomb University College of Pharmacy, Nashville, TN 37204</w:t>
      </w:r>
      <w:r w:rsidRPr="00CF7113">
        <w:rPr>
          <w:rFonts w:ascii="Book Antiqua" w:hAnsi="Book Antiqua"/>
          <w:sz w:val="24"/>
          <w:szCs w:val="24"/>
          <w:lang w:eastAsia="zh-CN"/>
        </w:rPr>
        <w:t>, United States. richard.thompson@lipscomb.edu</w:t>
      </w:r>
    </w:p>
    <w:p w:rsidR="00965749" w:rsidRPr="00CF7113" w:rsidRDefault="00965749" w:rsidP="006359CB">
      <w:pPr>
        <w:spacing w:after="0" w:line="360" w:lineRule="auto"/>
        <w:jc w:val="both"/>
        <w:rPr>
          <w:rFonts w:ascii="Book Antiqua" w:hAnsi="Book Antiqua"/>
          <w:b/>
          <w:sz w:val="24"/>
          <w:szCs w:val="24"/>
          <w:lang w:eastAsia="zh-CN"/>
        </w:rPr>
      </w:pPr>
    </w:p>
    <w:p w:rsidR="00965749" w:rsidRPr="00CF7113" w:rsidRDefault="00965749" w:rsidP="006359CB">
      <w:pPr>
        <w:spacing w:after="0" w:line="360" w:lineRule="auto"/>
        <w:jc w:val="both"/>
        <w:rPr>
          <w:rFonts w:ascii="Book Antiqua" w:hAnsi="Book Antiqua"/>
          <w:sz w:val="24"/>
          <w:szCs w:val="24"/>
        </w:rPr>
      </w:pPr>
      <w:r w:rsidRPr="00CF7113">
        <w:rPr>
          <w:rFonts w:ascii="Book Antiqua" w:hAnsi="Book Antiqua"/>
          <w:b/>
          <w:sz w:val="24"/>
          <w:szCs w:val="24"/>
        </w:rPr>
        <w:t>Telephone:</w:t>
      </w:r>
      <w:r w:rsidRPr="00CF7113">
        <w:rPr>
          <w:rFonts w:ascii="Book Antiqua" w:hAnsi="Book Antiqua"/>
          <w:sz w:val="24"/>
          <w:szCs w:val="24"/>
        </w:rPr>
        <w:t xml:space="preserve"> +1-615- 9667172</w:t>
      </w:r>
      <w:r>
        <w:rPr>
          <w:rFonts w:ascii="Book Antiqua" w:hAnsi="Book Antiqua"/>
          <w:sz w:val="24"/>
          <w:szCs w:val="24"/>
        </w:rPr>
        <w:t xml:space="preserve"> </w:t>
      </w:r>
      <w:r w:rsidRPr="00CF7113">
        <w:rPr>
          <w:rFonts w:ascii="Book Antiqua" w:hAnsi="Book Antiqua"/>
          <w:b/>
          <w:sz w:val="24"/>
          <w:szCs w:val="24"/>
        </w:rPr>
        <w:t>Fax:</w:t>
      </w:r>
      <w:r w:rsidRPr="00CF7113">
        <w:rPr>
          <w:rFonts w:ascii="Book Antiqua" w:hAnsi="Book Antiqua"/>
          <w:sz w:val="24"/>
          <w:szCs w:val="24"/>
        </w:rPr>
        <w:t xml:space="preserve"> +1-615-9667163</w:t>
      </w:r>
    </w:p>
    <w:p w:rsidR="00965749" w:rsidRPr="00CF7113" w:rsidRDefault="00965749" w:rsidP="006359CB">
      <w:pPr>
        <w:spacing w:after="0" w:line="360" w:lineRule="auto"/>
        <w:jc w:val="both"/>
        <w:rPr>
          <w:rFonts w:ascii="Book Antiqua" w:hAnsi="Book Antiqua"/>
          <w:b/>
          <w:sz w:val="24"/>
          <w:szCs w:val="24"/>
          <w:lang w:eastAsia="zh-CN"/>
        </w:rPr>
      </w:pPr>
      <w:r w:rsidRPr="00CF7113">
        <w:rPr>
          <w:rFonts w:ascii="Book Antiqua" w:hAnsi="Book Antiqua"/>
          <w:b/>
          <w:sz w:val="24"/>
          <w:szCs w:val="24"/>
        </w:rPr>
        <w:t>Received:</w:t>
      </w:r>
      <w:r w:rsidRPr="00CF7113">
        <w:rPr>
          <w:rFonts w:ascii="Book Antiqua" w:hAnsi="Book Antiqua"/>
          <w:b/>
          <w:sz w:val="24"/>
          <w:szCs w:val="24"/>
          <w:lang w:eastAsia="zh-CN"/>
        </w:rPr>
        <w:t xml:space="preserve"> </w:t>
      </w:r>
      <w:r w:rsidRPr="00CF7113">
        <w:rPr>
          <w:rFonts w:ascii="Book Antiqua" w:hAnsi="Book Antiqua"/>
          <w:sz w:val="24"/>
          <w:szCs w:val="24"/>
          <w:lang w:eastAsia="zh-CN"/>
        </w:rPr>
        <w:t>October 10, 2013</w:t>
      </w:r>
      <w:r>
        <w:rPr>
          <w:rFonts w:ascii="Book Antiqua" w:hAnsi="Book Antiqua"/>
          <w:b/>
          <w:sz w:val="24"/>
          <w:szCs w:val="24"/>
          <w:lang w:eastAsia="zh-CN"/>
        </w:rPr>
        <w:t xml:space="preserve"> </w:t>
      </w:r>
      <w:r w:rsidRPr="00CF7113">
        <w:rPr>
          <w:rFonts w:ascii="Book Antiqua" w:hAnsi="Book Antiqua"/>
          <w:b/>
          <w:sz w:val="24"/>
          <w:szCs w:val="24"/>
        </w:rPr>
        <w:t>Revised:</w:t>
      </w:r>
      <w:r w:rsidRPr="00CF7113">
        <w:rPr>
          <w:rFonts w:ascii="Book Antiqua" w:hAnsi="Book Antiqua"/>
          <w:sz w:val="24"/>
          <w:szCs w:val="24"/>
          <w:lang w:eastAsia="zh-CN"/>
        </w:rPr>
        <w:t xml:space="preserve"> January 22, 2014</w:t>
      </w:r>
    </w:p>
    <w:p w:rsidR="00965749" w:rsidRPr="00CF7113" w:rsidRDefault="00965749" w:rsidP="006359CB">
      <w:pPr>
        <w:spacing w:after="0" w:line="360" w:lineRule="auto"/>
        <w:jc w:val="both"/>
        <w:rPr>
          <w:rFonts w:ascii="Book Antiqua" w:hAnsi="Book Antiqua"/>
          <w:b/>
          <w:sz w:val="24"/>
          <w:szCs w:val="24"/>
          <w:lang w:eastAsia="zh-CN"/>
        </w:rPr>
      </w:pPr>
      <w:r w:rsidRPr="00CF7113">
        <w:rPr>
          <w:rFonts w:ascii="Book Antiqua" w:hAnsi="Book Antiqua"/>
          <w:b/>
          <w:sz w:val="24"/>
          <w:szCs w:val="24"/>
        </w:rPr>
        <w:t>Accepted:</w:t>
      </w:r>
      <w:r w:rsidR="002B4D4D">
        <w:rPr>
          <w:rFonts w:ascii="Book Antiqua" w:hAnsi="Book Antiqua"/>
          <w:b/>
          <w:sz w:val="24"/>
          <w:szCs w:val="24"/>
        </w:rPr>
        <w:t xml:space="preserve"> </w:t>
      </w:r>
      <w:r w:rsidR="002B4D4D" w:rsidRPr="002B4D4D">
        <w:rPr>
          <w:rFonts w:ascii="Book Antiqua" w:hAnsi="Book Antiqua"/>
          <w:sz w:val="24"/>
          <w:szCs w:val="24"/>
        </w:rPr>
        <w:t>May 1, 2014</w:t>
      </w:r>
    </w:p>
    <w:p w:rsidR="00965749" w:rsidRPr="00CF7113" w:rsidRDefault="00965749" w:rsidP="006359CB">
      <w:pPr>
        <w:spacing w:after="0" w:line="360" w:lineRule="auto"/>
        <w:jc w:val="both"/>
        <w:rPr>
          <w:rFonts w:ascii="Book Antiqua" w:hAnsi="Book Antiqua"/>
          <w:b/>
          <w:sz w:val="24"/>
          <w:szCs w:val="24"/>
        </w:rPr>
      </w:pPr>
      <w:r w:rsidRPr="00CF7113">
        <w:rPr>
          <w:rFonts w:ascii="Book Antiqua" w:hAnsi="Book Antiqua"/>
          <w:b/>
          <w:sz w:val="24"/>
          <w:szCs w:val="24"/>
        </w:rPr>
        <w:t>Published online:</w:t>
      </w:r>
    </w:p>
    <w:p w:rsidR="00965749" w:rsidRPr="00CF7113" w:rsidRDefault="00965749" w:rsidP="006359CB">
      <w:pPr>
        <w:spacing w:after="0" w:line="360" w:lineRule="auto"/>
        <w:jc w:val="both"/>
        <w:rPr>
          <w:rFonts w:ascii="Book Antiqua" w:hAnsi="Book Antiqua"/>
          <w:sz w:val="24"/>
          <w:szCs w:val="24"/>
          <w:lang w:eastAsia="zh-CN"/>
        </w:rPr>
      </w:pPr>
    </w:p>
    <w:p w:rsidR="00965749" w:rsidRDefault="00965749" w:rsidP="006359CB">
      <w:pPr>
        <w:spacing w:after="0" w:line="360" w:lineRule="auto"/>
        <w:jc w:val="both"/>
        <w:rPr>
          <w:rFonts w:ascii="Book Antiqua" w:hAnsi="Book Antiqua"/>
          <w:b/>
          <w:sz w:val="24"/>
          <w:szCs w:val="24"/>
        </w:rPr>
      </w:pPr>
    </w:p>
    <w:p w:rsidR="00965749" w:rsidRPr="00CF7113" w:rsidRDefault="00965749" w:rsidP="006359CB">
      <w:pPr>
        <w:spacing w:after="0" w:line="360" w:lineRule="auto"/>
        <w:jc w:val="both"/>
        <w:rPr>
          <w:rFonts w:ascii="Book Antiqua" w:hAnsi="Book Antiqua"/>
          <w:b/>
          <w:sz w:val="24"/>
          <w:szCs w:val="24"/>
        </w:rPr>
      </w:pPr>
      <w:r w:rsidRPr="00CF7113">
        <w:rPr>
          <w:rFonts w:ascii="Book Antiqua" w:hAnsi="Book Antiqua"/>
          <w:b/>
          <w:sz w:val="24"/>
          <w:szCs w:val="24"/>
        </w:rPr>
        <w:lastRenderedPageBreak/>
        <w:t>Abstract</w:t>
      </w:r>
    </w:p>
    <w:p w:rsidR="00965749" w:rsidRPr="00CF7113" w:rsidRDefault="00965749" w:rsidP="006359CB">
      <w:pPr>
        <w:spacing w:after="0" w:line="360" w:lineRule="auto"/>
        <w:jc w:val="both"/>
        <w:rPr>
          <w:rFonts w:ascii="Book Antiqua" w:hAnsi="Book Antiqua"/>
          <w:sz w:val="24"/>
          <w:szCs w:val="24"/>
        </w:rPr>
      </w:pPr>
      <w:r w:rsidRPr="00CF7113">
        <w:rPr>
          <w:rFonts w:ascii="Book Antiqua" w:hAnsi="Book Antiqua"/>
          <w:sz w:val="24"/>
          <w:szCs w:val="24"/>
        </w:rPr>
        <w:t>Until recently the traditional treatment for Hepatitis C infection included pegylated interferon and ribavirin combination therapy.</w:t>
      </w:r>
      <w:r>
        <w:rPr>
          <w:rFonts w:ascii="Book Antiqua" w:hAnsi="Book Antiqua"/>
          <w:sz w:val="24"/>
          <w:szCs w:val="24"/>
        </w:rPr>
        <w:t xml:space="preserve"> </w:t>
      </w:r>
      <w:r w:rsidRPr="00CF7113">
        <w:rPr>
          <w:rFonts w:ascii="Book Antiqua" w:hAnsi="Book Antiqua"/>
          <w:sz w:val="24"/>
          <w:szCs w:val="24"/>
        </w:rPr>
        <w:t xml:space="preserve"> The sustained virological response (SVR) seen with this combination is poor and requires lengthy treatment to achieve.</w:t>
      </w:r>
      <w:r>
        <w:rPr>
          <w:rFonts w:ascii="Book Antiqua" w:hAnsi="Book Antiqua"/>
          <w:sz w:val="24"/>
          <w:szCs w:val="24"/>
        </w:rPr>
        <w:t xml:space="preserve"> </w:t>
      </w:r>
      <w:r w:rsidRPr="00CF7113">
        <w:rPr>
          <w:rFonts w:ascii="Book Antiqua" w:hAnsi="Book Antiqua"/>
          <w:sz w:val="24"/>
          <w:szCs w:val="24"/>
        </w:rPr>
        <w:t>Additionally, significant side effects and numerous contraindications prevented many patients from being successfully treated with this therapy.</w:t>
      </w:r>
      <w:r>
        <w:rPr>
          <w:rFonts w:ascii="Book Antiqua" w:hAnsi="Book Antiqua"/>
          <w:sz w:val="24"/>
          <w:szCs w:val="24"/>
        </w:rPr>
        <w:t xml:space="preserve"> </w:t>
      </w:r>
      <w:r w:rsidRPr="00CF7113">
        <w:rPr>
          <w:rFonts w:ascii="Book Antiqua" w:hAnsi="Book Antiqua"/>
          <w:sz w:val="24"/>
          <w:szCs w:val="24"/>
        </w:rPr>
        <w:t xml:space="preserve">In 2011, two new protease inhibitors, telaprevir and boceprevir, were approved for use with pegylated interferon and ribavirin in the United States by the </w:t>
      </w:r>
      <w:r>
        <w:rPr>
          <w:rFonts w:ascii="Book Antiqua" w:hAnsi="Book Antiqua"/>
          <w:sz w:val="24"/>
          <w:szCs w:val="24"/>
          <w:lang w:eastAsia="zh-CN"/>
        </w:rPr>
        <w:t>United States</w:t>
      </w:r>
      <w:r w:rsidRPr="00CF7113">
        <w:rPr>
          <w:rFonts w:ascii="Book Antiqua" w:hAnsi="Book Antiqua"/>
          <w:sz w:val="24"/>
          <w:szCs w:val="24"/>
        </w:rPr>
        <w:t xml:space="preserve"> Food and Drug Administration.</w:t>
      </w:r>
      <w:r>
        <w:rPr>
          <w:rFonts w:ascii="Book Antiqua" w:hAnsi="Book Antiqua"/>
          <w:sz w:val="24"/>
          <w:szCs w:val="24"/>
        </w:rPr>
        <w:t xml:space="preserve"> </w:t>
      </w:r>
      <w:r w:rsidRPr="00CF7113">
        <w:rPr>
          <w:rFonts w:ascii="Book Antiqua" w:hAnsi="Book Antiqua"/>
          <w:sz w:val="24"/>
          <w:szCs w:val="24"/>
        </w:rPr>
        <w:t>These agents have significantly improved sustained virological response rates; however significant problems with toxicity remain including severe skin rash and neutropenia.</w:t>
      </w:r>
      <w:r>
        <w:rPr>
          <w:rFonts w:ascii="Book Antiqua" w:hAnsi="Book Antiqua"/>
          <w:sz w:val="24"/>
          <w:szCs w:val="24"/>
          <w:lang w:eastAsia="zh-CN"/>
        </w:rPr>
        <w:t xml:space="preserve"> </w:t>
      </w:r>
      <w:r w:rsidRPr="00CF7113">
        <w:rPr>
          <w:rFonts w:ascii="Book Antiqua" w:hAnsi="Book Antiqua"/>
          <w:sz w:val="24"/>
          <w:szCs w:val="24"/>
        </w:rPr>
        <w:t>There are a wide range of compounds in late stage development for the future treatment of hepatitis C that exploit many different mechanisms of viral inhibition.</w:t>
      </w:r>
      <w:r>
        <w:rPr>
          <w:rFonts w:ascii="Book Antiqua" w:hAnsi="Book Antiqua"/>
          <w:sz w:val="24"/>
          <w:szCs w:val="24"/>
        </w:rPr>
        <w:t xml:space="preserve"> </w:t>
      </w:r>
      <w:r w:rsidRPr="00CF7113">
        <w:rPr>
          <w:rFonts w:ascii="Book Antiqua" w:hAnsi="Book Antiqua"/>
          <w:sz w:val="24"/>
          <w:szCs w:val="24"/>
        </w:rPr>
        <w:t>Some of these compounds include additional protease inhibitors, like telaprevir and boceprevir, as well as inhibitors of other nonstructural proteins in the viral genome such as NS5A and NS5B, and compounds that target host proteins within the virus.</w:t>
      </w:r>
      <w:r>
        <w:rPr>
          <w:rFonts w:ascii="Book Antiqua" w:hAnsi="Book Antiqua"/>
          <w:sz w:val="24"/>
          <w:szCs w:val="24"/>
        </w:rPr>
        <w:t xml:space="preserve"> </w:t>
      </w:r>
      <w:r w:rsidRPr="00CF7113">
        <w:rPr>
          <w:rFonts w:ascii="Book Antiqua" w:hAnsi="Book Antiqua"/>
          <w:sz w:val="24"/>
          <w:szCs w:val="24"/>
        </w:rPr>
        <w:t>Some of these agents are being developed for oral administration once daily and various combinations are being assessed for use without the need for pegylated interferon and ribavirin.</w:t>
      </w:r>
      <w:r>
        <w:rPr>
          <w:rFonts w:ascii="Book Antiqua" w:hAnsi="Book Antiqua"/>
          <w:sz w:val="24"/>
          <w:szCs w:val="24"/>
        </w:rPr>
        <w:t xml:space="preserve"> </w:t>
      </w:r>
      <w:r w:rsidRPr="00CF7113">
        <w:rPr>
          <w:rFonts w:ascii="Book Antiqua" w:hAnsi="Book Antiqua"/>
          <w:sz w:val="24"/>
          <w:szCs w:val="24"/>
        </w:rPr>
        <w:t>This paper reviews agents in late phase development that may be commercially available within 1-2 years.</w:t>
      </w:r>
    </w:p>
    <w:p w:rsidR="00965749" w:rsidRPr="00CF7113" w:rsidRDefault="00965749" w:rsidP="006359CB">
      <w:pPr>
        <w:spacing w:after="0" w:line="360" w:lineRule="auto"/>
        <w:jc w:val="both"/>
        <w:rPr>
          <w:rFonts w:ascii="Book Antiqua" w:hAnsi="Book Antiqua"/>
          <w:sz w:val="24"/>
          <w:szCs w:val="24"/>
          <w:lang w:eastAsia="zh-CN"/>
        </w:rPr>
      </w:pPr>
    </w:p>
    <w:p w:rsidR="00965749" w:rsidRPr="00CF7113" w:rsidRDefault="00965749" w:rsidP="006359CB">
      <w:pPr>
        <w:spacing w:after="0" w:line="360" w:lineRule="auto"/>
        <w:jc w:val="both"/>
        <w:rPr>
          <w:rFonts w:ascii="Book Antiqua" w:hAnsi="Book Antiqua" w:cs="宋体"/>
          <w:color w:val="000000"/>
          <w:sz w:val="24"/>
          <w:szCs w:val="24"/>
        </w:rPr>
      </w:pPr>
      <w:r w:rsidRPr="00CF7113">
        <w:rPr>
          <w:rFonts w:ascii="Book Antiqua" w:hAnsi="Book Antiqua" w:cs="Tahoma"/>
          <w:sz w:val="24"/>
          <w:szCs w:val="24"/>
          <w:lang w:eastAsia="ja-JP"/>
        </w:rPr>
        <w:t>©</w:t>
      </w:r>
      <w:r w:rsidRPr="00CF7113">
        <w:rPr>
          <w:rFonts w:ascii="Book Antiqua" w:hAnsi="Book Antiqua" w:cs="Tahoma"/>
          <w:sz w:val="24"/>
          <w:szCs w:val="24"/>
        </w:rPr>
        <w:t xml:space="preserve"> </w:t>
      </w:r>
      <w:r w:rsidRPr="00CF7113">
        <w:rPr>
          <w:rFonts w:ascii="Book Antiqua" w:hAnsi="Book Antiqua" w:cs="宋体"/>
          <w:color w:val="000000"/>
          <w:sz w:val="24"/>
          <w:szCs w:val="24"/>
        </w:rPr>
        <w:t>2014 Baishideng Publishing Group Co., Limited. All rights reserved.</w:t>
      </w:r>
    </w:p>
    <w:p w:rsidR="00965749" w:rsidRPr="00CF7113" w:rsidRDefault="00965749" w:rsidP="006359CB">
      <w:pPr>
        <w:spacing w:after="0" w:line="360" w:lineRule="auto"/>
        <w:jc w:val="both"/>
        <w:rPr>
          <w:rFonts w:ascii="Book Antiqua" w:hAnsi="Book Antiqua"/>
          <w:b/>
          <w:sz w:val="24"/>
          <w:szCs w:val="24"/>
          <w:lang w:eastAsia="zh-CN"/>
        </w:rPr>
      </w:pPr>
    </w:p>
    <w:p w:rsidR="00965749" w:rsidRPr="00CF7113" w:rsidRDefault="00965749" w:rsidP="006359CB">
      <w:pPr>
        <w:spacing w:after="0" w:line="360" w:lineRule="auto"/>
        <w:jc w:val="both"/>
        <w:rPr>
          <w:rFonts w:ascii="Book Antiqua" w:hAnsi="Book Antiqua"/>
          <w:sz w:val="24"/>
          <w:szCs w:val="24"/>
          <w:lang w:eastAsia="zh-CN"/>
        </w:rPr>
      </w:pPr>
      <w:r w:rsidRPr="00CF7113">
        <w:rPr>
          <w:rFonts w:ascii="Book Antiqua" w:hAnsi="Book Antiqua"/>
          <w:b/>
          <w:sz w:val="24"/>
          <w:szCs w:val="24"/>
        </w:rPr>
        <w:t xml:space="preserve">Key words: </w:t>
      </w:r>
      <w:r w:rsidRPr="00CF7113">
        <w:rPr>
          <w:rFonts w:ascii="Book Antiqua" w:hAnsi="Book Antiqua"/>
          <w:sz w:val="24"/>
          <w:szCs w:val="24"/>
        </w:rPr>
        <w:t>Hepatitis C</w:t>
      </w:r>
      <w:r w:rsidRPr="00CF7113">
        <w:rPr>
          <w:rFonts w:ascii="Book Antiqua" w:hAnsi="Book Antiqua"/>
          <w:sz w:val="24"/>
          <w:szCs w:val="24"/>
          <w:lang w:eastAsia="zh-CN"/>
        </w:rPr>
        <w:t>;</w:t>
      </w:r>
      <w:r w:rsidRPr="00CF7113">
        <w:rPr>
          <w:rFonts w:ascii="Book Antiqua" w:hAnsi="Book Antiqua"/>
          <w:sz w:val="24"/>
          <w:szCs w:val="24"/>
        </w:rPr>
        <w:t xml:space="preserve"> Pharmacotherapy</w:t>
      </w:r>
      <w:r w:rsidRPr="00CF7113">
        <w:rPr>
          <w:rFonts w:ascii="Book Antiqua" w:hAnsi="Book Antiqua"/>
          <w:sz w:val="24"/>
          <w:szCs w:val="24"/>
          <w:lang w:eastAsia="zh-CN"/>
        </w:rPr>
        <w:t>;</w:t>
      </w:r>
      <w:r w:rsidRPr="00CF7113">
        <w:rPr>
          <w:rFonts w:ascii="Book Antiqua" w:hAnsi="Book Antiqua"/>
          <w:sz w:val="24"/>
          <w:szCs w:val="24"/>
        </w:rPr>
        <w:t xml:space="preserve"> Interferon</w:t>
      </w:r>
      <w:r w:rsidRPr="00CF7113">
        <w:rPr>
          <w:rFonts w:ascii="Book Antiqua" w:hAnsi="Book Antiqua"/>
          <w:sz w:val="24"/>
          <w:szCs w:val="24"/>
          <w:lang w:eastAsia="zh-CN"/>
        </w:rPr>
        <w:t>L;</w:t>
      </w:r>
      <w:r w:rsidRPr="00CF7113">
        <w:rPr>
          <w:rFonts w:ascii="Book Antiqua" w:hAnsi="Book Antiqua"/>
          <w:sz w:val="24"/>
          <w:szCs w:val="24"/>
        </w:rPr>
        <w:t xml:space="preserve"> Ribavirin</w:t>
      </w:r>
      <w:r w:rsidRPr="00CF7113">
        <w:rPr>
          <w:rFonts w:ascii="Book Antiqua" w:hAnsi="Book Antiqua"/>
          <w:sz w:val="24"/>
          <w:szCs w:val="24"/>
          <w:lang w:eastAsia="zh-CN"/>
        </w:rPr>
        <w:t>;</w:t>
      </w:r>
      <w:r w:rsidRPr="00CF7113">
        <w:rPr>
          <w:rFonts w:ascii="Book Antiqua" w:hAnsi="Book Antiqua"/>
          <w:sz w:val="24"/>
          <w:szCs w:val="24"/>
        </w:rPr>
        <w:t xml:space="preserve"> Protease inhibitors</w:t>
      </w:r>
      <w:r w:rsidRPr="00CF7113">
        <w:rPr>
          <w:rFonts w:ascii="Book Antiqua" w:hAnsi="Book Antiqua"/>
          <w:sz w:val="24"/>
          <w:szCs w:val="24"/>
          <w:lang w:eastAsia="zh-CN"/>
        </w:rPr>
        <w:t>;</w:t>
      </w:r>
      <w:r w:rsidRPr="00CF7113">
        <w:rPr>
          <w:rFonts w:ascii="Book Antiqua" w:hAnsi="Book Antiqua"/>
          <w:sz w:val="24"/>
          <w:szCs w:val="24"/>
        </w:rPr>
        <w:t xml:space="preserve"> Polymerase inhibitors</w:t>
      </w:r>
      <w:r w:rsidRPr="00CF7113">
        <w:rPr>
          <w:rFonts w:ascii="Book Antiqua" w:hAnsi="Book Antiqua"/>
          <w:sz w:val="24"/>
          <w:szCs w:val="24"/>
          <w:lang w:eastAsia="zh-CN"/>
        </w:rPr>
        <w:t>;</w:t>
      </w:r>
      <w:r w:rsidRPr="00CF7113">
        <w:rPr>
          <w:rFonts w:ascii="Book Antiqua" w:hAnsi="Book Antiqua"/>
          <w:sz w:val="24"/>
          <w:szCs w:val="24"/>
        </w:rPr>
        <w:t xml:space="preserve"> Cyclophilin inhibitors</w:t>
      </w:r>
    </w:p>
    <w:p w:rsidR="00965749" w:rsidRPr="00CF7113" w:rsidRDefault="00965749" w:rsidP="006359CB">
      <w:pPr>
        <w:spacing w:after="0" w:line="360" w:lineRule="auto"/>
        <w:jc w:val="both"/>
        <w:rPr>
          <w:rFonts w:ascii="Book Antiqua" w:hAnsi="Book Antiqua"/>
          <w:sz w:val="24"/>
          <w:szCs w:val="24"/>
          <w:lang w:eastAsia="zh-CN"/>
        </w:rPr>
      </w:pPr>
    </w:p>
    <w:p w:rsidR="00965749" w:rsidRPr="00CF7113" w:rsidRDefault="00965749" w:rsidP="006359CB">
      <w:pPr>
        <w:spacing w:after="0" w:line="360" w:lineRule="auto"/>
        <w:jc w:val="both"/>
        <w:rPr>
          <w:rFonts w:ascii="Book Antiqua" w:eastAsia="Arial Unicode MS" w:hAnsi="Book Antiqua" w:cs="Arial Unicode MS"/>
          <w:sz w:val="24"/>
          <w:szCs w:val="24"/>
          <w:lang w:eastAsia="zh-CN"/>
        </w:rPr>
      </w:pPr>
      <w:bookmarkStart w:id="5" w:name="OLE_LINK14"/>
      <w:bookmarkStart w:id="6" w:name="OLE_LINK15"/>
      <w:r w:rsidRPr="00CF7113">
        <w:rPr>
          <w:rFonts w:ascii="Book Antiqua" w:eastAsia="Arial Unicode MS" w:hAnsi="Book Antiqua" w:cs="Arial Unicode MS"/>
          <w:b/>
          <w:sz w:val="24"/>
          <w:szCs w:val="24"/>
        </w:rPr>
        <w:t xml:space="preserve">Core </w:t>
      </w:r>
      <w:r w:rsidRPr="00CF7113">
        <w:rPr>
          <w:rFonts w:ascii="Book Antiqua" w:hAnsi="Book Antiqua" w:cs="Arial Unicode MS"/>
          <w:b/>
          <w:sz w:val="24"/>
          <w:szCs w:val="24"/>
        </w:rPr>
        <w:t>tip</w:t>
      </w:r>
      <w:r w:rsidRPr="00CF7113">
        <w:rPr>
          <w:rFonts w:ascii="Book Antiqua" w:eastAsia="Arial Unicode MS" w:hAnsi="Book Antiqua" w:cs="Arial Unicode MS"/>
          <w:b/>
          <w:sz w:val="24"/>
          <w:szCs w:val="24"/>
        </w:rPr>
        <w:t xml:space="preserve">: </w:t>
      </w:r>
      <w:r w:rsidRPr="00CF7113">
        <w:rPr>
          <w:rFonts w:ascii="Book Antiqua" w:eastAsia="Arial Unicode MS" w:hAnsi="Book Antiqua" w:cs="Arial Unicode MS"/>
          <w:sz w:val="24"/>
          <w:szCs w:val="24"/>
        </w:rPr>
        <w:t>A plethora of new agents for the management of hepatitis C promising higher response rates and better tolerated side effect profiles is upon us.</w:t>
      </w:r>
      <w:r>
        <w:rPr>
          <w:rFonts w:ascii="Book Antiqua" w:eastAsia="Arial Unicode MS" w:hAnsi="Book Antiqua" w:cs="Arial Unicode MS"/>
          <w:sz w:val="24"/>
          <w:szCs w:val="24"/>
        </w:rPr>
        <w:t xml:space="preserve"> </w:t>
      </w:r>
      <w:r w:rsidRPr="00CF7113">
        <w:rPr>
          <w:rFonts w:ascii="Book Antiqua" w:eastAsia="Arial Unicode MS" w:hAnsi="Book Antiqua" w:cs="Arial Unicode MS"/>
          <w:sz w:val="24"/>
          <w:szCs w:val="24"/>
        </w:rPr>
        <w:t>Many of these new drugs in development utilize novel pharmacologic mechanisms and may replace older more toxic therapies such as interferon and ribavirin.</w:t>
      </w:r>
      <w:r>
        <w:rPr>
          <w:rFonts w:ascii="Book Antiqua" w:eastAsia="Arial Unicode MS" w:hAnsi="Book Antiqua" w:cs="Arial Unicode MS"/>
          <w:sz w:val="24"/>
          <w:szCs w:val="24"/>
        </w:rPr>
        <w:t xml:space="preserve"> </w:t>
      </w:r>
      <w:r w:rsidRPr="00CF7113">
        <w:rPr>
          <w:rFonts w:ascii="Book Antiqua" w:eastAsia="Arial Unicode MS" w:hAnsi="Book Antiqua" w:cs="Arial Unicode MS"/>
          <w:sz w:val="24"/>
          <w:szCs w:val="24"/>
        </w:rPr>
        <w:t xml:space="preserve">In addition, once daily dosing and </w:t>
      </w:r>
      <w:r w:rsidRPr="00CF7113">
        <w:rPr>
          <w:rFonts w:ascii="Book Antiqua" w:eastAsia="Arial Unicode MS" w:hAnsi="Book Antiqua" w:cs="Arial Unicode MS"/>
          <w:sz w:val="24"/>
          <w:szCs w:val="24"/>
        </w:rPr>
        <w:lastRenderedPageBreak/>
        <w:t>shorter treatment durations should help improve adherence and optimize therapeutic outcomes for hepatitis C infection.</w:t>
      </w:r>
    </w:p>
    <w:p w:rsidR="00965749" w:rsidRPr="00CF7113" w:rsidRDefault="00965749" w:rsidP="006359CB">
      <w:pPr>
        <w:spacing w:after="0" w:line="360" w:lineRule="auto"/>
        <w:jc w:val="both"/>
        <w:rPr>
          <w:rFonts w:ascii="Book Antiqua" w:eastAsia="Arial Unicode MS" w:hAnsi="Book Antiqua" w:cs="Arial Unicode MS"/>
          <w:sz w:val="24"/>
          <w:szCs w:val="24"/>
          <w:lang w:eastAsia="zh-CN"/>
        </w:rPr>
      </w:pPr>
    </w:p>
    <w:p w:rsidR="00965749" w:rsidRPr="00547837" w:rsidRDefault="00965749" w:rsidP="006359CB">
      <w:pPr>
        <w:spacing w:after="0" w:line="360" w:lineRule="auto"/>
        <w:jc w:val="both"/>
        <w:rPr>
          <w:rFonts w:ascii="Book Antiqua" w:eastAsia="Arial Unicode MS" w:hAnsi="Book Antiqua" w:cs="Arial Unicode MS"/>
          <w:sz w:val="24"/>
          <w:szCs w:val="24"/>
          <w:lang w:eastAsia="zh-CN"/>
        </w:rPr>
      </w:pPr>
      <w:r w:rsidRPr="00CF7113">
        <w:rPr>
          <w:rFonts w:ascii="Book Antiqua" w:eastAsia="Arial Unicode MS" w:hAnsi="Book Antiqua" w:cs="Arial Unicode MS"/>
          <w:sz w:val="24"/>
          <w:szCs w:val="24"/>
        </w:rPr>
        <w:t>Thompson</w:t>
      </w:r>
      <w:r w:rsidRPr="00CF7113">
        <w:rPr>
          <w:rFonts w:ascii="Book Antiqua" w:eastAsia="Arial Unicode MS" w:hAnsi="Book Antiqua" w:cs="Arial Unicode MS"/>
          <w:sz w:val="24"/>
          <w:szCs w:val="24"/>
          <w:lang w:eastAsia="zh-CN"/>
        </w:rPr>
        <w:t xml:space="preserve"> </w:t>
      </w:r>
      <w:r w:rsidRPr="00CF7113">
        <w:rPr>
          <w:rFonts w:ascii="Book Antiqua" w:eastAsia="Arial Unicode MS" w:hAnsi="Book Antiqua" w:cs="Arial Unicode MS"/>
          <w:sz w:val="24"/>
          <w:szCs w:val="24"/>
        </w:rPr>
        <w:t>JR. Emerging therapeutic options for the management of hepatitis C infection</w:t>
      </w:r>
      <w:r w:rsidRPr="00CF7113">
        <w:rPr>
          <w:rFonts w:ascii="Book Antiqua" w:eastAsia="Arial Unicode MS" w:hAnsi="Book Antiqua" w:cs="Arial Unicode MS"/>
          <w:sz w:val="24"/>
          <w:szCs w:val="24"/>
          <w:lang w:eastAsia="zh-CN"/>
        </w:rPr>
        <w:t>.</w:t>
      </w:r>
      <w:r w:rsidRPr="00547837">
        <w:t xml:space="preserve"> </w:t>
      </w:r>
      <w:r w:rsidRPr="00547837">
        <w:rPr>
          <w:rFonts w:ascii="Book Antiqua" w:eastAsia="Arial Unicode MS" w:hAnsi="Book Antiqua" w:cs="Arial Unicode MS"/>
          <w:i/>
          <w:sz w:val="24"/>
          <w:szCs w:val="24"/>
          <w:lang w:eastAsia="zh-CN"/>
        </w:rPr>
        <w:t>World J Gastroenterol</w:t>
      </w:r>
      <w:r w:rsidRPr="00547837">
        <w:rPr>
          <w:rFonts w:ascii="Book Antiqua" w:eastAsia="Arial Unicode MS" w:hAnsi="Book Antiqua" w:cs="Arial Unicode MS"/>
          <w:sz w:val="24"/>
          <w:szCs w:val="24"/>
          <w:lang w:eastAsia="zh-CN"/>
        </w:rPr>
        <w:t xml:space="preserve"> 2014; In press</w:t>
      </w:r>
    </w:p>
    <w:bookmarkEnd w:id="5"/>
    <w:bookmarkEnd w:id="6"/>
    <w:p w:rsidR="00965749" w:rsidRDefault="00965749" w:rsidP="006359CB">
      <w:pPr>
        <w:spacing w:after="0" w:line="360" w:lineRule="auto"/>
        <w:jc w:val="both"/>
        <w:rPr>
          <w:rFonts w:ascii="Book Antiqua" w:eastAsia="Arial Unicode MS" w:hAnsi="Book Antiqua" w:cs="Arial Unicode MS"/>
          <w:b/>
          <w:sz w:val="24"/>
          <w:szCs w:val="24"/>
        </w:rPr>
      </w:pPr>
    </w:p>
    <w:p w:rsidR="00965749" w:rsidRPr="00CF7113" w:rsidRDefault="00965749" w:rsidP="006359CB">
      <w:pPr>
        <w:spacing w:after="0" w:line="360" w:lineRule="auto"/>
        <w:jc w:val="both"/>
        <w:rPr>
          <w:rFonts w:ascii="Book Antiqua" w:eastAsia="Arial Unicode MS" w:hAnsi="Book Antiqua" w:cs="Arial Unicode MS"/>
          <w:b/>
          <w:sz w:val="24"/>
          <w:szCs w:val="24"/>
        </w:rPr>
      </w:pPr>
    </w:p>
    <w:p w:rsidR="00965749" w:rsidRPr="00CF7113" w:rsidRDefault="00965749" w:rsidP="006359CB">
      <w:pPr>
        <w:spacing w:after="0" w:line="360" w:lineRule="auto"/>
        <w:jc w:val="both"/>
        <w:rPr>
          <w:rFonts w:ascii="Book Antiqua" w:eastAsia="Arial Unicode MS" w:hAnsi="Book Antiqua" w:cs="Arial Unicode MS"/>
          <w:b/>
          <w:sz w:val="24"/>
          <w:szCs w:val="24"/>
        </w:rPr>
      </w:pPr>
      <w:r w:rsidRPr="00CF7113">
        <w:rPr>
          <w:rFonts w:ascii="Book Antiqua" w:hAnsi="Book Antiqua"/>
          <w:b/>
          <w:sz w:val="24"/>
          <w:szCs w:val="24"/>
        </w:rPr>
        <w:t>INTRODUCTION</w:t>
      </w:r>
    </w:p>
    <w:p w:rsidR="00965749" w:rsidRPr="00CF7113" w:rsidRDefault="00965749" w:rsidP="006359CB">
      <w:pPr>
        <w:spacing w:after="0" w:line="360" w:lineRule="auto"/>
        <w:jc w:val="both"/>
        <w:rPr>
          <w:rFonts w:ascii="Book Antiqua" w:hAnsi="Book Antiqua"/>
          <w:sz w:val="24"/>
          <w:szCs w:val="24"/>
        </w:rPr>
      </w:pPr>
      <w:r w:rsidRPr="00CF7113">
        <w:rPr>
          <w:rFonts w:ascii="Book Antiqua" w:hAnsi="Book Antiqua"/>
          <w:sz w:val="24"/>
          <w:szCs w:val="24"/>
        </w:rPr>
        <w:t>The hepatitis C virus (HCV) is a major cause of gastrointestinal morbidity and mortality worldwide.</w:t>
      </w:r>
      <w:r>
        <w:rPr>
          <w:rFonts w:ascii="Book Antiqua" w:hAnsi="Book Antiqua"/>
          <w:sz w:val="24"/>
          <w:szCs w:val="24"/>
        </w:rPr>
        <w:t xml:space="preserve"> </w:t>
      </w:r>
      <w:r w:rsidRPr="00CF7113">
        <w:rPr>
          <w:rFonts w:ascii="Book Antiqua" w:hAnsi="Book Antiqua"/>
          <w:sz w:val="24"/>
          <w:szCs w:val="24"/>
        </w:rPr>
        <w:t>According to the World Health Organization (WHO), approximately 170 million people have chronic HCV infection with 3-4 million new infections occurring each year.</w:t>
      </w:r>
      <w:r>
        <w:rPr>
          <w:rFonts w:ascii="Book Antiqua" w:hAnsi="Book Antiqua"/>
          <w:sz w:val="24"/>
          <w:szCs w:val="24"/>
        </w:rPr>
        <w:t xml:space="preserve"> </w:t>
      </w:r>
      <w:r w:rsidRPr="00CF7113">
        <w:rPr>
          <w:rFonts w:ascii="Book Antiqua" w:hAnsi="Book Antiqua"/>
          <w:sz w:val="24"/>
          <w:szCs w:val="24"/>
        </w:rPr>
        <w:t>In the United States, up to four million pe</w:t>
      </w:r>
      <w:r>
        <w:rPr>
          <w:rFonts w:ascii="Book Antiqua" w:hAnsi="Book Antiqua"/>
          <w:sz w:val="24"/>
          <w:szCs w:val="24"/>
        </w:rPr>
        <w:t>ople have chronic HCV and 18-20</w:t>
      </w:r>
      <w:r w:rsidRPr="00CF7113">
        <w:rPr>
          <w:rFonts w:ascii="Book Antiqua" w:hAnsi="Book Antiqua"/>
          <w:sz w:val="24"/>
          <w:szCs w:val="24"/>
        </w:rPr>
        <w:t>000 new infections are diagnosed annually per the Centers for Disease Control (CDC).</w:t>
      </w:r>
      <w:r>
        <w:rPr>
          <w:rFonts w:ascii="Book Antiqua" w:hAnsi="Book Antiqua"/>
          <w:sz w:val="24"/>
          <w:szCs w:val="24"/>
        </w:rPr>
        <w:t xml:space="preserve"> </w:t>
      </w:r>
    </w:p>
    <w:p w:rsidR="00965749" w:rsidRPr="00CF7113" w:rsidRDefault="00965749" w:rsidP="006359CB">
      <w:pPr>
        <w:spacing w:after="0" w:line="360" w:lineRule="auto"/>
        <w:jc w:val="both"/>
        <w:rPr>
          <w:rFonts w:ascii="Book Antiqua" w:hAnsi="Book Antiqua"/>
          <w:sz w:val="24"/>
          <w:szCs w:val="24"/>
        </w:rPr>
      </w:pPr>
      <w:r w:rsidRPr="00CF7113">
        <w:rPr>
          <w:rFonts w:ascii="Book Antiqua" w:hAnsi="Book Antiqua"/>
          <w:sz w:val="24"/>
          <w:szCs w:val="24"/>
        </w:rPr>
        <w:t>Until recently treatment for HCV infection relied upon pegylated-interferon (PEG-IFN) and ribavirin combination therapy.</w:t>
      </w:r>
      <w:r w:rsidRPr="00CF7113">
        <w:rPr>
          <w:rFonts w:ascii="Book Antiqua" w:hAnsi="Book Antiqua"/>
          <w:sz w:val="24"/>
          <w:szCs w:val="24"/>
          <w:lang w:eastAsia="zh-CN"/>
        </w:rPr>
        <w:t xml:space="preserve"> </w:t>
      </w:r>
      <w:r w:rsidRPr="00CF7113">
        <w:rPr>
          <w:rFonts w:ascii="Book Antiqua" w:hAnsi="Book Antiqua"/>
          <w:sz w:val="24"/>
          <w:szCs w:val="24"/>
        </w:rPr>
        <w:t>The sustained virological response (SVR) seen with this combination is poor and requires lengthy treatment to achieve</w:t>
      </w:r>
      <w:r w:rsidRPr="00CF7113">
        <w:rPr>
          <w:rFonts w:ascii="Book Antiqua" w:hAnsi="Book Antiqua"/>
          <w:sz w:val="24"/>
          <w:szCs w:val="24"/>
          <w:vertAlign w:val="superscript"/>
        </w:rPr>
        <w:t>[1]</w:t>
      </w:r>
      <w:r w:rsidRPr="00CF7113">
        <w:rPr>
          <w:rFonts w:ascii="Book Antiqua" w:hAnsi="Book Antiqua"/>
          <w:sz w:val="24"/>
          <w:szCs w:val="24"/>
        </w:rPr>
        <w:t>.</w:t>
      </w:r>
      <w:r w:rsidRPr="00CF7113">
        <w:rPr>
          <w:rFonts w:ascii="Book Antiqua" w:hAnsi="Book Antiqua"/>
          <w:sz w:val="24"/>
          <w:szCs w:val="24"/>
          <w:vertAlign w:val="superscript"/>
        </w:rPr>
        <w:t xml:space="preserve"> </w:t>
      </w:r>
      <w:r w:rsidRPr="00CF7113">
        <w:rPr>
          <w:rFonts w:ascii="Book Antiqua" w:hAnsi="Book Antiqua"/>
          <w:sz w:val="24"/>
          <w:szCs w:val="24"/>
        </w:rPr>
        <w:t>Additionally, significant side effects and numerous contraindications, prevent most patients from being successfully treated with these agents.</w:t>
      </w:r>
      <w:r>
        <w:rPr>
          <w:rFonts w:ascii="Book Antiqua" w:hAnsi="Book Antiqua"/>
          <w:sz w:val="24"/>
          <w:szCs w:val="24"/>
        </w:rPr>
        <w:t xml:space="preserve"> </w:t>
      </w:r>
    </w:p>
    <w:p w:rsidR="00965749" w:rsidRPr="00CF7113" w:rsidRDefault="00965749" w:rsidP="006359CB">
      <w:pPr>
        <w:spacing w:after="0" w:line="360" w:lineRule="auto"/>
        <w:ind w:firstLineChars="200" w:firstLine="480"/>
        <w:jc w:val="both"/>
        <w:rPr>
          <w:rFonts w:ascii="Book Antiqua" w:hAnsi="Book Antiqua"/>
          <w:sz w:val="24"/>
          <w:szCs w:val="24"/>
        </w:rPr>
      </w:pPr>
      <w:r w:rsidRPr="00CF7113">
        <w:rPr>
          <w:rFonts w:ascii="Book Antiqua" w:hAnsi="Book Antiqua"/>
          <w:sz w:val="24"/>
          <w:szCs w:val="24"/>
        </w:rPr>
        <w:t>Recently two new protease inhibitors, telaprevir and boceprevir, have been approved by the Food and Drug Administration in the United States and the use of direct-acting antiviral (DAA) triple therapy has substantially improved sustained virological responses</w:t>
      </w:r>
      <w:r w:rsidRPr="00CF7113">
        <w:rPr>
          <w:rFonts w:ascii="Book Antiqua" w:hAnsi="Book Antiqua"/>
          <w:sz w:val="24"/>
          <w:szCs w:val="24"/>
          <w:vertAlign w:val="superscript"/>
        </w:rPr>
        <w:t>[2,3]</w:t>
      </w:r>
      <w:r w:rsidRPr="00CF7113">
        <w:rPr>
          <w:rFonts w:ascii="Book Antiqua" w:hAnsi="Book Antiqua"/>
          <w:sz w:val="24"/>
          <w:szCs w:val="24"/>
        </w:rPr>
        <w:t>. In addition, a plethora of new chemical entities directed against various components of the nonstructural proteins in the hepatitis C virion are in late phase development and offer the promise of greater efficacy and fewer side effects, with once or twice daily oral administration and perhaps no longer requiring interferon and ribavirin.</w:t>
      </w:r>
      <w:r>
        <w:rPr>
          <w:rFonts w:ascii="Book Antiqua" w:hAnsi="Book Antiqua"/>
          <w:sz w:val="24"/>
          <w:szCs w:val="24"/>
        </w:rPr>
        <w:t xml:space="preserve"> </w:t>
      </w:r>
      <w:r w:rsidRPr="00CF7113">
        <w:rPr>
          <w:rFonts w:ascii="Book Antiqua" w:hAnsi="Book Antiqua"/>
          <w:sz w:val="24"/>
          <w:szCs w:val="24"/>
        </w:rPr>
        <w:t xml:space="preserve"> This paper will review telaprevir and boceprevir as well as agents that are in late phase development and may come available within the next 1-2 years.</w:t>
      </w:r>
      <w:r>
        <w:rPr>
          <w:rFonts w:ascii="Book Antiqua" w:hAnsi="Book Antiqua"/>
          <w:sz w:val="24"/>
          <w:szCs w:val="24"/>
        </w:rPr>
        <w:t xml:space="preserve"> </w:t>
      </w:r>
    </w:p>
    <w:p w:rsidR="00965749" w:rsidRPr="00CF7113" w:rsidRDefault="00965749" w:rsidP="006359CB">
      <w:pPr>
        <w:spacing w:after="0" w:line="360" w:lineRule="auto"/>
        <w:jc w:val="both"/>
        <w:rPr>
          <w:rFonts w:ascii="Book Antiqua" w:hAnsi="Book Antiqua"/>
          <w:sz w:val="24"/>
          <w:szCs w:val="24"/>
          <w:lang w:eastAsia="zh-CN"/>
        </w:rPr>
      </w:pPr>
    </w:p>
    <w:p w:rsidR="00965749" w:rsidRPr="00CF7113" w:rsidRDefault="00965749" w:rsidP="006359CB">
      <w:pPr>
        <w:spacing w:after="0" w:line="360" w:lineRule="auto"/>
        <w:jc w:val="both"/>
        <w:rPr>
          <w:rFonts w:ascii="Book Antiqua" w:hAnsi="Book Antiqua"/>
          <w:b/>
          <w:sz w:val="24"/>
          <w:szCs w:val="24"/>
        </w:rPr>
      </w:pPr>
      <w:r w:rsidRPr="00CF7113">
        <w:rPr>
          <w:rFonts w:ascii="Book Antiqua" w:hAnsi="Book Antiqua"/>
          <w:b/>
          <w:sz w:val="24"/>
          <w:szCs w:val="24"/>
        </w:rPr>
        <w:t>TRADITIONAL TREATMENT APPROACH TO HEPATITIS C</w:t>
      </w:r>
    </w:p>
    <w:p w:rsidR="00965749" w:rsidRPr="00CF7113" w:rsidRDefault="00965749" w:rsidP="006359CB">
      <w:pPr>
        <w:spacing w:after="0" w:line="360" w:lineRule="auto"/>
        <w:jc w:val="both"/>
        <w:rPr>
          <w:rFonts w:ascii="Book Antiqua" w:hAnsi="Book Antiqua"/>
          <w:sz w:val="24"/>
          <w:szCs w:val="24"/>
        </w:rPr>
      </w:pPr>
      <w:r w:rsidRPr="00CF7113">
        <w:rPr>
          <w:rFonts w:ascii="Book Antiqua" w:hAnsi="Book Antiqua"/>
          <w:sz w:val="24"/>
          <w:szCs w:val="24"/>
        </w:rPr>
        <w:t>The traditional treatment approach to hepatitis C relies heavily on combination therapy with pegylated interferon and ribavirin</w:t>
      </w:r>
      <w:r w:rsidRPr="00CF7113">
        <w:rPr>
          <w:rFonts w:ascii="Book Antiqua" w:hAnsi="Book Antiqua"/>
          <w:sz w:val="24"/>
          <w:szCs w:val="24"/>
          <w:vertAlign w:val="superscript"/>
        </w:rPr>
        <w:t>[4,5]</w:t>
      </w:r>
      <w:r w:rsidRPr="00CF7113">
        <w:rPr>
          <w:rFonts w:ascii="Book Antiqua" w:hAnsi="Book Antiqua"/>
          <w:sz w:val="24"/>
          <w:szCs w:val="24"/>
        </w:rPr>
        <w:t xml:space="preserve">. For genotype I disease, patients less than 75 kg receive peginterferon </w:t>
      </w:r>
      <w:r w:rsidRPr="00CF7113">
        <w:rPr>
          <w:rFonts w:ascii="Book Antiqua" w:hAnsi="Book Antiqua" w:cs="Calibri"/>
          <w:sz w:val="24"/>
          <w:szCs w:val="24"/>
        </w:rPr>
        <w:t>alpha-</w:t>
      </w:r>
      <w:r w:rsidRPr="00CF7113">
        <w:rPr>
          <w:rFonts w:ascii="Book Antiqua" w:hAnsi="Book Antiqua"/>
          <w:sz w:val="24"/>
          <w:szCs w:val="24"/>
        </w:rPr>
        <w:t>2a 180 mcg by injection per week plus ribavirin 1000 mg daily in divided doses for 48 w</w:t>
      </w:r>
      <w:r>
        <w:rPr>
          <w:rFonts w:ascii="Book Antiqua" w:hAnsi="Book Antiqua"/>
          <w:sz w:val="24"/>
          <w:szCs w:val="24"/>
        </w:rPr>
        <w:t>k</w:t>
      </w:r>
      <w:r w:rsidRPr="00CF7113">
        <w:rPr>
          <w:rFonts w:ascii="Book Antiqua" w:hAnsi="Book Antiqua"/>
          <w:sz w:val="24"/>
          <w:szCs w:val="24"/>
        </w:rPr>
        <w:t xml:space="preserve"> or peginterferon </w:t>
      </w:r>
      <w:r w:rsidRPr="00CF7113">
        <w:rPr>
          <w:rFonts w:ascii="Book Antiqua" w:hAnsi="Book Antiqua" w:cs="Calibri"/>
          <w:sz w:val="24"/>
          <w:szCs w:val="24"/>
        </w:rPr>
        <w:t>alpha-</w:t>
      </w:r>
      <w:r w:rsidRPr="00CF7113">
        <w:rPr>
          <w:rFonts w:ascii="Book Antiqua" w:hAnsi="Book Antiqua"/>
          <w:sz w:val="24"/>
          <w:szCs w:val="24"/>
        </w:rPr>
        <w:t>2b 1.5 mcg/kg</w:t>
      </w:r>
      <w:r w:rsidRPr="00CF7113">
        <w:rPr>
          <w:rFonts w:ascii="Book Antiqua" w:hAnsi="Book Antiqua"/>
          <w:sz w:val="24"/>
          <w:szCs w:val="24"/>
          <w:lang w:eastAsia="zh-CN"/>
        </w:rPr>
        <w:t xml:space="preserve"> per </w:t>
      </w:r>
      <w:r w:rsidRPr="00CF7113">
        <w:rPr>
          <w:rFonts w:ascii="Book Antiqua" w:hAnsi="Book Antiqua"/>
          <w:sz w:val="24"/>
          <w:szCs w:val="24"/>
        </w:rPr>
        <w:t>week by injection plus ribavirin 800-1000 mg (based on weight) daily in divided doses for 48 weeks.</w:t>
      </w:r>
      <w:r>
        <w:rPr>
          <w:rFonts w:ascii="Book Antiqua" w:hAnsi="Book Antiqua"/>
          <w:sz w:val="24"/>
          <w:szCs w:val="24"/>
        </w:rPr>
        <w:t xml:space="preserve"> </w:t>
      </w:r>
      <w:r w:rsidRPr="00CF7113">
        <w:rPr>
          <w:rFonts w:ascii="Book Antiqua" w:hAnsi="Book Antiqua"/>
          <w:sz w:val="24"/>
          <w:szCs w:val="24"/>
        </w:rPr>
        <w:t xml:space="preserve">Patients greater than 75 kg receive peginterferon </w:t>
      </w:r>
      <w:r w:rsidRPr="00CF7113">
        <w:rPr>
          <w:rFonts w:ascii="Book Antiqua" w:hAnsi="Book Antiqua" w:cs="Calibri"/>
          <w:sz w:val="24"/>
          <w:szCs w:val="24"/>
        </w:rPr>
        <w:t>alpha-</w:t>
      </w:r>
      <w:r w:rsidRPr="00CF7113">
        <w:rPr>
          <w:rFonts w:ascii="Book Antiqua" w:hAnsi="Book Antiqua"/>
          <w:sz w:val="24"/>
          <w:szCs w:val="24"/>
        </w:rPr>
        <w:t>2a 180 mcg by injection per week plus ribavirin 1200 mg daily in divided doses for 48 w</w:t>
      </w:r>
      <w:r>
        <w:rPr>
          <w:rFonts w:ascii="Book Antiqua" w:hAnsi="Book Antiqua"/>
          <w:sz w:val="24"/>
          <w:szCs w:val="24"/>
        </w:rPr>
        <w:t>k</w:t>
      </w:r>
      <w:r w:rsidRPr="00CF7113">
        <w:rPr>
          <w:rFonts w:ascii="Book Antiqua" w:hAnsi="Book Antiqua"/>
          <w:sz w:val="24"/>
          <w:szCs w:val="24"/>
        </w:rPr>
        <w:t xml:space="preserve"> or peginterferon </w:t>
      </w:r>
      <w:r w:rsidRPr="00CF7113">
        <w:rPr>
          <w:rFonts w:ascii="Book Antiqua" w:hAnsi="Book Antiqua" w:cs="Calibri"/>
          <w:sz w:val="24"/>
          <w:szCs w:val="24"/>
        </w:rPr>
        <w:t>alpha-</w:t>
      </w:r>
      <w:r w:rsidRPr="00CF7113">
        <w:rPr>
          <w:rFonts w:ascii="Book Antiqua" w:hAnsi="Book Antiqua"/>
          <w:sz w:val="24"/>
          <w:szCs w:val="24"/>
        </w:rPr>
        <w:t>2b 1.5 mcg/kg</w:t>
      </w:r>
      <w:r w:rsidRPr="00CF7113">
        <w:rPr>
          <w:rFonts w:ascii="Book Antiqua" w:hAnsi="Book Antiqua"/>
          <w:sz w:val="24"/>
          <w:szCs w:val="24"/>
          <w:lang w:eastAsia="zh-CN"/>
        </w:rPr>
        <w:t xml:space="preserve"> per </w:t>
      </w:r>
      <w:r w:rsidRPr="00CF7113">
        <w:rPr>
          <w:rFonts w:ascii="Book Antiqua" w:hAnsi="Book Antiqua"/>
          <w:sz w:val="24"/>
          <w:szCs w:val="24"/>
        </w:rPr>
        <w:t>week by injection plus ribavirin 1000-1400 mg (based on weight) daily in divided doses for 48 wk.</w:t>
      </w:r>
      <w:r>
        <w:rPr>
          <w:rFonts w:ascii="Book Antiqua" w:hAnsi="Book Antiqua"/>
          <w:sz w:val="24"/>
          <w:szCs w:val="24"/>
        </w:rPr>
        <w:t xml:space="preserve"> </w:t>
      </w:r>
      <w:r w:rsidRPr="00CF7113">
        <w:rPr>
          <w:rFonts w:ascii="Book Antiqua" w:hAnsi="Book Antiqua"/>
          <w:sz w:val="24"/>
          <w:szCs w:val="24"/>
        </w:rPr>
        <w:t xml:space="preserve">Patients with genotypes 2 or 3 disease may be treated with peginterferon </w:t>
      </w:r>
      <w:r w:rsidRPr="00CF7113">
        <w:rPr>
          <w:rFonts w:ascii="Book Antiqua" w:hAnsi="Book Antiqua" w:cs="Calibri"/>
          <w:sz w:val="24"/>
          <w:szCs w:val="24"/>
        </w:rPr>
        <w:t>alpha-</w:t>
      </w:r>
      <w:r w:rsidRPr="00CF7113">
        <w:rPr>
          <w:rFonts w:ascii="Book Antiqua" w:hAnsi="Book Antiqua"/>
          <w:sz w:val="24"/>
          <w:szCs w:val="24"/>
        </w:rPr>
        <w:t>2a 180 mcg by injection per week plus ribavirin 800 mg daily in divided doses for 24 w</w:t>
      </w:r>
      <w:r>
        <w:rPr>
          <w:rFonts w:ascii="Book Antiqua" w:hAnsi="Book Antiqua"/>
          <w:sz w:val="24"/>
          <w:szCs w:val="24"/>
        </w:rPr>
        <w:t>k</w:t>
      </w:r>
      <w:r w:rsidRPr="00CF7113">
        <w:rPr>
          <w:rFonts w:ascii="Book Antiqua" w:hAnsi="Book Antiqua"/>
          <w:sz w:val="24"/>
          <w:szCs w:val="24"/>
        </w:rPr>
        <w:t xml:space="preserve"> or</w:t>
      </w:r>
      <w:r>
        <w:rPr>
          <w:rFonts w:ascii="Book Antiqua" w:hAnsi="Book Antiqua"/>
          <w:sz w:val="24"/>
          <w:szCs w:val="24"/>
        </w:rPr>
        <w:t xml:space="preserve"> </w:t>
      </w:r>
      <w:r w:rsidRPr="00CF7113">
        <w:rPr>
          <w:rFonts w:ascii="Book Antiqua" w:hAnsi="Book Antiqua"/>
          <w:sz w:val="24"/>
          <w:szCs w:val="24"/>
        </w:rPr>
        <w:t xml:space="preserve">peginterferon </w:t>
      </w:r>
      <w:r w:rsidRPr="00CF7113">
        <w:rPr>
          <w:rFonts w:ascii="Book Antiqua" w:hAnsi="Book Antiqua" w:cs="Calibri"/>
          <w:sz w:val="24"/>
          <w:szCs w:val="24"/>
        </w:rPr>
        <w:t>alpha-</w:t>
      </w:r>
      <w:r w:rsidRPr="00CF7113">
        <w:rPr>
          <w:rFonts w:ascii="Book Antiqua" w:hAnsi="Book Antiqua"/>
          <w:sz w:val="24"/>
          <w:szCs w:val="24"/>
        </w:rPr>
        <w:t>2b 1.5 mcg/kg</w:t>
      </w:r>
      <w:r w:rsidRPr="00CF7113">
        <w:rPr>
          <w:rFonts w:ascii="Book Antiqua" w:hAnsi="Book Antiqua"/>
          <w:sz w:val="24"/>
          <w:szCs w:val="24"/>
          <w:lang w:eastAsia="zh-CN"/>
        </w:rPr>
        <w:t xml:space="preserve"> per </w:t>
      </w:r>
      <w:r w:rsidRPr="00CF7113">
        <w:rPr>
          <w:rFonts w:ascii="Book Antiqua" w:hAnsi="Book Antiqua"/>
          <w:sz w:val="24"/>
          <w:szCs w:val="24"/>
        </w:rPr>
        <w:t>week by injection plus ribavirin 800-1400 mg (based on weight) daily in divided doses for 24 wk. Dose reductions may be necessary for patients with significant renal disease or those experience serious adverse reactions.</w:t>
      </w:r>
      <w:r>
        <w:rPr>
          <w:rFonts w:ascii="Book Antiqua" w:hAnsi="Book Antiqua"/>
          <w:sz w:val="24"/>
          <w:szCs w:val="24"/>
        </w:rPr>
        <w:t xml:space="preserve"> </w:t>
      </w:r>
      <w:r w:rsidRPr="00CF7113">
        <w:rPr>
          <w:rFonts w:ascii="Book Antiqua" w:hAnsi="Book Antiqua"/>
          <w:sz w:val="24"/>
          <w:szCs w:val="24"/>
        </w:rPr>
        <w:t xml:space="preserve">For patients with contraindications or intolerance to ribavirin, monotherapy with peginterferon </w:t>
      </w:r>
      <w:r w:rsidRPr="00CF7113">
        <w:rPr>
          <w:rFonts w:ascii="Book Antiqua" w:hAnsi="Book Antiqua" w:cs="Calibri"/>
          <w:sz w:val="24"/>
          <w:szCs w:val="24"/>
        </w:rPr>
        <w:t>alpha-</w:t>
      </w:r>
      <w:r w:rsidRPr="00CF7113">
        <w:rPr>
          <w:rFonts w:ascii="Book Antiqua" w:hAnsi="Book Antiqua"/>
          <w:sz w:val="24"/>
          <w:szCs w:val="24"/>
        </w:rPr>
        <w:t xml:space="preserve">2a 180 mcg by injection per week for 48 wk or peginterferon </w:t>
      </w:r>
      <w:r w:rsidRPr="00CF7113">
        <w:rPr>
          <w:rFonts w:ascii="Book Antiqua" w:hAnsi="Book Antiqua" w:cs="Calibri"/>
          <w:sz w:val="24"/>
          <w:szCs w:val="24"/>
        </w:rPr>
        <w:t>alpha-</w:t>
      </w:r>
      <w:r w:rsidRPr="00CF7113">
        <w:rPr>
          <w:rFonts w:ascii="Book Antiqua" w:hAnsi="Book Antiqua"/>
          <w:sz w:val="24"/>
          <w:szCs w:val="24"/>
        </w:rPr>
        <w:t>2b 1 mcg/kg</w:t>
      </w:r>
      <w:r>
        <w:rPr>
          <w:rFonts w:ascii="Book Antiqua" w:hAnsi="Book Antiqua"/>
          <w:sz w:val="24"/>
          <w:szCs w:val="24"/>
          <w:lang w:eastAsia="zh-CN"/>
        </w:rPr>
        <w:t xml:space="preserve"> per </w:t>
      </w:r>
      <w:r w:rsidRPr="00CF7113">
        <w:rPr>
          <w:rFonts w:ascii="Book Antiqua" w:hAnsi="Book Antiqua"/>
          <w:sz w:val="24"/>
          <w:szCs w:val="24"/>
        </w:rPr>
        <w:t>week by injection for one year may be used.</w:t>
      </w:r>
    </w:p>
    <w:p w:rsidR="00965749" w:rsidRPr="00CF7113" w:rsidRDefault="00965749" w:rsidP="006359CB">
      <w:pPr>
        <w:spacing w:after="0" w:line="360" w:lineRule="auto"/>
        <w:ind w:firstLineChars="200" w:firstLine="480"/>
        <w:jc w:val="both"/>
        <w:rPr>
          <w:rFonts w:ascii="Book Antiqua" w:hAnsi="Book Antiqua"/>
          <w:sz w:val="24"/>
          <w:szCs w:val="24"/>
        </w:rPr>
      </w:pPr>
      <w:r w:rsidRPr="00CF7113">
        <w:rPr>
          <w:rFonts w:ascii="Book Antiqua" w:hAnsi="Book Antiqua"/>
          <w:sz w:val="24"/>
          <w:szCs w:val="24"/>
        </w:rPr>
        <w:t>Clinical success is greater with combination therapy, but sustained virologic response (SVR) rates remain less than optimal at 54</w:t>
      </w:r>
      <w:r w:rsidRPr="00CF7113">
        <w:rPr>
          <w:rFonts w:ascii="Book Antiqua" w:hAnsi="Book Antiqua"/>
          <w:sz w:val="24"/>
          <w:szCs w:val="24"/>
          <w:lang w:eastAsia="zh-CN"/>
        </w:rPr>
        <w:t>%</w:t>
      </w:r>
      <w:r w:rsidRPr="00CF7113">
        <w:rPr>
          <w:rFonts w:ascii="Book Antiqua" w:hAnsi="Book Antiqua"/>
          <w:sz w:val="24"/>
          <w:szCs w:val="24"/>
        </w:rPr>
        <w:t>-56%</w:t>
      </w:r>
      <w:r w:rsidRPr="00CF7113">
        <w:rPr>
          <w:rFonts w:ascii="Book Antiqua" w:hAnsi="Book Antiqua"/>
          <w:sz w:val="24"/>
          <w:szCs w:val="24"/>
          <w:vertAlign w:val="superscript"/>
        </w:rPr>
        <w:t>[5]</w:t>
      </w:r>
      <w:r w:rsidRPr="00CF7113">
        <w:rPr>
          <w:rFonts w:ascii="Book Antiqua" w:hAnsi="Book Antiqua"/>
          <w:sz w:val="24"/>
          <w:szCs w:val="24"/>
        </w:rPr>
        <w:t>.</w:t>
      </w:r>
      <w:r w:rsidRPr="00CF7113">
        <w:rPr>
          <w:rFonts w:ascii="Book Antiqua" w:hAnsi="Book Antiqua"/>
          <w:sz w:val="24"/>
          <w:szCs w:val="24"/>
          <w:lang w:eastAsia="zh-CN"/>
        </w:rPr>
        <w:t xml:space="preserve"> </w:t>
      </w:r>
      <w:r w:rsidRPr="00CF7113">
        <w:rPr>
          <w:rFonts w:ascii="Book Antiqua" w:hAnsi="Book Antiqua"/>
          <w:sz w:val="24"/>
          <w:szCs w:val="24"/>
        </w:rPr>
        <w:t>Numerous contraindications to ribavirin preclude some patients from receiving combination therapy.</w:t>
      </w:r>
      <w:r>
        <w:rPr>
          <w:rFonts w:ascii="Book Antiqua" w:hAnsi="Book Antiqua"/>
          <w:sz w:val="24"/>
          <w:szCs w:val="24"/>
        </w:rPr>
        <w:t xml:space="preserve"> </w:t>
      </w:r>
      <w:r w:rsidRPr="00CF7113">
        <w:rPr>
          <w:rFonts w:ascii="Book Antiqua" w:hAnsi="Book Antiqua"/>
          <w:sz w:val="24"/>
          <w:szCs w:val="24"/>
        </w:rPr>
        <w:t>These contraindications include autoimmune hepatitis, decompensated liver disease, pregnancy, hemoglobinopathy, renal insufficiency, hemodialysis, thyroid disease, diabetes, rheumatoid arthritis, asthma or chronic obstructive pulmonary disease, and ischemic cardiovascular or cerebrovascular disease. Also, side effects associated with both pegylated interferon and ribavirin are substantial and include fatigue, fever, headache, nausea, arthralgia, musculoskeletal pain, insomnia, depression, neutropenia, thrombocytopenia, and anemia.</w:t>
      </w:r>
      <w:r>
        <w:rPr>
          <w:rFonts w:ascii="Book Antiqua" w:hAnsi="Book Antiqua"/>
          <w:sz w:val="24"/>
          <w:szCs w:val="24"/>
        </w:rPr>
        <w:t xml:space="preserve"> </w:t>
      </w:r>
      <w:r w:rsidRPr="00CF7113">
        <w:rPr>
          <w:rFonts w:ascii="Book Antiqua" w:hAnsi="Book Antiqua"/>
          <w:sz w:val="24"/>
          <w:szCs w:val="24"/>
        </w:rPr>
        <w:t>For these reasons, only about 10% of patients with hepatitis C are successfully treated with traditional therapy.</w:t>
      </w:r>
      <w:r>
        <w:rPr>
          <w:rFonts w:ascii="Book Antiqua" w:hAnsi="Book Antiqua"/>
          <w:sz w:val="24"/>
          <w:szCs w:val="24"/>
        </w:rPr>
        <w:t xml:space="preserve"> </w:t>
      </w:r>
    </w:p>
    <w:p w:rsidR="00965749" w:rsidRPr="00CF7113" w:rsidRDefault="00965749" w:rsidP="006359CB">
      <w:pPr>
        <w:spacing w:after="0" w:line="360" w:lineRule="auto"/>
        <w:jc w:val="both"/>
        <w:rPr>
          <w:rFonts w:ascii="Book Antiqua" w:hAnsi="Book Antiqua"/>
          <w:sz w:val="24"/>
          <w:szCs w:val="24"/>
          <w:lang w:eastAsia="zh-CN"/>
        </w:rPr>
      </w:pPr>
    </w:p>
    <w:p w:rsidR="00965749" w:rsidRPr="00CF7113" w:rsidRDefault="00965749" w:rsidP="006359CB">
      <w:pPr>
        <w:spacing w:after="0" w:line="360" w:lineRule="auto"/>
        <w:jc w:val="both"/>
        <w:rPr>
          <w:rFonts w:ascii="Book Antiqua" w:hAnsi="Book Antiqua"/>
          <w:b/>
          <w:sz w:val="24"/>
          <w:szCs w:val="24"/>
        </w:rPr>
      </w:pPr>
      <w:r w:rsidRPr="00CF7113">
        <w:rPr>
          <w:rFonts w:ascii="Book Antiqua" w:hAnsi="Book Antiqua"/>
          <w:b/>
          <w:sz w:val="24"/>
          <w:szCs w:val="24"/>
        </w:rPr>
        <w:t>TRIPLE THERAPY WITH PROTEASE INHIBITORS FOR HEPATITIS C</w:t>
      </w:r>
    </w:p>
    <w:p w:rsidR="00965749" w:rsidRPr="00CF7113" w:rsidRDefault="00965749" w:rsidP="006359CB">
      <w:pPr>
        <w:spacing w:after="0" w:line="360" w:lineRule="auto"/>
        <w:jc w:val="both"/>
        <w:rPr>
          <w:rFonts w:ascii="Book Antiqua" w:hAnsi="Book Antiqua"/>
          <w:sz w:val="24"/>
          <w:szCs w:val="24"/>
        </w:rPr>
      </w:pPr>
      <w:r w:rsidRPr="00CF7113">
        <w:rPr>
          <w:rFonts w:ascii="Book Antiqua" w:hAnsi="Book Antiqua"/>
          <w:sz w:val="24"/>
          <w:szCs w:val="24"/>
        </w:rPr>
        <w:t>The hepatitis C virus contains six nonstructural HCV proteins that are processed by both viral and host proteases</w:t>
      </w:r>
      <w:r w:rsidRPr="00CF7113">
        <w:rPr>
          <w:rFonts w:ascii="Book Antiqua" w:hAnsi="Book Antiqua"/>
          <w:sz w:val="24"/>
          <w:szCs w:val="24"/>
          <w:vertAlign w:val="superscript"/>
        </w:rPr>
        <w:t>[6]</w:t>
      </w:r>
      <w:r w:rsidRPr="00CF7113">
        <w:rPr>
          <w:rFonts w:ascii="Book Antiqua" w:hAnsi="Book Antiqua"/>
          <w:sz w:val="24"/>
          <w:szCs w:val="24"/>
        </w:rPr>
        <w:t xml:space="preserve">. These nonstructural proteins (NS2, NS3, NS4A, NS4B, NS5A, and NS5B) are primarily enzymes that are essential in the HCV life cycle(Figure 1). A number of compounds have been developed which target these proteases involved in HCV polyprotein procession. They are divided into two chemical classes, macrocyclic inhibitors and linear tetra-peptide </w:t>
      </w:r>
      <w:r w:rsidRPr="00CF7113">
        <w:rPr>
          <w:rFonts w:ascii="Book Antiqua" w:hAnsi="Book Antiqua" w:cs="Calibri"/>
          <w:sz w:val="24"/>
          <w:szCs w:val="24"/>
        </w:rPr>
        <w:t>α</w:t>
      </w:r>
      <w:r w:rsidRPr="00CF7113">
        <w:rPr>
          <w:rFonts w:ascii="Book Antiqua" w:hAnsi="Book Antiqua"/>
          <w:sz w:val="24"/>
          <w:szCs w:val="24"/>
        </w:rPr>
        <w:t>-ketoamid derivatives. The NS3/4A protease inhibitors are potent anti-viral agents as monotherapy against HCV replication, but may cause selection of resistance species.</w:t>
      </w:r>
      <w:r>
        <w:rPr>
          <w:rFonts w:ascii="Book Antiqua" w:hAnsi="Book Antiqua"/>
          <w:sz w:val="24"/>
          <w:szCs w:val="24"/>
        </w:rPr>
        <w:t xml:space="preserve"> </w:t>
      </w:r>
      <w:r w:rsidRPr="00CF7113">
        <w:rPr>
          <w:rFonts w:ascii="Book Antiqua" w:hAnsi="Book Antiqua"/>
          <w:sz w:val="24"/>
          <w:szCs w:val="24"/>
        </w:rPr>
        <w:t>However, this resistance appears to be attenuated when the drugs are used in combination with standard peginterferon/ribavirin therapy. The first two drugs to reach the commercial marketplace in this class are telaprevir and boceprevir.</w:t>
      </w:r>
    </w:p>
    <w:p w:rsidR="00965749" w:rsidRPr="00CF7113" w:rsidRDefault="00965749" w:rsidP="006359CB">
      <w:pPr>
        <w:spacing w:after="0" w:line="360" w:lineRule="auto"/>
        <w:jc w:val="both"/>
        <w:rPr>
          <w:rFonts w:ascii="Book Antiqua" w:hAnsi="Book Antiqua"/>
          <w:i/>
          <w:sz w:val="24"/>
          <w:szCs w:val="24"/>
          <w:lang w:eastAsia="zh-CN"/>
        </w:rPr>
      </w:pPr>
    </w:p>
    <w:p w:rsidR="00965749" w:rsidRPr="00CF7113" w:rsidRDefault="00965749" w:rsidP="006359CB">
      <w:pPr>
        <w:spacing w:after="0" w:line="360" w:lineRule="auto"/>
        <w:jc w:val="both"/>
        <w:rPr>
          <w:rFonts w:ascii="Book Antiqua" w:hAnsi="Book Antiqua"/>
          <w:b/>
          <w:i/>
          <w:sz w:val="24"/>
          <w:szCs w:val="24"/>
        </w:rPr>
      </w:pPr>
      <w:r w:rsidRPr="00CF7113">
        <w:rPr>
          <w:rFonts w:ascii="Book Antiqua" w:hAnsi="Book Antiqua"/>
          <w:b/>
          <w:i/>
          <w:sz w:val="24"/>
          <w:szCs w:val="24"/>
        </w:rPr>
        <w:t>Telaprevir</w:t>
      </w:r>
    </w:p>
    <w:p w:rsidR="00965749" w:rsidRPr="00CF7113" w:rsidRDefault="00965749" w:rsidP="006359CB">
      <w:pPr>
        <w:spacing w:after="0" w:line="360" w:lineRule="auto"/>
        <w:jc w:val="both"/>
        <w:rPr>
          <w:rFonts w:ascii="Book Antiqua" w:hAnsi="Book Antiqua"/>
          <w:sz w:val="24"/>
          <w:szCs w:val="24"/>
          <w:lang w:eastAsia="zh-CN"/>
        </w:rPr>
      </w:pPr>
      <w:r w:rsidRPr="00CF7113">
        <w:rPr>
          <w:rFonts w:ascii="Book Antiqua" w:hAnsi="Book Antiqua"/>
          <w:sz w:val="24"/>
          <w:szCs w:val="24"/>
        </w:rPr>
        <w:t xml:space="preserve">Telaprevir is an orally bioavailable NS3 protease inhibitor of the </w:t>
      </w:r>
      <w:r w:rsidRPr="00CF7113">
        <w:rPr>
          <w:rFonts w:ascii="Book Antiqua" w:hAnsi="Book Antiqua" w:cs="Calibri"/>
          <w:sz w:val="24"/>
          <w:szCs w:val="24"/>
        </w:rPr>
        <w:t>α</w:t>
      </w:r>
      <w:r w:rsidRPr="00CF7113">
        <w:rPr>
          <w:rFonts w:ascii="Book Antiqua" w:hAnsi="Book Antiqua"/>
          <w:sz w:val="24"/>
          <w:szCs w:val="24"/>
        </w:rPr>
        <w:t>-ketoamid class that binds the enzyme in a covalent but reversible manner with an enzyme-inhibitor complex half-life of 58 min.</w:t>
      </w:r>
      <w:r>
        <w:rPr>
          <w:rFonts w:ascii="Book Antiqua" w:hAnsi="Book Antiqua"/>
          <w:sz w:val="24"/>
          <w:szCs w:val="24"/>
        </w:rPr>
        <w:t xml:space="preserve"> </w:t>
      </w:r>
      <w:r w:rsidRPr="00CF7113">
        <w:rPr>
          <w:rFonts w:ascii="Book Antiqua" w:hAnsi="Book Antiqua"/>
          <w:sz w:val="24"/>
          <w:szCs w:val="24"/>
        </w:rPr>
        <w:t>A phase I, placebo-controlled dose ranging study compared telaprevir 450 mg or 750 mg every 8 h</w:t>
      </w:r>
      <w:r w:rsidRPr="00CF7113">
        <w:rPr>
          <w:rFonts w:ascii="Book Antiqua" w:hAnsi="Book Antiqua"/>
          <w:sz w:val="24"/>
          <w:szCs w:val="24"/>
          <w:lang w:eastAsia="zh-CN"/>
        </w:rPr>
        <w:t xml:space="preserve"> </w:t>
      </w:r>
      <w:r w:rsidRPr="00CF7113">
        <w:rPr>
          <w:rFonts w:ascii="Book Antiqua" w:hAnsi="Book Antiqua"/>
          <w:sz w:val="24"/>
          <w:szCs w:val="24"/>
        </w:rPr>
        <w:t>with 1250 mg every 12 h in treatment-naïve genotype I patients and found the 750 mg dose to be most effective with a median reduction in HCV RNA of 4.4 log</w:t>
      </w:r>
      <w:r w:rsidRPr="00CF7113">
        <w:rPr>
          <w:rFonts w:ascii="Book Antiqua" w:hAnsi="Book Antiqua"/>
          <w:sz w:val="24"/>
          <w:szCs w:val="24"/>
          <w:vertAlign w:val="subscript"/>
        </w:rPr>
        <w:t>10</w:t>
      </w:r>
      <w:r w:rsidRPr="00CF7113">
        <w:rPr>
          <w:rFonts w:ascii="Book Antiqua" w:hAnsi="Book Antiqua"/>
          <w:sz w:val="24"/>
          <w:szCs w:val="24"/>
        </w:rPr>
        <w:t xml:space="preserve"> after 14 d</w:t>
      </w:r>
      <w:r w:rsidRPr="00CF7113">
        <w:rPr>
          <w:rFonts w:ascii="Book Antiqua" w:hAnsi="Book Antiqua"/>
          <w:sz w:val="24"/>
          <w:szCs w:val="24"/>
          <w:vertAlign w:val="superscript"/>
        </w:rPr>
        <w:t>[7]</w:t>
      </w:r>
      <w:r w:rsidRPr="00CF7113">
        <w:rPr>
          <w:rFonts w:ascii="Book Antiqua" w:hAnsi="Book Antiqua"/>
          <w:sz w:val="24"/>
          <w:szCs w:val="24"/>
        </w:rPr>
        <w:t>.</w:t>
      </w:r>
      <w:r>
        <w:rPr>
          <w:rFonts w:ascii="Book Antiqua" w:hAnsi="Book Antiqua"/>
          <w:sz w:val="24"/>
          <w:szCs w:val="24"/>
          <w:vertAlign w:val="superscript"/>
        </w:rPr>
        <w:t xml:space="preserve"> </w:t>
      </w:r>
      <w:r w:rsidRPr="00CF7113">
        <w:rPr>
          <w:rFonts w:ascii="Book Antiqua" w:hAnsi="Book Antiqua"/>
          <w:sz w:val="24"/>
          <w:szCs w:val="24"/>
        </w:rPr>
        <w:t xml:space="preserve">A subsequent similar phase I study compared this dose following a 1250 mg loading dose either alone or in combination with peginterferon </w:t>
      </w:r>
      <w:r w:rsidRPr="00CF7113">
        <w:rPr>
          <w:rFonts w:ascii="Book Antiqua" w:hAnsi="Book Antiqua" w:cs="Calibri"/>
          <w:sz w:val="24"/>
          <w:szCs w:val="24"/>
        </w:rPr>
        <w:t>alpha-</w:t>
      </w:r>
      <w:r w:rsidRPr="00CF7113">
        <w:rPr>
          <w:rFonts w:ascii="Book Antiqua" w:hAnsi="Book Antiqua"/>
          <w:sz w:val="24"/>
          <w:szCs w:val="24"/>
        </w:rPr>
        <w:t xml:space="preserve">2a with peginterferon </w:t>
      </w:r>
      <w:r w:rsidRPr="00CF7113">
        <w:rPr>
          <w:rFonts w:ascii="Book Antiqua" w:hAnsi="Book Antiqua" w:cs="Calibri"/>
          <w:sz w:val="24"/>
          <w:szCs w:val="24"/>
        </w:rPr>
        <w:t>alpha-</w:t>
      </w:r>
      <w:r w:rsidRPr="00CF7113">
        <w:rPr>
          <w:rFonts w:ascii="Book Antiqua" w:hAnsi="Book Antiqua"/>
          <w:sz w:val="24"/>
          <w:szCs w:val="24"/>
        </w:rPr>
        <w:t>2a monotherapy for 14 d. The reduction in HCV RNA was 1.09 log</w:t>
      </w:r>
      <w:r w:rsidRPr="00CF7113">
        <w:rPr>
          <w:rFonts w:ascii="Book Antiqua" w:hAnsi="Book Antiqua"/>
          <w:sz w:val="24"/>
          <w:szCs w:val="24"/>
          <w:vertAlign w:val="subscript"/>
        </w:rPr>
        <w:t>10</w:t>
      </w:r>
      <w:r w:rsidRPr="00CF7113">
        <w:rPr>
          <w:rFonts w:ascii="Book Antiqua" w:hAnsi="Book Antiqua"/>
          <w:sz w:val="24"/>
          <w:szCs w:val="24"/>
        </w:rPr>
        <w:t xml:space="preserve"> in the peginterferon </w:t>
      </w:r>
      <w:r w:rsidRPr="00CF7113">
        <w:rPr>
          <w:rFonts w:ascii="Book Antiqua" w:hAnsi="Book Antiqua" w:cs="Calibri"/>
          <w:sz w:val="24"/>
          <w:szCs w:val="24"/>
        </w:rPr>
        <w:t>alpha-</w:t>
      </w:r>
      <w:r w:rsidRPr="00CF7113">
        <w:rPr>
          <w:rFonts w:ascii="Book Antiqua" w:hAnsi="Book Antiqua"/>
          <w:sz w:val="24"/>
          <w:szCs w:val="24"/>
        </w:rPr>
        <w:t>2a/placebo group, 3.99 log</w:t>
      </w:r>
      <w:r w:rsidRPr="00CF7113">
        <w:rPr>
          <w:rFonts w:ascii="Book Antiqua" w:hAnsi="Book Antiqua"/>
          <w:sz w:val="24"/>
          <w:szCs w:val="24"/>
          <w:vertAlign w:val="subscript"/>
        </w:rPr>
        <w:t>10</w:t>
      </w:r>
      <w:r w:rsidRPr="00CF7113">
        <w:rPr>
          <w:rFonts w:ascii="Book Antiqua" w:hAnsi="Book Antiqua"/>
          <w:sz w:val="24"/>
          <w:szCs w:val="24"/>
        </w:rPr>
        <w:t xml:space="preserve"> in the telaprevir/placebo group, and 5.49 log</w:t>
      </w:r>
      <w:r w:rsidRPr="00CF7113">
        <w:rPr>
          <w:rFonts w:ascii="Book Antiqua" w:hAnsi="Book Antiqua"/>
          <w:sz w:val="24"/>
          <w:szCs w:val="24"/>
          <w:vertAlign w:val="subscript"/>
        </w:rPr>
        <w:t>10</w:t>
      </w:r>
      <w:r w:rsidRPr="00CF7113">
        <w:rPr>
          <w:rFonts w:ascii="Book Antiqua" w:hAnsi="Book Antiqua"/>
          <w:sz w:val="24"/>
          <w:szCs w:val="24"/>
        </w:rPr>
        <w:t xml:space="preserve"> in the peginterferon </w:t>
      </w:r>
      <w:r w:rsidRPr="00CF7113">
        <w:rPr>
          <w:rFonts w:ascii="Book Antiqua" w:hAnsi="Book Antiqua" w:cs="Calibri"/>
          <w:sz w:val="24"/>
          <w:szCs w:val="24"/>
        </w:rPr>
        <w:t>alpha-</w:t>
      </w:r>
      <w:r w:rsidRPr="00CF7113">
        <w:rPr>
          <w:rFonts w:ascii="Book Antiqua" w:hAnsi="Book Antiqua"/>
          <w:sz w:val="24"/>
          <w:szCs w:val="24"/>
        </w:rPr>
        <w:t>2a/telaprevir group at the end of therapy. The development of resistant mutants was significantly lower in the peginterferon combination treatment group and no breakthrough of virus was seen throughout the study period</w:t>
      </w:r>
      <w:r w:rsidRPr="00CF7113">
        <w:rPr>
          <w:rFonts w:ascii="Book Antiqua" w:hAnsi="Book Antiqua"/>
          <w:sz w:val="24"/>
          <w:szCs w:val="24"/>
          <w:vertAlign w:val="superscript"/>
        </w:rPr>
        <w:t>[8]</w:t>
      </w:r>
      <w:r w:rsidRPr="00CF7113">
        <w:rPr>
          <w:rFonts w:ascii="Book Antiqua" w:hAnsi="Book Antiqua"/>
          <w:sz w:val="24"/>
          <w:szCs w:val="24"/>
        </w:rPr>
        <w:t xml:space="preserve">. An additional 28 d trial in treatment-naïve genotype I patients showed undetectable HCV RNA serum levels following telaprevir 750 mg every 8 h combined with peginterferon </w:t>
      </w:r>
      <w:r w:rsidRPr="00CF7113">
        <w:rPr>
          <w:rFonts w:ascii="Book Antiqua" w:hAnsi="Book Antiqua" w:cs="Calibri"/>
          <w:sz w:val="24"/>
          <w:szCs w:val="24"/>
        </w:rPr>
        <w:t>alpha</w:t>
      </w:r>
      <w:r w:rsidRPr="00CF7113">
        <w:rPr>
          <w:rFonts w:ascii="Book Antiqua" w:hAnsi="Book Antiqua"/>
          <w:sz w:val="24"/>
          <w:szCs w:val="24"/>
        </w:rPr>
        <w:t>-2a and weight-based dosing of ribavirin</w:t>
      </w:r>
      <w:r w:rsidRPr="00CF7113">
        <w:rPr>
          <w:rFonts w:ascii="Book Antiqua" w:hAnsi="Book Antiqua"/>
          <w:sz w:val="24"/>
          <w:szCs w:val="24"/>
          <w:vertAlign w:val="superscript"/>
        </w:rPr>
        <w:t>[9]</w:t>
      </w:r>
      <w:r w:rsidRPr="00CF7113">
        <w:rPr>
          <w:rFonts w:ascii="Book Antiqua" w:hAnsi="Book Antiqua"/>
          <w:sz w:val="24"/>
          <w:szCs w:val="24"/>
        </w:rPr>
        <w:t>.</w:t>
      </w:r>
    </w:p>
    <w:p w:rsidR="00965749" w:rsidRPr="00CF7113" w:rsidRDefault="00965749" w:rsidP="006359CB">
      <w:pPr>
        <w:spacing w:after="0" w:line="360" w:lineRule="auto"/>
        <w:ind w:firstLineChars="200" w:firstLine="480"/>
        <w:jc w:val="both"/>
        <w:rPr>
          <w:rFonts w:ascii="Book Antiqua" w:hAnsi="Book Antiqua"/>
          <w:sz w:val="24"/>
          <w:szCs w:val="24"/>
        </w:rPr>
      </w:pPr>
      <w:r w:rsidRPr="00CF7113">
        <w:rPr>
          <w:rFonts w:ascii="Book Antiqua" w:hAnsi="Book Antiqua"/>
          <w:sz w:val="24"/>
          <w:szCs w:val="24"/>
        </w:rPr>
        <w:t>These early results were further validated in two phase II trials, PROVE 1 (American) and PROVE 2 (European) in treatment naïve, genotype I patients.</w:t>
      </w:r>
      <w:r>
        <w:rPr>
          <w:rFonts w:ascii="Book Antiqua" w:hAnsi="Book Antiqua"/>
          <w:sz w:val="24"/>
          <w:szCs w:val="24"/>
        </w:rPr>
        <w:t xml:space="preserve"> </w:t>
      </w:r>
      <w:r w:rsidRPr="00CF7113">
        <w:rPr>
          <w:rFonts w:ascii="Book Antiqua" w:hAnsi="Book Antiqua"/>
          <w:sz w:val="24"/>
          <w:szCs w:val="24"/>
        </w:rPr>
        <w:t>In the PROVE 1 trial, combination therapy with telaprevir 1250 mg loading dose followed by 750 mg every 8 h or placebo, peginterferon alfa-2a 180 mcg weekly, and ribavirin 1000-1200 mg/d based on weight for 12 wk was followed by interferon alfa-2a and ribavirin at the same dosages for an additional 0, 12, or 36 wk. Treatment was stopped after 12 or 24 wk only when a rapid virologic response (RVR) was achieved.</w:t>
      </w:r>
      <w:r>
        <w:rPr>
          <w:rFonts w:ascii="Book Antiqua" w:hAnsi="Book Antiqua"/>
          <w:sz w:val="24"/>
          <w:szCs w:val="24"/>
        </w:rPr>
        <w:t xml:space="preserve"> </w:t>
      </w:r>
      <w:r w:rsidRPr="00CF7113">
        <w:rPr>
          <w:rFonts w:ascii="Book Antiqua" w:hAnsi="Book Antiqua"/>
          <w:sz w:val="24"/>
          <w:szCs w:val="24"/>
        </w:rPr>
        <w:t xml:space="preserve">This produced sustained virologic response (SVR) rates of 35%, 61% and 67% at 12, 24, and 48 wk, respectively, </w:t>
      </w:r>
      <w:r w:rsidRPr="00CF7113">
        <w:rPr>
          <w:rFonts w:ascii="Book Antiqua" w:hAnsi="Book Antiqua"/>
          <w:i/>
          <w:sz w:val="24"/>
          <w:szCs w:val="24"/>
        </w:rPr>
        <w:t>vs</w:t>
      </w:r>
      <w:r w:rsidRPr="00CF7113">
        <w:rPr>
          <w:rFonts w:ascii="Book Antiqua" w:hAnsi="Book Antiqua"/>
          <w:sz w:val="24"/>
          <w:szCs w:val="24"/>
        </w:rPr>
        <w:t xml:space="preserve"> 41% SVR with 48 wk standard therapy</w:t>
      </w:r>
      <w:r w:rsidRPr="00CF7113">
        <w:rPr>
          <w:rFonts w:ascii="Book Antiqua" w:hAnsi="Book Antiqua"/>
          <w:sz w:val="24"/>
          <w:szCs w:val="24"/>
          <w:vertAlign w:val="superscript"/>
        </w:rPr>
        <w:t>[10]</w:t>
      </w:r>
      <w:r w:rsidRPr="00CF7113">
        <w:rPr>
          <w:rFonts w:ascii="Book Antiqua" w:hAnsi="Book Antiqua"/>
          <w:sz w:val="24"/>
          <w:szCs w:val="24"/>
        </w:rPr>
        <w:t>. The PROVE 2 trial compared telaprevir + peginterferon alone for 12 wk, telaprevir + peginterferon and ribavirin for 12 wk, and telaprevir + peginterferon and ribavirin for 12 wk followed by an additional 12 wk of peginterferon and ribavirin alone, against standard peginterferon and ribavirin therapy.</w:t>
      </w:r>
      <w:r>
        <w:rPr>
          <w:rFonts w:ascii="Book Antiqua" w:hAnsi="Book Antiqua"/>
          <w:sz w:val="24"/>
          <w:szCs w:val="24"/>
        </w:rPr>
        <w:t xml:space="preserve"> </w:t>
      </w:r>
      <w:r w:rsidRPr="00CF7113">
        <w:rPr>
          <w:rFonts w:ascii="Book Antiqua" w:hAnsi="Book Antiqua"/>
          <w:sz w:val="24"/>
          <w:szCs w:val="24"/>
        </w:rPr>
        <w:t xml:space="preserve">SVRs of 36%, 60%, and 69% respectively, </w:t>
      </w:r>
      <w:r w:rsidRPr="00CF7113">
        <w:rPr>
          <w:rFonts w:ascii="Book Antiqua" w:hAnsi="Book Antiqua"/>
          <w:i/>
          <w:sz w:val="24"/>
          <w:szCs w:val="24"/>
        </w:rPr>
        <w:t>vs</w:t>
      </w:r>
      <w:r w:rsidRPr="00CF7113">
        <w:rPr>
          <w:rFonts w:ascii="Book Antiqua" w:hAnsi="Book Antiqua"/>
          <w:sz w:val="24"/>
          <w:szCs w:val="24"/>
        </w:rPr>
        <w:t xml:space="preserve"> 46% with standard therapy were documented</w:t>
      </w:r>
      <w:r w:rsidRPr="00CF7113">
        <w:rPr>
          <w:rFonts w:ascii="Book Antiqua" w:hAnsi="Book Antiqua"/>
          <w:sz w:val="24"/>
          <w:szCs w:val="24"/>
          <w:vertAlign w:val="superscript"/>
        </w:rPr>
        <w:t>[11]</w:t>
      </w:r>
      <w:r w:rsidRPr="00CF7113">
        <w:rPr>
          <w:rFonts w:ascii="Book Antiqua" w:hAnsi="Book Antiqua"/>
          <w:sz w:val="24"/>
          <w:szCs w:val="24"/>
        </w:rPr>
        <w:t>. thus, ribavirin appears important to achieve high SVRs and 12 wk of therapy appears insufficient to prevent relapse.</w:t>
      </w:r>
      <w:r>
        <w:rPr>
          <w:rFonts w:ascii="Book Antiqua" w:hAnsi="Book Antiqua"/>
          <w:sz w:val="24"/>
          <w:szCs w:val="24"/>
        </w:rPr>
        <w:t xml:space="preserve"> </w:t>
      </w:r>
      <w:r w:rsidRPr="00CF7113">
        <w:rPr>
          <w:rFonts w:ascii="Book Antiqua" w:hAnsi="Book Antiqua"/>
          <w:sz w:val="24"/>
          <w:szCs w:val="24"/>
        </w:rPr>
        <w:t xml:space="preserve">In these trials skin rash, anemia, and gastrointestinal disorders were the most common side effects, causing up to 18% of patients to discontinue therapy. </w:t>
      </w:r>
    </w:p>
    <w:p w:rsidR="00965749" w:rsidRPr="00CF7113" w:rsidRDefault="00965749" w:rsidP="006359CB">
      <w:pPr>
        <w:spacing w:after="0" w:line="360" w:lineRule="auto"/>
        <w:ind w:firstLineChars="200" w:firstLine="480"/>
        <w:jc w:val="both"/>
        <w:rPr>
          <w:rFonts w:ascii="Book Antiqua" w:hAnsi="Book Antiqua"/>
          <w:sz w:val="24"/>
          <w:szCs w:val="24"/>
        </w:rPr>
      </w:pPr>
      <w:r w:rsidRPr="00CF7113">
        <w:rPr>
          <w:rFonts w:ascii="Book Antiqua" w:hAnsi="Book Antiqua"/>
          <w:sz w:val="24"/>
          <w:szCs w:val="24"/>
        </w:rPr>
        <w:t>A third trial, PROVE 3, evaluated telaprevir-based combination therapy in patients who had prior non-response or relapse with standard peginterferon and ribavirin therapy</w:t>
      </w:r>
      <w:r w:rsidRPr="00CF7113">
        <w:rPr>
          <w:rFonts w:ascii="Book Antiqua" w:hAnsi="Book Antiqua"/>
          <w:sz w:val="24"/>
          <w:szCs w:val="24"/>
          <w:vertAlign w:val="superscript"/>
        </w:rPr>
        <w:t>[12]</w:t>
      </w:r>
      <w:r w:rsidRPr="00CF7113">
        <w:rPr>
          <w:rFonts w:ascii="Book Antiqua" w:hAnsi="Book Antiqua"/>
          <w:sz w:val="24"/>
          <w:szCs w:val="24"/>
        </w:rPr>
        <w:t>.</w:t>
      </w:r>
      <w:r>
        <w:rPr>
          <w:rFonts w:ascii="Book Antiqua" w:hAnsi="Book Antiqua"/>
          <w:sz w:val="24"/>
          <w:szCs w:val="24"/>
        </w:rPr>
        <w:t xml:space="preserve"> </w:t>
      </w:r>
      <w:r w:rsidRPr="00CF7113">
        <w:rPr>
          <w:rFonts w:ascii="Book Antiqua" w:hAnsi="Book Antiqua"/>
          <w:sz w:val="24"/>
          <w:szCs w:val="24"/>
        </w:rPr>
        <w:t>SVRs in patients retreated with telaprevir, interferon and ribavirin for 12 or 24 wk followed by peginterferon and ribavirin alone for up to 24 wk were 51% and 53%, respectively, compared with standard therapy at 14%. However, retreatment with telaprevir and interferon alone for 24 wk followed by peginterferon and ribavirin</w:t>
      </w:r>
      <w:r>
        <w:rPr>
          <w:rFonts w:ascii="Book Antiqua" w:hAnsi="Book Antiqua"/>
          <w:sz w:val="24"/>
          <w:szCs w:val="24"/>
        </w:rPr>
        <w:t xml:space="preserve"> </w:t>
      </w:r>
      <w:r w:rsidRPr="00CF7113">
        <w:rPr>
          <w:rFonts w:ascii="Book Antiqua" w:hAnsi="Book Antiqua"/>
          <w:sz w:val="24"/>
          <w:szCs w:val="24"/>
        </w:rPr>
        <w:t>alone for an additional 24 w</w:t>
      </w:r>
      <w:r w:rsidRPr="00CF7113">
        <w:rPr>
          <w:rFonts w:ascii="Book Antiqua" w:hAnsi="Book Antiqua"/>
          <w:sz w:val="24"/>
          <w:szCs w:val="24"/>
          <w:lang w:eastAsia="zh-CN"/>
        </w:rPr>
        <w:t>k</w:t>
      </w:r>
      <w:r w:rsidRPr="00CF7113">
        <w:rPr>
          <w:rFonts w:ascii="Book Antiqua" w:hAnsi="Book Antiqua"/>
          <w:sz w:val="24"/>
          <w:szCs w:val="24"/>
        </w:rPr>
        <w:t xml:space="preserve"> gave only a 24% SVR rate, again demonstrating the need for ribavirin in initial therapy with telaprevir.</w:t>
      </w:r>
    </w:p>
    <w:p w:rsidR="00965749" w:rsidRPr="00CF7113" w:rsidRDefault="00965749" w:rsidP="006359CB">
      <w:pPr>
        <w:spacing w:after="0" w:line="360" w:lineRule="auto"/>
        <w:ind w:firstLineChars="200" w:firstLine="480"/>
        <w:jc w:val="both"/>
        <w:rPr>
          <w:rFonts w:ascii="Book Antiqua" w:hAnsi="Book Antiqua"/>
          <w:sz w:val="24"/>
          <w:szCs w:val="24"/>
          <w:lang w:eastAsia="zh-CN"/>
        </w:rPr>
      </w:pPr>
      <w:r w:rsidRPr="00CF7113">
        <w:rPr>
          <w:rFonts w:ascii="Book Antiqua" w:hAnsi="Book Antiqua"/>
          <w:sz w:val="24"/>
          <w:szCs w:val="24"/>
        </w:rPr>
        <w:t>Telaprevir has since been evaluated in three large, randomized, controlled trials in both treatment naïve and standard treatment failure patients. The ADVANCE trial enrolled a total of 1095 patients with treatment naïve genotype 1 chronic hepatitis C and compared three treatment arms:</w:t>
      </w:r>
      <w:r>
        <w:rPr>
          <w:rFonts w:ascii="Book Antiqua" w:hAnsi="Book Antiqua"/>
          <w:sz w:val="24"/>
          <w:szCs w:val="24"/>
        </w:rPr>
        <w:t xml:space="preserve"> </w:t>
      </w:r>
      <w:r w:rsidRPr="00CF7113">
        <w:rPr>
          <w:rFonts w:ascii="Book Antiqua" w:hAnsi="Book Antiqua"/>
          <w:sz w:val="24"/>
          <w:szCs w:val="24"/>
        </w:rPr>
        <w:t>telaprevir 750 mg three times daily for 8 wk followed by peginterferon and ribavirin or placebo for an additional 4 wk and then peginterferon and ribavirin in both groups for 12 subsequent weeks (or 36 subsequent weeks in patients who did not have a rapid virologic response (RVR) at 24</w:t>
      </w:r>
      <w:r>
        <w:rPr>
          <w:rFonts w:ascii="Book Antiqua" w:hAnsi="Book Antiqua"/>
          <w:sz w:val="24"/>
          <w:szCs w:val="24"/>
          <w:lang w:eastAsia="zh-CN"/>
        </w:rPr>
        <w:t xml:space="preserve"> </w:t>
      </w:r>
      <w:r w:rsidRPr="00CF7113">
        <w:rPr>
          <w:rFonts w:ascii="Book Antiqua" w:hAnsi="Book Antiqua"/>
          <w:sz w:val="24"/>
          <w:szCs w:val="24"/>
        </w:rPr>
        <w:t>w</w:t>
      </w:r>
      <w:r>
        <w:rPr>
          <w:rFonts w:ascii="Book Antiqua" w:hAnsi="Book Antiqua"/>
          <w:sz w:val="24"/>
          <w:szCs w:val="24"/>
        </w:rPr>
        <w:t>k</w:t>
      </w:r>
      <w:r w:rsidRPr="00CF7113">
        <w:rPr>
          <w:rFonts w:ascii="Book Antiqua" w:hAnsi="Book Antiqua"/>
          <w:sz w:val="24"/>
          <w:szCs w:val="24"/>
        </w:rPr>
        <w:t>);</w:t>
      </w:r>
      <w:r>
        <w:rPr>
          <w:rFonts w:ascii="Book Antiqua" w:hAnsi="Book Antiqua"/>
          <w:sz w:val="24"/>
          <w:szCs w:val="24"/>
        </w:rPr>
        <w:t xml:space="preserve"> </w:t>
      </w:r>
      <w:r w:rsidRPr="00CF7113">
        <w:rPr>
          <w:rFonts w:ascii="Book Antiqua" w:hAnsi="Book Antiqua"/>
          <w:sz w:val="24"/>
          <w:szCs w:val="24"/>
        </w:rPr>
        <w:t>telaprevir 750 mg three times daily for 12 wk followed by peginterferon and ribavirin for 12 subsequent weeks (or 36 subsequent weeks in patients who did not have a rapid virologic response (RVR) at 24</w:t>
      </w:r>
      <w:r w:rsidRPr="00CF7113">
        <w:rPr>
          <w:rFonts w:ascii="Book Antiqua" w:hAnsi="Book Antiqua"/>
          <w:sz w:val="24"/>
          <w:szCs w:val="24"/>
          <w:lang w:eastAsia="zh-CN"/>
        </w:rPr>
        <w:t xml:space="preserve"> </w:t>
      </w:r>
      <w:r w:rsidRPr="00CF7113">
        <w:rPr>
          <w:rFonts w:ascii="Book Antiqua" w:hAnsi="Book Antiqua"/>
          <w:sz w:val="24"/>
          <w:szCs w:val="24"/>
        </w:rPr>
        <w:t>wk);</w:t>
      </w:r>
      <w:r>
        <w:rPr>
          <w:rFonts w:ascii="Book Antiqua" w:hAnsi="Book Antiqua"/>
          <w:sz w:val="24"/>
          <w:szCs w:val="24"/>
        </w:rPr>
        <w:t xml:space="preserve"> </w:t>
      </w:r>
      <w:r w:rsidRPr="00CF7113">
        <w:rPr>
          <w:rFonts w:ascii="Book Antiqua" w:hAnsi="Book Antiqua"/>
          <w:sz w:val="24"/>
          <w:szCs w:val="24"/>
        </w:rPr>
        <w:t>and peginterferon and ribavirin or placebo for 12 wk followed by peginterferon and ribavirin for the subsequent 36 wk.</w:t>
      </w:r>
      <w:r>
        <w:rPr>
          <w:rFonts w:ascii="Book Antiqua" w:hAnsi="Book Antiqua"/>
          <w:sz w:val="24"/>
          <w:szCs w:val="24"/>
        </w:rPr>
        <w:t xml:space="preserve"> </w:t>
      </w:r>
      <w:r w:rsidRPr="00CF7113">
        <w:rPr>
          <w:rFonts w:ascii="Book Antiqua" w:hAnsi="Book Antiqua"/>
          <w:sz w:val="24"/>
          <w:szCs w:val="24"/>
        </w:rPr>
        <w:t>Sustained virologic responses were seen in 72% of the telaprevir 8-wk arm, 79% in the telaprevir 12-w</w:t>
      </w:r>
      <w:r w:rsidRPr="00CF7113">
        <w:rPr>
          <w:rFonts w:ascii="Book Antiqua" w:hAnsi="Book Antiqua"/>
          <w:sz w:val="24"/>
          <w:szCs w:val="24"/>
          <w:lang w:eastAsia="zh-CN"/>
        </w:rPr>
        <w:t>k</w:t>
      </w:r>
      <w:r w:rsidRPr="00CF7113">
        <w:rPr>
          <w:rFonts w:ascii="Book Antiqua" w:hAnsi="Book Antiqua"/>
          <w:sz w:val="24"/>
          <w:szCs w:val="24"/>
        </w:rPr>
        <w:t xml:space="preserve"> arm, but only 46% in the peginterferon and ribavirin or placebo 48-wk group (</w:t>
      </w:r>
      <w:r w:rsidRPr="00CF7113">
        <w:rPr>
          <w:rFonts w:ascii="Book Antiqua" w:hAnsi="Book Antiqua"/>
          <w:i/>
          <w:caps/>
          <w:sz w:val="24"/>
          <w:szCs w:val="24"/>
        </w:rPr>
        <w:t>p</w:t>
      </w:r>
      <w:r w:rsidRPr="00CF7113">
        <w:rPr>
          <w:rFonts w:ascii="Book Antiqua" w:hAnsi="Book Antiqua"/>
          <w:sz w:val="24"/>
          <w:szCs w:val="24"/>
          <w:lang w:eastAsia="zh-CN"/>
        </w:rPr>
        <w:t xml:space="preserve"> </w:t>
      </w:r>
      <w:r w:rsidRPr="00CF7113">
        <w:rPr>
          <w:rFonts w:ascii="Book Antiqua" w:hAnsi="Book Antiqua"/>
          <w:sz w:val="24"/>
          <w:szCs w:val="24"/>
        </w:rPr>
        <w:t>&lt;</w:t>
      </w:r>
      <w:r w:rsidRPr="00CF7113">
        <w:rPr>
          <w:rFonts w:ascii="Book Antiqua" w:hAnsi="Book Antiqua"/>
          <w:sz w:val="24"/>
          <w:szCs w:val="24"/>
          <w:lang w:eastAsia="zh-CN"/>
        </w:rPr>
        <w:t xml:space="preserve"> </w:t>
      </w:r>
      <w:r w:rsidRPr="00CF7113">
        <w:rPr>
          <w:rFonts w:ascii="Book Antiqua" w:hAnsi="Book Antiqua"/>
          <w:sz w:val="24"/>
          <w:szCs w:val="24"/>
        </w:rPr>
        <w:t>0.001)</w:t>
      </w:r>
      <w:r w:rsidRPr="00CF7113">
        <w:rPr>
          <w:rFonts w:ascii="Book Antiqua" w:hAnsi="Book Antiqua"/>
          <w:sz w:val="24"/>
          <w:szCs w:val="24"/>
          <w:vertAlign w:val="superscript"/>
        </w:rPr>
        <w:t>[13]</w:t>
      </w:r>
      <w:r w:rsidRPr="00CF7113">
        <w:rPr>
          <w:rFonts w:ascii="Book Antiqua" w:hAnsi="Book Antiqua"/>
          <w:sz w:val="24"/>
          <w:szCs w:val="24"/>
        </w:rPr>
        <w:t xml:space="preserve">. A 24-wk treatment period appeared sufficient for patients who achieved an early RVR. </w:t>
      </w:r>
    </w:p>
    <w:p w:rsidR="00965749" w:rsidRPr="00CF7113" w:rsidRDefault="00965749" w:rsidP="006359CB">
      <w:pPr>
        <w:spacing w:after="0" w:line="360" w:lineRule="auto"/>
        <w:ind w:firstLineChars="200" w:firstLine="480"/>
        <w:jc w:val="both"/>
        <w:rPr>
          <w:rFonts w:ascii="Book Antiqua" w:hAnsi="Book Antiqua"/>
          <w:sz w:val="24"/>
          <w:szCs w:val="24"/>
        </w:rPr>
      </w:pPr>
      <w:r w:rsidRPr="00CF7113">
        <w:rPr>
          <w:rFonts w:ascii="Book Antiqua" w:hAnsi="Book Antiqua"/>
          <w:sz w:val="24"/>
          <w:szCs w:val="24"/>
        </w:rPr>
        <w:t>The REALIZE trial evaluated telaprevir in 662 patients of which 354 were prior relapsers and 308 were prior non-responders to standard treatment with peginterferon and ribavirin.</w:t>
      </w:r>
      <w:r>
        <w:rPr>
          <w:rFonts w:ascii="Book Antiqua" w:hAnsi="Book Antiqua"/>
          <w:sz w:val="24"/>
          <w:szCs w:val="24"/>
        </w:rPr>
        <w:t xml:space="preserve"> </w:t>
      </w:r>
      <w:r w:rsidRPr="00CF7113">
        <w:rPr>
          <w:rFonts w:ascii="Book Antiqua" w:hAnsi="Book Antiqua"/>
          <w:sz w:val="24"/>
          <w:szCs w:val="24"/>
        </w:rPr>
        <w:t>This study compared telaprevir 750 mg three times daily with peginterferon and ribavirin for 12 w</w:t>
      </w:r>
      <w:r w:rsidRPr="00CF7113">
        <w:rPr>
          <w:rFonts w:ascii="Book Antiqua" w:hAnsi="Book Antiqua"/>
          <w:sz w:val="24"/>
          <w:szCs w:val="24"/>
          <w:lang w:eastAsia="zh-CN"/>
        </w:rPr>
        <w:t>k</w:t>
      </w:r>
      <w:r w:rsidRPr="00CF7113">
        <w:rPr>
          <w:rFonts w:ascii="Book Antiqua" w:hAnsi="Book Antiqua"/>
          <w:sz w:val="24"/>
          <w:szCs w:val="24"/>
        </w:rPr>
        <w:t xml:space="preserve"> followed by peginterferon and ribavirin for an additional 36 w</w:t>
      </w:r>
      <w:r>
        <w:rPr>
          <w:rFonts w:ascii="Book Antiqua" w:hAnsi="Book Antiqua"/>
          <w:sz w:val="24"/>
          <w:szCs w:val="24"/>
        </w:rPr>
        <w:t>k</w:t>
      </w:r>
      <w:r w:rsidRPr="00CF7113">
        <w:rPr>
          <w:rFonts w:ascii="Book Antiqua" w:hAnsi="Book Antiqua"/>
          <w:sz w:val="24"/>
          <w:szCs w:val="24"/>
        </w:rPr>
        <w:t>; peginterferon and ribavirin for 4 weeks followed by telaprevir 750 mg three times daily with peginterferon and ribavirin for an additional 12 w</w:t>
      </w:r>
      <w:r w:rsidRPr="00CF7113">
        <w:rPr>
          <w:rFonts w:ascii="Book Antiqua" w:hAnsi="Book Antiqua"/>
          <w:sz w:val="24"/>
          <w:szCs w:val="24"/>
          <w:lang w:eastAsia="zh-CN"/>
        </w:rPr>
        <w:t>k</w:t>
      </w:r>
      <w:r w:rsidRPr="00CF7113">
        <w:rPr>
          <w:rFonts w:ascii="Book Antiqua" w:hAnsi="Book Antiqua"/>
          <w:sz w:val="24"/>
          <w:szCs w:val="24"/>
        </w:rPr>
        <w:t>, and then peginterferon and ribavirin alone for a subsequent 32 w</w:t>
      </w:r>
      <w:r w:rsidRPr="00CF7113">
        <w:rPr>
          <w:rFonts w:ascii="Book Antiqua" w:hAnsi="Book Antiqua"/>
          <w:sz w:val="24"/>
          <w:szCs w:val="24"/>
          <w:lang w:eastAsia="zh-CN"/>
        </w:rPr>
        <w:t>k</w:t>
      </w:r>
      <w:r w:rsidRPr="00CF7113">
        <w:rPr>
          <w:rFonts w:ascii="Book Antiqua" w:hAnsi="Book Antiqua"/>
          <w:sz w:val="24"/>
          <w:szCs w:val="24"/>
        </w:rPr>
        <w:t>; or standard therapy with peginterferon and ribavirin for a full 48 w</w:t>
      </w:r>
      <w:r w:rsidRPr="00CF7113">
        <w:rPr>
          <w:rFonts w:ascii="Book Antiqua" w:hAnsi="Book Antiqua"/>
          <w:sz w:val="24"/>
          <w:szCs w:val="24"/>
          <w:lang w:eastAsia="zh-CN"/>
        </w:rPr>
        <w:t xml:space="preserve"> k</w:t>
      </w:r>
      <w:r w:rsidRPr="00CF7113">
        <w:rPr>
          <w:rFonts w:ascii="Book Antiqua" w:hAnsi="Book Antiqua"/>
          <w:sz w:val="24"/>
          <w:szCs w:val="24"/>
        </w:rPr>
        <w:t>course. In patients who had previously relapsed, SVR rates were 84</w:t>
      </w:r>
      <w:r w:rsidRPr="00CF7113">
        <w:rPr>
          <w:rFonts w:ascii="Book Antiqua" w:hAnsi="Book Antiqua"/>
          <w:sz w:val="24"/>
          <w:szCs w:val="24"/>
          <w:lang w:eastAsia="zh-CN"/>
        </w:rPr>
        <w:t>%</w:t>
      </w:r>
      <w:r w:rsidRPr="00CF7113">
        <w:rPr>
          <w:rFonts w:ascii="Book Antiqua" w:hAnsi="Book Antiqua"/>
          <w:sz w:val="24"/>
          <w:szCs w:val="24"/>
        </w:rPr>
        <w:t>-88% in the telaprevir groups compared with only 22% in the placebo or peginterferon and ribavirin standard therapy groups</w:t>
      </w:r>
      <w:r w:rsidRPr="00CF7113">
        <w:rPr>
          <w:rFonts w:ascii="Book Antiqua" w:hAnsi="Book Antiqua"/>
          <w:sz w:val="24"/>
          <w:szCs w:val="24"/>
          <w:vertAlign w:val="superscript"/>
        </w:rPr>
        <w:t>[14]</w:t>
      </w:r>
      <w:r w:rsidRPr="00CF7113">
        <w:rPr>
          <w:rFonts w:ascii="Book Antiqua" w:hAnsi="Book Antiqua"/>
          <w:sz w:val="24"/>
          <w:szCs w:val="24"/>
        </w:rPr>
        <w:t>. In patients who had previously partially responded to standard therapy, SVR rates were 56</w:t>
      </w:r>
      <w:r w:rsidRPr="00CF7113">
        <w:rPr>
          <w:rFonts w:ascii="Book Antiqua" w:hAnsi="Book Antiqua"/>
          <w:sz w:val="24"/>
          <w:szCs w:val="24"/>
          <w:lang w:eastAsia="zh-CN"/>
        </w:rPr>
        <w:t>%</w:t>
      </w:r>
      <w:r w:rsidRPr="00CF7113">
        <w:rPr>
          <w:rFonts w:ascii="Book Antiqua" w:hAnsi="Book Antiqua"/>
          <w:sz w:val="24"/>
          <w:szCs w:val="24"/>
        </w:rPr>
        <w:t>-61% in telaprevir treated patients compared with 15% in placebo or peginterferon and ribavirin treated patients.</w:t>
      </w:r>
      <w:r>
        <w:rPr>
          <w:rFonts w:ascii="Book Antiqua" w:hAnsi="Book Antiqua"/>
          <w:sz w:val="24"/>
          <w:szCs w:val="24"/>
        </w:rPr>
        <w:t xml:space="preserve"> </w:t>
      </w:r>
      <w:r w:rsidRPr="00CF7113">
        <w:rPr>
          <w:rFonts w:ascii="Book Antiqua" w:hAnsi="Book Antiqua"/>
          <w:sz w:val="24"/>
          <w:szCs w:val="24"/>
        </w:rPr>
        <w:t>Previous nonresponders to standard therapy achieved SVRs of 31</w:t>
      </w:r>
      <w:r w:rsidRPr="00CF7113">
        <w:rPr>
          <w:rFonts w:ascii="Book Antiqua" w:hAnsi="Book Antiqua"/>
          <w:sz w:val="24"/>
          <w:szCs w:val="24"/>
          <w:lang w:eastAsia="zh-CN"/>
        </w:rPr>
        <w:t>%</w:t>
      </w:r>
      <w:r w:rsidRPr="00CF7113">
        <w:rPr>
          <w:rFonts w:ascii="Book Antiqua" w:hAnsi="Book Antiqua"/>
          <w:sz w:val="24"/>
          <w:szCs w:val="24"/>
        </w:rPr>
        <w:t>-33% with telaprevir compared with only 5% with placebo or peginterferon and ribavirin standard therapy. The 4 wk lead-in exposure to interferon and ribavirin did not produce substantially different results than starting simultaneously with telaprevir.</w:t>
      </w:r>
      <w:r>
        <w:rPr>
          <w:rFonts w:ascii="Book Antiqua" w:hAnsi="Book Antiqua"/>
          <w:sz w:val="24"/>
          <w:szCs w:val="24"/>
        </w:rPr>
        <w:t xml:space="preserve"> </w:t>
      </w:r>
      <w:r w:rsidRPr="00CF7113">
        <w:rPr>
          <w:rFonts w:ascii="Book Antiqua" w:hAnsi="Book Antiqua"/>
          <w:sz w:val="24"/>
          <w:szCs w:val="24"/>
        </w:rPr>
        <w:t>Patients with on-treatment virologic failure were fewer in telaprevir groups and relapse rates were lower than the control subjects for prior relapsers and prior non-responders.</w:t>
      </w:r>
    </w:p>
    <w:p w:rsidR="00965749" w:rsidRPr="00CF7113" w:rsidRDefault="00965749" w:rsidP="006359CB">
      <w:pPr>
        <w:spacing w:after="0" w:line="360" w:lineRule="auto"/>
        <w:ind w:firstLineChars="200" w:firstLine="480"/>
        <w:jc w:val="both"/>
        <w:rPr>
          <w:rFonts w:ascii="Book Antiqua" w:hAnsi="Book Antiqua"/>
          <w:sz w:val="24"/>
          <w:szCs w:val="24"/>
        </w:rPr>
      </w:pPr>
      <w:r w:rsidRPr="00CF7113">
        <w:rPr>
          <w:rFonts w:ascii="Book Antiqua" w:hAnsi="Book Antiqua"/>
          <w:sz w:val="24"/>
          <w:szCs w:val="24"/>
        </w:rPr>
        <w:t>A third phase III clinical trial, ILLUMINATE, evaluated the efficacy of telaprevir therapy for 12 w</w:t>
      </w:r>
      <w:r>
        <w:rPr>
          <w:rFonts w:ascii="Book Antiqua" w:hAnsi="Book Antiqua"/>
          <w:sz w:val="24"/>
          <w:szCs w:val="24"/>
        </w:rPr>
        <w:t>k</w:t>
      </w:r>
      <w:r w:rsidRPr="00CF7113">
        <w:rPr>
          <w:rFonts w:ascii="Book Antiqua" w:hAnsi="Book Antiqua"/>
          <w:sz w:val="24"/>
          <w:szCs w:val="24"/>
        </w:rPr>
        <w:t xml:space="preserve"> with either 24 or 48 w</w:t>
      </w:r>
      <w:r>
        <w:rPr>
          <w:rFonts w:ascii="Book Antiqua" w:hAnsi="Book Antiqua"/>
          <w:sz w:val="24"/>
          <w:szCs w:val="24"/>
        </w:rPr>
        <w:t>k</w:t>
      </w:r>
      <w:r w:rsidRPr="00CF7113">
        <w:rPr>
          <w:rFonts w:ascii="Book Antiqua" w:hAnsi="Book Antiqua"/>
          <w:sz w:val="24"/>
          <w:szCs w:val="24"/>
        </w:rPr>
        <w:t xml:space="preserve"> of peginterferon and ribavirin based upon an achievement of extended rapid viral response (eRVR) at 24 w</w:t>
      </w:r>
      <w:r>
        <w:rPr>
          <w:rFonts w:ascii="Book Antiqua" w:hAnsi="Book Antiqua"/>
          <w:sz w:val="24"/>
          <w:szCs w:val="24"/>
        </w:rPr>
        <w:t>k</w:t>
      </w:r>
      <w:r w:rsidRPr="00CF7113">
        <w:rPr>
          <w:rFonts w:ascii="Book Antiqua" w:hAnsi="Book Antiqua"/>
          <w:sz w:val="24"/>
          <w:szCs w:val="24"/>
        </w:rPr>
        <w:t>.</w:t>
      </w:r>
      <w:r>
        <w:rPr>
          <w:rFonts w:ascii="Book Antiqua" w:hAnsi="Book Antiqua"/>
          <w:sz w:val="24"/>
          <w:szCs w:val="24"/>
        </w:rPr>
        <w:t xml:space="preserve"> </w:t>
      </w:r>
      <w:r w:rsidRPr="00CF7113">
        <w:rPr>
          <w:rFonts w:ascii="Book Antiqua" w:hAnsi="Book Antiqua"/>
          <w:sz w:val="24"/>
          <w:szCs w:val="24"/>
        </w:rPr>
        <w:t>Treatment naïve patients with genotype I chronic hepatitis C were given telaprevir 750 mg three times daily for 12 w</w:t>
      </w:r>
      <w:r>
        <w:rPr>
          <w:rFonts w:ascii="Book Antiqua" w:hAnsi="Book Antiqua"/>
          <w:sz w:val="24"/>
          <w:szCs w:val="24"/>
        </w:rPr>
        <w:t>k</w:t>
      </w:r>
      <w:r w:rsidRPr="00CF7113">
        <w:rPr>
          <w:rFonts w:ascii="Book Antiqua" w:hAnsi="Book Antiqua"/>
          <w:sz w:val="24"/>
          <w:szCs w:val="24"/>
        </w:rPr>
        <w:t xml:space="preserve"> with peginterferon and ribavirin for at least 24 w</w:t>
      </w:r>
      <w:r>
        <w:rPr>
          <w:rFonts w:ascii="Book Antiqua" w:hAnsi="Book Antiqua"/>
          <w:sz w:val="24"/>
          <w:szCs w:val="24"/>
        </w:rPr>
        <w:t>k</w:t>
      </w:r>
      <w:r w:rsidRPr="00CF7113">
        <w:rPr>
          <w:rFonts w:ascii="Book Antiqua" w:hAnsi="Book Antiqua"/>
          <w:sz w:val="24"/>
          <w:szCs w:val="24"/>
        </w:rPr>
        <w:t>.</w:t>
      </w:r>
      <w:r>
        <w:rPr>
          <w:rFonts w:ascii="Book Antiqua" w:hAnsi="Book Antiqua"/>
          <w:sz w:val="24"/>
          <w:szCs w:val="24"/>
        </w:rPr>
        <w:t xml:space="preserve"> </w:t>
      </w:r>
      <w:r w:rsidRPr="00CF7113">
        <w:rPr>
          <w:rFonts w:ascii="Book Antiqua" w:hAnsi="Book Antiqua"/>
          <w:sz w:val="24"/>
          <w:szCs w:val="24"/>
        </w:rPr>
        <w:t>Patients who achieved an extended rapid virologic response as evidenced by undetectable HCV RNA levels at weeks 4 and 12 were randomized to either stop treatment at week 24 or continue peginterferon and ribavirin therapy for a full 48 weeks.</w:t>
      </w:r>
      <w:r>
        <w:rPr>
          <w:rFonts w:ascii="Book Antiqua" w:hAnsi="Book Antiqua"/>
          <w:sz w:val="24"/>
          <w:szCs w:val="24"/>
        </w:rPr>
        <w:t xml:space="preserve"> </w:t>
      </w:r>
      <w:r w:rsidRPr="00CF7113">
        <w:rPr>
          <w:rFonts w:ascii="Book Antiqua" w:hAnsi="Book Antiqua"/>
          <w:sz w:val="24"/>
          <w:szCs w:val="24"/>
        </w:rPr>
        <w:t>Patients who did not achieve an eRVR continued peginterferon and ribavirin therapy for the full 48 weeks as well.</w:t>
      </w:r>
      <w:r>
        <w:rPr>
          <w:rFonts w:ascii="Book Antiqua" w:hAnsi="Book Antiqua"/>
          <w:sz w:val="24"/>
          <w:szCs w:val="24"/>
        </w:rPr>
        <w:t xml:space="preserve"> </w:t>
      </w:r>
      <w:r w:rsidRPr="00CF7113">
        <w:rPr>
          <w:rFonts w:ascii="Book Antiqua" w:hAnsi="Book Antiqua"/>
          <w:sz w:val="24"/>
          <w:szCs w:val="24"/>
        </w:rPr>
        <w:t>Sustained virologic responses were at least 90% in both groups and total treatment for 24 w</w:t>
      </w:r>
      <w:r>
        <w:rPr>
          <w:rFonts w:ascii="Book Antiqua" w:hAnsi="Book Antiqua"/>
          <w:sz w:val="24"/>
          <w:szCs w:val="24"/>
        </w:rPr>
        <w:t>k</w:t>
      </w:r>
      <w:r w:rsidRPr="00CF7113">
        <w:rPr>
          <w:rFonts w:ascii="Book Antiqua" w:hAnsi="Book Antiqua"/>
          <w:sz w:val="24"/>
          <w:szCs w:val="24"/>
        </w:rPr>
        <w:t xml:space="preserve"> was non-inferior to 48 w</w:t>
      </w:r>
      <w:r>
        <w:rPr>
          <w:rFonts w:ascii="Book Antiqua" w:hAnsi="Book Antiqua"/>
          <w:sz w:val="24"/>
          <w:szCs w:val="24"/>
        </w:rPr>
        <w:t>k</w:t>
      </w:r>
      <w:r w:rsidRPr="00CF7113">
        <w:rPr>
          <w:rFonts w:ascii="Book Antiqua" w:hAnsi="Book Antiqua"/>
          <w:sz w:val="24"/>
          <w:szCs w:val="24"/>
        </w:rPr>
        <w:t xml:space="preserve"> for those achieving an extended rapid virologic response.</w:t>
      </w:r>
      <w:r>
        <w:rPr>
          <w:rFonts w:ascii="Book Antiqua" w:hAnsi="Book Antiqua"/>
          <w:sz w:val="24"/>
          <w:szCs w:val="24"/>
        </w:rPr>
        <w:t xml:space="preserve"> </w:t>
      </w:r>
      <w:r w:rsidRPr="00CF7113">
        <w:rPr>
          <w:rFonts w:ascii="Book Antiqua" w:hAnsi="Book Antiqua"/>
          <w:sz w:val="24"/>
          <w:szCs w:val="24"/>
        </w:rPr>
        <w:t>The SVR rate was &gt;</w:t>
      </w:r>
      <w:r>
        <w:rPr>
          <w:rFonts w:ascii="Book Antiqua" w:hAnsi="Book Antiqua"/>
          <w:sz w:val="24"/>
          <w:szCs w:val="24"/>
          <w:lang w:eastAsia="zh-CN"/>
        </w:rPr>
        <w:t xml:space="preserve"> </w:t>
      </w:r>
      <w:r w:rsidRPr="00CF7113">
        <w:rPr>
          <w:rFonts w:ascii="Book Antiqua" w:hAnsi="Book Antiqua"/>
          <w:sz w:val="24"/>
          <w:szCs w:val="24"/>
        </w:rPr>
        <w:t>70% for all groups, compared with historical standards of 46</w:t>
      </w:r>
      <w:r w:rsidRPr="00CF7113">
        <w:rPr>
          <w:rFonts w:ascii="Book Antiqua" w:hAnsi="Book Antiqua"/>
          <w:sz w:val="24"/>
          <w:szCs w:val="24"/>
          <w:lang w:eastAsia="zh-CN"/>
        </w:rPr>
        <w:t>%</w:t>
      </w:r>
      <w:r w:rsidRPr="00CF7113">
        <w:rPr>
          <w:rFonts w:ascii="Book Antiqua" w:hAnsi="Book Antiqua"/>
          <w:sz w:val="24"/>
          <w:szCs w:val="24"/>
        </w:rPr>
        <w:t>-52%, and this study population included patients with historically lower SVRs with standard therapy.</w:t>
      </w:r>
      <w:r>
        <w:rPr>
          <w:rFonts w:ascii="Book Antiqua" w:hAnsi="Book Antiqua"/>
          <w:sz w:val="24"/>
          <w:szCs w:val="24"/>
        </w:rPr>
        <w:t xml:space="preserve"> </w:t>
      </w:r>
      <w:r w:rsidRPr="00CF7113">
        <w:rPr>
          <w:rFonts w:ascii="Book Antiqua" w:hAnsi="Book Antiqua"/>
          <w:sz w:val="24"/>
          <w:szCs w:val="24"/>
        </w:rPr>
        <w:t>In addition, the relapse rate was low for both eRVR+ and eRVR- patients at an overall rate of 9.2%</w:t>
      </w:r>
      <w:r w:rsidRPr="00CF7113">
        <w:rPr>
          <w:rFonts w:ascii="Book Antiqua" w:hAnsi="Book Antiqua"/>
          <w:sz w:val="24"/>
          <w:szCs w:val="24"/>
          <w:vertAlign w:val="superscript"/>
        </w:rPr>
        <w:t>[15]</w:t>
      </w:r>
      <w:r w:rsidRPr="00CF7113">
        <w:rPr>
          <w:rFonts w:ascii="Book Antiqua" w:hAnsi="Book Antiqua"/>
          <w:sz w:val="24"/>
          <w:szCs w:val="24"/>
        </w:rPr>
        <w:t xml:space="preserve">. </w:t>
      </w:r>
    </w:p>
    <w:p w:rsidR="00965749" w:rsidRPr="00CF7113" w:rsidRDefault="00965749" w:rsidP="006359CB">
      <w:pPr>
        <w:spacing w:after="0" w:line="360" w:lineRule="auto"/>
        <w:ind w:firstLineChars="200" w:firstLine="480"/>
        <w:jc w:val="both"/>
        <w:rPr>
          <w:rFonts w:ascii="Book Antiqua" w:hAnsi="Book Antiqua"/>
          <w:sz w:val="24"/>
          <w:szCs w:val="24"/>
        </w:rPr>
      </w:pPr>
      <w:r w:rsidRPr="00CF7113">
        <w:rPr>
          <w:rFonts w:ascii="Book Antiqua" w:hAnsi="Book Antiqua"/>
          <w:sz w:val="24"/>
          <w:szCs w:val="24"/>
        </w:rPr>
        <w:t>The safety profile of telaprevir was evaluated in a pooled analysis of adverse events reported in all five phase II and III placebo-controlled trials</w:t>
      </w:r>
      <w:r w:rsidRPr="00CF7113">
        <w:rPr>
          <w:rFonts w:ascii="Book Antiqua" w:hAnsi="Book Antiqua"/>
          <w:sz w:val="24"/>
          <w:szCs w:val="24"/>
          <w:vertAlign w:val="superscript"/>
        </w:rPr>
        <w:t>[16]</w:t>
      </w:r>
      <w:r w:rsidRPr="00CF7113">
        <w:rPr>
          <w:rFonts w:ascii="Book Antiqua" w:hAnsi="Book Antiqua"/>
          <w:sz w:val="24"/>
          <w:szCs w:val="24"/>
        </w:rPr>
        <w:t>.</w:t>
      </w:r>
      <w:r>
        <w:rPr>
          <w:rFonts w:ascii="Book Antiqua" w:hAnsi="Book Antiqua"/>
          <w:sz w:val="24"/>
          <w:szCs w:val="24"/>
        </w:rPr>
        <w:t xml:space="preserve"> </w:t>
      </w:r>
      <w:r w:rsidRPr="00CF7113">
        <w:rPr>
          <w:rFonts w:ascii="Book Antiqua" w:hAnsi="Book Antiqua"/>
          <w:sz w:val="24"/>
          <w:szCs w:val="24"/>
        </w:rPr>
        <w:t>During these trials, 2012 patients received at least one dose of telaprevir and 1346 patients were randomized to receive telaprevir 750 mg three times daily for 12 w</w:t>
      </w:r>
      <w:r>
        <w:rPr>
          <w:rFonts w:ascii="Book Antiqua" w:hAnsi="Book Antiqua"/>
          <w:sz w:val="24"/>
          <w:szCs w:val="24"/>
        </w:rPr>
        <w:t>k</w:t>
      </w:r>
      <w:r w:rsidRPr="00CF7113">
        <w:rPr>
          <w:rFonts w:ascii="Book Antiqua" w:hAnsi="Book Antiqua"/>
          <w:sz w:val="24"/>
          <w:szCs w:val="24"/>
        </w:rPr>
        <w:t xml:space="preserve"> with peginterferon and ribavirin for 24-48 w</w:t>
      </w:r>
      <w:r>
        <w:rPr>
          <w:rFonts w:ascii="Book Antiqua" w:hAnsi="Book Antiqua"/>
          <w:sz w:val="24"/>
          <w:szCs w:val="24"/>
        </w:rPr>
        <w:t>k</w:t>
      </w:r>
      <w:r w:rsidRPr="00CF7113">
        <w:rPr>
          <w:rFonts w:ascii="Book Antiqua" w:hAnsi="Book Antiqua"/>
          <w:sz w:val="24"/>
          <w:szCs w:val="24"/>
        </w:rPr>
        <w:t xml:space="preserve"> and 764 patients were randomized to receive placebo with peginterferon and ribavirin.</w:t>
      </w:r>
      <w:r>
        <w:rPr>
          <w:rFonts w:ascii="Book Antiqua" w:hAnsi="Book Antiqua"/>
          <w:sz w:val="24"/>
          <w:szCs w:val="24"/>
        </w:rPr>
        <w:t xml:space="preserve"> </w:t>
      </w:r>
      <w:r w:rsidRPr="00CF7113">
        <w:rPr>
          <w:rFonts w:ascii="Book Antiqua" w:hAnsi="Book Antiqua"/>
          <w:sz w:val="24"/>
          <w:szCs w:val="24"/>
        </w:rPr>
        <w:t>A total of 73% of telaprevir-treated patients and 49.1% of placebo-treated patients completed the full duration of therapy.</w:t>
      </w:r>
      <w:r>
        <w:rPr>
          <w:rFonts w:ascii="Book Antiqua" w:hAnsi="Book Antiqua"/>
          <w:sz w:val="24"/>
          <w:szCs w:val="24"/>
        </w:rPr>
        <w:t xml:space="preserve"> </w:t>
      </w:r>
      <w:r w:rsidRPr="00CF7113">
        <w:rPr>
          <w:rFonts w:ascii="Book Antiqua" w:hAnsi="Book Antiqua"/>
          <w:sz w:val="24"/>
          <w:szCs w:val="24"/>
        </w:rPr>
        <w:t>The most frequently occurring adverse events in the telaprevir group (&gt;</w:t>
      </w:r>
      <w:r>
        <w:rPr>
          <w:rFonts w:ascii="Book Antiqua" w:hAnsi="Book Antiqua"/>
          <w:sz w:val="24"/>
          <w:szCs w:val="24"/>
          <w:lang w:eastAsia="zh-CN"/>
        </w:rPr>
        <w:t xml:space="preserve"> </w:t>
      </w:r>
      <w:r w:rsidRPr="00CF7113">
        <w:rPr>
          <w:rFonts w:ascii="Book Antiqua" w:hAnsi="Book Antiqua"/>
          <w:sz w:val="24"/>
          <w:szCs w:val="24"/>
        </w:rPr>
        <w:t>20%) included pruritus, nausea, rash, anemia, and diarrhea.</w:t>
      </w:r>
      <w:r>
        <w:rPr>
          <w:rFonts w:ascii="Book Antiqua" w:hAnsi="Book Antiqua"/>
          <w:sz w:val="24"/>
          <w:szCs w:val="24"/>
        </w:rPr>
        <w:t xml:space="preserve"> </w:t>
      </w:r>
      <w:r w:rsidRPr="00CF7113">
        <w:rPr>
          <w:rFonts w:ascii="Book Antiqua" w:hAnsi="Book Antiqua"/>
          <w:sz w:val="24"/>
          <w:szCs w:val="24"/>
        </w:rPr>
        <w:t>Hemorrhoids, anorectal discomfort, anal pruritus, dysgeusia, and generalized pruritus occurred less frequently.</w:t>
      </w:r>
      <w:r>
        <w:rPr>
          <w:rFonts w:ascii="Book Antiqua" w:hAnsi="Book Antiqua"/>
          <w:sz w:val="24"/>
          <w:szCs w:val="24"/>
        </w:rPr>
        <w:t xml:space="preserve"> </w:t>
      </w:r>
      <w:r w:rsidRPr="00CF7113">
        <w:rPr>
          <w:rFonts w:ascii="Book Antiqua" w:hAnsi="Book Antiqua"/>
          <w:sz w:val="24"/>
          <w:szCs w:val="24"/>
        </w:rPr>
        <w:t>Anemia caused discontinuation of participation in 2.7% of telaprevir treated patients and 0.5% of placebo treated patients.</w:t>
      </w:r>
      <w:r>
        <w:rPr>
          <w:rFonts w:ascii="Book Antiqua" w:hAnsi="Book Antiqua"/>
          <w:sz w:val="24"/>
          <w:szCs w:val="24"/>
        </w:rPr>
        <w:t xml:space="preserve"> </w:t>
      </w:r>
      <w:r w:rsidRPr="00CF7113">
        <w:rPr>
          <w:rFonts w:ascii="Book Antiqua" w:hAnsi="Book Antiqua"/>
          <w:sz w:val="24"/>
          <w:szCs w:val="24"/>
        </w:rPr>
        <w:t>Hemoglobin concentrations decreased rapidly over the first four weeks of treatment in both groups, but continued to decrease to a greater extent thereafter in telaprevir treated patients.</w:t>
      </w:r>
      <w:r>
        <w:rPr>
          <w:rFonts w:ascii="Book Antiqua" w:hAnsi="Book Antiqua"/>
          <w:sz w:val="24"/>
          <w:szCs w:val="24"/>
        </w:rPr>
        <w:t xml:space="preserve"> </w:t>
      </w:r>
      <w:r w:rsidRPr="00CF7113">
        <w:rPr>
          <w:rFonts w:ascii="Book Antiqua" w:hAnsi="Book Antiqua"/>
          <w:sz w:val="24"/>
          <w:szCs w:val="24"/>
        </w:rPr>
        <w:t>The initial onset of rash occurred at any time following treatment with telaprevir, but most commonly occurred within the first four weeks.</w:t>
      </w:r>
      <w:r>
        <w:rPr>
          <w:rFonts w:ascii="Book Antiqua" w:hAnsi="Book Antiqua"/>
          <w:sz w:val="24"/>
          <w:szCs w:val="24"/>
        </w:rPr>
        <w:t xml:space="preserve"> </w:t>
      </w:r>
      <w:r w:rsidRPr="00CF7113">
        <w:rPr>
          <w:rFonts w:ascii="Book Antiqua" w:hAnsi="Book Antiqua"/>
          <w:sz w:val="24"/>
          <w:szCs w:val="24"/>
        </w:rPr>
        <w:t>Progression of severity was reported for &lt;</w:t>
      </w:r>
      <w:r>
        <w:rPr>
          <w:rFonts w:ascii="Book Antiqua" w:hAnsi="Book Antiqua"/>
          <w:sz w:val="24"/>
          <w:szCs w:val="24"/>
          <w:lang w:eastAsia="zh-CN"/>
        </w:rPr>
        <w:t xml:space="preserve"> </w:t>
      </w:r>
      <w:r w:rsidRPr="00CF7113">
        <w:rPr>
          <w:rFonts w:ascii="Book Antiqua" w:hAnsi="Book Antiqua"/>
          <w:sz w:val="24"/>
          <w:szCs w:val="24"/>
        </w:rPr>
        <w:t>10% of cases, and many cases of rash resolved over the first 24 w</w:t>
      </w:r>
      <w:r>
        <w:rPr>
          <w:rFonts w:ascii="Book Antiqua" w:hAnsi="Book Antiqua"/>
          <w:sz w:val="24"/>
          <w:szCs w:val="24"/>
        </w:rPr>
        <w:t>k</w:t>
      </w:r>
      <w:r w:rsidRPr="00CF7113">
        <w:rPr>
          <w:rFonts w:ascii="Book Antiqua" w:hAnsi="Book Antiqua"/>
          <w:sz w:val="24"/>
          <w:szCs w:val="24"/>
        </w:rPr>
        <w:t xml:space="preserve"> of therapy.</w:t>
      </w:r>
      <w:r>
        <w:rPr>
          <w:rFonts w:ascii="Book Antiqua" w:hAnsi="Book Antiqua"/>
          <w:sz w:val="24"/>
          <w:szCs w:val="24"/>
        </w:rPr>
        <w:t xml:space="preserve"> </w:t>
      </w:r>
      <w:r w:rsidRPr="00CF7113">
        <w:rPr>
          <w:rFonts w:ascii="Book Antiqua" w:hAnsi="Book Antiqua"/>
          <w:sz w:val="24"/>
          <w:szCs w:val="24"/>
        </w:rPr>
        <w:t>A Dermatology Expert Panel reviewed the rashes and determined that the visual appearance of rash in telaprevir-treated patients was virtually indistinguishable from that seen in peginterferon and ribavirin-treated patients.</w:t>
      </w:r>
      <w:r>
        <w:rPr>
          <w:rFonts w:ascii="Book Antiqua" w:hAnsi="Book Antiqua"/>
          <w:sz w:val="24"/>
          <w:szCs w:val="24"/>
        </w:rPr>
        <w:t xml:space="preserve"> </w:t>
      </w:r>
      <w:r w:rsidRPr="00CF7113">
        <w:rPr>
          <w:rFonts w:ascii="Book Antiqua" w:hAnsi="Book Antiqua"/>
          <w:sz w:val="24"/>
          <w:szCs w:val="24"/>
        </w:rPr>
        <w:t>One case of rash was suggestive of Stevens-Johnson syndrome, but it was not thought to be drug related as it occurred 11 w</w:t>
      </w:r>
      <w:r>
        <w:rPr>
          <w:rFonts w:ascii="Book Antiqua" w:hAnsi="Book Antiqua"/>
          <w:sz w:val="24"/>
          <w:szCs w:val="24"/>
        </w:rPr>
        <w:t>k</w:t>
      </w:r>
      <w:r w:rsidRPr="00CF7113">
        <w:rPr>
          <w:rFonts w:ascii="Book Antiqua" w:hAnsi="Book Antiqua"/>
          <w:sz w:val="24"/>
          <w:szCs w:val="24"/>
        </w:rPr>
        <w:t xml:space="preserve"> after the last dose of telaprevir.</w:t>
      </w:r>
    </w:p>
    <w:p w:rsidR="00965749" w:rsidRPr="00CF7113" w:rsidRDefault="00965749" w:rsidP="006359CB">
      <w:pPr>
        <w:spacing w:after="0" w:line="360" w:lineRule="auto"/>
        <w:jc w:val="both"/>
        <w:rPr>
          <w:rFonts w:ascii="Book Antiqua" w:hAnsi="Book Antiqua"/>
          <w:i/>
          <w:sz w:val="24"/>
          <w:szCs w:val="24"/>
          <w:lang w:eastAsia="zh-CN"/>
        </w:rPr>
      </w:pPr>
    </w:p>
    <w:p w:rsidR="00965749" w:rsidRPr="00CF7113" w:rsidRDefault="00965749" w:rsidP="006359CB">
      <w:pPr>
        <w:spacing w:after="0" w:line="360" w:lineRule="auto"/>
        <w:jc w:val="both"/>
        <w:rPr>
          <w:rFonts w:ascii="Book Antiqua" w:hAnsi="Book Antiqua"/>
          <w:b/>
          <w:sz w:val="24"/>
          <w:szCs w:val="24"/>
        </w:rPr>
      </w:pPr>
      <w:r w:rsidRPr="00CF7113">
        <w:rPr>
          <w:rFonts w:ascii="Book Antiqua" w:hAnsi="Book Antiqua"/>
          <w:b/>
          <w:i/>
          <w:sz w:val="24"/>
          <w:szCs w:val="24"/>
        </w:rPr>
        <w:t>Boceprevir</w:t>
      </w:r>
    </w:p>
    <w:p w:rsidR="00965749" w:rsidRPr="00CF7113" w:rsidRDefault="00965749" w:rsidP="006359CB">
      <w:pPr>
        <w:spacing w:after="0" w:line="360" w:lineRule="auto"/>
        <w:jc w:val="both"/>
        <w:rPr>
          <w:rFonts w:ascii="Book Antiqua" w:hAnsi="Book Antiqua"/>
          <w:sz w:val="24"/>
          <w:szCs w:val="24"/>
        </w:rPr>
      </w:pPr>
      <w:r w:rsidRPr="00CF7113">
        <w:rPr>
          <w:rFonts w:ascii="Book Antiqua" w:hAnsi="Book Antiqua"/>
          <w:sz w:val="24"/>
          <w:szCs w:val="24"/>
        </w:rPr>
        <w:t xml:space="preserve">Boceprevir is another orally bioavailable NS3 protease inhibitor of the </w:t>
      </w:r>
      <w:r w:rsidRPr="00CF7113">
        <w:rPr>
          <w:rFonts w:ascii="Book Antiqua" w:hAnsi="Book Antiqua" w:cs="Calibri"/>
          <w:sz w:val="24"/>
          <w:szCs w:val="24"/>
        </w:rPr>
        <w:t>α</w:t>
      </w:r>
      <w:r w:rsidRPr="00CF7113">
        <w:rPr>
          <w:rFonts w:ascii="Book Antiqua" w:hAnsi="Book Antiqua"/>
          <w:sz w:val="24"/>
          <w:szCs w:val="24"/>
        </w:rPr>
        <w:t>-ketoamid class that binds the enzyme in a covalent but reversible manner.</w:t>
      </w:r>
      <w:r>
        <w:rPr>
          <w:rFonts w:ascii="Book Antiqua" w:hAnsi="Book Antiqua"/>
          <w:sz w:val="24"/>
          <w:szCs w:val="24"/>
        </w:rPr>
        <w:t xml:space="preserve"> </w:t>
      </w:r>
      <w:r w:rsidRPr="00CF7113">
        <w:rPr>
          <w:rFonts w:ascii="Book Antiqua" w:hAnsi="Book Antiqua"/>
          <w:sz w:val="24"/>
          <w:szCs w:val="24"/>
        </w:rPr>
        <w:t xml:space="preserve">In an </w:t>
      </w:r>
      <w:r>
        <w:rPr>
          <w:rFonts w:ascii="Book Antiqua" w:hAnsi="Book Antiqua"/>
          <w:sz w:val="24"/>
          <w:szCs w:val="24"/>
        </w:rPr>
        <w:t>early dose ranging trial of 100–</w:t>
      </w:r>
      <w:r w:rsidRPr="00CF7113">
        <w:rPr>
          <w:rFonts w:ascii="Book Antiqua" w:hAnsi="Book Antiqua"/>
          <w:sz w:val="24"/>
          <w:szCs w:val="24"/>
        </w:rPr>
        <w:t>400 mg daily for 14 d as monotherapy in genotype I patients with prior treatment failure on standard therapy, the maximum dose achieved a 2.06 log</w:t>
      </w:r>
      <w:r w:rsidRPr="00CF7113">
        <w:rPr>
          <w:rFonts w:ascii="Book Antiqua" w:hAnsi="Book Antiqua"/>
          <w:sz w:val="24"/>
          <w:szCs w:val="24"/>
          <w:vertAlign w:val="subscript"/>
        </w:rPr>
        <w:t>10</w:t>
      </w:r>
      <w:r w:rsidRPr="00CF7113">
        <w:rPr>
          <w:rFonts w:ascii="Book Antiqua" w:hAnsi="Book Antiqua"/>
          <w:sz w:val="24"/>
          <w:szCs w:val="24"/>
        </w:rPr>
        <w:t xml:space="preserve"> reduction in HCV RNA load and was well tolerated.</w:t>
      </w:r>
      <w:r>
        <w:rPr>
          <w:rFonts w:ascii="Book Antiqua" w:hAnsi="Book Antiqua"/>
          <w:sz w:val="24"/>
          <w:szCs w:val="24"/>
        </w:rPr>
        <w:t xml:space="preserve"> </w:t>
      </w:r>
      <w:r w:rsidRPr="00CF7113">
        <w:rPr>
          <w:rFonts w:ascii="Book Antiqua" w:hAnsi="Book Antiqua"/>
          <w:sz w:val="24"/>
          <w:szCs w:val="24"/>
        </w:rPr>
        <w:t>Viral breakthrough occurred in some patients, however</w:t>
      </w:r>
      <w:r w:rsidRPr="00CF7113">
        <w:rPr>
          <w:rFonts w:ascii="Book Antiqua" w:hAnsi="Book Antiqua"/>
          <w:sz w:val="24"/>
          <w:szCs w:val="24"/>
          <w:vertAlign w:val="superscript"/>
        </w:rPr>
        <w:t>[17]</w:t>
      </w:r>
      <w:r w:rsidRPr="00CF7113">
        <w:rPr>
          <w:rFonts w:ascii="Book Antiqua" w:hAnsi="Book Antiqua"/>
          <w:sz w:val="24"/>
          <w:szCs w:val="24"/>
        </w:rPr>
        <w:t>. A later phase I trial compared boceprevir 200 or 400 mg every 8 hours for 7 d alone or in combination with peginterferon alpha 2b for 14 d with peginterferon alpha 2b monotherapy for 14 d in genotype I patients who were nonresponders to standard therapy.</w:t>
      </w:r>
      <w:r>
        <w:rPr>
          <w:rFonts w:ascii="Book Antiqua" w:hAnsi="Book Antiqua"/>
          <w:sz w:val="24"/>
          <w:szCs w:val="24"/>
        </w:rPr>
        <w:t xml:space="preserve"> </w:t>
      </w:r>
      <w:r w:rsidRPr="00CF7113">
        <w:rPr>
          <w:rFonts w:ascii="Book Antiqua" w:hAnsi="Book Antiqua"/>
          <w:sz w:val="24"/>
          <w:szCs w:val="24"/>
        </w:rPr>
        <w:t>This approach achieved maximal reductions in HCV RNA of 2.45 and 2.88 log</w:t>
      </w:r>
      <w:r w:rsidRPr="00CF7113">
        <w:rPr>
          <w:rFonts w:ascii="Book Antiqua" w:hAnsi="Book Antiqua"/>
          <w:sz w:val="24"/>
          <w:szCs w:val="24"/>
          <w:vertAlign w:val="subscript"/>
        </w:rPr>
        <w:t>10</w:t>
      </w:r>
      <w:r w:rsidRPr="00CF7113">
        <w:rPr>
          <w:rFonts w:ascii="Book Antiqua" w:hAnsi="Book Antiqua"/>
          <w:sz w:val="24"/>
          <w:szCs w:val="24"/>
        </w:rPr>
        <w:t xml:space="preserve"> for boceprevir 200 and 400 mg, respectively, with peginterferon alpha 2b, 1.08 and 1.61 log</w:t>
      </w:r>
      <w:r w:rsidRPr="00CF7113">
        <w:rPr>
          <w:rFonts w:ascii="Book Antiqua" w:hAnsi="Book Antiqua"/>
          <w:sz w:val="24"/>
          <w:szCs w:val="24"/>
          <w:vertAlign w:val="subscript"/>
        </w:rPr>
        <w:t>10</w:t>
      </w:r>
      <w:r w:rsidRPr="00CF7113">
        <w:rPr>
          <w:rFonts w:ascii="Book Antiqua" w:hAnsi="Book Antiqua"/>
          <w:sz w:val="24"/>
          <w:szCs w:val="24"/>
        </w:rPr>
        <w:t xml:space="preserve"> for boceprevir 200 and 400 mg monotherapy, and 1.08 and 1.26 log</w:t>
      </w:r>
      <w:r w:rsidRPr="00CF7113">
        <w:rPr>
          <w:rFonts w:ascii="Book Antiqua" w:hAnsi="Book Antiqua"/>
          <w:sz w:val="24"/>
          <w:szCs w:val="24"/>
          <w:vertAlign w:val="subscript"/>
        </w:rPr>
        <w:t>10</w:t>
      </w:r>
      <w:r w:rsidRPr="00CF7113">
        <w:rPr>
          <w:rFonts w:ascii="Book Antiqua" w:hAnsi="Book Antiqua"/>
          <w:sz w:val="24"/>
          <w:szCs w:val="24"/>
        </w:rPr>
        <w:t xml:space="preserve"> for peginterferon alpha 2b alone in the respective boceprevir dose groups</w:t>
      </w:r>
      <w:r w:rsidRPr="00CF7113">
        <w:rPr>
          <w:rFonts w:ascii="Book Antiqua" w:hAnsi="Book Antiqua"/>
          <w:sz w:val="24"/>
          <w:szCs w:val="24"/>
          <w:vertAlign w:val="superscript"/>
        </w:rPr>
        <w:t>[18]</w:t>
      </w:r>
      <w:r w:rsidRPr="00CF7113">
        <w:rPr>
          <w:rFonts w:ascii="Book Antiqua" w:hAnsi="Book Antiqua"/>
          <w:sz w:val="24"/>
          <w:szCs w:val="24"/>
        </w:rPr>
        <w:t>.</w:t>
      </w:r>
      <w:r w:rsidRPr="00CF7113">
        <w:rPr>
          <w:rFonts w:ascii="Book Antiqua" w:hAnsi="Book Antiqua"/>
          <w:sz w:val="24"/>
          <w:szCs w:val="24"/>
          <w:vertAlign w:val="superscript"/>
          <w:lang w:eastAsia="zh-CN"/>
        </w:rPr>
        <w:t xml:space="preserve"> </w:t>
      </w:r>
      <w:r w:rsidRPr="00CF7113">
        <w:rPr>
          <w:rFonts w:ascii="Book Antiqua" w:hAnsi="Book Antiqua"/>
          <w:sz w:val="24"/>
          <w:szCs w:val="24"/>
        </w:rPr>
        <w:t>Boceprevir was well tolerated in this trial as well, both alone and in combination with peginterferon alpha-2b, but viral breakthrough was observed again, primarily in patients receiving monotherapy.</w:t>
      </w:r>
    </w:p>
    <w:p w:rsidR="00965749" w:rsidRPr="00CF7113" w:rsidRDefault="00965749" w:rsidP="006359CB">
      <w:pPr>
        <w:spacing w:after="0" w:line="360" w:lineRule="auto"/>
        <w:ind w:firstLineChars="200" w:firstLine="480"/>
        <w:jc w:val="both"/>
        <w:rPr>
          <w:rFonts w:ascii="Book Antiqua" w:hAnsi="Book Antiqua"/>
          <w:sz w:val="24"/>
          <w:szCs w:val="24"/>
        </w:rPr>
      </w:pPr>
      <w:r w:rsidRPr="00CF7113">
        <w:rPr>
          <w:rFonts w:ascii="Book Antiqua" w:hAnsi="Book Antiqua"/>
          <w:sz w:val="24"/>
          <w:szCs w:val="24"/>
        </w:rPr>
        <w:t>The addition of ribavirin to boceprevir and peginterferon alpha-2b was evaluated in a phase II trial (SPRINT-1) in treatment naïve, genotype I patients.</w:t>
      </w:r>
      <w:r>
        <w:rPr>
          <w:rFonts w:ascii="Book Antiqua" w:hAnsi="Book Antiqua"/>
          <w:sz w:val="24"/>
          <w:szCs w:val="24"/>
        </w:rPr>
        <w:t xml:space="preserve"> </w:t>
      </w:r>
      <w:r w:rsidRPr="00CF7113">
        <w:rPr>
          <w:rFonts w:ascii="Book Antiqua" w:hAnsi="Book Antiqua"/>
          <w:sz w:val="24"/>
          <w:szCs w:val="24"/>
        </w:rPr>
        <w:t>In this trial patients received 28 or 48 wk of boceprevir 800 mg three times daily, peginterferon alpha-2b, and ribavirin or a 4 wk lead-in treatment of peginterferon alpha-2b with ribavirin followed by 24 or 44 w</w:t>
      </w:r>
      <w:r>
        <w:rPr>
          <w:rFonts w:ascii="Book Antiqua" w:hAnsi="Book Antiqua"/>
          <w:sz w:val="24"/>
          <w:szCs w:val="24"/>
        </w:rPr>
        <w:t>k</w:t>
      </w:r>
      <w:r w:rsidRPr="00CF7113">
        <w:rPr>
          <w:rFonts w:ascii="Book Antiqua" w:hAnsi="Book Antiqua"/>
          <w:sz w:val="24"/>
          <w:szCs w:val="24"/>
        </w:rPr>
        <w:t xml:space="preserve"> of boceprevir 800 mg three times daily, peginterferon alpha-2b, and ribavirin compared with standard therapy with peginterferon alpha-2b and ribavirin for a full 48 w</w:t>
      </w:r>
      <w:r>
        <w:rPr>
          <w:rFonts w:ascii="Book Antiqua" w:hAnsi="Book Antiqua"/>
          <w:sz w:val="24"/>
          <w:szCs w:val="24"/>
        </w:rPr>
        <w:t>k</w:t>
      </w:r>
      <w:r w:rsidRPr="00CF7113">
        <w:rPr>
          <w:rFonts w:ascii="Book Antiqua" w:hAnsi="Book Antiqua"/>
          <w:sz w:val="24"/>
          <w:szCs w:val="24"/>
        </w:rPr>
        <w:t>.</w:t>
      </w:r>
      <w:r>
        <w:rPr>
          <w:rFonts w:ascii="Book Antiqua" w:hAnsi="Book Antiqua"/>
          <w:sz w:val="24"/>
          <w:szCs w:val="24"/>
        </w:rPr>
        <w:t xml:space="preserve"> </w:t>
      </w:r>
      <w:r w:rsidRPr="00CF7113">
        <w:rPr>
          <w:rFonts w:ascii="Book Antiqua" w:hAnsi="Book Antiqua"/>
          <w:sz w:val="24"/>
          <w:szCs w:val="24"/>
        </w:rPr>
        <w:t>The four week lead-in treatment with peginterferon alpha-2b and ribavirin boosted SVR rates from 54% to 56% at 28 wk and from 67% to 75% at 48 w</w:t>
      </w:r>
      <w:r>
        <w:rPr>
          <w:rFonts w:ascii="Book Antiqua" w:hAnsi="Book Antiqua"/>
          <w:sz w:val="24"/>
          <w:szCs w:val="24"/>
        </w:rPr>
        <w:t>k</w:t>
      </w:r>
      <w:r w:rsidRPr="00CF7113">
        <w:rPr>
          <w:rFonts w:ascii="Book Antiqua" w:hAnsi="Book Antiqua"/>
          <w:sz w:val="24"/>
          <w:szCs w:val="24"/>
        </w:rPr>
        <w:t>, compared with 38% with standard peginterferon alpha-2b and ribavirin therapy for 48 wk</w:t>
      </w:r>
      <w:r w:rsidRPr="00CF7113">
        <w:rPr>
          <w:rFonts w:ascii="Book Antiqua" w:hAnsi="Book Antiqua"/>
          <w:sz w:val="24"/>
          <w:szCs w:val="24"/>
          <w:vertAlign w:val="superscript"/>
        </w:rPr>
        <w:t>[19]</w:t>
      </w:r>
      <w:r w:rsidRPr="00CF7113">
        <w:rPr>
          <w:rFonts w:ascii="Book Antiqua" w:hAnsi="Book Antiqua"/>
          <w:sz w:val="24"/>
          <w:szCs w:val="24"/>
        </w:rPr>
        <w:t>. However, RVR rates with boceprevir triple therapy were only 38% compared with 70% seen in telaprevir triple therapy trials.</w:t>
      </w:r>
      <w:r>
        <w:rPr>
          <w:rFonts w:ascii="Book Antiqua" w:hAnsi="Book Antiqua"/>
          <w:sz w:val="24"/>
          <w:szCs w:val="24"/>
        </w:rPr>
        <w:t xml:space="preserve"> </w:t>
      </w:r>
      <w:r w:rsidRPr="00CF7113">
        <w:rPr>
          <w:rFonts w:ascii="Book Antiqua" w:hAnsi="Book Antiqua"/>
          <w:sz w:val="24"/>
          <w:szCs w:val="24"/>
        </w:rPr>
        <w:t>The most common side effects seen with boceprevir in this trial were anemia, nausea, vomiting, and dysgeusia. A subsequent phase II trial evaluated boceprevir triple therapy in HCV genotype I nonresponders, but SVR rates were poor, ranging from 2% for control to 14% with boceprevir</w:t>
      </w:r>
      <w:r w:rsidRPr="00CF7113">
        <w:rPr>
          <w:rFonts w:ascii="Book Antiqua" w:hAnsi="Book Antiqua"/>
          <w:sz w:val="24"/>
          <w:szCs w:val="24"/>
          <w:vertAlign w:val="superscript"/>
        </w:rPr>
        <w:t>[20]</w:t>
      </w:r>
      <w:r w:rsidRPr="00CF7113">
        <w:rPr>
          <w:rFonts w:ascii="Book Antiqua" w:hAnsi="Book Antiqua"/>
          <w:sz w:val="24"/>
          <w:szCs w:val="24"/>
        </w:rPr>
        <w:t>.</w:t>
      </w:r>
      <w:r>
        <w:rPr>
          <w:rFonts w:ascii="Book Antiqua" w:hAnsi="Book Antiqua"/>
          <w:sz w:val="24"/>
          <w:szCs w:val="24"/>
        </w:rPr>
        <w:t xml:space="preserve"> </w:t>
      </w:r>
    </w:p>
    <w:p w:rsidR="00965749" w:rsidRPr="00CF7113" w:rsidRDefault="00965749" w:rsidP="006359CB">
      <w:pPr>
        <w:spacing w:after="0" w:line="360" w:lineRule="auto"/>
        <w:ind w:firstLineChars="200" w:firstLine="480"/>
        <w:jc w:val="both"/>
        <w:rPr>
          <w:rFonts w:ascii="Book Antiqua" w:hAnsi="Book Antiqua"/>
          <w:sz w:val="24"/>
          <w:szCs w:val="24"/>
          <w:lang w:eastAsia="zh-CN"/>
        </w:rPr>
      </w:pPr>
      <w:r w:rsidRPr="00CF7113">
        <w:rPr>
          <w:rFonts w:ascii="Book Antiqua" w:hAnsi="Book Antiqua"/>
          <w:sz w:val="24"/>
          <w:szCs w:val="24"/>
        </w:rPr>
        <w:t>Boceprevir has subsequently been evaluated in two large, well-controlled, multicenter clinical trials in both untreated and previously treated patients with genotype I chronic HCV infection.</w:t>
      </w:r>
      <w:r>
        <w:rPr>
          <w:rFonts w:ascii="Book Antiqua" w:hAnsi="Book Antiqua"/>
          <w:sz w:val="24"/>
          <w:szCs w:val="24"/>
        </w:rPr>
        <w:t xml:space="preserve"> </w:t>
      </w:r>
      <w:r w:rsidRPr="00CF7113">
        <w:rPr>
          <w:rFonts w:ascii="Book Antiqua" w:hAnsi="Book Antiqua"/>
          <w:sz w:val="24"/>
          <w:szCs w:val="24"/>
        </w:rPr>
        <w:t>The SPRINT-2 trial enrolled a total of 1099 patients with untreated genotype I HCV infection who were randomized to receive triple therapy with boceprevir 800 mg three times daily with peginterferon alpha-2b and ribavirin for 24 or 44 wk following a lead-in treatment of 4 wk with standard peginterferon alpha-2b and ribavirin therapy and compared with a full 48 wk course of standard peginterferon alpha-2b and ribavirin therapy.</w:t>
      </w:r>
      <w:r>
        <w:rPr>
          <w:rFonts w:ascii="Book Antiqua" w:hAnsi="Book Antiqua"/>
          <w:sz w:val="24"/>
          <w:szCs w:val="24"/>
        </w:rPr>
        <w:t xml:space="preserve"> </w:t>
      </w:r>
      <w:r w:rsidRPr="00CF7113">
        <w:rPr>
          <w:rFonts w:ascii="Book Antiqua" w:hAnsi="Book Antiqua"/>
          <w:sz w:val="24"/>
          <w:szCs w:val="24"/>
        </w:rPr>
        <w:t>One arm of the trial was allowed to discontinue therapy at 24 wk if HCV RNA levels were undetectable, while those with detectable levels received additional interferon alpha-2b and ribavirin with placebo from weeks 28 to 48.</w:t>
      </w:r>
      <w:r>
        <w:rPr>
          <w:rFonts w:ascii="Book Antiqua" w:hAnsi="Book Antiqua"/>
          <w:sz w:val="24"/>
          <w:szCs w:val="24"/>
        </w:rPr>
        <w:t xml:space="preserve"> </w:t>
      </w:r>
      <w:r w:rsidRPr="00CF7113">
        <w:rPr>
          <w:rFonts w:ascii="Book Antiqua" w:hAnsi="Book Antiqua"/>
          <w:sz w:val="24"/>
          <w:szCs w:val="24"/>
        </w:rPr>
        <w:t>Black patients and nonblack patients were enrolled and analyzed separately.</w:t>
      </w:r>
      <w:r>
        <w:rPr>
          <w:rFonts w:ascii="Book Antiqua" w:hAnsi="Book Antiqua"/>
          <w:sz w:val="24"/>
          <w:szCs w:val="24"/>
        </w:rPr>
        <w:t xml:space="preserve"> </w:t>
      </w:r>
      <w:r w:rsidRPr="00CF7113">
        <w:rPr>
          <w:rFonts w:ascii="Book Antiqua" w:hAnsi="Book Antiqua"/>
          <w:sz w:val="24"/>
          <w:szCs w:val="24"/>
        </w:rPr>
        <w:t>In the larger, nonblack cohort, an SVR rate of 40% was achieved with standard pegylated interferon alpha-2b and ribavirin for 48 w</w:t>
      </w:r>
      <w:r>
        <w:rPr>
          <w:rFonts w:ascii="Book Antiqua" w:hAnsi="Book Antiqua"/>
          <w:sz w:val="24"/>
          <w:szCs w:val="24"/>
        </w:rPr>
        <w:t>k</w:t>
      </w:r>
      <w:r w:rsidRPr="00CF7113">
        <w:rPr>
          <w:rFonts w:ascii="Book Antiqua" w:hAnsi="Book Antiqua"/>
          <w:sz w:val="24"/>
          <w:szCs w:val="24"/>
        </w:rPr>
        <w:t>, compared with 67% in patients treated with boceprevir for 24 wk and 68% in patients treated with boceprevir for 44 w</w:t>
      </w:r>
      <w:r>
        <w:rPr>
          <w:rFonts w:ascii="Book Antiqua" w:hAnsi="Book Antiqua"/>
          <w:sz w:val="24"/>
          <w:szCs w:val="24"/>
        </w:rPr>
        <w:t>k</w:t>
      </w:r>
      <w:r w:rsidRPr="00CF7113">
        <w:rPr>
          <w:rFonts w:ascii="Book Antiqua" w:hAnsi="Book Antiqua"/>
          <w:sz w:val="24"/>
          <w:szCs w:val="24"/>
        </w:rPr>
        <w:t xml:space="preserve"> (</w:t>
      </w:r>
      <w:r w:rsidRPr="00CF7113">
        <w:rPr>
          <w:rFonts w:ascii="Book Antiqua" w:hAnsi="Book Antiqua"/>
          <w:i/>
          <w:caps/>
          <w:sz w:val="24"/>
          <w:szCs w:val="24"/>
        </w:rPr>
        <w:t>p</w:t>
      </w:r>
      <w:r w:rsidRPr="00CF7113">
        <w:rPr>
          <w:rFonts w:ascii="Book Antiqua" w:hAnsi="Book Antiqua"/>
          <w:sz w:val="24"/>
          <w:szCs w:val="24"/>
          <w:lang w:eastAsia="zh-CN"/>
        </w:rPr>
        <w:t xml:space="preserve"> </w:t>
      </w:r>
      <w:r w:rsidRPr="00CF7113">
        <w:rPr>
          <w:rFonts w:ascii="Book Antiqua" w:hAnsi="Book Antiqua"/>
          <w:sz w:val="24"/>
          <w:szCs w:val="24"/>
        </w:rPr>
        <w:t>&lt;</w:t>
      </w:r>
      <w:r w:rsidRPr="00CF7113">
        <w:rPr>
          <w:rFonts w:ascii="Book Antiqua" w:hAnsi="Book Antiqua"/>
          <w:sz w:val="24"/>
          <w:szCs w:val="24"/>
          <w:lang w:eastAsia="zh-CN"/>
        </w:rPr>
        <w:t xml:space="preserve"> </w:t>
      </w:r>
      <w:r w:rsidRPr="00CF7113">
        <w:rPr>
          <w:rFonts w:ascii="Book Antiqua" w:hAnsi="Book Antiqua"/>
          <w:sz w:val="24"/>
          <w:szCs w:val="24"/>
        </w:rPr>
        <w:t>0.001)</w:t>
      </w:r>
      <w:r w:rsidRPr="00CF7113">
        <w:rPr>
          <w:rFonts w:ascii="Book Antiqua" w:hAnsi="Book Antiqua"/>
          <w:sz w:val="24"/>
          <w:szCs w:val="24"/>
          <w:vertAlign w:val="superscript"/>
        </w:rPr>
        <w:t xml:space="preserve"> [21]</w:t>
      </w:r>
      <w:r w:rsidRPr="00CF7113">
        <w:rPr>
          <w:rFonts w:ascii="Book Antiqua" w:hAnsi="Book Antiqua"/>
          <w:sz w:val="24"/>
          <w:szCs w:val="24"/>
        </w:rPr>
        <w:t>. In the black cohort, an SVR rate of 23% was achieved with standard pegylated interferon alpha-2b and ribavirin for 48 wk, compared with 42% in patients treated with boceprevir for 24 wk (</w:t>
      </w:r>
      <w:r w:rsidRPr="00CF7113">
        <w:rPr>
          <w:rFonts w:ascii="Book Antiqua" w:hAnsi="Book Antiqua"/>
          <w:i/>
          <w:caps/>
          <w:sz w:val="24"/>
          <w:szCs w:val="24"/>
        </w:rPr>
        <w:t>p</w:t>
      </w:r>
      <w:r w:rsidRPr="00CF7113">
        <w:rPr>
          <w:rFonts w:ascii="Book Antiqua" w:hAnsi="Book Antiqua"/>
          <w:sz w:val="24"/>
          <w:szCs w:val="24"/>
          <w:lang w:eastAsia="zh-CN"/>
        </w:rPr>
        <w:t xml:space="preserve"> </w:t>
      </w:r>
      <w:r w:rsidRPr="00CF7113">
        <w:rPr>
          <w:rFonts w:ascii="Book Antiqua" w:hAnsi="Book Antiqua"/>
          <w:sz w:val="24"/>
          <w:szCs w:val="24"/>
        </w:rPr>
        <w:t>&lt;</w:t>
      </w:r>
      <w:r w:rsidRPr="00CF7113">
        <w:rPr>
          <w:rFonts w:ascii="Book Antiqua" w:hAnsi="Book Antiqua"/>
          <w:sz w:val="24"/>
          <w:szCs w:val="24"/>
          <w:lang w:eastAsia="zh-CN"/>
        </w:rPr>
        <w:t xml:space="preserve"> </w:t>
      </w:r>
      <w:r w:rsidRPr="00CF7113">
        <w:rPr>
          <w:rFonts w:ascii="Book Antiqua" w:hAnsi="Book Antiqua"/>
          <w:sz w:val="24"/>
          <w:szCs w:val="24"/>
        </w:rPr>
        <w:t>0.04) and 53% in patients treated with boceprevir for 44 wk (</w:t>
      </w:r>
      <w:r w:rsidRPr="00CF7113">
        <w:rPr>
          <w:rFonts w:ascii="Book Antiqua" w:hAnsi="Book Antiqua"/>
          <w:i/>
          <w:caps/>
          <w:sz w:val="24"/>
          <w:szCs w:val="24"/>
        </w:rPr>
        <w:t>p</w:t>
      </w:r>
      <w:r w:rsidRPr="00CF7113">
        <w:rPr>
          <w:rFonts w:ascii="Book Antiqua" w:hAnsi="Book Antiqua"/>
          <w:sz w:val="24"/>
          <w:szCs w:val="24"/>
          <w:lang w:eastAsia="zh-CN"/>
        </w:rPr>
        <w:t xml:space="preserve"> </w:t>
      </w:r>
      <w:r w:rsidRPr="00CF7113">
        <w:rPr>
          <w:rFonts w:ascii="Book Antiqua" w:hAnsi="Book Antiqua"/>
          <w:sz w:val="24"/>
          <w:szCs w:val="24"/>
        </w:rPr>
        <w:t>&lt;</w:t>
      </w:r>
      <w:r w:rsidRPr="00CF7113">
        <w:rPr>
          <w:rFonts w:ascii="Book Antiqua" w:hAnsi="Book Antiqua"/>
          <w:sz w:val="24"/>
          <w:szCs w:val="24"/>
          <w:lang w:eastAsia="zh-CN"/>
        </w:rPr>
        <w:t xml:space="preserve"> </w:t>
      </w:r>
      <w:r w:rsidRPr="00CF7113">
        <w:rPr>
          <w:rFonts w:ascii="Book Antiqua" w:hAnsi="Book Antiqua"/>
          <w:sz w:val="24"/>
          <w:szCs w:val="24"/>
        </w:rPr>
        <w:t>0.004).</w:t>
      </w:r>
      <w:r>
        <w:rPr>
          <w:rFonts w:ascii="Book Antiqua" w:hAnsi="Book Antiqua"/>
          <w:sz w:val="24"/>
          <w:szCs w:val="24"/>
        </w:rPr>
        <w:t xml:space="preserve"> </w:t>
      </w:r>
      <w:r w:rsidRPr="00CF7113">
        <w:rPr>
          <w:rFonts w:ascii="Book Antiqua" w:hAnsi="Book Antiqua"/>
          <w:sz w:val="24"/>
          <w:szCs w:val="24"/>
        </w:rPr>
        <w:t>In the variable duration arm, 44% of patients had nondetectable HCV RNA levels and were able to discontinue therapy at 24 wk. Adverse events occurred in 98% of patients and were similar in number across groups.</w:t>
      </w:r>
      <w:r>
        <w:rPr>
          <w:rFonts w:ascii="Book Antiqua" w:hAnsi="Book Antiqua"/>
          <w:sz w:val="24"/>
          <w:szCs w:val="24"/>
        </w:rPr>
        <w:t xml:space="preserve"> </w:t>
      </w:r>
      <w:r w:rsidRPr="00CF7113">
        <w:rPr>
          <w:rFonts w:ascii="Book Antiqua" w:hAnsi="Book Antiqua"/>
          <w:sz w:val="24"/>
          <w:szCs w:val="24"/>
        </w:rPr>
        <w:t>Fatigue, headache, and nausea were the most common clinical adverse events.</w:t>
      </w:r>
      <w:r>
        <w:rPr>
          <w:rFonts w:ascii="Book Antiqua" w:hAnsi="Book Antiqua"/>
          <w:sz w:val="24"/>
          <w:szCs w:val="24"/>
        </w:rPr>
        <w:t xml:space="preserve"> </w:t>
      </w:r>
      <w:r w:rsidRPr="00CF7113">
        <w:rPr>
          <w:rFonts w:ascii="Book Antiqua" w:hAnsi="Book Antiqua"/>
          <w:sz w:val="24"/>
          <w:szCs w:val="24"/>
        </w:rPr>
        <w:t xml:space="preserve">Dysgeusia was twice as frequent in boceprevir treated patients and anemia occurred in 49% of boceprevir treated patients compared with 29% of those receiving peginterferon alpha-2b only. This led to dose reduction in 13% of the control patients and 21% of boceprevir treated patients and discontinuation of therapy in 1% and 2%, respectively. </w:t>
      </w:r>
    </w:p>
    <w:p w:rsidR="00965749" w:rsidRPr="00CF7113" w:rsidRDefault="00965749" w:rsidP="006359CB">
      <w:pPr>
        <w:spacing w:after="0" w:line="360" w:lineRule="auto"/>
        <w:ind w:firstLineChars="200" w:firstLine="480"/>
        <w:jc w:val="both"/>
        <w:rPr>
          <w:rFonts w:ascii="Book Antiqua" w:hAnsi="Book Antiqua"/>
          <w:sz w:val="24"/>
          <w:szCs w:val="24"/>
          <w:lang w:eastAsia="zh-CN"/>
        </w:rPr>
      </w:pPr>
      <w:r w:rsidRPr="00CF7113">
        <w:rPr>
          <w:rFonts w:ascii="Book Antiqua" w:hAnsi="Book Antiqua"/>
          <w:sz w:val="24"/>
          <w:szCs w:val="24"/>
        </w:rPr>
        <w:t>The RESPOND-2 trial provided a similar evaluation of boceprevir in patients with chronic HCV genotype I infection, who had been previously treated with standard therapy and experienced either a nonresponse or relapse.</w:t>
      </w:r>
      <w:r>
        <w:rPr>
          <w:rFonts w:ascii="Book Antiqua" w:hAnsi="Book Antiqua"/>
          <w:sz w:val="24"/>
          <w:szCs w:val="24"/>
        </w:rPr>
        <w:t xml:space="preserve"> </w:t>
      </w:r>
      <w:r w:rsidRPr="00CF7113">
        <w:rPr>
          <w:rFonts w:ascii="Book Antiqua" w:hAnsi="Book Antiqua"/>
          <w:sz w:val="24"/>
          <w:szCs w:val="24"/>
        </w:rPr>
        <w:t>This trial enrolled 403 patients and randomized them in a 1:2:2 fashion to standard therapy with peginterferon alpha-2b and ribavirin for 48 wk, boceprevir 800 mg three times daily with peginterferon alpha-2b and ribavirin for 32 w</w:t>
      </w:r>
      <w:r>
        <w:rPr>
          <w:rFonts w:ascii="Book Antiqua" w:hAnsi="Book Antiqua"/>
          <w:sz w:val="24"/>
          <w:szCs w:val="24"/>
        </w:rPr>
        <w:t>k</w:t>
      </w:r>
      <w:r w:rsidRPr="00CF7113">
        <w:rPr>
          <w:rFonts w:ascii="Book Antiqua" w:hAnsi="Book Antiqua"/>
          <w:sz w:val="24"/>
          <w:szCs w:val="24"/>
        </w:rPr>
        <w:t>, or boceprevir 800 mg three times daily with peginterferon alpha-2b and ribavirin for 44 wk. Both boceprevir triple therapy arms were preceded by 4 wk of treatment with standard peginterferon alpha-2b and ribavirin therapy. One arm of the trial was allowed to discontinue therapy at 32 w</w:t>
      </w:r>
      <w:r>
        <w:rPr>
          <w:rFonts w:ascii="Book Antiqua" w:hAnsi="Book Antiqua"/>
          <w:sz w:val="24"/>
          <w:szCs w:val="24"/>
        </w:rPr>
        <w:t>k</w:t>
      </w:r>
      <w:r w:rsidRPr="00CF7113">
        <w:rPr>
          <w:rFonts w:ascii="Book Antiqua" w:hAnsi="Book Antiqua"/>
          <w:sz w:val="24"/>
          <w:szCs w:val="24"/>
        </w:rPr>
        <w:t xml:space="preserve"> if HCV RNA levels were undetectable, while those with detectable levels received additional interferon alpha-2b and ribavirin with placebo from weeks 36 to 48.</w:t>
      </w:r>
      <w:r>
        <w:rPr>
          <w:rFonts w:ascii="Book Antiqua" w:hAnsi="Book Antiqua"/>
          <w:sz w:val="24"/>
          <w:szCs w:val="24"/>
        </w:rPr>
        <w:t xml:space="preserve"> </w:t>
      </w:r>
      <w:r w:rsidRPr="00CF7113">
        <w:rPr>
          <w:rFonts w:ascii="Book Antiqua" w:hAnsi="Book Antiqua"/>
          <w:sz w:val="24"/>
          <w:szCs w:val="24"/>
        </w:rPr>
        <w:t xml:space="preserve">The overall rate of SVR for boceprevir treated patients was significantly higher in this trial (59% at 32 wk and 66% at 44 wk) compared with standard therapy (21%, </w:t>
      </w:r>
      <w:r w:rsidRPr="00CF7113">
        <w:rPr>
          <w:rFonts w:ascii="Book Antiqua" w:hAnsi="Book Antiqua"/>
          <w:i/>
          <w:caps/>
          <w:sz w:val="24"/>
          <w:szCs w:val="24"/>
        </w:rPr>
        <w:t>p</w:t>
      </w:r>
      <w:r w:rsidRPr="00CF7113">
        <w:rPr>
          <w:rFonts w:ascii="Book Antiqua" w:hAnsi="Book Antiqua"/>
          <w:sz w:val="24"/>
          <w:szCs w:val="24"/>
          <w:lang w:eastAsia="zh-CN"/>
        </w:rPr>
        <w:t xml:space="preserve"> </w:t>
      </w:r>
      <w:r w:rsidRPr="00CF7113">
        <w:rPr>
          <w:rFonts w:ascii="Book Antiqua" w:hAnsi="Book Antiqua"/>
          <w:sz w:val="24"/>
          <w:szCs w:val="24"/>
        </w:rPr>
        <w:t>&lt;</w:t>
      </w:r>
      <w:r w:rsidRPr="00CF7113">
        <w:rPr>
          <w:rFonts w:ascii="Book Antiqua" w:hAnsi="Book Antiqua"/>
          <w:sz w:val="24"/>
          <w:szCs w:val="24"/>
          <w:lang w:eastAsia="zh-CN"/>
        </w:rPr>
        <w:t xml:space="preserve"> </w:t>
      </w:r>
      <w:r w:rsidRPr="00CF7113">
        <w:rPr>
          <w:rFonts w:ascii="Book Antiqua" w:hAnsi="Book Antiqua"/>
          <w:sz w:val="24"/>
          <w:szCs w:val="24"/>
        </w:rPr>
        <w:t>0.001) for the full 48 wk</w:t>
      </w:r>
      <w:r w:rsidRPr="00CF7113">
        <w:rPr>
          <w:rFonts w:ascii="Book Antiqua" w:hAnsi="Book Antiqua"/>
          <w:sz w:val="24"/>
          <w:szCs w:val="24"/>
          <w:vertAlign w:val="superscript"/>
        </w:rPr>
        <w:t>[22]</w:t>
      </w:r>
      <w:r w:rsidRPr="00CF7113">
        <w:rPr>
          <w:rFonts w:ascii="Book Antiqua" w:hAnsi="Book Antiqua"/>
          <w:sz w:val="24"/>
          <w:szCs w:val="24"/>
        </w:rPr>
        <w:t>. Patients who had undetectable HCV RNA levels at week 8 had SVR rates of 86% after 32 wk of boceprevir triple therapy and 88% after 44 wk. Patients whose HCV RNA level decreased by less than 1 log</w:t>
      </w:r>
      <w:r w:rsidRPr="00CF7113">
        <w:rPr>
          <w:rFonts w:ascii="Book Antiqua" w:hAnsi="Book Antiqua"/>
          <w:sz w:val="24"/>
          <w:szCs w:val="24"/>
          <w:vertAlign w:val="subscript"/>
        </w:rPr>
        <w:t>10</w:t>
      </w:r>
      <w:r w:rsidRPr="00CF7113">
        <w:rPr>
          <w:rFonts w:ascii="Book Antiqua" w:hAnsi="Book Antiqua"/>
          <w:sz w:val="24"/>
          <w:szCs w:val="24"/>
        </w:rPr>
        <w:t xml:space="preserve"> at 4 weeks had SVR rates of 33% and 34% after boceprevir triple therapy compared with 0% after standard therapy.</w:t>
      </w:r>
      <w:r>
        <w:rPr>
          <w:rFonts w:ascii="Book Antiqua" w:hAnsi="Book Antiqua"/>
          <w:sz w:val="24"/>
          <w:szCs w:val="24"/>
        </w:rPr>
        <w:t xml:space="preserve"> </w:t>
      </w:r>
      <w:r w:rsidRPr="00CF7113">
        <w:rPr>
          <w:rFonts w:ascii="Book Antiqua" w:hAnsi="Book Antiqua"/>
          <w:sz w:val="24"/>
          <w:szCs w:val="24"/>
        </w:rPr>
        <w:t>Side effects seen in this trial were similar to those seen in SPRINT-2, with anemia being more common in boceprevir treated patients (43</w:t>
      </w:r>
      <w:r w:rsidRPr="00CF7113">
        <w:rPr>
          <w:rFonts w:ascii="Book Antiqua" w:hAnsi="Book Antiqua"/>
          <w:sz w:val="24"/>
          <w:szCs w:val="24"/>
          <w:lang w:eastAsia="zh-CN"/>
        </w:rPr>
        <w:t>%</w:t>
      </w:r>
      <w:r w:rsidRPr="00CF7113">
        <w:rPr>
          <w:rFonts w:ascii="Book Antiqua" w:hAnsi="Book Antiqua"/>
          <w:sz w:val="24"/>
          <w:szCs w:val="24"/>
        </w:rPr>
        <w:t>-46%) compared with standard therapy (20%).</w:t>
      </w:r>
      <w:r>
        <w:rPr>
          <w:rFonts w:ascii="Book Antiqua" w:hAnsi="Book Antiqua"/>
          <w:sz w:val="24"/>
          <w:szCs w:val="24"/>
        </w:rPr>
        <w:t xml:space="preserve"> </w:t>
      </w:r>
      <w:r w:rsidRPr="00CF7113">
        <w:rPr>
          <w:rFonts w:ascii="Book Antiqua" w:hAnsi="Book Antiqua"/>
          <w:sz w:val="24"/>
          <w:szCs w:val="24"/>
        </w:rPr>
        <w:t>Erythropoeitin was required to manage the anemia in 41</w:t>
      </w:r>
      <w:r w:rsidRPr="00CF7113">
        <w:rPr>
          <w:rFonts w:ascii="Book Antiqua" w:hAnsi="Book Antiqua"/>
          <w:sz w:val="24"/>
          <w:szCs w:val="24"/>
          <w:lang w:eastAsia="zh-CN"/>
        </w:rPr>
        <w:t>%</w:t>
      </w:r>
      <w:r w:rsidRPr="00CF7113">
        <w:rPr>
          <w:rFonts w:ascii="Book Antiqua" w:hAnsi="Book Antiqua"/>
          <w:sz w:val="24"/>
          <w:szCs w:val="24"/>
        </w:rPr>
        <w:t xml:space="preserve">-46% of boceprevir treated patients compared with 21% with standard therapy. </w:t>
      </w:r>
    </w:p>
    <w:p w:rsidR="00965749" w:rsidRPr="00CF7113" w:rsidRDefault="00965749" w:rsidP="006359CB">
      <w:pPr>
        <w:spacing w:after="0" w:line="360" w:lineRule="auto"/>
        <w:jc w:val="both"/>
        <w:rPr>
          <w:rFonts w:ascii="Book Antiqua" w:hAnsi="Book Antiqua"/>
          <w:sz w:val="24"/>
          <w:szCs w:val="24"/>
          <w:lang w:eastAsia="zh-CN"/>
        </w:rPr>
      </w:pPr>
    </w:p>
    <w:p w:rsidR="00965749" w:rsidRPr="00CF7113" w:rsidRDefault="00965749" w:rsidP="006359CB">
      <w:pPr>
        <w:spacing w:after="0" w:line="360" w:lineRule="auto"/>
        <w:jc w:val="both"/>
        <w:rPr>
          <w:rFonts w:ascii="Book Antiqua" w:hAnsi="Book Antiqua"/>
          <w:b/>
          <w:sz w:val="24"/>
          <w:szCs w:val="24"/>
          <w:lang w:eastAsia="zh-CN"/>
        </w:rPr>
      </w:pPr>
      <w:r w:rsidRPr="00CF7113">
        <w:rPr>
          <w:rFonts w:ascii="Book Antiqua" w:hAnsi="Book Antiqua"/>
          <w:b/>
          <w:sz w:val="24"/>
          <w:szCs w:val="24"/>
        </w:rPr>
        <w:t>DEVELOPMENTAL PROTEASE INHIBITORS</w:t>
      </w:r>
    </w:p>
    <w:p w:rsidR="00965749" w:rsidRPr="00CF7113" w:rsidRDefault="00965749" w:rsidP="006359CB">
      <w:pPr>
        <w:spacing w:after="0" w:line="360" w:lineRule="auto"/>
        <w:jc w:val="both"/>
        <w:rPr>
          <w:rFonts w:ascii="Book Antiqua" w:hAnsi="Book Antiqua"/>
          <w:color w:val="000000"/>
          <w:kern w:val="24"/>
          <w:sz w:val="24"/>
          <w:szCs w:val="24"/>
          <w:lang w:eastAsia="zh-CN"/>
        </w:rPr>
      </w:pPr>
      <w:r w:rsidRPr="00CF7113">
        <w:rPr>
          <w:rFonts w:ascii="Book Antiqua" w:hAnsi="Book Antiqua"/>
          <w:color w:val="000000"/>
          <w:kern w:val="24"/>
          <w:sz w:val="24"/>
          <w:szCs w:val="24"/>
        </w:rPr>
        <w:t>Protease inhibitors are classified as 1</w:t>
      </w:r>
      <w:r w:rsidRPr="00CF7113">
        <w:rPr>
          <w:rFonts w:ascii="Book Antiqua" w:hAnsi="Book Antiqua"/>
          <w:color w:val="000000"/>
          <w:kern w:val="24"/>
          <w:position w:val="7"/>
          <w:sz w:val="24"/>
          <w:szCs w:val="24"/>
          <w:vertAlign w:val="superscript"/>
        </w:rPr>
        <w:t>st</w:t>
      </w:r>
      <w:r w:rsidRPr="00CF7113">
        <w:rPr>
          <w:rFonts w:ascii="Book Antiqua" w:hAnsi="Book Antiqua"/>
          <w:color w:val="000000"/>
          <w:kern w:val="24"/>
          <w:sz w:val="24"/>
          <w:szCs w:val="24"/>
        </w:rPr>
        <w:t xml:space="preserve"> generation or 2</w:t>
      </w:r>
      <w:r w:rsidRPr="00CF7113">
        <w:rPr>
          <w:rFonts w:ascii="Book Antiqua" w:hAnsi="Book Antiqua"/>
          <w:color w:val="000000"/>
          <w:kern w:val="24"/>
          <w:position w:val="7"/>
          <w:sz w:val="24"/>
          <w:szCs w:val="24"/>
          <w:vertAlign w:val="superscript"/>
        </w:rPr>
        <w:t>nd</w:t>
      </w:r>
      <w:r w:rsidRPr="00CF7113">
        <w:rPr>
          <w:rFonts w:ascii="Book Antiqua" w:hAnsi="Book Antiqua"/>
          <w:color w:val="000000"/>
          <w:kern w:val="24"/>
          <w:sz w:val="24"/>
          <w:szCs w:val="24"/>
        </w:rPr>
        <w:t xml:space="preserve"> generation based upon resistance profiles. The generations are further subdivided into waves based on improved potency and dosing</w:t>
      </w:r>
      <w:r w:rsidRPr="00CF7113">
        <w:rPr>
          <w:rFonts w:ascii="Book Antiqua" w:hAnsi="Book Antiqua"/>
          <w:color w:val="000000"/>
          <w:kern w:val="24"/>
          <w:sz w:val="24"/>
          <w:szCs w:val="24"/>
          <w:vertAlign w:val="superscript"/>
        </w:rPr>
        <w:t>[23]</w:t>
      </w:r>
      <w:r w:rsidRPr="00CF7113">
        <w:rPr>
          <w:rFonts w:ascii="Book Antiqua" w:hAnsi="Book Antiqua"/>
          <w:color w:val="000000"/>
          <w:kern w:val="24"/>
          <w:sz w:val="24"/>
          <w:szCs w:val="24"/>
        </w:rPr>
        <w:t>. Telaprevir and boceprevir represent the first wave of the first generation of protease inhibitors.</w:t>
      </w:r>
      <w:r>
        <w:rPr>
          <w:rFonts w:ascii="Book Antiqua" w:hAnsi="Book Antiqua"/>
          <w:color w:val="000000"/>
          <w:kern w:val="24"/>
          <w:sz w:val="24"/>
          <w:szCs w:val="24"/>
        </w:rPr>
        <w:t xml:space="preserve"> </w:t>
      </w:r>
      <w:r w:rsidRPr="00CF7113">
        <w:rPr>
          <w:rFonts w:ascii="Book Antiqua" w:hAnsi="Book Antiqua"/>
          <w:color w:val="000000"/>
          <w:kern w:val="24"/>
          <w:sz w:val="24"/>
          <w:szCs w:val="24"/>
        </w:rPr>
        <w:t>A number of agents are currently being investigated, which constitute the second wave. These agents have resistance profiles similar to telaprevir and boceprevir.</w:t>
      </w:r>
      <w:r>
        <w:rPr>
          <w:rFonts w:ascii="Book Antiqua" w:hAnsi="Book Antiqua"/>
          <w:color w:val="000000"/>
          <w:kern w:val="24"/>
          <w:sz w:val="24"/>
          <w:szCs w:val="24"/>
        </w:rPr>
        <w:t xml:space="preserve"> </w:t>
      </w:r>
      <w:r w:rsidRPr="00CF7113">
        <w:rPr>
          <w:rFonts w:ascii="Book Antiqua" w:hAnsi="Book Antiqua"/>
          <w:color w:val="000000"/>
          <w:kern w:val="24"/>
          <w:sz w:val="24"/>
          <w:szCs w:val="24"/>
        </w:rPr>
        <w:t xml:space="preserve">Second generation protease inhibitors have pan-genotypic activity and a higher barrier for resistance than first generation PIs. Table </w:t>
      </w:r>
      <w:r>
        <w:rPr>
          <w:rFonts w:ascii="Book Antiqua" w:hAnsi="Book Antiqua"/>
          <w:color w:val="000000"/>
          <w:kern w:val="24"/>
          <w:sz w:val="24"/>
          <w:szCs w:val="24"/>
          <w:lang w:eastAsia="zh-CN"/>
        </w:rPr>
        <w:t>1</w:t>
      </w:r>
      <w:r w:rsidRPr="00CF7113">
        <w:rPr>
          <w:rFonts w:ascii="Book Antiqua" w:hAnsi="Book Antiqua"/>
          <w:color w:val="000000"/>
          <w:kern w:val="24"/>
          <w:sz w:val="24"/>
          <w:szCs w:val="24"/>
        </w:rPr>
        <w:t xml:space="preserve"> lists protease inhibitors currently under development.</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lang w:eastAsia="zh-CN"/>
        </w:rPr>
      </w:pPr>
    </w:p>
    <w:p w:rsidR="00965749" w:rsidRPr="00CF7113" w:rsidRDefault="00965749" w:rsidP="006359CB">
      <w:pPr>
        <w:spacing w:after="0" w:line="360" w:lineRule="auto"/>
        <w:jc w:val="both"/>
        <w:rPr>
          <w:rFonts w:ascii="Book Antiqua" w:hAnsi="Book Antiqua"/>
          <w:b/>
          <w:sz w:val="24"/>
          <w:szCs w:val="24"/>
        </w:rPr>
      </w:pPr>
      <w:r w:rsidRPr="00CF7113">
        <w:rPr>
          <w:rFonts w:ascii="Book Antiqua" w:hAnsi="Book Antiqua"/>
          <w:b/>
          <w:i/>
          <w:sz w:val="24"/>
          <w:szCs w:val="24"/>
        </w:rPr>
        <w:t>Simeprevir</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rPr>
      </w:pPr>
      <w:r w:rsidRPr="00CF7113">
        <w:rPr>
          <w:rFonts w:ascii="Book Antiqua" w:hAnsi="Book Antiqua"/>
          <w:color w:val="000000"/>
          <w:kern w:val="24"/>
        </w:rPr>
        <w:t>Simeprevir is a macrocyclic NS3/4A protease inhibitor that is active against all genotypes of hepatitis C except genotype 3.</w:t>
      </w:r>
      <w:r>
        <w:rPr>
          <w:rFonts w:ascii="Book Antiqua" w:hAnsi="Book Antiqua"/>
          <w:color w:val="000000"/>
          <w:kern w:val="24"/>
        </w:rPr>
        <w:t xml:space="preserve"> </w:t>
      </w:r>
      <w:r w:rsidRPr="00CF7113">
        <w:rPr>
          <w:rFonts w:ascii="Book Antiqua" w:hAnsi="Book Antiqua"/>
          <w:color w:val="000000"/>
          <w:kern w:val="24"/>
        </w:rPr>
        <w:t>It undergoes hepatic metabolism through cytochrome p4503A with an elimination half-life of 40 h, which makes it suitable for once daily dosing</w:t>
      </w:r>
      <w:r w:rsidRPr="00CF7113">
        <w:rPr>
          <w:rFonts w:ascii="Book Antiqua" w:hAnsi="Book Antiqua"/>
          <w:color w:val="000000"/>
          <w:kern w:val="24"/>
          <w:vertAlign w:val="superscript"/>
        </w:rPr>
        <w:t>[24]</w:t>
      </w:r>
      <w:r w:rsidRPr="00CF7113">
        <w:rPr>
          <w:rFonts w:ascii="Book Antiqua" w:hAnsi="Book Antiqua"/>
          <w:color w:val="000000"/>
          <w:kern w:val="24"/>
        </w:rPr>
        <w:t>. In a large phase III clinical trial, simeprevir 150</w:t>
      </w:r>
      <w:r w:rsidRPr="00CF7113">
        <w:rPr>
          <w:rFonts w:ascii="Book Antiqua" w:hAnsi="Book Antiqua"/>
          <w:color w:val="000000"/>
          <w:kern w:val="24"/>
          <w:lang w:eastAsia="zh-CN"/>
        </w:rPr>
        <w:t xml:space="preserve"> </w:t>
      </w:r>
      <w:r w:rsidRPr="00CF7113">
        <w:rPr>
          <w:rFonts w:ascii="Book Antiqua" w:hAnsi="Book Antiqua"/>
          <w:color w:val="000000"/>
          <w:kern w:val="24"/>
        </w:rPr>
        <w:t>mg once daily with pegylated interferon and ribavirin for 12</w:t>
      </w:r>
      <w:r w:rsidRPr="00CF7113">
        <w:rPr>
          <w:rFonts w:ascii="Book Antiqua" w:hAnsi="Book Antiqua"/>
          <w:color w:val="000000"/>
          <w:kern w:val="24"/>
          <w:lang w:eastAsia="zh-CN"/>
        </w:rPr>
        <w:t xml:space="preserve"> </w:t>
      </w:r>
      <w:r w:rsidRPr="00CF7113">
        <w:rPr>
          <w:rFonts w:ascii="Book Antiqua" w:hAnsi="Book Antiqua"/>
          <w:color w:val="000000"/>
          <w:kern w:val="24"/>
        </w:rPr>
        <w:t>wk followed by pegylated interferon and ribavirin alone for an additional 12-36 wk produced sustained virologic responses at 12 wk post-treatment (SVR</w:t>
      </w:r>
      <w:r w:rsidRPr="00CF7113">
        <w:rPr>
          <w:rFonts w:ascii="Book Antiqua" w:hAnsi="Book Antiqua"/>
          <w:color w:val="000000"/>
          <w:kern w:val="24"/>
          <w:vertAlign w:val="subscript"/>
        </w:rPr>
        <w:t>12</w:t>
      </w:r>
      <w:r w:rsidRPr="00CF7113">
        <w:rPr>
          <w:rFonts w:ascii="Book Antiqua" w:hAnsi="Book Antiqua"/>
          <w:color w:val="000000"/>
          <w:kern w:val="24"/>
        </w:rPr>
        <w:t>) of 81% in genotype 1, treatment naïve patients</w:t>
      </w:r>
      <w:r w:rsidRPr="00CF7113">
        <w:rPr>
          <w:rFonts w:ascii="Book Antiqua" w:hAnsi="Book Antiqua"/>
          <w:color w:val="000000"/>
          <w:kern w:val="24"/>
          <w:vertAlign w:val="superscript"/>
        </w:rPr>
        <w:t>[25]</w:t>
      </w:r>
      <w:r w:rsidRPr="00CF7113">
        <w:rPr>
          <w:rFonts w:ascii="Book Antiqua" w:hAnsi="Book Antiqua"/>
          <w:color w:val="000000"/>
          <w:kern w:val="24"/>
        </w:rPr>
        <w:t>. Response rates were even higher in patients with the IL28B polymorphism and lower stage liver fibrosis.</w:t>
      </w:r>
      <w:r>
        <w:rPr>
          <w:rFonts w:ascii="Book Antiqua" w:hAnsi="Book Antiqua"/>
          <w:color w:val="000000"/>
          <w:kern w:val="24"/>
        </w:rPr>
        <w:t xml:space="preserve"> </w:t>
      </w:r>
      <w:r w:rsidRPr="00CF7113">
        <w:rPr>
          <w:rFonts w:ascii="Book Antiqua" w:hAnsi="Book Antiqua"/>
          <w:color w:val="000000"/>
          <w:kern w:val="24"/>
        </w:rPr>
        <w:t>Frequently reported adverse effects included rash and indirect hyperbilirubinemia.</w:t>
      </w:r>
      <w:r>
        <w:rPr>
          <w:rFonts w:ascii="Book Antiqua" w:hAnsi="Book Antiqua"/>
          <w:color w:val="000000"/>
          <w:kern w:val="24"/>
        </w:rPr>
        <w:t xml:space="preserve"> </w:t>
      </w:r>
    </w:p>
    <w:p w:rsidR="00965749" w:rsidRPr="00CF7113" w:rsidRDefault="00965749" w:rsidP="006359CB">
      <w:pPr>
        <w:pStyle w:val="a9"/>
        <w:spacing w:before="0" w:beforeAutospacing="0" w:after="0" w:afterAutospacing="0" w:line="360" w:lineRule="auto"/>
        <w:jc w:val="both"/>
        <w:rPr>
          <w:rFonts w:ascii="Book Antiqua" w:hAnsi="Book Antiqua"/>
          <w:i/>
        </w:rPr>
      </w:pPr>
    </w:p>
    <w:p w:rsidR="00965749" w:rsidRPr="00CF7113" w:rsidRDefault="00965749" w:rsidP="006359CB">
      <w:pPr>
        <w:pStyle w:val="a9"/>
        <w:spacing w:before="0" w:beforeAutospacing="0" w:after="0" w:afterAutospacing="0" w:line="360" w:lineRule="auto"/>
        <w:jc w:val="both"/>
        <w:rPr>
          <w:rFonts w:ascii="Book Antiqua" w:hAnsi="Book Antiqua"/>
          <w:b/>
          <w:color w:val="000000"/>
          <w:kern w:val="24"/>
        </w:rPr>
      </w:pPr>
      <w:r w:rsidRPr="00CF7113">
        <w:rPr>
          <w:rFonts w:ascii="Book Antiqua" w:hAnsi="Book Antiqua"/>
          <w:b/>
          <w:i/>
        </w:rPr>
        <w:t>Faldaprevir</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lang w:eastAsia="zh-CN"/>
        </w:rPr>
      </w:pPr>
      <w:r w:rsidRPr="00CF7113">
        <w:rPr>
          <w:rFonts w:ascii="Book Antiqua" w:hAnsi="Book Antiqua"/>
          <w:color w:val="000000"/>
          <w:kern w:val="24"/>
        </w:rPr>
        <w:t>Faldaprevir is another potent NS3 protease inhibitor that can be dosed on a once daily basis.</w:t>
      </w:r>
      <w:r>
        <w:rPr>
          <w:rFonts w:ascii="Book Antiqua" w:hAnsi="Book Antiqua"/>
          <w:color w:val="000000"/>
          <w:kern w:val="24"/>
        </w:rPr>
        <w:t xml:space="preserve"> </w:t>
      </w:r>
      <w:r w:rsidRPr="00CF7113">
        <w:rPr>
          <w:rFonts w:ascii="Book Antiqua" w:hAnsi="Book Antiqua"/>
          <w:color w:val="000000"/>
          <w:kern w:val="24"/>
        </w:rPr>
        <w:t>However, its activity is limited to genotype 1 disease.</w:t>
      </w:r>
      <w:r>
        <w:rPr>
          <w:rFonts w:ascii="Book Antiqua" w:hAnsi="Book Antiqua"/>
          <w:color w:val="000000"/>
          <w:kern w:val="24"/>
        </w:rPr>
        <w:t xml:space="preserve"> </w:t>
      </w:r>
      <w:r w:rsidRPr="00CF7113">
        <w:rPr>
          <w:rFonts w:ascii="Book Antiqua" w:hAnsi="Book Antiqua"/>
          <w:color w:val="000000"/>
          <w:kern w:val="24"/>
        </w:rPr>
        <w:t>In a large phase III trial of genotype 1, treatment-naïve patients, faldaprevir 120 or 240</w:t>
      </w:r>
      <w:r w:rsidRPr="00CF7113">
        <w:rPr>
          <w:rFonts w:ascii="Book Antiqua" w:hAnsi="Book Antiqua"/>
          <w:color w:val="000000"/>
          <w:kern w:val="24"/>
          <w:lang w:eastAsia="zh-CN"/>
        </w:rPr>
        <w:t xml:space="preserve"> </w:t>
      </w:r>
      <w:r w:rsidRPr="00CF7113">
        <w:rPr>
          <w:rFonts w:ascii="Book Antiqua" w:hAnsi="Book Antiqua"/>
          <w:color w:val="000000"/>
          <w:kern w:val="24"/>
        </w:rPr>
        <w:t>mg once daily with pegylated interferon and ribavirin for 12 wk achieved 80% SVR</w:t>
      </w:r>
      <w:r w:rsidRPr="00CF7113">
        <w:rPr>
          <w:rFonts w:ascii="Book Antiqua" w:hAnsi="Book Antiqua"/>
          <w:color w:val="000000"/>
          <w:kern w:val="24"/>
          <w:vertAlign w:val="subscript"/>
        </w:rPr>
        <w:t xml:space="preserve">12 </w:t>
      </w:r>
      <w:r w:rsidRPr="00CF7113">
        <w:rPr>
          <w:rFonts w:ascii="Book Antiqua" w:hAnsi="Book Antiqua"/>
          <w:color w:val="000000"/>
          <w:kern w:val="24"/>
        </w:rPr>
        <w:t>with even higher responses seen in patients with the IL28B polymorphism</w:t>
      </w:r>
      <w:r w:rsidRPr="00CF7113">
        <w:rPr>
          <w:rFonts w:ascii="Book Antiqua" w:hAnsi="Book Antiqua"/>
          <w:color w:val="000000"/>
          <w:kern w:val="24"/>
          <w:vertAlign w:val="superscript"/>
        </w:rPr>
        <w:t>[26]</w:t>
      </w:r>
      <w:r w:rsidRPr="00CF7113">
        <w:rPr>
          <w:rFonts w:ascii="Book Antiqua" w:hAnsi="Book Antiqua"/>
          <w:color w:val="000000"/>
          <w:kern w:val="24"/>
          <w:lang w:eastAsia="zh-CN"/>
        </w:rPr>
        <w:t>.</w:t>
      </w:r>
      <w:r w:rsidRPr="00CF7113">
        <w:rPr>
          <w:rFonts w:ascii="Book Antiqua" w:hAnsi="Book Antiqua"/>
          <w:color w:val="000000"/>
          <w:kern w:val="24"/>
          <w:vertAlign w:val="superscript"/>
        </w:rPr>
        <w:t xml:space="preserve"> </w:t>
      </w:r>
      <w:r w:rsidRPr="00CF7113">
        <w:rPr>
          <w:rFonts w:ascii="Book Antiqua" w:hAnsi="Book Antiqua"/>
          <w:color w:val="000000"/>
          <w:kern w:val="24"/>
        </w:rPr>
        <w:t>Indirect hyperbilirubinemia was reported in this trial as well.</w:t>
      </w:r>
      <w:r>
        <w:rPr>
          <w:rFonts w:ascii="Book Antiqua" w:hAnsi="Book Antiqua"/>
          <w:color w:val="000000"/>
          <w:kern w:val="24"/>
        </w:rPr>
        <w:t xml:space="preserve"> </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color w:val="000000"/>
          <w:kern w:val="24"/>
        </w:rPr>
      </w:pPr>
      <w:r w:rsidRPr="00CF7113">
        <w:rPr>
          <w:rFonts w:ascii="Book Antiqua" w:hAnsi="Book Antiqua"/>
          <w:b/>
          <w:i/>
        </w:rPr>
        <w:t>Danoprevir</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lang w:eastAsia="zh-CN"/>
        </w:rPr>
      </w:pPr>
      <w:r w:rsidRPr="00CF7113">
        <w:rPr>
          <w:rFonts w:ascii="Book Antiqua" w:hAnsi="Book Antiqua"/>
          <w:color w:val="000000"/>
          <w:kern w:val="24"/>
        </w:rPr>
        <w:t>Danoprevir is also a potent macrocyclic protease inhibitor with activity against HCV genotypes 1, 4, and 6.</w:t>
      </w:r>
      <w:r>
        <w:rPr>
          <w:rFonts w:ascii="Book Antiqua" w:hAnsi="Book Antiqua"/>
          <w:color w:val="000000"/>
          <w:kern w:val="24"/>
        </w:rPr>
        <w:t xml:space="preserve"> </w:t>
      </w:r>
      <w:r w:rsidRPr="00CF7113">
        <w:rPr>
          <w:rFonts w:ascii="Book Antiqua" w:hAnsi="Book Antiqua"/>
          <w:color w:val="000000"/>
          <w:kern w:val="24"/>
        </w:rPr>
        <w:t>Unlike simeprevir and faldaprevir, however, danoprevir</w:t>
      </w:r>
      <w:r>
        <w:rPr>
          <w:rFonts w:ascii="Book Antiqua" w:hAnsi="Book Antiqua"/>
          <w:color w:val="000000"/>
          <w:kern w:val="24"/>
        </w:rPr>
        <w:t xml:space="preserve"> </w:t>
      </w:r>
      <w:r w:rsidRPr="00CF7113">
        <w:rPr>
          <w:rFonts w:ascii="Book Antiqua" w:hAnsi="Book Antiqua"/>
          <w:color w:val="000000"/>
          <w:kern w:val="24"/>
        </w:rPr>
        <w:t>requires twice daily dosing.</w:t>
      </w:r>
      <w:r>
        <w:rPr>
          <w:rFonts w:ascii="Book Antiqua" w:hAnsi="Book Antiqua"/>
          <w:color w:val="000000"/>
          <w:kern w:val="24"/>
        </w:rPr>
        <w:t xml:space="preserve"> </w:t>
      </w:r>
      <w:r w:rsidRPr="00CF7113">
        <w:rPr>
          <w:rFonts w:ascii="Book Antiqua" w:hAnsi="Book Antiqua"/>
          <w:color w:val="000000"/>
          <w:kern w:val="24"/>
        </w:rPr>
        <w:t>In a recent phase IIb study, danoprevir 300</w:t>
      </w:r>
      <w:r w:rsidRPr="00CF7113">
        <w:rPr>
          <w:rFonts w:ascii="Book Antiqua" w:hAnsi="Book Antiqua"/>
          <w:color w:val="000000"/>
          <w:kern w:val="24"/>
          <w:lang w:eastAsia="zh-CN"/>
        </w:rPr>
        <w:t xml:space="preserve"> </w:t>
      </w:r>
      <w:r w:rsidRPr="00CF7113">
        <w:rPr>
          <w:rFonts w:ascii="Book Antiqua" w:hAnsi="Book Antiqua"/>
          <w:color w:val="000000"/>
          <w:kern w:val="24"/>
        </w:rPr>
        <w:t>mg every 8 h, 600</w:t>
      </w:r>
      <w:r w:rsidRPr="00CF7113">
        <w:rPr>
          <w:rFonts w:ascii="Book Antiqua" w:hAnsi="Book Antiqua"/>
          <w:color w:val="000000"/>
          <w:kern w:val="24"/>
          <w:lang w:eastAsia="zh-CN"/>
        </w:rPr>
        <w:t xml:space="preserve"> </w:t>
      </w:r>
      <w:r w:rsidRPr="00CF7113">
        <w:rPr>
          <w:rFonts w:ascii="Book Antiqua" w:hAnsi="Book Antiqua"/>
          <w:color w:val="000000"/>
          <w:kern w:val="24"/>
        </w:rPr>
        <w:t>mg every 12 h, 900</w:t>
      </w:r>
      <w:r w:rsidRPr="00CF7113">
        <w:rPr>
          <w:rFonts w:ascii="Book Antiqua" w:hAnsi="Book Antiqua"/>
          <w:color w:val="000000"/>
          <w:kern w:val="24"/>
          <w:lang w:eastAsia="zh-CN"/>
        </w:rPr>
        <w:t xml:space="preserve"> </w:t>
      </w:r>
      <w:r w:rsidRPr="00CF7113">
        <w:rPr>
          <w:rFonts w:ascii="Book Antiqua" w:hAnsi="Book Antiqua"/>
          <w:color w:val="000000"/>
          <w:kern w:val="24"/>
        </w:rPr>
        <w:t>mg every 12 h or placebo was given with pegylated interferon and ribavirin for 12 wk in genotype 1 patients and followed with pegylated interferon/ribavirin alone for an additional 48 wk</w:t>
      </w:r>
      <w:r w:rsidRPr="00CF7113">
        <w:rPr>
          <w:rFonts w:ascii="Book Antiqua" w:hAnsi="Book Antiqua"/>
          <w:color w:val="000000"/>
          <w:kern w:val="24"/>
          <w:vertAlign w:val="superscript"/>
        </w:rPr>
        <w:t>[27]</w:t>
      </w:r>
      <w:r w:rsidRPr="00CF7113">
        <w:rPr>
          <w:rFonts w:ascii="Book Antiqua" w:hAnsi="Book Antiqua"/>
          <w:color w:val="000000"/>
          <w:kern w:val="24"/>
        </w:rPr>
        <w:t>. Treatment was stopped at 24 weeks if an extended rapid virologic response (eRVR) with HCV RNA below 15IU/ml during weeks 4-20 was achieved.</w:t>
      </w:r>
      <w:r>
        <w:rPr>
          <w:rFonts w:ascii="Book Antiqua" w:hAnsi="Book Antiqua"/>
          <w:color w:val="000000"/>
          <w:kern w:val="24"/>
        </w:rPr>
        <w:t xml:space="preserve"> </w:t>
      </w:r>
      <w:r w:rsidRPr="00CF7113">
        <w:rPr>
          <w:rFonts w:ascii="Book Antiqua" w:hAnsi="Book Antiqua"/>
          <w:color w:val="000000"/>
          <w:kern w:val="24"/>
        </w:rPr>
        <w:t>This occurred in 65% of the 300mg group and 70% of the 600</w:t>
      </w:r>
      <w:r w:rsidRPr="00CF7113">
        <w:rPr>
          <w:rFonts w:ascii="Book Antiqua" w:hAnsi="Book Antiqua"/>
          <w:color w:val="000000"/>
          <w:kern w:val="24"/>
          <w:lang w:eastAsia="zh-CN"/>
        </w:rPr>
        <w:t xml:space="preserve"> </w:t>
      </w:r>
      <w:r w:rsidRPr="00CF7113">
        <w:rPr>
          <w:rFonts w:ascii="Book Antiqua" w:hAnsi="Book Antiqua"/>
          <w:color w:val="000000"/>
          <w:kern w:val="24"/>
        </w:rPr>
        <w:t>mg group.</w:t>
      </w:r>
      <w:r>
        <w:rPr>
          <w:rFonts w:ascii="Book Antiqua" w:hAnsi="Book Antiqua"/>
          <w:color w:val="000000"/>
          <w:kern w:val="24"/>
        </w:rPr>
        <w:t xml:space="preserve"> </w:t>
      </w:r>
      <w:r w:rsidRPr="00CF7113">
        <w:rPr>
          <w:rFonts w:ascii="Book Antiqua" w:hAnsi="Book Antiqua"/>
          <w:color w:val="000000"/>
          <w:kern w:val="24"/>
        </w:rPr>
        <w:t>Unfortunately, the 900mg group was discontinued early due to reversible, grade 4 increases in alanine aminotransferase in three patients.</w:t>
      </w:r>
      <w:r>
        <w:rPr>
          <w:rFonts w:ascii="Book Antiqua" w:hAnsi="Book Antiqua"/>
          <w:color w:val="000000"/>
          <w:kern w:val="24"/>
        </w:rPr>
        <w:t xml:space="preserve"> </w:t>
      </w:r>
      <w:r w:rsidRPr="00CF7113">
        <w:rPr>
          <w:rFonts w:ascii="Book Antiqua" w:hAnsi="Book Antiqua"/>
          <w:color w:val="000000"/>
          <w:kern w:val="24"/>
        </w:rPr>
        <w:t>SVR at 24 wk post-treatment was 68%, 85%, and 76% in the 300</w:t>
      </w:r>
      <w:r w:rsidRPr="00CF7113">
        <w:rPr>
          <w:rFonts w:ascii="Book Antiqua" w:hAnsi="Book Antiqua"/>
          <w:color w:val="000000"/>
          <w:kern w:val="24"/>
          <w:lang w:eastAsia="zh-CN"/>
        </w:rPr>
        <w:t xml:space="preserve"> </w:t>
      </w:r>
      <w:r w:rsidRPr="00CF7113">
        <w:rPr>
          <w:rFonts w:ascii="Book Antiqua" w:hAnsi="Book Antiqua"/>
          <w:color w:val="000000"/>
          <w:kern w:val="24"/>
        </w:rPr>
        <w:t>mg, 600</w:t>
      </w:r>
      <w:r w:rsidRPr="00CF7113">
        <w:rPr>
          <w:rFonts w:ascii="Book Antiqua" w:hAnsi="Book Antiqua"/>
          <w:color w:val="000000"/>
          <w:kern w:val="24"/>
          <w:lang w:eastAsia="zh-CN"/>
        </w:rPr>
        <w:t xml:space="preserve"> </w:t>
      </w:r>
      <w:r w:rsidRPr="00CF7113">
        <w:rPr>
          <w:rFonts w:ascii="Book Antiqua" w:hAnsi="Book Antiqua"/>
          <w:color w:val="000000"/>
          <w:kern w:val="24"/>
        </w:rPr>
        <w:t>mg, and 900</w:t>
      </w:r>
      <w:r w:rsidRPr="00CF7113">
        <w:rPr>
          <w:rFonts w:ascii="Book Antiqua" w:hAnsi="Book Antiqua"/>
          <w:color w:val="000000"/>
          <w:kern w:val="24"/>
          <w:lang w:eastAsia="zh-CN"/>
        </w:rPr>
        <w:t xml:space="preserve"> </w:t>
      </w:r>
      <w:r w:rsidRPr="00CF7113">
        <w:rPr>
          <w:rFonts w:ascii="Book Antiqua" w:hAnsi="Book Antiqua"/>
          <w:color w:val="000000"/>
          <w:kern w:val="24"/>
        </w:rPr>
        <w:t xml:space="preserve">mg groups, respectively, </w:t>
      </w:r>
      <w:r w:rsidRPr="00CF7113">
        <w:rPr>
          <w:rFonts w:ascii="Book Antiqua" w:hAnsi="Book Antiqua"/>
          <w:i/>
          <w:color w:val="000000"/>
          <w:kern w:val="24"/>
        </w:rPr>
        <w:t>vs</w:t>
      </w:r>
      <w:r w:rsidRPr="00CF7113">
        <w:rPr>
          <w:rFonts w:ascii="Book Antiqua" w:hAnsi="Book Antiqua"/>
          <w:color w:val="000000"/>
          <w:kern w:val="24"/>
        </w:rPr>
        <w:t xml:space="preserve"> 42% in the placebo group.</w:t>
      </w:r>
      <w:r>
        <w:rPr>
          <w:rFonts w:ascii="Book Antiqua" w:hAnsi="Book Antiqua"/>
          <w:color w:val="000000"/>
          <w:kern w:val="24"/>
        </w:rPr>
        <w:t xml:space="preserve"> </w:t>
      </w:r>
      <w:r w:rsidRPr="00CF7113">
        <w:rPr>
          <w:rFonts w:ascii="Book Antiqua" w:hAnsi="Book Antiqua"/>
          <w:color w:val="000000"/>
          <w:kern w:val="24"/>
        </w:rPr>
        <w:t xml:space="preserve">Serious adverse effects occurred in 19% of patients in the placebo group </w:t>
      </w:r>
      <w:r w:rsidRPr="00CF7113">
        <w:rPr>
          <w:rFonts w:ascii="Book Antiqua" w:hAnsi="Book Antiqua"/>
          <w:i/>
          <w:color w:val="000000"/>
          <w:kern w:val="24"/>
        </w:rPr>
        <w:t>vs</w:t>
      </w:r>
      <w:r w:rsidRPr="00CF7113">
        <w:rPr>
          <w:rFonts w:ascii="Book Antiqua" w:hAnsi="Book Antiqua"/>
          <w:color w:val="000000"/>
          <w:kern w:val="24"/>
        </w:rPr>
        <w:t xml:space="preserve"> 7</w:t>
      </w:r>
      <w:r w:rsidRPr="00CF7113">
        <w:rPr>
          <w:rFonts w:ascii="Book Antiqua" w:hAnsi="Book Antiqua"/>
          <w:color w:val="000000"/>
          <w:kern w:val="24"/>
          <w:lang w:eastAsia="zh-CN"/>
        </w:rPr>
        <w:t>%</w:t>
      </w:r>
      <w:r w:rsidRPr="00CF7113">
        <w:rPr>
          <w:rFonts w:ascii="Book Antiqua" w:hAnsi="Book Antiqua"/>
          <w:color w:val="000000"/>
          <w:kern w:val="24"/>
        </w:rPr>
        <w:t>-8% of patients in the active treatment groups.</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color w:val="000000"/>
          <w:kern w:val="24"/>
        </w:rPr>
      </w:pPr>
      <w:r w:rsidRPr="00CF7113">
        <w:rPr>
          <w:rFonts w:ascii="Book Antiqua" w:hAnsi="Book Antiqua"/>
          <w:b/>
          <w:i/>
        </w:rPr>
        <w:t>Vaniprevir</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lang w:eastAsia="zh-CN"/>
        </w:rPr>
      </w:pPr>
      <w:r w:rsidRPr="00CF7113">
        <w:rPr>
          <w:rFonts w:ascii="Book Antiqua" w:hAnsi="Book Antiqua"/>
          <w:color w:val="000000"/>
          <w:kern w:val="24"/>
        </w:rPr>
        <w:t>Vaniprevir is a potent NS3/4A protease inhibitor in genotypes 1 and 2 that has shown efficacy in phase II trials when given twice daily to non-cirrhotic patients who failed previous pegylated interferon/ribavirin therapy.</w:t>
      </w:r>
      <w:r>
        <w:rPr>
          <w:rFonts w:ascii="Book Antiqua" w:hAnsi="Book Antiqua"/>
          <w:color w:val="000000"/>
          <w:kern w:val="24"/>
        </w:rPr>
        <w:t xml:space="preserve"> </w:t>
      </w:r>
      <w:r w:rsidRPr="00CF7113">
        <w:rPr>
          <w:rFonts w:ascii="Book Antiqua" w:hAnsi="Book Antiqua"/>
          <w:color w:val="000000"/>
          <w:kern w:val="24"/>
        </w:rPr>
        <w:t>Vaniprevir 300</w:t>
      </w:r>
      <w:r w:rsidRPr="00CF7113">
        <w:rPr>
          <w:rFonts w:ascii="Book Antiqua" w:hAnsi="Book Antiqua"/>
          <w:color w:val="000000"/>
          <w:kern w:val="24"/>
          <w:lang w:eastAsia="zh-CN"/>
        </w:rPr>
        <w:t xml:space="preserve"> </w:t>
      </w:r>
      <w:r w:rsidRPr="00CF7113">
        <w:rPr>
          <w:rFonts w:ascii="Book Antiqua" w:hAnsi="Book Antiqua"/>
          <w:color w:val="000000"/>
          <w:kern w:val="24"/>
        </w:rPr>
        <w:t>mg and 600</w:t>
      </w:r>
      <w:r w:rsidRPr="00CF7113">
        <w:rPr>
          <w:rFonts w:ascii="Book Antiqua" w:hAnsi="Book Antiqua"/>
          <w:color w:val="000000"/>
          <w:kern w:val="24"/>
          <w:lang w:eastAsia="zh-CN"/>
        </w:rPr>
        <w:t xml:space="preserve"> </w:t>
      </w:r>
      <w:r w:rsidRPr="00CF7113">
        <w:rPr>
          <w:rFonts w:ascii="Book Antiqua" w:hAnsi="Book Antiqua"/>
          <w:color w:val="000000"/>
          <w:kern w:val="24"/>
        </w:rPr>
        <w:t>mg twice daily for 24-48 wk with pegylated interferon/ribavirin therapy produced sustained virologic response rates at 24 wk post-treatment ranging from 66.7</w:t>
      </w:r>
      <w:r w:rsidRPr="00CF7113">
        <w:rPr>
          <w:rFonts w:ascii="Book Antiqua" w:hAnsi="Book Antiqua"/>
          <w:color w:val="000000"/>
          <w:kern w:val="24"/>
          <w:lang w:eastAsia="zh-CN"/>
        </w:rPr>
        <w:t>%</w:t>
      </w:r>
      <w:r w:rsidRPr="00CF7113">
        <w:rPr>
          <w:rFonts w:ascii="Book Antiqua" w:hAnsi="Book Antiqua"/>
          <w:color w:val="000000"/>
          <w:kern w:val="24"/>
        </w:rPr>
        <w:t xml:space="preserve">-78% </w:t>
      </w:r>
      <w:r w:rsidRPr="00CF7113">
        <w:rPr>
          <w:rFonts w:ascii="Book Antiqua" w:hAnsi="Book Antiqua"/>
          <w:i/>
          <w:color w:val="000000"/>
          <w:kern w:val="24"/>
        </w:rPr>
        <w:t>vs</w:t>
      </w:r>
      <w:r w:rsidRPr="00CF7113">
        <w:rPr>
          <w:rFonts w:ascii="Book Antiqua" w:hAnsi="Book Antiqua"/>
          <w:color w:val="000000"/>
          <w:kern w:val="24"/>
        </w:rPr>
        <w:t xml:space="preserve"> only 19% with placebo and pegylated interferon/ribavirin</w:t>
      </w:r>
      <w:r w:rsidRPr="00CF7113">
        <w:rPr>
          <w:rFonts w:ascii="Book Antiqua" w:hAnsi="Book Antiqua"/>
          <w:color w:val="000000"/>
          <w:kern w:val="24"/>
          <w:vertAlign w:val="superscript"/>
        </w:rPr>
        <w:t>[28]</w:t>
      </w:r>
      <w:r w:rsidRPr="00CF7113">
        <w:rPr>
          <w:rFonts w:ascii="Book Antiqua" w:hAnsi="Book Antiqua"/>
          <w:color w:val="000000"/>
          <w:kern w:val="24"/>
        </w:rPr>
        <w:t>. Higher rates of gastrointestinal adverse events were seen with vaniprevir, but no difference in rash or anemia occurred between the two groups.</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ABT-450/ABT-450r</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r w:rsidRPr="00CF7113">
        <w:rPr>
          <w:rFonts w:ascii="Book Antiqua" w:hAnsi="Book Antiqua"/>
        </w:rPr>
        <w:t>ABT-450 is an NS3/4A protease inhibitor that is metabolized by cytochrome p4503A and coadministered with ritonavir 100</w:t>
      </w:r>
      <w:r w:rsidRPr="00CF7113">
        <w:rPr>
          <w:rFonts w:ascii="Book Antiqua" w:hAnsi="Book Antiqua"/>
          <w:lang w:eastAsia="zh-CN"/>
        </w:rPr>
        <w:t xml:space="preserve"> </w:t>
      </w:r>
      <w:r w:rsidRPr="00CF7113">
        <w:rPr>
          <w:rFonts w:ascii="Book Antiqua" w:hAnsi="Book Antiqua"/>
        </w:rPr>
        <w:t>mg (ABT-450r) to allow once daily dosing.</w:t>
      </w:r>
      <w:r>
        <w:rPr>
          <w:rFonts w:ascii="Book Antiqua" w:hAnsi="Book Antiqua"/>
        </w:rPr>
        <w:t xml:space="preserve"> </w:t>
      </w:r>
      <w:r w:rsidRPr="00CF7113">
        <w:rPr>
          <w:rFonts w:ascii="Book Antiqua" w:hAnsi="Book Antiqua"/>
        </w:rPr>
        <w:t>It has been studied in combination with ABT-333, an NS5B nonnucleoside polymerase inhibitor, as part of an interferon-free regimen</w:t>
      </w:r>
      <w:r w:rsidRPr="00CF7113">
        <w:rPr>
          <w:rFonts w:ascii="Book Antiqua" w:hAnsi="Book Antiqua"/>
          <w:vertAlign w:val="superscript"/>
        </w:rPr>
        <w:t>[29]</w:t>
      </w:r>
      <w:r w:rsidRPr="00CF7113">
        <w:rPr>
          <w:rFonts w:ascii="Book Antiqua" w:hAnsi="Book Antiqua"/>
        </w:rPr>
        <w:t>. Clinical trial results of this combination will be discussed later.</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color w:val="000000"/>
          <w:kern w:val="24"/>
        </w:rPr>
      </w:pPr>
      <w:r w:rsidRPr="00CF7113">
        <w:rPr>
          <w:rFonts w:ascii="Book Antiqua" w:hAnsi="Book Antiqua"/>
          <w:b/>
          <w:i/>
        </w:rPr>
        <w:t>Asunaprevir</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lang w:eastAsia="zh-CN"/>
        </w:rPr>
      </w:pPr>
      <w:r w:rsidRPr="00CF7113">
        <w:rPr>
          <w:rFonts w:ascii="Book Antiqua" w:hAnsi="Book Antiqua"/>
          <w:color w:val="000000"/>
          <w:kern w:val="24"/>
        </w:rPr>
        <w:t>Asunaprevir is also a potent NS3 inhibitor that is dosed twice daily, but is limited in efficacy to genotype 1 disease.</w:t>
      </w:r>
      <w:r>
        <w:rPr>
          <w:rFonts w:ascii="Book Antiqua" w:hAnsi="Book Antiqua"/>
          <w:color w:val="000000"/>
          <w:kern w:val="24"/>
        </w:rPr>
        <w:t xml:space="preserve"> </w:t>
      </w:r>
      <w:r w:rsidRPr="00CF7113">
        <w:rPr>
          <w:rFonts w:ascii="Book Antiqua" w:hAnsi="Book Antiqua"/>
          <w:color w:val="000000"/>
          <w:kern w:val="24"/>
        </w:rPr>
        <w:t>It has been studied in combination with daclatasvir, a potent NS5A replication complex inhibitor, as a part of an interferon-free regimen</w:t>
      </w:r>
      <w:r w:rsidRPr="00CF7113">
        <w:rPr>
          <w:rFonts w:ascii="Book Antiqua" w:hAnsi="Book Antiqua"/>
          <w:color w:val="000000"/>
          <w:kern w:val="24"/>
          <w:vertAlign w:val="superscript"/>
        </w:rPr>
        <w:t>[30]</w:t>
      </w:r>
      <w:r w:rsidRPr="00CF7113">
        <w:rPr>
          <w:rFonts w:ascii="Book Antiqua" w:hAnsi="Book Antiqua"/>
          <w:color w:val="000000"/>
          <w:kern w:val="24"/>
        </w:rPr>
        <w:t>. Clinical trial results of this combination will be discussed later.</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MK-5172</w:t>
      </w:r>
    </w:p>
    <w:p w:rsidR="00965749" w:rsidRPr="00CF7113" w:rsidRDefault="00965749" w:rsidP="006359CB">
      <w:pPr>
        <w:pStyle w:val="a9"/>
        <w:widowControl w:val="0"/>
        <w:adjustRightInd w:val="0"/>
        <w:spacing w:before="0" w:beforeAutospacing="0" w:after="0" w:afterAutospacing="0" w:line="360" w:lineRule="auto"/>
        <w:jc w:val="both"/>
        <w:rPr>
          <w:rFonts w:ascii="Book Antiqua" w:hAnsi="Book Antiqua"/>
          <w:lang w:eastAsia="zh-CN"/>
        </w:rPr>
      </w:pPr>
      <w:r w:rsidRPr="00CF7113">
        <w:rPr>
          <w:rFonts w:ascii="Book Antiqua" w:hAnsi="Book Antiqua"/>
        </w:rPr>
        <w:t>MK-5172 is a second generation protease inhibitor with pan-genotypic activity.</w:t>
      </w:r>
      <w:r>
        <w:rPr>
          <w:rFonts w:ascii="Book Antiqua" w:hAnsi="Book Antiqua"/>
        </w:rPr>
        <w:t xml:space="preserve"> </w:t>
      </w:r>
      <w:r w:rsidRPr="00CF7113">
        <w:rPr>
          <w:rFonts w:ascii="Book Antiqua" w:hAnsi="Book Antiqua"/>
        </w:rPr>
        <w:t>In a phase II trial, MK-5172 100</w:t>
      </w:r>
      <w:r w:rsidRPr="00CF7113">
        <w:rPr>
          <w:rFonts w:ascii="Book Antiqua" w:hAnsi="Book Antiqua"/>
          <w:lang w:eastAsia="zh-CN"/>
        </w:rPr>
        <w:t xml:space="preserve"> </w:t>
      </w:r>
      <w:r w:rsidRPr="00CF7113">
        <w:rPr>
          <w:rFonts w:ascii="Book Antiqua" w:hAnsi="Book Antiqua"/>
        </w:rPr>
        <w:t>mg, 200</w:t>
      </w:r>
      <w:r w:rsidRPr="00CF7113">
        <w:rPr>
          <w:rFonts w:ascii="Book Antiqua" w:hAnsi="Book Antiqua"/>
          <w:lang w:eastAsia="zh-CN"/>
        </w:rPr>
        <w:t xml:space="preserve"> </w:t>
      </w:r>
      <w:r w:rsidRPr="00CF7113">
        <w:rPr>
          <w:rFonts w:ascii="Book Antiqua" w:hAnsi="Book Antiqua"/>
        </w:rPr>
        <w:t>mg, 400</w:t>
      </w:r>
      <w:r w:rsidRPr="00CF7113">
        <w:rPr>
          <w:rFonts w:ascii="Book Antiqua" w:hAnsi="Book Antiqua"/>
          <w:lang w:eastAsia="zh-CN"/>
        </w:rPr>
        <w:t xml:space="preserve"> </w:t>
      </w:r>
      <w:r w:rsidRPr="00CF7113">
        <w:rPr>
          <w:rFonts w:ascii="Book Antiqua" w:hAnsi="Book Antiqua"/>
        </w:rPr>
        <w:t>mg, and 800</w:t>
      </w:r>
      <w:r w:rsidRPr="00CF7113">
        <w:rPr>
          <w:rFonts w:ascii="Book Antiqua" w:hAnsi="Book Antiqua"/>
          <w:lang w:eastAsia="zh-CN"/>
        </w:rPr>
        <w:t xml:space="preserve"> </w:t>
      </w:r>
      <w:r w:rsidRPr="00CF7113">
        <w:rPr>
          <w:rFonts w:ascii="Book Antiqua" w:hAnsi="Book Antiqua"/>
        </w:rPr>
        <w:t>mg once daily combined with pegylated interferon and ribavirin for 12 wk gave sustained virologic responses of 86%, 92%, 91%, and 87%, respectively, compared with 54% in the control group receiving triple therapy with pegylated interferon/ribavirin and boceprevir</w:t>
      </w:r>
      <w:r w:rsidRPr="00CF7113">
        <w:rPr>
          <w:rFonts w:ascii="Book Antiqua" w:hAnsi="Book Antiqua"/>
          <w:vertAlign w:val="superscript"/>
        </w:rPr>
        <w:t>[31]</w:t>
      </w:r>
      <w:r w:rsidRPr="00CF7113">
        <w:rPr>
          <w:rFonts w:ascii="Book Antiqua" w:hAnsi="Book Antiqua"/>
        </w:rPr>
        <w:t>. Elevations in bilirubin and serum transaminases were seen mostly in the higher dose groups.</w:t>
      </w:r>
      <w:r>
        <w:rPr>
          <w:rFonts w:ascii="Book Antiqua" w:hAnsi="Book Antiqua"/>
        </w:rPr>
        <w:t xml:space="preserve"> </w:t>
      </w:r>
      <w:r w:rsidRPr="00CF7113">
        <w:rPr>
          <w:rFonts w:ascii="Book Antiqua" w:hAnsi="Book Antiqua"/>
        </w:rPr>
        <w:t xml:space="preserve">Rates of serious adverse events were similar between all groups but half as many patients discontinued therapy due to adverse events in the MK-5172 treatment arms (7% </w:t>
      </w:r>
      <w:r w:rsidRPr="002806EB">
        <w:rPr>
          <w:rFonts w:ascii="Book Antiqua" w:hAnsi="Book Antiqua"/>
          <w:i/>
        </w:rPr>
        <w:t>vs</w:t>
      </w:r>
      <w:r w:rsidRPr="00CF7113">
        <w:rPr>
          <w:rFonts w:ascii="Book Antiqua" w:hAnsi="Book Antiqua"/>
        </w:rPr>
        <w:t xml:space="preserve"> 14%).</w:t>
      </w:r>
      <w:r>
        <w:rPr>
          <w:rFonts w:ascii="Book Antiqua" w:hAnsi="Book Antiqua"/>
        </w:rPr>
        <w:t xml:space="preserve"> </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ACH-2684</w:t>
      </w:r>
    </w:p>
    <w:p w:rsidR="00965749" w:rsidRPr="00CF7113" w:rsidRDefault="00965749" w:rsidP="006359CB">
      <w:pPr>
        <w:pStyle w:val="a9"/>
        <w:spacing w:before="0" w:beforeAutospacing="0" w:after="0" w:afterAutospacing="0" w:line="360" w:lineRule="auto"/>
        <w:jc w:val="both"/>
        <w:rPr>
          <w:rFonts w:ascii="Book Antiqua" w:hAnsi="Book Antiqua"/>
          <w:color w:val="000000"/>
          <w:kern w:val="24"/>
        </w:rPr>
      </w:pPr>
      <w:r w:rsidRPr="00CF7113">
        <w:rPr>
          <w:rFonts w:ascii="Book Antiqua" w:hAnsi="Book Antiqua"/>
          <w:color w:val="000000"/>
          <w:kern w:val="24"/>
        </w:rPr>
        <w:t>ACH-2684 is also a pan-genotypic, highly potent second generation protease inhibitor.</w:t>
      </w:r>
      <w:r>
        <w:rPr>
          <w:rFonts w:ascii="Book Antiqua" w:hAnsi="Book Antiqua"/>
          <w:color w:val="000000"/>
          <w:kern w:val="24"/>
        </w:rPr>
        <w:t xml:space="preserve"> </w:t>
      </w:r>
      <w:r w:rsidRPr="00CF7113">
        <w:rPr>
          <w:rFonts w:ascii="Book Antiqua" w:hAnsi="Book Antiqua"/>
          <w:color w:val="000000"/>
          <w:kern w:val="24"/>
        </w:rPr>
        <w:t>This compound can be dosed orally once daily and does not inhibit cytochrome p450 microsomal enzymes or activate transcription</w:t>
      </w:r>
      <w:r w:rsidRPr="00CF7113">
        <w:rPr>
          <w:rFonts w:ascii="Book Antiqua" w:hAnsi="Book Antiqua"/>
          <w:color w:val="000000"/>
          <w:kern w:val="24"/>
          <w:vertAlign w:val="superscript"/>
        </w:rPr>
        <w:t>[32]</w:t>
      </w:r>
      <w:r w:rsidRPr="00CF7113">
        <w:rPr>
          <w:rFonts w:ascii="Book Antiqua" w:hAnsi="Book Antiqua"/>
          <w:color w:val="000000"/>
          <w:kern w:val="24"/>
        </w:rPr>
        <w:t>. ACH-2684 has completed phase I trials and is currently being evaluated in phase II.</w:t>
      </w:r>
      <w:r>
        <w:rPr>
          <w:rFonts w:ascii="Book Antiqua" w:hAnsi="Book Antiqua"/>
          <w:color w:val="000000"/>
          <w:kern w:val="24"/>
        </w:rPr>
        <w:t xml:space="preserve"> </w:t>
      </w:r>
    </w:p>
    <w:p w:rsidR="00965749" w:rsidRPr="00CF7113" w:rsidRDefault="00965749" w:rsidP="006359CB">
      <w:pPr>
        <w:pStyle w:val="a9"/>
        <w:spacing w:before="0" w:beforeAutospacing="0" w:after="0" w:afterAutospacing="0" w:line="360" w:lineRule="auto"/>
        <w:jc w:val="both"/>
        <w:rPr>
          <w:rFonts w:ascii="Book Antiqua" w:hAnsi="Book Antiqua"/>
        </w:rPr>
      </w:pPr>
    </w:p>
    <w:p w:rsidR="00965749" w:rsidRPr="00CF7113" w:rsidRDefault="00965749" w:rsidP="006359CB">
      <w:pPr>
        <w:pStyle w:val="a9"/>
        <w:spacing w:before="0" w:beforeAutospacing="0" w:after="0" w:afterAutospacing="0" w:line="360" w:lineRule="auto"/>
        <w:jc w:val="both"/>
        <w:rPr>
          <w:rFonts w:ascii="Book Antiqua" w:hAnsi="Book Antiqua"/>
          <w:b/>
        </w:rPr>
      </w:pPr>
      <w:r w:rsidRPr="00CF7113">
        <w:rPr>
          <w:rFonts w:ascii="Book Antiqua" w:hAnsi="Book Antiqua"/>
          <w:b/>
        </w:rPr>
        <w:t>NS5A HCV REPLICATION INHIBITORS</w:t>
      </w: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Daclatasvir</w:t>
      </w:r>
    </w:p>
    <w:p w:rsidR="00965749" w:rsidRPr="00CF7113" w:rsidRDefault="00965749" w:rsidP="006359CB">
      <w:pPr>
        <w:pStyle w:val="a9"/>
        <w:spacing w:before="0" w:beforeAutospacing="0" w:after="0" w:afterAutospacing="0" w:line="360" w:lineRule="auto"/>
        <w:jc w:val="both"/>
        <w:rPr>
          <w:rFonts w:ascii="Book Antiqua" w:hAnsi="Book Antiqua"/>
          <w:vertAlign w:val="superscript"/>
          <w:lang w:eastAsia="zh-CN"/>
        </w:rPr>
      </w:pPr>
      <w:r w:rsidRPr="00CF7113">
        <w:rPr>
          <w:rFonts w:ascii="Book Antiqua" w:hAnsi="Book Antiqua"/>
        </w:rPr>
        <w:t>Unlike protease inhibitors that generally interfere with protein processing within the HCV genome, a number of compounds in development target nonstructural proteins involved in viral replication. (Table 2)</w:t>
      </w:r>
      <w:r>
        <w:rPr>
          <w:rFonts w:ascii="Book Antiqua" w:hAnsi="Book Antiqua"/>
        </w:rPr>
        <w:t xml:space="preserve"> </w:t>
      </w:r>
      <w:r w:rsidRPr="00CF7113">
        <w:rPr>
          <w:rFonts w:ascii="Book Antiqua" w:hAnsi="Book Antiqua"/>
        </w:rPr>
        <w:t>Daclatasvir works by inhibiting the function of a viral replication complex by binding to the NS5A protein.</w:t>
      </w:r>
      <w:r>
        <w:rPr>
          <w:rFonts w:ascii="Book Antiqua" w:hAnsi="Book Antiqua"/>
        </w:rPr>
        <w:t xml:space="preserve"> </w:t>
      </w:r>
      <w:r w:rsidRPr="00CF7113">
        <w:rPr>
          <w:rFonts w:ascii="Book Antiqua" w:hAnsi="Book Antiqua"/>
        </w:rPr>
        <w:t>It is highly potent orally, pan-genotypic in coverage and can be dosed once daily, but offers a lower barrier to resistance so will likely be used as combination therapy.</w:t>
      </w:r>
      <w:r>
        <w:rPr>
          <w:rFonts w:ascii="Book Antiqua" w:hAnsi="Book Antiqua"/>
        </w:rPr>
        <w:t xml:space="preserve"> </w:t>
      </w:r>
      <w:r w:rsidRPr="00CF7113">
        <w:rPr>
          <w:rFonts w:ascii="Book Antiqua" w:hAnsi="Book Antiqua"/>
        </w:rPr>
        <w:t>Initial studies in combination with pegylated interferon/ribavirin showed 10</w:t>
      </w:r>
      <w:r w:rsidRPr="00CF7113">
        <w:rPr>
          <w:rFonts w:ascii="Book Antiqua" w:hAnsi="Book Antiqua"/>
          <w:lang w:eastAsia="zh-CN"/>
        </w:rPr>
        <w:t xml:space="preserve"> </w:t>
      </w:r>
      <w:r w:rsidRPr="00CF7113">
        <w:rPr>
          <w:rFonts w:ascii="Book Antiqua" w:hAnsi="Book Antiqua"/>
        </w:rPr>
        <w:t>mg and 60</w:t>
      </w:r>
      <w:r w:rsidRPr="00CF7113">
        <w:rPr>
          <w:rFonts w:ascii="Book Antiqua" w:hAnsi="Book Antiqua"/>
          <w:lang w:eastAsia="zh-CN"/>
        </w:rPr>
        <w:t xml:space="preserve"> </w:t>
      </w:r>
      <w:r w:rsidRPr="00CF7113">
        <w:rPr>
          <w:rFonts w:ascii="Book Antiqua" w:hAnsi="Book Antiqua"/>
        </w:rPr>
        <w:t>mg doses once daily produced sustained virologic responses at 24 wk post-treatment of 83% compared to 25% with standard therapy alone</w:t>
      </w:r>
      <w:r w:rsidRPr="00CF7113">
        <w:rPr>
          <w:rFonts w:ascii="Book Antiqua" w:hAnsi="Book Antiqua"/>
          <w:vertAlign w:val="superscript"/>
        </w:rPr>
        <w:t>[33]</w:t>
      </w:r>
      <w:r w:rsidRPr="00CF7113">
        <w:rPr>
          <w:rFonts w:ascii="Book Antiqua" w:hAnsi="Book Antiqua"/>
        </w:rPr>
        <w:t>.</w:t>
      </w:r>
      <w:r w:rsidRPr="00CF7113">
        <w:rPr>
          <w:rFonts w:ascii="Book Antiqua" w:hAnsi="Book Antiqua"/>
          <w:vertAlign w:val="superscript"/>
        </w:rPr>
        <w:t xml:space="preserve"> </w:t>
      </w:r>
      <w:r w:rsidRPr="00CF7113">
        <w:rPr>
          <w:rFonts w:ascii="Book Antiqua" w:hAnsi="Book Antiqua"/>
        </w:rPr>
        <w:t>More recently, daclatasvir combined with sofosbuvir , an NS5B polymerase inhibitor discussed below, was shown to produce a 100% sustained virologic response at 24 wk in genotype 1 patients who had failed triple therapy with pegylated interferon/ribavirin and telaprevir or boceprevir without ribavirin</w:t>
      </w:r>
      <w:r w:rsidRPr="002806EB">
        <w:rPr>
          <w:rFonts w:ascii="Book Antiqua" w:hAnsi="Book Antiqua"/>
          <w:vertAlign w:val="superscript"/>
        </w:rPr>
        <w:t>[34]</w:t>
      </w:r>
      <w:r w:rsidRPr="002806EB">
        <w:rPr>
          <w:rFonts w:ascii="Book Antiqua" w:hAnsi="Book Antiqua"/>
        </w:rPr>
        <w:t>.</w:t>
      </w:r>
      <w:r w:rsidRPr="00CF7113">
        <w:rPr>
          <w:rFonts w:ascii="Book Antiqua" w:hAnsi="Book Antiqua"/>
        </w:rPr>
        <w:t xml:space="preserve"> The combination was generally well tolerated without serious adverse events or discontinuations related to adverse events.</w:t>
      </w:r>
      <w:r>
        <w:rPr>
          <w:rFonts w:ascii="Book Antiqua" w:hAnsi="Book Antiqua"/>
        </w:rPr>
        <w:t xml:space="preserve"> </w:t>
      </w:r>
      <w:r w:rsidRPr="00CF7113">
        <w:rPr>
          <w:rFonts w:ascii="Book Antiqua" w:hAnsi="Book Antiqua"/>
        </w:rPr>
        <w:t>Daclatasvir has also been studied in combination with asunaprevir and another NS5B polymerase inhibitor (BMS-791325) in treatment-naïve, genotype 1 non-cirrhotic patients for 12 and 24 wk</w:t>
      </w:r>
      <w:r w:rsidRPr="00CF7113">
        <w:rPr>
          <w:rFonts w:ascii="Book Antiqua" w:hAnsi="Book Antiqua"/>
          <w:lang w:eastAsia="zh-CN"/>
        </w:rPr>
        <w:t xml:space="preserve"> </w:t>
      </w:r>
      <w:r w:rsidRPr="00CF7113">
        <w:rPr>
          <w:rFonts w:ascii="Book Antiqua" w:hAnsi="Book Antiqua"/>
        </w:rPr>
        <w:t>with SVRs of 88% and 94%, respectively</w:t>
      </w:r>
      <w:r w:rsidRPr="00CF7113">
        <w:rPr>
          <w:rFonts w:ascii="Book Antiqua" w:hAnsi="Book Antiqua"/>
          <w:vertAlign w:val="superscript"/>
        </w:rPr>
        <w:t>[30]</w:t>
      </w:r>
      <w:r w:rsidRPr="00CF7113">
        <w:rPr>
          <w:rFonts w:ascii="Book Antiqua" w:hAnsi="Book Antiqua"/>
        </w:rPr>
        <w:t>.</w:t>
      </w:r>
    </w:p>
    <w:p w:rsidR="00965749" w:rsidRPr="00CF7113" w:rsidRDefault="00965749" w:rsidP="006359CB">
      <w:pPr>
        <w:pStyle w:val="a9"/>
        <w:spacing w:before="0" w:beforeAutospacing="0" w:after="0" w:afterAutospacing="0" w:line="360" w:lineRule="auto"/>
        <w:jc w:val="both"/>
        <w:rPr>
          <w:rFonts w:ascii="Book Antiqua" w:hAnsi="Book Antiqua"/>
          <w:vertAlign w:val="superscript"/>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Ledipasvir</w:t>
      </w:r>
    </w:p>
    <w:p w:rsidR="00965749" w:rsidRPr="00CF7113" w:rsidRDefault="00965749" w:rsidP="006359CB">
      <w:pPr>
        <w:pStyle w:val="a9"/>
        <w:spacing w:before="0" w:beforeAutospacing="0" w:after="0" w:afterAutospacing="0" w:line="360" w:lineRule="auto"/>
        <w:jc w:val="both"/>
        <w:rPr>
          <w:rFonts w:ascii="Book Antiqua" w:hAnsi="Book Antiqua"/>
        </w:rPr>
      </w:pPr>
      <w:r w:rsidRPr="00CF7113">
        <w:rPr>
          <w:rFonts w:ascii="Book Antiqua" w:hAnsi="Book Antiqua"/>
        </w:rPr>
        <w:t>Ledipasvir is also an NS5A replication inhibitor that has been studied in combination with sofosbuvir, an NS5B polymerase inhibitor, in phase II trials.</w:t>
      </w:r>
      <w:r>
        <w:rPr>
          <w:rFonts w:ascii="Book Antiqua" w:hAnsi="Book Antiqua"/>
        </w:rPr>
        <w:t xml:space="preserve"> </w:t>
      </w:r>
      <w:r w:rsidRPr="00CF7113">
        <w:rPr>
          <w:rFonts w:ascii="Book Antiqua" w:hAnsi="Book Antiqua"/>
        </w:rPr>
        <w:t>Ledipasvir 90</w:t>
      </w:r>
      <w:r w:rsidRPr="00CF7113">
        <w:rPr>
          <w:rFonts w:ascii="Book Antiqua" w:hAnsi="Book Antiqua"/>
          <w:lang w:eastAsia="zh-CN"/>
        </w:rPr>
        <w:t xml:space="preserve"> </w:t>
      </w:r>
      <w:r w:rsidRPr="00CF7113">
        <w:rPr>
          <w:rFonts w:ascii="Book Antiqua" w:hAnsi="Book Antiqua"/>
        </w:rPr>
        <w:t xml:space="preserve">mg orally once daily in combination with both sofosbuvir and ribavirin in genotype 1 treatment-naïve and prior nonresponse patients increased sustained virologic responses to 100% at 12 wk post-treatment </w:t>
      </w:r>
      <w:r w:rsidRPr="00CF7113">
        <w:rPr>
          <w:rFonts w:ascii="Book Antiqua" w:hAnsi="Book Antiqua"/>
          <w:i/>
        </w:rPr>
        <w:t>vs</w:t>
      </w:r>
      <w:r w:rsidRPr="00CF7113">
        <w:rPr>
          <w:rFonts w:ascii="Book Antiqua" w:hAnsi="Book Antiqua"/>
        </w:rPr>
        <w:t xml:space="preserve"> 84% in naïve patients given sofosbuvir and ribavirin alone and 10% in sofosbuvir/ribavirin nonresponders</w:t>
      </w:r>
      <w:r w:rsidRPr="002806EB">
        <w:rPr>
          <w:rFonts w:ascii="Book Antiqua" w:hAnsi="Book Antiqua"/>
          <w:vertAlign w:val="superscript"/>
        </w:rPr>
        <w:t>[35]</w:t>
      </w:r>
      <w:r w:rsidRPr="002806EB">
        <w:rPr>
          <w:rFonts w:ascii="Book Antiqua" w:hAnsi="Book Antiqua"/>
        </w:rPr>
        <w:t>.</w:t>
      </w:r>
      <w:r w:rsidRPr="00CF7113">
        <w:rPr>
          <w:rFonts w:ascii="Book Antiqua" w:hAnsi="Book Antiqua"/>
          <w:vertAlign w:val="superscript"/>
        </w:rPr>
        <w:t xml:space="preserve"> </w:t>
      </w:r>
      <w:r w:rsidRPr="00CF7113">
        <w:rPr>
          <w:rFonts w:ascii="Book Antiqua" w:hAnsi="Book Antiqua"/>
        </w:rPr>
        <w:t>These agents are currently in phase III trials in a fixed-dose, once daily oral combination formulation.</w:t>
      </w:r>
    </w:p>
    <w:p w:rsidR="00965749" w:rsidRPr="00CF7113" w:rsidRDefault="00965749" w:rsidP="006359CB">
      <w:pPr>
        <w:pStyle w:val="a9"/>
        <w:spacing w:before="0" w:beforeAutospacing="0" w:after="0" w:afterAutospacing="0" w:line="360" w:lineRule="auto"/>
        <w:jc w:val="both"/>
        <w:rPr>
          <w:rFonts w:ascii="Book Antiqua" w:hAnsi="Book Antiqua"/>
          <w:i/>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ACH-3102</w:t>
      </w:r>
    </w:p>
    <w:p w:rsidR="00965749" w:rsidRPr="00CF7113" w:rsidRDefault="00965749" w:rsidP="006359CB">
      <w:pPr>
        <w:pStyle w:val="a9"/>
        <w:spacing w:before="0" w:beforeAutospacing="0" w:after="0" w:afterAutospacing="0" w:line="360" w:lineRule="auto"/>
        <w:jc w:val="both"/>
        <w:rPr>
          <w:rFonts w:ascii="Book Antiqua" w:hAnsi="Book Antiqua"/>
        </w:rPr>
      </w:pPr>
      <w:r w:rsidRPr="00CF7113">
        <w:rPr>
          <w:rFonts w:ascii="Book Antiqua" w:hAnsi="Book Antiqua"/>
        </w:rPr>
        <w:t>ACH-3102 is a structurally distinct, pan-genotypic, second generation NS5A replication inhibitor with a high barrier to resistance.</w:t>
      </w:r>
      <w:r>
        <w:rPr>
          <w:rFonts w:ascii="Book Antiqua" w:hAnsi="Book Antiqua"/>
        </w:rPr>
        <w:t xml:space="preserve"> </w:t>
      </w:r>
      <w:r w:rsidRPr="00CF7113">
        <w:rPr>
          <w:rFonts w:ascii="Book Antiqua" w:hAnsi="Book Antiqua"/>
        </w:rPr>
        <w:t>An ongoing phase II clinical trial is evaluating an oral, interferon-free combination regimen of ACH-3102 and sovaprevir with and without ribavirin for 12 and 8 wk durations of treatment in genotype 1 patients with HCV</w:t>
      </w:r>
      <w:r w:rsidRPr="00CF7113">
        <w:rPr>
          <w:rFonts w:ascii="Book Antiqua" w:hAnsi="Book Antiqua"/>
          <w:vertAlign w:val="superscript"/>
        </w:rPr>
        <w:t>[36]</w:t>
      </w:r>
      <w:r w:rsidRPr="00CF7113">
        <w:rPr>
          <w:rFonts w:ascii="Book Antiqua" w:hAnsi="Book Antiqua"/>
        </w:rPr>
        <w:t xml:space="preserve">. ACH-3102 has been granted fast-track status from the </w:t>
      </w:r>
      <w:r w:rsidRPr="00CF7113">
        <w:rPr>
          <w:rFonts w:ascii="Book Antiqua" w:hAnsi="Book Antiqua"/>
          <w:lang w:eastAsia="zh-CN"/>
        </w:rPr>
        <w:t>United States</w:t>
      </w:r>
      <w:r w:rsidRPr="00CF7113">
        <w:rPr>
          <w:rFonts w:ascii="Book Antiqua" w:hAnsi="Book Antiqua"/>
        </w:rPr>
        <w:t xml:space="preserve"> Food and Drug Administration.</w:t>
      </w:r>
    </w:p>
    <w:p w:rsidR="00965749" w:rsidRPr="00CF7113" w:rsidRDefault="00965749" w:rsidP="006359CB">
      <w:pPr>
        <w:pStyle w:val="a9"/>
        <w:spacing w:before="0" w:beforeAutospacing="0" w:after="0" w:afterAutospacing="0" w:line="360" w:lineRule="auto"/>
        <w:jc w:val="both"/>
        <w:rPr>
          <w:rFonts w:ascii="Book Antiqua" w:hAnsi="Book Antiqua"/>
          <w:b/>
          <w:i/>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ABT-267</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r w:rsidRPr="00CF7113">
        <w:rPr>
          <w:rFonts w:ascii="Book Antiqua" w:hAnsi="Book Antiqua"/>
        </w:rPr>
        <w:t>ABT-267 is an additional NS5A replication inhibitor that has been studied at a dose of 25</w:t>
      </w:r>
      <w:r w:rsidRPr="00CF7113">
        <w:rPr>
          <w:rFonts w:ascii="Book Antiqua" w:hAnsi="Book Antiqua"/>
          <w:lang w:eastAsia="zh-CN"/>
        </w:rPr>
        <w:t xml:space="preserve"> </w:t>
      </w:r>
      <w:r w:rsidRPr="00CF7113">
        <w:rPr>
          <w:rFonts w:ascii="Book Antiqua" w:hAnsi="Book Antiqua"/>
        </w:rPr>
        <w:t>mg once daily in combination with ABT-450/r and ABT-333, an NS5B polymerase inhibitor, and ribavirin in non-cirrhotic, treatment-naïve patients with genotype 1 disease and prior pegylated interferon/ribavirin nonresponders.</w:t>
      </w:r>
      <w:r>
        <w:rPr>
          <w:rFonts w:ascii="Book Antiqua" w:hAnsi="Book Antiqua"/>
        </w:rPr>
        <w:t xml:space="preserve"> </w:t>
      </w:r>
      <w:r w:rsidRPr="00CF7113">
        <w:rPr>
          <w:rFonts w:ascii="Book Antiqua" w:hAnsi="Book Antiqua"/>
        </w:rPr>
        <w:t>Phase II trial data showed a greater than 90% sustained virologic response in both groups at both 12 and 24 wk post-treatment</w:t>
      </w:r>
      <w:r w:rsidRPr="00CF7113">
        <w:rPr>
          <w:rFonts w:ascii="Book Antiqua" w:hAnsi="Book Antiqua"/>
          <w:vertAlign w:val="superscript"/>
        </w:rPr>
        <w:t>[37]</w:t>
      </w:r>
      <w:r w:rsidRPr="00CF7113">
        <w:rPr>
          <w:rFonts w:ascii="Book Antiqua" w:hAnsi="Book Antiqua"/>
        </w:rPr>
        <w:t>.</w:t>
      </w:r>
      <w:r w:rsidRPr="00CF7113">
        <w:rPr>
          <w:rFonts w:ascii="Book Antiqua" w:hAnsi="Book Antiqua"/>
          <w:vertAlign w:val="superscript"/>
        </w:rPr>
        <w:t xml:space="preserve"> </w:t>
      </w:r>
      <w:r w:rsidRPr="00CF7113">
        <w:rPr>
          <w:rFonts w:ascii="Book Antiqua" w:hAnsi="Book Antiqua"/>
        </w:rPr>
        <w:t>This combination regimen is currently being evaluated in a large phase III trial.</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rPr>
      </w:pPr>
      <w:r w:rsidRPr="00CF7113">
        <w:rPr>
          <w:rFonts w:ascii="Book Antiqua" w:hAnsi="Book Antiqua"/>
          <w:b/>
        </w:rPr>
        <w:t>NS5B RNA DEPENDENT RNA POLYMERASE INHIBITORS</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r w:rsidRPr="00CF7113">
        <w:rPr>
          <w:rFonts w:ascii="Book Antiqua" w:hAnsi="Book Antiqua"/>
        </w:rPr>
        <w:t>Nucleoside/tide inhibitors (NIs) block HCV RNA transcription and elongation by acting as chain terminators.</w:t>
      </w:r>
      <w:r>
        <w:rPr>
          <w:rFonts w:ascii="Book Antiqua" w:hAnsi="Book Antiqua"/>
        </w:rPr>
        <w:t xml:space="preserve"> </w:t>
      </w:r>
      <w:r w:rsidRPr="00CF7113">
        <w:rPr>
          <w:rFonts w:ascii="Book Antiqua" w:hAnsi="Book Antiqua"/>
        </w:rPr>
        <w:t>Because of the highly conserved nature of the polymerase catalytic site, NIs as a class are pan-genotypic in coverage and they have the highest barrier to resistance.</w:t>
      </w:r>
      <w:r>
        <w:rPr>
          <w:rFonts w:ascii="Book Antiqua" w:hAnsi="Book Antiqua"/>
        </w:rPr>
        <w:t xml:space="preserve"> </w:t>
      </w:r>
      <w:r w:rsidRPr="00CF7113">
        <w:rPr>
          <w:rFonts w:ascii="Book Antiqua" w:hAnsi="Book Antiqua"/>
        </w:rPr>
        <w:t>Nonnucleotide/side inhibitors (NNIs) bind allosteric polymerase sites away from the catalytic site and, while potent, have a much lower barrier to resistance.</w:t>
      </w:r>
      <w:r w:rsidRPr="00CF7113">
        <w:rPr>
          <w:rFonts w:ascii="Book Antiqua" w:hAnsi="Book Antiqua"/>
          <w:lang w:eastAsia="zh-CN"/>
        </w:rPr>
        <w:t xml:space="preserve"> </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Sofosbuvir</w:t>
      </w:r>
    </w:p>
    <w:p w:rsidR="00965749" w:rsidRPr="00CF7113" w:rsidRDefault="00965749" w:rsidP="006359CB">
      <w:pPr>
        <w:pStyle w:val="a9"/>
        <w:spacing w:before="0" w:beforeAutospacing="0" w:after="0" w:afterAutospacing="0" w:line="360" w:lineRule="auto"/>
        <w:jc w:val="both"/>
        <w:rPr>
          <w:rFonts w:ascii="Book Antiqua" w:hAnsi="Book Antiqua"/>
        </w:rPr>
      </w:pPr>
      <w:r w:rsidRPr="00CF7113">
        <w:rPr>
          <w:rFonts w:ascii="Book Antiqua" w:hAnsi="Book Antiqua"/>
        </w:rPr>
        <w:t>Sofosbuvir is an NS5B nucleoside inhibitor that is pan-genotypic, highly potent, and suitable for once daily oral dosing.</w:t>
      </w:r>
      <w:r>
        <w:rPr>
          <w:rFonts w:ascii="Book Antiqua" w:hAnsi="Book Antiqua"/>
        </w:rPr>
        <w:t xml:space="preserve"> </w:t>
      </w:r>
      <w:r w:rsidRPr="00CF7113">
        <w:rPr>
          <w:rFonts w:ascii="Book Antiqua" w:hAnsi="Book Antiqua"/>
        </w:rPr>
        <w:t xml:space="preserve">This compound has now completed study in four large, phase III trials and has been awarded priority review status by the </w:t>
      </w:r>
      <w:r w:rsidRPr="00CF7113">
        <w:rPr>
          <w:rFonts w:ascii="Book Antiqua" w:hAnsi="Book Antiqua"/>
          <w:lang w:eastAsia="zh-CN"/>
        </w:rPr>
        <w:t>United States</w:t>
      </w:r>
      <w:r w:rsidRPr="00CF7113">
        <w:rPr>
          <w:rFonts w:ascii="Book Antiqua" w:hAnsi="Book Antiqua"/>
        </w:rPr>
        <w:t xml:space="preserve"> Food and Drug Administration.</w:t>
      </w:r>
      <w:r>
        <w:rPr>
          <w:rFonts w:ascii="Book Antiqua" w:hAnsi="Book Antiqua"/>
        </w:rPr>
        <w:t xml:space="preserve"> </w:t>
      </w:r>
      <w:r w:rsidRPr="00CF7113">
        <w:rPr>
          <w:rFonts w:ascii="Book Antiqua" w:hAnsi="Book Antiqua"/>
        </w:rPr>
        <w:t>Additionally, phase II studies of sofosbuvir combination therapies as interferon-free regimens are currently underway.</w:t>
      </w:r>
      <w:r>
        <w:rPr>
          <w:rFonts w:ascii="Book Antiqua" w:hAnsi="Book Antiqua"/>
        </w:rPr>
        <w:t xml:space="preserve"> </w:t>
      </w:r>
    </w:p>
    <w:p w:rsidR="00965749" w:rsidRPr="00CF7113" w:rsidRDefault="00965749" w:rsidP="006359CB">
      <w:pPr>
        <w:pStyle w:val="a9"/>
        <w:spacing w:before="0" w:beforeAutospacing="0" w:after="0" w:afterAutospacing="0" w:line="360" w:lineRule="auto"/>
        <w:ind w:firstLineChars="200" w:firstLine="480"/>
        <w:jc w:val="both"/>
        <w:rPr>
          <w:rFonts w:ascii="Book Antiqua" w:hAnsi="Book Antiqua"/>
        </w:rPr>
      </w:pPr>
      <w:r w:rsidRPr="00CF7113">
        <w:rPr>
          <w:rFonts w:ascii="Book Antiqua" w:hAnsi="Book Antiqua"/>
        </w:rPr>
        <w:t>Sofosbuvir 400</w:t>
      </w:r>
      <w:r w:rsidRPr="00CF7113">
        <w:rPr>
          <w:rFonts w:ascii="Book Antiqua" w:hAnsi="Book Antiqua"/>
          <w:lang w:eastAsia="zh-CN"/>
        </w:rPr>
        <w:t xml:space="preserve"> </w:t>
      </w:r>
      <w:r w:rsidRPr="00CF7113">
        <w:rPr>
          <w:rFonts w:ascii="Book Antiqua" w:hAnsi="Book Antiqua"/>
        </w:rPr>
        <w:t>mg once daily was initially studied in combination with pegylated interferon/ribavirin therapy in 327 HCV patients with genotypes 1,</w:t>
      </w:r>
      <w:r w:rsidRPr="00CF7113">
        <w:rPr>
          <w:rFonts w:ascii="Book Antiqua" w:hAnsi="Book Antiqua"/>
          <w:lang w:eastAsia="zh-CN"/>
        </w:rPr>
        <w:t xml:space="preserve"> </w:t>
      </w:r>
      <w:r w:rsidRPr="00CF7113">
        <w:rPr>
          <w:rFonts w:ascii="Book Antiqua" w:hAnsi="Book Antiqua"/>
        </w:rPr>
        <w:t>4,</w:t>
      </w:r>
      <w:r w:rsidRPr="00CF7113">
        <w:rPr>
          <w:rFonts w:ascii="Book Antiqua" w:hAnsi="Book Antiqua"/>
          <w:lang w:eastAsia="zh-CN"/>
        </w:rPr>
        <w:t xml:space="preserve"> </w:t>
      </w:r>
      <w:r w:rsidRPr="00CF7113">
        <w:rPr>
          <w:rFonts w:ascii="Book Antiqua" w:hAnsi="Book Antiqua"/>
        </w:rPr>
        <w:t>5, or 6 for 12 wk (98% of patients were genotype 1 or 4)</w:t>
      </w:r>
      <w:r w:rsidRPr="00CF7113">
        <w:rPr>
          <w:rFonts w:ascii="Book Antiqua" w:hAnsi="Book Antiqua"/>
          <w:vertAlign w:val="superscript"/>
        </w:rPr>
        <w:t xml:space="preserve"> [38]</w:t>
      </w:r>
      <w:r w:rsidRPr="00CF7113">
        <w:rPr>
          <w:rFonts w:ascii="Book Antiqua" w:hAnsi="Book Antiqua"/>
        </w:rPr>
        <w:t>. A sustained virologic response of 90% was achieved in these patients.</w:t>
      </w:r>
      <w:r>
        <w:rPr>
          <w:rFonts w:ascii="Book Antiqua" w:hAnsi="Book Antiqua"/>
        </w:rPr>
        <w:t xml:space="preserve"> </w:t>
      </w:r>
      <w:r w:rsidRPr="00CF7113">
        <w:rPr>
          <w:rFonts w:ascii="Book Antiqua" w:hAnsi="Book Antiqua"/>
        </w:rPr>
        <w:t>A subsequent follow up study compared 499 patients with HCV genotypes 2 or 3 receiving sofosbuvir 400</w:t>
      </w:r>
      <w:r w:rsidRPr="00CF7113">
        <w:rPr>
          <w:rFonts w:ascii="Book Antiqua" w:hAnsi="Book Antiqua"/>
          <w:lang w:eastAsia="zh-CN"/>
        </w:rPr>
        <w:t xml:space="preserve"> </w:t>
      </w:r>
      <w:r w:rsidRPr="00CF7113">
        <w:rPr>
          <w:rFonts w:ascii="Book Antiqua" w:hAnsi="Book Antiqua"/>
        </w:rPr>
        <w:t>mg once daily plus ribavirin or pegylated interferon plus ribavirin for 12 wk. The sofosbuvir/ribavirin regimen was shown to be non-inferior to the pegylated interferon/ribavirin regimen achieving as sustained virologic response of 67%</w:t>
      </w:r>
      <w:r w:rsidRPr="00CF7113">
        <w:rPr>
          <w:rFonts w:ascii="Book Antiqua" w:hAnsi="Book Antiqua"/>
          <w:vertAlign w:val="superscript"/>
        </w:rPr>
        <w:t>[38]</w:t>
      </w:r>
      <w:r w:rsidRPr="00CF7113">
        <w:rPr>
          <w:rFonts w:ascii="Book Antiqua" w:hAnsi="Book Antiqua"/>
        </w:rPr>
        <w:t>.</w:t>
      </w:r>
      <w:r w:rsidRPr="00CF7113">
        <w:rPr>
          <w:rFonts w:ascii="Book Antiqua" w:hAnsi="Book Antiqua"/>
          <w:vertAlign w:val="superscript"/>
        </w:rPr>
        <w:t xml:space="preserve"> </w:t>
      </w:r>
      <w:r w:rsidRPr="00CF7113">
        <w:rPr>
          <w:rFonts w:ascii="Book Antiqua" w:hAnsi="Book Antiqua"/>
        </w:rPr>
        <w:t xml:space="preserve">Adverse events were less common with sofosbuvir than pegylated interferon and consisted primarily of headache, fatigue, nausea, and neutropenia. </w:t>
      </w:r>
    </w:p>
    <w:p w:rsidR="00965749" w:rsidRPr="00CF7113" w:rsidRDefault="00965749" w:rsidP="006359CB">
      <w:pPr>
        <w:pStyle w:val="a9"/>
        <w:spacing w:before="0" w:beforeAutospacing="0" w:after="0" w:afterAutospacing="0" w:line="360" w:lineRule="auto"/>
        <w:ind w:firstLineChars="200" w:firstLine="480"/>
        <w:jc w:val="both"/>
        <w:rPr>
          <w:rFonts w:ascii="Book Antiqua" w:hAnsi="Book Antiqua"/>
          <w:lang w:eastAsia="zh-CN"/>
        </w:rPr>
      </w:pPr>
      <w:r w:rsidRPr="00CF7113">
        <w:rPr>
          <w:rFonts w:ascii="Book Antiqua" w:hAnsi="Book Antiqua"/>
        </w:rPr>
        <w:t>Sofosbuvir has since been evaluated in HCV patients with genotype 2 or 3 who were not eligible to receive pegylated interferon or who had previous failed therapy with this agent.</w:t>
      </w:r>
      <w:r>
        <w:rPr>
          <w:rFonts w:ascii="Book Antiqua" w:hAnsi="Book Antiqua"/>
        </w:rPr>
        <w:t xml:space="preserve"> </w:t>
      </w:r>
      <w:r w:rsidRPr="00CF7113">
        <w:rPr>
          <w:rFonts w:ascii="Book Antiqua" w:hAnsi="Book Antiqua"/>
        </w:rPr>
        <w:t>Sofosbuvir 400</w:t>
      </w:r>
      <w:r w:rsidRPr="00CF7113">
        <w:rPr>
          <w:rFonts w:ascii="Book Antiqua" w:hAnsi="Book Antiqua"/>
          <w:lang w:eastAsia="zh-CN"/>
        </w:rPr>
        <w:t xml:space="preserve"> </w:t>
      </w:r>
      <w:r w:rsidRPr="00CF7113">
        <w:rPr>
          <w:rFonts w:ascii="Book Antiqua" w:hAnsi="Book Antiqua"/>
        </w:rPr>
        <w:t>mg once daily in combination with ribavirin or matching placebos was studied in 278 patients who had previously discontinued pegylated interferon therapy secondary to side effects, who had a current medical condition precluding treatment with pegylated interferon, or who decided against treatment with pegylated interferon for other reasons.</w:t>
      </w:r>
      <w:r>
        <w:rPr>
          <w:rFonts w:ascii="Book Antiqua" w:hAnsi="Book Antiqua"/>
        </w:rPr>
        <w:t xml:space="preserve"> </w:t>
      </w:r>
      <w:r w:rsidRPr="00CF7113">
        <w:rPr>
          <w:rFonts w:ascii="Book Antiqua" w:hAnsi="Book Antiqua"/>
        </w:rPr>
        <w:t xml:space="preserve">Sofosbuvir produced a sustained virologic response at 12 wk of 78% </w:t>
      </w:r>
      <w:r w:rsidRPr="00CF7113">
        <w:rPr>
          <w:rFonts w:ascii="Book Antiqua" w:hAnsi="Book Antiqua"/>
          <w:i/>
        </w:rPr>
        <w:t>vs</w:t>
      </w:r>
      <w:r w:rsidRPr="00CF7113">
        <w:rPr>
          <w:rFonts w:ascii="Book Antiqua" w:hAnsi="Book Antiqua"/>
        </w:rPr>
        <w:t xml:space="preserve"> 0% with placebo in these patients</w:t>
      </w:r>
      <w:r w:rsidRPr="00CF7113">
        <w:rPr>
          <w:rFonts w:ascii="Book Antiqua" w:hAnsi="Book Antiqua"/>
          <w:vertAlign w:val="superscript"/>
        </w:rPr>
        <w:t>[39]</w:t>
      </w:r>
      <w:r w:rsidRPr="00CF7113">
        <w:rPr>
          <w:rFonts w:ascii="Book Antiqua" w:hAnsi="Book Antiqua"/>
        </w:rPr>
        <w:t>. In a study of 201 similar patients who had failed previous therapy with pegylated interferon, sofosbuvir 400</w:t>
      </w:r>
      <w:r w:rsidRPr="00CF7113">
        <w:rPr>
          <w:rFonts w:ascii="Book Antiqua" w:hAnsi="Book Antiqua"/>
          <w:lang w:eastAsia="zh-CN"/>
        </w:rPr>
        <w:t xml:space="preserve"> </w:t>
      </w:r>
      <w:r w:rsidRPr="00CF7113">
        <w:rPr>
          <w:rFonts w:ascii="Book Antiqua" w:hAnsi="Book Antiqua"/>
        </w:rPr>
        <w:t>mg once daily plus ribavirin was compared in 12 wk and 16 wk treatment groups. Sofosbuvir achieved sustained virologic response rates of 50% and 73% in these treatment arms respectively, compared with historical controls of 25%</w:t>
      </w:r>
      <w:r w:rsidRPr="00CF7113">
        <w:rPr>
          <w:rFonts w:ascii="Book Antiqua" w:hAnsi="Book Antiqua"/>
          <w:vertAlign w:val="superscript"/>
        </w:rPr>
        <w:t>[39]</w:t>
      </w:r>
      <w:r w:rsidRPr="00CF7113">
        <w:rPr>
          <w:rFonts w:ascii="Book Antiqua" w:hAnsi="Book Antiqua"/>
        </w:rPr>
        <w:t>. The drug was well tolerated in both of these trials with primary side effects of fatigue and insomnia occurring in 3</w:t>
      </w:r>
      <w:r w:rsidRPr="00CF7113">
        <w:rPr>
          <w:rFonts w:ascii="Book Antiqua" w:hAnsi="Book Antiqua"/>
          <w:lang w:eastAsia="zh-CN"/>
        </w:rPr>
        <w:t>%</w:t>
      </w:r>
      <w:r w:rsidRPr="00CF7113">
        <w:rPr>
          <w:rFonts w:ascii="Book Antiqua" w:hAnsi="Book Antiqua"/>
        </w:rPr>
        <w:t>-5% of patients and few patients discontinuing use because of adverse effects.</w:t>
      </w:r>
      <w:r>
        <w:rPr>
          <w:rFonts w:ascii="Book Antiqua" w:hAnsi="Book Antiqua"/>
        </w:rPr>
        <w:t xml:space="preserve"> </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Mericitabine</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r w:rsidRPr="00CF7113">
        <w:rPr>
          <w:rFonts w:ascii="Book Antiqua" w:hAnsi="Book Antiqua"/>
        </w:rPr>
        <w:t>Mericitabine is also an NS5B nucleoside inhibitor with pan-genotypic activity, but requiring twice daily dosing.</w:t>
      </w:r>
      <w:r>
        <w:rPr>
          <w:rFonts w:ascii="Book Antiqua" w:hAnsi="Book Antiqua"/>
        </w:rPr>
        <w:t xml:space="preserve"> </w:t>
      </w:r>
      <w:r w:rsidRPr="00CF7113">
        <w:rPr>
          <w:rFonts w:ascii="Book Antiqua" w:hAnsi="Book Antiqua"/>
        </w:rPr>
        <w:t>Mericitabine 1000</w:t>
      </w:r>
      <w:r w:rsidRPr="00CF7113">
        <w:rPr>
          <w:rFonts w:ascii="Book Antiqua" w:hAnsi="Book Antiqua"/>
          <w:lang w:eastAsia="zh-CN"/>
        </w:rPr>
        <w:t xml:space="preserve"> </w:t>
      </w:r>
      <w:r w:rsidRPr="00CF7113">
        <w:rPr>
          <w:rFonts w:ascii="Book Antiqua" w:hAnsi="Book Antiqua"/>
        </w:rPr>
        <w:t>mg twice daily or placebo was given with pegylated interferon/ribavirin to 166 patients with HCV genotypes 1 or 4 for 24 wk. Patients who achieved an HCV RNA level &lt;</w:t>
      </w:r>
      <w:r w:rsidRPr="00CF7113">
        <w:rPr>
          <w:rFonts w:ascii="Book Antiqua" w:hAnsi="Book Antiqua"/>
          <w:lang w:eastAsia="zh-CN"/>
        </w:rPr>
        <w:t xml:space="preserve"> </w:t>
      </w:r>
      <w:r w:rsidRPr="00CF7113">
        <w:rPr>
          <w:rFonts w:ascii="Book Antiqua" w:hAnsi="Book Antiqua"/>
        </w:rPr>
        <w:t>15IU/m</w:t>
      </w:r>
      <w:r w:rsidRPr="00CF7113">
        <w:rPr>
          <w:rFonts w:ascii="Book Antiqua" w:hAnsi="Book Antiqua"/>
          <w:caps/>
        </w:rPr>
        <w:t>l</w:t>
      </w:r>
      <w:r w:rsidRPr="00CF7113">
        <w:rPr>
          <w:rFonts w:ascii="Book Antiqua" w:hAnsi="Book Antiqua"/>
        </w:rPr>
        <w:t xml:space="preserve"> (eRVR) from week 4 to week 22 stopped all treatment at that time, but all other patients continued to receive pegylated interferon/ribavirin for a full 48 wk of therapy.</w:t>
      </w:r>
      <w:r>
        <w:rPr>
          <w:rFonts w:ascii="Book Antiqua" w:hAnsi="Book Antiqua"/>
        </w:rPr>
        <w:t xml:space="preserve"> </w:t>
      </w:r>
      <w:r w:rsidRPr="00CF7113">
        <w:rPr>
          <w:rFonts w:ascii="Book Antiqua" w:hAnsi="Book Antiqua"/>
        </w:rPr>
        <w:t>Mericitabine-treated patients achieved a sustained virologic response at 24 wk post-treatment of 56.8%, compared with 36.5% of placebo-treated patients</w:t>
      </w:r>
      <w:r w:rsidRPr="00CF7113">
        <w:rPr>
          <w:rFonts w:ascii="Book Antiqua" w:hAnsi="Book Antiqua"/>
          <w:vertAlign w:val="superscript"/>
        </w:rPr>
        <w:t>[40]</w:t>
      </w:r>
      <w:r w:rsidRPr="00CF7113">
        <w:rPr>
          <w:rFonts w:ascii="Book Antiqua" w:hAnsi="Book Antiqua"/>
        </w:rPr>
        <w:t>. Relapse rates were 27.7% and 32% in patients treated with mericitabine and placebo, respectively.</w:t>
      </w:r>
      <w:r>
        <w:rPr>
          <w:rFonts w:ascii="Book Antiqua" w:hAnsi="Book Antiqua"/>
        </w:rPr>
        <w:t xml:space="preserve"> </w:t>
      </w:r>
      <w:r w:rsidRPr="00CF7113">
        <w:rPr>
          <w:rFonts w:ascii="Book Antiqua" w:hAnsi="Book Antiqua"/>
        </w:rPr>
        <w:t>The safety profile was similar in both groups, but fewer patients in the mericitabine group discontinued therapy for reasons of safety.</w:t>
      </w:r>
      <w:r>
        <w:rPr>
          <w:rFonts w:ascii="Book Antiqua" w:hAnsi="Book Antiqua"/>
        </w:rPr>
        <w:t xml:space="preserve"> </w:t>
      </w:r>
      <w:r w:rsidRPr="00CF7113">
        <w:rPr>
          <w:rFonts w:ascii="Book Antiqua" w:hAnsi="Book Antiqua"/>
        </w:rPr>
        <w:t xml:space="preserve"> </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ABT-333</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r w:rsidRPr="00CF7113">
        <w:rPr>
          <w:rFonts w:ascii="Book Antiqua" w:hAnsi="Book Antiqua"/>
        </w:rPr>
        <w:t>ABT-333 is a NS5B non-nucleoside polymerase inhibitor that has been evaluated in combination with the protease inhibitor, ABT450/r, and ribavirin in HCV genotype 1 treatment-naïve patients, as well as null or partial prior responders to pegylated interferon and ribavirin. ABT-333 at a dose of 400mg twice daily plus ABT-450/r 150mg or 250</w:t>
      </w:r>
      <w:r w:rsidRPr="00CF7113">
        <w:rPr>
          <w:rFonts w:ascii="Book Antiqua" w:hAnsi="Book Antiqua"/>
          <w:lang w:eastAsia="zh-CN"/>
        </w:rPr>
        <w:t xml:space="preserve"> </w:t>
      </w:r>
      <w:r w:rsidRPr="00CF7113">
        <w:rPr>
          <w:rFonts w:ascii="Book Antiqua" w:hAnsi="Book Antiqua"/>
        </w:rPr>
        <w:t>mg and ribavirin produced sustained virologic responses of 93</w:t>
      </w:r>
      <w:r w:rsidRPr="00CF7113">
        <w:rPr>
          <w:rFonts w:ascii="Book Antiqua" w:hAnsi="Book Antiqua"/>
          <w:lang w:eastAsia="zh-CN"/>
        </w:rPr>
        <w:t>%</w:t>
      </w:r>
      <w:r w:rsidRPr="00CF7113">
        <w:rPr>
          <w:rFonts w:ascii="Book Antiqua" w:hAnsi="Book Antiqua"/>
        </w:rPr>
        <w:t>-95% at 12 w</w:t>
      </w:r>
      <w:r>
        <w:rPr>
          <w:rFonts w:ascii="Book Antiqua" w:hAnsi="Book Antiqua"/>
        </w:rPr>
        <w:t>k</w:t>
      </w:r>
      <w:r w:rsidRPr="00CF7113">
        <w:rPr>
          <w:rFonts w:ascii="Book Antiqua" w:hAnsi="Book Antiqua"/>
        </w:rPr>
        <w:t xml:space="preserve"> post-treatment in previously untreated patients</w:t>
      </w:r>
      <w:r w:rsidRPr="00CF7113">
        <w:rPr>
          <w:rFonts w:ascii="Book Antiqua" w:hAnsi="Book Antiqua"/>
          <w:vertAlign w:val="superscript"/>
        </w:rPr>
        <w:t>[41]</w:t>
      </w:r>
      <w:r w:rsidRPr="00CF7113">
        <w:rPr>
          <w:rFonts w:ascii="Book Antiqua" w:hAnsi="Book Antiqua"/>
        </w:rPr>
        <w:t>. Only 47% of prior null or partial responders to pegylated interferon and ribavirin achieved an SVR</w:t>
      </w:r>
      <w:r w:rsidRPr="00CF7113">
        <w:rPr>
          <w:rFonts w:ascii="Book Antiqua" w:hAnsi="Book Antiqua"/>
          <w:vertAlign w:val="subscript"/>
        </w:rPr>
        <w:t>12</w:t>
      </w:r>
      <w:r w:rsidRPr="00CF7113">
        <w:rPr>
          <w:rFonts w:ascii="Book Antiqua" w:hAnsi="Book Antiqua"/>
        </w:rPr>
        <w:t>, however.</w:t>
      </w:r>
      <w:r>
        <w:rPr>
          <w:rFonts w:ascii="Book Antiqua" w:hAnsi="Book Antiqua"/>
        </w:rPr>
        <w:t xml:space="preserve"> </w:t>
      </w:r>
      <w:r w:rsidRPr="00CF7113">
        <w:rPr>
          <w:rFonts w:ascii="Book Antiqua" w:hAnsi="Book Antiqua"/>
        </w:rPr>
        <w:t>As mentioned previously, this drug is currently being studied in a phase III trial in combination with ABT-450/r and ABT-267, with or without ribavirin in genotype 1b patients with HCV.</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rPr>
      </w:pPr>
      <w:r w:rsidRPr="00CF7113">
        <w:rPr>
          <w:rFonts w:ascii="Book Antiqua" w:hAnsi="Book Antiqua"/>
          <w:b/>
        </w:rPr>
        <w:t>HOST TARGETED AGENTS FOR HEPATITIS C</w:t>
      </w: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Alisporivir</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r w:rsidRPr="00CF7113">
        <w:rPr>
          <w:rFonts w:ascii="Book Antiqua" w:hAnsi="Book Antiqua"/>
        </w:rPr>
        <w:t>Alisporivir is a nonimmunosuppressive form of cyclosporine that blocks HCV replication by neutralizing the peptidyl-prolyl isomerase activity of the host protein, cyclophilin, which is required by NS5B for maximum RNA binding</w:t>
      </w:r>
      <w:r w:rsidRPr="00CF7113">
        <w:rPr>
          <w:rFonts w:ascii="Book Antiqua" w:hAnsi="Book Antiqua"/>
          <w:vertAlign w:val="superscript"/>
        </w:rPr>
        <w:t>[42]</w:t>
      </w:r>
      <w:r w:rsidRPr="00CF7113">
        <w:rPr>
          <w:rFonts w:ascii="Book Antiqua" w:hAnsi="Book Antiqua"/>
        </w:rPr>
        <w:t>. Alisporivir 600</w:t>
      </w:r>
      <w:r w:rsidRPr="00CF7113">
        <w:rPr>
          <w:rFonts w:ascii="Book Antiqua" w:hAnsi="Book Antiqua"/>
          <w:lang w:eastAsia="zh-CN"/>
        </w:rPr>
        <w:t xml:space="preserve"> </w:t>
      </w:r>
      <w:r w:rsidRPr="00CF7113">
        <w:rPr>
          <w:rFonts w:ascii="Book Antiqua" w:hAnsi="Book Antiqua"/>
        </w:rPr>
        <w:t>mg twice daily for one week followed by 600</w:t>
      </w:r>
      <w:r w:rsidRPr="00CF7113">
        <w:rPr>
          <w:rFonts w:ascii="Book Antiqua" w:hAnsi="Book Antiqua"/>
          <w:lang w:eastAsia="zh-CN"/>
        </w:rPr>
        <w:t xml:space="preserve"> </w:t>
      </w:r>
      <w:r w:rsidRPr="00CF7113">
        <w:rPr>
          <w:rFonts w:ascii="Book Antiqua" w:hAnsi="Book Antiqua"/>
        </w:rPr>
        <w:t>mg daily thereafter or placebo combined with pegylated interferon and ribavirin was evaluated in 288 patients with treatment-naïve genotype 1 HCV for 24 and 48 wk of therapy</w:t>
      </w:r>
      <w:r w:rsidRPr="00CF7113">
        <w:rPr>
          <w:rFonts w:ascii="Book Antiqua" w:hAnsi="Book Antiqua"/>
          <w:vertAlign w:val="superscript"/>
        </w:rPr>
        <w:t>[43]</w:t>
      </w:r>
      <w:r w:rsidRPr="00CF7113">
        <w:rPr>
          <w:rFonts w:ascii="Book Antiqua" w:hAnsi="Book Antiqua"/>
        </w:rPr>
        <w:t xml:space="preserve">. Sustained virologic response rates at 24 wk post-treatment were 76% in patients receiving triple therapy with alisporivir and pegylated interferon/ribavirin for 48 wk </w:t>
      </w:r>
      <w:r w:rsidRPr="00CF7113">
        <w:rPr>
          <w:rFonts w:ascii="Book Antiqua" w:hAnsi="Book Antiqua"/>
          <w:i/>
        </w:rPr>
        <w:t>vs</w:t>
      </w:r>
      <w:r w:rsidRPr="00CF7113">
        <w:rPr>
          <w:rFonts w:ascii="Book Antiqua" w:hAnsi="Book Antiqua"/>
        </w:rPr>
        <w:t xml:space="preserve"> 55% in the control arm. The drug was well tolerated overall with serious adverse events occurring in 7% of patients treated with alisporivir for 24 wk and 10% of patients treated with alisporivir for 48 wk. Subsequent to this trial, 3 patients developed pancreatitis, including one who died, and the FDA asked the manufacturer to place further trials on clinical hold until it can be determined if alisporivir potentiates the risk of hepatitis that is known with interferon therapy.</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Miravirsen</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r w:rsidRPr="00CF7113">
        <w:rPr>
          <w:rFonts w:ascii="Book Antiqua" w:hAnsi="Book Antiqua"/>
        </w:rPr>
        <w:t>Miravirsen is an antisense oligonucleotide that works by inhibiting miR-122, a micro-RNA found in the liver essential to the stability and propagation of HCV RNA.</w:t>
      </w:r>
      <w:r>
        <w:rPr>
          <w:rFonts w:ascii="Book Antiqua" w:hAnsi="Book Antiqua"/>
        </w:rPr>
        <w:t xml:space="preserve"> </w:t>
      </w:r>
      <w:r w:rsidRPr="00CF7113">
        <w:rPr>
          <w:rFonts w:ascii="Book Antiqua" w:hAnsi="Book Antiqua"/>
        </w:rPr>
        <w:t>Miravirsen can be dose subcutaneously once daily, is pan-genotypic in activity, and has a high barrier to resistance.</w:t>
      </w:r>
      <w:r>
        <w:rPr>
          <w:rFonts w:ascii="Book Antiqua" w:hAnsi="Book Antiqua"/>
        </w:rPr>
        <w:t xml:space="preserve"> </w:t>
      </w:r>
      <w:r w:rsidRPr="00CF7113">
        <w:rPr>
          <w:rFonts w:ascii="Book Antiqua" w:hAnsi="Book Antiqua"/>
        </w:rPr>
        <w:t>In a phase IIa dose-ranging trial, miravirsen resulted in dose-dependent reduction in HCV RNA levels that were still not present 14 wk post-treatment</w:t>
      </w:r>
      <w:r w:rsidRPr="00CF7113">
        <w:rPr>
          <w:rFonts w:ascii="Book Antiqua" w:hAnsi="Book Antiqua"/>
          <w:vertAlign w:val="superscript"/>
        </w:rPr>
        <w:t>[44]</w:t>
      </w:r>
      <w:r w:rsidRPr="00CF7113">
        <w:rPr>
          <w:rFonts w:ascii="Book Antiqua" w:hAnsi="Book Antiqua"/>
        </w:rPr>
        <w:t>. No dose-limiting adverse events or escape mutations were noted in this small trial.</w:t>
      </w:r>
      <w:r>
        <w:rPr>
          <w:rFonts w:ascii="Book Antiqua" w:hAnsi="Book Antiqua"/>
        </w:rPr>
        <w:t xml:space="preserve"> </w:t>
      </w:r>
    </w:p>
    <w:p w:rsidR="00965749" w:rsidRPr="00CF7113" w:rsidRDefault="00965749" w:rsidP="006359CB">
      <w:pPr>
        <w:pStyle w:val="a9"/>
        <w:spacing w:before="0" w:beforeAutospacing="0" w:after="0" w:afterAutospacing="0" w:line="360" w:lineRule="auto"/>
        <w:jc w:val="both"/>
        <w:rPr>
          <w:rFonts w:ascii="Book Antiqua" w:hAnsi="Book Antiqua"/>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i/>
        </w:rPr>
      </w:pPr>
      <w:r w:rsidRPr="00CF7113">
        <w:rPr>
          <w:rFonts w:ascii="Book Antiqua" w:hAnsi="Book Antiqua"/>
          <w:b/>
          <w:i/>
        </w:rPr>
        <w:t>Interferon-λ</w:t>
      </w:r>
    </w:p>
    <w:p w:rsidR="00965749" w:rsidRPr="00CF7113" w:rsidRDefault="00965749" w:rsidP="006359CB">
      <w:pPr>
        <w:pStyle w:val="a9"/>
        <w:spacing w:before="0" w:beforeAutospacing="0" w:after="0" w:afterAutospacing="0" w:line="360" w:lineRule="auto"/>
        <w:jc w:val="both"/>
        <w:rPr>
          <w:rFonts w:ascii="Book Antiqua" w:hAnsi="Book Antiqua"/>
        </w:rPr>
      </w:pPr>
      <w:r w:rsidRPr="00CF7113">
        <w:rPr>
          <w:rFonts w:ascii="Book Antiqua" w:hAnsi="Book Antiqua"/>
        </w:rPr>
        <w:t>Pegylated interferon lambda is a type 3 interferon that signals through a different receptor than type 1 interferon, but can inhibit HCV viral replication in vitro.</w:t>
      </w:r>
      <w:r>
        <w:rPr>
          <w:rFonts w:ascii="Book Antiqua" w:hAnsi="Book Antiqua"/>
        </w:rPr>
        <w:t xml:space="preserve"> </w:t>
      </w:r>
      <w:r w:rsidRPr="00CF7113">
        <w:rPr>
          <w:rFonts w:ascii="Book Antiqua" w:hAnsi="Book Antiqua"/>
        </w:rPr>
        <w:t>In early trials it was well tolerated without the usual flu-like syndrome and hematopoietic effects typically seen with interferon alpha.</w:t>
      </w:r>
      <w:r w:rsidRPr="00CF7113">
        <w:rPr>
          <w:rFonts w:ascii="Book Antiqua" w:hAnsi="Book Antiqua"/>
          <w:lang w:eastAsia="zh-CN"/>
        </w:rPr>
        <w:t xml:space="preserve"> </w:t>
      </w:r>
      <w:r w:rsidRPr="00CF7113">
        <w:rPr>
          <w:rFonts w:ascii="Book Antiqua" w:hAnsi="Book Antiqua"/>
        </w:rPr>
        <w:t>A phase II trial comparing pegylated interferon lambda with pegylated interferon alpha each in combination with ribavirin found comparable SVR rates but less interferon side effects with pegylated interferon lambda</w:t>
      </w:r>
      <w:r w:rsidRPr="00CF7113">
        <w:rPr>
          <w:rFonts w:ascii="Book Antiqua" w:hAnsi="Book Antiqua"/>
          <w:vertAlign w:val="superscript"/>
        </w:rPr>
        <w:t>[45]</w:t>
      </w:r>
      <w:r w:rsidRPr="00CF7113">
        <w:rPr>
          <w:rFonts w:ascii="Book Antiqua" w:hAnsi="Book Antiqua"/>
        </w:rPr>
        <w:t>. This could prove to be a useful option for patients who do not respond to interferon-free regimens currently in development.</w:t>
      </w:r>
    </w:p>
    <w:p w:rsidR="00965749" w:rsidRPr="00CF7113" w:rsidRDefault="00965749" w:rsidP="006359CB">
      <w:pPr>
        <w:pStyle w:val="a9"/>
        <w:spacing w:before="0" w:beforeAutospacing="0" w:after="0" w:afterAutospacing="0" w:line="360" w:lineRule="auto"/>
        <w:jc w:val="both"/>
        <w:rPr>
          <w:rFonts w:ascii="Book Antiqua" w:hAnsi="Book Antiqua"/>
          <w:b/>
          <w:lang w:eastAsia="zh-CN"/>
        </w:rPr>
      </w:pPr>
    </w:p>
    <w:p w:rsidR="00965749" w:rsidRPr="00CF7113" w:rsidRDefault="00965749" w:rsidP="006359CB">
      <w:pPr>
        <w:pStyle w:val="a9"/>
        <w:spacing w:before="0" w:beforeAutospacing="0" w:after="0" w:afterAutospacing="0" w:line="360" w:lineRule="auto"/>
        <w:jc w:val="both"/>
        <w:rPr>
          <w:rFonts w:ascii="Book Antiqua" w:hAnsi="Book Antiqua"/>
          <w:b/>
        </w:rPr>
      </w:pPr>
      <w:r w:rsidRPr="00CF7113">
        <w:rPr>
          <w:rFonts w:ascii="Book Antiqua" w:hAnsi="Book Antiqua"/>
          <w:b/>
        </w:rPr>
        <w:t>PLACE IN THERAPY OF NEW AGENTS FOR HEPATITIS C</w:t>
      </w:r>
    </w:p>
    <w:p w:rsidR="00965749" w:rsidRPr="00CF7113" w:rsidRDefault="00965749" w:rsidP="006359CB">
      <w:pPr>
        <w:pStyle w:val="a9"/>
        <w:spacing w:before="0" w:beforeAutospacing="0" w:after="0" w:afterAutospacing="0" w:line="360" w:lineRule="auto"/>
        <w:jc w:val="both"/>
        <w:rPr>
          <w:rFonts w:ascii="Book Antiqua" w:hAnsi="Book Antiqua"/>
        </w:rPr>
      </w:pPr>
      <w:r w:rsidRPr="00CF7113">
        <w:rPr>
          <w:rFonts w:ascii="Book Antiqua" w:hAnsi="Book Antiqua"/>
        </w:rPr>
        <w:t>Clearly the availability of both telaprevir and boceprevir, as well as other anti-HCV drugs in development, will vastly improve our antiviral armamentarium for patients with hepatitis C.</w:t>
      </w:r>
      <w:r>
        <w:rPr>
          <w:rFonts w:ascii="Book Antiqua" w:hAnsi="Book Antiqua"/>
        </w:rPr>
        <w:t xml:space="preserve"> </w:t>
      </w:r>
      <w:r w:rsidRPr="00CF7113">
        <w:rPr>
          <w:rFonts w:ascii="Book Antiqua" w:hAnsi="Book Antiqua"/>
        </w:rPr>
        <w:t>Telaprevir and boceprevir must be used in conjunction with standard pegylated interferon and ribavirin therapy.</w:t>
      </w:r>
      <w:r>
        <w:rPr>
          <w:rFonts w:ascii="Book Antiqua" w:hAnsi="Book Antiqua"/>
        </w:rPr>
        <w:t xml:space="preserve"> </w:t>
      </w:r>
      <w:r w:rsidRPr="00CF7113">
        <w:rPr>
          <w:rFonts w:ascii="Book Antiqua" w:hAnsi="Book Antiqua"/>
        </w:rPr>
        <w:t>However, the duration of treatment may be reduced substantially for many patients, based upon the clinical trial results from patients receiving a rapid virologic response.</w:t>
      </w:r>
      <w:r>
        <w:rPr>
          <w:rFonts w:ascii="Book Antiqua" w:hAnsi="Book Antiqua"/>
        </w:rPr>
        <w:t xml:space="preserve"> </w:t>
      </w:r>
      <w:r w:rsidRPr="00CF7113">
        <w:rPr>
          <w:rFonts w:ascii="Book Antiqua" w:hAnsi="Book Antiqua"/>
        </w:rPr>
        <w:t>Substantial improvement in the sustained virologic response should be seen with these new agents for both treatment-naïve as well as prior relapsed or non-responsive patients. The further development of non-protease inhibitor based therapy offers the potential for interferon and ribavirin free therapy with once or twice daily oral dosing and a better tolerated</w:t>
      </w:r>
      <w:r>
        <w:rPr>
          <w:rFonts w:ascii="Book Antiqua" w:hAnsi="Book Antiqua"/>
        </w:rPr>
        <w:t xml:space="preserve"> </w:t>
      </w:r>
      <w:r w:rsidRPr="00CF7113">
        <w:rPr>
          <w:rFonts w:ascii="Book Antiqua" w:hAnsi="Book Antiqua"/>
        </w:rPr>
        <w:t>side-effect profile.</w:t>
      </w:r>
      <w:r>
        <w:rPr>
          <w:rFonts w:ascii="Book Antiqua" w:hAnsi="Book Antiqua"/>
        </w:rPr>
        <w:t xml:space="preserve"> </w:t>
      </w:r>
      <w:r w:rsidRPr="00CF7113">
        <w:rPr>
          <w:rFonts w:ascii="Book Antiqua" w:hAnsi="Book Antiqua"/>
        </w:rPr>
        <w:t>Additional studies are needed to determine which agent or agents should be used initially and the optimal combination regimen for patients needing additional therapy.</w:t>
      </w:r>
    </w:p>
    <w:p w:rsidR="00965749" w:rsidRPr="00CF7113" w:rsidRDefault="00965749" w:rsidP="006359CB">
      <w:pPr>
        <w:pStyle w:val="a9"/>
        <w:spacing w:before="0" w:beforeAutospacing="0" w:after="0" w:afterAutospacing="0" w:line="360" w:lineRule="auto"/>
        <w:ind w:firstLineChars="200" w:firstLine="480"/>
        <w:jc w:val="both"/>
        <w:rPr>
          <w:rFonts w:ascii="Book Antiqua" w:hAnsi="Book Antiqua"/>
        </w:rPr>
      </w:pPr>
      <w:r w:rsidRPr="00CF7113">
        <w:rPr>
          <w:rFonts w:ascii="Book Antiqua" w:hAnsi="Book Antiqua"/>
        </w:rPr>
        <w:t>At this point in time, it appears that second generation protease inhibitors will supplant current protease inhibitor therapy on the basis of broader genotypic coverage and a higher barrier to resistance.</w:t>
      </w:r>
      <w:r>
        <w:rPr>
          <w:rFonts w:ascii="Book Antiqua" w:hAnsi="Book Antiqua"/>
        </w:rPr>
        <w:t xml:space="preserve"> </w:t>
      </w:r>
      <w:r w:rsidRPr="00CF7113">
        <w:rPr>
          <w:rFonts w:ascii="Book Antiqua" w:hAnsi="Book Antiqua"/>
        </w:rPr>
        <w:t>Both NS5A replication inhibitors and NS5B RNA dependent RNA polymerase inhibitors offer greater potency than currently available drugs, but a lower barrier to resistance with the NS5As will likely require combination therapy.</w:t>
      </w:r>
      <w:r>
        <w:rPr>
          <w:rFonts w:ascii="Book Antiqua" w:hAnsi="Book Antiqua"/>
        </w:rPr>
        <w:t xml:space="preserve"> </w:t>
      </w:r>
      <w:r w:rsidRPr="00CF7113">
        <w:rPr>
          <w:rFonts w:ascii="Book Antiqua" w:hAnsi="Book Antiqua"/>
        </w:rPr>
        <w:t>The availability of these new agents should preclude the continued need for interferon therapy and</w:t>
      </w:r>
      <w:r>
        <w:rPr>
          <w:rFonts w:ascii="Book Antiqua" w:hAnsi="Book Antiqua"/>
        </w:rPr>
        <w:t xml:space="preserve"> </w:t>
      </w:r>
      <w:r w:rsidRPr="00CF7113">
        <w:rPr>
          <w:rFonts w:ascii="Book Antiqua" w:hAnsi="Book Antiqua"/>
        </w:rPr>
        <w:t>possibly for ribavirin therapy as well.</w:t>
      </w:r>
      <w:r>
        <w:rPr>
          <w:rFonts w:ascii="Book Antiqua" w:hAnsi="Book Antiqua"/>
        </w:rPr>
        <w:t xml:space="preserve"> </w:t>
      </w:r>
    </w:p>
    <w:p w:rsidR="00965749" w:rsidRPr="00CF7113" w:rsidRDefault="00965749" w:rsidP="006359CB">
      <w:pPr>
        <w:spacing w:after="0" w:line="360" w:lineRule="auto"/>
        <w:jc w:val="both"/>
        <w:rPr>
          <w:rFonts w:ascii="Book Antiqua" w:hAnsi="Book Antiqua"/>
          <w:sz w:val="24"/>
          <w:szCs w:val="24"/>
        </w:rPr>
      </w:pPr>
      <w:r w:rsidRPr="00CF7113">
        <w:rPr>
          <w:rFonts w:ascii="Book Antiqua" w:hAnsi="Book Antiqua"/>
          <w:sz w:val="24"/>
          <w:szCs w:val="24"/>
        </w:rPr>
        <w:br w:type="page"/>
      </w:r>
    </w:p>
    <w:p w:rsidR="00965749" w:rsidRDefault="00965749" w:rsidP="006359CB">
      <w:pPr>
        <w:spacing w:after="0" w:line="360" w:lineRule="auto"/>
        <w:jc w:val="both"/>
        <w:rPr>
          <w:rFonts w:ascii="Book Antiqua" w:hAnsi="Book Antiqua"/>
          <w:b/>
          <w:sz w:val="21"/>
          <w:szCs w:val="24"/>
          <w:lang w:eastAsia="zh-CN"/>
        </w:rPr>
      </w:pPr>
      <w:r w:rsidRPr="002806EB">
        <w:rPr>
          <w:rFonts w:ascii="Book Antiqua" w:hAnsi="Book Antiqua"/>
          <w:b/>
          <w:sz w:val="21"/>
          <w:szCs w:val="24"/>
        </w:rPr>
        <w:t>REFERENCES</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1 </w:t>
      </w:r>
      <w:r w:rsidRPr="00E2582D">
        <w:rPr>
          <w:rFonts w:ascii="Book Antiqua" w:hAnsi="Book Antiqua"/>
          <w:b/>
          <w:bCs/>
          <w:color w:val="000000"/>
          <w:sz w:val="21"/>
          <w:szCs w:val="21"/>
        </w:rPr>
        <w:t>Strader DB</w:t>
      </w:r>
      <w:r w:rsidRPr="00E2582D">
        <w:rPr>
          <w:rFonts w:ascii="Book Antiqua" w:hAnsi="Book Antiqua"/>
          <w:color w:val="000000"/>
          <w:sz w:val="21"/>
          <w:szCs w:val="21"/>
        </w:rPr>
        <w:t>, Wright T, Thomas DL, Seeff LB. Diagnosis, management, and treatment of hepatitis C.</w:t>
      </w:r>
      <w:r w:rsidRPr="00E2582D">
        <w:rPr>
          <w:rStyle w:val="apple-converted-space"/>
          <w:rFonts w:ascii="Book Antiqua" w:hAnsi="Book Antiqua"/>
          <w:color w:val="000000"/>
          <w:sz w:val="21"/>
          <w:szCs w:val="21"/>
        </w:rPr>
        <w:t> </w:t>
      </w:r>
      <w:r w:rsidRPr="00E2582D">
        <w:rPr>
          <w:rFonts w:ascii="Book Antiqua" w:hAnsi="Book Antiqua"/>
          <w:i/>
          <w:iCs/>
          <w:color w:val="000000"/>
          <w:sz w:val="21"/>
          <w:szCs w:val="21"/>
        </w:rPr>
        <w:t>Hepatology</w:t>
      </w:r>
      <w:r w:rsidRPr="00E2582D">
        <w:rPr>
          <w:rStyle w:val="apple-converted-space"/>
          <w:rFonts w:ascii="Book Antiqua" w:hAnsi="Book Antiqua"/>
          <w:color w:val="000000"/>
          <w:sz w:val="21"/>
          <w:szCs w:val="21"/>
        </w:rPr>
        <w:t> </w:t>
      </w:r>
      <w:r w:rsidRPr="00E2582D">
        <w:rPr>
          <w:rFonts w:ascii="Book Antiqua" w:hAnsi="Book Antiqua"/>
          <w:color w:val="000000"/>
          <w:sz w:val="21"/>
          <w:szCs w:val="21"/>
        </w:rPr>
        <w:t>2004;</w:t>
      </w:r>
      <w:r w:rsidRPr="00E2582D">
        <w:rPr>
          <w:rStyle w:val="apple-converted-space"/>
          <w:rFonts w:ascii="Book Antiqua" w:hAnsi="Book Antiqua"/>
          <w:color w:val="000000"/>
          <w:sz w:val="21"/>
          <w:szCs w:val="21"/>
        </w:rPr>
        <w:t> </w:t>
      </w:r>
      <w:r w:rsidRPr="00E2582D">
        <w:rPr>
          <w:rFonts w:ascii="Book Antiqua" w:hAnsi="Book Antiqua"/>
          <w:b/>
          <w:bCs/>
          <w:color w:val="000000"/>
          <w:sz w:val="21"/>
          <w:szCs w:val="21"/>
        </w:rPr>
        <w:t>39</w:t>
      </w:r>
      <w:r w:rsidRPr="00E2582D">
        <w:rPr>
          <w:rFonts w:ascii="Book Antiqua" w:hAnsi="Book Antiqua"/>
          <w:color w:val="000000"/>
          <w:sz w:val="21"/>
          <w:szCs w:val="21"/>
        </w:rPr>
        <w:t>: 1147-1171 [PMID: 15057920 DOI: 10.1002/hep.22759]</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2 </w:t>
      </w:r>
      <w:r w:rsidRPr="008035C6">
        <w:rPr>
          <w:rFonts w:ascii="Book Antiqua" w:hAnsi="Book Antiqua" w:cs="宋体"/>
          <w:b/>
          <w:color w:val="000000"/>
          <w:sz w:val="21"/>
          <w:szCs w:val="21"/>
        </w:rPr>
        <w:t>INCIVEK</w:t>
      </w:r>
      <w:r w:rsidRPr="008035C6">
        <w:rPr>
          <w:rFonts w:ascii="Book Antiqua" w:hAnsi="Book Antiqua" w:cs="宋体"/>
          <w:color w:val="000000"/>
          <w:sz w:val="21"/>
          <w:szCs w:val="21"/>
        </w:rPr>
        <w:t>. Cambridge, MA: Vertex Pha</w:t>
      </w:r>
      <w:r w:rsidRPr="00E2582D">
        <w:rPr>
          <w:rFonts w:ascii="Book Antiqua" w:hAnsi="Book Antiqua" w:cs="宋体"/>
          <w:color w:val="000000"/>
          <w:sz w:val="21"/>
          <w:szCs w:val="21"/>
        </w:rPr>
        <w:t>rmaceuticals Incorporated; 2011. Available from: URL: http://en.wikipedia.org/wiki/Vertex_Pharmaceuticals</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3 </w:t>
      </w:r>
      <w:r w:rsidRPr="008035C6">
        <w:rPr>
          <w:rFonts w:ascii="Book Antiqua" w:hAnsi="Book Antiqua" w:cs="宋体"/>
          <w:b/>
          <w:color w:val="000000"/>
          <w:sz w:val="21"/>
          <w:szCs w:val="21"/>
        </w:rPr>
        <w:t>VICTRELIS</w:t>
      </w:r>
      <w:r w:rsidRPr="008035C6">
        <w:rPr>
          <w:rFonts w:ascii="Book Antiqua" w:hAnsi="Book Antiqua" w:cs="宋体"/>
          <w:color w:val="000000"/>
          <w:sz w:val="21"/>
          <w:szCs w:val="21"/>
        </w:rPr>
        <w:t>. Whitehouse Station, NJ: Schering Corporation; 2011.</w:t>
      </w:r>
      <w:r w:rsidRPr="00E2582D">
        <w:rPr>
          <w:rFonts w:ascii="Book Antiqua" w:hAnsi="Book Antiqua"/>
          <w:sz w:val="21"/>
          <w:szCs w:val="21"/>
        </w:rPr>
        <w:t xml:space="preserve"> </w:t>
      </w:r>
      <w:r w:rsidRPr="00E2582D">
        <w:rPr>
          <w:rFonts w:ascii="Book Antiqua" w:hAnsi="Book Antiqua" w:cs="宋体"/>
          <w:color w:val="000000"/>
          <w:sz w:val="21"/>
          <w:szCs w:val="21"/>
        </w:rPr>
        <w:t>Available from: URL: http://www.accessdata.fda.gov/drugsatfda_docs/label/2012/020503s046lbl.pdf</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 xml:space="preserve">4 </w:t>
      </w:r>
      <w:r w:rsidRPr="00E2582D">
        <w:rPr>
          <w:rFonts w:ascii="Book Antiqua" w:hAnsi="Book Antiqua" w:cs="宋体"/>
          <w:b/>
          <w:color w:val="000000"/>
          <w:sz w:val="21"/>
          <w:szCs w:val="21"/>
        </w:rPr>
        <w:t>PEGASYS®</w:t>
      </w:r>
      <w:r w:rsidRPr="00E2582D">
        <w:rPr>
          <w:rFonts w:ascii="Book Antiqua" w:hAnsi="Book Antiqua" w:cs="宋体"/>
          <w:color w:val="000000"/>
          <w:sz w:val="21"/>
          <w:szCs w:val="21"/>
        </w:rPr>
        <w:t>.</w:t>
      </w:r>
      <w:r w:rsidRPr="008035C6">
        <w:rPr>
          <w:rFonts w:ascii="Book Antiqua" w:hAnsi="Book Antiqua" w:cs="宋体"/>
          <w:color w:val="000000"/>
          <w:sz w:val="21"/>
          <w:szCs w:val="21"/>
        </w:rPr>
        <w:t xml:space="preserve"> Nutley, NJ: Hoffman-La Roche Inc. 2011.</w:t>
      </w:r>
      <w:r w:rsidRPr="00E2582D">
        <w:rPr>
          <w:rFonts w:ascii="Book Antiqua" w:hAnsi="Book Antiqua"/>
          <w:sz w:val="21"/>
          <w:szCs w:val="21"/>
        </w:rPr>
        <w:t xml:space="preserve"> </w:t>
      </w:r>
      <w:r w:rsidRPr="00E2582D">
        <w:rPr>
          <w:rFonts w:ascii="Book Antiqua" w:hAnsi="Book Antiqua" w:cs="宋体"/>
          <w:color w:val="000000"/>
          <w:sz w:val="21"/>
          <w:szCs w:val="21"/>
        </w:rPr>
        <w:t xml:space="preserve">Available from: URL: http://www.manta.com/c/mmbpq0d/hoffmann-la-roche-inc </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 xml:space="preserve">5 </w:t>
      </w:r>
      <w:r w:rsidRPr="00E2582D">
        <w:rPr>
          <w:rFonts w:ascii="Book Antiqua" w:hAnsi="Book Antiqua" w:cs="宋体"/>
          <w:b/>
          <w:color w:val="000000"/>
          <w:sz w:val="21"/>
          <w:szCs w:val="21"/>
        </w:rPr>
        <w:t>PegIntron®.</w:t>
      </w:r>
      <w:r w:rsidRPr="00E2582D">
        <w:rPr>
          <w:rFonts w:ascii="Book Antiqua" w:hAnsi="Book Antiqua" w:cs="宋体"/>
          <w:color w:val="000000"/>
          <w:sz w:val="21"/>
          <w:szCs w:val="21"/>
        </w:rPr>
        <w:t xml:space="preserve"> </w:t>
      </w:r>
      <w:r w:rsidRPr="008035C6">
        <w:rPr>
          <w:rFonts w:ascii="Book Antiqua" w:hAnsi="Book Antiqua" w:cs="宋体"/>
          <w:color w:val="000000"/>
          <w:sz w:val="21"/>
          <w:szCs w:val="21"/>
        </w:rPr>
        <w:t>Whitehouse Station, NJ: Merck &amp; Co., Inc. 2011.</w:t>
      </w:r>
      <w:r w:rsidRPr="00E2582D">
        <w:rPr>
          <w:rFonts w:ascii="Book Antiqua" w:hAnsi="Book Antiqua" w:cs="宋体"/>
          <w:color w:val="000000"/>
          <w:sz w:val="21"/>
          <w:szCs w:val="21"/>
        </w:rPr>
        <w:t xml:space="preserve"> Available from: URL: http://www.merck.com/index.html</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6 </w:t>
      </w:r>
      <w:r w:rsidRPr="00E2582D">
        <w:rPr>
          <w:rFonts w:ascii="Book Antiqua" w:hAnsi="Book Antiqua" w:cs="宋体"/>
          <w:b/>
          <w:color w:val="000000"/>
          <w:sz w:val="21"/>
          <w:szCs w:val="21"/>
        </w:rPr>
        <w:t>TenCate V</w:t>
      </w:r>
      <w:r w:rsidRPr="00E2582D">
        <w:rPr>
          <w:rFonts w:ascii="Book Antiqua" w:hAnsi="Book Antiqua" w:cs="宋体"/>
          <w:color w:val="000000"/>
          <w:sz w:val="21"/>
          <w:szCs w:val="21"/>
        </w:rPr>
        <w:t xml:space="preserve">, Sainz Jr B, Cotler S, Uprichard SL. </w:t>
      </w:r>
      <w:r w:rsidRPr="008035C6">
        <w:rPr>
          <w:rFonts w:ascii="Book Antiqua" w:hAnsi="Book Antiqua" w:cs="宋体"/>
          <w:color w:val="000000"/>
          <w:sz w:val="21"/>
          <w:szCs w:val="21"/>
        </w:rPr>
        <w:t>Potential treatment options and future research to increase hepatitis C virus treatment response rate.</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Hepat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2010;</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2010</w:t>
      </w:r>
      <w:r w:rsidRPr="008035C6">
        <w:rPr>
          <w:rFonts w:ascii="Book Antiqua" w:hAnsi="Book Antiqua" w:cs="宋体"/>
          <w:color w:val="000000"/>
          <w:sz w:val="21"/>
          <w:szCs w:val="21"/>
        </w:rPr>
        <w:t>: 125-145 [PMID: 21331152]</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7 </w:t>
      </w:r>
      <w:r w:rsidRPr="00E2582D">
        <w:rPr>
          <w:rFonts w:ascii="Book Antiqua" w:hAnsi="Book Antiqua"/>
          <w:b/>
          <w:bCs/>
          <w:color w:val="000000"/>
          <w:sz w:val="21"/>
          <w:szCs w:val="21"/>
        </w:rPr>
        <w:t>Reesink HW</w:t>
      </w:r>
      <w:r w:rsidRPr="00E2582D">
        <w:rPr>
          <w:rFonts w:ascii="Book Antiqua" w:hAnsi="Book Antiqua"/>
          <w:color w:val="000000"/>
          <w:sz w:val="21"/>
          <w:szCs w:val="21"/>
        </w:rPr>
        <w:t>, Zeuzem S, Weegink CJ, Forestier N, van Vliet A, van de Wetering de Rooij J, McNair L, Purdy S, Kauffman R, Alam J, Jansen PL. Rapid decline of viral RNA in hepatitis C patients treated with VX-950: a phase Ib, placebo-controlled, randomized study.</w:t>
      </w:r>
      <w:r w:rsidRPr="00E2582D">
        <w:rPr>
          <w:rStyle w:val="apple-converted-space"/>
          <w:rFonts w:ascii="Book Antiqua" w:hAnsi="Book Antiqua"/>
          <w:color w:val="000000"/>
          <w:sz w:val="21"/>
          <w:szCs w:val="21"/>
        </w:rPr>
        <w:t> </w:t>
      </w:r>
      <w:r w:rsidRPr="00E2582D">
        <w:rPr>
          <w:rFonts w:ascii="Book Antiqua" w:hAnsi="Book Antiqua"/>
          <w:i/>
          <w:iCs/>
          <w:color w:val="000000"/>
          <w:sz w:val="21"/>
          <w:szCs w:val="21"/>
        </w:rPr>
        <w:t>Gastroenterology</w:t>
      </w:r>
      <w:r w:rsidRPr="00E2582D">
        <w:rPr>
          <w:rStyle w:val="apple-converted-space"/>
          <w:rFonts w:ascii="Book Antiqua" w:hAnsi="Book Antiqua"/>
          <w:color w:val="000000"/>
          <w:sz w:val="21"/>
          <w:szCs w:val="21"/>
        </w:rPr>
        <w:t> </w:t>
      </w:r>
      <w:r w:rsidRPr="00E2582D">
        <w:rPr>
          <w:rFonts w:ascii="Book Antiqua" w:hAnsi="Book Antiqua"/>
          <w:color w:val="000000"/>
          <w:sz w:val="21"/>
          <w:szCs w:val="21"/>
        </w:rPr>
        <w:t>2006;</w:t>
      </w:r>
      <w:r w:rsidRPr="00E2582D">
        <w:rPr>
          <w:rStyle w:val="apple-converted-space"/>
          <w:rFonts w:ascii="Book Antiqua" w:hAnsi="Book Antiqua"/>
          <w:color w:val="000000"/>
          <w:sz w:val="21"/>
          <w:szCs w:val="21"/>
        </w:rPr>
        <w:t> </w:t>
      </w:r>
      <w:r w:rsidRPr="00E2582D">
        <w:rPr>
          <w:rFonts w:ascii="Book Antiqua" w:hAnsi="Book Antiqua"/>
          <w:b/>
          <w:bCs/>
          <w:color w:val="000000"/>
          <w:sz w:val="21"/>
          <w:szCs w:val="21"/>
        </w:rPr>
        <w:t>131</w:t>
      </w:r>
      <w:r w:rsidRPr="00E2582D">
        <w:rPr>
          <w:rFonts w:ascii="Book Antiqua" w:hAnsi="Book Antiqua"/>
          <w:color w:val="000000"/>
          <w:sz w:val="21"/>
          <w:szCs w:val="21"/>
        </w:rPr>
        <w:t>: 997-1002 [PMID: 17030169]</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8</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Forestier N</w:t>
      </w:r>
      <w:r w:rsidRPr="008035C6">
        <w:rPr>
          <w:rFonts w:ascii="Book Antiqua" w:hAnsi="Book Antiqua" w:cs="宋体"/>
          <w:color w:val="000000"/>
          <w:sz w:val="21"/>
          <w:szCs w:val="21"/>
        </w:rPr>
        <w:t>, Reesink HW, Weegink CJ, McNair L, Kieffer TL, Chu HM, Purdy S, Jansen PL, Zeuzem S. Antiviral activity of telaprevir (VX-950) and peginterferon alfa-2a in patients with hepatitis C.</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Hepatology</w:t>
      </w:r>
      <w:r w:rsidRPr="00E2582D">
        <w:rPr>
          <w:rFonts w:ascii="Book Antiqua" w:hAnsi="Book Antiqua" w:cs="宋体"/>
          <w:color w:val="000000"/>
          <w:sz w:val="21"/>
          <w:szCs w:val="21"/>
        </w:rPr>
        <w:t> </w:t>
      </w:r>
      <w:r w:rsidRPr="008035C6">
        <w:rPr>
          <w:rFonts w:ascii="Book Antiqua" w:hAnsi="Book Antiqua" w:cs="宋体"/>
          <w:color w:val="000000"/>
          <w:sz w:val="21"/>
          <w:szCs w:val="21"/>
        </w:rPr>
        <w:t>2007;</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46</w:t>
      </w:r>
      <w:r w:rsidRPr="008035C6">
        <w:rPr>
          <w:rFonts w:ascii="Book Antiqua" w:hAnsi="Book Antiqua" w:cs="宋体"/>
          <w:color w:val="000000"/>
          <w:sz w:val="21"/>
          <w:szCs w:val="21"/>
        </w:rPr>
        <w:t>: 640-648 [PMID: 17879366]</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9</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Lawitz E</w:t>
      </w:r>
      <w:r w:rsidRPr="008035C6">
        <w:rPr>
          <w:rFonts w:ascii="Book Antiqua" w:hAnsi="Book Antiqua" w:cs="宋体"/>
          <w:color w:val="000000"/>
          <w:sz w:val="21"/>
          <w:szCs w:val="21"/>
        </w:rPr>
        <w:t>, Rodriguez-Torres M, Muir AJ, Kieffer TL, McNair L, Khunvichai A, McHutchison JG. Antiviral effects and safety of telaprevir, peginterferon alfa-2a, and ribavirin for 28 days in hepatitis C patients.</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J Hepatol</w:t>
      </w:r>
      <w:r w:rsidRPr="00E2582D">
        <w:rPr>
          <w:rFonts w:ascii="Book Antiqua" w:hAnsi="Book Antiqua" w:cs="宋体"/>
          <w:color w:val="000000"/>
          <w:sz w:val="21"/>
          <w:szCs w:val="21"/>
        </w:rPr>
        <w:t> </w:t>
      </w:r>
      <w:r w:rsidRPr="008035C6">
        <w:rPr>
          <w:rFonts w:ascii="Book Antiqua" w:hAnsi="Book Antiqua" w:cs="宋体"/>
          <w:color w:val="000000"/>
          <w:sz w:val="21"/>
          <w:szCs w:val="21"/>
        </w:rPr>
        <w:t>2008;</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49</w:t>
      </w:r>
      <w:r w:rsidRPr="008035C6">
        <w:rPr>
          <w:rFonts w:ascii="Book Antiqua" w:hAnsi="Book Antiqua" w:cs="宋体"/>
          <w:color w:val="000000"/>
          <w:sz w:val="21"/>
          <w:szCs w:val="21"/>
        </w:rPr>
        <w:t>: 163-169 [PMID: 18486984 DOI: 10.1016/j.jhep.2008.03.027]</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10</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McHutchison JG</w:t>
      </w:r>
      <w:r w:rsidRPr="008035C6">
        <w:rPr>
          <w:rFonts w:ascii="Book Antiqua" w:hAnsi="Book Antiqua" w:cs="宋体"/>
          <w:color w:val="000000"/>
          <w:sz w:val="21"/>
          <w:szCs w:val="21"/>
        </w:rPr>
        <w:t>, Everson GT, Gordon SC, Jacobson IM, Sulkowski M, Kauffman R, McNair L, Alam J, Muir AJ. Telaprevir with peginterferon and ribavirin for chronic HCV genotype 1 infection.</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2009;</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360</w:t>
      </w:r>
      <w:r w:rsidRPr="008035C6">
        <w:rPr>
          <w:rFonts w:ascii="Book Antiqua" w:hAnsi="Book Antiqua" w:cs="宋体"/>
          <w:color w:val="000000"/>
          <w:sz w:val="21"/>
          <w:szCs w:val="21"/>
        </w:rPr>
        <w:t>: 1827-1838 [PMID: 19403902 DOI: 10.1056/NEJMoa0806104</w:t>
      </w:r>
      <w:r>
        <w:rPr>
          <w:rFonts w:ascii="Book Antiqua" w:hAnsi="Book Antiqua" w:cs="宋体"/>
          <w:color w:val="000000"/>
          <w:szCs w:val="21"/>
        </w:rPr>
        <w:t>]</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11</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Hézode C</w:t>
      </w:r>
      <w:r w:rsidRPr="008035C6">
        <w:rPr>
          <w:rFonts w:ascii="Book Antiqua" w:hAnsi="Book Antiqua" w:cs="宋体"/>
          <w:color w:val="000000"/>
          <w:sz w:val="21"/>
          <w:szCs w:val="21"/>
        </w:rPr>
        <w:t>, Forestier N, Dusheiko G, Ferenci P, Pol S, Goeser T, Bronowicki JP, Bourlière M, Gharakhanian S, Bengtsson L, McNair L, George S, Kieffer T, Kwong A, Kauffman RS, Alam J, Pawlotsky JM, Zeuzem S. Telaprevir and peginterferon with or without ribavirin for chronic HCV infection.</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2009;</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360</w:t>
      </w:r>
      <w:r w:rsidRPr="008035C6">
        <w:rPr>
          <w:rFonts w:ascii="Book Antiqua" w:hAnsi="Book Antiqua" w:cs="宋体"/>
          <w:color w:val="000000"/>
          <w:sz w:val="21"/>
          <w:szCs w:val="21"/>
        </w:rPr>
        <w:t>: 1839-1850 [PMID: 19403903 DOI: 10.1056/NEJMoa0807650]</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12</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McHutchison JG</w:t>
      </w:r>
      <w:r w:rsidRPr="008035C6">
        <w:rPr>
          <w:rFonts w:ascii="Book Antiqua" w:hAnsi="Book Antiqua" w:cs="宋体"/>
          <w:color w:val="000000"/>
          <w:sz w:val="21"/>
          <w:szCs w:val="21"/>
        </w:rPr>
        <w:t>, Manns MP, Muir AJ, Terrault NA, Jacobson IM, Afdhal NH, Heathcote EJ, Zeuzem S, Reesink HW, Garg J, Bsharat M, George S, Kauffman RS, Adda N, Di Bisceglie AM. Telaprevir for previously treated chronic HCV infection.</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2010;</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362</w:t>
      </w:r>
      <w:r w:rsidRPr="008035C6">
        <w:rPr>
          <w:rFonts w:ascii="Book Antiqua" w:hAnsi="Book Antiqua" w:cs="宋体"/>
          <w:color w:val="000000"/>
          <w:sz w:val="21"/>
          <w:szCs w:val="21"/>
        </w:rPr>
        <w:t>: 1292-1303 [PMID: 20375406 DOI: 10.1056/NEJMoa0908014]</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13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Jacobson IM</w:t>
      </w:r>
      <w:r w:rsidRPr="008035C6">
        <w:rPr>
          <w:rFonts w:ascii="Book Antiqua" w:hAnsi="Book Antiqua" w:cs="宋体"/>
          <w:color w:val="000000"/>
          <w:sz w:val="21"/>
          <w:szCs w:val="21"/>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2011;</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364</w:t>
      </w:r>
      <w:r w:rsidRPr="008035C6">
        <w:rPr>
          <w:rFonts w:ascii="Book Antiqua" w:hAnsi="Book Antiqua" w:cs="宋体"/>
          <w:color w:val="000000"/>
          <w:sz w:val="21"/>
          <w:szCs w:val="21"/>
        </w:rPr>
        <w:t>: 2405-2416 [PMID: 21696307 DOI: 10.1056/NEJMoa1012912]</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14</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Zeuzem S</w:t>
      </w:r>
      <w:r w:rsidRPr="008035C6">
        <w:rPr>
          <w:rFonts w:ascii="Book Antiqua" w:hAnsi="Book Antiqua" w:cs="宋体"/>
          <w:color w:val="000000"/>
          <w:sz w:val="21"/>
          <w:szCs w:val="21"/>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2011;</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364</w:t>
      </w:r>
      <w:r w:rsidRPr="008035C6">
        <w:rPr>
          <w:rFonts w:ascii="Book Antiqua" w:hAnsi="Book Antiqua" w:cs="宋体"/>
          <w:color w:val="000000"/>
          <w:sz w:val="21"/>
          <w:szCs w:val="21"/>
        </w:rPr>
        <w:t>: 2417-2428 [PMID: 21696308 DOI: 10.1056/NEJMoa1013086]</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15 </w:t>
      </w:r>
      <w:r w:rsidRPr="00E2582D">
        <w:rPr>
          <w:rFonts w:ascii="Book Antiqua" w:hAnsi="Book Antiqua" w:cs="宋体"/>
          <w:b/>
          <w:color w:val="000000"/>
          <w:sz w:val="21"/>
          <w:szCs w:val="21"/>
        </w:rPr>
        <w:t>Sherman KE</w:t>
      </w:r>
      <w:r w:rsidRPr="00E2582D">
        <w:rPr>
          <w:rFonts w:ascii="Book Antiqua" w:hAnsi="Book Antiqua" w:cs="宋体"/>
          <w:color w:val="000000"/>
          <w:sz w:val="21"/>
          <w:szCs w:val="21"/>
        </w:rPr>
        <w:t xml:space="preserve">, Flamm SL, Afdhal NH, Nelson DR, Sulkowski MS, Everson GT, Fried MW, Adler M, Reesink HW, Martin M, Sankoh AJ, Adda N, Kauffman RS, George S, Wright CI, Poordad F; ILLUMINATE Study Team. Response-guided telaprevir combination treatment for hepatitis C virus infection. </w:t>
      </w:r>
      <w:r w:rsidRPr="00E2582D">
        <w:rPr>
          <w:rFonts w:ascii="Book Antiqua" w:hAnsi="Book Antiqua" w:cs="宋体"/>
          <w:i/>
          <w:color w:val="000000"/>
          <w:sz w:val="21"/>
          <w:szCs w:val="21"/>
        </w:rPr>
        <w:t xml:space="preserve">N Engl J Med </w:t>
      </w:r>
      <w:r w:rsidRPr="00E2582D">
        <w:rPr>
          <w:rFonts w:ascii="Book Antiqua" w:hAnsi="Book Antiqua" w:cs="宋体"/>
          <w:color w:val="000000"/>
          <w:sz w:val="21"/>
          <w:szCs w:val="21"/>
        </w:rPr>
        <w:t xml:space="preserve">2011; </w:t>
      </w:r>
      <w:r w:rsidRPr="00E2582D">
        <w:rPr>
          <w:rFonts w:ascii="Book Antiqua" w:hAnsi="Book Antiqua" w:cs="宋体"/>
          <w:b/>
          <w:color w:val="000000"/>
          <w:sz w:val="21"/>
          <w:szCs w:val="21"/>
        </w:rPr>
        <w:t>365</w:t>
      </w:r>
      <w:r w:rsidRPr="00E2582D">
        <w:rPr>
          <w:rFonts w:ascii="Book Antiqua" w:hAnsi="Book Antiqua" w:cs="宋体"/>
          <w:color w:val="000000"/>
          <w:sz w:val="21"/>
          <w:szCs w:val="21"/>
        </w:rPr>
        <w:t xml:space="preserve">: 1014-1024 [PMID: 21916639 </w:t>
      </w:r>
      <w:r w:rsidRPr="00E2582D">
        <w:rPr>
          <w:rFonts w:ascii="Book Antiqua" w:hAnsi="Book Antiqua" w:cs="宋体"/>
          <w:caps/>
          <w:color w:val="000000"/>
          <w:sz w:val="21"/>
          <w:szCs w:val="21"/>
        </w:rPr>
        <w:t>doi</w:t>
      </w:r>
      <w:r w:rsidRPr="00E2582D">
        <w:rPr>
          <w:rFonts w:ascii="Book Antiqua" w:hAnsi="Book Antiqua" w:cs="宋体"/>
          <w:color w:val="000000"/>
          <w:sz w:val="21"/>
          <w:szCs w:val="21"/>
        </w:rPr>
        <w:t>: 10.1056/NEJMoa1014463]</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16 </w:t>
      </w:r>
      <w:r w:rsidRPr="00E2582D">
        <w:rPr>
          <w:rFonts w:ascii="Book Antiqua" w:hAnsi="Book Antiqua" w:cs="宋体"/>
          <w:b/>
          <w:color w:val="000000"/>
          <w:sz w:val="21"/>
          <w:szCs w:val="21"/>
        </w:rPr>
        <w:t>U.S. Food and Drug Administration.</w:t>
      </w:r>
      <w:r w:rsidRPr="00E2582D">
        <w:rPr>
          <w:rFonts w:ascii="Book Antiqua" w:hAnsi="Book Antiqua" w:cs="宋体"/>
          <w:color w:val="000000"/>
          <w:sz w:val="21"/>
          <w:szCs w:val="21"/>
        </w:rPr>
        <w:t xml:space="preserve"> </w:t>
      </w:r>
      <w:r w:rsidRPr="00E2582D">
        <w:rPr>
          <w:rFonts w:ascii="Book Antiqua" w:hAnsi="Book Antiqua"/>
          <w:sz w:val="21"/>
          <w:szCs w:val="21"/>
        </w:rPr>
        <w:t xml:space="preserve">Briefing Information for the April 28, 2011 Meeting of the Antiviral Drugs Advisory Committee. </w:t>
      </w:r>
      <w:r w:rsidRPr="00E2582D">
        <w:rPr>
          <w:rFonts w:ascii="Book Antiqua" w:hAnsi="Book Antiqua" w:cs="宋体"/>
          <w:color w:val="000000"/>
          <w:sz w:val="21"/>
          <w:szCs w:val="21"/>
        </w:rPr>
        <w:t xml:space="preserve">Available from: URL: </w:t>
      </w:r>
      <w:r w:rsidRPr="00547837">
        <w:rPr>
          <w:rFonts w:ascii="Book Antiqua" w:hAnsi="Book Antiqua"/>
          <w:sz w:val="21"/>
          <w:szCs w:val="21"/>
        </w:rPr>
        <w:t>http://www.fda.gov/AdvisoryCommittees/CommitteesMeetingMaterials/Drugs/AntiviralDrugsAdvisoryCommittee/ucm252559.htm</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17</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Susser S</w:t>
      </w:r>
      <w:r w:rsidRPr="008035C6">
        <w:rPr>
          <w:rFonts w:ascii="Book Antiqua" w:hAnsi="Book Antiqua" w:cs="宋体"/>
          <w:color w:val="000000"/>
          <w:sz w:val="21"/>
          <w:szCs w:val="21"/>
        </w:rPr>
        <w:t>, Welsch C, Wang Y, Zettler M, Domingues FS, Karey U, Hughes E, Ralston R, Tong X, Herrmann E, Zeuzem S, Sarrazin C. Characterization of resistance to the protease inhibitor boceprevir in hepatitis C virus-infected patients.</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Hepatology</w:t>
      </w:r>
      <w:r w:rsidRPr="00E2582D">
        <w:rPr>
          <w:rFonts w:ascii="Book Antiqua" w:hAnsi="Book Antiqua" w:cs="宋体"/>
          <w:color w:val="000000"/>
          <w:sz w:val="21"/>
          <w:szCs w:val="21"/>
        </w:rPr>
        <w:t> </w:t>
      </w:r>
      <w:r w:rsidRPr="008035C6">
        <w:rPr>
          <w:rFonts w:ascii="Book Antiqua" w:hAnsi="Book Antiqua" w:cs="宋体"/>
          <w:color w:val="000000"/>
          <w:sz w:val="21"/>
          <w:szCs w:val="21"/>
        </w:rPr>
        <w:t>2009;</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50</w:t>
      </w:r>
      <w:r w:rsidRPr="008035C6">
        <w:rPr>
          <w:rFonts w:ascii="Book Antiqua" w:hAnsi="Book Antiqua" w:cs="宋体"/>
          <w:color w:val="000000"/>
          <w:sz w:val="21"/>
          <w:szCs w:val="21"/>
        </w:rPr>
        <w:t>: 1709-1718 [PMID: 19787809 DOI: 10.1002/hep.23192]</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18</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Sarrazin C</w:t>
      </w:r>
      <w:r w:rsidRPr="008035C6">
        <w:rPr>
          <w:rFonts w:ascii="Book Antiqua" w:hAnsi="Book Antiqua" w:cs="宋体"/>
          <w:color w:val="000000"/>
          <w:sz w:val="21"/>
          <w:szCs w:val="21"/>
        </w:rPr>
        <w:t>, Rouzier R, Wagner F, Forestier N, Larrey D, Gupta SK, Hussain M, Shah A, Cutler D, Zhang J, Zeuzem S. SCH 503034, a novel hepatitis C virus protease inhibitor, plus pegylated interferon alpha-2b for genotype 1 nonresponders.</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Gastroenterology</w:t>
      </w:r>
      <w:r w:rsidRPr="00E2582D">
        <w:rPr>
          <w:rFonts w:ascii="Book Antiqua" w:hAnsi="Book Antiqua" w:cs="宋体"/>
          <w:color w:val="000000"/>
          <w:sz w:val="21"/>
          <w:szCs w:val="21"/>
        </w:rPr>
        <w:t> </w:t>
      </w:r>
      <w:r w:rsidRPr="008035C6">
        <w:rPr>
          <w:rFonts w:ascii="Book Antiqua" w:hAnsi="Book Antiqua" w:cs="宋体"/>
          <w:color w:val="000000"/>
          <w:sz w:val="21"/>
          <w:szCs w:val="21"/>
        </w:rPr>
        <w:t>2007;</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132</w:t>
      </w:r>
      <w:r w:rsidRPr="008035C6">
        <w:rPr>
          <w:rFonts w:ascii="Book Antiqua" w:hAnsi="Book Antiqua" w:cs="宋体"/>
          <w:color w:val="000000"/>
          <w:sz w:val="21"/>
          <w:szCs w:val="21"/>
        </w:rPr>
        <w:t>: 1270-1278 [PMID: 17408662]</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19</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Kwo PY</w:t>
      </w:r>
      <w:r w:rsidRPr="008035C6">
        <w:rPr>
          <w:rFonts w:ascii="Book Antiqua" w:hAnsi="Book Antiqua" w:cs="宋体"/>
          <w:color w:val="000000"/>
          <w:sz w:val="21"/>
          <w:szCs w:val="21"/>
        </w:rPr>
        <w:t>, Lawitz EJ, McCone J, Schiff ER, Vierling JM, Pound D, Davis MN, Galati JS, Gordon SC, Ravendhran N, Rossaro L, Anderson FH, Jacobson IM, Rubin R, Koury K, Pedicone LD, Brass CA, Chaudhri E, Albrecht JK. Efficacy of boceprevir, an NS3 protease inhibitor, in combination with peginterferon alfa-2b and ribavirin in treatment-naive patients with genotype 1 hepatitis C infection (SPRINT-1): an open-label, randomised, multicentre phase 2 trial.</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Lancet</w:t>
      </w:r>
      <w:r w:rsidRPr="00E2582D">
        <w:rPr>
          <w:rFonts w:ascii="Book Antiqua" w:hAnsi="Book Antiqua" w:cs="宋体"/>
          <w:color w:val="000000"/>
          <w:sz w:val="21"/>
          <w:szCs w:val="21"/>
        </w:rPr>
        <w:t> </w:t>
      </w:r>
      <w:r w:rsidRPr="008035C6">
        <w:rPr>
          <w:rFonts w:ascii="Book Antiqua" w:hAnsi="Book Antiqua" w:cs="宋体"/>
          <w:color w:val="000000"/>
          <w:sz w:val="21"/>
          <w:szCs w:val="21"/>
        </w:rPr>
        <w:t>2010;</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376</w:t>
      </w:r>
      <w:r w:rsidRPr="008035C6">
        <w:rPr>
          <w:rFonts w:ascii="Book Antiqua" w:hAnsi="Book Antiqua" w:cs="宋体"/>
          <w:color w:val="000000"/>
          <w:sz w:val="21"/>
          <w:szCs w:val="21"/>
        </w:rPr>
        <w:t>: 705-716 [PMID: 20692693 DOI: 10.1016/S0140-6736(10)60934-8</w:t>
      </w:r>
      <w:r>
        <w:rPr>
          <w:rFonts w:ascii="Book Antiqua" w:hAnsi="Book Antiqua" w:cs="宋体"/>
          <w:color w:val="000000"/>
          <w:szCs w:val="21"/>
        </w:rPr>
        <w:t>]</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20</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Poordad F</w:t>
      </w:r>
      <w:r w:rsidRPr="008035C6">
        <w:rPr>
          <w:rFonts w:ascii="Book Antiqua" w:hAnsi="Book Antiqua" w:cs="宋体"/>
          <w:color w:val="000000"/>
          <w:sz w:val="21"/>
          <w:szCs w:val="21"/>
        </w:rPr>
        <w:t>, Bronowicki JP, Gordon SC, Zeuzem S, Jacobson IM, Sulkowski MS, Poynard T, Morgan TR, Molony C, Pedicone LD, Sings HL, Burroughs MH, Sniukiene V, Boparai N, Goteti VS, Brass CA, Albrecht JK, Bacon BR. Factors that predict response of patients with hepatitis C virus infection to boceprevir.</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Gastroenterology</w:t>
      </w:r>
      <w:r w:rsidRPr="00E2582D">
        <w:rPr>
          <w:rFonts w:ascii="Book Antiqua" w:hAnsi="Book Antiqua" w:cs="宋体"/>
          <w:color w:val="000000"/>
          <w:sz w:val="21"/>
          <w:szCs w:val="21"/>
        </w:rPr>
        <w:t> </w:t>
      </w:r>
      <w:r w:rsidRPr="008035C6">
        <w:rPr>
          <w:rFonts w:ascii="Book Antiqua" w:hAnsi="Book Antiqua" w:cs="宋体"/>
          <w:color w:val="000000"/>
          <w:sz w:val="21"/>
          <w:szCs w:val="21"/>
        </w:rPr>
        <w:t>2012;</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143</w:t>
      </w:r>
      <w:r w:rsidRPr="008035C6">
        <w:rPr>
          <w:rFonts w:ascii="Book Antiqua" w:hAnsi="Book Antiqua" w:cs="宋体"/>
          <w:color w:val="000000"/>
          <w:sz w:val="21"/>
          <w:szCs w:val="21"/>
        </w:rPr>
        <w:t>: 608-18.e1-5 [PMID: 22626609 DOI: 10.1053/j.gastro.2012.05.011]</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21</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Poordad F</w:t>
      </w:r>
      <w:r w:rsidRPr="008035C6">
        <w:rPr>
          <w:rFonts w:ascii="Book Antiqua" w:hAnsi="Book Antiqua" w:cs="宋体"/>
          <w:color w:val="000000"/>
          <w:sz w:val="21"/>
          <w:szCs w:val="21"/>
        </w:rPr>
        <w:t>, McCone J, Bacon BR, Bruno S, Manns MP, Sulkowski MS, Jacobson IM, Reddy KR, Goodman ZD, Boparai N, DiNubile MJ, Sniukiene V, Brass CA, Albrecht JK, Bronowicki JP. Boceprevir for untreated chronic HCV genotype 1 infection.</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2011;</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364</w:t>
      </w:r>
      <w:r w:rsidRPr="008035C6">
        <w:rPr>
          <w:rFonts w:ascii="Book Antiqua" w:hAnsi="Book Antiqua" w:cs="宋体"/>
          <w:color w:val="000000"/>
          <w:sz w:val="21"/>
          <w:szCs w:val="21"/>
        </w:rPr>
        <w:t>: 1195-1206 [PMID: 21449783 DOI: 10.1056/NEJMoa1010494]</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22</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Bacon BR</w:t>
      </w:r>
      <w:r w:rsidRPr="008035C6">
        <w:rPr>
          <w:rFonts w:ascii="Book Antiqua" w:hAnsi="Book Antiqua" w:cs="宋体"/>
          <w:color w:val="000000"/>
          <w:sz w:val="21"/>
          <w:szCs w:val="21"/>
        </w:rPr>
        <w:t>, Gordon SC, Lawitz E, Marcellin P, Vierling JM, Zeuzem S, Poordad F, Goodman ZD, Sings HL, Boparai N, Burroughs M, Brass CA, Albrecht JK, Esteban R. Boceprevir for previously treated chronic HCV genotype 1 infection.</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2011;</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364</w:t>
      </w:r>
      <w:r w:rsidRPr="008035C6">
        <w:rPr>
          <w:rFonts w:ascii="Book Antiqua" w:hAnsi="Book Antiqua" w:cs="宋体"/>
          <w:color w:val="000000"/>
          <w:sz w:val="21"/>
          <w:szCs w:val="21"/>
        </w:rPr>
        <w:t>: 1207-1217 [PMID: 21449784 DOI: 10.1056/NEJMoa1009482]</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23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Poordad F</w:t>
      </w:r>
      <w:r w:rsidRPr="008035C6">
        <w:rPr>
          <w:rFonts w:ascii="Book Antiqua" w:hAnsi="Book Antiqua" w:cs="宋体"/>
          <w:color w:val="000000"/>
          <w:sz w:val="21"/>
          <w:szCs w:val="21"/>
        </w:rPr>
        <w:t>, Dieterich D. Treating hepatitis C: current standard of care and emerging direct-acting antiviral agents.</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J Viral Hepat</w:t>
      </w:r>
      <w:r w:rsidRPr="00E2582D">
        <w:rPr>
          <w:rFonts w:ascii="Book Antiqua" w:hAnsi="Book Antiqua" w:cs="宋体"/>
          <w:color w:val="000000"/>
          <w:sz w:val="21"/>
          <w:szCs w:val="21"/>
        </w:rPr>
        <w:t> </w:t>
      </w:r>
      <w:r w:rsidRPr="008035C6">
        <w:rPr>
          <w:rFonts w:ascii="Book Antiqua" w:hAnsi="Book Antiqua" w:cs="宋体"/>
          <w:color w:val="000000"/>
          <w:sz w:val="21"/>
          <w:szCs w:val="21"/>
        </w:rPr>
        <w:t>2012;</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19</w:t>
      </w:r>
      <w:r w:rsidRPr="008035C6">
        <w:rPr>
          <w:rFonts w:ascii="Book Antiqua" w:hAnsi="Book Antiqua" w:cs="宋体"/>
          <w:color w:val="000000"/>
          <w:sz w:val="21"/>
          <w:szCs w:val="21"/>
        </w:rPr>
        <w:t>: 449-464 [PMID: 22676357 DOI: 10.1111/j.1365-2893.2012.01617.x</w:t>
      </w:r>
      <w:r>
        <w:rPr>
          <w:rFonts w:ascii="Book Antiqua" w:hAnsi="Book Antiqua" w:cs="宋体"/>
          <w:color w:val="000000"/>
          <w:szCs w:val="21"/>
        </w:rPr>
        <w:t>]</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24</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Tanwar S</w:t>
      </w:r>
      <w:r w:rsidRPr="008035C6">
        <w:rPr>
          <w:rFonts w:ascii="Book Antiqua" w:hAnsi="Book Antiqua" w:cs="宋体"/>
          <w:color w:val="000000"/>
          <w:sz w:val="21"/>
          <w:szCs w:val="21"/>
        </w:rPr>
        <w:t>, Trembling PM, Dusheiko GM. TMC435 for the treatment of chronic hepatitis C.</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Expert Opin Investig Drugs</w:t>
      </w:r>
      <w:r w:rsidRPr="00E2582D">
        <w:rPr>
          <w:rFonts w:ascii="Book Antiqua" w:hAnsi="Book Antiqua" w:cs="宋体"/>
          <w:color w:val="000000"/>
          <w:sz w:val="21"/>
          <w:szCs w:val="21"/>
        </w:rPr>
        <w:t> </w:t>
      </w:r>
      <w:r w:rsidRPr="008035C6">
        <w:rPr>
          <w:rFonts w:ascii="Book Antiqua" w:hAnsi="Book Antiqua" w:cs="宋体"/>
          <w:color w:val="000000"/>
          <w:sz w:val="21"/>
          <w:szCs w:val="21"/>
        </w:rPr>
        <w:t>2012;</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21</w:t>
      </w:r>
      <w:r w:rsidRPr="008035C6">
        <w:rPr>
          <w:rFonts w:ascii="Book Antiqua" w:hAnsi="Book Antiqua" w:cs="宋体"/>
          <w:color w:val="000000"/>
          <w:sz w:val="21"/>
          <w:szCs w:val="21"/>
        </w:rPr>
        <w:t>: 1193-1209 [PMID: 22616626 DOI: 10.1517/13543784.2012.690392]</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25 </w:t>
      </w:r>
      <w:r w:rsidRPr="008035C6">
        <w:rPr>
          <w:rFonts w:ascii="Book Antiqua" w:hAnsi="Book Antiqua" w:cs="宋体"/>
          <w:b/>
          <w:color w:val="000000"/>
          <w:sz w:val="21"/>
          <w:szCs w:val="21"/>
        </w:rPr>
        <w:t>Manns PM</w:t>
      </w:r>
      <w:r w:rsidRPr="008035C6">
        <w:rPr>
          <w:rFonts w:ascii="Book Antiqua" w:hAnsi="Book Antiqua" w:cs="宋体"/>
          <w:color w:val="000000"/>
          <w:sz w:val="21"/>
          <w:szCs w:val="21"/>
        </w:rPr>
        <w:t>, Poordad F. Simeprevir (TMC435) with peginterferon/ribavirin for treatment of chronic HCV genotype 1 infection in treatment-resistant patients: results from QUEST-2 a phase III trial. Presented at 48th Annual Meeting of the European Association for the Study of the Liver; April 24-28; 2013, Amsterdam.</w:t>
      </w:r>
    </w:p>
    <w:p w:rsidR="00965749" w:rsidRPr="008035C6" w:rsidRDefault="00965749" w:rsidP="006359CB">
      <w:pPr>
        <w:spacing w:after="0" w:line="360" w:lineRule="auto"/>
        <w:jc w:val="both"/>
        <w:rPr>
          <w:rFonts w:ascii="Book Antiqua" w:hAnsi="Book Antiqua" w:cs="宋体"/>
          <w:color w:val="000000"/>
          <w:sz w:val="21"/>
          <w:szCs w:val="21"/>
        </w:rPr>
      </w:pPr>
      <w:r w:rsidRPr="00547837">
        <w:rPr>
          <w:rFonts w:ascii="Book Antiqua" w:hAnsi="Book Antiqua" w:cs="宋体"/>
          <w:color w:val="000000"/>
          <w:sz w:val="21"/>
          <w:szCs w:val="21"/>
          <w:lang w:val="de-DE"/>
        </w:rPr>
        <w:t xml:space="preserve">26 </w:t>
      </w:r>
      <w:r w:rsidRPr="00547837">
        <w:rPr>
          <w:rFonts w:ascii="Book Antiqua" w:hAnsi="Book Antiqua" w:cs="宋体"/>
          <w:b/>
          <w:color w:val="000000"/>
          <w:sz w:val="21"/>
          <w:szCs w:val="21"/>
          <w:lang w:val="de-DE"/>
        </w:rPr>
        <w:t>Ferenci P</w:t>
      </w:r>
      <w:r w:rsidRPr="00547837">
        <w:rPr>
          <w:rFonts w:ascii="Book Antiqua" w:hAnsi="Book Antiqua" w:cs="宋体"/>
          <w:color w:val="000000"/>
          <w:sz w:val="21"/>
          <w:szCs w:val="21"/>
          <w:lang w:val="de-DE"/>
        </w:rPr>
        <w:t xml:space="preserve">, Asselah T, Foster GR. </w:t>
      </w:r>
      <w:r w:rsidRPr="008035C6">
        <w:rPr>
          <w:rFonts w:ascii="Book Antiqua" w:hAnsi="Book Antiqua" w:cs="宋体"/>
          <w:color w:val="000000"/>
          <w:sz w:val="21"/>
          <w:szCs w:val="21"/>
        </w:rPr>
        <w:t>Faldaprevir plus pegylated interferon alpha-2A and ribavirin in chronic HCV genotype-1 treatment-</w:t>
      </w:r>
      <w:r w:rsidRPr="00E2582D">
        <w:rPr>
          <w:rFonts w:ascii="Book Antiqua" w:hAnsi="Book Antiqua"/>
          <w:sz w:val="21"/>
          <w:szCs w:val="21"/>
        </w:rPr>
        <w:t>naïve</w:t>
      </w:r>
      <w:r w:rsidRPr="008035C6">
        <w:rPr>
          <w:rFonts w:ascii="Book Antiqua" w:hAnsi="Book Antiqua" w:cs="宋体"/>
          <w:color w:val="000000"/>
          <w:sz w:val="21"/>
          <w:szCs w:val="21"/>
        </w:rPr>
        <w:t xml:space="preserve"> patients: final results from STARTVerso1, a randomized double blind placebo-controlled phase III trial. Presented at 48th Annual Meeting of the European Association for the Study of the Liver; April 24-28; 2013, Amsterdam.</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27 </w:t>
      </w:r>
      <w:r w:rsidRPr="008035C6">
        <w:rPr>
          <w:rFonts w:ascii="Book Antiqua" w:hAnsi="Book Antiqua" w:cs="宋体"/>
          <w:b/>
          <w:color w:val="000000"/>
          <w:sz w:val="21"/>
          <w:szCs w:val="21"/>
        </w:rPr>
        <w:t>Marcellin P</w:t>
      </w:r>
      <w:r w:rsidRPr="008035C6">
        <w:rPr>
          <w:rFonts w:ascii="Book Antiqua" w:hAnsi="Book Antiqua" w:cs="宋体"/>
          <w:color w:val="000000"/>
          <w:sz w:val="21"/>
          <w:szCs w:val="21"/>
        </w:rPr>
        <w:t xml:space="preserve">, Cooper C, Balart L, Larrey D, Box T, Yoshida E, Lawitz E, Buggisch P, Ferenci P, Weltman M, Labriola-Tompkins E, Le Pogam S, </w:t>
      </w:r>
      <w:r w:rsidRPr="00E2582D">
        <w:rPr>
          <w:rFonts w:ascii="Book Antiqua" w:hAnsi="Book Antiqua" w:cs="Arial"/>
          <w:sz w:val="21"/>
          <w:szCs w:val="21"/>
        </w:rPr>
        <w:t>Nájera</w:t>
      </w:r>
      <w:r w:rsidRPr="008035C6">
        <w:rPr>
          <w:rFonts w:ascii="Book Antiqua" w:hAnsi="Book Antiqua" w:cs="宋体"/>
          <w:color w:val="000000"/>
          <w:sz w:val="21"/>
          <w:szCs w:val="21"/>
        </w:rPr>
        <w:t xml:space="preserve"> I, Thomas D, Hooper G, Shulman NS, Zhang Y, Navarro MT, Lim CY, Brunda M, Terrault NA, Yetzer ES. Antiviral activity of danoprevir (ITMN-191/RG7227) in combination with pegylated interferon α-2a and ribavirin in patients with hepatitis C. </w:t>
      </w:r>
      <w:r w:rsidRPr="008035C6">
        <w:rPr>
          <w:rFonts w:ascii="Book Antiqua" w:hAnsi="Book Antiqua" w:cs="宋体"/>
          <w:i/>
          <w:color w:val="000000"/>
          <w:sz w:val="21"/>
          <w:szCs w:val="21"/>
        </w:rPr>
        <w:t>Gastroenterology</w:t>
      </w:r>
      <w:r w:rsidRPr="008035C6">
        <w:rPr>
          <w:rFonts w:ascii="Book Antiqua" w:hAnsi="Book Antiqua" w:cs="宋体"/>
          <w:color w:val="000000"/>
          <w:sz w:val="21"/>
          <w:szCs w:val="21"/>
        </w:rPr>
        <w:t xml:space="preserve"> 2013; </w:t>
      </w:r>
      <w:r w:rsidRPr="008035C6">
        <w:rPr>
          <w:rFonts w:ascii="Book Antiqua" w:hAnsi="Book Antiqua" w:cs="宋体"/>
          <w:b/>
          <w:color w:val="000000"/>
          <w:sz w:val="21"/>
          <w:szCs w:val="21"/>
        </w:rPr>
        <w:t>145</w:t>
      </w:r>
      <w:r w:rsidRPr="00E2582D">
        <w:rPr>
          <w:rFonts w:ascii="Book Antiqua" w:hAnsi="Book Antiqua" w:cs="宋体"/>
          <w:color w:val="000000"/>
          <w:sz w:val="21"/>
          <w:szCs w:val="21"/>
        </w:rPr>
        <w:t>: 790-800</w:t>
      </w:r>
      <w:r w:rsidRPr="008035C6">
        <w:rPr>
          <w:rFonts w:ascii="Book Antiqua" w:hAnsi="Book Antiqua" w:cs="宋体"/>
          <w:color w:val="000000"/>
          <w:sz w:val="21"/>
          <w:szCs w:val="21"/>
        </w:rPr>
        <w:t xml:space="preserve"> </w:t>
      </w:r>
      <w:r w:rsidRPr="00E2582D">
        <w:rPr>
          <w:rFonts w:ascii="Book Antiqua" w:hAnsi="Book Antiqua" w:cs="宋体"/>
          <w:color w:val="000000"/>
          <w:sz w:val="21"/>
          <w:szCs w:val="21"/>
        </w:rPr>
        <w:t>[</w:t>
      </w:r>
      <w:r w:rsidRPr="008035C6">
        <w:rPr>
          <w:rFonts w:ascii="Book Antiqua" w:hAnsi="Book Antiqua" w:cs="宋体"/>
          <w:color w:val="000000"/>
          <w:sz w:val="21"/>
          <w:szCs w:val="21"/>
        </w:rPr>
        <w:t>PMID</w:t>
      </w:r>
      <w:r w:rsidRPr="00E2582D">
        <w:rPr>
          <w:rFonts w:ascii="Book Antiqua" w:hAnsi="Book Antiqua" w:cs="宋体"/>
          <w:color w:val="000000"/>
          <w:sz w:val="21"/>
          <w:szCs w:val="21"/>
        </w:rPr>
        <w:t>:</w:t>
      </w:r>
      <w:r w:rsidRPr="008035C6">
        <w:rPr>
          <w:rFonts w:ascii="Book Antiqua" w:hAnsi="Book Antiqua" w:cs="宋体"/>
          <w:color w:val="000000"/>
          <w:sz w:val="21"/>
          <w:szCs w:val="21"/>
        </w:rPr>
        <w:t xml:space="preserve"> 23811112 </w:t>
      </w:r>
      <w:r w:rsidRPr="008035C6">
        <w:rPr>
          <w:rFonts w:ascii="Book Antiqua" w:hAnsi="Book Antiqua" w:cs="宋体"/>
          <w:caps/>
          <w:color w:val="000000"/>
          <w:sz w:val="21"/>
          <w:szCs w:val="21"/>
        </w:rPr>
        <w:t>doi</w:t>
      </w:r>
      <w:r w:rsidRPr="008035C6">
        <w:rPr>
          <w:rFonts w:ascii="Book Antiqua" w:hAnsi="Book Antiqua" w:cs="宋体"/>
          <w:color w:val="000000"/>
          <w:sz w:val="21"/>
          <w:szCs w:val="21"/>
        </w:rPr>
        <w:t>: 10.1053/j.gastro.2013.06.051</w:t>
      </w:r>
      <w:r w:rsidRPr="00E2582D">
        <w:rPr>
          <w:rFonts w:ascii="Book Antiqua" w:hAnsi="Book Antiqua" w:cs="宋体"/>
          <w:color w:val="000000"/>
          <w:sz w:val="21"/>
          <w:szCs w:val="21"/>
        </w:rPr>
        <w:t>]</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28</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Park JS</w:t>
      </w:r>
      <w:r w:rsidRPr="008035C6">
        <w:rPr>
          <w:rFonts w:ascii="Book Antiqua" w:hAnsi="Book Antiqua" w:cs="宋体"/>
          <w:color w:val="000000"/>
          <w:sz w:val="21"/>
          <w:szCs w:val="21"/>
        </w:rPr>
        <w:t>, Chang DY, Kim JH, Jung JH, Park J, Kim SH, Lee YD, Kim SS, Suh-Kim H. Retrovirus-mediated transduction of a cytosine deaminase gene preserves the stemness of mesenchymal stem cells.</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Exp Mol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45</w:t>
      </w:r>
      <w:r w:rsidRPr="008035C6">
        <w:rPr>
          <w:rFonts w:ascii="Book Antiqua" w:hAnsi="Book Antiqua" w:cs="宋体"/>
          <w:color w:val="000000"/>
          <w:sz w:val="21"/>
          <w:szCs w:val="21"/>
        </w:rPr>
        <w:t>: e10 [PMID: 23429359 DOI: 10.1016/j.jhep.2013.02.008]</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29</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Lawitz E</w:t>
      </w:r>
      <w:r w:rsidRPr="008035C6">
        <w:rPr>
          <w:rFonts w:ascii="Book Antiqua" w:hAnsi="Book Antiqua" w:cs="宋体"/>
          <w:color w:val="000000"/>
          <w:sz w:val="21"/>
          <w:szCs w:val="21"/>
        </w:rPr>
        <w:t>, Poordad F, Kowdley KV, Cohen DE, Podsadecki T, Siggelkow S, Larsen L, Menon R, Koev G, Tripathi R, Pilot-Matias T, Bernstein B. A phase 2a trial of 12-week interferon-free therapy with two direct-acting antivirals (ABT-450/r, ABT-072) and ribavirin in IL28B C/C patients with chronic hepatitis C genotype 1.</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J Hepatol</w:t>
      </w:r>
      <w:r w:rsidRPr="00E2582D">
        <w:rPr>
          <w:rFonts w:ascii="Book Antiqua" w:hAnsi="Book Antiqua" w:cs="宋体"/>
          <w:color w:val="000000"/>
          <w:sz w:val="21"/>
          <w:szCs w:val="21"/>
        </w:rPr>
        <w:t> </w:t>
      </w:r>
      <w:r w:rsidRPr="008035C6">
        <w:rPr>
          <w:rFonts w:ascii="Book Antiqua" w:hAnsi="Book Antiqua" w:cs="宋体"/>
          <w:color w:val="000000"/>
          <w:sz w:val="21"/>
          <w:szCs w:val="21"/>
        </w:rPr>
        <w:t>2013;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59</w:t>
      </w:r>
      <w:r w:rsidRPr="008035C6">
        <w:rPr>
          <w:rFonts w:ascii="Book Antiqua" w:hAnsi="Book Antiqua" w:cs="宋体"/>
          <w:color w:val="000000"/>
          <w:sz w:val="21"/>
          <w:szCs w:val="21"/>
        </w:rPr>
        <w:t>: 18-23 [PMID: 23439262 DOI: 10.1016/j.jhep.2013.02.009]</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30 </w:t>
      </w:r>
      <w:r w:rsidRPr="00E2582D">
        <w:rPr>
          <w:rFonts w:ascii="Book Antiqua" w:hAnsi="Book Antiqua"/>
          <w:b/>
          <w:sz w:val="21"/>
          <w:szCs w:val="21"/>
        </w:rPr>
        <w:t>Everson GT</w:t>
      </w:r>
      <w:r w:rsidRPr="00E2582D">
        <w:rPr>
          <w:rFonts w:ascii="Book Antiqua" w:hAnsi="Book Antiqua"/>
          <w:sz w:val="21"/>
          <w:szCs w:val="21"/>
        </w:rPr>
        <w:t>, Sims KD, Rodriguez-Torres M. Interim analysis of an interferon (IFN)- and ribavirin (RBV)-free regimen of daclatasvir (DCV), asunaprevir (ASV), and BMS-791325 in treatment-naive, hepatitis C virus genotype 1-infected patients. Presented at 48</w:t>
      </w:r>
      <w:r w:rsidRPr="00E2582D">
        <w:rPr>
          <w:rFonts w:ascii="Book Antiqua" w:hAnsi="Book Antiqua"/>
          <w:sz w:val="21"/>
          <w:szCs w:val="21"/>
          <w:vertAlign w:val="superscript"/>
        </w:rPr>
        <w:t>th</w:t>
      </w:r>
      <w:r w:rsidRPr="00E2582D">
        <w:rPr>
          <w:rFonts w:ascii="Book Antiqua" w:hAnsi="Book Antiqua"/>
          <w:sz w:val="21"/>
          <w:szCs w:val="21"/>
        </w:rPr>
        <w:t xml:space="preserve"> Annual Meeting of the European Association for the Study of the Liver; April 24-28; 2013, Amsterdam</w:t>
      </w:r>
    </w:p>
    <w:p w:rsidR="00965749" w:rsidRPr="008035C6" w:rsidRDefault="00965749" w:rsidP="006359CB">
      <w:pPr>
        <w:spacing w:after="0" w:line="360" w:lineRule="auto"/>
        <w:jc w:val="both"/>
        <w:rPr>
          <w:rFonts w:ascii="Book Antiqua" w:hAnsi="Book Antiqua" w:cs="宋体"/>
          <w:color w:val="000000"/>
          <w:sz w:val="21"/>
          <w:szCs w:val="21"/>
        </w:rPr>
      </w:pPr>
      <w:r w:rsidRPr="00547837">
        <w:rPr>
          <w:rFonts w:ascii="Book Antiqua" w:hAnsi="Book Antiqua" w:cs="宋体"/>
          <w:color w:val="000000"/>
          <w:sz w:val="21"/>
          <w:szCs w:val="21"/>
          <w:lang w:val="de-DE"/>
        </w:rPr>
        <w:t xml:space="preserve">31 </w:t>
      </w:r>
      <w:r w:rsidRPr="00547837">
        <w:rPr>
          <w:rFonts w:ascii="Book Antiqua" w:hAnsi="Book Antiqua" w:cs="宋体"/>
          <w:b/>
          <w:color w:val="000000"/>
          <w:sz w:val="21"/>
          <w:szCs w:val="21"/>
          <w:lang w:val="de-DE"/>
        </w:rPr>
        <w:t>Manns</w:t>
      </w:r>
      <w:r w:rsidRPr="00547837">
        <w:rPr>
          <w:rFonts w:ascii="Book Antiqua" w:hAnsi="Book Antiqua" w:cs="宋体"/>
          <w:b/>
          <w:color w:val="000000"/>
          <w:szCs w:val="21"/>
          <w:lang w:val="de-DE"/>
        </w:rPr>
        <w:t xml:space="preserve"> </w:t>
      </w:r>
      <w:r w:rsidRPr="00547837">
        <w:rPr>
          <w:rFonts w:ascii="Book Antiqua" w:hAnsi="Book Antiqua" w:cs="宋体"/>
          <w:b/>
          <w:color w:val="000000"/>
          <w:sz w:val="21"/>
          <w:szCs w:val="21"/>
          <w:lang w:val="de-DE"/>
        </w:rPr>
        <w:t>M</w:t>
      </w:r>
      <w:r w:rsidRPr="00547837">
        <w:rPr>
          <w:rFonts w:ascii="Book Antiqua" w:hAnsi="Book Antiqua" w:cs="宋体"/>
          <w:color w:val="000000"/>
          <w:sz w:val="21"/>
          <w:szCs w:val="21"/>
          <w:lang w:val="de-DE"/>
        </w:rPr>
        <w:t xml:space="preserve">, Vierling JM, Bacon BR. </w:t>
      </w:r>
      <w:r w:rsidRPr="008035C6">
        <w:rPr>
          <w:rFonts w:ascii="Book Antiqua" w:hAnsi="Book Antiqua" w:cs="宋体"/>
          <w:color w:val="000000"/>
          <w:sz w:val="21"/>
          <w:szCs w:val="21"/>
        </w:rPr>
        <w:t>High sustained viral response at 12- and 24-week follow-up of MK-5172 with pegylated interferon alfa-2b and ribavirin (PR) in HCV genotype 1 treatment-naive non-cirrhotic patient. Presented at 48th Annual Meeting of the European Association for the Study of the Liver (EASL 2013). April 24-28, 2013, Amsterdam</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32 </w:t>
      </w:r>
      <w:r w:rsidRPr="008035C6">
        <w:rPr>
          <w:rFonts w:ascii="Book Antiqua" w:hAnsi="Book Antiqua" w:cs="宋体"/>
          <w:b/>
          <w:color w:val="000000"/>
          <w:sz w:val="21"/>
          <w:szCs w:val="21"/>
        </w:rPr>
        <w:t>Lawitz E</w:t>
      </w:r>
      <w:r w:rsidRPr="00E2582D">
        <w:rPr>
          <w:rFonts w:ascii="Book Antiqua" w:hAnsi="Book Antiqua" w:cs="宋体"/>
          <w:color w:val="000000"/>
          <w:sz w:val="21"/>
          <w:szCs w:val="21"/>
        </w:rPr>
        <w:t>, Hill J, Vince B</w:t>
      </w:r>
      <w:r w:rsidRPr="008035C6">
        <w:rPr>
          <w:rFonts w:ascii="Book Antiqua" w:hAnsi="Book Antiqua" w:cs="宋体"/>
          <w:color w:val="000000"/>
          <w:sz w:val="21"/>
          <w:szCs w:val="21"/>
        </w:rPr>
        <w:t>. ACH-2684 demonstrates potent viral suppression in genotype 1 hepatitis C patients with and without cirrhosis: safety, pharmacokinetic, and viral kinetic analysis. Presented at 48th Annual Meeting of the European Association for the Study of the Liver; April 24-28; 2013, Amsterdam</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33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Pol S</w:t>
      </w:r>
      <w:r w:rsidRPr="008035C6">
        <w:rPr>
          <w:rFonts w:ascii="Book Antiqua" w:hAnsi="Book Antiqua" w:cs="宋体"/>
          <w:color w:val="000000"/>
          <w:sz w:val="21"/>
          <w:szCs w:val="21"/>
        </w:rPr>
        <w:t>, Ghalib RH, Rustgi VK, Martorell C, Everson GT, Tatum HA, Hézode C, Lim JK, Bronowicki JP, Abrams GA, Bräu N, Morris DW, Thuluvath PJ, Reindollar RW, Yin PD, Diva U, Hindes R, McPhee F, Hernandez D, Wind-Rotolo M, Hughes EA, Schnittman S. Daclatasvir for previously untreated chronic hepatitis C genotype-1 infection: a randomised, parallel-group, double-blind, placebo-controlled, dose-finding, phase 2a trial.</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Lancet Infect Dis</w:t>
      </w:r>
      <w:r w:rsidRPr="00E2582D">
        <w:rPr>
          <w:rFonts w:ascii="Book Antiqua" w:hAnsi="Book Antiqua" w:cs="宋体"/>
          <w:color w:val="000000"/>
          <w:sz w:val="21"/>
          <w:szCs w:val="21"/>
        </w:rPr>
        <w:t> </w:t>
      </w:r>
      <w:r w:rsidRPr="008035C6">
        <w:rPr>
          <w:rFonts w:ascii="Book Antiqua" w:hAnsi="Book Antiqua" w:cs="宋体"/>
          <w:color w:val="000000"/>
          <w:sz w:val="21"/>
          <w:szCs w:val="21"/>
        </w:rPr>
        <w:t>2012;</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12</w:t>
      </w:r>
      <w:r w:rsidRPr="008035C6">
        <w:rPr>
          <w:rFonts w:ascii="Book Antiqua" w:hAnsi="Book Antiqua" w:cs="宋体"/>
          <w:color w:val="000000"/>
          <w:sz w:val="21"/>
          <w:szCs w:val="21"/>
        </w:rPr>
        <w:t>: 671-677 [PMID: 22714001 DOI: 10.1016/S1473-3099(12)70138-X]</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34 </w:t>
      </w:r>
      <w:r w:rsidRPr="008035C6">
        <w:rPr>
          <w:rFonts w:ascii="Book Antiqua" w:hAnsi="Book Antiqua" w:cs="宋体"/>
          <w:b/>
          <w:color w:val="000000"/>
          <w:sz w:val="21"/>
          <w:szCs w:val="21"/>
        </w:rPr>
        <w:t>Sulkowski MS</w:t>
      </w:r>
      <w:r w:rsidRPr="008035C6">
        <w:rPr>
          <w:rFonts w:ascii="Book Antiqua" w:hAnsi="Book Antiqua" w:cs="宋体"/>
          <w:color w:val="000000"/>
          <w:sz w:val="21"/>
          <w:szCs w:val="21"/>
        </w:rPr>
        <w:t>, Gardiner DF, Rodriguez-Torres M. Sustained virologic response with daclatasvir plus sofosbuvir ribavirin (RBV) in chronic HCV genotype (GT) 1-infected patients who previously failed telaprevir (TVR) or boceprevir (BOC). Presented at 48th Annual Meeting of the European Association for the Study of the Liver; April 24-28; 2013, Amsterdam</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35 </w:t>
      </w:r>
      <w:r w:rsidRPr="008035C6">
        <w:rPr>
          <w:rFonts w:ascii="Book Antiqua" w:hAnsi="Book Antiqua" w:cs="宋体"/>
          <w:b/>
          <w:color w:val="000000"/>
          <w:sz w:val="21"/>
          <w:szCs w:val="21"/>
        </w:rPr>
        <w:t>Gane EJ</w:t>
      </w:r>
      <w:r w:rsidRPr="008035C6">
        <w:rPr>
          <w:rFonts w:ascii="Book Antiqua" w:hAnsi="Book Antiqua" w:cs="宋体"/>
          <w:color w:val="000000"/>
          <w:sz w:val="21"/>
          <w:szCs w:val="21"/>
        </w:rPr>
        <w:t>, Stedman CA, Hyland RH. ELECTRON: 100% SVR rate for once-daily sofosbuvir plus ledipasvir plus ribavirin given for 12 weeks in treatment-</w:t>
      </w:r>
      <w:r w:rsidRPr="00E2582D">
        <w:rPr>
          <w:rFonts w:ascii="Book Antiqua" w:hAnsi="Book Antiqua"/>
          <w:sz w:val="21"/>
          <w:szCs w:val="21"/>
        </w:rPr>
        <w:t xml:space="preserve"> </w:t>
      </w:r>
      <w:r w:rsidRPr="00E2582D">
        <w:rPr>
          <w:rFonts w:ascii="Book Antiqua" w:hAnsi="Book Antiqua" w:cs="宋体"/>
          <w:color w:val="000000"/>
          <w:sz w:val="21"/>
          <w:szCs w:val="21"/>
        </w:rPr>
        <w:t>naive</w:t>
      </w:r>
      <w:r w:rsidRPr="008035C6">
        <w:rPr>
          <w:rFonts w:ascii="Book Antiqua" w:hAnsi="Book Antiqua" w:cs="宋体"/>
          <w:color w:val="000000"/>
          <w:sz w:val="21"/>
          <w:szCs w:val="21"/>
        </w:rPr>
        <w:t xml:space="preserve"> and previously treated patients with HCV GT 1. Presented at 20th Annual Conference on Retroviruses and Opportunistic Infec</w:t>
      </w:r>
      <w:r w:rsidRPr="00E2582D">
        <w:rPr>
          <w:rFonts w:ascii="Book Antiqua" w:hAnsi="Book Antiqua" w:cs="宋体"/>
          <w:color w:val="000000"/>
          <w:sz w:val="21"/>
          <w:szCs w:val="21"/>
        </w:rPr>
        <w:t>tions; March 3-6, 2013, Atlanta</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36 </w:t>
      </w:r>
      <w:r w:rsidRPr="008035C6">
        <w:rPr>
          <w:rFonts w:ascii="Book Antiqua" w:hAnsi="Book Antiqua" w:cs="宋体"/>
          <w:color w:val="000000"/>
          <w:sz w:val="21"/>
          <w:szCs w:val="21"/>
        </w:rPr>
        <w:t xml:space="preserve">HCV NS5A Inhibitor – ACH-3102. </w:t>
      </w:r>
      <w:r w:rsidRPr="00E2582D">
        <w:rPr>
          <w:rFonts w:ascii="Book Antiqua" w:hAnsi="Book Antiqua" w:cs="宋体"/>
          <w:color w:val="000000"/>
          <w:sz w:val="21"/>
          <w:szCs w:val="21"/>
        </w:rPr>
        <w:t xml:space="preserve">Available from: URL: </w:t>
      </w:r>
      <w:r w:rsidRPr="008035C6">
        <w:rPr>
          <w:rFonts w:ascii="Book Antiqua" w:hAnsi="Book Antiqua" w:cs="宋体"/>
          <w:color w:val="000000"/>
          <w:sz w:val="21"/>
          <w:szCs w:val="21"/>
        </w:rPr>
        <w:t>http: //www.achillion.com/ACH3102</w:t>
      </w:r>
      <w:r w:rsidRPr="00E2582D">
        <w:rPr>
          <w:rFonts w:ascii="Book Antiqua" w:hAnsi="Book Antiqua" w:cs="宋体"/>
          <w:color w:val="000000"/>
          <w:sz w:val="21"/>
          <w:szCs w:val="21"/>
        </w:rPr>
        <w:t>.</w:t>
      </w:r>
      <w:r w:rsidRPr="008035C6">
        <w:rPr>
          <w:rFonts w:ascii="Book Antiqua" w:hAnsi="Book Antiqua" w:cs="宋体"/>
          <w:color w:val="000000"/>
          <w:sz w:val="21"/>
          <w:szCs w:val="21"/>
        </w:rPr>
        <w:t xml:space="preserve"> Accessed September 28, 2013</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37 </w:t>
      </w:r>
      <w:r w:rsidRPr="008035C6">
        <w:rPr>
          <w:rFonts w:ascii="Book Antiqua" w:hAnsi="Book Antiqua" w:cs="宋体"/>
          <w:b/>
          <w:color w:val="000000"/>
          <w:sz w:val="21"/>
          <w:szCs w:val="21"/>
        </w:rPr>
        <w:t>Kowdley</w:t>
      </w:r>
      <w:r w:rsidRPr="00E2582D">
        <w:rPr>
          <w:rFonts w:ascii="Book Antiqua" w:hAnsi="Book Antiqua" w:cs="宋体"/>
          <w:b/>
          <w:color w:val="000000"/>
          <w:sz w:val="21"/>
          <w:szCs w:val="21"/>
        </w:rPr>
        <w:t xml:space="preserve"> </w:t>
      </w:r>
      <w:r w:rsidRPr="008035C6">
        <w:rPr>
          <w:rFonts w:ascii="Book Antiqua" w:hAnsi="Book Antiqua" w:cs="宋体"/>
          <w:b/>
          <w:color w:val="000000"/>
          <w:sz w:val="21"/>
          <w:szCs w:val="21"/>
        </w:rPr>
        <w:t>KV</w:t>
      </w:r>
      <w:r w:rsidRPr="008035C6">
        <w:rPr>
          <w:rFonts w:ascii="Book Antiqua" w:hAnsi="Book Antiqua" w:cs="宋体"/>
          <w:color w:val="000000"/>
          <w:sz w:val="21"/>
          <w:szCs w:val="21"/>
        </w:rPr>
        <w:t>, Lawitz</w:t>
      </w:r>
      <w:r w:rsidRPr="00E2582D">
        <w:rPr>
          <w:rFonts w:ascii="Book Antiqua" w:hAnsi="Book Antiqua" w:cs="宋体"/>
          <w:color w:val="000000"/>
          <w:sz w:val="21"/>
          <w:szCs w:val="21"/>
        </w:rPr>
        <w:t xml:space="preserve"> </w:t>
      </w:r>
      <w:r w:rsidRPr="008035C6">
        <w:rPr>
          <w:rFonts w:ascii="Book Antiqua" w:hAnsi="Book Antiqua" w:cs="宋体"/>
          <w:color w:val="000000"/>
          <w:sz w:val="21"/>
          <w:szCs w:val="21"/>
        </w:rPr>
        <w:t>E, Poordad</w:t>
      </w:r>
      <w:r w:rsidRPr="00E2582D">
        <w:rPr>
          <w:rFonts w:ascii="Book Antiqua" w:hAnsi="Book Antiqua" w:cs="宋体"/>
          <w:color w:val="000000"/>
          <w:sz w:val="21"/>
          <w:szCs w:val="21"/>
        </w:rPr>
        <w:t xml:space="preserve"> </w:t>
      </w:r>
      <w:r w:rsidRPr="008035C6">
        <w:rPr>
          <w:rFonts w:ascii="Book Antiqua" w:hAnsi="Book Antiqua" w:cs="宋体"/>
          <w:color w:val="000000"/>
          <w:sz w:val="21"/>
          <w:szCs w:val="21"/>
        </w:rPr>
        <w:t>F. Safety and efficacy of interferon-free regimens of ABT-450/r, ABT-267 and ABT-333 /- ribavirin in patients with chronic genotype 1 infection: results from the Aviator study. Presented at 48th Annual Meeting of the European Association for the Study of the Liver (EASL 2013). April 24-28, 2013, Amsterdam</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38</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Lawitz E</w:t>
      </w:r>
      <w:r w:rsidRPr="008035C6">
        <w:rPr>
          <w:rFonts w:ascii="Book Antiqua" w:hAnsi="Book Antiqua" w:cs="宋体"/>
          <w:color w:val="000000"/>
          <w:sz w:val="21"/>
          <w:szCs w:val="21"/>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368</w:t>
      </w:r>
      <w:r w:rsidRPr="008035C6">
        <w:rPr>
          <w:rFonts w:ascii="Book Antiqua" w:hAnsi="Book Antiqua" w:cs="宋体"/>
          <w:color w:val="000000"/>
          <w:sz w:val="21"/>
          <w:szCs w:val="21"/>
        </w:rPr>
        <w:t>: 1878-1887 [PMID: 23607594 DOI: 10.1056/NEJMoa1214853]</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39</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Jacobson IM</w:t>
      </w:r>
      <w:r w:rsidRPr="008035C6">
        <w:rPr>
          <w:rFonts w:ascii="Book Antiqua" w:hAnsi="Book Antiqua" w:cs="宋体"/>
          <w:color w:val="000000"/>
          <w:sz w:val="21"/>
          <w:szCs w:val="21"/>
        </w:rPr>
        <w:t>,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368</w:t>
      </w:r>
      <w:r w:rsidRPr="008035C6">
        <w:rPr>
          <w:rFonts w:ascii="Book Antiqua" w:hAnsi="Book Antiqua" w:cs="宋体"/>
          <w:color w:val="000000"/>
          <w:sz w:val="21"/>
          <w:szCs w:val="21"/>
        </w:rPr>
        <w:t>: 1867-1877 [PMID: 23607593 DOI: 10.1056/NEJMoa1214854]</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40</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Pockros PJ</w:t>
      </w:r>
      <w:r w:rsidRPr="008035C6">
        <w:rPr>
          <w:rFonts w:ascii="Book Antiqua" w:hAnsi="Book Antiqua" w:cs="宋体"/>
          <w:color w:val="000000"/>
          <w:sz w:val="21"/>
          <w:szCs w:val="21"/>
        </w:rPr>
        <w:t>, Jensen D, Tsai N, Taylor R, Ramji A, Cooper C, Dickson R, Tice A, Kulkarni R, Vierling JM, Lou Munson M, Chen YC, Najera I, Thommes J. JUMP-C: a randomized trial of mericitabine plus pegylated interferon alpha-2a/ribavirin for 24 weeks in treatment-naïve HCV genotype 1/4 patients.</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Hepatology</w:t>
      </w:r>
      <w:r w:rsidRPr="00E2582D">
        <w:rPr>
          <w:rFonts w:ascii="Book Antiqua" w:hAnsi="Book Antiqua" w:cs="宋体"/>
          <w:color w:val="000000"/>
          <w:sz w:val="21"/>
          <w:szCs w:val="21"/>
        </w:rPr>
        <w:t> </w:t>
      </w:r>
      <w:r w:rsidRPr="008035C6">
        <w:rPr>
          <w:rFonts w:ascii="Book Antiqua" w:hAnsi="Book Antiqua" w:cs="宋体"/>
          <w:color w:val="000000"/>
          <w:sz w:val="21"/>
          <w:szCs w:val="21"/>
        </w:rPr>
        <w:t>2013;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58</w:t>
      </w:r>
      <w:r w:rsidRPr="008035C6">
        <w:rPr>
          <w:rFonts w:ascii="Book Antiqua" w:hAnsi="Book Antiqua" w:cs="宋体"/>
          <w:color w:val="000000"/>
          <w:sz w:val="21"/>
          <w:szCs w:val="21"/>
        </w:rPr>
        <w:t>: 514-523 [PMID: 23359491 DOI: 10.1002/hep.26275]</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41</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Poordad F</w:t>
      </w:r>
      <w:r w:rsidRPr="008035C6">
        <w:rPr>
          <w:rFonts w:ascii="Book Antiqua" w:hAnsi="Book Antiqua" w:cs="宋体"/>
          <w:color w:val="000000"/>
          <w:sz w:val="21"/>
          <w:szCs w:val="21"/>
        </w:rPr>
        <w:t>, Lawitz E, Kowdley KV, Cohen DE, Podsadecki T, Siggelkow S, Heckaman M, Larsen L, Menon R, Koev G, Tripathi R, Pilot-Matias T, Bernstein B. Exploratory study of oral combination antiviral therapy for hepatitis C.</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368</w:t>
      </w:r>
      <w:r w:rsidRPr="008035C6">
        <w:rPr>
          <w:rFonts w:ascii="Book Antiqua" w:hAnsi="Book Antiqua" w:cs="宋体"/>
          <w:color w:val="000000"/>
          <w:sz w:val="21"/>
          <w:szCs w:val="21"/>
        </w:rPr>
        <w:t>: 45-53 [PMID: 23281975 DOI: 10.1056/NEJMoa1208809]</w:t>
      </w:r>
    </w:p>
    <w:p w:rsidR="00965749" w:rsidRPr="008035C6" w:rsidRDefault="00965749" w:rsidP="006359CB">
      <w:pPr>
        <w:spacing w:after="0" w:line="360" w:lineRule="auto"/>
        <w:jc w:val="both"/>
        <w:rPr>
          <w:rFonts w:ascii="Book Antiqua" w:hAnsi="Book Antiqua" w:cs="宋体"/>
          <w:color w:val="000000"/>
          <w:sz w:val="21"/>
          <w:szCs w:val="21"/>
        </w:rPr>
      </w:pPr>
      <w:r w:rsidRPr="00547837">
        <w:rPr>
          <w:rFonts w:ascii="Book Antiqua" w:hAnsi="Book Antiqua" w:cs="宋体"/>
          <w:color w:val="000000"/>
          <w:sz w:val="21"/>
          <w:szCs w:val="21"/>
          <w:lang w:val="de-DE"/>
        </w:rPr>
        <w:t>42 </w:t>
      </w:r>
      <w:r w:rsidRPr="00547837">
        <w:rPr>
          <w:rFonts w:ascii="Book Antiqua" w:hAnsi="Book Antiqua" w:cs="宋体"/>
          <w:b/>
          <w:bCs/>
          <w:color w:val="000000"/>
          <w:sz w:val="21"/>
          <w:szCs w:val="21"/>
          <w:lang w:val="de-DE"/>
        </w:rPr>
        <w:t>Schultheiss C</w:t>
      </w:r>
      <w:r w:rsidRPr="00547837">
        <w:rPr>
          <w:rFonts w:ascii="Book Antiqua" w:hAnsi="Book Antiqua" w:cs="宋体"/>
          <w:color w:val="000000"/>
          <w:sz w:val="21"/>
          <w:szCs w:val="21"/>
          <w:lang w:val="de-DE"/>
        </w:rPr>
        <w:t xml:space="preserve">, Schauer T, Nahrstaedt H, Seidl RO. </w:t>
      </w:r>
      <w:r w:rsidRPr="008035C6">
        <w:rPr>
          <w:rFonts w:ascii="Book Antiqua" w:hAnsi="Book Antiqua" w:cs="宋体"/>
          <w:color w:val="000000"/>
          <w:sz w:val="21"/>
          <w:szCs w:val="21"/>
        </w:rPr>
        <w:t>Evaluation of an EMG bioimpedance measurement system for recording and analysing the pharyngeal phase of swallowing.</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Eur Arch Otorhinolaryngol</w:t>
      </w:r>
      <w:r w:rsidRPr="00E2582D">
        <w:rPr>
          <w:rFonts w:ascii="Book Antiqua" w:hAnsi="Book Antiqua" w:cs="宋体"/>
          <w:color w:val="000000"/>
          <w:sz w:val="21"/>
          <w:szCs w:val="21"/>
        </w:rPr>
        <w:t> </w:t>
      </w:r>
      <w:r w:rsidRPr="008035C6">
        <w:rPr>
          <w:rFonts w:ascii="Book Antiqua" w:hAnsi="Book Antiqua" w:cs="宋体"/>
          <w:color w:val="000000"/>
          <w:sz w:val="21"/>
          <w:szCs w:val="21"/>
        </w:rPr>
        <w:t>2013;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270</w:t>
      </w:r>
      <w:r w:rsidRPr="008035C6">
        <w:rPr>
          <w:rFonts w:ascii="Book Antiqua" w:hAnsi="Book Antiqua" w:cs="宋体"/>
          <w:color w:val="000000"/>
          <w:sz w:val="21"/>
          <w:szCs w:val="21"/>
        </w:rPr>
        <w:t>: 2149-2156 [PMID: 23440435 DOI: 10.2147/DDDT.S30946]</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43 </w:t>
      </w:r>
      <w:r w:rsidRPr="008035C6">
        <w:rPr>
          <w:rFonts w:ascii="Book Antiqua" w:hAnsi="Book Antiqua" w:cs="宋体"/>
          <w:b/>
          <w:color w:val="000000"/>
          <w:sz w:val="21"/>
          <w:szCs w:val="21"/>
        </w:rPr>
        <w:t>Flisiak R</w:t>
      </w:r>
      <w:r w:rsidRPr="008035C6">
        <w:rPr>
          <w:rFonts w:ascii="Book Antiqua" w:hAnsi="Book Antiqua" w:cs="宋体"/>
          <w:color w:val="000000"/>
          <w:sz w:val="21"/>
          <w:szCs w:val="21"/>
        </w:rPr>
        <w:t>. Cyclophilin inhibitor alisporivir active against HCV in phase 2b, HBV in lab. Presented at 46th Annual Meeting of the European Association for the Study of the Liver (EASL 2011). March 30 – April 3, 2011, Berlin</w:t>
      </w:r>
    </w:p>
    <w:p w:rsidR="00965749" w:rsidRPr="008035C6" w:rsidRDefault="00965749" w:rsidP="006359CB">
      <w:pPr>
        <w:spacing w:after="0" w:line="360" w:lineRule="auto"/>
        <w:jc w:val="both"/>
        <w:rPr>
          <w:rFonts w:ascii="Book Antiqua" w:hAnsi="Book Antiqua" w:cs="宋体"/>
          <w:color w:val="000000"/>
          <w:sz w:val="21"/>
          <w:szCs w:val="21"/>
        </w:rPr>
      </w:pPr>
      <w:r w:rsidRPr="008035C6">
        <w:rPr>
          <w:rFonts w:ascii="Book Antiqua" w:hAnsi="Book Antiqua" w:cs="宋体"/>
          <w:color w:val="000000"/>
          <w:sz w:val="21"/>
          <w:szCs w:val="21"/>
        </w:rPr>
        <w:t>44</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Janssen HL</w:t>
      </w:r>
      <w:r w:rsidRPr="008035C6">
        <w:rPr>
          <w:rFonts w:ascii="Book Antiqua" w:hAnsi="Book Antiqua" w:cs="宋体"/>
          <w:color w:val="000000"/>
          <w:sz w:val="21"/>
          <w:szCs w:val="21"/>
        </w:rPr>
        <w:t>, Reesink HW, Lawitz EJ, Zeuzem S, Rodriguez-Torres M, Patel K, van der Meer AJ, Patick AK, Chen A, Zhou Y, Persson R, King BD, Kauppinen S, Levin AA, Hodges MR. Treatment of HCV infection by targeting microRNA.</w:t>
      </w:r>
      <w:r w:rsidRPr="00E2582D">
        <w:rPr>
          <w:rFonts w:ascii="Book Antiqua" w:hAnsi="Book Antiqua" w:cs="宋体"/>
          <w:color w:val="000000"/>
          <w:sz w:val="21"/>
          <w:szCs w:val="21"/>
        </w:rPr>
        <w:t> </w:t>
      </w:r>
      <w:r w:rsidRPr="008035C6">
        <w:rPr>
          <w:rFonts w:ascii="Book Antiqua" w:hAnsi="Book Antiqua" w:cs="宋体"/>
          <w:i/>
          <w:iCs/>
          <w:color w:val="000000"/>
          <w:sz w:val="21"/>
          <w:szCs w:val="21"/>
        </w:rPr>
        <w:t>N Engl J Med</w:t>
      </w:r>
      <w:r w:rsidRPr="00E2582D">
        <w:rPr>
          <w:rFonts w:ascii="Book Antiqua" w:hAnsi="Book Antiqua" w:cs="宋体"/>
          <w:color w:val="000000"/>
          <w:sz w:val="21"/>
          <w:szCs w:val="21"/>
        </w:rPr>
        <w:t> </w:t>
      </w:r>
      <w:r w:rsidRPr="008035C6">
        <w:rPr>
          <w:rFonts w:ascii="Book Antiqua" w:hAnsi="Book Antiqua" w:cs="宋体"/>
          <w:color w:val="000000"/>
          <w:sz w:val="21"/>
          <w:szCs w:val="21"/>
        </w:rPr>
        <w:t>2013;</w:t>
      </w:r>
      <w:r w:rsidRPr="00E2582D">
        <w:rPr>
          <w:rFonts w:ascii="Book Antiqua" w:hAnsi="Book Antiqua" w:cs="宋体"/>
          <w:color w:val="000000"/>
          <w:sz w:val="21"/>
          <w:szCs w:val="21"/>
        </w:rPr>
        <w:t> </w:t>
      </w:r>
      <w:r w:rsidRPr="008035C6">
        <w:rPr>
          <w:rFonts w:ascii="Book Antiqua" w:hAnsi="Book Antiqua" w:cs="宋体"/>
          <w:b/>
          <w:bCs/>
          <w:color w:val="000000"/>
          <w:sz w:val="21"/>
          <w:szCs w:val="21"/>
        </w:rPr>
        <w:t>368</w:t>
      </w:r>
      <w:r w:rsidRPr="008035C6">
        <w:rPr>
          <w:rFonts w:ascii="Book Antiqua" w:hAnsi="Book Antiqua" w:cs="宋体"/>
          <w:color w:val="000000"/>
          <w:sz w:val="21"/>
          <w:szCs w:val="21"/>
        </w:rPr>
        <w:t>: 1685-1694 [PMID: 23534542 DOI: 10.1056/NEJMoa1209026]</w:t>
      </w:r>
    </w:p>
    <w:p w:rsidR="00965749" w:rsidRPr="008035C6" w:rsidRDefault="00965749" w:rsidP="006359CB">
      <w:pPr>
        <w:spacing w:after="0" w:line="360" w:lineRule="auto"/>
        <w:jc w:val="both"/>
        <w:rPr>
          <w:rFonts w:ascii="Book Antiqua" w:hAnsi="Book Antiqua" w:cs="宋体"/>
          <w:color w:val="000000"/>
          <w:sz w:val="21"/>
          <w:szCs w:val="21"/>
        </w:rPr>
      </w:pPr>
      <w:r w:rsidRPr="00E2582D">
        <w:rPr>
          <w:rFonts w:ascii="Book Antiqua" w:hAnsi="Book Antiqua" w:cs="宋体"/>
          <w:color w:val="000000"/>
          <w:sz w:val="21"/>
          <w:szCs w:val="21"/>
        </w:rPr>
        <w:t xml:space="preserve">45 </w:t>
      </w:r>
      <w:r w:rsidRPr="008035C6">
        <w:rPr>
          <w:rFonts w:ascii="Book Antiqua" w:hAnsi="Book Antiqua" w:cs="宋体"/>
          <w:b/>
          <w:color w:val="000000"/>
          <w:sz w:val="21"/>
          <w:szCs w:val="21"/>
        </w:rPr>
        <w:t>Muir A</w:t>
      </w:r>
      <w:r w:rsidRPr="008035C6">
        <w:rPr>
          <w:rFonts w:ascii="Book Antiqua" w:hAnsi="Book Antiqua" w:cs="宋体"/>
          <w:color w:val="000000"/>
          <w:sz w:val="21"/>
          <w:szCs w:val="21"/>
        </w:rPr>
        <w:t>, Hillson J, Gray T. Peginterferon lambda-1a (Lambda) compared to peginterferon alpha-2a (Alfa) in treatment-</w:t>
      </w:r>
      <w:r w:rsidRPr="00E2582D">
        <w:rPr>
          <w:rFonts w:ascii="Book Antiqua" w:hAnsi="Book Antiqua" w:cs="宋体"/>
          <w:color w:val="000000"/>
          <w:sz w:val="21"/>
          <w:szCs w:val="21"/>
        </w:rPr>
        <w:t xml:space="preserve">naïve </w:t>
      </w:r>
      <w:r w:rsidRPr="008035C6">
        <w:rPr>
          <w:rFonts w:ascii="Book Antiqua" w:hAnsi="Book Antiqua" w:cs="宋体"/>
          <w:color w:val="000000"/>
          <w:sz w:val="21"/>
          <w:szCs w:val="21"/>
        </w:rPr>
        <w:t>patients with HCV genotypes (GT) 1 or 4: SVR24 results from EMERGE Phase 2b. Presented at 63rd Annual Meeting of the American Association for the Study of Liver Diseases; 2012</w:t>
      </w:r>
      <w:r w:rsidRPr="00E2582D">
        <w:rPr>
          <w:rFonts w:ascii="Book Antiqua" w:hAnsi="Book Antiqua" w:cs="宋体"/>
          <w:color w:val="000000"/>
          <w:sz w:val="21"/>
          <w:szCs w:val="21"/>
        </w:rPr>
        <w:t xml:space="preserve"> November 9-12</w:t>
      </w:r>
      <w:r w:rsidRPr="008035C6">
        <w:rPr>
          <w:rFonts w:ascii="Book Antiqua" w:hAnsi="Book Antiqua" w:cs="宋体"/>
          <w:color w:val="000000"/>
          <w:sz w:val="21"/>
          <w:szCs w:val="21"/>
        </w:rPr>
        <w:t>, Boston, MA</w:t>
      </w:r>
    </w:p>
    <w:p w:rsidR="00965749" w:rsidRDefault="00965749" w:rsidP="006359CB">
      <w:pPr>
        <w:spacing w:after="0" w:line="360" w:lineRule="auto"/>
        <w:jc w:val="both"/>
        <w:rPr>
          <w:rFonts w:ascii="Book Antiqua" w:hAnsi="Book Antiqua"/>
          <w:sz w:val="21"/>
          <w:szCs w:val="21"/>
          <w:lang w:eastAsia="zh-CN"/>
        </w:rPr>
      </w:pPr>
    </w:p>
    <w:p w:rsidR="00965749" w:rsidRPr="00462C6B" w:rsidRDefault="00965749" w:rsidP="00E34ED2">
      <w:pPr>
        <w:spacing w:after="0" w:line="360" w:lineRule="auto"/>
        <w:ind w:left="316" w:hangingChars="150" w:hanging="316"/>
        <w:jc w:val="right"/>
        <w:rPr>
          <w:rFonts w:ascii="Book Antiqua" w:hAnsi="Book Antiqua"/>
          <w:sz w:val="21"/>
          <w:szCs w:val="21"/>
        </w:rPr>
      </w:pPr>
      <w:r w:rsidRPr="00462C6B">
        <w:rPr>
          <w:rFonts w:ascii="Book Antiqua" w:hAnsi="Book Antiqua"/>
          <w:b/>
          <w:bCs/>
          <w:sz w:val="21"/>
          <w:szCs w:val="21"/>
        </w:rPr>
        <w:t xml:space="preserve">P-Reviewer: </w:t>
      </w:r>
      <w:r w:rsidRPr="00462C6B">
        <w:rPr>
          <w:rFonts w:ascii="Book Antiqua" w:hAnsi="Book Antiqua"/>
          <w:bCs/>
          <w:sz w:val="21"/>
          <w:szCs w:val="21"/>
        </w:rPr>
        <w:t>Scuteri</w:t>
      </w:r>
      <w:r w:rsidRPr="00462C6B">
        <w:rPr>
          <w:rFonts w:ascii="Book Antiqua" w:hAnsi="Book Antiqua"/>
          <w:bCs/>
          <w:sz w:val="21"/>
          <w:szCs w:val="21"/>
          <w:lang w:eastAsia="zh-CN"/>
        </w:rPr>
        <w:t xml:space="preserve"> </w:t>
      </w:r>
      <w:r w:rsidRPr="00462C6B">
        <w:rPr>
          <w:rFonts w:ascii="Book Antiqua" w:hAnsi="Book Antiqua"/>
          <w:bCs/>
          <w:sz w:val="21"/>
          <w:szCs w:val="21"/>
        </w:rPr>
        <w:t>A</w:t>
      </w:r>
      <w:r w:rsidRPr="00462C6B">
        <w:rPr>
          <w:rFonts w:ascii="Book Antiqua" w:hAnsi="Book Antiqua"/>
          <w:b/>
          <w:bCs/>
          <w:sz w:val="21"/>
          <w:szCs w:val="21"/>
        </w:rPr>
        <w:t xml:space="preserve"> S-Editor:</w:t>
      </w:r>
      <w:r w:rsidRPr="00462C6B">
        <w:rPr>
          <w:rFonts w:ascii="Book Antiqua" w:hAnsi="Book Antiqua"/>
          <w:sz w:val="21"/>
          <w:szCs w:val="21"/>
        </w:rPr>
        <w:t xml:space="preserve"> </w:t>
      </w:r>
      <w:r w:rsidRPr="00462C6B">
        <w:rPr>
          <w:rFonts w:ascii="Book Antiqua" w:hAnsi="Book Antiqua"/>
          <w:sz w:val="21"/>
          <w:szCs w:val="21"/>
          <w:lang w:eastAsia="zh-CN"/>
        </w:rPr>
        <w:t>Ma YJ</w:t>
      </w:r>
      <w:r w:rsidRPr="00462C6B">
        <w:rPr>
          <w:rFonts w:ascii="Book Antiqua" w:hAnsi="Book Antiqua"/>
          <w:sz w:val="21"/>
          <w:szCs w:val="21"/>
        </w:rPr>
        <w:t xml:space="preserve"> </w:t>
      </w:r>
      <w:r w:rsidRPr="00462C6B">
        <w:rPr>
          <w:rFonts w:ascii="Book Antiqua" w:hAnsi="Book Antiqua"/>
          <w:b/>
          <w:bCs/>
          <w:sz w:val="21"/>
          <w:szCs w:val="21"/>
        </w:rPr>
        <w:t>L-Editor:</w:t>
      </w:r>
      <w:r w:rsidRPr="00462C6B">
        <w:rPr>
          <w:rFonts w:ascii="Book Antiqua" w:hAnsi="Book Antiqua"/>
          <w:sz w:val="21"/>
          <w:szCs w:val="21"/>
        </w:rPr>
        <w:t xml:space="preserve">  </w:t>
      </w:r>
      <w:r w:rsidRPr="00462C6B">
        <w:rPr>
          <w:rFonts w:ascii="Book Antiqua" w:hAnsi="Book Antiqua"/>
          <w:b/>
          <w:bCs/>
          <w:sz w:val="21"/>
          <w:szCs w:val="21"/>
        </w:rPr>
        <w:t>E-Editor:</w:t>
      </w:r>
    </w:p>
    <w:p w:rsidR="00965749" w:rsidRPr="00462C6B" w:rsidRDefault="00965749" w:rsidP="006359CB">
      <w:pPr>
        <w:spacing w:after="0" w:line="360" w:lineRule="auto"/>
        <w:jc w:val="both"/>
        <w:rPr>
          <w:rFonts w:ascii="Book Antiqua" w:hAnsi="Book Antiqua"/>
          <w:b/>
          <w:sz w:val="24"/>
          <w:szCs w:val="24"/>
          <w:lang w:eastAsia="zh-CN"/>
        </w:rPr>
      </w:pPr>
    </w:p>
    <w:p w:rsidR="00965749" w:rsidRDefault="00965749" w:rsidP="006359CB">
      <w:pPr>
        <w:spacing w:after="0" w:line="360" w:lineRule="auto"/>
        <w:jc w:val="both"/>
        <w:rPr>
          <w:rFonts w:ascii="Book Antiqua" w:hAnsi="Book Antiqua"/>
          <w:sz w:val="24"/>
          <w:szCs w:val="24"/>
          <w:lang w:eastAsia="zh-CN"/>
        </w:rPr>
      </w:pPr>
      <w:r w:rsidRPr="00462C6B">
        <w:rPr>
          <w:rFonts w:ascii="Book Antiqua" w:hAnsi="Book Antiqua"/>
          <w:b/>
          <w:sz w:val="24"/>
          <w:szCs w:val="24"/>
          <w:lang w:eastAsia="zh-CN"/>
        </w:rPr>
        <w:t>Figure 1 Hepatitis C genomic targets for drug development.</w:t>
      </w:r>
      <w:r>
        <w:rPr>
          <w:rFonts w:ascii="Book Antiqua" w:hAnsi="Book Antiqua"/>
          <w:b/>
          <w:sz w:val="24"/>
          <w:szCs w:val="24"/>
          <w:lang w:eastAsia="zh-CN"/>
        </w:rPr>
        <w:t xml:space="preserve"> </w:t>
      </w:r>
      <w:r w:rsidRPr="00462C6B">
        <w:rPr>
          <w:rFonts w:ascii="Book Antiqua" w:hAnsi="Book Antiqua"/>
          <w:sz w:val="24"/>
          <w:szCs w:val="24"/>
          <w:lang w:eastAsia="zh-CN"/>
        </w:rPr>
        <w:t xml:space="preserve">HCV: </w:t>
      </w:r>
      <w:r w:rsidRPr="006359CB">
        <w:rPr>
          <w:rFonts w:ascii="Book Antiqua" w:hAnsi="Book Antiqua"/>
          <w:caps/>
          <w:sz w:val="24"/>
          <w:szCs w:val="24"/>
        </w:rPr>
        <w:t>h</w:t>
      </w:r>
      <w:r w:rsidRPr="00CF7113">
        <w:rPr>
          <w:rFonts w:ascii="Book Antiqua" w:hAnsi="Book Antiqua"/>
          <w:sz w:val="24"/>
          <w:szCs w:val="24"/>
        </w:rPr>
        <w:t>epatitis C virus</w:t>
      </w:r>
      <w:r>
        <w:rPr>
          <w:rFonts w:ascii="Book Antiqua" w:hAnsi="Book Antiqua"/>
          <w:sz w:val="24"/>
          <w:szCs w:val="24"/>
          <w:lang w:eastAsia="zh-CN"/>
        </w:rPr>
        <w:t>.</w:t>
      </w:r>
    </w:p>
    <w:p w:rsidR="00965749" w:rsidRDefault="00965749" w:rsidP="006359CB">
      <w:pPr>
        <w:spacing w:after="0" w:line="360" w:lineRule="auto"/>
        <w:jc w:val="both"/>
        <w:rPr>
          <w:rFonts w:ascii="Book Antiqua" w:hAnsi="Book Antiqua"/>
          <w:sz w:val="24"/>
          <w:szCs w:val="24"/>
          <w:lang w:eastAsia="zh-CN"/>
        </w:rPr>
      </w:pPr>
    </w:p>
    <w:p w:rsidR="00965749" w:rsidRPr="006359CB" w:rsidRDefault="00965749" w:rsidP="006359CB">
      <w:pPr>
        <w:spacing w:after="0" w:line="360" w:lineRule="auto"/>
        <w:jc w:val="both"/>
        <w:rPr>
          <w:rFonts w:ascii="Book Antiqua" w:hAnsi="Book Antiqua"/>
          <w:b/>
          <w:sz w:val="24"/>
          <w:szCs w:val="24"/>
          <w:lang w:eastAsia="zh-CN"/>
        </w:rPr>
      </w:pPr>
      <w:r w:rsidRPr="006359CB">
        <w:rPr>
          <w:rFonts w:ascii="Book Antiqua" w:hAnsi="Book Antiqua"/>
          <w:b/>
          <w:sz w:val="24"/>
          <w:szCs w:val="24"/>
          <w:lang w:eastAsia="zh-CN"/>
        </w:rPr>
        <w:t>Table 1 Protease inhibitors currently under development</w:t>
      </w:r>
    </w:p>
    <w:tbl>
      <w:tblPr>
        <w:tblW w:w="0" w:type="auto"/>
        <w:tblBorders>
          <w:top w:val="single" w:sz="4" w:space="0" w:color="auto"/>
          <w:bottom w:val="single" w:sz="4" w:space="0" w:color="auto"/>
        </w:tblBorders>
        <w:tblLook w:val="00A0" w:firstRow="1" w:lastRow="0" w:firstColumn="1" w:lastColumn="0" w:noHBand="0" w:noVBand="0"/>
      </w:tblPr>
      <w:tblGrid>
        <w:gridCol w:w="9576"/>
      </w:tblGrid>
      <w:tr w:rsidR="00965749" w:rsidRPr="001C6EB9" w:rsidTr="001C6EB9">
        <w:tc>
          <w:tcPr>
            <w:tcW w:w="9576" w:type="dxa"/>
            <w:tcBorders>
              <w:top w:val="single" w:sz="4" w:space="0" w:color="auto"/>
              <w:bottom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First Generation (wave 2)</w:t>
            </w:r>
          </w:p>
        </w:tc>
      </w:tr>
      <w:tr w:rsidR="00965749" w:rsidRPr="001C6EB9" w:rsidTr="001C6EB9">
        <w:tc>
          <w:tcPr>
            <w:tcW w:w="9576" w:type="dxa"/>
            <w:tcBorders>
              <w:top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Simeprevir</w:t>
            </w:r>
          </w:p>
        </w:tc>
      </w:tr>
      <w:tr w:rsidR="00965749" w:rsidRPr="001C6EB9" w:rsidTr="001C6EB9">
        <w:tc>
          <w:tcPr>
            <w:tcW w:w="9576" w:type="dxa"/>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Faldaprevir</w:t>
            </w:r>
          </w:p>
        </w:tc>
      </w:tr>
      <w:tr w:rsidR="00965749" w:rsidRPr="001C6EB9" w:rsidTr="001C6EB9">
        <w:tc>
          <w:tcPr>
            <w:tcW w:w="9576" w:type="dxa"/>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Danoprevir</w:t>
            </w:r>
          </w:p>
        </w:tc>
      </w:tr>
      <w:tr w:rsidR="00965749" w:rsidRPr="001C6EB9" w:rsidTr="001C6EB9">
        <w:tc>
          <w:tcPr>
            <w:tcW w:w="9576" w:type="dxa"/>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Vaniprevir</w:t>
            </w:r>
          </w:p>
        </w:tc>
      </w:tr>
      <w:tr w:rsidR="00965749" w:rsidRPr="001C6EB9" w:rsidTr="001C6EB9">
        <w:tc>
          <w:tcPr>
            <w:tcW w:w="9576" w:type="dxa"/>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ABT-450/ABT-450r</w:t>
            </w:r>
          </w:p>
        </w:tc>
      </w:tr>
      <w:tr w:rsidR="00965749" w:rsidRPr="001C6EB9" w:rsidTr="001C6EB9">
        <w:tc>
          <w:tcPr>
            <w:tcW w:w="9576" w:type="dxa"/>
            <w:tcBorders>
              <w:bottom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Asunaprevir</w:t>
            </w:r>
          </w:p>
        </w:tc>
      </w:tr>
      <w:tr w:rsidR="00965749" w:rsidRPr="001C6EB9" w:rsidTr="001C6EB9">
        <w:tc>
          <w:tcPr>
            <w:tcW w:w="9576" w:type="dxa"/>
            <w:tcBorders>
              <w:top w:val="single" w:sz="4" w:space="0" w:color="auto"/>
              <w:bottom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Second Generation</w:t>
            </w:r>
          </w:p>
        </w:tc>
      </w:tr>
      <w:tr w:rsidR="00965749" w:rsidRPr="001C6EB9" w:rsidTr="001C6EB9">
        <w:tc>
          <w:tcPr>
            <w:tcW w:w="9576" w:type="dxa"/>
            <w:tcBorders>
              <w:top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MK-5172</w:t>
            </w:r>
          </w:p>
        </w:tc>
      </w:tr>
      <w:tr w:rsidR="00965749" w:rsidRPr="001C6EB9" w:rsidTr="001C6EB9">
        <w:tc>
          <w:tcPr>
            <w:tcW w:w="9576" w:type="dxa"/>
            <w:tcBorders>
              <w:bottom w:val="single" w:sz="4" w:space="0" w:color="auto"/>
            </w:tcBorders>
          </w:tcPr>
          <w:p w:rsidR="00965749" w:rsidRPr="001C6EB9" w:rsidRDefault="00965749" w:rsidP="001C6EB9">
            <w:pPr>
              <w:spacing w:after="0" w:line="360" w:lineRule="auto"/>
              <w:ind w:firstLineChars="300" w:firstLine="720"/>
              <w:jc w:val="both"/>
              <w:rPr>
                <w:rFonts w:ascii="Book Antiqua" w:hAnsi="Book Antiqua"/>
                <w:sz w:val="24"/>
                <w:szCs w:val="24"/>
                <w:lang w:eastAsia="zh-CN"/>
              </w:rPr>
            </w:pPr>
            <w:r w:rsidRPr="001C6EB9">
              <w:rPr>
                <w:rFonts w:ascii="Book Antiqua" w:hAnsi="Book Antiqua"/>
                <w:sz w:val="24"/>
                <w:szCs w:val="24"/>
                <w:lang w:eastAsia="zh-CN"/>
              </w:rPr>
              <w:t>ACH-2684</w:t>
            </w:r>
          </w:p>
        </w:tc>
      </w:tr>
    </w:tbl>
    <w:p w:rsidR="00965749" w:rsidRDefault="00965749" w:rsidP="006359CB">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rsidR="00965749" w:rsidRDefault="00965749" w:rsidP="006359CB">
      <w:pPr>
        <w:spacing w:after="0" w:line="360" w:lineRule="auto"/>
        <w:jc w:val="both"/>
        <w:rPr>
          <w:rFonts w:ascii="Book Antiqua" w:hAnsi="Book Antiqua"/>
          <w:sz w:val="24"/>
          <w:szCs w:val="24"/>
          <w:lang w:eastAsia="zh-CN"/>
        </w:rPr>
      </w:pPr>
    </w:p>
    <w:p w:rsidR="00965749" w:rsidRPr="006359CB" w:rsidRDefault="00965749" w:rsidP="006359CB">
      <w:pPr>
        <w:spacing w:after="0" w:line="360" w:lineRule="auto"/>
        <w:jc w:val="both"/>
        <w:rPr>
          <w:rFonts w:ascii="Book Antiqua" w:hAnsi="Book Antiqua"/>
          <w:b/>
          <w:sz w:val="24"/>
          <w:szCs w:val="24"/>
          <w:lang w:eastAsia="zh-CN"/>
        </w:rPr>
      </w:pPr>
      <w:r w:rsidRPr="006359CB">
        <w:rPr>
          <w:rFonts w:ascii="Book Antiqua" w:hAnsi="Book Antiqua"/>
          <w:b/>
          <w:sz w:val="24"/>
          <w:szCs w:val="24"/>
          <w:lang w:eastAsia="zh-CN"/>
        </w:rPr>
        <w:t>Table 2 Additional drugs in development for hepatitis C</w:t>
      </w:r>
    </w:p>
    <w:tbl>
      <w:tblPr>
        <w:tblW w:w="0" w:type="auto"/>
        <w:tblBorders>
          <w:top w:val="single" w:sz="4" w:space="0" w:color="auto"/>
          <w:bottom w:val="single" w:sz="4" w:space="0" w:color="auto"/>
        </w:tblBorders>
        <w:tblLook w:val="00A0" w:firstRow="1" w:lastRow="0" w:firstColumn="1" w:lastColumn="0" w:noHBand="0" w:noVBand="0"/>
      </w:tblPr>
      <w:tblGrid>
        <w:gridCol w:w="9576"/>
      </w:tblGrid>
      <w:tr w:rsidR="00965749" w:rsidRPr="001C6EB9" w:rsidTr="001C6EB9">
        <w:tc>
          <w:tcPr>
            <w:tcW w:w="9576" w:type="dxa"/>
            <w:tcBorders>
              <w:top w:val="single" w:sz="4" w:space="0" w:color="auto"/>
              <w:bottom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NS5A HCV replication inhibitors</w:t>
            </w:r>
          </w:p>
        </w:tc>
      </w:tr>
      <w:tr w:rsidR="00965749" w:rsidRPr="001C6EB9" w:rsidTr="001C6EB9">
        <w:tc>
          <w:tcPr>
            <w:tcW w:w="9576" w:type="dxa"/>
            <w:tcBorders>
              <w:top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Daclatasvir</w:t>
            </w:r>
          </w:p>
        </w:tc>
      </w:tr>
      <w:tr w:rsidR="00965749" w:rsidRPr="001C6EB9" w:rsidTr="001C6EB9">
        <w:tc>
          <w:tcPr>
            <w:tcW w:w="9576" w:type="dxa"/>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Ledipasvir</w:t>
            </w:r>
          </w:p>
        </w:tc>
      </w:tr>
      <w:tr w:rsidR="00965749" w:rsidRPr="001C6EB9" w:rsidTr="001C6EB9">
        <w:tc>
          <w:tcPr>
            <w:tcW w:w="9576" w:type="dxa"/>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ACH-3102</w:t>
            </w:r>
          </w:p>
        </w:tc>
      </w:tr>
      <w:tr w:rsidR="00965749" w:rsidRPr="001C6EB9" w:rsidTr="001C6EB9">
        <w:tc>
          <w:tcPr>
            <w:tcW w:w="9576" w:type="dxa"/>
            <w:tcBorders>
              <w:bottom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ABT-267</w:t>
            </w:r>
          </w:p>
        </w:tc>
      </w:tr>
      <w:tr w:rsidR="00965749" w:rsidRPr="001C6EB9" w:rsidTr="001C6EB9">
        <w:tc>
          <w:tcPr>
            <w:tcW w:w="9576" w:type="dxa"/>
            <w:tcBorders>
              <w:top w:val="single" w:sz="4" w:space="0" w:color="auto"/>
              <w:bottom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NS5B RNA dependent RNA polymerase inhibitors</w:t>
            </w:r>
          </w:p>
        </w:tc>
      </w:tr>
      <w:tr w:rsidR="00965749" w:rsidRPr="001C6EB9" w:rsidTr="001C6EB9">
        <w:tc>
          <w:tcPr>
            <w:tcW w:w="9576" w:type="dxa"/>
            <w:tcBorders>
              <w:top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Sofosbuvir</w:t>
            </w:r>
          </w:p>
        </w:tc>
      </w:tr>
      <w:tr w:rsidR="00965749" w:rsidRPr="001C6EB9" w:rsidTr="001C6EB9">
        <w:tc>
          <w:tcPr>
            <w:tcW w:w="9576" w:type="dxa"/>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Mericitabine</w:t>
            </w:r>
          </w:p>
        </w:tc>
      </w:tr>
      <w:tr w:rsidR="00965749" w:rsidRPr="001C6EB9" w:rsidTr="001C6EB9">
        <w:tc>
          <w:tcPr>
            <w:tcW w:w="9576" w:type="dxa"/>
            <w:tcBorders>
              <w:bottom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ABT-333</w:t>
            </w:r>
          </w:p>
        </w:tc>
      </w:tr>
      <w:tr w:rsidR="00965749" w:rsidRPr="001C6EB9" w:rsidTr="001C6EB9">
        <w:tc>
          <w:tcPr>
            <w:tcW w:w="9576" w:type="dxa"/>
            <w:tcBorders>
              <w:top w:val="single" w:sz="4" w:space="0" w:color="auto"/>
              <w:bottom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Host targeted agents</w:t>
            </w:r>
          </w:p>
        </w:tc>
      </w:tr>
      <w:tr w:rsidR="00965749" w:rsidRPr="001C6EB9" w:rsidTr="001C6EB9">
        <w:tc>
          <w:tcPr>
            <w:tcW w:w="9576" w:type="dxa"/>
            <w:tcBorders>
              <w:top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Alisporivir</w:t>
            </w:r>
          </w:p>
        </w:tc>
      </w:tr>
      <w:tr w:rsidR="00965749" w:rsidRPr="001C6EB9" w:rsidTr="001C6EB9">
        <w:tc>
          <w:tcPr>
            <w:tcW w:w="9576" w:type="dxa"/>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Miravirsen</w:t>
            </w:r>
          </w:p>
        </w:tc>
      </w:tr>
      <w:tr w:rsidR="00965749" w:rsidRPr="001C6EB9" w:rsidTr="001C6EB9">
        <w:tc>
          <w:tcPr>
            <w:tcW w:w="9576" w:type="dxa"/>
            <w:tcBorders>
              <w:bottom w:val="single" w:sz="4" w:space="0" w:color="auto"/>
            </w:tcBorders>
          </w:tcPr>
          <w:p w:rsidR="00965749" w:rsidRPr="001C6EB9" w:rsidRDefault="00965749" w:rsidP="001C6EB9">
            <w:pPr>
              <w:spacing w:after="0" w:line="360" w:lineRule="auto"/>
              <w:jc w:val="both"/>
              <w:rPr>
                <w:rFonts w:ascii="Book Antiqua" w:hAnsi="Book Antiqua"/>
                <w:sz w:val="24"/>
                <w:szCs w:val="24"/>
                <w:lang w:eastAsia="zh-CN"/>
              </w:rPr>
            </w:pPr>
            <w:r w:rsidRPr="001C6EB9">
              <w:rPr>
                <w:rFonts w:ascii="Book Antiqua" w:hAnsi="Book Antiqua"/>
                <w:sz w:val="24"/>
                <w:szCs w:val="24"/>
                <w:lang w:eastAsia="zh-CN"/>
              </w:rPr>
              <w:tab/>
              <w:t>Interferon-λ</w:t>
            </w:r>
          </w:p>
        </w:tc>
      </w:tr>
    </w:tbl>
    <w:p w:rsidR="00965749" w:rsidRPr="00462C6B" w:rsidRDefault="00965749" w:rsidP="006359CB">
      <w:pPr>
        <w:spacing w:after="0" w:line="360" w:lineRule="auto"/>
        <w:jc w:val="both"/>
        <w:rPr>
          <w:rFonts w:ascii="Book Antiqua" w:hAnsi="Book Antiqua"/>
          <w:sz w:val="24"/>
          <w:szCs w:val="24"/>
          <w:lang w:eastAsia="zh-CN"/>
        </w:rPr>
      </w:pPr>
      <w:r w:rsidRPr="00462C6B">
        <w:rPr>
          <w:rFonts w:ascii="Book Antiqua" w:hAnsi="Book Antiqua"/>
          <w:sz w:val="24"/>
          <w:szCs w:val="24"/>
          <w:lang w:eastAsia="zh-CN"/>
        </w:rPr>
        <w:t xml:space="preserve">HCV: </w:t>
      </w:r>
      <w:r w:rsidRPr="006359CB">
        <w:rPr>
          <w:rFonts w:ascii="Book Antiqua" w:hAnsi="Book Antiqua"/>
          <w:caps/>
          <w:sz w:val="24"/>
          <w:szCs w:val="24"/>
        </w:rPr>
        <w:t>h</w:t>
      </w:r>
      <w:r w:rsidRPr="00CF7113">
        <w:rPr>
          <w:rFonts w:ascii="Book Antiqua" w:hAnsi="Book Antiqua"/>
          <w:sz w:val="24"/>
          <w:szCs w:val="24"/>
        </w:rPr>
        <w:t>epatitis C virus</w:t>
      </w:r>
      <w:r>
        <w:rPr>
          <w:rFonts w:ascii="Book Antiqua" w:hAnsi="Book Antiqua"/>
          <w:sz w:val="24"/>
          <w:szCs w:val="24"/>
          <w:lang w:eastAsia="zh-CN"/>
        </w:rPr>
        <w:t>.</w:t>
      </w:r>
    </w:p>
    <w:sectPr w:rsidR="00965749" w:rsidRPr="00462C6B" w:rsidSect="006225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02" w:rsidRDefault="00282502" w:rsidP="00B44995">
      <w:pPr>
        <w:spacing w:after="0" w:line="240" w:lineRule="auto"/>
      </w:pPr>
      <w:r>
        <w:separator/>
      </w:r>
    </w:p>
  </w:endnote>
  <w:endnote w:type="continuationSeparator" w:id="0">
    <w:p w:rsidR="00282502" w:rsidRDefault="00282502" w:rsidP="00B4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49" w:rsidRDefault="00965749">
    <w:pPr>
      <w:pStyle w:val="a4"/>
    </w:pPr>
    <w:r>
      <w:t xml:space="preserve">                                                                                            </w:t>
    </w:r>
    <w:r w:rsidR="00C80D59">
      <w:fldChar w:fldCharType="begin"/>
    </w:r>
    <w:r w:rsidR="00C80D59">
      <w:instrText xml:space="preserve"> PAGE   \* MERGEFORMAT </w:instrText>
    </w:r>
    <w:r w:rsidR="00C80D59">
      <w:fldChar w:fldCharType="separate"/>
    </w:r>
    <w:r w:rsidR="00E73E6B">
      <w:rPr>
        <w:noProof/>
      </w:rPr>
      <w:t>1</w:t>
    </w:r>
    <w:r w:rsidR="00C80D59">
      <w:rPr>
        <w:noProof/>
      </w:rPr>
      <w:fldChar w:fldCharType="end"/>
    </w:r>
  </w:p>
  <w:p w:rsidR="00965749" w:rsidRDefault="009657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02" w:rsidRDefault="00282502" w:rsidP="00B44995">
      <w:pPr>
        <w:spacing w:after="0" w:line="240" w:lineRule="auto"/>
      </w:pPr>
      <w:r>
        <w:separator/>
      </w:r>
    </w:p>
  </w:footnote>
  <w:footnote w:type="continuationSeparator" w:id="0">
    <w:p w:rsidR="00282502" w:rsidRDefault="00282502" w:rsidP="00B44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49" w:rsidRDefault="00965749">
    <w:pPr>
      <w:pStyle w:val="a3"/>
    </w:pPr>
    <w:r>
      <w:t xml:space="preserve">                                                          Emerging Therapeutic Options for Hep C</w:t>
    </w:r>
  </w:p>
  <w:p w:rsidR="00965749" w:rsidRDefault="009657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896"/>
    <w:multiLevelType w:val="hybridMultilevel"/>
    <w:tmpl w:val="F4BA1BCC"/>
    <w:lvl w:ilvl="0" w:tplc="EA2AE2EE">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5F5FFE"/>
    <w:multiLevelType w:val="hybridMultilevel"/>
    <w:tmpl w:val="C6925A06"/>
    <w:lvl w:ilvl="0" w:tplc="EA2AE2EE">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6BC0D26"/>
    <w:multiLevelType w:val="hybridMultilevel"/>
    <w:tmpl w:val="16787F78"/>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28"/>
    <w:rsid w:val="00033AC7"/>
    <w:rsid w:val="00033B9C"/>
    <w:rsid w:val="00044F85"/>
    <w:rsid w:val="00060B07"/>
    <w:rsid w:val="00072D91"/>
    <w:rsid w:val="00080473"/>
    <w:rsid w:val="000A551D"/>
    <w:rsid w:val="000D7E5E"/>
    <w:rsid w:val="000E0D19"/>
    <w:rsid w:val="000E10E7"/>
    <w:rsid w:val="000E6772"/>
    <w:rsid w:val="000E6AAB"/>
    <w:rsid w:val="001043EB"/>
    <w:rsid w:val="00106946"/>
    <w:rsid w:val="001261C6"/>
    <w:rsid w:val="00137697"/>
    <w:rsid w:val="00160F92"/>
    <w:rsid w:val="00161F2D"/>
    <w:rsid w:val="001653E4"/>
    <w:rsid w:val="001661DB"/>
    <w:rsid w:val="001A624B"/>
    <w:rsid w:val="001B16D3"/>
    <w:rsid w:val="001C6EB9"/>
    <w:rsid w:val="001E3626"/>
    <w:rsid w:val="001E5C6B"/>
    <w:rsid w:val="001F18A3"/>
    <w:rsid w:val="0022565E"/>
    <w:rsid w:val="00225C5D"/>
    <w:rsid w:val="00231909"/>
    <w:rsid w:val="002348C2"/>
    <w:rsid w:val="00236233"/>
    <w:rsid w:val="002442DC"/>
    <w:rsid w:val="002463D6"/>
    <w:rsid w:val="00273E6C"/>
    <w:rsid w:val="00274AE2"/>
    <w:rsid w:val="00276075"/>
    <w:rsid w:val="002806EB"/>
    <w:rsid w:val="00281005"/>
    <w:rsid w:val="002816E4"/>
    <w:rsid w:val="00282502"/>
    <w:rsid w:val="002B2486"/>
    <w:rsid w:val="002B4D4D"/>
    <w:rsid w:val="002C1A0E"/>
    <w:rsid w:val="002D1AD3"/>
    <w:rsid w:val="002F003E"/>
    <w:rsid w:val="002F1891"/>
    <w:rsid w:val="002F7950"/>
    <w:rsid w:val="003031A4"/>
    <w:rsid w:val="0031353E"/>
    <w:rsid w:val="003305ED"/>
    <w:rsid w:val="0033188D"/>
    <w:rsid w:val="00332155"/>
    <w:rsid w:val="00350D07"/>
    <w:rsid w:val="00355984"/>
    <w:rsid w:val="0036521E"/>
    <w:rsid w:val="003751A6"/>
    <w:rsid w:val="00392116"/>
    <w:rsid w:val="003C39C7"/>
    <w:rsid w:val="003D3B67"/>
    <w:rsid w:val="003E1331"/>
    <w:rsid w:val="003E7457"/>
    <w:rsid w:val="003E74D7"/>
    <w:rsid w:val="00404042"/>
    <w:rsid w:val="004107EF"/>
    <w:rsid w:val="0041568E"/>
    <w:rsid w:val="0041761F"/>
    <w:rsid w:val="00430A0A"/>
    <w:rsid w:val="00442CCF"/>
    <w:rsid w:val="00445C34"/>
    <w:rsid w:val="00452CD1"/>
    <w:rsid w:val="004570E8"/>
    <w:rsid w:val="00460002"/>
    <w:rsid w:val="00462C6B"/>
    <w:rsid w:val="004859CF"/>
    <w:rsid w:val="00486934"/>
    <w:rsid w:val="00492FD4"/>
    <w:rsid w:val="004A1A4C"/>
    <w:rsid w:val="004C3756"/>
    <w:rsid w:val="004C734B"/>
    <w:rsid w:val="004D03D6"/>
    <w:rsid w:val="004E4699"/>
    <w:rsid w:val="004E7F71"/>
    <w:rsid w:val="004F4741"/>
    <w:rsid w:val="004F4C7A"/>
    <w:rsid w:val="00500B5D"/>
    <w:rsid w:val="00530B63"/>
    <w:rsid w:val="00537294"/>
    <w:rsid w:val="00537463"/>
    <w:rsid w:val="0054375F"/>
    <w:rsid w:val="00547837"/>
    <w:rsid w:val="00547E06"/>
    <w:rsid w:val="00552A45"/>
    <w:rsid w:val="005647A8"/>
    <w:rsid w:val="00567240"/>
    <w:rsid w:val="0058198E"/>
    <w:rsid w:val="005878D5"/>
    <w:rsid w:val="005A1A31"/>
    <w:rsid w:val="005A23EE"/>
    <w:rsid w:val="005A25F9"/>
    <w:rsid w:val="005B1CA8"/>
    <w:rsid w:val="005B71D1"/>
    <w:rsid w:val="005C3FA2"/>
    <w:rsid w:val="005C4C1A"/>
    <w:rsid w:val="005E276D"/>
    <w:rsid w:val="005E5D20"/>
    <w:rsid w:val="006000B2"/>
    <w:rsid w:val="006000D5"/>
    <w:rsid w:val="00605555"/>
    <w:rsid w:val="00622567"/>
    <w:rsid w:val="0062650F"/>
    <w:rsid w:val="00631006"/>
    <w:rsid w:val="006359CB"/>
    <w:rsid w:val="00654253"/>
    <w:rsid w:val="00676A7B"/>
    <w:rsid w:val="00682129"/>
    <w:rsid w:val="00695CAF"/>
    <w:rsid w:val="006B44F9"/>
    <w:rsid w:val="006C2782"/>
    <w:rsid w:val="006D7487"/>
    <w:rsid w:val="006D7F9D"/>
    <w:rsid w:val="006E0B71"/>
    <w:rsid w:val="007072BC"/>
    <w:rsid w:val="00707702"/>
    <w:rsid w:val="00726618"/>
    <w:rsid w:val="00727E53"/>
    <w:rsid w:val="00761A52"/>
    <w:rsid w:val="00762BD7"/>
    <w:rsid w:val="007A1F33"/>
    <w:rsid w:val="007A2DDD"/>
    <w:rsid w:val="007B6EB9"/>
    <w:rsid w:val="007C670F"/>
    <w:rsid w:val="007F0890"/>
    <w:rsid w:val="007F6754"/>
    <w:rsid w:val="007F6E10"/>
    <w:rsid w:val="007F7825"/>
    <w:rsid w:val="008035C6"/>
    <w:rsid w:val="00806003"/>
    <w:rsid w:val="00806819"/>
    <w:rsid w:val="00806D7D"/>
    <w:rsid w:val="008105D8"/>
    <w:rsid w:val="00817DF8"/>
    <w:rsid w:val="0083039B"/>
    <w:rsid w:val="00830FD5"/>
    <w:rsid w:val="00857D52"/>
    <w:rsid w:val="00870558"/>
    <w:rsid w:val="008D6F30"/>
    <w:rsid w:val="008D79F1"/>
    <w:rsid w:val="008E1650"/>
    <w:rsid w:val="008E2B55"/>
    <w:rsid w:val="008E3E4D"/>
    <w:rsid w:val="008E6E69"/>
    <w:rsid w:val="008F1D92"/>
    <w:rsid w:val="008F4EF0"/>
    <w:rsid w:val="008F6024"/>
    <w:rsid w:val="0091118F"/>
    <w:rsid w:val="009246B7"/>
    <w:rsid w:val="00930E49"/>
    <w:rsid w:val="00953FE7"/>
    <w:rsid w:val="00954A28"/>
    <w:rsid w:val="00962EB8"/>
    <w:rsid w:val="00965749"/>
    <w:rsid w:val="009730A5"/>
    <w:rsid w:val="00996F4F"/>
    <w:rsid w:val="009979F4"/>
    <w:rsid w:val="00997C29"/>
    <w:rsid w:val="009B2CE3"/>
    <w:rsid w:val="009B6DF5"/>
    <w:rsid w:val="009F3170"/>
    <w:rsid w:val="00A169D8"/>
    <w:rsid w:val="00A23430"/>
    <w:rsid w:val="00A440CF"/>
    <w:rsid w:val="00A47EDD"/>
    <w:rsid w:val="00A52341"/>
    <w:rsid w:val="00A5758C"/>
    <w:rsid w:val="00A57ABB"/>
    <w:rsid w:val="00A61D13"/>
    <w:rsid w:val="00A75554"/>
    <w:rsid w:val="00A75FF7"/>
    <w:rsid w:val="00A804BF"/>
    <w:rsid w:val="00A873B5"/>
    <w:rsid w:val="00A920CA"/>
    <w:rsid w:val="00A965B4"/>
    <w:rsid w:val="00AA5332"/>
    <w:rsid w:val="00AB5521"/>
    <w:rsid w:val="00AC142E"/>
    <w:rsid w:val="00AC21FC"/>
    <w:rsid w:val="00AC3715"/>
    <w:rsid w:val="00AE1E3B"/>
    <w:rsid w:val="00AE3E5C"/>
    <w:rsid w:val="00AF401D"/>
    <w:rsid w:val="00AF4CAC"/>
    <w:rsid w:val="00AF50CF"/>
    <w:rsid w:val="00B05DEF"/>
    <w:rsid w:val="00B1058D"/>
    <w:rsid w:val="00B15ED9"/>
    <w:rsid w:val="00B1764D"/>
    <w:rsid w:val="00B301BD"/>
    <w:rsid w:val="00B35BAB"/>
    <w:rsid w:val="00B44995"/>
    <w:rsid w:val="00B476EA"/>
    <w:rsid w:val="00B50E8C"/>
    <w:rsid w:val="00B54AD3"/>
    <w:rsid w:val="00B55447"/>
    <w:rsid w:val="00B66056"/>
    <w:rsid w:val="00B66A06"/>
    <w:rsid w:val="00B97C9C"/>
    <w:rsid w:val="00BB16F6"/>
    <w:rsid w:val="00BB43A6"/>
    <w:rsid w:val="00BB62DF"/>
    <w:rsid w:val="00BB78FE"/>
    <w:rsid w:val="00BC21D9"/>
    <w:rsid w:val="00BC2882"/>
    <w:rsid w:val="00BD29BE"/>
    <w:rsid w:val="00BD586E"/>
    <w:rsid w:val="00BD769C"/>
    <w:rsid w:val="00BF1803"/>
    <w:rsid w:val="00C20BFF"/>
    <w:rsid w:val="00C40BC6"/>
    <w:rsid w:val="00C44438"/>
    <w:rsid w:val="00C45C6B"/>
    <w:rsid w:val="00C45DCE"/>
    <w:rsid w:val="00C56585"/>
    <w:rsid w:val="00C56844"/>
    <w:rsid w:val="00C67E85"/>
    <w:rsid w:val="00C77053"/>
    <w:rsid w:val="00C80D59"/>
    <w:rsid w:val="00C93643"/>
    <w:rsid w:val="00CA1FEC"/>
    <w:rsid w:val="00CA2224"/>
    <w:rsid w:val="00CA6C8D"/>
    <w:rsid w:val="00CB3604"/>
    <w:rsid w:val="00CD0074"/>
    <w:rsid w:val="00CD3D41"/>
    <w:rsid w:val="00CF0A85"/>
    <w:rsid w:val="00CF7113"/>
    <w:rsid w:val="00D1656A"/>
    <w:rsid w:val="00D16CA9"/>
    <w:rsid w:val="00D20A2E"/>
    <w:rsid w:val="00D23832"/>
    <w:rsid w:val="00D353EF"/>
    <w:rsid w:val="00D37C87"/>
    <w:rsid w:val="00D4035B"/>
    <w:rsid w:val="00D42BEE"/>
    <w:rsid w:val="00D42FC5"/>
    <w:rsid w:val="00D50241"/>
    <w:rsid w:val="00D54B9C"/>
    <w:rsid w:val="00D67CA9"/>
    <w:rsid w:val="00D71CEC"/>
    <w:rsid w:val="00D74BCB"/>
    <w:rsid w:val="00D76059"/>
    <w:rsid w:val="00D77BD7"/>
    <w:rsid w:val="00D93658"/>
    <w:rsid w:val="00D93E6B"/>
    <w:rsid w:val="00D94EB7"/>
    <w:rsid w:val="00DA1F45"/>
    <w:rsid w:val="00DB13DD"/>
    <w:rsid w:val="00DB204B"/>
    <w:rsid w:val="00E01AF6"/>
    <w:rsid w:val="00E047DE"/>
    <w:rsid w:val="00E2582D"/>
    <w:rsid w:val="00E3140D"/>
    <w:rsid w:val="00E3184B"/>
    <w:rsid w:val="00E34ED2"/>
    <w:rsid w:val="00E4245B"/>
    <w:rsid w:val="00E5216B"/>
    <w:rsid w:val="00E53862"/>
    <w:rsid w:val="00E6082B"/>
    <w:rsid w:val="00E65DC9"/>
    <w:rsid w:val="00E707EA"/>
    <w:rsid w:val="00E73E6B"/>
    <w:rsid w:val="00E93EAF"/>
    <w:rsid w:val="00E97E87"/>
    <w:rsid w:val="00EA0ABD"/>
    <w:rsid w:val="00EB02A5"/>
    <w:rsid w:val="00EB67A7"/>
    <w:rsid w:val="00EC249C"/>
    <w:rsid w:val="00EC29B6"/>
    <w:rsid w:val="00ED6211"/>
    <w:rsid w:val="00EE4852"/>
    <w:rsid w:val="00EF0965"/>
    <w:rsid w:val="00EF3481"/>
    <w:rsid w:val="00F07FD0"/>
    <w:rsid w:val="00F27BB4"/>
    <w:rsid w:val="00F40BB2"/>
    <w:rsid w:val="00F42CFF"/>
    <w:rsid w:val="00F50F4F"/>
    <w:rsid w:val="00F5220A"/>
    <w:rsid w:val="00F55093"/>
    <w:rsid w:val="00F62854"/>
    <w:rsid w:val="00F73789"/>
    <w:rsid w:val="00F834F5"/>
    <w:rsid w:val="00F9035C"/>
    <w:rsid w:val="00F92532"/>
    <w:rsid w:val="00FA4CD5"/>
    <w:rsid w:val="00FA6CA9"/>
    <w:rsid w:val="00FB7E6E"/>
    <w:rsid w:val="00FE7395"/>
    <w:rsid w:val="00FF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67"/>
    <w:pPr>
      <w:spacing w:after="200" w:line="276" w:lineRule="auto"/>
    </w:pPr>
    <w:rPr>
      <w:sz w:val="22"/>
      <w:szCs w:val="22"/>
      <w:lang w:eastAsia="en-US"/>
    </w:rPr>
  </w:style>
  <w:style w:type="paragraph" w:styleId="1">
    <w:name w:val="heading 1"/>
    <w:basedOn w:val="a"/>
    <w:next w:val="a"/>
    <w:link w:val="1Char"/>
    <w:uiPriority w:val="99"/>
    <w:qFormat/>
    <w:rsid w:val="0033188D"/>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3188D"/>
    <w:rPr>
      <w:rFonts w:ascii="Cambria" w:eastAsia="宋体" w:hAnsi="Cambria" w:cs="Times New Roman"/>
      <w:b/>
      <w:bCs/>
      <w:color w:val="365F91"/>
      <w:sz w:val="28"/>
      <w:szCs w:val="28"/>
    </w:rPr>
  </w:style>
  <w:style w:type="paragraph" w:styleId="a3">
    <w:name w:val="header"/>
    <w:basedOn w:val="a"/>
    <w:link w:val="Char"/>
    <w:uiPriority w:val="99"/>
    <w:rsid w:val="00B44995"/>
    <w:pPr>
      <w:tabs>
        <w:tab w:val="center" w:pos="4680"/>
        <w:tab w:val="right" w:pos="9360"/>
      </w:tabs>
      <w:spacing w:after="0" w:line="240" w:lineRule="auto"/>
    </w:pPr>
  </w:style>
  <w:style w:type="character" w:customStyle="1" w:styleId="Char">
    <w:name w:val="页眉 Char"/>
    <w:link w:val="a3"/>
    <w:uiPriority w:val="99"/>
    <w:locked/>
    <w:rsid w:val="00B44995"/>
    <w:rPr>
      <w:rFonts w:cs="Times New Roman"/>
    </w:rPr>
  </w:style>
  <w:style w:type="paragraph" w:styleId="a4">
    <w:name w:val="footer"/>
    <w:basedOn w:val="a"/>
    <w:link w:val="Char0"/>
    <w:uiPriority w:val="99"/>
    <w:rsid w:val="00B44995"/>
    <w:pPr>
      <w:tabs>
        <w:tab w:val="center" w:pos="4680"/>
        <w:tab w:val="right" w:pos="9360"/>
      </w:tabs>
      <w:spacing w:after="0" w:line="240" w:lineRule="auto"/>
    </w:pPr>
  </w:style>
  <w:style w:type="character" w:customStyle="1" w:styleId="Char0">
    <w:name w:val="页脚 Char"/>
    <w:link w:val="a4"/>
    <w:uiPriority w:val="99"/>
    <w:locked/>
    <w:rsid w:val="00B44995"/>
    <w:rPr>
      <w:rFonts w:cs="Times New Roman"/>
    </w:rPr>
  </w:style>
  <w:style w:type="paragraph" w:styleId="a5">
    <w:name w:val="Balloon Text"/>
    <w:basedOn w:val="a"/>
    <w:link w:val="Char1"/>
    <w:uiPriority w:val="99"/>
    <w:semiHidden/>
    <w:rsid w:val="00B44995"/>
    <w:pPr>
      <w:spacing w:after="0" w:line="240" w:lineRule="auto"/>
    </w:pPr>
    <w:rPr>
      <w:rFonts w:ascii="Tahoma" w:hAnsi="Tahoma" w:cs="Tahoma"/>
      <w:sz w:val="16"/>
      <w:szCs w:val="16"/>
    </w:rPr>
  </w:style>
  <w:style w:type="character" w:customStyle="1" w:styleId="Char1">
    <w:name w:val="批注框文本 Char"/>
    <w:link w:val="a5"/>
    <w:uiPriority w:val="99"/>
    <w:semiHidden/>
    <w:locked/>
    <w:rsid w:val="00B44995"/>
    <w:rPr>
      <w:rFonts w:ascii="Tahoma" w:hAnsi="Tahoma" w:cs="Tahoma"/>
      <w:sz w:val="16"/>
      <w:szCs w:val="16"/>
    </w:rPr>
  </w:style>
  <w:style w:type="character" w:styleId="a6">
    <w:name w:val="Hyperlink"/>
    <w:uiPriority w:val="99"/>
    <w:rsid w:val="004107EF"/>
    <w:rPr>
      <w:rFonts w:cs="Times New Roman"/>
      <w:color w:val="0000FF"/>
      <w:u w:val="single"/>
    </w:rPr>
  </w:style>
  <w:style w:type="paragraph" w:styleId="a7">
    <w:name w:val="List Paragraph"/>
    <w:basedOn w:val="a"/>
    <w:uiPriority w:val="99"/>
    <w:qFormat/>
    <w:rsid w:val="004107EF"/>
    <w:pPr>
      <w:spacing w:line="480" w:lineRule="auto"/>
      <w:ind w:left="720"/>
      <w:contextualSpacing/>
    </w:pPr>
  </w:style>
  <w:style w:type="character" w:styleId="a8">
    <w:name w:val="FollowedHyperlink"/>
    <w:uiPriority w:val="99"/>
    <w:semiHidden/>
    <w:rsid w:val="007A2DDD"/>
    <w:rPr>
      <w:rFonts w:cs="Times New Roman"/>
      <w:color w:val="800080"/>
      <w:u w:val="single"/>
    </w:rPr>
  </w:style>
  <w:style w:type="paragraph" w:styleId="a9">
    <w:name w:val="Normal (Web)"/>
    <w:basedOn w:val="a"/>
    <w:uiPriority w:val="99"/>
    <w:rsid w:val="001A624B"/>
    <w:pPr>
      <w:spacing w:before="100" w:beforeAutospacing="1" w:after="100" w:afterAutospacing="1" w:line="240" w:lineRule="auto"/>
    </w:pPr>
    <w:rPr>
      <w:rFonts w:ascii="Times New Roman" w:hAnsi="Times New Roman"/>
      <w:sz w:val="24"/>
      <w:szCs w:val="24"/>
    </w:rPr>
  </w:style>
  <w:style w:type="character" w:styleId="aa">
    <w:name w:val="Emphasis"/>
    <w:uiPriority w:val="99"/>
    <w:qFormat/>
    <w:rsid w:val="00CF0A85"/>
    <w:rPr>
      <w:rFonts w:cs="Times New Roman"/>
      <w:i/>
      <w:iCs/>
    </w:rPr>
  </w:style>
  <w:style w:type="character" w:styleId="ab">
    <w:name w:val="annotation reference"/>
    <w:uiPriority w:val="99"/>
    <w:semiHidden/>
    <w:rsid w:val="00E047DE"/>
    <w:rPr>
      <w:rFonts w:cs="Times New Roman"/>
      <w:sz w:val="21"/>
      <w:szCs w:val="21"/>
    </w:rPr>
  </w:style>
  <w:style w:type="paragraph" w:styleId="ac">
    <w:name w:val="annotation text"/>
    <w:basedOn w:val="a"/>
    <w:link w:val="Char2"/>
    <w:uiPriority w:val="99"/>
    <w:semiHidden/>
    <w:rsid w:val="00E047DE"/>
  </w:style>
  <w:style w:type="character" w:customStyle="1" w:styleId="Char2">
    <w:name w:val="批注文字 Char"/>
    <w:link w:val="ac"/>
    <w:uiPriority w:val="99"/>
    <w:semiHidden/>
    <w:locked/>
    <w:rsid w:val="00E047DE"/>
    <w:rPr>
      <w:rFonts w:cs="Times New Roman"/>
    </w:rPr>
  </w:style>
  <w:style w:type="paragraph" w:styleId="ad">
    <w:name w:val="annotation subject"/>
    <w:basedOn w:val="ac"/>
    <w:next w:val="ac"/>
    <w:link w:val="Char3"/>
    <w:uiPriority w:val="99"/>
    <w:semiHidden/>
    <w:rsid w:val="00E047DE"/>
    <w:rPr>
      <w:b/>
      <w:bCs/>
    </w:rPr>
  </w:style>
  <w:style w:type="character" w:customStyle="1" w:styleId="Char3">
    <w:name w:val="批注主题 Char"/>
    <w:link w:val="ad"/>
    <w:uiPriority w:val="99"/>
    <w:semiHidden/>
    <w:locked/>
    <w:rsid w:val="00E047DE"/>
    <w:rPr>
      <w:rFonts w:cs="Times New Roman"/>
      <w:b/>
      <w:bCs/>
    </w:rPr>
  </w:style>
  <w:style w:type="table" w:styleId="ae">
    <w:name w:val="Table Grid"/>
    <w:basedOn w:val="a1"/>
    <w:uiPriority w:val="99"/>
    <w:rsid w:val="00365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2">
    <w:name w:val="desc2"/>
    <w:basedOn w:val="a"/>
    <w:uiPriority w:val="99"/>
    <w:rsid w:val="00817DF8"/>
    <w:pPr>
      <w:spacing w:after="0" w:line="240" w:lineRule="auto"/>
    </w:pPr>
    <w:rPr>
      <w:rFonts w:ascii="Times New Roman" w:hAnsi="Times New Roman"/>
      <w:sz w:val="26"/>
      <w:szCs w:val="26"/>
    </w:rPr>
  </w:style>
  <w:style w:type="character" w:customStyle="1" w:styleId="jrnl">
    <w:name w:val="jrnl"/>
    <w:uiPriority w:val="99"/>
    <w:rsid w:val="001E3626"/>
    <w:rPr>
      <w:rFonts w:cs="Times New Roman"/>
    </w:rPr>
  </w:style>
  <w:style w:type="paragraph" w:styleId="af">
    <w:name w:val="Revision"/>
    <w:hidden/>
    <w:uiPriority w:val="99"/>
    <w:semiHidden/>
    <w:rsid w:val="007072BC"/>
    <w:rPr>
      <w:sz w:val="22"/>
      <w:szCs w:val="22"/>
      <w:lang w:eastAsia="en-US"/>
    </w:rPr>
  </w:style>
  <w:style w:type="character" w:customStyle="1" w:styleId="apple-converted-space">
    <w:name w:val="apple-converted-space"/>
    <w:uiPriority w:val="99"/>
    <w:rsid w:val="00462C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67"/>
    <w:pPr>
      <w:spacing w:after="200" w:line="276" w:lineRule="auto"/>
    </w:pPr>
    <w:rPr>
      <w:sz w:val="22"/>
      <w:szCs w:val="22"/>
      <w:lang w:eastAsia="en-US"/>
    </w:rPr>
  </w:style>
  <w:style w:type="paragraph" w:styleId="1">
    <w:name w:val="heading 1"/>
    <w:basedOn w:val="a"/>
    <w:next w:val="a"/>
    <w:link w:val="1Char"/>
    <w:uiPriority w:val="99"/>
    <w:qFormat/>
    <w:rsid w:val="0033188D"/>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3188D"/>
    <w:rPr>
      <w:rFonts w:ascii="Cambria" w:eastAsia="宋体" w:hAnsi="Cambria" w:cs="Times New Roman"/>
      <w:b/>
      <w:bCs/>
      <w:color w:val="365F91"/>
      <w:sz w:val="28"/>
      <w:szCs w:val="28"/>
    </w:rPr>
  </w:style>
  <w:style w:type="paragraph" w:styleId="a3">
    <w:name w:val="header"/>
    <w:basedOn w:val="a"/>
    <w:link w:val="Char"/>
    <w:uiPriority w:val="99"/>
    <w:rsid w:val="00B44995"/>
    <w:pPr>
      <w:tabs>
        <w:tab w:val="center" w:pos="4680"/>
        <w:tab w:val="right" w:pos="9360"/>
      </w:tabs>
      <w:spacing w:after="0" w:line="240" w:lineRule="auto"/>
    </w:pPr>
  </w:style>
  <w:style w:type="character" w:customStyle="1" w:styleId="Char">
    <w:name w:val="页眉 Char"/>
    <w:link w:val="a3"/>
    <w:uiPriority w:val="99"/>
    <w:locked/>
    <w:rsid w:val="00B44995"/>
    <w:rPr>
      <w:rFonts w:cs="Times New Roman"/>
    </w:rPr>
  </w:style>
  <w:style w:type="paragraph" w:styleId="a4">
    <w:name w:val="footer"/>
    <w:basedOn w:val="a"/>
    <w:link w:val="Char0"/>
    <w:uiPriority w:val="99"/>
    <w:rsid w:val="00B44995"/>
    <w:pPr>
      <w:tabs>
        <w:tab w:val="center" w:pos="4680"/>
        <w:tab w:val="right" w:pos="9360"/>
      </w:tabs>
      <w:spacing w:after="0" w:line="240" w:lineRule="auto"/>
    </w:pPr>
  </w:style>
  <w:style w:type="character" w:customStyle="1" w:styleId="Char0">
    <w:name w:val="页脚 Char"/>
    <w:link w:val="a4"/>
    <w:uiPriority w:val="99"/>
    <w:locked/>
    <w:rsid w:val="00B44995"/>
    <w:rPr>
      <w:rFonts w:cs="Times New Roman"/>
    </w:rPr>
  </w:style>
  <w:style w:type="paragraph" w:styleId="a5">
    <w:name w:val="Balloon Text"/>
    <w:basedOn w:val="a"/>
    <w:link w:val="Char1"/>
    <w:uiPriority w:val="99"/>
    <w:semiHidden/>
    <w:rsid w:val="00B44995"/>
    <w:pPr>
      <w:spacing w:after="0" w:line="240" w:lineRule="auto"/>
    </w:pPr>
    <w:rPr>
      <w:rFonts w:ascii="Tahoma" w:hAnsi="Tahoma" w:cs="Tahoma"/>
      <w:sz w:val="16"/>
      <w:szCs w:val="16"/>
    </w:rPr>
  </w:style>
  <w:style w:type="character" w:customStyle="1" w:styleId="Char1">
    <w:name w:val="批注框文本 Char"/>
    <w:link w:val="a5"/>
    <w:uiPriority w:val="99"/>
    <w:semiHidden/>
    <w:locked/>
    <w:rsid w:val="00B44995"/>
    <w:rPr>
      <w:rFonts w:ascii="Tahoma" w:hAnsi="Tahoma" w:cs="Tahoma"/>
      <w:sz w:val="16"/>
      <w:szCs w:val="16"/>
    </w:rPr>
  </w:style>
  <w:style w:type="character" w:styleId="a6">
    <w:name w:val="Hyperlink"/>
    <w:uiPriority w:val="99"/>
    <w:rsid w:val="004107EF"/>
    <w:rPr>
      <w:rFonts w:cs="Times New Roman"/>
      <w:color w:val="0000FF"/>
      <w:u w:val="single"/>
    </w:rPr>
  </w:style>
  <w:style w:type="paragraph" w:styleId="a7">
    <w:name w:val="List Paragraph"/>
    <w:basedOn w:val="a"/>
    <w:uiPriority w:val="99"/>
    <w:qFormat/>
    <w:rsid w:val="004107EF"/>
    <w:pPr>
      <w:spacing w:line="480" w:lineRule="auto"/>
      <w:ind w:left="720"/>
      <w:contextualSpacing/>
    </w:pPr>
  </w:style>
  <w:style w:type="character" w:styleId="a8">
    <w:name w:val="FollowedHyperlink"/>
    <w:uiPriority w:val="99"/>
    <w:semiHidden/>
    <w:rsid w:val="007A2DDD"/>
    <w:rPr>
      <w:rFonts w:cs="Times New Roman"/>
      <w:color w:val="800080"/>
      <w:u w:val="single"/>
    </w:rPr>
  </w:style>
  <w:style w:type="paragraph" w:styleId="a9">
    <w:name w:val="Normal (Web)"/>
    <w:basedOn w:val="a"/>
    <w:uiPriority w:val="99"/>
    <w:rsid w:val="001A624B"/>
    <w:pPr>
      <w:spacing w:before="100" w:beforeAutospacing="1" w:after="100" w:afterAutospacing="1" w:line="240" w:lineRule="auto"/>
    </w:pPr>
    <w:rPr>
      <w:rFonts w:ascii="Times New Roman" w:hAnsi="Times New Roman"/>
      <w:sz w:val="24"/>
      <w:szCs w:val="24"/>
    </w:rPr>
  </w:style>
  <w:style w:type="character" w:styleId="aa">
    <w:name w:val="Emphasis"/>
    <w:uiPriority w:val="99"/>
    <w:qFormat/>
    <w:rsid w:val="00CF0A85"/>
    <w:rPr>
      <w:rFonts w:cs="Times New Roman"/>
      <w:i/>
      <w:iCs/>
    </w:rPr>
  </w:style>
  <w:style w:type="character" w:styleId="ab">
    <w:name w:val="annotation reference"/>
    <w:uiPriority w:val="99"/>
    <w:semiHidden/>
    <w:rsid w:val="00E047DE"/>
    <w:rPr>
      <w:rFonts w:cs="Times New Roman"/>
      <w:sz w:val="21"/>
      <w:szCs w:val="21"/>
    </w:rPr>
  </w:style>
  <w:style w:type="paragraph" w:styleId="ac">
    <w:name w:val="annotation text"/>
    <w:basedOn w:val="a"/>
    <w:link w:val="Char2"/>
    <w:uiPriority w:val="99"/>
    <w:semiHidden/>
    <w:rsid w:val="00E047DE"/>
  </w:style>
  <w:style w:type="character" w:customStyle="1" w:styleId="Char2">
    <w:name w:val="批注文字 Char"/>
    <w:link w:val="ac"/>
    <w:uiPriority w:val="99"/>
    <w:semiHidden/>
    <w:locked/>
    <w:rsid w:val="00E047DE"/>
    <w:rPr>
      <w:rFonts w:cs="Times New Roman"/>
    </w:rPr>
  </w:style>
  <w:style w:type="paragraph" w:styleId="ad">
    <w:name w:val="annotation subject"/>
    <w:basedOn w:val="ac"/>
    <w:next w:val="ac"/>
    <w:link w:val="Char3"/>
    <w:uiPriority w:val="99"/>
    <w:semiHidden/>
    <w:rsid w:val="00E047DE"/>
    <w:rPr>
      <w:b/>
      <w:bCs/>
    </w:rPr>
  </w:style>
  <w:style w:type="character" w:customStyle="1" w:styleId="Char3">
    <w:name w:val="批注主题 Char"/>
    <w:link w:val="ad"/>
    <w:uiPriority w:val="99"/>
    <w:semiHidden/>
    <w:locked/>
    <w:rsid w:val="00E047DE"/>
    <w:rPr>
      <w:rFonts w:cs="Times New Roman"/>
      <w:b/>
      <w:bCs/>
    </w:rPr>
  </w:style>
  <w:style w:type="table" w:styleId="ae">
    <w:name w:val="Table Grid"/>
    <w:basedOn w:val="a1"/>
    <w:uiPriority w:val="99"/>
    <w:rsid w:val="00365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2">
    <w:name w:val="desc2"/>
    <w:basedOn w:val="a"/>
    <w:uiPriority w:val="99"/>
    <w:rsid w:val="00817DF8"/>
    <w:pPr>
      <w:spacing w:after="0" w:line="240" w:lineRule="auto"/>
    </w:pPr>
    <w:rPr>
      <w:rFonts w:ascii="Times New Roman" w:hAnsi="Times New Roman"/>
      <w:sz w:val="26"/>
      <w:szCs w:val="26"/>
    </w:rPr>
  </w:style>
  <w:style w:type="character" w:customStyle="1" w:styleId="jrnl">
    <w:name w:val="jrnl"/>
    <w:uiPriority w:val="99"/>
    <w:rsid w:val="001E3626"/>
    <w:rPr>
      <w:rFonts w:cs="Times New Roman"/>
    </w:rPr>
  </w:style>
  <w:style w:type="paragraph" w:styleId="af">
    <w:name w:val="Revision"/>
    <w:hidden/>
    <w:uiPriority w:val="99"/>
    <w:semiHidden/>
    <w:rsid w:val="007072BC"/>
    <w:rPr>
      <w:sz w:val="22"/>
      <w:szCs w:val="22"/>
      <w:lang w:eastAsia="en-US"/>
    </w:rPr>
  </w:style>
  <w:style w:type="character" w:customStyle="1" w:styleId="apple-converted-space">
    <w:name w:val="apple-converted-space"/>
    <w:uiPriority w:val="99"/>
    <w:rsid w:val="00462C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45685">
      <w:marLeft w:val="0"/>
      <w:marRight w:val="0"/>
      <w:marTop w:val="0"/>
      <w:marBottom w:val="0"/>
      <w:divBdr>
        <w:top w:val="none" w:sz="0" w:space="0" w:color="auto"/>
        <w:left w:val="none" w:sz="0" w:space="0" w:color="auto"/>
        <w:bottom w:val="none" w:sz="0" w:space="0" w:color="auto"/>
        <w:right w:val="none" w:sz="0" w:space="0" w:color="auto"/>
      </w:divBdr>
      <w:divsChild>
        <w:div w:id="2037845884">
          <w:marLeft w:val="0"/>
          <w:marRight w:val="1"/>
          <w:marTop w:val="0"/>
          <w:marBottom w:val="0"/>
          <w:divBdr>
            <w:top w:val="none" w:sz="0" w:space="0" w:color="auto"/>
            <w:left w:val="none" w:sz="0" w:space="0" w:color="auto"/>
            <w:bottom w:val="none" w:sz="0" w:space="0" w:color="auto"/>
            <w:right w:val="none" w:sz="0" w:space="0" w:color="auto"/>
          </w:divBdr>
          <w:divsChild>
            <w:div w:id="2037845908">
              <w:marLeft w:val="0"/>
              <w:marRight w:val="0"/>
              <w:marTop w:val="0"/>
              <w:marBottom w:val="0"/>
              <w:divBdr>
                <w:top w:val="none" w:sz="0" w:space="0" w:color="auto"/>
                <w:left w:val="none" w:sz="0" w:space="0" w:color="auto"/>
                <w:bottom w:val="none" w:sz="0" w:space="0" w:color="auto"/>
                <w:right w:val="none" w:sz="0" w:space="0" w:color="auto"/>
              </w:divBdr>
              <w:divsChild>
                <w:div w:id="2037845753">
                  <w:marLeft w:val="0"/>
                  <w:marRight w:val="1"/>
                  <w:marTop w:val="0"/>
                  <w:marBottom w:val="0"/>
                  <w:divBdr>
                    <w:top w:val="none" w:sz="0" w:space="0" w:color="auto"/>
                    <w:left w:val="none" w:sz="0" w:space="0" w:color="auto"/>
                    <w:bottom w:val="none" w:sz="0" w:space="0" w:color="auto"/>
                    <w:right w:val="none" w:sz="0" w:space="0" w:color="auto"/>
                  </w:divBdr>
                  <w:divsChild>
                    <w:div w:id="2037845751">
                      <w:marLeft w:val="0"/>
                      <w:marRight w:val="0"/>
                      <w:marTop w:val="0"/>
                      <w:marBottom w:val="0"/>
                      <w:divBdr>
                        <w:top w:val="none" w:sz="0" w:space="0" w:color="auto"/>
                        <w:left w:val="none" w:sz="0" w:space="0" w:color="auto"/>
                        <w:bottom w:val="none" w:sz="0" w:space="0" w:color="auto"/>
                        <w:right w:val="none" w:sz="0" w:space="0" w:color="auto"/>
                      </w:divBdr>
                      <w:divsChild>
                        <w:div w:id="2037845883">
                          <w:marLeft w:val="0"/>
                          <w:marRight w:val="0"/>
                          <w:marTop w:val="0"/>
                          <w:marBottom w:val="0"/>
                          <w:divBdr>
                            <w:top w:val="none" w:sz="0" w:space="0" w:color="auto"/>
                            <w:left w:val="none" w:sz="0" w:space="0" w:color="auto"/>
                            <w:bottom w:val="none" w:sz="0" w:space="0" w:color="auto"/>
                            <w:right w:val="none" w:sz="0" w:space="0" w:color="auto"/>
                          </w:divBdr>
                          <w:divsChild>
                            <w:div w:id="2037845784">
                              <w:marLeft w:val="0"/>
                              <w:marRight w:val="0"/>
                              <w:marTop w:val="120"/>
                              <w:marBottom w:val="360"/>
                              <w:divBdr>
                                <w:top w:val="none" w:sz="0" w:space="0" w:color="auto"/>
                                <w:left w:val="none" w:sz="0" w:space="0" w:color="auto"/>
                                <w:bottom w:val="none" w:sz="0" w:space="0" w:color="auto"/>
                                <w:right w:val="none" w:sz="0" w:space="0" w:color="auto"/>
                              </w:divBdr>
                              <w:divsChild>
                                <w:div w:id="2037845888">
                                  <w:marLeft w:val="420"/>
                                  <w:marRight w:val="0"/>
                                  <w:marTop w:val="0"/>
                                  <w:marBottom w:val="0"/>
                                  <w:divBdr>
                                    <w:top w:val="none" w:sz="0" w:space="0" w:color="auto"/>
                                    <w:left w:val="none" w:sz="0" w:space="0" w:color="auto"/>
                                    <w:bottom w:val="none" w:sz="0" w:space="0" w:color="auto"/>
                                    <w:right w:val="none" w:sz="0" w:space="0" w:color="auto"/>
                                  </w:divBdr>
                                  <w:divsChild>
                                    <w:div w:id="20378457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686">
      <w:marLeft w:val="0"/>
      <w:marRight w:val="0"/>
      <w:marTop w:val="0"/>
      <w:marBottom w:val="0"/>
      <w:divBdr>
        <w:top w:val="none" w:sz="0" w:space="0" w:color="auto"/>
        <w:left w:val="none" w:sz="0" w:space="0" w:color="auto"/>
        <w:bottom w:val="none" w:sz="0" w:space="0" w:color="auto"/>
        <w:right w:val="none" w:sz="0" w:space="0" w:color="auto"/>
      </w:divBdr>
      <w:divsChild>
        <w:div w:id="2037845826">
          <w:marLeft w:val="0"/>
          <w:marRight w:val="1"/>
          <w:marTop w:val="0"/>
          <w:marBottom w:val="0"/>
          <w:divBdr>
            <w:top w:val="none" w:sz="0" w:space="0" w:color="auto"/>
            <w:left w:val="none" w:sz="0" w:space="0" w:color="auto"/>
            <w:bottom w:val="none" w:sz="0" w:space="0" w:color="auto"/>
            <w:right w:val="none" w:sz="0" w:space="0" w:color="auto"/>
          </w:divBdr>
          <w:divsChild>
            <w:div w:id="2037845756">
              <w:marLeft w:val="0"/>
              <w:marRight w:val="0"/>
              <w:marTop w:val="0"/>
              <w:marBottom w:val="0"/>
              <w:divBdr>
                <w:top w:val="none" w:sz="0" w:space="0" w:color="auto"/>
                <w:left w:val="none" w:sz="0" w:space="0" w:color="auto"/>
                <w:bottom w:val="none" w:sz="0" w:space="0" w:color="auto"/>
                <w:right w:val="none" w:sz="0" w:space="0" w:color="auto"/>
              </w:divBdr>
              <w:divsChild>
                <w:div w:id="2037845827">
                  <w:marLeft w:val="0"/>
                  <w:marRight w:val="1"/>
                  <w:marTop w:val="0"/>
                  <w:marBottom w:val="0"/>
                  <w:divBdr>
                    <w:top w:val="none" w:sz="0" w:space="0" w:color="auto"/>
                    <w:left w:val="none" w:sz="0" w:space="0" w:color="auto"/>
                    <w:bottom w:val="none" w:sz="0" w:space="0" w:color="auto"/>
                    <w:right w:val="none" w:sz="0" w:space="0" w:color="auto"/>
                  </w:divBdr>
                  <w:divsChild>
                    <w:div w:id="2037845855">
                      <w:marLeft w:val="0"/>
                      <w:marRight w:val="0"/>
                      <w:marTop w:val="0"/>
                      <w:marBottom w:val="0"/>
                      <w:divBdr>
                        <w:top w:val="none" w:sz="0" w:space="0" w:color="auto"/>
                        <w:left w:val="none" w:sz="0" w:space="0" w:color="auto"/>
                        <w:bottom w:val="none" w:sz="0" w:space="0" w:color="auto"/>
                        <w:right w:val="none" w:sz="0" w:space="0" w:color="auto"/>
                      </w:divBdr>
                      <w:divsChild>
                        <w:div w:id="2037845782">
                          <w:marLeft w:val="0"/>
                          <w:marRight w:val="0"/>
                          <w:marTop w:val="0"/>
                          <w:marBottom w:val="0"/>
                          <w:divBdr>
                            <w:top w:val="none" w:sz="0" w:space="0" w:color="auto"/>
                            <w:left w:val="none" w:sz="0" w:space="0" w:color="auto"/>
                            <w:bottom w:val="none" w:sz="0" w:space="0" w:color="auto"/>
                            <w:right w:val="none" w:sz="0" w:space="0" w:color="auto"/>
                          </w:divBdr>
                          <w:divsChild>
                            <w:div w:id="2037845897">
                              <w:marLeft w:val="0"/>
                              <w:marRight w:val="0"/>
                              <w:marTop w:val="120"/>
                              <w:marBottom w:val="360"/>
                              <w:divBdr>
                                <w:top w:val="none" w:sz="0" w:space="0" w:color="auto"/>
                                <w:left w:val="none" w:sz="0" w:space="0" w:color="auto"/>
                                <w:bottom w:val="none" w:sz="0" w:space="0" w:color="auto"/>
                                <w:right w:val="none" w:sz="0" w:space="0" w:color="auto"/>
                              </w:divBdr>
                              <w:divsChild>
                                <w:div w:id="2037845838">
                                  <w:marLeft w:val="420"/>
                                  <w:marRight w:val="0"/>
                                  <w:marTop w:val="0"/>
                                  <w:marBottom w:val="0"/>
                                  <w:divBdr>
                                    <w:top w:val="none" w:sz="0" w:space="0" w:color="auto"/>
                                    <w:left w:val="none" w:sz="0" w:space="0" w:color="auto"/>
                                    <w:bottom w:val="none" w:sz="0" w:space="0" w:color="auto"/>
                                    <w:right w:val="none" w:sz="0" w:space="0" w:color="auto"/>
                                  </w:divBdr>
                                  <w:divsChild>
                                    <w:div w:id="2037845813">
                                      <w:marLeft w:val="0"/>
                                      <w:marRight w:val="0"/>
                                      <w:marTop w:val="0"/>
                                      <w:marBottom w:val="0"/>
                                      <w:divBdr>
                                        <w:top w:val="none" w:sz="0" w:space="0" w:color="auto"/>
                                        <w:left w:val="none" w:sz="0" w:space="0" w:color="auto"/>
                                        <w:bottom w:val="none" w:sz="0" w:space="0" w:color="auto"/>
                                        <w:right w:val="none" w:sz="0" w:space="0" w:color="auto"/>
                                      </w:divBdr>
                                      <w:divsChild>
                                        <w:div w:id="20378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5701">
      <w:marLeft w:val="0"/>
      <w:marRight w:val="0"/>
      <w:marTop w:val="0"/>
      <w:marBottom w:val="0"/>
      <w:divBdr>
        <w:top w:val="none" w:sz="0" w:space="0" w:color="auto"/>
        <w:left w:val="none" w:sz="0" w:space="0" w:color="auto"/>
        <w:bottom w:val="none" w:sz="0" w:space="0" w:color="auto"/>
        <w:right w:val="none" w:sz="0" w:space="0" w:color="auto"/>
      </w:divBdr>
      <w:divsChild>
        <w:div w:id="2037845958">
          <w:marLeft w:val="0"/>
          <w:marRight w:val="1"/>
          <w:marTop w:val="0"/>
          <w:marBottom w:val="0"/>
          <w:divBdr>
            <w:top w:val="none" w:sz="0" w:space="0" w:color="auto"/>
            <w:left w:val="none" w:sz="0" w:space="0" w:color="auto"/>
            <w:bottom w:val="none" w:sz="0" w:space="0" w:color="auto"/>
            <w:right w:val="none" w:sz="0" w:space="0" w:color="auto"/>
          </w:divBdr>
          <w:divsChild>
            <w:div w:id="2037845802">
              <w:marLeft w:val="0"/>
              <w:marRight w:val="0"/>
              <w:marTop w:val="0"/>
              <w:marBottom w:val="0"/>
              <w:divBdr>
                <w:top w:val="none" w:sz="0" w:space="0" w:color="auto"/>
                <w:left w:val="none" w:sz="0" w:space="0" w:color="auto"/>
                <w:bottom w:val="none" w:sz="0" w:space="0" w:color="auto"/>
                <w:right w:val="none" w:sz="0" w:space="0" w:color="auto"/>
              </w:divBdr>
              <w:divsChild>
                <w:div w:id="2037845919">
                  <w:marLeft w:val="0"/>
                  <w:marRight w:val="1"/>
                  <w:marTop w:val="0"/>
                  <w:marBottom w:val="0"/>
                  <w:divBdr>
                    <w:top w:val="none" w:sz="0" w:space="0" w:color="auto"/>
                    <w:left w:val="none" w:sz="0" w:space="0" w:color="auto"/>
                    <w:bottom w:val="none" w:sz="0" w:space="0" w:color="auto"/>
                    <w:right w:val="none" w:sz="0" w:space="0" w:color="auto"/>
                  </w:divBdr>
                  <w:divsChild>
                    <w:div w:id="2037845752">
                      <w:marLeft w:val="0"/>
                      <w:marRight w:val="0"/>
                      <w:marTop w:val="0"/>
                      <w:marBottom w:val="0"/>
                      <w:divBdr>
                        <w:top w:val="none" w:sz="0" w:space="0" w:color="auto"/>
                        <w:left w:val="none" w:sz="0" w:space="0" w:color="auto"/>
                        <w:bottom w:val="none" w:sz="0" w:space="0" w:color="auto"/>
                        <w:right w:val="none" w:sz="0" w:space="0" w:color="auto"/>
                      </w:divBdr>
                      <w:divsChild>
                        <w:div w:id="2037845693">
                          <w:marLeft w:val="0"/>
                          <w:marRight w:val="0"/>
                          <w:marTop w:val="0"/>
                          <w:marBottom w:val="0"/>
                          <w:divBdr>
                            <w:top w:val="none" w:sz="0" w:space="0" w:color="auto"/>
                            <w:left w:val="none" w:sz="0" w:space="0" w:color="auto"/>
                            <w:bottom w:val="none" w:sz="0" w:space="0" w:color="auto"/>
                            <w:right w:val="none" w:sz="0" w:space="0" w:color="auto"/>
                          </w:divBdr>
                          <w:divsChild>
                            <w:div w:id="2037845904">
                              <w:marLeft w:val="0"/>
                              <w:marRight w:val="0"/>
                              <w:marTop w:val="120"/>
                              <w:marBottom w:val="360"/>
                              <w:divBdr>
                                <w:top w:val="none" w:sz="0" w:space="0" w:color="auto"/>
                                <w:left w:val="none" w:sz="0" w:space="0" w:color="auto"/>
                                <w:bottom w:val="none" w:sz="0" w:space="0" w:color="auto"/>
                                <w:right w:val="none" w:sz="0" w:space="0" w:color="auto"/>
                              </w:divBdr>
                              <w:divsChild>
                                <w:div w:id="2037845891">
                                  <w:marLeft w:val="420"/>
                                  <w:marRight w:val="0"/>
                                  <w:marTop w:val="0"/>
                                  <w:marBottom w:val="0"/>
                                  <w:divBdr>
                                    <w:top w:val="none" w:sz="0" w:space="0" w:color="auto"/>
                                    <w:left w:val="none" w:sz="0" w:space="0" w:color="auto"/>
                                    <w:bottom w:val="none" w:sz="0" w:space="0" w:color="auto"/>
                                    <w:right w:val="none" w:sz="0" w:space="0" w:color="auto"/>
                                  </w:divBdr>
                                  <w:divsChild>
                                    <w:div w:id="20378459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703">
      <w:marLeft w:val="0"/>
      <w:marRight w:val="0"/>
      <w:marTop w:val="0"/>
      <w:marBottom w:val="0"/>
      <w:divBdr>
        <w:top w:val="none" w:sz="0" w:space="0" w:color="auto"/>
        <w:left w:val="none" w:sz="0" w:space="0" w:color="auto"/>
        <w:bottom w:val="none" w:sz="0" w:space="0" w:color="auto"/>
        <w:right w:val="none" w:sz="0" w:space="0" w:color="auto"/>
      </w:divBdr>
      <w:divsChild>
        <w:div w:id="2037845837">
          <w:marLeft w:val="0"/>
          <w:marRight w:val="1"/>
          <w:marTop w:val="0"/>
          <w:marBottom w:val="0"/>
          <w:divBdr>
            <w:top w:val="none" w:sz="0" w:space="0" w:color="auto"/>
            <w:left w:val="none" w:sz="0" w:space="0" w:color="auto"/>
            <w:bottom w:val="none" w:sz="0" w:space="0" w:color="auto"/>
            <w:right w:val="none" w:sz="0" w:space="0" w:color="auto"/>
          </w:divBdr>
          <w:divsChild>
            <w:div w:id="2037845866">
              <w:marLeft w:val="0"/>
              <w:marRight w:val="0"/>
              <w:marTop w:val="0"/>
              <w:marBottom w:val="0"/>
              <w:divBdr>
                <w:top w:val="none" w:sz="0" w:space="0" w:color="auto"/>
                <w:left w:val="none" w:sz="0" w:space="0" w:color="auto"/>
                <w:bottom w:val="none" w:sz="0" w:space="0" w:color="auto"/>
                <w:right w:val="none" w:sz="0" w:space="0" w:color="auto"/>
              </w:divBdr>
              <w:divsChild>
                <w:div w:id="2037845936">
                  <w:marLeft w:val="0"/>
                  <w:marRight w:val="1"/>
                  <w:marTop w:val="0"/>
                  <w:marBottom w:val="0"/>
                  <w:divBdr>
                    <w:top w:val="none" w:sz="0" w:space="0" w:color="auto"/>
                    <w:left w:val="none" w:sz="0" w:space="0" w:color="auto"/>
                    <w:bottom w:val="none" w:sz="0" w:space="0" w:color="auto"/>
                    <w:right w:val="none" w:sz="0" w:space="0" w:color="auto"/>
                  </w:divBdr>
                  <w:divsChild>
                    <w:div w:id="2037845773">
                      <w:marLeft w:val="0"/>
                      <w:marRight w:val="0"/>
                      <w:marTop w:val="0"/>
                      <w:marBottom w:val="0"/>
                      <w:divBdr>
                        <w:top w:val="none" w:sz="0" w:space="0" w:color="auto"/>
                        <w:left w:val="none" w:sz="0" w:space="0" w:color="auto"/>
                        <w:bottom w:val="none" w:sz="0" w:space="0" w:color="auto"/>
                        <w:right w:val="none" w:sz="0" w:space="0" w:color="auto"/>
                      </w:divBdr>
                      <w:divsChild>
                        <w:div w:id="2037845758">
                          <w:marLeft w:val="0"/>
                          <w:marRight w:val="0"/>
                          <w:marTop w:val="0"/>
                          <w:marBottom w:val="0"/>
                          <w:divBdr>
                            <w:top w:val="none" w:sz="0" w:space="0" w:color="auto"/>
                            <w:left w:val="none" w:sz="0" w:space="0" w:color="auto"/>
                            <w:bottom w:val="none" w:sz="0" w:space="0" w:color="auto"/>
                            <w:right w:val="none" w:sz="0" w:space="0" w:color="auto"/>
                          </w:divBdr>
                          <w:divsChild>
                            <w:div w:id="2037845690">
                              <w:marLeft w:val="0"/>
                              <w:marRight w:val="0"/>
                              <w:marTop w:val="120"/>
                              <w:marBottom w:val="360"/>
                              <w:divBdr>
                                <w:top w:val="none" w:sz="0" w:space="0" w:color="auto"/>
                                <w:left w:val="none" w:sz="0" w:space="0" w:color="auto"/>
                                <w:bottom w:val="none" w:sz="0" w:space="0" w:color="auto"/>
                                <w:right w:val="none" w:sz="0" w:space="0" w:color="auto"/>
                              </w:divBdr>
                              <w:divsChild>
                                <w:div w:id="2037845928">
                                  <w:marLeft w:val="420"/>
                                  <w:marRight w:val="0"/>
                                  <w:marTop w:val="0"/>
                                  <w:marBottom w:val="0"/>
                                  <w:divBdr>
                                    <w:top w:val="none" w:sz="0" w:space="0" w:color="auto"/>
                                    <w:left w:val="none" w:sz="0" w:space="0" w:color="auto"/>
                                    <w:bottom w:val="none" w:sz="0" w:space="0" w:color="auto"/>
                                    <w:right w:val="none" w:sz="0" w:space="0" w:color="auto"/>
                                  </w:divBdr>
                                  <w:divsChild>
                                    <w:div w:id="20378456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704">
      <w:marLeft w:val="0"/>
      <w:marRight w:val="0"/>
      <w:marTop w:val="0"/>
      <w:marBottom w:val="0"/>
      <w:divBdr>
        <w:top w:val="none" w:sz="0" w:space="0" w:color="auto"/>
        <w:left w:val="none" w:sz="0" w:space="0" w:color="auto"/>
        <w:bottom w:val="none" w:sz="0" w:space="0" w:color="auto"/>
        <w:right w:val="none" w:sz="0" w:space="0" w:color="auto"/>
      </w:divBdr>
      <w:divsChild>
        <w:div w:id="2037845719">
          <w:marLeft w:val="0"/>
          <w:marRight w:val="1"/>
          <w:marTop w:val="0"/>
          <w:marBottom w:val="0"/>
          <w:divBdr>
            <w:top w:val="none" w:sz="0" w:space="0" w:color="auto"/>
            <w:left w:val="none" w:sz="0" w:space="0" w:color="auto"/>
            <w:bottom w:val="none" w:sz="0" w:space="0" w:color="auto"/>
            <w:right w:val="none" w:sz="0" w:space="0" w:color="auto"/>
          </w:divBdr>
          <w:divsChild>
            <w:div w:id="2037845856">
              <w:marLeft w:val="0"/>
              <w:marRight w:val="0"/>
              <w:marTop w:val="0"/>
              <w:marBottom w:val="0"/>
              <w:divBdr>
                <w:top w:val="none" w:sz="0" w:space="0" w:color="auto"/>
                <w:left w:val="none" w:sz="0" w:space="0" w:color="auto"/>
                <w:bottom w:val="none" w:sz="0" w:space="0" w:color="auto"/>
                <w:right w:val="none" w:sz="0" w:space="0" w:color="auto"/>
              </w:divBdr>
              <w:divsChild>
                <w:div w:id="2037845687">
                  <w:marLeft w:val="0"/>
                  <w:marRight w:val="1"/>
                  <w:marTop w:val="0"/>
                  <w:marBottom w:val="0"/>
                  <w:divBdr>
                    <w:top w:val="none" w:sz="0" w:space="0" w:color="auto"/>
                    <w:left w:val="none" w:sz="0" w:space="0" w:color="auto"/>
                    <w:bottom w:val="none" w:sz="0" w:space="0" w:color="auto"/>
                    <w:right w:val="none" w:sz="0" w:space="0" w:color="auto"/>
                  </w:divBdr>
                  <w:divsChild>
                    <w:div w:id="2037845796">
                      <w:marLeft w:val="0"/>
                      <w:marRight w:val="0"/>
                      <w:marTop w:val="0"/>
                      <w:marBottom w:val="0"/>
                      <w:divBdr>
                        <w:top w:val="none" w:sz="0" w:space="0" w:color="auto"/>
                        <w:left w:val="none" w:sz="0" w:space="0" w:color="auto"/>
                        <w:bottom w:val="none" w:sz="0" w:space="0" w:color="auto"/>
                        <w:right w:val="none" w:sz="0" w:space="0" w:color="auto"/>
                      </w:divBdr>
                      <w:divsChild>
                        <w:div w:id="2037845778">
                          <w:marLeft w:val="0"/>
                          <w:marRight w:val="0"/>
                          <w:marTop w:val="0"/>
                          <w:marBottom w:val="0"/>
                          <w:divBdr>
                            <w:top w:val="none" w:sz="0" w:space="0" w:color="auto"/>
                            <w:left w:val="none" w:sz="0" w:space="0" w:color="auto"/>
                            <w:bottom w:val="none" w:sz="0" w:space="0" w:color="auto"/>
                            <w:right w:val="none" w:sz="0" w:space="0" w:color="auto"/>
                          </w:divBdr>
                          <w:divsChild>
                            <w:div w:id="2037845863">
                              <w:marLeft w:val="0"/>
                              <w:marRight w:val="0"/>
                              <w:marTop w:val="120"/>
                              <w:marBottom w:val="360"/>
                              <w:divBdr>
                                <w:top w:val="none" w:sz="0" w:space="0" w:color="auto"/>
                                <w:left w:val="none" w:sz="0" w:space="0" w:color="auto"/>
                                <w:bottom w:val="none" w:sz="0" w:space="0" w:color="auto"/>
                                <w:right w:val="none" w:sz="0" w:space="0" w:color="auto"/>
                              </w:divBdr>
                              <w:divsChild>
                                <w:div w:id="2037845726">
                                  <w:marLeft w:val="420"/>
                                  <w:marRight w:val="0"/>
                                  <w:marTop w:val="0"/>
                                  <w:marBottom w:val="0"/>
                                  <w:divBdr>
                                    <w:top w:val="none" w:sz="0" w:space="0" w:color="auto"/>
                                    <w:left w:val="none" w:sz="0" w:space="0" w:color="auto"/>
                                    <w:bottom w:val="none" w:sz="0" w:space="0" w:color="auto"/>
                                    <w:right w:val="none" w:sz="0" w:space="0" w:color="auto"/>
                                  </w:divBdr>
                                  <w:divsChild>
                                    <w:div w:id="2037845812">
                                      <w:marLeft w:val="0"/>
                                      <w:marRight w:val="0"/>
                                      <w:marTop w:val="0"/>
                                      <w:marBottom w:val="0"/>
                                      <w:divBdr>
                                        <w:top w:val="none" w:sz="0" w:space="0" w:color="auto"/>
                                        <w:left w:val="none" w:sz="0" w:space="0" w:color="auto"/>
                                        <w:bottom w:val="none" w:sz="0" w:space="0" w:color="auto"/>
                                        <w:right w:val="none" w:sz="0" w:space="0" w:color="auto"/>
                                      </w:divBdr>
                                      <w:divsChild>
                                        <w:div w:id="20378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5705">
      <w:marLeft w:val="0"/>
      <w:marRight w:val="0"/>
      <w:marTop w:val="0"/>
      <w:marBottom w:val="0"/>
      <w:divBdr>
        <w:top w:val="none" w:sz="0" w:space="0" w:color="auto"/>
        <w:left w:val="none" w:sz="0" w:space="0" w:color="auto"/>
        <w:bottom w:val="none" w:sz="0" w:space="0" w:color="auto"/>
        <w:right w:val="none" w:sz="0" w:space="0" w:color="auto"/>
      </w:divBdr>
      <w:divsChild>
        <w:div w:id="2037845831">
          <w:marLeft w:val="0"/>
          <w:marRight w:val="1"/>
          <w:marTop w:val="0"/>
          <w:marBottom w:val="0"/>
          <w:divBdr>
            <w:top w:val="none" w:sz="0" w:space="0" w:color="auto"/>
            <w:left w:val="none" w:sz="0" w:space="0" w:color="auto"/>
            <w:bottom w:val="none" w:sz="0" w:space="0" w:color="auto"/>
            <w:right w:val="none" w:sz="0" w:space="0" w:color="auto"/>
          </w:divBdr>
          <w:divsChild>
            <w:div w:id="2037845799">
              <w:marLeft w:val="0"/>
              <w:marRight w:val="0"/>
              <w:marTop w:val="0"/>
              <w:marBottom w:val="0"/>
              <w:divBdr>
                <w:top w:val="none" w:sz="0" w:space="0" w:color="auto"/>
                <w:left w:val="none" w:sz="0" w:space="0" w:color="auto"/>
                <w:bottom w:val="none" w:sz="0" w:space="0" w:color="auto"/>
                <w:right w:val="none" w:sz="0" w:space="0" w:color="auto"/>
              </w:divBdr>
              <w:divsChild>
                <w:div w:id="2037845875">
                  <w:marLeft w:val="0"/>
                  <w:marRight w:val="1"/>
                  <w:marTop w:val="0"/>
                  <w:marBottom w:val="0"/>
                  <w:divBdr>
                    <w:top w:val="none" w:sz="0" w:space="0" w:color="auto"/>
                    <w:left w:val="none" w:sz="0" w:space="0" w:color="auto"/>
                    <w:bottom w:val="none" w:sz="0" w:space="0" w:color="auto"/>
                    <w:right w:val="none" w:sz="0" w:space="0" w:color="auto"/>
                  </w:divBdr>
                  <w:divsChild>
                    <w:div w:id="2037845721">
                      <w:marLeft w:val="0"/>
                      <w:marRight w:val="0"/>
                      <w:marTop w:val="0"/>
                      <w:marBottom w:val="0"/>
                      <w:divBdr>
                        <w:top w:val="none" w:sz="0" w:space="0" w:color="auto"/>
                        <w:left w:val="none" w:sz="0" w:space="0" w:color="auto"/>
                        <w:bottom w:val="none" w:sz="0" w:space="0" w:color="auto"/>
                        <w:right w:val="none" w:sz="0" w:space="0" w:color="auto"/>
                      </w:divBdr>
                      <w:divsChild>
                        <w:div w:id="2037845809">
                          <w:marLeft w:val="0"/>
                          <w:marRight w:val="0"/>
                          <w:marTop w:val="0"/>
                          <w:marBottom w:val="0"/>
                          <w:divBdr>
                            <w:top w:val="none" w:sz="0" w:space="0" w:color="auto"/>
                            <w:left w:val="none" w:sz="0" w:space="0" w:color="auto"/>
                            <w:bottom w:val="none" w:sz="0" w:space="0" w:color="auto"/>
                            <w:right w:val="none" w:sz="0" w:space="0" w:color="auto"/>
                          </w:divBdr>
                          <w:divsChild>
                            <w:div w:id="2037845860">
                              <w:marLeft w:val="0"/>
                              <w:marRight w:val="0"/>
                              <w:marTop w:val="120"/>
                              <w:marBottom w:val="360"/>
                              <w:divBdr>
                                <w:top w:val="none" w:sz="0" w:space="0" w:color="auto"/>
                                <w:left w:val="none" w:sz="0" w:space="0" w:color="auto"/>
                                <w:bottom w:val="none" w:sz="0" w:space="0" w:color="auto"/>
                                <w:right w:val="none" w:sz="0" w:space="0" w:color="auto"/>
                              </w:divBdr>
                              <w:divsChild>
                                <w:div w:id="2037845781">
                                  <w:marLeft w:val="420"/>
                                  <w:marRight w:val="0"/>
                                  <w:marTop w:val="0"/>
                                  <w:marBottom w:val="0"/>
                                  <w:divBdr>
                                    <w:top w:val="none" w:sz="0" w:space="0" w:color="auto"/>
                                    <w:left w:val="none" w:sz="0" w:space="0" w:color="auto"/>
                                    <w:bottom w:val="none" w:sz="0" w:space="0" w:color="auto"/>
                                    <w:right w:val="none" w:sz="0" w:space="0" w:color="auto"/>
                                  </w:divBdr>
                                  <w:divsChild>
                                    <w:div w:id="20378458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706">
      <w:marLeft w:val="0"/>
      <w:marRight w:val="0"/>
      <w:marTop w:val="0"/>
      <w:marBottom w:val="0"/>
      <w:divBdr>
        <w:top w:val="none" w:sz="0" w:space="0" w:color="auto"/>
        <w:left w:val="none" w:sz="0" w:space="0" w:color="auto"/>
        <w:bottom w:val="none" w:sz="0" w:space="0" w:color="auto"/>
        <w:right w:val="none" w:sz="0" w:space="0" w:color="auto"/>
      </w:divBdr>
      <w:divsChild>
        <w:div w:id="2037845793">
          <w:marLeft w:val="0"/>
          <w:marRight w:val="1"/>
          <w:marTop w:val="0"/>
          <w:marBottom w:val="0"/>
          <w:divBdr>
            <w:top w:val="none" w:sz="0" w:space="0" w:color="auto"/>
            <w:left w:val="none" w:sz="0" w:space="0" w:color="auto"/>
            <w:bottom w:val="none" w:sz="0" w:space="0" w:color="auto"/>
            <w:right w:val="none" w:sz="0" w:space="0" w:color="auto"/>
          </w:divBdr>
          <w:divsChild>
            <w:div w:id="2037845816">
              <w:marLeft w:val="0"/>
              <w:marRight w:val="0"/>
              <w:marTop w:val="0"/>
              <w:marBottom w:val="0"/>
              <w:divBdr>
                <w:top w:val="none" w:sz="0" w:space="0" w:color="auto"/>
                <w:left w:val="none" w:sz="0" w:space="0" w:color="auto"/>
                <w:bottom w:val="none" w:sz="0" w:space="0" w:color="auto"/>
                <w:right w:val="none" w:sz="0" w:space="0" w:color="auto"/>
              </w:divBdr>
              <w:divsChild>
                <w:div w:id="2037845930">
                  <w:marLeft w:val="0"/>
                  <w:marRight w:val="1"/>
                  <w:marTop w:val="0"/>
                  <w:marBottom w:val="0"/>
                  <w:divBdr>
                    <w:top w:val="none" w:sz="0" w:space="0" w:color="auto"/>
                    <w:left w:val="none" w:sz="0" w:space="0" w:color="auto"/>
                    <w:bottom w:val="none" w:sz="0" w:space="0" w:color="auto"/>
                    <w:right w:val="none" w:sz="0" w:space="0" w:color="auto"/>
                  </w:divBdr>
                  <w:divsChild>
                    <w:div w:id="2037845810">
                      <w:marLeft w:val="0"/>
                      <w:marRight w:val="0"/>
                      <w:marTop w:val="0"/>
                      <w:marBottom w:val="0"/>
                      <w:divBdr>
                        <w:top w:val="none" w:sz="0" w:space="0" w:color="auto"/>
                        <w:left w:val="none" w:sz="0" w:space="0" w:color="auto"/>
                        <w:bottom w:val="none" w:sz="0" w:space="0" w:color="auto"/>
                        <w:right w:val="none" w:sz="0" w:space="0" w:color="auto"/>
                      </w:divBdr>
                      <w:divsChild>
                        <w:div w:id="2037845902">
                          <w:marLeft w:val="0"/>
                          <w:marRight w:val="0"/>
                          <w:marTop w:val="0"/>
                          <w:marBottom w:val="0"/>
                          <w:divBdr>
                            <w:top w:val="none" w:sz="0" w:space="0" w:color="auto"/>
                            <w:left w:val="none" w:sz="0" w:space="0" w:color="auto"/>
                            <w:bottom w:val="none" w:sz="0" w:space="0" w:color="auto"/>
                            <w:right w:val="none" w:sz="0" w:space="0" w:color="auto"/>
                          </w:divBdr>
                          <w:divsChild>
                            <w:div w:id="2037845941">
                              <w:marLeft w:val="0"/>
                              <w:marRight w:val="0"/>
                              <w:marTop w:val="120"/>
                              <w:marBottom w:val="360"/>
                              <w:divBdr>
                                <w:top w:val="none" w:sz="0" w:space="0" w:color="auto"/>
                                <w:left w:val="none" w:sz="0" w:space="0" w:color="auto"/>
                                <w:bottom w:val="none" w:sz="0" w:space="0" w:color="auto"/>
                                <w:right w:val="none" w:sz="0" w:space="0" w:color="auto"/>
                              </w:divBdr>
                              <w:divsChild>
                                <w:div w:id="2037845894">
                                  <w:marLeft w:val="420"/>
                                  <w:marRight w:val="0"/>
                                  <w:marTop w:val="0"/>
                                  <w:marBottom w:val="0"/>
                                  <w:divBdr>
                                    <w:top w:val="none" w:sz="0" w:space="0" w:color="auto"/>
                                    <w:left w:val="none" w:sz="0" w:space="0" w:color="auto"/>
                                    <w:bottom w:val="none" w:sz="0" w:space="0" w:color="auto"/>
                                    <w:right w:val="none" w:sz="0" w:space="0" w:color="auto"/>
                                  </w:divBdr>
                                  <w:divsChild>
                                    <w:div w:id="20378459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713">
      <w:marLeft w:val="0"/>
      <w:marRight w:val="0"/>
      <w:marTop w:val="0"/>
      <w:marBottom w:val="0"/>
      <w:divBdr>
        <w:top w:val="none" w:sz="0" w:space="0" w:color="auto"/>
        <w:left w:val="none" w:sz="0" w:space="0" w:color="auto"/>
        <w:bottom w:val="none" w:sz="0" w:space="0" w:color="auto"/>
        <w:right w:val="none" w:sz="0" w:space="0" w:color="auto"/>
      </w:divBdr>
      <w:divsChild>
        <w:div w:id="2037845846">
          <w:marLeft w:val="0"/>
          <w:marRight w:val="1"/>
          <w:marTop w:val="0"/>
          <w:marBottom w:val="0"/>
          <w:divBdr>
            <w:top w:val="none" w:sz="0" w:space="0" w:color="auto"/>
            <w:left w:val="none" w:sz="0" w:space="0" w:color="auto"/>
            <w:bottom w:val="none" w:sz="0" w:space="0" w:color="auto"/>
            <w:right w:val="none" w:sz="0" w:space="0" w:color="auto"/>
          </w:divBdr>
          <w:divsChild>
            <w:div w:id="2037845727">
              <w:marLeft w:val="0"/>
              <w:marRight w:val="0"/>
              <w:marTop w:val="0"/>
              <w:marBottom w:val="0"/>
              <w:divBdr>
                <w:top w:val="none" w:sz="0" w:space="0" w:color="auto"/>
                <w:left w:val="none" w:sz="0" w:space="0" w:color="auto"/>
                <w:bottom w:val="none" w:sz="0" w:space="0" w:color="auto"/>
                <w:right w:val="none" w:sz="0" w:space="0" w:color="auto"/>
              </w:divBdr>
              <w:divsChild>
                <w:div w:id="2037845688">
                  <w:marLeft w:val="0"/>
                  <w:marRight w:val="1"/>
                  <w:marTop w:val="0"/>
                  <w:marBottom w:val="0"/>
                  <w:divBdr>
                    <w:top w:val="none" w:sz="0" w:space="0" w:color="auto"/>
                    <w:left w:val="none" w:sz="0" w:space="0" w:color="auto"/>
                    <w:bottom w:val="none" w:sz="0" w:space="0" w:color="auto"/>
                    <w:right w:val="none" w:sz="0" w:space="0" w:color="auto"/>
                  </w:divBdr>
                  <w:divsChild>
                    <w:div w:id="2037845734">
                      <w:marLeft w:val="0"/>
                      <w:marRight w:val="0"/>
                      <w:marTop w:val="0"/>
                      <w:marBottom w:val="0"/>
                      <w:divBdr>
                        <w:top w:val="none" w:sz="0" w:space="0" w:color="auto"/>
                        <w:left w:val="none" w:sz="0" w:space="0" w:color="auto"/>
                        <w:bottom w:val="none" w:sz="0" w:space="0" w:color="auto"/>
                        <w:right w:val="none" w:sz="0" w:space="0" w:color="auto"/>
                      </w:divBdr>
                      <w:divsChild>
                        <w:div w:id="2037845720">
                          <w:marLeft w:val="0"/>
                          <w:marRight w:val="0"/>
                          <w:marTop w:val="0"/>
                          <w:marBottom w:val="0"/>
                          <w:divBdr>
                            <w:top w:val="none" w:sz="0" w:space="0" w:color="auto"/>
                            <w:left w:val="none" w:sz="0" w:space="0" w:color="auto"/>
                            <w:bottom w:val="none" w:sz="0" w:space="0" w:color="auto"/>
                            <w:right w:val="none" w:sz="0" w:space="0" w:color="auto"/>
                          </w:divBdr>
                          <w:divsChild>
                            <w:div w:id="2037845794">
                              <w:marLeft w:val="0"/>
                              <w:marRight w:val="0"/>
                              <w:marTop w:val="120"/>
                              <w:marBottom w:val="360"/>
                              <w:divBdr>
                                <w:top w:val="none" w:sz="0" w:space="0" w:color="auto"/>
                                <w:left w:val="none" w:sz="0" w:space="0" w:color="auto"/>
                                <w:bottom w:val="none" w:sz="0" w:space="0" w:color="auto"/>
                                <w:right w:val="none" w:sz="0" w:space="0" w:color="auto"/>
                              </w:divBdr>
                              <w:divsChild>
                                <w:div w:id="2037845732">
                                  <w:marLeft w:val="420"/>
                                  <w:marRight w:val="0"/>
                                  <w:marTop w:val="0"/>
                                  <w:marBottom w:val="0"/>
                                  <w:divBdr>
                                    <w:top w:val="none" w:sz="0" w:space="0" w:color="auto"/>
                                    <w:left w:val="none" w:sz="0" w:space="0" w:color="auto"/>
                                    <w:bottom w:val="none" w:sz="0" w:space="0" w:color="auto"/>
                                    <w:right w:val="none" w:sz="0" w:space="0" w:color="auto"/>
                                  </w:divBdr>
                                  <w:divsChild>
                                    <w:div w:id="20378457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737">
      <w:marLeft w:val="0"/>
      <w:marRight w:val="0"/>
      <w:marTop w:val="0"/>
      <w:marBottom w:val="0"/>
      <w:divBdr>
        <w:top w:val="none" w:sz="0" w:space="0" w:color="auto"/>
        <w:left w:val="none" w:sz="0" w:space="0" w:color="auto"/>
        <w:bottom w:val="none" w:sz="0" w:space="0" w:color="auto"/>
        <w:right w:val="none" w:sz="0" w:space="0" w:color="auto"/>
      </w:divBdr>
      <w:divsChild>
        <w:div w:id="2037845804">
          <w:marLeft w:val="0"/>
          <w:marRight w:val="1"/>
          <w:marTop w:val="0"/>
          <w:marBottom w:val="0"/>
          <w:divBdr>
            <w:top w:val="none" w:sz="0" w:space="0" w:color="auto"/>
            <w:left w:val="none" w:sz="0" w:space="0" w:color="auto"/>
            <w:bottom w:val="none" w:sz="0" w:space="0" w:color="auto"/>
            <w:right w:val="none" w:sz="0" w:space="0" w:color="auto"/>
          </w:divBdr>
          <w:divsChild>
            <w:div w:id="2037845823">
              <w:marLeft w:val="0"/>
              <w:marRight w:val="0"/>
              <w:marTop w:val="0"/>
              <w:marBottom w:val="0"/>
              <w:divBdr>
                <w:top w:val="none" w:sz="0" w:space="0" w:color="auto"/>
                <w:left w:val="none" w:sz="0" w:space="0" w:color="auto"/>
                <w:bottom w:val="none" w:sz="0" w:space="0" w:color="auto"/>
                <w:right w:val="none" w:sz="0" w:space="0" w:color="auto"/>
              </w:divBdr>
              <w:divsChild>
                <w:div w:id="2037845921">
                  <w:marLeft w:val="0"/>
                  <w:marRight w:val="1"/>
                  <w:marTop w:val="0"/>
                  <w:marBottom w:val="0"/>
                  <w:divBdr>
                    <w:top w:val="none" w:sz="0" w:space="0" w:color="auto"/>
                    <w:left w:val="none" w:sz="0" w:space="0" w:color="auto"/>
                    <w:bottom w:val="none" w:sz="0" w:space="0" w:color="auto"/>
                    <w:right w:val="none" w:sz="0" w:space="0" w:color="auto"/>
                  </w:divBdr>
                  <w:divsChild>
                    <w:div w:id="2037845832">
                      <w:marLeft w:val="0"/>
                      <w:marRight w:val="0"/>
                      <w:marTop w:val="0"/>
                      <w:marBottom w:val="0"/>
                      <w:divBdr>
                        <w:top w:val="none" w:sz="0" w:space="0" w:color="auto"/>
                        <w:left w:val="none" w:sz="0" w:space="0" w:color="auto"/>
                        <w:bottom w:val="none" w:sz="0" w:space="0" w:color="auto"/>
                        <w:right w:val="none" w:sz="0" w:space="0" w:color="auto"/>
                      </w:divBdr>
                      <w:divsChild>
                        <w:div w:id="2037845776">
                          <w:marLeft w:val="0"/>
                          <w:marRight w:val="0"/>
                          <w:marTop w:val="0"/>
                          <w:marBottom w:val="0"/>
                          <w:divBdr>
                            <w:top w:val="none" w:sz="0" w:space="0" w:color="auto"/>
                            <w:left w:val="none" w:sz="0" w:space="0" w:color="auto"/>
                            <w:bottom w:val="none" w:sz="0" w:space="0" w:color="auto"/>
                            <w:right w:val="none" w:sz="0" w:space="0" w:color="auto"/>
                          </w:divBdr>
                          <w:divsChild>
                            <w:div w:id="2037845879">
                              <w:marLeft w:val="0"/>
                              <w:marRight w:val="0"/>
                              <w:marTop w:val="120"/>
                              <w:marBottom w:val="360"/>
                              <w:divBdr>
                                <w:top w:val="none" w:sz="0" w:space="0" w:color="auto"/>
                                <w:left w:val="none" w:sz="0" w:space="0" w:color="auto"/>
                                <w:bottom w:val="none" w:sz="0" w:space="0" w:color="auto"/>
                                <w:right w:val="none" w:sz="0" w:space="0" w:color="auto"/>
                              </w:divBdr>
                              <w:divsChild>
                                <w:div w:id="2037845783">
                                  <w:marLeft w:val="420"/>
                                  <w:marRight w:val="0"/>
                                  <w:marTop w:val="0"/>
                                  <w:marBottom w:val="0"/>
                                  <w:divBdr>
                                    <w:top w:val="none" w:sz="0" w:space="0" w:color="auto"/>
                                    <w:left w:val="none" w:sz="0" w:space="0" w:color="auto"/>
                                    <w:bottom w:val="none" w:sz="0" w:space="0" w:color="auto"/>
                                    <w:right w:val="none" w:sz="0" w:space="0" w:color="auto"/>
                                  </w:divBdr>
                                  <w:divsChild>
                                    <w:div w:id="20378457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738">
      <w:marLeft w:val="0"/>
      <w:marRight w:val="0"/>
      <w:marTop w:val="0"/>
      <w:marBottom w:val="0"/>
      <w:divBdr>
        <w:top w:val="none" w:sz="0" w:space="0" w:color="auto"/>
        <w:left w:val="none" w:sz="0" w:space="0" w:color="auto"/>
        <w:bottom w:val="none" w:sz="0" w:space="0" w:color="auto"/>
        <w:right w:val="none" w:sz="0" w:space="0" w:color="auto"/>
      </w:divBdr>
    </w:div>
    <w:div w:id="2037845744">
      <w:marLeft w:val="0"/>
      <w:marRight w:val="0"/>
      <w:marTop w:val="0"/>
      <w:marBottom w:val="0"/>
      <w:divBdr>
        <w:top w:val="none" w:sz="0" w:space="0" w:color="auto"/>
        <w:left w:val="none" w:sz="0" w:space="0" w:color="auto"/>
        <w:bottom w:val="none" w:sz="0" w:space="0" w:color="auto"/>
        <w:right w:val="none" w:sz="0" w:space="0" w:color="auto"/>
      </w:divBdr>
      <w:divsChild>
        <w:div w:id="2037845803">
          <w:marLeft w:val="0"/>
          <w:marRight w:val="1"/>
          <w:marTop w:val="0"/>
          <w:marBottom w:val="0"/>
          <w:divBdr>
            <w:top w:val="none" w:sz="0" w:space="0" w:color="auto"/>
            <w:left w:val="none" w:sz="0" w:space="0" w:color="auto"/>
            <w:bottom w:val="none" w:sz="0" w:space="0" w:color="auto"/>
            <w:right w:val="none" w:sz="0" w:space="0" w:color="auto"/>
          </w:divBdr>
          <w:divsChild>
            <w:div w:id="2037845869">
              <w:marLeft w:val="0"/>
              <w:marRight w:val="0"/>
              <w:marTop w:val="0"/>
              <w:marBottom w:val="0"/>
              <w:divBdr>
                <w:top w:val="none" w:sz="0" w:space="0" w:color="auto"/>
                <w:left w:val="none" w:sz="0" w:space="0" w:color="auto"/>
                <w:bottom w:val="none" w:sz="0" w:space="0" w:color="auto"/>
                <w:right w:val="none" w:sz="0" w:space="0" w:color="auto"/>
              </w:divBdr>
              <w:divsChild>
                <w:div w:id="2037845769">
                  <w:marLeft w:val="0"/>
                  <w:marRight w:val="1"/>
                  <w:marTop w:val="0"/>
                  <w:marBottom w:val="0"/>
                  <w:divBdr>
                    <w:top w:val="none" w:sz="0" w:space="0" w:color="auto"/>
                    <w:left w:val="none" w:sz="0" w:space="0" w:color="auto"/>
                    <w:bottom w:val="none" w:sz="0" w:space="0" w:color="auto"/>
                    <w:right w:val="none" w:sz="0" w:space="0" w:color="auto"/>
                  </w:divBdr>
                  <w:divsChild>
                    <w:div w:id="2037845896">
                      <w:marLeft w:val="0"/>
                      <w:marRight w:val="0"/>
                      <w:marTop w:val="0"/>
                      <w:marBottom w:val="0"/>
                      <w:divBdr>
                        <w:top w:val="none" w:sz="0" w:space="0" w:color="auto"/>
                        <w:left w:val="none" w:sz="0" w:space="0" w:color="auto"/>
                        <w:bottom w:val="none" w:sz="0" w:space="0" w:color="auto"/>
                        <w:right w:val="none" w:sz="0" w:space="0" w:color="auto"/>
                      </w:divBdr>
                      <w:divsChild>
                        <w:div w:id="2037845938">
                          <w:marLeft w:val="0"/>
                          <w:marRight w:val="0"/>
                          <w:marTop w:val="0"/>
                          <w:marBottom w:val="0"/>
                          <w:divBdr>
                            <w:top w:val="none" w:sz="0" w:space="0" w:color="auto"/>
                            <w:left w:val="none" w:sz="0" w:space="0" w:color="auto"/>
                            <w:bottom w:val="none" w:sz="0" w:space="0" w:color="auto"/>
                            <w:right w:val="none" w:sz="0" w:space="0" w:color="auto"/>
                          </w:divBdr>
                          <w:divsChild>
                            <w:div w:id="2037845918">
                              <w:marLeft w:val="0"/>
                              <w:marRight w:val="0"/>
                              <w:marTop w:val="120"/>
                              <w:marBottom w:val="360"/>
                              <w:divBdr>
                                <w:top w:val="none" w:sz="0" w:space="0" w:color="auto"/>
                                <w:left w:val="none" w:sz="0" w:space="0" w:color="auto"/>
                                <w:bottom w:val="none" w:sz="0" w:space="0" w:color="auto"/>
                                <w:right w:val="none" w:sz="0" w:space="0" w:color="auto"/>
                              </w:divBdr>
                              <w:divsChild>
                                <w:div w:id="2037845843">
                                  <w:marLeft w:val="420"/>
                                  <w:marRight w:val="0"/>
                                  <w:marTop w:val="0"/>
                                  <w:marBottom w:val="0"/>
                                  <w:divBdr>
                                    <w:top w:val="none" w:sz="0" w:space="0" w:color="auto"/>
                                    <w:left w:val="none" w:sz="0" w:space="0" w:color="auto"/>
                                    <w:bottom w:val="none" w:sz="0" w:space="0" w:color="auto"/>
                                    <w:right w:val="none" w:sz="0" w:space="0" w:color="auto"/>
                                  </w:divBdr>
                                  <w:divsChild>
                                    <w:div w:id="20378459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746">
      <w:marLeft w:val="0"/>
      <w:marRight w:val="0"/>
      <w:marTop w:val="0"/>
      <w:marBottom w:val="0"/>
      <w:divBdr>
        <w:top w:val="none" w:sz="0" w:space="0" w:color="auto"/>
        <w:left w:val="none" w:sz="0" w:space="0" w:color="auto"/>
        <w:bottom w:val="none" w:sz="0" w:space="0" w:color="auto"/>
        <w:right w:val="none" w:sz="0" w:space="0" w:color="auto"/>
      </w:divBdr>
      <w:divsChild>
        <w:div w:id="2037845922">
          <w:marLeft w:val="0"/>
          <w:marRight w:val="1"/>
          <w:marTop w:val="0"/>
          <w:marBottom w:val="0"/>
          <w:divBdr>
            <w:top w:val="none" w:sz="0" w:space="0" w:color="auto"/>
            <w:left w:val="none" w:sz="0" w:space="0" w:color="auto"/>
            <w:bottom w:val="none" w:sz="0" w:space="0" w:color="auto"/>
            <w:right w:val="none" w:sz="0" w:space="0" w:color="auto"/>
          </w:divBdr>
          <w:divsChild>
            <w:div w:id="2037845870">
              <w:marLeft w:val="0"/>
              <w:marRight w:val="0"/>
              <w:marTop w:val="0"/>
              <w:marBottom w:val="0"/>
              <w:divBdr>
                <w:top w:val="none" w:sz="0" w:space="0" w:color="auto"/>
                <w:left w:val="none" w:sz="0" w:space="0" w:color="auto"/>
                <w:bottom w:val="none" w:sz="0" w:space="0" w:color="auto"/>
                <w:right w:val="none" w:sz="0" w:space="0" w:color="auto"/>
              </w:divBdr>
              <w:divsChild>
                <w:div w:id="2037845834">
                  <w:marLeft w:val="0"/>
                  <w:marRight w:val="1"/>
                  <w:marTop w:val="0"/>
                  <w:marBottom w:val="0"/>
                  <w:divBdr>
                    <w:top w:val="none" w:sz="0" w:space="0" w:color="auto"/>
                    <w:left w:val="none" w:sz="0" w:space="0" w:color="auto"/>
                    <w:bottom w:val="none" w:sz="0" w:space="0" w:color="auto"/>
                    <w:right w:val="none" w:sz="0" w:space="0" w:color="auto"/>
                  </w:divBdr>
                  <w:divsChild>
                    <w:div w:id="2037845898">
                      <w:marLeft w:val="0"/>
                      <w:marRight w:val="0"/>
                      <w:marTop w:val="0"/>
                      <w:marBottom w:val="0"/>
                      <w:divBdr>
                        <w:top w:val="none" w:sz="0" w:space="0" w:color="auto"/>
                        <w:left w:val="none" w:sz="0" w:space="0" w:color="auto"/>
                        <w:bottom w:val="none" w:sz="0" w:space="0" w:color="auto"/>
                        <w:right w:val="none" w:sz="0" w:space="0" w:color="auto"/>
                      </w:divBdr>
                      <w:divsChild>
                        <w:div w:id="2037845742">
                          <w:marLeft w:val="0"/>
                          <w:marRight w:val="0"/>
                          <w:marTop w:val="0"/>
                          <w:marBottom w:val="0"/>
                          <w:divBdr>
                            <w:top w:val="none" w:sz="0" w:space="0" w:color="auto"/>
                            <w:left w:val="none" w:sz="0" w:space="0" w:color="auto"/>
                            <w:bottom w:val="none" w:sz="0" w:space="0" w:color="auto"/>
                            <w:right w:val="none" w:sz="0" w:space="0" w:color="auto"/>
                          </w:divBdr>
                          <w:divsChild>
                            <w:div w:id="2037845695">
                              <w:marLeft w:val="0"/>
                              <w:marRight w:val="0"/>
                              <w:marTop w:val="120"/>
                              <w:marBottom w:val="360"/>
                              <w:divBdr>
                                <w:top w:val="none" w:sz="0" w:space="0" w:color="auto"/>
                                <w:left w:val="none" w:sz="0" w:space="0" w:color="auto"/>
                                <w:bottom w:val="none" w:sz="0" w:space="0" w:color="auto"/>
                                <w:right w:val="none" w:sz="0" w:space="0" w:color="auto"/>
                              </w:divBdr>
                              <w:divsChild>
                                <w:div w:id="2037845864">
                                  <w:marLeft w:val="420"/>
                                  <w:marRight w:val="0"/>
                                  <w:marTop w:val="0"/>
                                  <w:marBottom w:val="0"/>
                                  <w:divBdr>
                                    <w:top w:val="none" w:sz="0" w:space="0" w:color="auto"/>
                                    <w:left w:val="none" w:sz="0" w:space="0" w:color="auto"/>
                                    <w:bottom w:val="none" w:sz="0" w:space="0" w:color="auto"/>
                                    <w:right w:val="none" w:sz="0" w:space="0" w:color="auto"/>
                                  </w:divBdr>
                                  <w:divsChild>
                                    <w:div w:id="2037845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767">
      <w:marLeft w:val="0"/>
      <w:marRight w:val="0"/>
      <w:marTop w:val="0"/>
      <w:marBottom w:val="0"/>
      <w:divBdr>
        <w:top w:val="none" w:sz="0" w:space="0" w:color="auto"/>
        <w:left w:val="none" w:sz="0" w:space="0" w:color="auto"/>
        <w:bottom w:val="none" w:sz="0" w:space="0" w:color="auto"/>
        <w:right w:val="none" w:sz="0" w:space="0" w:color="auto"/>
      </w:divBdr>
      <w:divsChild>
        <w:div w:id="2037845806">
          <w:marLeft w:val="0"/>
          <w:marRight w:val="1"/>
          <w:marTop w:val="0"/>
          <w:marBottom w:val="0"/>
          <w:divBdr>
            <w:top w:val="none" w:sz="0" w:space="0" w:color="auto"/>
            <w:left w:val="none" w:sz="0" w:space="0" w:color="auto"/>
            <w:bottom w:val="none" w:sz="0" w:space="0" w:color="auto"/>
            <w:right w:val="none" w:sz="0" w:space="0" w:color="auto"/>
          </w:divBdr>
          <w:divsChild>
            <w:div w:id="2037845946">
              <w:marLeft w:val="0"/>
              <w:marRight w:val="0"/>
              <w:marTop w:val="0"/>
              <w:marBottom w:val="0"/>
              <w:divBdr>
                <w:top w:val="none" w:sz="0" w:space="0" w:color="auto"/>
                <w:left w:val="none" w:sz="0" w:space="0" w:color="auto"/>
                <w:bottom w:val="none" w:sz="0" w:space="0" w:color="auto"/>
                <w:right w:val="none" w:sz="0" w:space="0" w:color="auto"/>
              </w:divBdr>
              <w:divsChild>
                <w:div w:id="2037845717">
                  <w:marLeft w:val="0"/>
                  <w:marRight w:val="1"/>
                  <w:marTop w:val="0"/>
                  <w:marBottom w:val="0"/>
                  <w:divBdr>
                    <w:top w:val="none" w:sz="0" w:space="0" w:color="auto"/>
                    <w:left w:val="none" w:sz="0" w:space="0" w:color="auto"/>
                    <w:bottom w:val="none" w:sz="0" w:space="0" w:color="auto"/>
                    <w:right w:val="none" w:sz="0" w:space="0" w:color="auto"/>
                  </w:divBdr>
                  <w:divsChild>
                    <w:div w:id="2037845711">
                      <w:marLeft w:val="0"/>
                      <w:marRight w:val="0"/>
                      <w:marTop w:val="0"/>
                      <w:marBottom w:val="0"/>
                      <w:divBdr>
                        <w:top w:val="none" w:sz="0" w:space="0" w:color="auto"/>
                        <w:left w:val="none" w:sz="0" w:space="0" w:color="auto"/>
                        <w:bottom w:val="none" w:sz="0" w:space="0" w:color="auto"/>
                        <w:right w:val="none" w:sz="0" w:space="0" w:color="auto"/>
                      </w:divBdr>
                      <w:divsChild>
                        <w:div w:id="2037845700">
                          <w:marLeft w:val="0"/>
                          <w:marRight w:val="0"/>
                          <w:marTop w:val="0"/>
                          <w:marBottom w:val="0"/>
                          <w:divBdr>
                            <w:top w:val="none" w:sz="0" w:space="0" w:color="auto"/>
                            <w:left w:val="none" w:sz="0" w:space="0" w:color="auto"/>
                            <w:bottom w:val="none" w:sz="0" w:space="0" w:color="auto"/>
                            <w:right w:val="none" w:sz="0" w:space="0" w:color="auto"/>
                          </w:divBdr>
                          <w:divsChild>
                            <w:div w:id="2037845926">
                              <w:marLeft w:val="0"/>
                              <w:marRight w:val="0"/>
                              <w:marTop w:val="120"/>
                              <w:marBottom w:val="360"/>
                              <w:divBdr>
                                <w:top w:val="none" w:sz="0" w:space="0" w:color="auto"/>
                                <w:left w:val="none" w:sz="0" w:space="0" w:color="auto"/>
                                <w:bottom w:val="none" w:sz="0" w:space="0" w:color="auto"/>
                                <w:right w:val="none" w:sz="0" w:space="0" w:color="auto"/>
                              </w:divBdr>
                              <w:divsChild>
                                <w:div w:id="2037845905">
                                  <w:marLeft w:val="420"/>
                                  <w:marRight w:val="0"/>
                                  <w:marTop w:val="0"/>
                                  <w:marBottom w:val="0"/>
                                  <w:divBdr>
                                    <w:top w:val="none" w:sz="0" w:space="0" w:color="auto"/>
                                    <w:left w:val="none" w:sz="0" w:space="0" w:color="auto"/>
                                    <w:bottom w:val="none" w:sz="0" w:space="0" w:color="auto"/>
                                    <w:right w:val="none" w:sz="0" w:space="0" w:color="auto"/>
                                  </w:divBdr>
                                  <w:divsChild>
                                    <w:div w:id="2037845755">
                                      <w:marLeft w:val="0"/>
                                      <w:marRight w:val="0"/>
                                      <w:marTop w:val="0"/>
                                      <w:marBottom w:val="0"/>
                                      <w:divBdr>
                                        <w:top w:val="none" w:sz="0" w:space="0" w:color="auto"/>
                                        <w:left w:val="none" w:sz="0" w:space="0" w:color="auto"/>
                                        <w:bottom w:val="none" w:sz="0" w:space="0" w:color="auto"/>
                                        <w:right w:val="none" w:sz="0" w:space="0" w:color="auto"/>
                                      </w:divBdr>
                                      <w:divsChild>
                                        <w:div w:id="20378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5777">
      <w:marLeft w:val="0"/>
      <w:marRight w:val="0"/>
      <w:marTop w:val="0"/>
      <w:marBottom w:val="0"/>
      <w:divBdr>
        <w:top w:val="none" w:sz="0" w:space="0" w:color="auto"/>
        <w:left w:val="none" w:sz="0" w:space="0" w:color="auto"/>
        <w:bottom w:val="none" w:sz="0" w:space="0" w:color="auto"/>
        <w:right w:val="none" w:sz="0" w:space="0" w:color="auto"/>
      </w:divBdr>
      <w:divsChild>
        <w:div w:id="2037845890">
          <w:marLeft w:val="0"/>
          <w:marRight w:val="1"/>
          <w:marTop w:val="0"/>
          <w:marBottom w:val="0"/>
          <w:divBdr>
            <w:top w:val="none" w:sz="0" w:space="0" w:color="auto"/>
            <w:left w:val="none" w:sz="0" w:space="0" w:color="auto"/>
            <w:bottom w:val="none" w:sz="0" w:space="0" w:color="auto"/>
            <w:right w:val="none" w:sz="0" w:space="0" w:color="auto"/>
          </w:divBdr>
          <w:divsChild>
            <w:div w:id="2037845822">
              <w:marLeft w:val="0"/>
              <w:marRight w:val="0"/>
              <w:marTop w:val="0"/>
              <w:marBottom w:val="0"/>
              <w:divBdr>
                <w:top w:val="none" w:sz="0" w:space="0" w:color="auto"/>
                <w:left w:val="none" w:sz="0" w:space="0" w:color="auto"/>
                <w:bottom w:val="none" w:sz="0" w:space="0" w:color="auto"/>
                <w:right w:val="none" w:sz="0" w:space="0" w:color="auto"/>
              </w:divBdr>
              <w:divsChild>
                <w:div w:id="2037845748">
                  <w:marLeft w:val="0"/>
                  <w:marRight w:val="1"/>
                  <w:marTop w:val="0"/>
                  <w:marBottom w:val="0"/>
                  <w:divBdr>
                    <w:top w:val="none" w:sz="0" w:space="0" w:color="auto"/>
                    <w:left w:val="none" w:sz="0" w:space="0" w:color="auto"/>
                    <w:bottom w:val="none" w:sz="0" w:space="0" w:color="auto"/>
                    <w:right w:val="none" w:sz="0" w:space="0" w:color="auto"/>
                  </w:divBdr>
                  <w:divsChild>
                    <w:div w:id="2037845844">
                      <w:marLeft w:val="0"/>
                      <w:marRight w:val="0"/>
                      <w:marTop w:val="0"/>
                      <w:marBottom w:val="0"/>
                      <w:divBdr>
                        <w:top w:val="none" w:sz="0" w:space="0" w:color="auto"/>
                        <w:left w:val="none" w:sz="0" w:space="0" w:color="auto"/>
                        <w:bottom w:val="none" w:sz="0" w:space="0" w:color="auto"/>
                        <w:right w:val="none" w:sz="0" w:space="0" w:color="auto"/>
                      </w:divBdr>
                      <w:divsChild>
                        <w:div w:id="2037845852">
                          <w:marLeft w:val="0"/>
                          <w:marRight w:val="0"/>
                          <w:marTop w:val="0"/>
                          <w:marBottom w:val="0"/>
                          <w:divBdr>
                            <w:top w:val="none" w:sz="0" w:space="0" w:color="auto"/>
                            <w:left w:val="none" w:sz="0" w:space="0" w:color="auto"/>
                            <w:bottom w:val="none" w:sz="0" w:space="0" w:color="auto"/>
                            <w:right w:val="none" w:sz="0" w:space="0" w:color="auto"/>
                          </w:divBdr>
                          <w:divsChild>
                            <w:div w:id="2037845942">
                              <w:marLeft w:val="0"/>
                              <w:marRight w:val="0"/>
                              <w:marTop w:val="120"/>
                              <w:marBottom w:val="360"/>
                              <w:divBdr>
                                <w:top w:val="none" w:sz="0" w:space="0" w:color="auto"/>
                                <w:left w:val="none" w:sz="0" w:space="0" w:color="auto"/>
                                <w:bottom w:val="none" w:sz="0" w:space="0" w:color="auto"/>
                                <w:right w:val="none" w:sz="0" w:space="0" w:color="auto"/>
                              </w:divBdr>
                              <w:divsChild>
                                <w:div w:id="2037845931">
                                  <w:marLeft w:val="420"/>
                                  <w:marRight w:val="0"/>
                                  <w:marTop w:val="0"/>
                                  <w:marBottom w:val="0"/>
                                  <w:divBdr>
                                    <w:top w:val="none" w:sz="0" w:space="0" w:color="auto"/>
                                    <w:left w:val="none" w:sz="0" w:space="0" w:color="auto"/>
                                    <w:bottom w:val="none" w:sz="0" w:space="0" w:color="auto"/>
                                    <w:right w:val="none" w:sz="0" w:space="0" w:color="auto"/>
                                  </w:divBdr>
                                  <w:divsChild>
                                    <w:div w:id="20378458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788">
      <w:marLeft w:val="0"/>
      <w:marRight w:val="0"/>
      <w:marTop w:val="0"/>
      <w:marBottom w:val="0"/>
      <w:divBdr>
        <w:top w:val="none" w:sz="0" w:space="0" w:color="auto"/>
        <w:left w:val="none" w:sz="0" w:space="0" w:color="auto"/>
        <w:bottom w:val="none" w:sz="0" w:space="0" w:color="auto"/>
        <w:right w:val="none" w:sz="0" w:space="0" w:color="auto"/>
      </w:divBdr>
      <w:divsChild>
        <w:div w:id="2037845764">
          <w:marLeft w:val="0"/>
          <w:marRight w:val="1"/>
          <w:marTop w:val="0"/>
          <w:marBottom w:val="0"/>
          <w:divBdr>
            <w:top w:val="none" w:sz="0" w:space="0" w:color="auto"/>
            <w:left w:val="none" w:sz="0" w:space="0" w:color="auto"/>
            <w:bottom w:val="none" w:sz="0" w:space="0" w:color="auto"/>
            <w:right w:val="none" w:sz="0" w:space="0" w:color="auto"/>
          </w:divBdr>
          <w:divsChild>
            <w:div w:id="2037845841">
              <w:marLeft w:val="0"/>
              <w:marRight w:val="0"/>
              <w:marTop w:val="0"/>
              <w:marBottom w:val="0"/>
              <w:divBdr>
                <w:top w:val="none" w:sz="0" w:space="0" w:color="auto"/>
                <w:left w:val="none" w:sz="0" w:space="0" w:color="auto"/>
                <w:bottom w:val="none" w:sz="0" w:space="0" w:color="auto"/>
                <w:right w:val="none" w:sz="0" w:space="0" w:color="auto"/>
              </w:divBdr>
              <w:divsChild>
                <w:div w:id="2037845818">
                  <w:marLeft w:val="0"/>
                  <w:marRight w:val="1"/>
                  <w:marTop w:val="0"/>
                  <w:marBottom w:val="0"/>
                  <w:divBdr>
                    <w:top w:val="none" w:sz="0" w:space="0" w:color="auto"/>
                    <w:left w:val="none" w:sz="0" w:space="0" w:color="auto"/>
                    <w:bottom w:val="none" w:sz="0" w:space="0" w:color="auto"/>
                    <w:right w:val="none" w:sz="0" w:space="0" w:color="auto"/>
                  </w:divBdr>
                  <w:divsChild>
                    <w:div w:id="2037845829">
                      <w:marLeft w:val="0"/>
                      <w:marRight w:val="0"/>
                      <w:marTop w:val="0"/>
                      <w:marBottom w:val="0"/>
                      <w:divBdr>
                        <w:top w:val="none" w:sz="0" w:space="0" w:color="auto"/>
                        <w:left w:val="none" w:sz="0" w:space="0" w:color="auto"/>
                        <w:bottom w:val="none" w:sz="0" w:space="0" w:color="auto"/>
                        <w:right w:val="none" w:sz="0" w:space="0" w:color="auto"/>
                      </w:divBdr>
                      <w:divsChild>
                        <w:div w:id="2037845789">
                          <w:marLeft w:val="0"/>
                          <w:marRight w:val="0"/>
                          <w:marTop w:val="0"/>
                          <w:marBottom w:val="0"/>
                          <w:divBdr>
                            <w:top w:val="none" w:sz="0" w:space="0" w:color="auto"/>
                            <w:left w:val="none" w:sz="0" w:space="0" w:color="auto"/>
                            <w:bottom w:val="none" w:sz="0" w:space="0" w:color="auto"/>
                            <w:right w:val="none" w:sz="0" w:space="0" w:color="auto"/>
                          </w:divBdr>
                          <w:divsChild>
                            <w:div w:id="2037845953">
                              <w:marLeft w:val="0"/>
                              <w:marRight w:val="0"/>
                              <w:marTop w:val="120"/>
                              <w:marBottom w:val="360"/>
                              <w:divBdr>
                                <w:top w:val="none" w:sz="0" w:space="0" w:color="auto"/>
                                <w:left w:val="none" w:sz="0" w:space="0" w:color="auto"/>
                                <w:bottom w:val="none" w:sz="0" w:space="0" w:color="auto"/>
                                <w:right w:val="none" w:sz="0" w:space="0" w:color="auto"/>
                              </w:divBdr>
                              <w:divsChild>
                                <w:div w:id="2037845786">
                                  <w:marLeft w:val="0"/>
                                  <w:marRight w:val="0"/>
                                  <w:marTop w:val="0"/>
                                  <w:marBottom w:val="0"/>
                                  <w:divBdr>
                                    <w:top w:val="none" w:sz="0" w:space="0" w:color="auto"/>
                                    <w:left w:val="none" w:sz="0" w:space="0" w:color="auto"/>
                                    <w:bottom w:val="none" w:sz="0" w:space="0" w:color="auto"/>
                                    <w:right w:val="none" w:sz="0" w:space="0" w:color="auto"/>
                                  </w:divBdr>
                                  <w:divsChild>
                                    <w:div w:id="2037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801">
      <w:marLeft w:val="0"/>
      <w:marRight w:val="0"/>
      <w:marTop w:val="0"/>
      <w:marBottom w:val="0"/>
      <w:divBdr>
        <w:top w:val="none" w:sz="0" w:space="0" w:color="auto"/>
        <w:left w:val="none" w:sz="0" w:space="0" w:color="auto"/>
        <w:bottom w:val="none" w:sz="0" w:space="0" w:color="auto"/>
        <w:right w:val="none" w:sz="0" w:space="0" w:color="auto"/>
      </w:divBdr>
      <w:divsChild>
        <w:div w:id="2037845840">
          <w:marLeft w:val="0"/>
          <w:marRight w:val="1"/>
          <w:marTop w:val="0"/>
          <w:marBottom w:val="0"/>
          <w:divBdr>
            <w:top w:val="none" w:sz="0" w:space="0" w:color="auto"/>
            <w:left w:val="none" w:sz="0" w:space="0" w:color="auto"/>
            <w:bottom w:val="none" w:sz="0" w:space="0" w:color="auto"/>
            <w:right w:val="none" w:sz="0" w:space="0" w:color="auto"/>
          </w:divBdr>
          <w:divsChild>
            <w:div w:id="2037845954">
              <w:marLeft w:val="0"/>
              <w:marRight w:val="0"/>
              <w:marTop w:val="0"/>
              <w:marBottom w:val="0"/>
              <w:divBdr>
                <w:top w:val="none" w:sz="0" w:space="0" w:color="auto"/>
                <w:left w:val="none" w:sz="0" w:space="0" w:color="auto"/>
                <w:bottom w:val="none" w:sz="0" w:space="0" w:color="auto"/>
                <w:right w:val="none" w:sz="0" w:space="0" w:color="auto"/>
              </w:divBdr>
              <w:divsChild>
                <w:div w:id="2037845760">
                  <w:marLeft w:val="0"/>
                  <w:marRight w:val="1"/>
                  <w:marTop w:val="0"/>
                  <w:marBottom w:val="0"/>
                  <w:divBdr>
                    <w:top w:val="none" w:sz="0" w:space="0" w:color="auto"/>
                    <w:left w:val="none" w:sz="0" w:space="0" w:color="auto"/>
                    <w:bottom w:val="none" w:sz="0" w:space="0" w:color="auto"/>
                    <w:right w:val="none" w:sz="0" w:space="0" w:color="auto"/>
                  </w:divBdr>
                  <w:divsChild>
                    <w:div w:id="2037845817">
                      <w:marLeft w:val="0"/>
                      <w:marRight w:val="0"/>
                      <w:marTop w:val="0"/>
                      <w:marBottom w:val="0"/>
                      <w:divBdr>
                        <w:top w:val="none" w:sz="0" w:space="0" w:color="auto"/>
                        <w:left w:val="none" w:sz="0" w:space="0" w:color="auto"/>
                        <w:bottom w:val="none" w:sz="0" w:space="0" w:color="auto"/>
                        <w:right w:val="none" w:sz="0" w:space="0" w:color="auto"/>
                      </w:divBdr>
                      <w:divsChild>
                        <w:div w:id="2037845848">
                          <w:marLeft w:val="0"/>
                          <w:marRight w:val="0"/>
                          <w:marTop w:val="0"/>
                          <w:marBottom w:val="0"/>
                          <w:divBdr>
                            <w:top w:val="none" w:sz="0" w:space="0" w:color="auto"/>
                            <w:left w:val="none" w:sz="0" w:space="0" w:color="auto"/>
                            <w:bottom w:val="none" w:sz="0" w:space="0" w:color="auto"/>
                            <w:right w:val="none" w:sz="0" w:space="0" w:color="auto"/>
                          </w:divBdr>
                          <w:divsChild>
                            <w:div w:id="2037845772">
                              <w:marLeft w:val="0"/>
                              <w:marRight w:val="0"/>
                              <w:marTop w:val="120"/>
                              <w:marBottom w:val="360"/>
                              <w:divBdr>
                                <w:top w:val="none" w:sz="0" w:space="0" w:color="auto"/>
                                <w:left w:val="none" w:sz="0" w:space="0" w:color="auto"/>
                                <w:bottom w:val="none" w:sz="0" w:space="0" w:color="auto"/>
                                <w:right w:val="none" w:sz="0" w:space="0" w:color="auto"/>
                              </w:divBdr>
                              <w:divsChild>
                                <w:div w:id="2037845702">
                                  <w:marLeft w:val="420"/>
                                  <w:marRight w:val="0"/>
                                  <w:marTop w:val="0"/>
                                  <w:marBottom w:val="0"/>
                                  <w:divBdr>
                                    <w:top w:val="none" w:sz="0" w:space="0" w:color="auto"/>
                                    <w:left w:val="none" w:sz="0" w:space="0" w:color="auto"/>
                                    <w:bottom w:val="none" w:sz="0" w:space="0" w:color="auto"/>
                                    <w:right w:val="none" w:sz="0" w:space="0" w:color="auto"/>
                                  </w:divBdr>
                                  <w:divsChild>
                                    <w:div w:id="20378458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811">
      <w:marLeft w:val="0"/>
      <w:marRight w:val="0"/>
      <w:marTop w:val="0"/>
      <w:marBottom w:val="0"/>
      <w:divBdr>
        <w:top w:val="none" w:sz="0" w:space="0" w:color="auto"/>
        <w:left w:val="none" w:sz="0" w:space="0" w:color="auto"/>
        <w:bottom w:val="none" w:sz="0" w:space="0" w:color="auto"/>
        <w:right w:val="none" w:sz="0" w:space="0" w:color="auto"/>
      </w:divBdr>
      <w:divsChild>
        <w:div w:id="2037845845">
          <w:marLeft w:val="0"/>
          <w:marRight w:val="1"/>
          <w:marTop w:val="0"/>
          <w:marBottom w:val="0"/>
          <w:divBdr>
            <w:top w:val="none" w:sz="0" w:space="0" w:color="auto"/>
            <w:left w:val="none" w:sz="0" w:space="0" w:color="auto"/>
            <w:bottom w:val="none" w:sz="0" w:space="0" w:color="auto"/>
            <w:right w:val="none" w:sz="0" w:space="0" w:color="auto"/>
          </w:divBdr>
          <w:divsChild>
            <w:div w:id="2037845957">
              <w:marLeft w:val="0"/>
              <w:marRight w:val="0"/>
              <w:marTop w:val="0"/>
              <w:marBottom w:val="0"/>
              <w:divBdr>
                <w:top w:val="none" w:sz="0" w:space="0" w:color="auto"/>
                <w:left w:val="none" w:sz="0" w:space="0" w:color="auto"/>
                <w:bottom w:val="none" w:sz="0" w:space="0" w:color="auto"/>
                <w:right w:val="none" w:sz="0" w:space="0" w:color="auto"/>
              </w:divBdr>
              <w:divsChild>
                <w:div w:id="2037845859">
                  <w:marLeft w:val="0"/>
                  <w:marRight w:val="1"/>
                  <w:marTop w:val="0"/>
                  <w:marBottom w:val="0"/>
                  <w:divBdr>
                    <w:top w:val="none" w:sz="0" w:space="0" w:color="auto"/>
                    <w:left w:val="none" w:sz="0" w:space="0" w:color="auto"/>
                    <w:bottom w:val="none" w:sz="0" w:space="0" w:color="auto"/>
                    <w:right w:val="none" w:sz="0" w:space="0" w:color="auto"/>
                  </w:divBdr>
                  <w:divsChild>
                    <w:div w:id="2037845691">
                      <w:marLeft w:val="0"/>
                      <w:marRight w:val="0"/>
                      <w:marTop w:val="0"/>
                      <w:marBottom w:val="0"/>
                      <w:divBdr>
                        <w:top w:val="none" w:sz="0" w:space="0" w:color="auto"/>
                        <w:left w:val="none" w:sz="0" w:space="0" w:color="auto"/>
                        <w:bottom w:val="none" w:sz="0" w:space="0" w:color="auto"/>
                        <w:right w:val="none" w:sz="0" w:space="0" w:color="auto"/>
                      </w:divBdr>
                      <w:divsChild>
                        <w:div w:id="2037845775">
                          <w:marLeft w:val="0"/>
                          <w:marRight w:val="0"/>
                          <w:marTop w:val="0"/>
                          <w:marBottom w:val="0"/>
                          <w:divBdr>
                            <w:top w:val="none" w:sz="0" w:space="0" w:color="auto"/>
                            <w:left w:val="none" w:sz="0" w:space="0" w:color="auto"/>
                            <w:bottom w:val="none" w:sz="0" w:space="0" w:color="auto"/>
                            <w:right w:val="none" w:sz="0" w:space="0" w:color="auto"/>
                          </w:divBdr>
                          <w:divsChild>
                            <w:div w:id="2037845966">
                              <w:marLeft w:val="0"/>
                              <w:marRight w:val="0"/>
                              <w:marTop w:val="120"/>
                              <w:marBottom w:val="360"/>
                              <w:divBdr>
                                <w:top w:val="none" w:sz="0" w:space="0" w:color="auto"/>
                                <w:left w:val="none" w:sz="0" w:space="0" w:color="auto"/>
                                <w:bottom w:val="none" w:sz="0" w:space="0" w:color="auto"/>
                                <w:right w:val="none" w:sz="0" w:space="0" w:color="auto"/>
                              </w:divBdr>
                              <w:divsChild>
                                <w:div w:id="2037845792">
                                  <w:marLeft w:val="420"/>
                                  <w:marRight w:val="0"/>
                                  <w:marTop w:val="0"/>
                                  <w:marBottom w:val="0"/>
                                  <w:divBdr>
                                    <w:top w:val="none" w:sz="0" w:space="0" w:color="auto"/>
                                    <w:left w:val="none" w:sz="0" w:space="0" w:color="auto"/>
                                    <w:bottom w:val="none" w:sz="0" w:space="0" w:color="auto"/>
                                    <w:right w:val="none" w:sz="0" w:space="0" w:color="auto"/>
                                  </w:divBdr>
                                  <w:divsChild>
                                    <w:div w:id="2037845733">
                                      <w:marLeft w:val="0"/>
                                      <w:marRight w:val="0"/>
                                      <w:marTop w:val="0"/>
                                      <w:marBottom w:val="0"/>
                                      <w:divBdr>
                                        <w:top w:val="none" w:sz="0" w:space="0" w:color="auto"/>
                                        <w:left w:val="none" w:sz="0" w:space="0" w:color="auto"/>
                                        <w:bottom w:val="none" w:sz="0" w:space="0" w:color="auto"/>
                                        <w:right w:val="none" w:sz="0" w:space="0" w:color="auto"/>
                                      </w:divBdr>
                                      <w:divsChild>
                                        <w:div w:id="20378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5819">
      <w:marLeft w:val="0"/>
      <w:marRight w:val="0"/>
      <w:marTop w:val="0"/>
      <w:marBottom w:val="0"/>
      <w:divBdr>
        <w:top w:val="none" w:sz="0" w:space="0" w:color="auto"/>
        <w:left w:val="none" w:sz="0" w:space="0" w:color="auto"/>
        <w:bottom w:val="none" w:sz="0" w:space="0" w:color="auto"/>
        <w:right w:val="none" w:sz="0" w:space="0" w:color="auto"/>
      </w:divBdr>
      <w:divsChild>
        <w:div w:id="2037845768">
          <w:marLeft w:val="0"/>
          <w:marRight w:val="1"/>
          <w:marTop w:val="0"/>
          <w:marBottom w:val="0"/>
          <w:divBdr>
            <w:top w:val="none" w:sz="0" w:space="0" w:color="auto"/>
            <w:left w:val="none" w:sz="0" w:space="0" w:color="auto"/>
            <w:bottom w:val="none" w:sz="0" w:space="0" w:color="auto"/>
            <w:right w:val="none" w:sz="0" w:space="0" w:color="auto"/>
          </w:divBdr>
          <w:divsChild>
            <w:div w:id="2037845824">
              <w:marLeft w:val="0"/>
              <w:marRight w:val="0"/>
              <w:marTop w:val="0"/>
              <w:marBottom w:val="0"/>
              <w:divBdr>
                <w:top w:val="none" w:sz="0" w:space="0" w:color="auto"/>
                <w:left w:val="none" w:sz="0" w:space="0" w:color="auto"/>
                <w:bottom w:val="none" w:sz="0" w:space="0" w:color="auto"/>
                <w:right w:val="none" w:sz="0" w:space="0" w:color="auto"/>
              </w:divBdr>
              <w:divsChild>
                <w:div w:id="2037845724">
                  <w:marLeft w:val="0"/>
                  <w:marRight w:val="1"/>
                  <w:marTop w:val="0"/>
                  <w:marBottom w:val="0"/>
                  <w:divBdr>
                    <w:top w:val="none" w:sz="0" w:space="0" w:color="auto"/>
                    <w:left w:val="none" w:sz="0" w:space="0" w:color="auto"/>
                    <w:bottom w:val="none" w:sz="0" w:space="0" w:color="auto"/>
                    <w:right w:val="none" w:sz="0" w:space="0" w:color="auto"/>
                  </w:divBdr>
                  <w:divsChild>
                    <w:div w:id="2037845961">
                      <w:marLeft w:val="0"/>
                      <w:marRight w:val="0"/>
                      <w:marTop w:val="0"/>
                      <w:marBottom w:val="0"/>
                      <w:divBdr>
                        <w:top w:val="none" w:sz="0" w:space="0" w:color="auto"/>
                        <w:left w:val="none" w:sz="0" w:space="0" w:color="auto"/>
                        <w:bottom w:val="none" w:sz="0" w:space="0" w:color="auto"/>
                        <w:right w:val="none" w:sz="0" w:space="0" w:color="auto"/>
                      </w:divBdr>
                      <w:divsChild>
                        <w:div w:id="2037845929">
                          <w:marLeft w:val="0"/>
                          <w:marRight w:val="0"/>
                          <w:marTop w:val="0"/>
                          <w:marBottom w:val="0"/>
                          <w:divBdr>
                            <w:top w:val="none" w:sz="0" w:space="0" w:color="auto"/>
                            <w:left w:val="none" w:sz="0" w:space="0" w:color="auto"/>
                            <w:bottom w:val="none" w:sz="0" w:space="0" w:color="auto"/>
                            <w:right w:val="none" w:sz="0" w:space="0" w:color="auto"/>
                          </w:divBdr>
                          <w:divsChild>
                            <w:div w:id="2037845712">
                              <w:marLeft w:val="0"/>
                              <w:marRight w:val="0"/>
                              <w:marTop w:val="120"/>
                              <w:marBottom w:val="360"/>
                              <w:divBdr>
                                <w:top w:val="none" w:sz="0" w:space="0" w:color="auto"/>
                                <w:left w:val="none" w:sz="0" w:space="0" w:color="auto"/>
                                <w:bottom w:val="none" w:sz="0" w:space="0" w:color="auto"/>
                                <w:right w:val="none" w:sz="0" w:space="0" w:color="auto"/>
                              </w:divBdr>
                              <w:divsChild>
                                <w:div w:id="2037845739">
                                  <w:marLeft w:val="0"/>
                                  <w:marRight w:val="0"/>
                                  <w:marTop w:val="0"/>
                                  <w:marBottom w:val="0"/>
                                  <w:divBdr>
                                    <w:top w:val="none" w:sz="0" w:space="0" w:color="auto"/>
                                    <w:left w:val="none" w:sz="0" w:space="0" w:color="auto"/>
                                    <w:bottom w:val="none" w:sz="0" w:space="0" w:color="auto"/>
                                    <w:right w:val="none" w:sz="0" w:space="0" w:color="auto"/>
                                  </w:divBdr>
                                  <w:divsChild>
                                    <w:div w:id="20378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857">
      <w:marLeft w:val="0"/>
      <w:marRight w:val="0"/>
      <w:marTop w:val="0"/>
      <w:marBottom w:val="0"/>
      <w:divBdr>
        <w:top w:val="none" w:sz="0" w:space="0" w:color="auto"/>
        <w:left w:val="none" w:sz="0" w:space="0" w:color="auto"/>
        <w:bottom w:val="none" w:sz="0" w:space="0" w:color="auto"/>
        <w:right w:val="none" w:sz="0" w:space="0" w:color="auto"/>
      </w:divBdr>
      <w:divsChild>
        <w:div w:id="2037845761">
          <w:marLeft w:val="0"/>
          <w:marRight w:val="1"/>
          <w:marTop w:val="0"/>
          <w:marBottom w:val="0"/>
          <w:divBdr>
            <w:top w:val="none" w:sz="0" w:space="0" w:color="auto"/>
            <w:left w:val="none" w:sz="0" w:space="0" w:color="auto"/>
            <w:bottom w:val="none" w:sz="0" w:space="0" w:color="auto"/>
            <w:right w:val="none" w:sz="0" w:space="0" w:color="auto"/>
          </w:divBdr>
          <w:divsChild>
            <w:div w:id="2037845900">
              <w:marLeft w:val="0"/>
              <w:marRight w:val="0"/>
              <w:marTop w:val="0"/>
              <w:marBottom w:val="0"/>
              <w:divBdr>
                <w:top w:val="none" w:sz="0" w:space="0" w:color="auto"/>
                <w:left w:val="none" w:sz="0" w:space="0" w:color="auto"/>
                <w:bottom w:val="none" w:sz="0" w:space="0" w:color="auto"/>
                <w:right w:val="none" w:sz="0" w:space="0" w:color="auto"/>
              </w:divBdr>
              <w:divsChild>
                <w:div w:id="2037845893">
                  <w:marLeft w:val="0"/>
                  <w:marRight w:val="1"/>
                  <w:marTop w:val="0"/>
                  <w:marBottom w:val="0"/>
                  <w:divBdr>
                    <w:top w:val="none" w:sz="0" w:space="0" w:color="auto"/>
                    <w:left w:val="none" w:sz="0" w:space="0" w:color="auto"/>
                    <w:bottom w:val="none" w:sz="0" w:space="0" w:color="auto"/>
                    <w:right w:val="none" w:sz="0" w:space="0" w:color="auto"/>
                  </w:divBdr>
                  <w:divsChild>
                    <w:div w:id="2037845750">
                      <w:marLeft w:val="0"/>
                      <w:marRight w:val="0"/>
                      <w:marTop w:val="0"/>
                      <w:marBottom w:val="0"/>
                      <w:divBdr>
                        <w:top w:val="none" w:sz="0" w:space="0" w:color="auto"/>
                        <w:left w:val="none" w:sz="0" w:space="0" w:color="auto"/>
                        <w:bottom w:val="none" w:sz="0" w:space="0" w:color="auto"/>
                        <w:right w:val="none" w:sz="0" w:space="0" w:color="auto"/>
                      </w:divBdr>
                      <w:divsChild>
                        <w:div w:id="2037845808">
                          <w:marLeft w:val="0"/>
                          <w:marRight w:val="0"/>
                          <w:marTop w:val="0"/>
                          <w:marBottom w:val="0"/>
                          <w:divBdr>
                            <w:top w:val="none" w:sz="0" w:space="0" w:color="auto"/>
                            <w:left w:val="none" w:sz="0" w:space="0" w:color="auto"/>
                            <w:bottom w:val="none" w:sz="0" w:space="0" w:color="auto"/>
                            <w:right w:val="none" w:sz="0" w:space="0" w:color="auto"/>
                          </w:divBdr>
                          <w:divsChild>
                            <w:div w:id="2037845785">
                              <w:marLeft w:val="0"/>
                              <w:marRight w:val="0"/>
                              <w:marTop w:val="120"/>
                              <w:marBottom w:val="360"/>
                              <w:divBdr>
                                <w:top w:val="none" w:sz="0" w:space="0" w:color="auto"/>
                                <w:left w:val="none" w:sz="0" w:space="0" w:color="auto"/>
                                <w:bottom w:val="none" w:sz="0" w:space="0" w:color="auto"/>
                                <w:right w:val="none" w:sz="0" w:space="0" w:color="auto"/>
                              </w:divBdr>
                              <w:divsChild>
                                <w:div w:id="2037845862">
                                  <w:marLeft w:val="420"/>
                                  <w:marRight w:val="0"/>
                                  <w:marTop w:val="0"/>
                                  <w:marBottom w:val="0"/>
                                  <w:divBdr>
                                    <w:top w:val="none" w:sz="0" w:space="0" w:color="auto"/>
                                    <w:left w:val="none" w:sz="0" w:space="0" w:color="auto"/>
                                    <w:bottom w:val="none" w:sz="0" w:space="0" w:color="auto"/>
                                    <w:right w:val="none" w:sz="0" w:space="0" w:color="auto"/>
                                  </w:divBdr>
                                  <w:divsChild>
                                    <w:div w:id="2037845849">
                                      <w:marLeft w:val="0"/>
                                      <w:marRight w:val="0"/>
                                      <w:marTop w:val="0"/>
                                      <w:marBottom w:val="0"/>
                                      <w:divBdr>
                                        <w:top w:val="none" w:sz="0" w:space="0" w:color="auto"/>
                                        <w:left w:val="none" w:sz="0" w:space="0" w:color="auto"/>
                                        <w:bottom w:val="none" w:sz="0" w:space="0" w:color="auto"/>
                                        <w:right w:val="none" w:sz="0" w:space="0" w:color="auto"/>
                                      </w:divBdr>
                                      <w:divsChild>
                                        <w:div w:id="20378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5887">
      <w:marLeft w:val="0"/>
      <w:marRight w:val="0"/>
      <w:marTop w:val="0"/>
      <w:marBottom w:val="0"/>
      <w:divBdr>
        <w:top w:val="none" w:sz="0" w:space="0" w:color="auto"/>
        <w:left w:val="none" w:sz="0" w:space="0" w:color="auto"/>
        <w:bottom w:val="none" w:sz="0" w:space="0" w:color="auto"/>
        <w:right w:val="none" w:sz="0" w:space="0" w:color="auto"/>
      </w:divBdr>
      <w:divsChild>
        <w:div w:id="2037845821">
          <w:marLeft w:val="0"/>
          <w:marRight w:val="1"/>
          <w:marTop w:val="0"/>
          <w:marBottom w:val="0"/>
          <w:divBdr>
            <w:top w:val="none" w:sz="0" w:space="0" w:color="auto"/>
            <w:left w:val="none" w:sz="0" w:space="0" w:color="auto"/>
            <w:bottom w:val="none" w:sz="0" w:space="0" w:color="auto"/>
            <w:right w:val="none" w:sz="0" w:space="0" w:color="auto"/>
          </w:divBdr>
          <w:divsChild>
            <w:div w:id="2037845766">
              <w:marLeft w:val="0"/>
              <w:marRight w:val="0"/>
              <w:marTop w:val="0"/>
              <w:marBottom w:val="0"/>
              <w:divBdr>
                <w:top w:val="none" w:sz="0" w:space="0" w:color="auto"/>
                <w:left w:val="none" w:sz="0" w:space="0" w:color="auto"/>
                <w:bottom w:val="none" w:sz="0" w:space="0" w:color="auto"/>
                <w:right w:val="none" w:sz="0" w:space="0" w:color="auto"/>
              </w:divBdr>
              <w:divsChild>
                <w:div w:id="2037845696">
                  <w:marLeft w:val="0"/>
                  <w:marRight w:val="1"/>
                  <w:marTop w:val="0"/>
                  <w:marBottom w:val="0"/>
                  <w:divBdr>
                    <w:top w:val="none" w:sz="0" w:space="0" w:color="auto"/>
                    <w:left w:val="none" w:sz="0" w:space="0" w:color="auto"/>
                    <w:bottom w:val="none" w:sz="0" w:space="0" w:color="auto"/>
                    <w:right w:val="none" w:sz="0" w:space="0" w:color="auto"/>
                  </w:divBdr>
                  <w:divsChild>
                    <w:div w:id="2037845924">
                      <w:marLeft w:val="0"/>
                      <w:marRight w:val="0"/>
                      <w:marTop w:val="0"/>
                      <w:marBottom w:val="0"/>
                      <w:divBdr>
                        <w:top w:val="none" w:sz="0" w:space="0" w:color="auto"/>
                        <w:left w:val="none" w:sz="0" w:space="0" w:color="auto"/>
                        <w:bottom w:val="none" w:sz="0" w:space="0" w:color="auto"/>
                        <w:right w:val="none" w:sz="0" w:space="0" w:color="auto"/>
                      </w:divBdr>
                      <w:divsChild>
                        <w:div w:id="2037845885">
                          <w:marLeft w:val="0"/>
                          <w:marRight w:val="0"/>
                          <w:marTop w:val="0"/>
                          <w:marBottom w:val="0"/>
                          <w:divBdr>
                            <w:top w:val="none" w:sz="0" w:space="0" w:color="auto"/>
                            <w:left w:val="none" w:sz="0" w:space="0" w:color="auto"/>
                            <w:bottom w:val="none" w:sz="0" w:space="0" w:color="auto"/>
                            <w:right w:val="none" w:sz="0" w:space="0" w:color="auto"/>
                          </w:divBdr>
                          <w:divsChild>
                            <w:div w:id="2037845854">
                              <w:marLeft w:val="0"/>
                              <w:marRight w:val="0"/>
                              <w:marTop w:val="120"/>
                              <w:marBottom w:val="360"/>
                              <w:divBdr>
                                <w:top w:val="none" w:sz="0" w:space="0" w:color="auto"/>
                                <w:left w:val="none" w:sz="0" w:space="0" w:color="auto"/>
                                <w:bottom w:val="none" w:sz="0" w:space="0" w:color="auto"/>
                                <w:right w:val="none" w:sz="0" w:space="0" w:color="auto"/>
                              </w:divBdr>
                              <w:divsChild>
                                <w:div w:id="2037845950">
                                  <w:marLeft w:val="0"/>
                                  <w:marRight w:val="0"/>
                                  <w:marTop w:val="0"/>
                                  <w:marBottom w:val="0"/>
                                  <w:divBdr>
                                    <w:top w:val="none" w:sz="0" w:space="0" w:color="auto"/>
                                    <w:left w:val="none" w:sz="0" w:space="0" w:color="auto"/>
                                    <w:bottom w:val="none" w:sz="0" w:space="0" w:color="auto"/>
                                    <w:right w:val="none" w:sz="0" w:space="0" w:color="auto"/>
                                  </w:divBdr>
                                  <w:divsChild>
                                    <w:div w:id="20378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906">
      <w:marLeft w:val="0"/>
      <w:marRight w:val="0"/>
      <w:marTop w:val="0"/>
      <w:marBottom w:val="0"/>
      <w:divBdr>
        <w:top w:val="none" w:sz="0" w:space="0" w:color="auto"/>
        <w:left w:val="none" w:sz="0" w:space="0" w:color="auto"/>
        <w:bottom w:val="none" w:sz="0" w:space="0" w:color="auto"/>
        <w:right w:val="none" w:sz="0" w:space="0" w:color="auto"/>
      </w:divBdr>
      <w:divsChild>
        <w:div w:id="2037845835">
          <w:marLeft w:val="0"/>
          <w:marRight w:val="1"/>
          <w:marTop w:val="0"/>
          <w:marBottom w:val="0"/>
          <w:divBdr>
            <w:top w:val="none" w:sz="0" w:space="0" w:color="auto"/>
            <w:left w:val="none" w:sz="0" w:space="0" w:color="auto"/>
            <w:bottom w:val="none" w:sz="0" w:space="0" w:color="auto"/>
            <w:right w:val="none" w:sz="0" w:space="0" w:color="auto"/>
          </w:divBdr>
          <w:divsChild>
            <w:div w:id="2037845743">
              <w:marLeft w:val="0"/>
              <w:marRight w:val="0"/>
              <w:marTop w:val="0"/>
              <w:marBottom w:val="0"/>
              <w:divBdr>
                <w:top w:val="none" w:sz="0" w:space="0" w:color="auto"/>
                <w:left w:val="none" w:sz="0" w:space="0" w:color="auto"/>
                <w:bottom w:val="none" w:sz="0" w:space="0" w:color="auto"/>
                <w:right w:val="none" w:sz="0" w:space="0" w:color="auto"/>
              </w:divBdr>
              <w:divsChild>
                <w:div w:id="2037845934">
                  <w:marLeft w:val="0"/>
                  <w:marRight w:val="1"/>
                  <w:marTop w:val="0"/>
                  <w:marBottom w:val="0"/>
                  <w:divBdr>
                    <w:top w:val="none" w:sz="0" w:space="0" w:color="auto"/>
                    <w:left w:val="none" w:sz="0" w:space="0" w:color="auto"/>
                    <w:bottom w:val="none" w:sz="0" w:space="0" w:color="auto"/>
                    <w:right w:val="none" w:sz="0" w:space="0" w:color="auto"/>
                  </w:divBdr>
                  <w:divsChild>
                    <w:div w:id="2037845899">
                      <w:marLeft w:val="0"/>
                      <w:marRight w:val="0"/>
                      <w:marTop w:val="0"/>
                      <w:marBottom w:val="0"/>
                      <w:divBdr>
                        <w:top w:val="none" w:sz="0" w:space="0" w:color="auto"/>
                        <w:left w:val="none" w:sz="0" w:space="0" w:color="auto"/>
                        <w:bottom w:val="none" w:sz="0" w:space="0" w:color="auto"/>
                        <w:right w:val="none" w:sz="0" w:space="0" w:color="auto"/>
                      </w:divBdr>
                      <w:divsChild>
                        <w:div w:id="2037845910">
                          <w:marLeft w:val="0"/>
                          <w:marRight w:val="0"/>
                          <w:marTop w:val="0"/>
                          <w:marBottom w:val="0"/>
                          <w:divBdr>
                            <w:top w:val="none" w:sz="0" w:space="0" w:color="auto"/>
                            <w:left w:val="none" w:sz="0" w:space="0" w:color="auto"/>
                            <w:bottom w:val="none" w:sz="0" w:space="0" w:color="auto"/>
                            <w:right w:val="none" w:sz="0" w:space="0" w:color="auto"/>
                          </w:divBdr>
                          <w:divsChild>
                            <w:div w:id="2037845886">
                              <w:marLeft w:val="0"/>
                              <w:marRight w:val="0"/>
                              <w:marTop w:val="120"/>
                              <w:marBottom w:val="360"/>
                              <w:divBdr>
                                <w:top w:val="none" w:sz="0" w:space="0" w:color="auto"/>
                                <w:left w:val="none" w:sz="0" w:space="0" w:color="auto"/>
                                <w:bottom w:val="none" w:sz="0" w:space="0" w:color="auto"/>
                                <w:right w:val="none" w:sz="0" w:space="0" w:color="auto"/>
                              </w:divBdr>
                              <w:divsChild>
                                <w:div w:id="2037845917">
                                  <w:marLeft w:val="420"/>
                                  <w:marRight w:val="0"/>
                                  <w:marTop w:val="0"/>
                                  <w:marBottom w:val="0"/>
                                  <w:divBdr>
                                    <w:top w:val="none" w:sz="0" w:space="0" w:color="auto"/>
                                    <w:left w:val="none" w:sz="0" w:space="0" w:color="auto"/>
                                    <w:bottom w:val="none" w:sz="0" w:space="0" w:color="auto"/>
                                    <w:right w:val="none" w:sz="0" w:space="0" w:color="auto"/>
                                  </w:divBdr>
                                  <w:divsChild>
                                    <w:div w:id="20378458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911">
      <w:marLeft w:val="0"/>
      <w:marRight w:val="0"/>
      <w:marTop w:val="0"/>
      <w:marBottom w:val="0"/>
      <w:divBdr>
        <w:top w:val="none" w:sz="0" w:space="0" w:color="auto"/>
        <w:left w:val="none" w:sz="0" w:space="0" w:color="auto"/>
        <w:bottom w:val="none" w:sz="0" w:space="0" w:color="auto"/>
        <w:right w:val="none" w:sz="0" w:space="0" w:color="auto"/>
      </w:divBdr>
      <w:divsChild>
        <w:div w:id="2037845836">
          <w:marLeft w:val="0"/>
          <w:marRight w:val="1"/>
          <w:marTop w:val="0"/>
          <w:marBottom w:val="0"/>
          <w:divBdr>
            <w:top w:val="none" w:sz="0" w:space="0" w:color="auto"/>
            <w:left w:val="none" w:sz="0" w:space="0" w:color="auto"/>
            <w:bottom w:val="none" w:sz="0" w:space="0" w:color="auto"/>
            <w:right w:val="none" w:sz="0" w:space="0" w:color="auto"/>
          </w:divBdr>
          <w:divsChild>
            <w:div w:id="2037845925">
              <w:marLeft w:val="0"/>
              <w:marRight w:val="0"/>
              <w:marTop w:val="0"/>
              <w:marBottom w:val="0"/>
              <w:divBdr>
                <w:top w:val="none" w:sz="0" w:space="0" w:color="auto"/>
                <w:left w:val="none" w:sz="0" w:space="0" w:color="auto"/>
                <w:bottom w:val="none" w:sz="0" w:space="0" w:color="auto"/>
                <w:right w:val="none" w:sz="0" w:space="0" w:color="auto"/>
              </w:divBdr>
              <w:divsChild>
                <w:div w:id="2037845920">
                  <w:marLeft w:val="0"/>
                  <w:marRight w:val="1"/>
                  <w:marTop w:val="0"/>
                  <w:marBottom w:val="0"/>
                  <w:divBdr>
                    <w:top w:val="none" w:sz="0" w:space="0" w:color="auto"/>
                    <w:left w:val="none" w:sz="0" w:space="0" w:color="auto"/>
                    <w:bottom w:val="none" w:sz="0" w:space="0" w:color="auto"/>
                    <w:right w:val="none" w:sz="0" w:space="0" w:color="auto"/>
                  </w:divBdr>
                  <w:divsChild>
                    <w:div w:id="2037845770">
                      <w:marLeft w:val="0"/>
                      <w:marRight w:val="0"/>
                      <w:marTop w:val="0"/>
                      <w:marBottom w:val="0"/>
                      <w:divBdr>
                        <w:top w:val="none" w:sz="0" w:space="0" w:color="auto"/>
                        <w:left w:val="none" w:sz="0" w:space="0" w:color="auto"/>
                        <w:bottom w:val="none" w:sz="0" w:space="0" w:color="auto"/>
                        <w:right w:val="none" w:sz="0" w:space="0" w:color="auto"/>
                      </w:divBdr>
                      <w:divsChild>
                        <w:div w:id="2037845882">
                          <w:marLeft w:val="0"/>
                          <w:marRight w:val="0"/>
                          <w:marTop w:val="0"/>
                          <w:marBottom w:val="0"/>
                          <w:divBdr>
                            <w:top w:val="none" w:sz="0" w:space="0" w:color="auto"/>
                            <w:left w:val="none" w:sz="0" w:space="0" w:color="auto"/>
                            <w:bottom w:val="none" w:sz="0" w:space="0" w:color="auto"/>
                            <w:right w:val="none" w:sz="0" w:space="0" w:color="auto"/>
                          </w:divBdr>
                          <w:divsChild>
                            <w:div w:id="2037845710">
                              <w:marLeft w:val="0"/>
                              <w:marRight w:val="0"/>
                              <w:marTop w:val="120"/>
                              <w:marBottom w:val="360"/>
                              <w:divBdr>
                                <w:top w:val="none" w:sz="0" w:space="0" w:color="auto"/>
                                <w:left w:val="none" w:sz="0" w:space="0" w:color="auto"/>
                                <w:bottom w:val="none" w:sz="0" w:space="0" w:color="auto"/>
                                <w:right w:val="none" w:sz="0" w:space="0" w:color="auto"/>
                              </w:divBdr>
                              <w:divsChild>
                                <w:div w:id="2037845762">
                                  <w:marLeft w:val="420"/>
                                  <w:marRight w:val="0"/>
                                  <w:marTop w:val="0"/>
                                  <w:marBottom w:val="0"/>
                                  <w:divBdr>
                                    <w:top w:val="none" w:sz="0" w:space="0" w:color="auto"/>
                                    <w:left w:val="none" w:sz="0" w:space="0" w:color="auto"/>
                                    <w:bottom w:val="none" w:sz="0" w:space="0" w:color="auto"/>
                                    <w:right w:val="none" w:sz="0" w:space="0" w:color="auto"/>
                                  </w:divBdr>
                                  <w:divsChild>
                                    <w:div w:id="20378458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916">
      <w:marLeft w:val="0"/>
      <w:marRight w:val="0"/>
      <w:marTop w:val="0"/>
      <w:marBottom w:val="0"/>
      <w:divBdr>
        <w:top w:val="none" w:sz="0" w:space="0" w:color="auto"/>
        <w:left w:val="none" w:sz="0" w:space="0" w:color="auto"/>
        <w:bottom w:val="none" w:sz="0" w:space="0" w:color="auto"/>
        <w:right w:val="none" w:sz="0" w:space="0" w:color="auto"/>
      </w:divBdr>
      <w:divsChild>
        <w:div w:id="2037845791">
          <w:marLeft w:val="0"/>
          <w:marRight w:val="1"/>
          <w:marTop w:val="0"/>
          <w:marBottom w:val="0"/>
          <w:divBdr>
            <w:top w:val="none" w:sz="0" w:space="0" w:color="auto"/>
            <w:left w:val="none" w:sz="0" w:space="0" w:color="auto"/>
            <w:bottom w:val="none" w:sz="0" w:space="0" w:color="auto"/>
            <w:right w:val="none" w:sz="0" w:space="0" w:color="auto"/>
          </w:divBdr>
          <w:divsChild>
            <w:div w:id="2037845932">
              <w:marLeft w:val="0"/>
              <w:marRight w:val="0"/>
              <w:marTop w:val="0"/>
              <w:marBottom w:val="0"/>
              <w:divBdr>
                <w:top w:val="none" w:sz="0" w:space="0" w:color="auto"/>
                <w:left w:val="none" w:sz="0" w:space="0" w:color="auto"/>
                <w:bottom w:val="none" w:sz="0" w:space="0" w:color="auto"/>
                <w:right w:val="none" w:sz="0" w:space="0" w:color="auto"/>
              </w:divBdr>
              <w:divsChild>
                <w:div w:id="2037845749">
                  <w:marLeft w:val="0"/>
                  <w:marRight w:val="1"/>
                  <w:marTop w:val="0"/>
                  <w:marBottom w:val="0"/>
                  <w:divBdr>
                    <w:top w:val="none" w:sz="0" w:space="0" w:color="auto"/>
                    <w:left w:val="none" w:sz="0" w:space="0" w:color="auto"/>
                    <w:bottom w:val="none" w:sz="0" w:space="0" w:color="auto"/>
                    <w:right w:val="none" w:sz="0" w:space="0" w:color="auto"/>
                  </w:divBdr>
                  <w:divsChild>
                    <w:div w:id="2037845740">
                      <w:marLeft w:val="0"/>
                      <w:marRight w:val="0"/>
                      <w:marTop w:val="0"/>
                      <w:marBottom w:val="0"/>
                      <w:divBdr>
                        <w:top w:val="none" w:sz="0" w:space="0" w:color="auto"/>
                        <w:left w:val="none" w:sz="0" w:space="0" w:color="auto"/>
                        <w:bottom w:val="none" w:sz="0" w:space="0" w:color="auto"/>
                        <w:right w:val="none" w:sz="0" w:space="0" w:color="auto"/>
                      </w:divBdr>
                      <w:divsChild>
                        <w:div w:id="2037845689">
                          <w:marLeft w:val="0"/>
                          <w:marRight w:val="0"/>
                          <w:marTop w:val="0"/>
                          <w:marBottom w:val="0"/>
                          <w:divBdr>
                            <w:top w:val="none" w:sz="0" w:space="0" w:color="auto"/>
                            <w:left w:val="none" w:sz="0" w:space="0" w:color="auto"/>
                            <w:bottom w:val="none" w:sz="0" w:space="0" w:color="auto"/>
                            <w:right w:val="none" w:sz="0" w:space="0" w:color="auto"/>
                          </w:divBdr>
                          <w:divsChild>
                            <w:div w:id="2037845965">
                              <w:marLeft w:val="0"/>
                              <w:marRight w:val="0"/>
                              <w:marTop w:val="120"/>
                              <w:marBottom w:val="360"/>
                              <w:divBdr>
                                <w:top w:val="none" w:sz="0" w:space="0" w:color="auto"/>
                                <w:left w:val="none" w:sz="0" w:space="0" w:color="auto"/>
                                <w:bottom w:val="none" w:sz="0" w:space="0" w:color="auto"/>
                                <w:right w:val="none" w:sz="0" w:space="0" w:color="auto"/>
                              </w:divBdr>
                              <w:divsChild>
                                <w:div w:id="2037845745">
                                  <w:marLeft w:val="420"/>
                                  <w:marRight w:val="0"/>
                                  <w:marTop w:val="0"/>
                                  <w:marBottom w:val="0"/>
                                  <w:divBdr>
                                    <w:top w:val="none" w:sz="0" w:space="0" w:color="auto"/>
                                    <w:left w:val="none" w:sz="0" w:space="0" w:color="auto"/>
                                    <w:bottom w:val="none" w:sz="0" w:space="0" w:color="auto"/>
                                    <w:right w:val="none" w:sz="0" w:space="0" w:color="auto"/>
                                  </w:divBdr>
                                  <w:divsChild>
                                    <w:div w:id="2037845833">
                                      <w:marLeft w:val="0"/>
                                      <w:marRight w:val="0"/>
                                      <w:marTop w:val="0"/>
                                      <w:marBottom w:val="0"/>
                                      <w:divBdr>
                                        <w:top w:val="none" w:sz="0" w:space="0" w:color="auto"/>
                                        <w:left w:val="none" w:sz="0" w:space="0" w:color="auto"/>
                                        <w:bottom w:val="none" w:sz="0" w:space="0" w:color="auto"/>
                                        <w:right w:val="none" w:sz="0" w:space="0" w:color="auto"/>
                                      </w:divBdr>
                                      <w:divsChild>
                                        <w:div w:id="2037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5923">
      <w:marLeft w:val="0"/>
      <w:marRight w:val="0"/>
      <w:marTop w:val="0"/>
      <w:marBottom w:val="0"/>
      <w:divBdr>
        <w:top w:val="none" w:sz="0" w:space="0" w:color="auto"/>
        <w:left w:val="none" w:sz="0" w:space="0" w:color="auto"/>
        <w:bottom w:val="none" w:sz="0" w:space="0" w:color="auto"/>
        <w:right w:val="none" w:sz="0" w:space="0" w:color="auto"/>
      </w:divBdr>
      <w:divsChild>
        <w:div w:id="2037845912">
          <w:marLeft w:val="0"/>
          <w:marRight w:val="1"/>
          <w:marTop w:val="0"/>
          <w:marBottom w:val="0"/>
          <w:divBdr>
            <w:top w:val="none" w:sz="0" w:space="0" w:color="auto"/>
            <w:left w:val="none" w:sz="0" w:space="0" w:color="auto"/>
            <w:bottom w:val="none" w:sz="0" w:space="0" w:color="auto"/>
            <w:right w:val="none" w:sz="0" w:space="0" w:color="auto"/>
          </w:divBdr>
          <w:divsChild>
            <w:div w:id="2037845787">
              <w:marLeft w:val="0"/>
              <w:marRight w:val="0"/>
              <w:marTop w:val="0"/>
              <w:marBottom w:val="0"/>
              <w:divBdr>
                <w:top w:val="none" w:sz="0" w:space="0" w:color="auto"/>
                <w:left w:val="none" w:sz="0" w:space="0" w:color="auto"/>
                <w:bottom w:val="none" w:sz="0" w:space="0" w:color="auto"/>
                <w:right w:val="none" w:sz="0" w:space="0" w:color="auto"/>
              </w:divBdr>
              <w:divsChild>
                <w:div w:id="2037845915">
                  <w:marLeft w:val="0"/>
                  <w:marRight w:val="1"/>
                  <w:marTop w:val="0"/>
                  <w:marBottom w:val="0"/>
                  <w:divBdr>
                    <w:top w:val="none" w:sz="0" w:space="0" w:color="auto"/>
                    <w:left w:val="none" w:sz="0" w:space="0" w:color="auto"/>
                    <w:bottom w:val="none" w:sz="0" w:space="0" w:color="auto"/>
                    <w:right w:val="none" w:sz="0" w:space="0" w:color="auto"/>
                  </w:divBdr>
                  <w:divsChild>
                    <w:div w:id="2037845872">
                      <w:marLeft w:val="0"/>
                      <w:marRight w:val="0"/>
                      <w:marTop w:val="0"/>
                      <w:marBottom w:val="0"/>
                      <w:divBdr>
                        <w:top w:val="none" w:sz="0" w:space="0" w:color="auto"/>
                        <w:left w:val="none" w:sz="0" w:space="0" w:color="auto"/>
                        <w:bottom w:val="none" w:sz="0" w:space="0" w:color="auto"/>
                        <w:right w:val="none" w:sz="0" w:space="0" w:color="auto"/>
                      </w:divBdr>
                      <w:divsChild>
                        <w:div w:id="2037845684">
                          <w:marLeft w:val="0"/>
                          <w:marRight w:val="0"/>
                          <w:marTop w:val="0"/>
                          <w:marBottom w:val="0"/>
                          <w:divBdr>
                            <w:top w:val="none" w:sz="0" w:space="0" w:color="auto"/>
                            <w:left w:val="none" w:sz="0" w:space="0" w:color="auto"/>
                            <w:bottom w:val="none" w:sz="0" w:space="0" w:color="auto"/>
                            <w:right w:val="none" w:sz="0" w:space="0" w:color="auto"/>
                          </w:divBdr>
                          <w:divsChild>
                            <w:div w:id="2037845741">
                              <w:marLeft w:val="0"/>
                              <w:marRight w:val="0"/>
                              <w:marTop w:val="120"/>
                              <w:marBottom w:val="360"/>
                              <w:divBdr>
                                <w:top w:val="none" w:sz="0" w:space="0" w:color="auto"/>
                                <w:left w:val="none" w:sz="0" w:space="0" w:color="auto"/>
                                <w:bottom w:val="none" w:sz="0" w:space="0" w:color="auto"/>
                                <w:right w:val="none" w:sz="0" w:space="0" w:color="auto"/>
                              </w:divBdr>
                              <w:divsChild>
                                <w:div w:id="2037845757">
                                  <w:marLeft w:val="420"/>
                                  <w:marRight w:val="0"/>
                                  <w:marTop w:val="0"/>
                                  <w:marBottom w:val="0"/>
                                  <w:divBdr>
                                    <w:top w:val="none" w:sz="0" w:space="0" w:color="auto"/>
                                    <w:left w:val="none" w:sz="0" w:space="0" w:color="auto"/>
                                    <w:bottom w:val="none" w:sz="0" w:space="0" w:color="auto"/>
                                    <w:right w:val="none" w:sz="0" w:space="0" w:color="auto"/>
                                  </w:divBdr>
                                  <w:divsChild>
                                    <w:div w:id="2037845771">
                                      <w:marLeft w:val="0"/>
                                      <w:marRight w:val="0"/>
                                      <w:marTop w:val="0"/>
                                      <w:marBottom w:val="0"/>
                                      <w:divBdr>
                                        <w:top w:val="none" w:sz="0" w:space="0" w:color="auto"/>
                                        <w:left w:val="none" w:sz="0" w:space="0" w:color="auto"/>
                                        <w:bottom w:val="none" w:sz="0" w:space="0" w:color="auto"/>
                                        <w:right w:val="none" w:sz="0" w:space="0" w:color="auto"/>
                                      </w:divBdr>
                                      <w:divsChild>
                                        <w:div w:id="20378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5935">
      <w:marLeft w:val="0"/>
      <w:marRight w:val="0"/>
      <w:marTop w:val="0"/>
      <w:marBottom w:val="0"/>
      <w:divBdr>
        <w:top w:val="none" w:sz="0" w:space="0" w:color="auto"/>
        <w:left w:val="none" w:sz="0" w:space="0" w:color="auto"/>
        <w:bottom w:val="none" w:sz="0" w:space="0" w:color="auto"/>
        <w:right w:val="none" w:sz="0" w:space="0" w:color="auto"/>
      </w:divBdr>
      <w:divsChild>
        <w:div w:id="2037845878">
          <w:marLeft w:val="0"/>
          <w:marRight w:val="1"/>
          <w:marTop w:val="0"/>
          <w:marBottom w:val="0"/>
          <w:divBdr>
            <w:top w:val="none" w:sz="0" w:space="0" w:color="auto"/>
            <w:left w:val="none" w:sz="0" w:space="0" w:color="auto"/>
            <w:bottom w:val="none" w:sz="0" w:space="0" w:color="auto"/>
            <w:right w:val="none" w:sz="0" w:space="0" w:color="auto"/>
          </w:divBdr>
          <w:divsChild>
            <w:div w:id="2037845949">
              <w:marLeft w:val="0"/>
              <w:marRight w:val="0"/>
              <w:marTop w:val="0"/>
              <w:marBottom w:val="0"/>
              <w:divBdr>
                <w:top w:val="none" w:sz="0" w:space="0" w:color="auto"/>
                <w:left w:val="none" w:sz="0" w:space="0" w:color="auto"/>
                <w:bottom w:val="none" w:sz="0" w:space="0" w:color="auto"/>
                <w:right w:val="none" w:sz="0" w:space="0" w:color="auto"/>
              </w:divBdr>
              <w:divsChild>
                <w:div w:id="2037845871">
                  <w:marLeft w:val="0"/>
                  <w:marRight w:val="1"/>
                  <w:marTop w:val="0"/>
                  <w:marBottom w:val="0"/>
                  <w:divBdr>
                    <w:top w:val="none" w:sz="0" w:space="0" w:color="auto"/>
                    <w:left w:val="none" w:sz="0" w:space="0" w:color="auto"/>
                    <w:bottom w:val="none" w:sz="0" w:space="0" w:color="auto"/>
                    <w:right w:val="none" w:sz="0" w:space="0" w:color="auto"/>
                  </w:divBdr>
                  <w:divsChild>
                    <w:div w:id="2037845913">
                      <w:marLeft w:val="0"/>
                      <w:marRight w:val="0"/>
                      <w:marTop w:val="0"/>
                      <w:marBottom w:val="0"/>
                      <w:divBdr>
                        <w:top w:val="none" w:sz="0" w:space="0" w:color="auto"/>
                        <w:left w:val="none" w:sz="0" w:space="0" w:color="auto"/>
                        <w:bottom w:val="none" w:sz="0" w:space="0" w:color="auto"/>
                        <w:right w:val="none" w:sz="0" w:space="0" w:color="auto"/>
                      </w:divBdr>
                      <w:divsChild>
                        <w:div w:id="2037845901">
                          <w:marLeft w:val="0"/>
                          <w:marRight w:val="0"/>
                          <w:marTop w:val="0"/>
                          <w:marBottom w:val="0"/>
                          <w:divBdr>
                            <w:top w:val="none" w:sz="0" w:space="0" w:color="auto"/>
                            <w:left w:val="none" w:sz="0" w:space="0" w:color="auto"/>
                            <w:bottom w:val="none" w:sz="0" w:space="0" w:color="auto"/>
                            <w:right w:val="none" w:sz="0" w:space="0" w:color="auto"/>
                          </w:divBdr>
                          <w:divsChild>
                            <w:div w:id="2037845873">
                              <w:marLeft w:val="0"/>
                              <w:marRight w:val="0"/>
                              <w:marTop w:val="120"/>
                              <w:marBottom w:val="360"/>
                              <w:divBdr>
                                <w:top w:val="none" w:sz="0" w:space="0" w:color="auto"/>
                                <w:left w:val="none" w:sz="0" w:space="0" w:color="auto"/>
                                <w:bottom w:val="none" w:sz="0" w:space="0" w:color="auto"/>
                                <w:right w:val="none" w:sz="0" w:space="0" w:color="auto"/>
                              </w:divBdr>
                              <w:divsChild>
                                <w:div w:id="2037845892">
                                  <w:marLeft w:val="420"/>
                                  <w:marRight w:val="0"/>
                                  <w:marTop w:val="0"/>
                                  <w:marBottom w:val="0"/>
                                  <w:divBdr>
                                    <w:top w:val="none" w:sz="0" w:space="0" w:color="auto"/>
                                    <w:left w:val="none" w:sz="0" w:space="0" w:color="auto"/>
                                    <w:bottom w:val="none" w:sz="0" w:space="0" w:color="auto"/>
                                    <w:right w:val="none" w:sz="0" w:space="0" w:color="auto"/>
                                  </w:divBdr>
                                  <w:divsChild>
                                    <w:div w:id="2037845795">
                                      <w:marLeft w:val="0"/>
                                      <w:marRight w:val="0"/>
                                      <w:marTop w:val="0"/>
                                      <w:marBottom w:val="0"/>
                                      <w:divBdr>
                                        <w:top w:val="none" w:sz="0" w:space="0" w:color="auto"/>
                                        <w:left w:val="none" w:sz="0" w:space="0" w:color="auto"/>
                                        <w:bottom w:val="none" w:sz="0" w:space="0" w:color="auto"/>
                                        <w:right w:val="none" w:sz="0" w:space="0" w:color="auto"/>
                                      </w:divBdr>
                                      <w:divsChild>
                                        <w:div w:id="20378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5939">
      <w:marLeft w:val="0"/>
      <w:marRight w:val="0"/>
      <w:marTop w:val="0"/>
      <w:marBottom w:val="0"/>
      <w:divBdr>
        <w:top w:val="none" w:sz="0" w:space="0" w:color="auto"/>
        <w:left w:val="none" w:sz="0" w:space="0" w:color="auto"/>
        <w:bottom w:val="none" w:sz="0" w:space="0" w:color="auto"/>
        <w:right w:val="none" w:sz="0" w:space="0" w:color="auto"/>
      </w:divBdr>
      <w:divsChild>
        <w:div w:id="2037845754">
          <w:marLeft w:val="0"/>
          <w:marRight w:val="1"/>
          <w:marTop w:val="0"/>
          <w:marBottom w:val="0"/>
          <w:divBdr>
            <w:top w:val="none" w:sz="0" w:space="0" w:color="auto"/>
            <w:left w:val="none" w:sz="0" w:space="0" w:color="auto"/>
            <w:bottom w:val="none" w:sz="0" w:space="0" w:color="auto"/>
            <w:right w:val="none" w:sz="0" w:space="0" w:color="auto"/>
          </w:divBdr>
          <w:divsChild>
            <w:div w:id="2037845731">
              <w:marLeft w:val="0"/>
              <w:marRight w:val="0"/>
              <w:marTop w:val="0"/>
              <w:marBottom w:val="0"/>
              <w:divBdr>
                <w:top w:val="none" w:sz="0" w:space="0" w:color="auto"/>
                <w:left w:val="none" w:sz="0" w:space="0" w:color="auto"/>
                <w:bottom w:val="none" w:sz="0" w:space="0" w:color="auto"/>
                <w:right w:val="none" w:sz="0" w:space="0" w:color="auto"/>
              </w:divBdr>
              <w:divsChild>
                <w:div w:id="2037845814">
                  <w:marLeft w:val="0"/>
                  <w:marRight w:val="1"/>
                  <w:marTop w:val="0"/>
                  <w:marBottom w:val="0"/>
                  <w:divBdr>
                    <w:top w:val="none" w:sz="0" w:space="0" w:color="auto"/>
                    <w:left w:val="none" w:sz="0" w:space="0" w:color="auto"/>
                    <w:bottom w:val="none" w:sz="0" w:space="0" w:color="auto"/>
                    <w:right w:val="none" w:sz="0" w:space="0" w:color="auto"/>
                  </w:divBdr>
                  <w:divsChild>
                    <w:div w:id="2037845709">
                      <w:marLeft w:val="0"/>
                      <w:marRight w:val="0"/>
                      <w:marTop w:val="0"/>
                      <w:marBottom w:val="0"/>
                      <w:divBdr>
                        <w:top w:val="none" w:sz="0" w:space="0" w:color="auto"/>
                        <w:left w:val="none" w:sz="0" w:space="0" w:color="auto"/>
                        <w:bottom w:val="none" w:sz="0" w:space="0" w:color="auto"/>
                        <w:right w:val="none" w:sz="0" w:space="0" w:color="auto"/>
                      </w:divBdr>
                      <w:divsChild>
                        <w:div w:id="2037845962">
                          <w:marLeft w:val="0"/>
                          <w:marRight w:val="0"/>
                          <w:marTop w:val="0"/>
                          <w:marBottom w:val="0"/>
                          <w:divBdr>
                            <w:top w:val="none" w:sz="0" w:space="0" w:color="auto"/>
                            <w:left w:val="none" w:sz="0" w:space="0" w:color="auto"/>
                            <w:bottom w:val="none" w:sz="0" w:space="0" w:color="auto"/>
                            <w:right w:val="none" w:sz="0" w:space="0" w:color="auto"/>
                          </w:divBdr>
                          <w:divsChild>
                            <w:div w:id="203784586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845943">
      <w:marLeft w:val="0"/>
      <w:marRight w:val="0"/>
      <w:marTop w:val="0"/>
      <w:marBottom w:val="0"/>
      <w:divBdr>
        <w:top w:val="none" w:sz="0" w:space="0" w:color="auto"/>
        <w:left w:val="none" w:sz="0" w:space="0" w:color="auto"/>
        <w:bottom w:val="none" w:sz="0" w:space="0" w:color="auto"/>
        <w:right w:val="none" w:sz="0" w:space="0" w:color="auto"/>
      </w:divBdr>
      <w:divsChild>
        <w:div w:id="2037845805">
          <w:marLeft w:val="0"/>
          <w:marRight w:val="0"/>
          <w:marTop w:val="0"/>
          <w:marBottom w:val="0"/>
          <w:divBdr>
            <w:top w:val="none" w:sz="0" w:space="0" w:color="auto"/>
            <w:left w:val="none" w:sz="0" w:space="0" w:color="auto"/>
            <w:bottom w:val="none" w:sz="0" w:space="0" w:color="auto"/>
            <w:right w:val="none" w:sz="0" w:space="0" w:color="auto"/>
          </w:divBdr>
        </w:div>
        <w:div w:id="2037845815">
          <w:marLeft w:val="0"/>
          <w:marRight w:val="0"/>
          <w:marTop w:val="0"/>
          <w:marBottom w:val="0"/>
          <w:divBdr>
            <w:top w:val="none" w:sz="0" w:space="0" w:color="auto"/>
            <w:left w:val="none" w:sz="0" w:space="0" w:color="auto"/>
            <w:bottom w:val="none" w:sz="0" w:space="0" w:color="auto"/>
            <w:right w:val="none" w:sz="0" w:space="0" w:color="auto"/>
          </w:divBdr>
        </w:div>
        <w:div w:id="2037845839">
          <w:marLeft w:val="0"/>
          <w:marRight w:val="0"/>
          <w:marTop w:val="0"/>
          <w:marBottom w:val="0"/>
          <w:divBdr>
            <w:top w:val="none" w:sz="0" w:space="0" w:color="auto"/>
            <w:left w:val="none" w:sz="0" w:space="0" w:color="auto"/>
            <w:bottom w:val="none" w:sz="0" w:space="0" w:color="auto"/>
            <w:right w:val="none" w:sz="0" w:space="0" w:color="auto"/>
          </w:divBdr>
        </w:div>
      </w:divsChild>
    </w:div>
    <w:div w:id="2037845948">
      <w:marLeft w:val="0"/>
      <w:marRight w:val="0"/>
      <w:marTop w:val="0"/>
      <w:marBottom w:val="0"/>
      <w:divBdr>
        <w:top w:val="none" w:sz="0" w:space="0" w:color="auto"/>
        <w:left w:val="none" w:sz="0" w:space="0" w:color="auto"/>
        <w:bottom w:val="none" w:sz="0" w:space="0" w:color="auto"/>
        <w:right w:val="none" w:sz="0" w:space="0" w:color="auto"/>
      </w:divBdr>
      <w:divsChild>
        <w:div w:id="2037845951">
          <w:marLeft w:val="0"/>
          <w:marRight w:val="1"/>
          <w:marTop w:val="0"/>
          <w:marBottom w:val="0"/>
          <w:divBdr>
            <w:top w:val="none" w:sz="0" w:space="0" w:color="auto"/>
            <w:left w:val="none" w:sz="0" w:space="0" w:color="auto"/>
            <w:bottom w:val="none" w:sz="0" w:space="0" w:color="auto"/>
            <w:right w:val="none" w:sz="0" w:space="0" w:color="auto"/>
          </w:divBdr>
          <w:divsChild>
            <w:div w:id="2037845963">
              <w:marLeft w:val="0"/>
              <w:marRight w:val="0"/>
              <w:marTop w:val="0"/>
              <w:marBottom w:val="0"/>
              <w:divBdr>
                <w:top w:val="none" w:sz="0" w:space="0" w:color="auto"/>
                <w:left w:val="none" w:sz="0" w:space="0" w:color="auto"/>
                <w:bottom w:val="none" w:sz="0" w:space="0" w:color="auto"/>
                <w:right w:val="none" w:sz="0" w:space="0" w:color="auto"/>
              </w:divBdr>
              <w:divsChild>
                <w:div w:id="2037845914">
                  <w:marLeft w:val="0"/>
                  <w:marRight w:val="1"/>
                  <w:marTop w:val="0"/>
                  <w:marBottom w:val="0"/>
                  <w:divBdr>
                    <w:top w:val="none" w:sz="0" w:space="0" w:color="auto"/>
                    <w:left w:val="none" w:sz="0" w:space="0" w:color="auto"/>
                    <w:bottom w:val="none" w:sz="0" w:space="0" w:color="auto"/>
                    <w:right w:val="none" w:sz="0" w:space="0" w:color="auto"/>
                  </w:divBdr>
                  <w:divsChild>
                    <w:div w:id="2037845765">
                      <w:marLeft w:val="0"/>
                      <w:marRight w:val="0"/>
                      <w:marTop w:val="0"/>
                      <w:marBottom w:val="0"/>
                      <w:divBdr>
                        <w:top w:val="none" w:sz="0" w:space="0" w:color="auto"/>
                        <w:left w:val="none" w:sz="0" w:space="0" w:color="auto"/>
                        <w:bottom w:val="none" w:sz="0" w:space="0" w:color="auto"/>
                        <w:right w:val="none" w:sz="0" w:space="0" w:color="auto"/>
                      </w:divBdr>
                      <w:divsChild>
                        <w:div w:id="2037845722">
                          <w:marLeft w:val="0"/>
                          <w:marRight w:val="0"/>
                          <w:marTop w:val="0"/>
                          <w:marBottom w:val="0"/>
                          <w:divBdr>
                            <w:top w:val="none" w:sz="0" w:space="0" w:color="auto"/>
                            <w:left w:val="none" w:sz="0" w:space="0" w:color="auto"/>
                            <w:bottom w:val="none" w:sz="0" w:space="0" w:color="auto"/>
                            <w:right w:val="none" w:sz="0" w:space="0" w:color="auto"/>
                          </w:divBdr>
                          <w:divsChild>
                            <w:div w:id="2037845874">
                              <w:marLeft w:val="0"/>
                              <w:marRight w:val="0"/>
                              <w:marTop w:val="120"/>
                              <w:marBottom w:val="360"/>
                              <w:divBdr>
                                <w:top w:val="none" w:sz="0" w:space="0" w:color="auto"/>
                                <w:left w:val="none" w:sz="0" w:space="0" w:color="auto"/>
                                <w:bottom w:val="none" w:sz="0" w:space="0" w:color="auto"/>
                                <w:right w:val="none" w:sz="0" w:space="0" w:color="auto"/>
                              </w:divBdr>
                              <w:divsChild>
                                <w:div w:id="2037845728">
                                  <w:marLeft w:val="420"/>
                                  <w:marRight w:val="0"/>
                                  <w:marTop w:val="0"/>
                                  <w:marBottom w:val="0"/>
                                  <w:divBdr>
                                    <w:top w:val="none" w:sz="0" w:space="0" w:color="auto"/>
                                    <w:left w:val="none" w:sz="0" w:space="0" w:color="auto"/>
                                    <w:bottom w:val="none" w:sz="0" w:space="0" w:color="auto"/>
                                    <w:right w:val="none" w:sz="0" w:space="0" w:color="auto"/>
                                  </w:divBdr>
                                  <w:divsChild>
                                    <w:div w:id="2037845858">
                                      <w:marLeft w:val="0"/>
                                      <w:marRight w:val="0"/>
                                      <w:marTop w:val="0"/>
                                      <w:marBottom w:val="0"/>
                                      <w:divBdr>
                                        <w:top w:val="none" w:sz="0" w:space="0" w:color="auto"/>
                                        <w:left w:val="none" w:sz="0" w:space="0" w:color="auto"/>
                                        <w:bottom w:val="none" w:sz="0" w:space="0" w:color="auto"/>
                                        <w:right w:val="none" w:sz="0" w:space="0" w:color="auto"/>
                                      </w:divBdr>
                                      <w:divsChild>
                                        <w:div w:id="2037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5952">
      <w:marLeft w:val="0"/>
      <w:marRight w:val="0"/>
      <w:marTop w:val="0"/>
      <w:marBottom w:val="0"/>
      <w:divBdr>
        <w:top w:val="none" w:sz="0" w:space="0" w:color="auto"/>
        <w:left w:val="none" w:sz="0" w:space="0" w:color="auto"/>
        <w:bottom w:val="none" w:sz="0" w:space="0" w:color="auto"/>
        <w:right w:val="none" w:sz="0" w:space="0" w:color="auto"/>
      </w:divBdr>
      <w:divsChild>
        <w:div w:id="2037845716">
          <w:marLeft w:val="0"/>
          <w:marRight w:val="1"/>
          <w:marTop w:val="0"/>
          <w:marBottom w:val="0"/>
          <w:divBdr>
            <w:top w:val="none" w:sz="0" w:space="0" w:color="auto"/>
            <w:left w:val="none" w:sz="0" w:space="0" w:color="auto"/>
            <w:bottom w:val="none" w:sz="0" w:space="0" w:color="auto"/>
            <w:right w:val="none" w:sz="0" w:space="0" w:color="auto"/>
          </w:divBdr>
          <w:divsChild>
            <w:div w:id="2037845945">
              <w:marLeft w:val="0"/>
              <w:marRight w:val="0"/>
              <w:marTop w:val="0"/>
              <w:marBottom w:val="0"/>
              <w:divBdr>
                <w:top w:val="none" w:sz="0" w:space="0" w:color="auto"/>
                <w:left w:val="none" w:sz="0" w:space="0" w:color="auto"/>
                <w:bottom w:val="none" w:sz="0" w:space="0" w:color="auto"/>
                <w:right w:val="none" w:sz="0" w:space="0" w:color="auto"/>
              </w:divBdr>
              <w:divsChild>
                <w:div w:id="2037845876">
                  <w:marLeft w:val="0"/>
                  <w:marRight w:val="1"/>
                  <w:marTop w:val="0"/>
                  <w:marBottom w:val="0"/>
                  <w:divBdr>
                    <w:top w:val="none" w:sz="0" w:space="0" w:color="auto"/>
                    <w:left w:val="none" w:sz="0" w:space="0" w:color="auto"/>
                    <w:bottom w:val="none" w:sz="0" w:space="0" w:color="auto"/>
                    <w:right w:val="none" w:sz="0" w:space="0" w:color="auto"/>
                  </w:divBdr>
                  <w:divsChild>
                    <w:div w:id="2037845847">
                      <w:marLeft w:val="0"/>
                      <w:marRight w:val="0"/>
                      <w:marTop w:val="0"/>
                      <w:marBottom w:val="0"/>
                      <w:divBdr>
                        <w:top w:val="none" w:sz="0" w:space="0" w:color="auto"/>
                        <w:left w:val="none" w:sz="0" w:space="0" w:color="auto"/>
                        <w:bottom w:val="none" w:sz="0" w:space="0" w:color="auto"/>
                        <w:right w:val="none" w:sz="0" w:space="0" w:color="auto"/>
                      </w:divBdr>
                      <w:divsChild>
                        <w:div w:id="2037845699">
                          <w:marLeft w:val="0"/>
                          <w:marRight w:val="0"/>
                          <w:marTop w:val="0"/>
                          <w:marBottom w:val="0"/>
                          <w:divBdr>
                            <w:top w:val="none" w:sz="0" w:space="0" w:color="auto"/>
                            <w:left w:val="none" w:sz="0" w:space="0" w:color="auto"/>
                            <w:bottom w:val="none" w:sz="0" w:space="0" w:color="auto"/>
                            <w:right w:val="none" w:sz="0" w:space="0" w:color="auto"/>
                          </w:divBdr>
                          <w:divsChild>
                            <w:div w:id="2037845940">
                              <w:marLeft w:val="0"/>
                              <w:marRight w:val="0"/>
                              <w:marTop w:val="120"/>
                              <w:marBottom w:val="360"/>
                              <w:divBdr>
                                <w:top w:val="none" w:sz="0" w:space="0" w:color="auto"/>
                                <w:left w:val="none" w:sz="0" w:space="0" w:color="auto"/>
                                <w:bottom w:val="none" w:sz="0" w:space="0" w:color="auto"/>
                                <w:right w:val="none" w:sz="0" w:space="0" w:color="auto"/>
                              </w:divBdr>
                              <w:divsChild>
                                <w:div w:id="20378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845955">
      <w:marLeft w:val="0"/>
      <w:marRight w:val="0"/>
      <w:marTop w:val="0"/>
      <w:marBottom w:val="0"/>
      <w:divBdr>
        <w:top w:val="none" w:sz="0" w:space="0" w:color="auto"/>
        <w:left w:val="none" w:sz="0" w:space="0" w:color="auto"/>
        <w:bottom w:val="none" w:sz="0" w:space="0" w:color="auto"/>
        <w:right w:val="none" w:sz="0" w:space="0" w:color="auto"/>
      </w:divBdr>
      <w:divsChild>
        <w:div w:id="2037845747">
          <w:marLeft w:val="0"/>
          <w:marRight w:val="1"/>
          <w:marTop w:val="0"/>
          <w:marBottom w:val="0"/>
          <w:divBdr>
            <w:top w:val="none" w:sz="0" w:space="0" w:color="auto"/>
            <w:left w:val="none" w:sz="0" w:space="0" w:color="auto"/>
            <w:bottom w:val="none" w:sz="0" w:space="0" w:color="auto"/>
            <w:right w:val="none" w:sz="0" w:space="0" w:color="auto"/>
          </w:divBdr>
          <w:divsChild>
            <w:div w:id="2037845850">
              <w:marLeft w:val="0"/>
              <w:marRight w:val="0"/>
              <w:marTop w:val="0"/>
              <w:marBottom w:val="0"/>
              <w:divBdr>
                <w:top w:val="none" w:sz="0" w:space="0" w:color="auto"/>
                <w:left w:val="none" w:sz="0" w:space="0" w:color="auto"/>
                <w:bottom w:val="none" w:sz="0" w:space="0" w:color="auto"/>
                <w:right w:val="none" w:sz="0" w:space="0" w:color="auto"/>
              </w:divBdr>
              <w:divsChild>
                <w:div w:id="2037845779">
                  <w:marLeft w:val="0"/>
                  <w:marRight w:val="1"/>
                  <w:marTop w:val="0"/>
                  <w:marBottom w:val="0"/>
                  <w:divBdr>
                    <w:top w:val="none" w:sz="0" w:space="0" w:color="auto"/>
                    <w:left w:val="none" w:sz="0" w:space="0" w:color="auto"/>
                    <w:bottom w:val="none" w:sz="0" w:space="0" w:color="auto"/>
                    <w:right w:val="none" w:sz="0" w:space="0" w:color="auto"/>
                  </w:divBdr>
                  <w:divsChild>
                    <w:div w:id="2037845927">
                      <w:marLeft w:val="0"/>
                      <w:marRight w:val="0"/>
                      <w:marTop w:val="0"/>
                      <w:marBottom w:val="0"/>
                      <w:divBdr>
                        <w:top w:val="none" w:sz="0" w:space="0" w:color="auto"/>
                        <w:left w:val="none" w:sz="0" w:space="0" w:color="auto"/>
                        <w:bottom w:val="none" w:sz="0" w:space="0" w:color="auto"/>
                        <w:right w:val="none" w:sz="0" w:space="0" w:color="auto"/>
                      </w:divBdr>
                      <w:divsChild>
                        <w:div w:id="2037845723">
                          <w:marLeft w:val="0"/>
                          <w:marRight w:val="0"/>
                          <w:marTop w:val="0"/>
                          <w:marBottom w:val="0"/>
                          <w:divBdr>
                            <w:top w:val="none" w:sz="0" w:space="0" w:color="auto"/>
                            <w:left w:val="none" w:sz="0" w:space="0" w:color="auto"/>
                            <w:bottom w:val="none" w:sz="0" w:space="0" w:color="auto"/>
                            <w:right w:val="none" w:sz="0" w:space="0" w:color="auto"/>
                          </w:divBdr>
                          <w:divsChild>
                            <w:div w:id="2037845825">
                              <w:marLeft w:val="0"/>
                              <w:marRight w:val="0"/>
                              <w:marTop w:val="120"/>
                              <w:marBottom w:val="360"/>
                              <w:divBdr>
                                <w:top w:val="none" w:sz="0" w:space="0" w:color="auto"/>
                                <w:left w:val="none" w:sz="0" w:space="0" w:color="auto"/>
                                <w:bottom w:val="none" w:sz="0" w:space="0" w:color="auto"/>
                                <w:right w:val="none" w:sz="0" w:space="0" w:color="auto"/>
                              </w:divBdr>
                              <w:divsChild>
                                <w:div w:id="2037845708">
                                  <w:marLeft w:val="420"/>
                                  <w:marRight w:val="0"/>
                                  <w:marTop w:val="0"/>
                                  <w:marBottom w:val="0"/>
                                  <w:divBdr>
                                    <w:top w:val="none" w:sz="0" w:space="0" w:color="auto"/>
                                    <w:left w:val="none" w:sz="0" w:space="0" w:color="auto"/>
                                    <w:bottom w:val="none" w:sz="0" w:space="0" w:color="auto"/>
                                    <w:right w:val="none" w:sz="0" w:space="0" w:color="auto"/>
                                  </w:divBdr>
                                  <w:divsChild>
                                    <w:div w:id="20378458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956">
      <w:marLeft w:val="0"/>
      <w:marRight w:val="0"/>
      <w:marTop w:val="0"/>
      <w:marBottom w:val="0"/>
      <w:divBdr>
        <w:top w:val="none" w:sz="0" w:space="0" w:color="auto"/>
        <w:left w:val="none" w:sz="0" w:space="0" w:color="auto"/>
        <w:bottom w:val="none" w:sz="0" w:space="0" w:color="auto"/>
        <w:right w:val="none" w:sz="0" w:space="0" w:color="auto"/>
      </w:divBdr>
    </w:div>
    <w:div w:id="2037845960">
      <w:marLeft w:val="0"/>
      <w:marRight w:val="0"/>
      <w:marTop w:val="0"/>
      <w:marBottom w:val="0"/>
      <w:divBdr>
        <w:top w:val="none" w:sz="0" w:space="0" w:color="auto"/>
        <w:left w:val="none" w:sz="0" w:space="0" w:color="auto"/>
        <w:bottom w:val="none" w:sz="0" w:space="0" w:color="auto"/>
        <w:right w:val="none" w:sz="0" w:space="0" w:color="auto"/>
      </w:divBdr>
      <w:divsChild>
        <w:div w:id="2037845694">
          <w:marLeft w:val="0"/>
          <w:marRight w:val="1"/>
          <w:marTop w:val="0"/>
          <w:marBottom w:val="0"/>
          <w:divBdr>
            <w:top w:val="none" w:sz="0" w:space="0" w:color="auto"/>
            <w:left w:val="none" w:sz="0" w:space="0" w:color="auto"/>
            <w:bottom w:val="none" w:sz="0" w:space="0" w:color="auto"/>
            <w:right w:val="none" w:sz="0" w:space="0" w:color="auto"/>
          </w:divBdr>
          <w:divsChild>
            <w:div w:id="2037845947">
              <w:marLeft w:val="0"/>
              <w:marRight w:val="0"/>
              <w:marTop w:val="0"/>
              <w:marBottom w:val="0"/>
              <w:divBdr>
                <w:top w:val="none" w:sz="0" w:space="0" w:color="auto"/>
                <w:left w:val="none" w:sz="0" w:space="0" w:color="auto"/>
                <w:bottom w:val="none" w:sz="0" w:space="0" w:color="auto"/>
                <w:right w:val="none" w:sz="0" w:space="0" w:color="auto"/>
              </w:divBdr>
              <w:divsChild>
                <w:div w:id="2037845851">
                  <w:marLeft w:val="0"/>
                  <w:marRight w:val="1"/>
                  <w:marTop w:val="0"/>
                  <w:marBottom w:val="0"/>
                  <w:divBdr>
                    <w:top w:val="none" w:sz="0" w:space="0" w:color="auto"/>
                    <w:left w:val="none" w:sz="0" w:space="0" w:color="auto"/>
                    <w:bottom w:val="none" w:sz="0" w:space="0" w:color="auto"/>
                    <w:right w:val="none" w:sz="0" w:space="0" w:color="auto"/>
                  </w:divBdr>
                  <w:divsChild>
                    <w:div w:id="2037845798">
                      <w:marLeft w:val="0"/>
                      <w:marRight w:val="0"/>
                      <w:marTop w:val="0"/>
                      <w:marBottom w:val="0"/>
                      <w:divBdr>
                        <w:top w:val="none" w:sz="0" w:space="0" w:color="auto"/>
                        <w:left w:val="none" w:sz="0" w:space="0" w:color="auto"/>
                        <w:bottom w:val="none" w:sz="0" w:space="0" w:color="auto"/>
                        <w:right w:val="none" w:sz="0" w:space="0" w:color="auto"/>
                      </w:divBdr>
                      <w:divsChild>
                        <w:div w:id="2037845718">
                          <w:marLeft w:val="0"/>
                          <w:marRight w:val="0"/>
                          <w:marTop w:val="0"/>
                          <w:marBottom w:val="0"/>
                          <w:divBdr>
                            <w:top w:val="none" w:sz="0" w:space="0" w:color="auto"/>
                            <w:left w:val="none" w:sz="0" w:space="0" w:color="auto"/>
                            <w:bottom w:val="none" w:sz="0" w:space="0" w:color="auto"/>
                            <w:right w:val="none" w:sz="0" w:space="0" w:color="auto"/>
                          </w:divBdr>
                          <w:divsChild>
                            <w:div w:id="2037845780">
                              <w:marLeft w:val="0"/>
                              <w:marRight w:val="0"/>
                              <w:marTop w:val="120"/>
                              <w:marBottom w:val="360"/>
                              <w:divBdr>
                                <w:top w:val="none" w:sz="0" w:space="0" w:color="auto"/>
                                <w:left w:val="none" w:sz="0" w:space="0" w:color="auto"/>
                                <w:bottom w:val="none" w:sz="0" w:space="0" w:color="auto"/>
                                <w:right w:val="none" w:sz="0" w:space="0" w:color="auto"/>
                              </w:divBdr>
                              <w:divsChild>
                                <w:div w:id="2037845715">
                                  <w:marLeft w:val="420"/>
                                  <w:marRight w:val="0"/>
                                  <w:marTop w:val="0"/>
                                  <w:marBottom w:val="0"/>
                                  <w:divBdr>
                                    <w:top w:val="none" w:sz="0" w:space="0" w:color="auto"/>
                                    <w:left w:val="none" w:sz="0" w:space="0" w:color="auto"/>
                                    <w:bottom w:val="none" w:sz="0" w:space="0" w:color="auto"/>
                                    <w:right w:val="none" w:sz="0" w:space="0" w:color="auto"/>
                                  </w:divBdr>
                                  <w:divsChild>
                                    <w:div w:id="20378458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45964">
      <w:marLeft w:val="0"/>
      <w:marRight w:val="0"/>
      <w:marTop w:val="0"/>
      <w:marBottom w:val="0"/>
      <w:divBdr>
        <w:top w:val="none" w:sz="0" w:space="0" w:color="auto"/>
        <w:left w:val="none" w:sz="0" w:space="0" w:color="auto"/>
        <w:bottom w:val="none" w:sz="0" w:space="0" w:color="auto"/>
        <w:right w:val="none" w:sz="0" w:space="0" w:color="auto"/>
      </w:divBdr>
      <w:divsChild>
        <w:div w:id="2037845759">
          <w:marLeft w:val="0"/>
          <w:marRight w:val="1"/>
          <w:marTop w:val="0"/>
          <w:marBottom w:val="0"/>
          <w:divBdr>
            <w:top w:val="none" w:sz="0" w:space="0" w:color="auto"/>
            <w:left w:val="none" w:sz="0" w:space="0" w:color="auto"/>
            <w:bottom w:val="none" w:sz="0" w:space="0" w:color="auto"/>
            <w:right w:val="none" w:sz="0" w:space="0" w:color="auto"/>
          </w:divBdr>
          <w:divsChild>
            <w:div w:id="2037845800">
              <w:marLeft w:val="0"/>
              <w:marRight w:val="0"/>
              <w:marTop w:val="0"/>
              <w:marBottom w:val="0"/>
              <w:divBdr>
                <w:top w:val="none" w:sz="0" w:space="0" w:color="auto"/>
                <w:left w:val="none" w:sz="0" w:space="0" w:color="auto"/>
                <w:bottom w:val="none" w:sz="0" w:space="0" w:color="auto"/>
                <w:right w:val="none" w:sz="0" w:space="0" w:color="auto"/>
              </w:divBdr>
              <w:divsChild>
                <w:div w:id="2037845865">
                  <w:marLeft w:val="0"/>
                  <w:marRight w:val="1"/>
                  <w:marTop w:val="0"/>
                  <w:marBottom w:val="0"/>
                  <w:divBdr>
                    <w:top w:val="none" w:sz="0" w:space="0" w:color="auto"/>
                    <w:left w:val="none" w:sz="0" w:space="0" w:color="auto"/>
                    <w:bottom w:val="none" w:sz="0" w:space="0" w:color="auto"/>
                    <w:right w:val="none" w:sz="0" w:space="0" w:color="auto"/>
                  </w:divBdr>
                  <w:divsChild>
                    <w:div w:id="2037845725">
                      <w:marLeft w:val="0"/>
                      <w:marRight w:val="0"/>
                      <w:marTop w:val="0"/>
                      <w:marBottom w:val="0"/>
                      <w:divBdr>
                        <w:top w:val="none" w:sz="0" w:space="0" w:color="auto"/>
                        <w:left w:val="none" w:sz="0" w:space="0" w:color="auto"/>
                        <w:bottom w:val="none" w:sz="0" w:space="0" w:color="auto"/>
                        <w:right w:val="none" w:sz="0" w:space="0" w:color="auto"/>
                      </w:divBdr>
                      <w:divsChild>
                        <w:div w:id="2037845714">
                          <w:marLeft w:val="0"/>
                          <w:marRight w:val="0"/>
                          <w:marTop w:val="0"/>
                          <w:marBottom w:val="0"/>
                          <w:divBdr>
                            <w:top w:val="none" w:sz="0" w:space="0" w:color="auto"/>
                            <w:left w:val="none" w:sz="0" w:space="0" w:color="auto"/>
                            <w:bottom w:val="none" w:sz="0" w:space="0" w:color="auto"/>
                            <w:right w:val="none" w:sz="0" w:space="0" w:color="auto"/>
                          </w:divBdr>
                          <w:divsChild>
                            <w:div w:id="2037845797">
                              <w:marLeft w:val="0"/>
                              <w:marRight w:val="0"/>
                              <w:marTop w:val="120"/>
                              <w:marBottom w:val="360"/>
                              <w:divBdr>
                                <w:top w:val="none" w:sz="0" w:space="0" w:color="auto"/>
                                <w:left w:val="none" w:sz="0" w:space="0" w:color="auto"/>
                                <w:bottom w:val="none" w:sz="0" w:space="0" w:color="auto"/>
                                <w:right w:val="none" w:sz="0" w:space="0" w:color="auto"/>
                              </w:divBdr>
                              <w:divsChild>
                                <w:div w:id="2037845853">
                                  <w:marLeft w:val="420"/>
                                  <w:marRight w:val="0"/>
                                  <w:marTop w:val="0"/>
                                  <w:marBottom w:val="0"/>
                                  <w:divBdr>
                                    <w:top w:val="none" w:sz="0" w:space="0" w:color="auto"/>
                                    <w:left w:val="none" w:sz="0" w:space="0" w:color="auto"/>
                                    <w:bottom w:val="none" w:sz="0" w:space="0" w:color="auto"/>
                                    <w:right w:val="none" w:sz="0" w:space="0" w:color="auto"/>
                                  </w:divBdr>
                                  <w:divsChild>
                                    <w:div w:id="2037845877">
                                      <w:marLeft w:val="0"/>
                                      <w:marRight w:val="0"/>
                                      <w:marTop w:val="0"/>
                                      <w:marBottom w:val="0"/>
                                      <w:divBdr>
                                        <w:top w:val="none" w:sz="0" w:space="0" w:color="auto"/>
                                        <w:left w:val="none" w:sz="0" w:space="0" w:color="auto"/>
                                        <w:bottom w:val="none" w:sz="0" w:space="0" w:color="auto"/>
                                        <w:right w:val="none" w:sz="0" w:space="0" w:color="auto"/>
                                      </w:divBdr>
                                      <w:divsChild>
                                        <w:div w:id="20378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8177</Words>
  <Characters>46609</Characters>
  <Application>Microsoft Office Word</Application>
  <DocSecurity>0</DocSecurity>
  <Lines>388</Lines>
  <Paragraphs>109</Paragraphs>
  <ScaleCrop>false</ScaleCrop>
  <Company>Lipscomb University</Company>
  <LinksUpToDate>false</LinksUpToDate>
  <CharactersWithSpaces>54677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 Ma</cp:lastModifiedBy>
  <cp:revision>2</cp:revision>
  <cp:lastPrinted>2014-01-22T16:09:00Z</cp:lastPrinted>
  <dcterms:created xsi:type="dcterms:W3CDTF">2014-04-30T19:55:00Z</dcterms:created>
  <dcterms:modified xsi:type="dcterms:W3CDTF">2014-04-30T19:55:00Z</dcterms:modified>
</cp:coreProperties>
</file>