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E347B0" w14:textId="77777777" w:rsidR="00F51274" w:rsidRDefault="00CB378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3B4201C8" w14:textId="77777777" w:rsidR="00F51274" w:rsidRDefault="00CB378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62761</w:t>
      </w:r>
    </w:p>
    <w:p w14:paraId="6E4B1D23" w14:textId="77777777" w:rsidR="00F51274" w:rsidRDefault="00CB378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LETTER TO THE EDITOR</w:t>
      </w:r>
    </w:p>
    <w:p w14:paraId="52A9AC7E" w14:textId="77777777" w:rsidR="00F51274" w:rsidRDefault="00F51274">
      <w:pPr>
        <w:spacing w:line="360" w:lineRule="auto"/>
        <w:jc w:val="both"/>
      </w:pPr>
    </w:p>
    <w:p w14:paraId="524B4373" w14:textId="77777777" w:rsidR="00F51274" w:rsidRDefault="00CB378D">
      <w:pPr>
        <w:spacing w:line="360" w:lineRule="auto"/>
        <w:jc w:val="both"/>
      </w:pPr>
      <w:r>
        <w:rPr>
          <w:rFonts w:ascii="Book Antiqua" w:eastAsia="Book Antiqua" w:hAnsi="Book Antiqua" w:cs="Book Antiqua"/>
          <w:b/>
          <w:bCs/>
          <w:color w:val="000000"/>
        </w:rPr>
        <w:t>Is there higher percentage of undetected osteopenia and osteoporosis among patients with ulcerative colitis in Saudi Arabia?</w:t>
      </w:r>
    </w:p>
    <w:p w14:paraId="2C677F46" w14:textId="77777777" w:rsidR="00F51274" w:rsidRDefault="00F51274">
      <w:pPr>
        <w:spacing w:line="360" w:lineRule="auto"/>
        <w:jc w:val="both"/>
      </w:pPr>
    </w:p>
    <w:p w14:paraId="198A7ADF" w14:textId="77777777" w:rsidR="00F51274" w:rsidRDefault="00CB378D">
      <w:pPr>
        <w:spacing w:line="360" w:lineRule="auto"/>
        <w:jc w:val="both"/>
      </w:pPr>
      <w:r>
        <w:rPr>
          <w:rFonts w:ascii="Book Antiqua" w:eastAsia="Book Antiqua" w:hAnsi="Book Antiqua" w:cs="Book Antiqua"/>
          <w:color w:val="000000"/>
        </w:rPr>
        <w:t xml:space="preserve">Olic Akrapovic I </w:t>
      </w:r>
      <w:r>
        <w:rPr>
          <w:rFonts w:ascii="Book Antiqua" w:eastAsia="Book Antiqua" w:hAnsi="Book Antiqua" w:cs="Book Antiqua"/>
          <w:i/>
          <w:iCs/>
          <w:color w:val="000000"/>
        </w:rPr>
        <w:t>et al</w:t>
      </w:r>
      <w:r>
        <w:rPr>
          <w:rFonts w:ascii="Book Antiqua" w:eastAsia="Book Antiqua" w:hAnsi="Book Antiqua" w:cs="Book Antiqua"/>
          <w:color w:val="000000"/>
        </w:rPr>
        <w:t>. Osteopenia/osteoporosis among ulcerative colitis patients</w:t>
      </w:r>
    </w:p>
    <w:p w14:paraId="709879B3" w14:textId="77777777" w:rsidR="00F51274" w:rsidRDefault="00F51274">
      <w:pPr>
        <w:spacing w:line="360" w:lineRule="auto"/>
        <w:jc w:val="both"/>
      </w:pPr>
    </w:p>
    <w:p w14:paraId="2481CD2D" w14:textId="77777777" w:rsidR="00F51274" w:rsidRDefault="00CB378D">
      <w:pPr>
        <w:spacing w:line="360" w:lineRule="auto"/>
        <w:jc w:val="both"/>
      </w:pPr>
      <w:r>
        <w:rPr>
          <w:rFonts w:ascii="Book Antiqua" w:eastAsia="Book Antiqua" w:hAnsi="Book Antiqua" w:cs="Book Antiqua"/>
          <w:color w:val="000000"/>
        </w:rPr>
        <w:t>Ivna Olic Akrapovic, Mislav Radic, Ante Tonkic</w:t>
      </w:r>
    </w:p>
    <w:p w14:paraId="22A908A6" w14:textId="77777777" w:rsidR="00F51274" w:rsidRDefault="00F51274">
      <w:pPr>
        <w:spacing w:line="360" w:lineRule="auto"/>
        <w:jc w:val="both"/>
      </w:pPr>
    </w:p>
    <w:p w14:paraId="49BD7EDA" w14:textId="77777777" w:rsidR="00F51274" w:rsidRDefault="00CB378D">
      <w:pPr>
        <w:spacing w:line="360" w:lineRule="auto"/>
        <w:jc w:val="both"/>
      </w:pPr>
      <w:r>
        <w:rPr>
          <w:rFonts w:ascii="Book Antiqua" w:eastAsia="Book Antiqua" w:hAnsi="Book Antiqua" w:cs="Book Antiqua"/>
          <w:b/>
          <w:bCs/>
          <w:color w:val="000000"/>
        </w:rPr>
        <w:t xml:space="preserve">Ivna Olic Akrapovic, </w:t>
      </w:r>
      <w:r>
        <w:rPr>
          <w:rFonts w:ascii="Book Antiqua" w:eastAsia="Book Antiqua" w:hAnsi="Book Antiqua" w:cs="Book Antiqua"/>
          <w:color w:val="000000"/>
        </w:rPr>
        <w:t>Intensive Care Unit of the Department of Internal Medicine, University Hospital Centre Split, Split 21000, Croatia</w:t>
      </w:r>
    </w:p>
    <w:p w14:paraId="05B85408" w14:textId="77777777" w:rsidR="00F51274" w:rsidRDefault="00F51274">
      <w:pPr>
        <w:spacing w:line="360" w:lineRule="auto"/>
        <w:jc w:val="both"/>
      </w:pPr>
    </w:p>
    <w:p w14:paraId="0B7C5A6D" w14:textId="77777777" w:rsidR="00F51274" w:rsidRDefault="00CB378D">
      <w:pPr>
        <w:spacing w:line="360" w:lineRule="auto"/>
        <w:jc w:val="both"/>
      </w:pPr>
      <w:r>
        <w:rPr>
          <w:rFonts w:ascii="Book Antiqua" w:eastAsia="Book Antiqua" w:hAnsi="Book Antiqua" w:cs="Book Antiqua"/>
          <w:b/>
          <w:bCs/>
          <w:color w:val="000000"/>
        </w:rPr>
        <w:t xml:space="preserve">Mislav Radic, </w:t>
      </w:r>
      <w:r>
        <w:rPr>
          <w:rFonts w:ascii="Book Antiqua" w:eastAsia="Book Antiqua" w:hAnsi="Book Antiqua" w:cs="Book Antiqua"/>
          <w:color w:val="000000"/>
        </w:rPr>
        <w:t>Division of Rheumatology and Clinical Immunology, Centre of Excellence for Systemic Sclerosis Ministry of Health Republic of Croatia, University Hospital Centre Split, Split 21000, Croatia</w:t>
      </w:r>
    </w:p>
    <w:p w14:paraId="3CA5BED2" w14:textId="77777777" w:rsidR="00F51274" w:rsidRDefault="00F51274">
      <w:pPr>
        <w:spacing w:line="360" w:lineRule="auto"/>
        <w:jc w:val="both"/>
      </w:pPr>
    </w:p>
    <w:p w14:paraId="3D96531C" w14:textId="77777777" w:rsidR="00F51274" w:rsidRDefault="00CB378D">
      <w:pPr>
        <w:spacing w:line="360" w:lineRule="auto"/>
        <w:jc w:val="both"/>
      </w:pPr>
      <w:r>
        <w:rPr>
          <w:rFonts w:ascii="Book Antiqua" w:eastAsia="Book Antiqua" w:hAnsi="Book Antiqua" w:cs="Book Antiqua"/>
          <w:b/>
          <w:bCs/>
          <w:color w:val="000000"/>
        </w:rPr>
        <w:t xml:space="preserve">Mislav Radic, Ante Tonkic, </w:t>
      </w:r>
      <w:r>
        <w:rPr>
          <w:rFonts w:ascii="Book Antiqua" w:eastAsia="Book Antiqua" w:hAnsi="Book Antiqua" w:cs="Book Antiqua"/>
          <w:color w:val="000000"/>
        </w:rPr>
        <w:t>School of Medicine, University of Split, Split 21000, Croatia</w:t>
      </w:r>
    </w:p>
    <w:p w14:paraId="4AFF2453" w14:textId="77777777" w:rsidR="00F51274" w:rsidRDefault="00F51274">
      <w:pPr>
        <w:spacing w:line="360" w:lineRule="auto"/>
        <w:jc w:val="both"/>
      </w:pPr>
    </w:p>
    <w:p w14:paraId="3921651C" w14:textId="77777777" w:rsidR="00F51274" w:rsidRDefault="00CB378D">
      <w:pPr>
        <w:spacing w:line="360" w:lineRule="auto"/>
        <w:jc w:val="both"/>
      </w:pPr>
      <w:r>
        <w:rPr>
          <w:rFonts w:ascii="Book Antiqua" w:eastAsia="Book Antiqua" w:hAnsi="Book Antiqua" w:cs="Book Antiqua"/>
          <w:b/>
          <w:bCs/>
          <w:color w:val="000000"/>
        </w:rPr>
        <w:t xml:space="preserve">Ante Tonkic, </w:t>
      </w:r>
      <w:r>
        <w:rPr>
          <w:rFonts w:ascii="Book Antiqua" w:eastAsia="Book Antiqua" w:hAnsi="Book Antiqua" w:cs="Book Antiqua"/>
          <w:color w:val="000000"/>
        </w:rPr>
        <w:t>Department of Gastroenterology and Hepatology, University Hospital Centre Split, Split 21000, Croatia</w:t>
      </w:r>
    </w:p>
    <w:p w14:paraId="5130BEA9" w14:textId="77777777" w:rsidR="00F51274" w:rsidRDefault="00F51274">
      <w:pPr>
        <w:spacing w:line="360" w:lineRule="auto"/>
        <w:jc w:val="both"/>
      </w:pPr>
    </w:p>
    <w:p w14:paraId="560F2AEA" w14:textId="77777777" w:rsidR="00F51274" w:rsidRDefault="00CB378D">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Akrapovic Olic I and Radic M designed research; Akrapovic Olic I performed research; Akrapovic Olic I and Radic M analyzed data; Akrapovic Olic I wrote the letter; Radic M and Tonkic A revised the letter.</w:t>
      </w:r>
    </w:p>
    <w:p w14:paraId="1EEE44D4" w14:textId="77777777" w:rsidR="00F51274" w:rsidRDefault="00F51274">
      <w:pPr>
        <w:spacing w:line="360" w:lineRule="auto"/>
        <w:jc w:val="both"/>
      </w:pPr>
    </w:p>
    <w:p w14:paraId="35D3291F" w14:textId="77777777" w:rsidR="00F51274" w:rsidRDefault="00CB378D">
      <w:pPr>
        <w:spacing w:line="360" w:lineRule="auto"/>
        <w:jc w:val="both"/>
      </w:pPr>
      <w:r>
        <w:rPr>
          <w:rFonts w:ascii="Book Antiqua" w:eastAsia="Book Antiqua" w:hAnsi="Book Antiqua" w:cs="Book Antiqua"/>
          <w:b/>
          <w:bCs/>
          <w:color w:val="000000"/>
        </w:rPr>
        <w:t xml:space="preserve">Corresponding author: Mislav Radic, PhD, Assistant Professor, </w:t>
      </w:r>
      <w:r>
        <w:rPr>
          <w:rFonts w:ascii="Book Antiqua" w:eastAsia="Book Antiqua" w:hAnsi="Book Antiqua" w:cs="Book Antiqua"/>
          <w:color w:val="000000"/>
        </w:rPr>
        <w:t xml:space="preserve">Division of Rheumatology and Clinical Immunology, Centre of Excellence for Systemic Sclerosis </w:t>
      </w:r>
      <w:r>
        <w:rPr>
          <w:rFonts w:ascii="Book Antiqua" w:eastAsia="Book Antiqua" w:hAnsi="Book Antiqua" w:cs="Book Antiqua"/>
          <w:color w:val="000000"/>
        </w:rPr>
        <w:lastRenderedPageBreak/>
        <w:t>Ministry of Health Republic of Croatia, University Hospital Centre Split, Soltanska 1, Split 21000, Croatia. mislavradic@gmail.com</w:t>
      </w:r>
    </w:p>
    <w:p w14:paraId="00DD5545" w14:textId="77777777" w:rsidR="00F51274" w:rsidRDefault="00F51274">
      <w:pPr>
        <w:spacing w:line="360" w:lineRule="auto"/>
        <w:jc w:val="both"/>
      </w:pPr>
    </w:p>
    <w:p w14:paraId="461CE4B9" w14:textId="77777777" w:rsidR="00F51274" w:rsidRDefault="00CB378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17, 2021</w:t>
      </w:r>
    </w:p>
    <w:p w14:paraId="5D7F70F0" w14:textId="77777777" w:rsidR="00F51274" w:rsidRDefault="00CB378D">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29, 2021</w:t>
      </w:r>
    </w:p>
    <w:p w14:paraId="7D1C836C" w14:textId="0C6BC4F9" w:rsidR="00F51274" w:rsidRDefault="00CB378D">
      <w:pPr>
        <w:spacing w:line="360" w:lineRule="auto"/>
        <w:jc w:val="both"/>
      </w:pPr>
      <w:r>
        <w:rPr>
          <w:rFonts w:ascii="Book Antiqua" w:eastAsia="Book Antiqua" w:hAnsi="Book Antiqua" w:cs="Book Antiqua"/>
          <w:b/>
          <w:bCs/>
          <w:color w:val="000000"/>
        </w:rPr>
        <w:t>Accepted:</w:t>
      </w:r>
      <w:bookmarkStart w:id="0" w:name="_GoBack"/>
      <w:r w:rsidRPr="00FF1228">
        <w:rPr>
          <w:rFonts w:ascii="Book Antiqua" w:eastAsia="Book Antiqua" w:hAnsi="Book Antiqua" w:cs="Book Antiqua"/>
          <w:bCs/>
          <w:color w:val="000000"/>
        </w:rPr>
        <w:t xml:space="preserve"> </w:t>
      </w:r>
      <w:r w:rsidR="00FF1228" w:rsidRPr="00FF1228">
        <w:rPr>
          <w:rFonts w:ascii="Book Antiqua" w:eastAsia="Book Antiqua" w:hAnsi="Book Antiqua" w:cs="Book Antiqua"/>
          <w:bCs/>
          <w:color w:val="000000"/>
        </w:rPr>
        <w:t>June 25, 2021</w:t>
      </w:r>
      <w:bookmarkEnd w:id="0"/>
    </w:p>
    <w:p w14:paraId="49EAB713" w14:textId="77777777" w:rsidR="00F51274" w:rsidRDefault="00CB378D">
      <w:pPr>
        <w:spacing w:line="360" w:lineRule="auto"/>
        <w:jc w:val="both"/>
      </w:pPr>
      <w:r>
        <w:rPr>
          <w:rFonts w:ascii="Book Antiqua" w:eastAsia="Book Antiqua" w:hAnsi="Book Antiqua" w:cs="Book Antiqua"/>
          <w:b/>
          <w:bCs/>
          <w:color w:val="000000"/>
        </w:rPr>
        <w:t xml:space="preserve">Published online: </w:t>
      </w:r>
    </w:p>
    <w:p w14:paraId="4C7E4305" w14:textId="77777777" w:rsidR="00F51274" w:rsidRDefault="00F51274">
      <w:pPr>
        <w:spacing w:line="360" w:lineRule="auto"/>
        <w:jc w:val="both"/>
        <w:sectPr w:rsidR="00F51274">
          <w:footerReference w:type="default" r:id="rId7"/>
          <w:pgSz w:w="12240" w:h="15840"/>
          <w:pgMar w:top="1440" w:right="1440" w:bottom="1440" w:left="1440" w:header="720" w:footer="720" w:gutter="0"/>
          <w:cols w:space="720"/>
          <w:docGrid w:linePitch="360"/>
        </w:sectPr>
      </w:pPr>
    </w:p>
    <w:p w14:paraId="22DDFEF8" w14:textId="77777777" w:rsidR="00F51274" w:rsidRDefault="00CB378D">
      <w:pPr>
        <w:spacing w:line="360" w:lineRule="auto"/>
        <w:jc w:val="both"/>
      </w:pPr>
      <w:r>
        <w:rPr>
          <w:rFonts w:ascii="Book Antiqua" w:eastAsia="Book Antiqua" w:hAnsi="Book Antiqua" w:cs="Book Antiqua"/>
          <w:b/>
          <w:color w:val="000000"/>
        </w:rPr>
        <w:lastRenderedPageBreak/>
        <w:t>Abstract</w:t>
      </w:r>
    </w:p>
    <w:p w14:paraId="398B3601" w14:textId="77777777" w:rsidR="00F51274" w:rsidRDefault="00CB378D">
      <w:pPr>
        <w:spacing w:line="360" w:lineRule="auto"/>
        <w:jc w:val="both"/>
      </w:pPr>
      <w:r>
        <w:rPr>
          <w:rStyle w:val="None"/>
          <w:rFonts w:ascii="Book Antiqua" w:eastAsia="Book Antiqua" w:hAnsi="Book Antiqua" w:cs="Book Antiqua"/>
          <w:color w:val="000000"/>
        </w:rPr>
        <w:t>Detection of prevalence and development of osteopenia or osteoporosis in patients with inflammatory bowel disease using only bone mineral density could be inappropriate to detect all individuals at risk for osteoporosis. Numerous patients could remain undetected by using only bone mineral density as a screening method, especially in patients with ulcerative colitis. Therefore, trabecular bone score should be used as a complementary method.</w:t>
      </w:r>
    </w:p>
    <w:p w14:paraId="2CA389E6" w14:textId="77777777" w:rsidR="00F51274" w:rsidRDefault="00F51274">
      <w:pPr>
        <w:spacing w:line="360" w:lineRule="auto"/>
        <w:jc w:val="both"/>
      </w:pPr>
    </w:p>
    <w:p w14:paraId="18EE059D" w14:textId="77777777" w:rsidR="00F51274" w:rsidRDefault="00CB378D">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Inflammatory bowel disease; Osteoporosis; Bone mineral density; Trabecular bone score</w:t>
      </w:r>
    </w:p>
    <w:p w14:paraId="7E5A0F54" w14:textId="77777777" w:rsidR="00F51274" w:rsidRDefault="00F51274">
      <w:pPr>
        <w:spacing w:line="360" w:lineRule="auto"/>
        <w:jc w:val="both"/>
      </w:pPr>
    </w:p>
    <w:p w14:paraId="600B0BAA" w14:textId="77777777" w:rsidR="00F51274" w:rsidRDefault="00CB378D">
      <w:pPr>
        <w:spacing w:line="360" w:lineRule="auto"/>
        <w:jc w:val="both"/>
      </w:pPr>
      <w:r>
        <w:rPr>
          <w:rFonts w:ascii="Book Antiqua" w:eastAsia="Book Antiqua" w:hAnsi="Book Antiqua" w:cs="Book Antiqua"/>
          <w:color w:val="000000"/>
        </w:rPr>
        <w:t xml:space="preserve">Olic Akrapovic I, Radic M, Tonkic A. Is there higher percentage of undetected osteopenia and osteoporosis among patients with ulcerative colitis in Saudi Arabia?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p w14:paraId="22CB663B" w14:textId="77777777" w:rsidR="00F51274" w:rsidRDefault="00F51274">
      <w:pPr>
        <w:spacing w:line="360" w:lineRule="auto"/>
        <w:jc w:val="both"/>
      </w:pPr>
    </w:p>
    <w:p w14:paraId="701DA75E" w14:textId="77777777" w:rsidR="00F51274" w:rsidRDefault="00CB378D">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Lower body mass index is a predictor of osteoporosis in patients with inflammatory bowel disease however, fracture risk can be increased desite normal bone mineral density. Therefore, use of trabecular bone score would ensure recruitment of individuals with normal bone mineral density at increased risk of fractures in trials.</w:t>
      </w:r>
    </w:p>
    <w:p w14:paraId="3CAABB5B" w14:textId="77777777" w:rsidR="00F51274" w:rsidRDefault="00F51274">
      <w:pPr>
        <w:spacing w:line="360" w:lineRule="auto"/>
        <w:jc w:val="both"/>
      </w:pPr>
    </w:p>
    <w:p w14:paraId="7CE275C9" w14:textId="77777777" w:rsidR="00F51274" w:rsidRDefault="00CB378D">
      <w:pPr>
        <w:spacing w:line="360" w:lineRule="auto"/>
        <w:jc w:val="both"/>
      </w:pPr>
      <w:r>
        <w:rPr>
          <w:rFonts w:ascii="Book Antiqua" w:eastAsia="Book Antiqua" w:hAnsi="Book Antiqua" w:cs="Book Antiqua"/>
          <w:b/>
          <w:caps/>
          <w:color w:val="000000"/>
          <w:u w:val="single"/>
        </w:rPr>
        <w:t>TO THE EDITOR</w:t>
      </w:r>
    </w:p>
    <w:p w14:paraId="16CD9729" w14:textId="77777777" w:rsidR="00F51274" w:rsidRDefault="00CB378D">
      <w:pPr>
        <w:spacing w:line="360" w:lineRule="auto"/>
        <w:jc w:val="both"/>
      </w:pPr>
      <w:r>
        <w:rPr>
          <w:rStyle w:val="None"/>
          <w:rFonts w:ascii="Book Antiqua" w:eastAsia="Book Antiqua" w:hAnsi="Book Antiqua" w:cs="Book Antiqua"/>
          <w:color w:val="000000"/>
        </w:rPr>
        <w:t xml:space="preserve">We read with a great interest the study by </w:t>
      </w:r>
      <w:r>
        <w:rPr>
          <w:rStyle w:val="None"/>
          <w:rFonts w:ascii="Book Antiqua" w:eastAsia="Book Antiqua" w:hAnsi="Book Antiqua" w:cs="Book Antiqua"/>
          <w:color w:val="000000"/>
          <w:shd w:val="clear" w:color="auto" w:fill="FFFFFF"/>
        </w:rPr>
        <w:t xml:space="preserve">Ewid </w:t>
      </w:r>
      <w:r>
        <w:rPr>
          <w:rStyle w:val="None"/>
          <w:rFonts w:ascii="Book Antiqua" w:eastAsia="Book Antiqua" w:hAnsi="Book Antiqua" w:cs="Book Antiqua"/>
          <w:i/>
          <w:iCs/>
          <w:color w:val="000000"/>
        </w:rPr>
        <w:t>et al</w:t>
      </w:r>
      <w:r>
        <w:rPr>
          <w:rStyle w:val="None"/>
          <w:rFonts w:ascii="Book Antiqua" w:eastAsia="Book Antiqua" w:hAnsi="Book Antiqua" w:cs="Book Antiqua"/>
          <w:color w:val="000000"/>
          <w:szCs w:val="20"/>
          <w:vertAlign w:val="superscript"/>
        </w:rPr>
        <w:t>[1]</w:t>
      </w:r>
      <w:r>
        <w:rPr>
          <w:rStyle w:val="None"/>
          <w:rFonts w:ascii="Book Antiqua" w:eastAsia="Book Antiqua" w:hAnsi="Book Antiqua" w:cs="Book Antiqua"/>
          <w:color w:val="000000"/>
        </w:rPr>
        <w:t>, that evaluated the connection</w:t>
      </w:r>
      <w:r>
        <w:rPr>
          <w:rStyle w:val="None"/>
          <w:rFonts w:ascii="Book Antiqua" w:eastAsia="Book Antiqua" w:hAnsi="Book Antiqua" w:cs="Book Antiqua"/>
          <w:color w:val="000000"/>
          <w:shd w:val="clear" w:color="auto" w:fill="FFFFFF"/>
        </w:rPr>
        <w:t xml:space="preserve"> between </w:t>
      </w:r>
      <w:r>
        <w:rPr>
          <w:rStyle w:val="None"/>
          <w:rFonts w:ascii="Book Antiqua" w:eastAsia="Book Antiqua" w:hAnsi="Book Antiqua" w:cs="Book Antiqua"/>
          <w:color w:val="000000"/>
        </w:rPr>
        <w:t xml:space="preserve">inflammatory bowel disease </w:t>
      </w:r>
      <w:r>
        <w:rPr>
          <w:rStyle w:val="None"/>
          <w:rFonts w:ascii="Book Antiqua" w:eastAsia="Book Antiqua" w:hAnsi="Book Antiqua" w:cs="Book Antiqua"/>
          <w:color w:val="000000"/>
          <w:shd w:val="clear" w:color="auto" w:fill="FFFFFF"/>
        </w:rPr>
        <w:t xml:space="preserve">(IBD) and </w:t>
      </w:r>
      <w:r>
        <w:rPr>
          <w:rStyle w:val="None"/>
          <w:rFonts w:ascii="Book Antiqua" w:eastAsia="Book Antiqua" w:hAnsi="Book Antiqua" w:cs="Book Antiqua"/>
          <w:color w:val="000000"/>
        </w:rPr>
        <w:t>bone mineral density (</w:t>
      </w:r>
      <w:r>
        <w:rPr>
          <w:rStyle w:val="None"/>
          <w:rFonts w:ascii="Book Antiqua" w:eastAsia="Book Antiqua" w:hAnsi="Book Antiqua" w:cs="Book Antiqua"/>
          <w:color w:val="000000"/>
          <w:shd w:val="clear" w:color="auto" w:fill="FFFFFF"/>
        </w:rPr>
        <w:t>BMD) in a sample of adult Saudi patients with IBD from a single center.</w:t>
      </w:r>
    </w:p>
    <w:p w14:paraId="682CAC2D" w14:textId="77777777" w:rsidR="00F51274" w:rsidRDefault="00CB378D">
      <w:pPr>
        <w:spacing w:line="360" w:lineRule="auto"/>
        <w:ind w:firstLine="480"/>
        <w:jc w:val="both"/>
      </w:pPr>
      <w:r>
        <w:rPr>
          <w:rStyle w:val="None"/>
          <w:rFonts w:ascii="Book Antiqua" w:eastAsia="Book Antiqua" w:hAnsi="Book Antiqua" w:cs="Book Antiqua"/>
          <w:color w:val="000000"/>
          <w:shd w:val="clear" w:color="auto" w:fill="FFFFFF"/>
        </w:rPr>
        <w:t xml:space="preserve">One important finding of this study was that  Crohn’s disease (CD) patients are at a higher risk of developing both osteoporosis and osteopenia than </w:t>
      </w:r>
      <w:r>
        <w:rPr>
          <w:rStyle w:val="None"/>
          <w:rFonts w:ascii="Book Antiqua" w:eastAsia="Book Antiqua" w:hAnsi="Book Antiqua" w:cs="Book Antiqua"/>
          <w:color w:val="000000"/>
        </w:rPr>
        <w:t>ulcerative colitis (</w:t>
      </w:r>
      <w:r>
        <w:rPr>
          <w:rStyle w:val="None"/>
          <w:rFonts w:ascii="Book Antiqua" w:eastAsia="Book Antiqua" w:hAnsi="Book Antiqua" w:cs="Book Antiqua"/>
          <w:color w:val="000000"/>
          <w:shd w:val="clear" w:color="auto" w:fill="FFFFFF"/>
        </w:rPr>
        <w:t xml:space="preserve">UC) patients, even though the study included more patients with severe clinical disease activity and endoscopic activity in the UC group than in the CD group (25% </w:t>
      </w:r>
      <w:r>
        <w:rPr>
          <w:rStyle w:val="None"/>
          <w:rFonts w:ascii="Book Antiqua" w:eastAsia="Book Antiqua" w:hAnsi="Book Antiqua" w:cs="Book Antiqua"/>
          <w:i/>
          <w:iCs/>
          <w:color w:val="000000"/>
          <w:shd w:val="clear" w:color="auto" w:fill="FFFFFF"/>
        </w:rPr>
        <w:t>vs</w:t>
      </w:r>
      <w:r>
        <w:rPr>
          <w:rStyle w:val="None"/>
          <w:rFonts w:ascii="Book Antiqua" w:eastAsia="Book Antiqua" w:hAnsi="Book Antiqua" w:cs="Book Antiqua"/>
          <w:color w:val="000000"/>
          <w:shd w:val="clear" w:color="auto" w:fill="FFFFFF"/>
        </w:rPr>
        <w:t xml:space="preserve"> 5%, respectively). In spite of disease severity, 78% of UC patients had normal BMD </w:t>
      </w:r>
      <w:r>
        <w:rPr>
          <w:rStyle w:val="None"/>
          <w:rFonts w:ascii="Book Antiqua" w:eastAsia="Book Antiqua" w:hAnsi="Book Antiqua" w:cs="Book Antiqua"/>
          <w:i/>
          <w:iCs/>
          <w:color w:val="000000"/>
          <w:shd w:val="clear" w:color="auto" w:fill="FFFFFF"/>
        </w:rPr>
        <w:t>vs</w:t>
      </w:r>
      <w:r>
        <w:rPr>
          <w:rStyle w:val="None"/>
          <w:rFonts w:ascii="Book Antiqua" w:eastAsia="Book Antiqua" w:hAnsi="Book Antiqua" w:cs="Book Antiqua"/>
          <w:color w:val="000000"/>
          <w:shd w:val="clear" w:color="auto" w:fill="FFFFFF"/>
        </w:rPr>
        <w:t xml:space="preserve"> 44% </w:t>
      </w:r>
      <w:r>
        <w:rPr>
          <w:rStyle w:val="None"/>
          <w:rFonts w:ascii="Book Antiqua" w:eastAsia="Book Antiqua" w:hAnsi="Book Antiqua" w:cs="Book Antiqua"/>
          <w:color w:val="000000"/>
          <w:shd w:val="clear" w:color="auto" w:fill="FFFFFF"/>
        </w:rPr>
        <w:lastRenderedPageBreak/>
        <w:t xml:space="preserve">of CD patients. </w:t>
      </w:r>
      <w:r>
        <w:rPr>
          <w:rStyle w:val="None"/>
          <w:rFonts w:ascii="Book Antiqua" w:eastAsia="Book Antiqua" w:hAnsi="Book Antiqua" w:cs="Book Antiqua"/>
          <w:color w:val="000000"/>
        </w:rPr>
        <w:t xml:space="preserve">Fracture risk can be increased despite normal BMD. Maldonado </w:t>
      </w:r>
      <w:r>
        <w:rPr>
          <w:rStyle w:val="None"/>
          <w:rFonts w:ascii="Book Antiqua" w:eastAsia="Book Antiqua" w:hAnsi="Book Antiqua" w:cs="Book Antiqua"/>
          <w:i/>
          <w:iCs/>
          <w:color w:val="000000"/>
        </w:rPr>
        <w:t>et al</w:t>
      </w:r>
      <w:r>
        <w:rPr>
          <w:rStyle w:val="None"/>
          <w:rFonts w:ascii="Book Antiqua" w:eastAsia="Book Antiqua" w:hAnsi="Book Antiqua" w:cs="Book Antiqua"/>
          <w:color w:val="000000"/>
          <w:szCs w:val="20"/>
          <w:vertAlign w:val="superscript"/>
        </w:rPr>
        <w:t>[2]</w:t>
      </w:r>
      <w:r>
        <w:rPr>
          <w:rStyle w:val="None"/>
          <w:rFonts w:ascii="Book Antiqua" w:eastAsia="Book Antiqua" w:hAnsi="Book Antiqua" w:cs="Book Antiqua"/>
          <w:color w:val="000000"/>
        </w:rPr>
        <w:t xml:space="preserve"> suggested that current screening does not include all IBD patients at increased risk of fractures.</w:t>
      </w:r>
      <w:r>
        <w:rPr>
          <w:rStyle w:val="None"/>
          <w:rFonts w:ascii="Book Antiqua" w:eastAsia="Book Antiqua" w:hAnsi="Book Antiqua" w:cs="Book Antiqua"/>
          <w:color w:val="000000"/>
          <w:shd w:val="clear" w:color="auto" w:fill="FFFFFF"/>
        </w:rPr>
        <w:t xml:space="preserve"> </w:t>
      </w:r>
      <w:r>
        <w:rPr>
          <w:rStyle w:val="None"/>
          <w:rFonts w:ascii="Book Antiqua" w:eastAsia="Book Antiqua" w:hAnsi="Book Antiqua" w:cs="Book Antiqua"/>
          <w:color w:val="000000"/>
        </w:rPr>
        <w:t>We propose using trabecular bone score (TBS) as a complementary tool; as it discriminates patients at higher risk of fractures better than BMD</w:t>
      </w:r>
      <w:r>
        <w:rPr>
          <w:rStyle w:val="None"/>
          <w:rFonts w:ascii="Book Antiqua" w:eastAsia="Book Antiqua" w:hAnsi="Book Antiqua" w:cs="Book Antiqua"/>
          <w:color w:val="000000"/>
          <w:szCs w:val="20"/>
          <w:vertAlign w:val="superscript"/>
        </w:rPr>
        <w:t>[3]</w:t>
      </w:r>
      <w:r>
        <w:rPr>
          <w:rStyle w:val="None"/>
          <w:rFonts w:ascii="Book Antiqua" w:eastAsia="Book Antiqua" w:hAnsi="Book Antiqua" w:cs="Book Antiqua"/>
          <w:color w:val="000000"/>
        </w:rPr>
        <w:t>.</w:t>
      </w:r>
    </w:p>
    <w:p w14:paraId="14D6219A" w14:textId="77777777" w:rsidR="00F51274" w:rsidRDefault="00CB378D">
      <w:pPr>
        <w:spacing w:line="360" w:lineRule="auto"/>
        <w:ind w:firstLine="480"/>
        <w:jc w:val="both"/>
      </w:pPr>
      <w:r>
        <w:rPr>
          <w:rStyle w:val="None"/>
          <w:rFonts w:ascii="Book Antiqua" w:eastAsia="Book Antiqua" w:hAnsi="Book Antiqua" w:cs="Book Antiqua"/>
          <w:color w:val="000000"/>
          <w:shd w:val="clear" w:color="auto" w:fill="FFFFFF"/>
        </w:rPr>
        <w:t xml:space="preserve">According to demographic characteristics in the study, mesalamine use was significantly higher in the UC compared to CD group (81% </w:t>
      </w:r>
      <w:r>
        <w:rPr>
          <w:rStyle w:val="None"/>
          <w:rFonts w:ascii="Book Antiqua" w:eastAsia="Book Antiqua" w:hAnsi="Book Antiqua" w:cs="Book Antiqua"/>
          <w:i/>
          <w:iCs/>
          <w:color w:val="000000"/>
          <w:shd w:val="clear" w:color="auto" w:fill="FFFFFF"/>
        </w:rPr>
        <w:t>vs</w:t>
      </w:r>
      <w:r>
        <w:rPr>
          <w:rStyle w:val="None"/>
          <w:rFonts w:ascii="Book Antiqua" w:eastAsia="Book Antiqua" w:hAnsi="Book Antiqua" w:cs="Book Antiqua"/>
          <w:color w:val="000000"/>
          <w:shd w:val="clear" w:color="auto" w:fill="FFFFFF"/>
        </w:rPr>
        <w:t xml:space="preserve"> 10%, respectively). Due to the sample size of UC group an analysis of BMD according to mesalamine use probably could not have been performed nevertheless, the analysis would be highly informative. Hence, we postulate a question: could mesalamine use have contributed to lower risk of developing osteoporosis in UC compared to the CD cohort?</w:t>
      </w:r>
    </w:p>
    <w:p w14:paraId="75D3CFF5" w14:textId="77777777" w:rsidR="00F51274" w:rsidRDefault="00CB378D">
      <w:pPr>
        <w:spacing w:line="360" w:lineRule="auto"/>
        <w:ind w:firstLine="480"/>
        <w:jc w:val="both"/>
      </w:pPr>
      <w:r>
        <w:rPr>
          <w:rStyle w:val="None"/>
          <w:rFonts w:ascii="Book Antiqua" w:eastAsia="Book Antiqua" w:hAnsi="Book Antiqua" w:cs="Book Antiqua"/>
          <w:color w:val="000000"/>
        </w:rPr>
        <w:t xml:space="preserve">Krajcovicova </w:t>
      </w:r>
      <w:r>
        <w:rPr>
          <w:rStyle w:val="None"/>
          <w:rFonts w:ascii="Book Antiqua" w:eastAsia="Book Antiqua" w:hAnsi="Book Antiqua" w:cs="Book Antiqua"/>
          <w:i/>
          <w:iCs/>
          <w:color w:val="000000"/>
        </w:rPr>
        <w:t>et al</w:t>
      </w:r>
      <w:r>
        <w:rPr>
          <w:rStyle w:val="None"/>
          <w:rFonts w:ascii="Book Antiqua" w:eastAsia="Book Antiqua" w:hAnsi="Book Antiqua" w:cs="Book Antiqua"/>
          <w:color w:val="000000"/>
          <w:szCs w:val="20"/>
          <w:vertAlign w:val="superscript"/>
        </w:rPr>
        <w:t>[4]</w:t>
      </w:r>
      <w:r>
        <w:rPr>
          <w:rStyle w:val="None"/>
          <w:rFonts w:ascii="Book Antiqua" w:eastAsia="Book Antiqua" w:hAnsi="Book Antiqua" w:cs="Book Antiqua"/>
          <w:color w:val="000000"/>
        </w:rPr>
        <w:t xml:space="preserve"> observed no significant difference in the prevalence of low BMD in groups of patients with UC and CD. They observed that corticosteroid therapy and menopause had significant negative effects, whereas combined treatment with an anti-tumor necrosis factor (TNF) α agent and azathioprine had a significant positive effect on Δ BMD at the lumbar spine (BMDL) per year</w:t>
      </w:r>
      <w:r>
        <w:rPr>
          <w:rStyle w:val="None"/>
          <w:rFonts w:ascii="Book Antiqua" w:eastAsia="Book Antiqua" w:hAnsi="Book Antiqua" w:cs="Book Antiqua"/>
          <w:color w:val="000000"/>
          <w:szCs w:val="20"/>
          <w:vertAlign w:val="superscript"/>
        </w:rPr>
        <w:t>[4]</w:t>
      </w:r>
      <w:r>
        <w:rPr>
          <w:rStyle w:val="None"/>
          <w:rFonts w:ascii="Book Antiqua" w:eastAsia="Book Antiqua" w:hAnsi="Book Antiqua" w:cs="Book Antiqua"/>
          <w:color w:val="000000"/>
        </w:rPr>
        <w:t>.</w:t>
      </w:r>
    </w:p>
    <w:p w14:paraId="59DDE0FD" w14:textId="77777777" w:rsidR="00F51274" w:rsidRDefault="00CB378D">
      <w:pPr>
        <w:spacing w:line="360" w:lineRule="auto"/>
        <w:ind w:firstLine="480"/>
        <w:jc w:val="both"/>
      </w:pPr>
      <w:r>
        <w:rPr>
          <w:rStyle w:val="None"/>
          <w:rFonts w:ascii="Book Antiqua" w:eastAsia="Book Antiqua" w:hAnsi="Book Antiqua" w:cs="Book Antiqua"/>
          <w:color w:val="000000"/>
          <w:shd w:val="clear" w:color="auto" w:fill="FFFFFF"/>
        </w:rPr>
        <w:t xml:space="preserve">The study also showed that low BMI is a risk factor for reduced BMD. According to Fawzy </w:t>
      </w:r>
      <w:r>
        <w:rPr>
          <w:rStyle w:val="None"/>
          <w:rFonts w:ascii="Book Antiqua" w:eastAsia="Book Antiqua" w:hAnsi="Book Antiqua" w:cs="Book Antiqua"/>
          <w:i/>
          <w:iCs/>
          <w:color w:val="000000"/>
          <w:shd w:val="clear" w:color="auto" w:fill="FFFFFF"/>
        </w:rPr>
        <w:t>et al</w:t>
      </w:r>
      <w:r>
        <w:rPr>
          <w:rStyle w:val="None"/>
          <w:rFonts w:ascii="Book Antiqua" w:eastAsia="Book Antiqua" w:hAnsi="Book Antiqua" w:cs="Book Antiqua"/>
          <w:color w:val="000000"/>
          <w:szCs w:val="20"/>
          <w:vertAlign w:val="superscript"/>
        </w:rPr>
        <w:t>[5]</w:t>
      </w:r>
      <w:r>
        <w:rPr>
          <w:rStyle w:val="None"/>
          <w:rFonts w:ascii="Book Antiqua" w:eastAsia="Book Antiqua" w:hAnsi="Book Antiqua" w:cs="Book Antiqua"/>
          <w:color w:val="000000"/>
          <w:shd w:val="clear" w:color="auto" w:fill="FFFFFF"/>
        </w:rPr>
        <w:t xml:space="preserve"> and Steinschneider </w:t>
      </w:r>
      <w:r>
        <w:rPr>
          <w:rStyle w:val="None"/>
          <w:rFonts w:ascii="Book Antiqua" w:eastAsia="Book Antiqua" w:hAnsi="Book Antiqua" w:cs="Book Antiqua"/>
          <w:i/>
          <w:iCs/>
          <w:color w:val="000000"/>
          <w:shd w:val="clear" w:color="auto" w:fill="FFFFFF"/>
        </w:rPr>
        <w:t>et al</w:t>
      </w:r>
      <w:r>
        <w:rPr>
          <w:rStyle w:val="None"/>
          <w:rFonts w:ascii="Book Antiqua" w:eastAsia="Book Antiqua" w:hAnsi="Book Antiqua" w:cs="Book Antiqua"/>
          <w:color w:val="000000"/>
          <w:szCs w:val="20"/>
          <w:vertAlign w:val="superscript"/>
        </w:rPr>
        <w:t>[6]</w:t>
      </w:r>
      <w:r>
        <w:rPr>
          <w:rStyle w:val="None"/>
          <w:rFonts w:ascii="Book Antiqua" w:eastAsia="Book Antiqua" w:hAnsi="Book Antiqua" w:cs="Book Antiqua"/>
          <w:color w:val="000000"/>
          <w:shd w:val="clear" w:color="auto" w:fill="FFFFFF"/>
        </w:rPr>
        <w:t>, i</w:t>
      </w:r>
      <w:r>
        <w:rPr>
          <w:rStyle w:val="None"/>
          <w:rFonts w:ascii="Book Antiqua" w:eastAsia="Book Antiqua" w:hAnsi="Book Antiqua" w:cs="Book Antiqua"/>
          <w:color w:val="000000"/>
        </w:rPr>
        <w:t>ncreased BMD commonly reported in overweight women may be a result of soft tissue interference, further supporting addition of TBS as a screening method for osteoporosis in research and  clinical practice.</w:t>
      </w:r>
    </w:p>
    <w:p w14:paraId="300D34D6" w14:textId="77777777" w:rsidR="00F51274" w:rsidRDefault="00CB378D">
      <w:pPr>
        <w:spacing w:line="360" w:lineRule="auto"/>
        <w:ind w:firstLine="480"/>
        <w:jc w:val="both"/>
      </w:pPr>
      <w:r>
        <w:rPr>
          <w:rStyle w:val="None"/>
          <w:rFonts w:ascii="Book Antiqua" w:eastAsia="Book Antiqua" w:hAnsi="Book Antiqua" w:cs="Book Antiqua"/>
          <w:color w:val="000000"/>
          <w:shd w:val="clear" w:color="auto" w:fill="FFFFFF"/>
        </w:rPr>
        <w:t xml:space="preserve">An unexpected finding in this study is the lack of correlation between steroid use and BMD. Paggiosi </w:t>
      </w:r>
      <w:r>
        <w:rPr>
          <w:rStyle w:val="None"/>
          <w:rFonts w:ascii="Book Antiqua" w:eastAsia="Book Antiqua" w:hAnsi="Book Antiqua" w:cs="Book Antiqua"/>
          <w:i/>
          <w:iCs/>
          <w:color w:val="000000"/>
          <w:shd w:val="clear" w:color="auto" w:fill="FFFFFF"/>
        </w:rPr>
        <w:t>et al</w:t>
      </w:r>
      <w:r>
        <w:rPr>
          <w:rStyle w:val="None"/>
          <w:rFonts w:ascii="Book Antiqua" w:eastAsia="Book Antiqua" w:hAnsi="Book Antiqua" w:cs="Book Antiqua"/>
          <w:color w:val="000000"/>
          <w:szCs w:val="30"/>
          <w:shd w:val="clear" w:color="auto" w:fill="FFFFFF"/>
          <w:vertAlign w:val="superscript"/>
        </w:rPr>
        <w:t>[7]</w:t>
      </w:r>
      <w:r>
        <w:rPr>
          <w:rStyle w:val="None"/>
          <w:rFonts w:ascii="Book Antiqua" w:eastAsia="Book Antiqua" w:hAnsi="Book Antiqua" w:cs="Book Antiqua"/>
          <w:color w:val="000000"/>
          <w:shd w:val="clear" w:color="auto" w:fill="FFFFFF"/>
        </w:rPr>
        <w:t xml:space="preserve"> demonstrated that TBS alone and BMDL in combination with TBS, but not BMDL alone were able to discriminate between glucocorticoid-treated and glucocorticoid-naïve women. In the study by Gulyás </w:t>
      </w:r>
      <w:r>
        <w:rPr>
          <w:rStyle w:val="None"/>
          <w:rFonts w:ascii="Book Antiqua" w:eastAsia="Book Antiqua" w:hAnsi="Book Antiqua" w:cs="Book Antiqua"/>
          <w:i/>
          <w:iCs/>
          <w:color w:val="000000"/>
          <w:shd w:val="clear" w:color="auto" w:fill="FFFFFF"/>
        </w:rPr>
        <w:t>et al</w:t>
      </w:r>
      <w:r>
        <w:rPr>
          <w:rStyle w:val="None"/>
          <w:rFonts w:ascii="Book Antiqua" w:eastAsia="Book Antiqua" w:hAnsi="Book Antiqua" w:cs="Book Antiqua"/>
          <w:color w:val="000000"/>
          <w:szCs w:val="20"/>
          <w:vertAlign w:val="superscript"/>
        </w:rPr>
        <w:t>[8]</w:t>
      </w:r>
      <w:r>
        <w:rPr>
          <w:rStyle w:val="None"/>
          <w:rFonts w:ascii="Book Antiqua" w:eastAsia="Book Antiqua" w:hAnsi="Book Antiqua" w:cs="Book Antiqua"/>
          <w:color w:val="000000"/>
          <w:shd w:val="clear" w:color="auto" w:fill="FFFFFF"/>
        </w:rPr>
        <w:t xml:space="preserve"> TNF-α inhibition slowed down generalized bone loss in rheumatoid arthritis and ankylosing spondylitis. Effect of anti TNF therapy on bone metabolism was not confirmed </w:t>
      </w:r>
      <w:r>
        <w:rPr>
          <w:rStyle w:val="None"/>
          <w:rFonts w:ascii="Book Antiqua" w:eastAsia="Book Antiqua" w:hAnsi="Book Antiqua" w:cs="Book Antiqua"/>
          <w:color w:val="000000"/>
        </w:rPr>
        <w:t xml:space="preserve">by </w:t>
      </w:r>
      <w:r>
        <w:rPr>
          <w:rStyle w:val="None"/>
          <w:rFonts w:ascii="Book Antiqua" w:eastAsia="Book Antiqua" w:hAnsi="Book Antiqua" w:cs="Book Antiqua"/>
          <w:color w:val="000000"/>
          <w:shd w:val="clear" w:color="auto" w:fill="FFFFFF"/>
        </w:rPr>
        <w:t xml:space="preserve">Ewid </w:t>
      </w:r>
      <w:r>
        <w:rPr>
          <w:rStyle w:val="None"/>
          <w:rFonts w:ascii="Book Antiqua" w:eastAsia="Book Antiqua" w:hAnsi="Book Antiqua" w:cs="Book Antiqua"/>
          <w:i/>
          <w:iCs/>
          <w:color w:val="000000"/>
        </w:rPr>
        <w:t>et al</w:t>
      </w:r>
      <w:r>
        <w:rPr>
          <w:rStyle w:val="None"/>
          <w:rFonts w:ascii="Book Antiqua" w:eastAsia="Book Antiqua" w:hAnsi="Book Antiqua" w:cs="Book Antiqua"/>
          <w:color w:val="000000"/>
          <w:szCs w:val="20"/>
          <w:vertAlign w:val="superscript"/>
        </w:rPr>
        <w:t xml:space="preserve">[1] </w:t>
      </w:r>
      <w:r>
        <w:rPr>
          <w:rStyle w:val="None"/>
          <w:rFonts w:ascii="Book Antiqua" w:eastAsia="Book Antiqua" w:hAnsi="Book Antiqua" w:cs="Book Antiqua"/>
          <w:color w:val="000000"/>
        </w:rPr>
        <w:t xml:space="preserve">hence, </w:t>
      </w:r>
      <w:r>
        <w:rPr>
          <w:rStyle w:val="None"/>
          <w:rFonts w:ascii="Book Antiqua" w:eastAsia="Book Antiqua" w:hAnsi="Book Antiqua" w:cs="Book Antiqua"/>
          <w:color w:val="000000"/>
          <w:shd w:val="clear" w:color="auto" w:fill="FFFFFF"/>
        </w:rPr>
        <w:t>the effect is questionable in IBD.</w:t>
      </w:r>
    </w:p>
    <w:p w14:paraId="05B0B0F0" w14:textId="77777777" w:rsidR="00F51274" w:rsidRDefault="00CB378D">
      <w:pPr>
        <w:spacing w:line="360" w:lineRule="auto"/>
        <w:ind w:firstLine="480"/>
        <w:jc w:val="both"/>
      </w:pPr>
      <w:r>
        <w:rPr>
          <w:rStyle w:val="None"/>
          <w:rFonts w:ascii="Book Antiqua" w:eastAsia="Book Antiqua" w:hAnsi="Book Antiqua" w:cs="Book Antiqua"/>
          <w:color w:val="000000"/>
        </w:rPr>
        <w:t xml:space="preserve">Addition of TBS would enable inclusion of individuals with normal BMD at increased fracture risk. In conclusion, by including both screening methods osteoporotic fracture risk in UC </w:t>
      </w:r>
      <w:r>
        <w:rPr>
          <w:rStyle w:val="None"/>
          <w:rFonts w:ascii="Book Antiqua" w:eastAsia="Book Antiqua" w:hAnsi="Book Antiqua" w:cs="Book Antiqua"/>
          <w:i/>
          <w:iCs/>
          <w:color w:val="000000"/>
        </w:rPr>
        <w:t xml:space="preserve">vs </w:t>
      </w:r>
      <w:r>
        <w:rPr>
          <w:rStyle w:val="None"/>
          <w:rFonts w:ascii="Book Antiqua" w:eastAsia="Book Antiqua" w:hAnsi="Book Antiqua" w:cs="Book Antiqua"/>
          <w:color w:val="000000"/>
        </w:rPr>
        <w:t>CD cohort could be assessed more accurately.</w:t>
      </w:r>
    </w:p>
    <w:p w14:paraId="6680ADB1" w14:textId="77777777" w:rsidR="00F51274" w:rsidRDefault="00F51274">
      <w:pPr>
        <w:spacing w:line="360" w:lineRule="auto"/>
        <w:ind w:firstLine="480"/>
        <w:jc w:val="both"/>
      </w:pPr>
    </w:p>
    <w:p w14:paraId="71945C94" w14:textId="77777777" w:rsidR="00F51274" w:rsidRDefault="00CB378D">
      <w:pPr>
        <w:spacing w:line="360" w:lineRule="auto"/>
        <w:jc w:val="both"/>
      </w:pPr>
      <w:r>
        <w:rPr>
          <w:rFonts w:ascii="Book Antiqua" w:eastAsia="Book Antiqua" w:hAnsi="Book Antiqua" w:cs="Book Antiqua"/>
          <w:b/>
          <w:color w:val="000000"/>
        </w:rPr>
        <w:t>REFERENCES</w:t>
      </w:r>
    </w:p>
    <w:p w14:paraId="63B08E94" w14:textId="77777777" w:rsidR="00F51274" w:rsidRDefault="00CB378D">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Ewid M</w:t>
      </w:r>
      <w:r>
        <w:rPr>
          <w:rFonts w:ascii="Book Antiqua" w:eastAsia="Book Antiqua" w:hAnsi="Book Antiqua" w:cs="Book Antiqua"/>
          <w:color w:val="000000"/>
        </w:rPr>
        <w:t xml:space="preserve">, Al Mutiri N, Al Omar K, Shamsan AN, Rathore AA, Saquib N, Salaas A, Al Sarraj O, Nasri Y, Attal A, Tawfiq A, Sherif H. Updated bone mineral density status in Saudi patients with inflammatory bowel disease.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5343-5353 [PMID: 32994692 DOI: 10.3748/wjg.v26.i35.5343]</w:t>
      </w:r>
    </w:p>
    <w:p w14:paraId="075AA480" w14:textId="77777777" w:rsidR="00F51274" w:rsidRDefault="00CB378D">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Maldonado FJ</w:t>
      </w:r>
      <w:r>
        <w:rPr>
          <w:rFonts w:ascii="Book Antiqua" w:eastAsia="Book Antiqua" w:hAnsi="Book Antiqua" w:cs="Book Antiqua"/>
          <w:color w:val="000000"/>
        </w:rPr>
        <w:t xml:space="preserve">, Al Bawardy BF, Nehra AK, Lee YS, Bruining DH, Adkins MC, Keaveny TM, Johnson MP, Fidler JL, McCollough CH, Fletcher JG. Findings of CT-Derived Bone Strength Assessment in Inflammatory Bowel Disease Patients Undergoing CT Enterography in Clinical Practice. </w:t>
      </w:r>
      <w:r>
        <w:rPr>
          <w:rFonts w:ascii="Book Antiqua" w:eastAsia="Book Antiqua" w:hAnsi="Book Antiqua" w:cs="Book Antiqua"/>
          <w:i/>
          <w:iCs/>
          <w:color w:val="000000"/>
        </w:rPr>
        <w:t>Inflamm Bowel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1072-1079 [PMID: 30476314 DOI: 10.1093/ibd/izy341]</w:t>
      </w:r>
    </w:p>
    <w:p w14:paraId="3B658915" w14:textId="77777777" w:rsidR="00F51274" w:rsidRDefault="00CB378D">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McCloskey EV</w:t>
      </w:r>
      <w:r>
        <w:rPr>
          <w:rFonts w:ascii="Book Antiqua" w:eastAsia="Book Antiqua" w:hAnsi="Book Antiqua" w:cs="Book Antiqua"/>
          <w:color w:val="000000"/>
        </w:rPr>
        <w:t xml:space="preserve">, Odén A, Harvey NC, Leslie WD, Hans D, Johansson H, Barkmann R, Boutroy S, Brown J, Chapurlat R, Elders PJM, Fujita Y, Glüer CC, Goltzman D, Iki M, Karlsson M, Kindmark A, Kotowicz M, Kurumatani N, Kwok T, Lamy O, Leung J, Lippuner K, Ljunggren Ö, Lorentzon M, Mellström D, Merlijn T, Oei L, Ohlsson C, Pasco JA, Rivadeneira F, Rosengren B, Sornay-Rendu E, Szulc P, Tamaki J, Kanis JA. A Meta-Analysis of Trabecular Bone Score in Fracture Risk Prediction and Its Relationship to FRAX. </w:t>
      </w:r>
      <w:r>
        <w:rPr>
          <w:rFonts w:ascii="Book Antiqua" w:eastAsia="Book Antiqua" w:hAnsi="Book Antiqua" w:cs="Book Antiqua"/>
          <w:i/>
          <w:iCs/>
          <w:color w:val="000000"/>
        </w:rPr>
        <w:t>J Bone Miner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31</w:t>
      </w:r>
      <w:r>
        <w:rPr>
          <w:rFonts w:ascii="Book Antiqua" w:eastAsia="Book Antiqua" w:hAnsi="Book Antiqua" w:cs="Book Antiqua"/>
          <w:color w:val="000000"/>
        </w:rPr>
        <w:t>: 940-948 [PMID: 26498132 DOI: 10.1002/jbmr.2734]</w:t>
      </w:r>
    </w:p>
    <w:p w14:paraId="4148C884" w14:textId="77777777" w:rsidR="00F51274" w:rsidRDefault="00CB378D">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Krajcovicova A</w:t>
      </w:r>
      <w:r>
        <w:rPr>
          <w:rFonts w:ascii="Book Antiqua" w:eastAsia="Book Antiqua" w:hAnsi="Book Antiqua" w:cs="Book Antiqua"/>
          <w:color w:val="000000"/>
        </w:rPr>
        <w:t xml:space="preserve">, Hlavaty T, Killinger Z, Miznerova E, Toth J, Letkovsky J, Nevidanska M, Cierny D, Koller T, Zelinkova Z, Huorka M, Payer J. Combination therapy with an immunomodulator and anti-TNFα agent improves bone mineral density in IBD patients. </w:t>
      </w:r>
      <w:r>
        <w:rPr>
          <w:rFonts w:ascii="Book Antiqua" w:eastAsia="Book Antiqua" w:hAnsi="Book Antiqua" w:cs="Book Antiqua"/>
          <w:i/>
          <w:iCs/>
          <w:color w:val="000000"/>
        </w:rPr>
        <w:t>J Crohns Colitis</w:t>
      </w:r>
      <w:r>
        <w:rPr>
          <w:rFonts w:ascii="Book Antiqua" w:eastAsia="Book Antiqua" w:hAnsi="Book Antiqua" w:cs="Book Antiqua"/>
          <w:color w:val="000000"/>
        </w:rPr>
        <w:t xml:space="preserve"> 2014; </w:t>
      </w:r>
      <w:r>
        <w:rPr>
          <w:rFonts w:ascii="Book Antiqua" w:eastAsia="Book Antiqua" w:hAnsi="Book Antiqua" w:cs="Book Antiqua"/>
          <w:b/>
          <w:bCs/>
          <w:color w:val="000000"/>
        </w:rPr>
        <w:t>8</w:t>
      </w:r>
      <w:r>
        <w:rPr>
          <w:rFonts w:ascii="Book Antiqua" w:eastAsia="Book Antiqua" w:hAnsi="Book Antiqua" w:cs="Book Antiqua"/>
          <w:color w:val="000000"/>
        </w:rPr>
        <w:t>: 1693-1701 [PMID: 25175812 DOI: 10.1016/j.crohns.2014.08.004]</w:t>
      </w:r>
    </w:p>
    <w:p w14:paraId="20413A49" w14:textId="77777777" w:rsidR="00F51274" w:rsidRDefault="00CB378D">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Fawzy T</w:t>
      </w:r>
      <w:r>
        <w:rPr>
          <w:rFonts w:ascii="Book Antiqua" w:eastAsia="Book Antiqua" w:hAnsi="Book Antiqua" w:cs="Book Antiqua"/>
          <w:color w:val="000000"/>
        </w:rPr>
        <w:t xml:space="preserve">, Muttappallymyalil J, Sreedharan J, Ahmed A, Alshamsi SO, Al Ali MS, Al Balsooshi KA. Association between Body Mass Index and Bone Mineral Density in Patients Referred for Dual-Energy X-Ray Absorptiometry Scan in Ajman, UAE. </w:t>
      </w:r>
      <w:r>
        <w:rPr>
          <w:rFonts w:ascii="Book Antiqua" w:eastAsia="Book Antiqua" w:hAnsi="Book Antiqua" w:cs="Book Antiqua"/>
          <w:i/>
          <w:iCs/>
          <w:color w:val="000000"/>
        </w:rPr>
        <w:t>J Osteoporos</w:t>
      </w:r>
      <w:r>
        <w:rPr>
          <w:rFonts w:ascii="Book Antiqua" w:eastAsia="Book Antiqua" w:hAnsi="Book Antiqua" w:cs="Book Antiqua"/>
          <w:color w:val="000000"/>
        </w:rPr>
        <w:t xml:space="preserve"> 2011; </w:t>
      </w:r>
      <w:r>
        <w:rPr>
          <w:rFonts w:ascii="Book Antiqua" w:eastAsia="Book Antiqua" w:hAnsi="Book Antiqua" w:cs="Book Antiqua"/>
          <w:b/>
          <w:bCs/>
          <w:color w:val="000000"/>
        </w:rPr>
        <w:t>2011</w:t>
      </w:r>
      <w:r>
        <w:rPr>
          <w:rFonts w:ascii="Book Antiqua" w:eastAsia="Book Antiqua" w:hAnsi="Book Antiqua" w:cs="Book Antiqua"/>
          <w:color w:val="000000"/>
        </w:rPr>
        <w:t>: 876309 [PMID: 21772978 DOI: 10.4061/2011/876309]</w:t>
      </w:r>
    </w:p>
    <w:p w14:paraId="0165BD31" w14:textId="77777777" w:rsidR="00F51274" w:rsidRDefault="00CB378D">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Steinschneider M</w:t>
      </w:r>
      <w:r>
        <w:rPr>
          <w:rFonts w:ascii="Book Antiqua" w:eastAsia="Book Antiqua" w:hAnsi="Book Antiqua" w:cs="Book Antiqua"/>
          <w:color w:val="000000"/>
        </w:rPr>
        <w:t xml:space="preserve">, Hagag P, Rapoport MJ, Weiss M. Discordant effect of body mass index on bone mineral density and speed of sound. </w:t>
      </w:r>
      <w:r>
        <w:rPr>
          <w:rFonts w:ascii="Book Antiqua" w:eastAsia="Book Antiqua" w:hAnsi="Book Antiqua" w:cs="Book Antiqua"/>
          <w:i/>
          <w:iCs/>
          <w:color w:val="000000"/>
        </w:rPr>
        <w:t>BMC Musculoskelet Disord</w:t>
      </w:r>
      <w:r>
        <w:rPr>
          <w:rFonts w:ascii="Book Antiqua" w:eastAsia="Book Antiqua" w:hAnsi="Book Antiqua" w:cs="Book Antiqua"/>
          <w:color w:val="000000"/>
        </w:rPr>
        <w:t xml:space="preserve"> 2003; </w:t>
      </w:r>
      <w:r>
        <w:rPr>
          <w:rFonts w:ascii="Book Antiqua" w:eastAsia="Book Antiqua" w:hAnsi="Book Antiqua" w:cs="Book Antiqua"/>
          <w:b/>
          <w:bCs/>
          <w:color w:val="000000"/>
        </w:rPr>
        <w:t>4</w:t>
      </w:r>
      <w:r>
        <w:rPr>
          <w:rFonts w:ascii="Book Antiqua" w:eastAsia="Book Antiqua" w:hAnsi="Book Antiqua" w:cs="Book Antiqua"/>
          <w:color w:val="000000"/>
        </w:rPr>
        <w:t>: 15 [PMID: 12864923 DOI: 10.1186/1471-2474-4-15]</w:t>
      </w:r>
    </w:p>
    <w:p w14:paraId="3717BCE5" w14:textId="77777777" w:rsidR="00F51274" w:rsidRDefault="00CB378D">
      <w:pPr>
        <w:spacing w:line="360" w:lineRule="auto"/>
        <w:jc w:val="both"/>
      </w:pPr>
      <w:r>
        <w:rPr>
          <w:rFonts w:ascii="Book Antiqua" w:eastAsia="Book Antiqua" w:hAnsi="Book Antiqua" w:cs="Book Antiqua"/>
          <w:color w:val="000000"/>
        </w:rPr>
        <w:lastRenderedPageBreak/>
        <w:t xml:space="preserve">7 </w:t>
      </w:r>
      <w:r>
        <w:rPr>
          <w:rFonts w:ascii="Book Antiqua" w:eastAsia="Book Antiqua" w:hAnsi="Book Antiqua" w:cs="Book Antiqua"/>
          <w:b/>
          <w:bCs/>
          <w:color w:val="000000"/>
        </w:rPr>
        <w:t>Paggiosi MA</w:t>
      </w:r>
      <w:r>
        <w:rPr>
          <w:rFonts w:ascii="Book Antiqua" w:eastAsia="Book Antiqua" w:hAnsi="Book Antiqua" w:cs="Book Antiqua"/>
          <w:color w:val="000000"/>
        </w:rPr>
        <w:t xml:space="preserve">, Peel NF, Eastell R. The impact of glucocorticoid therapy on trabecular bone score in older women. </w:t>
      </w:r>
      <w:r>
        <w:rPr>
          <w:rFonts w:ascii="Book Antiqua" w:eastAsia="Book Antiqua" w:hAnsi="Book Antiqua" w:cs="Book Antiqua"/>
          <w:i/>
          <w:iCs/>
          <w:color w:val="000000"/>
        </w:rPr>
        <w:t>Osteoporos Int</w:t>
      </w:r>
      <w:r>
        <w:rPr>
          <w:rFonts w:ascii="Book Antiqua" w:eastAsia="Book Antiqua" w:hAnsi="Book Antiqua" w:cs="Book Antiqua"/>
          <w:color w:val="000000"/>
        </w:rPr>
        <w:t xml:space="preserve"> 2015; </w:t>
      </w:r>
      <w:r>
        <w:rPr>
          <w:rFonts w:ascii="Book Antiqua" w:eastAsia="Book Antiqua" w:hAnsi="Book Antiqua" w:cs="Book Antiqua"/>
          <w:b/>
          <w:bCs/>
          <w:color w:val="000000"/>
        </w:rPr>
        <w:t>26</w:t>
      </w:r>
      <w:r>
        <w:rPr>
          <w:rFonts w:ascii="Book Antiqua" w:eastAsia="Book Antiqua" w:hAnsi="Book Antiqua" w:cs="Book Antiqua"/>
          <w:color w:val="000000"/>
        </w:rPr>
        <w:t>: 1773-1780 [PMID: 25743176 DOI: 10.1007/s00198-015-3078-1]</w:t>
      </w:r>
    </w:p>
    <w:p w14:paraId="24B66A98" w14:textId="77777777" w:rsidR="00F51274" w:rsidRDefault="00CB378D">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Gulyás K</w:t>
      </w:r>
      <w:r>
        <w:rPr>
          <w:rFonts w:ascii="Book Antiqua" w:eastAsia="Book Antiqua" w:hAnsi="Book Antiqua" w:cs="Book Antiqua"/>
          <w:color w:val="000000"/>
        </w:rPr>
        <w:t xml:space="preserve">, Horváth Á, Végh E, Pusztai A, Szentpétery Á, Pethö Z, Váncsa A, Bodnár N, Csomor P, Hamar A, Bodoki L, Bhattoa HP, Juhász B, Nagy Z, Hodosi K, Karosi T, FitzGerald O, Szücs G, Szekanecz Z, Szamosi S, Szántó S. Effects of 1-year anti-TNF-α therapies on bone mineral density and bone biomarkers in rheumatoid arthritis and ankylosing spondylitis. </w:t>
      </w:r>
      <w:r>
        <w:rPr>
          <w:rFonts w:ascii="Book Antiqua" w:eastAsia="Book Antiqua" w:hAnsi="Book Antiqua" w:cs="Book Antiqua"/>
          <w:i/>
          <w:iCs/>
          <w:color w:val="000000"/>
        </w:rPr>
        <w:t>Clin Rheumatol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39</w:t>
      </w:r>
      <w:r>
        <w:rPr>
          <w:rFonts w:ascii="Book Antiqua" w:eastAsia="Book Antiqua" w:hAnsi="Book Antiqua" w:cs="Book Antiqua"/>
          <w:color w:val="000000"/>
        </w:rPr>
        <w:t>: 167-175 [PMID: 31522318 DOI: 10.1007/s10067-019-04771-3]</w:t>
      </w:r>
    </w:p>
    <w:p w14:paraId="05242084" w14:textId="77777777" w:rsidR="00F51274" w:rsidRDefault="00F51274">
      <w:pPr>
        <w:spacing w:line="360" w:lineRule="auto"/>
        <w:jc w:val="both"/>
        <w:sectPr w:rsidR="00F51274">
          <w:pgSz w:w="12240" w:h="15840"/>
          <w:pgMar w:top="1440" w:right="1440" w:bottom="1440" w:left="1440" w:header="720" w:footer="720" w:gutter="0"/>
          <w:cols w:space="720"/>
          <w:docGrid w:linePitch="360"/>
        </w:sectPr>
      </w:pPr>
    </w:p>
    <w:p w14:paraId="56000C84" w14:textId="77777777" w:rsidR="00F51274" w:rsidRDefault="00CB378D">
      <w:pPr>
        <w:spacing w:line="360" w:lineRule="auto"/>
        <w:jc w:val="both"/>
      </w:pPr>
      <w:r>
        <w:rPr>
          <w:rFonts w:ascii="Book Antiqua" w:eastAsia="Book Antiqua" w:hAnsi="Book Antiqua" w:cs="Book Antiqua"/>
          <w:b/>
          <w:color w:val="000000"/>
        </w:rPr>
        <w:lastRenderedPageBreak/>
        <w:t>Footnotes</w:t>
      </w:r>
    </w:p>
    <w:p w14:paraId="5AED165E" w14:textId="77777777" w:rsidR="00F51274" w:rsidRDefault="00CB378D">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zCs w:val="20"/>
          <w:shd w:val="clear" w:color="auto" w:fill="FFFFFF"/>
        </w:rPr>
        <w:t>The authors declare no conflicts of interest.</w:t>
      </w:r>
    </w:p>
    <w:p w14:paraId="547FFC00" w14:textId="77777777" w:rsidR="00F51274" w:rsidRDefault="00F51274">
      <w:pPr>
        <w:spacing w:line="360" w:lineRule="auto"/>
        <w:jc w:val="both"/>
      </w:pPr>
    </w:p>
    <w:p w14:paraId="4CF35C66" w14:textId="77777777" w:rsidR="00F51274" w:rsidRDefault="00CB378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F2C8B13" w14:textId="77777777" w:rsidR="00F51274" w:rsidRDefault="00F51274">
      <w:pPr>
        <w:spacing w:line="360" w:lineRule="auto"/>
        <w:jc w:val="both"/>
      </w:pPr>
    </w:p>
    <w:p w14:paraId="5AE01F75" w14:textId="77777777" w:rsidR="00F51274" w:rsidRDefault="00CB378D">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Pr>
          <w:rFonts w:ascii="Book Antiqua" w:eastAsia="宋体" w:hAnsi="Book Antiqua" w:cs="Book Antiqua" w:hint="eastAsia"/>
          <w:color w:val="000000"/>
          <w:lang w:eastAsia="zh-CN"/>
        </w:rPr>
        <w:t>m</w:t>
      </w:r>
      <w:r>
        <w:rPr>
          <w:rFonts w:ascii="Book Antiqua" w:eastAsia="Book Antiqua" w:hAnsi="Book Antiqua" w:cs="Book Antiqua"/>
          <w:color w:val="000000"/>
        </w:rPr>
        <w:t>anuscript</w:t>
      </w:r>
    </w:p>
    <w:p w14:paraId="6323B740" w14:textId="77777777" w:rsidR="00F51274" w:rsidRDefault="00F51274">
      <w:pPr>
        <w:spacing w:line="360" w:lineRule="auto"/>
        <w:jc w:val="both"/>
      </w:pPr>
    </w:p>
    <w:p w14:paraId="6C39F3BB" w14:textId="77777777" w:rsidR="00F51274" w:rsidRDefault="00CB378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17, 2021</w:t>
      </w:r>
    </w:p>
    <w:p w14:paraId="064832D7" w14:textId="77777777" w:rsidR="00F51274" w:rsidRDefault="00CB378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23, 2021</w:t>
      </w:r>
    </w:p>
    <w:p w14:paraId="1AD316C8" w14:textId="77777777" w:rsidR="00F51274" w:rsidRDefault="00CB378D">
      <w:pPr>
        <w:spacing w:line="360" w:lineRule="auto"/>
        <w:jc w:val="both"/>
      </w:pPr>
      <w:r>
        <w:rPr>
          <w:rFonts w:ascii="Book Antiqua" w:eastAsia="Book Antiqua" w:hAnsi="Book Antiqua" w:cs="Book Antiqua"/>
          <w:b/>
          <w:color w:val="000000"/>
        </w:rPr>
        <w:t xml:space="preserve">Article in press: </w:t>
      </w:r>
    </w:p>
    <w:p w14:paraId="2F1DC4BC" w14:textId="77777777" w:rsidR="00F51274" w:rsidRDefault="00F51274">
      <w:pPr>
        <w:spacing w:line="360" w:lineRule="auto"/>
        <w:jc w:val="both"/>
      </w:pPr>
    </w:p>
    <w:p w14:paraId="24111E1D" w14:textId="77777777" w:rsidR="00F51274" w:rsidRDefault="00CB378D">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Pr>
          <w:rFonts w:ascii="Book Antiqua" w:eastAsia="宋体" w:hAnsi="Book Antiqua" w:cs="Book Antiqua" w:hint="eastAsia"/>
          <w:color w:val="000000"/>
          <w:lang w:eastAsia="zh-CN"/>
        </w:rPr>
        <w:t>h</w:t>
      </w:r>
      <w:r>
        <w:rPr>
          <w:rFonts w:ascii="Book Antiqua" w:eastAsia="Book Antiqua" w:hAnsi="Book Antiqua" w:cs="Book Antiqua"/>
          <w:color w:val="000000"/>
        </w:rPr>
        <w:t>epatology</w:t>
      </w:r>
    </w:p>
    <w:p w14:paraId="3FBD12C1" w14:textId="77777777" w:rsidR="00F51274" w:rsidRDefault="00CB378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Croatia</w:t>
      </w:r>
    </w:p>
    <w:p w14:paraId="5385563F" w14:textId="77777777" w:rsidR="00F51274" w:rsidRDefault="00CB378D">
      <w:pPr>
        <w:spacing w:line="360" w:lineRule="auto"/>
        <w:jc w:val="both"/>
      </w:pPr>
      <w:r>
        <w:rPr>
          <w:rFonts w:ascii="Book Antiqua" w:eastAsia="Book Antiqua" w:hAnsi="Book Antiqua" w:cs="Book Antiqua"/>
          <w:b/>
          <w:color w:val="000000"/>
        </w:rPr>
        <w:t>Peer-review report’s scientific quality classification</w:t>
      </w:r>
    </w:p>
    <w:p w14:paraId="3D4A8A73" w14:textId="77777777" w:rsidR="00F51274" w:rsidRDefault="00CB378D">
      <w:pPr>
        <w:spacing w:line="360" w:lineRule="auto"/>
        <w:jc w:val="both"/>
      </w:pPr>
      <w:r>
        <w:rPr>
          <w:rFonts w:ascii="Book Antiqua" w:eastAsia="Book Antiqua" w:hAnsi="Book Antiqua" w:cs="Book Antiqua"/>
          <w:color w:val="000000"/>
        </w:rPr>
        <w:t>Grade A (Excellent): 0</w:t>
      </w:r>
    </w:p>
    <w:p w14:paraId="6FAE3644" w14:textId="77777777" w:rsidR="00F51274" w:rsidRDefault="00CB378D">
      <w:pPr>
        <w:spacing w:line="360" w:lineRule="auto"/>
        <w:jc w:val="both"/>
      </w:pPr>
      <w:r>
        <w:rPr>
          <w:rFonts w:ascii="Book Antiqua" w:eastAsia="Book Antiqua" w:hAnsi="Book Antiqua" w:cs="Book Antiqua"/>
          <w:color w:val="000000"/>
        </w:rPr>
        <w:t>Grade B (Very good): B, B, B</w:t>
      </w:r>
    </w:p>
    <w:p w14:paraId="0964BC67" w14:textId="77777777" w:rsidR="00F51274" w:rsidRDefault="00CB378D">
      <w:pPr>
        <w:spacing w:line="360" w:lineRule="auto"/>
        <w:jc w:val="both"/>
        <w:rPr>
          <w:rFonts w:eastAsia="宋体"/>
          <w:lang w:eastAsia="zh-CN"/>
        </w:rPr>
      </w:pPr>
      <w:r>
        <w:rPr>
          <w:rFonts w:ascii="Book Antiqua" w:eastAsia="Book Antiqua" w:hAnsi="Book Antiqua" w:cs="Book Antiqua"/>
          <w:color w:val="000000"/>
        </w:rPr>
        <w:t>Grade C (Good): C, C</w:t>
      </w:r>
      <w:r>
        <w:rPr>
          <w:rFonts w:ascii="Book Antiqua" w:eastAsia="宋体" w:hAnsi="Book Antiqua" w:cs="Book Antiqua" w:hint="eastAsia"/>
          <w:color w:val="000000"/>
          <w:lang w:eastAsia="zh-CN"/>
        </w:rPr>
        <w:t>, C</w:t>
      </w:r>
    </w:p>
    <w:p w14:paraId="789C6BE5" w14:textId="77777777" w:rsidR="00F51274" w:rsidRDefault="00CB378D">
      <w:pPr>
        <w:spacing w:line="360" w:lineRule="auto"/>
        <w:jc w:val="both"/>
      </w:pPr>
      <w:r>
        <w:rPr>
          <w:rFonts w:ascii="Book Antiqua" w:eastAsia="Book Antiqua" w:hAnsi="Book Antiqua" w:cs="Book Antiqua"/>
          <w:color w:val="000000"/>
        </w:rPr>
        <w:t>Grade D (Fair): 0</w:t>
      </w:r>
    </w:p>
    <w:p w14:paraId="23E41E0A" w14:textId="77777777" w:rsidR="00F51274" w:rsidRDefault="00CB378D">
      <w:pPr>
        <w:spacing w:line="360" w:lineRule="auto"/>
        <w:jc w:val="both"/>
      </w:pPr>
      <w:r>
        <w:rPr>
          <w:rFonts w:ascii="Book Antiqua" w:eastAsia="Book Antiqua" w:hAnsi="Book Antiqua" w:cs="Book Antiqua"/>
          <w:color w:val="000000"/>
        </w:rPr>
        <w:t>Grade E (Poor): 0</w:t>
      </w:r>
    </w:p>
    <w:p w14:paraId="01612434" w14:textId="77777777" w:rsidR="00F51274" w:rsidRDefault="00F51274">
      <w:pPr>
        <w:spacing w:line="360" w:lineRule="auto"/>
        <w:jc w:val="both"/>
      </w:pPr>
    </w:p>
    <w:p w14:paraId="06B685B5" w14:textId="77777777" w:rsidR="00F51274" w:rsidRDefault="00CB378D">
      <w:pPr>
        <w:spacing w:line="360" w:lineRule="auto"/>
        <w:jc w:val="both"/>
      </w:pPr>
      <w:r>
        <w:rPr>
          <w:rFonts w:ascii="Book Antiqua" w:eastAsia="Book Antiqua" w:hAnsi="Book Antiqua" w:cs="Book Antiqua"/>
          <w:b/>
          <w:color w:val="000000"/>
        </w:rPr>
        <w:t xml:space="preserve">P-Reviewer: </w:t>
      </w:r>
      <w:r>
        <w:rPr>
          <w:rFonts w:ascii="Book Antiqua" w:eastAsia="Book Antiqua" w:hAnsi="Book Antiqua" w:cs="Book Antiqua"/>
          <w:color w:val="000000"/>
        </w:rPr>
        <w:t>Huan C, Kamimura K, Takagi T, Wakao H</w:t>
      </w:r>
      <w:r>
        <w:rPr>
          <w:rFonts w:ascii="Book Antiqua" w:eastAsia="Book Antiqua" w:hAnsi="Book Antiqua" w:cs="Book Antiqua"/>
          <w:b/>
          <w:color w:val="000000"/>
        </w:rPr>
        <w:t xml:space="preserve"> S-Editor: </w:t>
      </w:r>
      <w:r>
        <w:rPr>
          <w:rFonts w:ascii="Book Antiqua" w:eastAsia="Book Antiqua" w:hAnsi="Book Antiqua" w:cs="Book Antiqua"/>
          <w:color w:val="000000"/>
        </w:rPr>
        <w:t>Liu M</w:t>
      </w:r>
      <w:r>
        <w:rPr>
          <w:rFonts w:ascii="Book Antiqua" w:eastAsia="Book Antiqua" w:hAnsi="Book Antiqua" w:cs="Book Antiqua"/>
          <w:b/>
          <w:color w:val="000000"/>
        </w:rPr>
        <w:t xml:space="preserve"> L-Editor:  P-Editor: </w:t>
      </w:r>
    </w:p>
    <w:sectPr w:rsidR="00F512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2E0A80" w14:textId="77777777" w:rsidR="00FF2632" w:rsidRDefault="00FF2632" w:rsidP="00CB378D">
      <w:r>
        <w:separator/>
      </w:r>
    </w:p>
  </w:endnote>
  <w:endnote w:type="continuationSeparator" w:id="0">
    <w:p w14:paraId="792D430A" w14:textId="77777777" w:rsidR="00FF2632" w:rsidRDefault="00FF2632" w:rsidP="00CB3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371284"/>
      <w:docPartObj>
        <w:docPartGallery w:val="Page Numbers (Bottom of Page)"/>
        <w:docPartUnique/>
      </w:docPartObj>
    </w:sdtPr>
    <w:sdtEndPr/>
    <w:sdtContent>
      <w:sdt>
        <w:sdtPr>
          <w:id w:val="-1705238520"/>
          <w:docPartObj>
            <w:docPartGallery w:val="Page Numbers (Top of Page)"/>
            <w:docPartUnique/>
          </w:docPartObj>
        </w:sdtPr>
        <w:sdtEndPr/>
        <w:sdtContent>
          <w:p w14:paraId="7E5FAE9E" w14:textId="1880B3B2" w:rsidR="00CB378D" w:rsidRDefault="00CB378D" w:rsidP="00CB378D">
            <w:pPr>
              <w:pStyle w:val="a3"/>
              <w:jc w:val="right"/>
            </w:pPr>
            <w:r w:rsidRPr="00CB378D">
              <w:rPr>
                <w:rFonts w:ascii="Book Antiqua" w:hAnsi="Book Antiqua"/>
                <w:sz w:val="24"/>
                <w:szCs w:val="24"/>
                <w:lang w:val="zh-CN" w:eastAsia="zh-CN"/>
              </w:rPr>
              <w:t xml:space="preserve"> </w:t>
            </w:r>
            <w:r w:rsidRPr="00CB378D">
              <w:rPr>
                <w:rFonts w:ascii="Book Antiqua" w:hAnsi="Book Antiqua"/>
                <w:b/>
                <w:bCs/>
                <w:sz w:val="24"/>
                <w:szCs w:val="24"/>
              </w:rPr>
              <w:fldChar w:fldCharType="begin"/>
            </w:r>
            <w:r w:rsidRPr="00CB378D">
              <w:rPr>
                <w:rFonts w:ascii="Book Antiqua" w:hAnsi="Book Antiqua"/>
                <w:b/>
                <w:bCs/>
                <w:sz w:val="24"/>
                <w:szCs w:val="24"/>
              </w:rPr>
              <w:instrText>PAGE</w:instrText>
            </w:r>
            <w:r w:rsidRPr="00CB378D">
              <w:rPr>
                <w:rFonts w:ascii="Book Antiqua" w:hAnsi="Book Antiqua"/>
                <w:b/>
                <w:bCs/>
                <w:sz w:val="24"/>
                <w:szCs w:val="24"/>
              </w:rPr>
              <w:fldChar w:fldCharType="separate"/>
            </w:r>
            <w:r w:rsidR="00FF1228">
              <w:rPr>
                <w:rFonts w:ascii="Book Antiqua" w:hAnsi="Book Antiqua"/>
                <w:b/>
                <w:bCs/>
                <w:noProof/>
                <w:sz w:val="24"/>
                <w:szCs w:val="24"/>
              </w:rPr>
              <w:t>2</w:t>
            </w:r>
            <w:r w:rsidRPr="00CB378D">
              <w:rPr>
                <w:rFonts w:ascii="Book Antiqua" w:hAnsi="Book Antiqua"/>
                <w:b/>
                <w:bCs/>
                <w:sz w:val="24"/>
                <w:szCs w:val="24"/>
              </w:rPr>
              <w:fldChar w:fldCharType="end"/>
            </w:r>
            <w:r w:rsidRPr="00CB378D">
              <w:rPr>
                <w:rFonts w:ascii="Book Antiqua" w:hAnsi="Book Antiqua"/>
                <w:sz w:val="24"/>
                <w:szCs w:val="24"/>
                <w:lang w:val="zh-CN" w:eastAsia="zh-CN"/>
              </w:rPr>
              <w:t xml:space="preserve"> / </w:t>
            </w:r>
            <w:r w:rsidRPr="00CB378D">
              <w:rPr>
                <w:rFonts w:ascii="Book Antiqua" w:hAnsi="Book Antiqua"/>
                <w:b/>
                <w:bCs/>
                <w:sz w:val="24"/>
                <w:szCs w:val="24"/>
              </w:rPr>
              <w:fldChar w:fldCharType="begin"/>
            </w:r>
            <w:r w:rsidRPr="00CB378D">
              <w:rPr>
                <w:rFonts w:ascii="Book Antiqua" w:hAnsi="Book Antiqua"/>
                <w:b/>
                <w:bCs/>
                <w:sz w:val="24"/>
                <w:szCs w:val="24"/>
              </w:rPr>
              <w:instrText>NUMPAGES</w:instrText>
            </w:r>
            <w:r w:rsidRPr="00CB378D">
              <w:rPr>
                <w:rFonts w:ascii="Book Antiqua" w:hAnsi="Book Antiqua"/>
                <w:b/>
                <w:bCs/>
                <w:sz w:val="24"/>
                <w:szCs w:val="24"/>
              </w:rPr>
              <w:fldChar w:fldCharType="separate"/>
            </w:r>
            <w:r w:rsidR="00FF1228">
              <w:rPr>
                <w:rFonts w:ascii="Book Antiqua" w:hAnsi="Book Antiqua"/>
                <w:b/>
                <w:bCs/>
                <w:noProof/>
                <w:sz w:val="24"/>
                <w:szCs w:val="24"/>
              </w:rPr>
              <w:t>7</w:t>
            </w:r>
            <w:r w:rsidRPr="00CB378D">
              <w:rPr>
                <w:rFonts w:ascii="Book Antiqua" w:hAnsi="Book Antiqua"/>
                <w:b/>
                <w:bCs/>
                <w:sz w:val="24"/>
                <w:szCs w:val="24"/>
              </w:rPr>
              <w:fldChar w:fldCharType="end"/>
            </w:r>
          </w:p>
        </w:sdtContent>
      </w:sdt>
    </w:sdtContent>
  </w:sdt>
  <w:p w14:paraId="2D3532E8" w14:textId="77777777" w:rsidR="00CB378D" w:rsidRDefault="00CB378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66F8FC" w14:textId="77777777" w:rsidR="00FF2632" w:rsidRDefault="00FF2632" w:rsidP="00CB378D">
      <w:r>
        <w:separator/>
      </w:r>
    </w:p>
  </w:footnote>
  <w:footnote w:type="continuationSeparator" w:id="0">
    <w:p w14:paraId="67152C59" w14:textId="77777777" w:rsidR="00FF2632" w:rsidRDefault="00FF2632" w:rsidP="00CB37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3924E2"/>
    <w:rsid w:val="00A77B3E"/>
    <w:rsid w:val="00CA2A55"/>
    <w:rsid w:val="00CB378D"/>
    <w:rsid w:val="00F51274"/>
    <w:rsid w:val="00FF1228"/>
    <w:rsid w:val="00FF2632"/>
    <w:rsid w:val="4FA95A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E302A9"/>
  <w15:docId w15:val="{143E3FAA-A648-4777-95BB-700225465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pPr>
    <w:rPr>
      <w:sz w:val="18"/>
      <w:szCs w:val="18"/>
    </w:rPr>
  </w:style>
  <w:style w:type="paragraph" w:styleId="a4">
    <w:name w:val="header"/>
    <w:basedOn w:val="a"/>
    <w:link w:val="Char0"/>
    <w:unhideWhenUsed/>
    <w:pPr>
      <w:pBdr>
        <w:bottom w:val="single" w:sz="6" w:space="1" w:color="auto"/>
      </w:pBdr>
      <w:tabs>
        <w:tab w:val="center" w:pos="4153"/>
        <w:tab w:val="right" w:pos="8306"/>
      </w:tabs>
      <w:snapToGrid w:val="0"/>
      <w:jc w:val="center"/>
    </w:pPr>
    <w:rPr>
      <w:sz w:val="18"/>
      <w:szCs w:val="18"/>
    </w:rPr>
  </w:style>
  <w:style w:type="character" w:customStyle="1" w:styleId="None">
    <w:name w:val="None"/>
    <w:basedOn w:val="a0"/>
  </w:style>
  <w:style w:type="character" w:customStyle="1" w:styleId="Char0">
    <w:name w:val="页眉 Char"/>
    <w:basedOn w:val="a0"/>
    <w:link w:val="a4"/>
    <w:qFormat/>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1404</Words>
  <Characters>8004</Characters>
  <Application>Microsoft Office Word</Application>
  <DocSecurity>0</DocSecurity>
  <Lines>66</Lines>
  <Paragraphs>18</Paragraphs>
  <ScaleCrop>false</ScaleCrop>
  <Company/>
  <LinksUpToDate>false</LinksUpToDate>
  <CharactersWithSpaces>9390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Man</dc:creator>
  <cp:lastModifiedBy>Admin</cp:lastModifiedBy>
  <cp:revision>4</cp:revision>
  <dcterms:created xsi:type="dcterms:W3CDTF">2021-06-22T12:35:00Z</dcterms:created>
  <dcterms:modified xsi:type="dcterms:W3CDTF">2021-06-25T08:53:00Z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A8EB2EFB0ACD43B7857480B5BE8D5ECB</vt:lpwstr>
  </property>
</Properties>
</file>