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8D7E78" w14:textId="77777777" w:rsidR="00A77B3E" w:rsidRDefault="004B644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24399FA1" w14:textId="77777777" w:rsidR="00A77B3E" w:rsidRDefault="004B644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62816</w:t>
      </w:r>
    </w:p>
    <w:p w14:paraId="51ADBBC1" w14:textId="6F827C44" w:rsidR="00A77B3E" w:rsidRDefault="004B6445">
      <w:pPr>
        <w:spacing w:line="360" w:lineRule="auto"/>
        <w:jc w:val="both"/>
      </w:pPr>
      <w:r>
        <w:rPr>
          <w:rFonts w:ascii="Book Antiqua" w:eastAsia="Book Antiqua" w:hAnsi="Book Antiqua" w:cs="Book Antiqua"/>
          <w:b/>
          <w:color w:val="000000"/>
        </w:rPr>
        <w:t xml:space="preserve">Manuscript Type: </w:t>
      </w:r>
      <w:bookmarkStart w:id="0" w:name="OLE_LINK28"/>
      <w:r>
        <w:rPr>
          <w:rFonts w:ascii="Book Antiqua" w:eastAsia="Book Antiqua" w:hAnsi="Book Antiqua" w:cs="Book Antiqua"/>
          <w:color w:val="000000"/>
        </w:rPr>
        <w:t>META-ANALYSIS</w:t>
      </w:r>
      <w:bookmarkEnd w:id="0"/>
    </w:p>
    <w:p w14:paraId="1108B3E8" w14:textId="77777777" w:rsidR="00A77B3E" w:rsidRDefault="00A77B3E">
      <w:pPr>
        <w:spacing w:line="360" w:lineRule="auto"/>
        <w:jc w:val="both"/>
      </w:pPr>
    </w:p>
    <w:p w14:paraId="15EA8820" w14:textId="77777777" w:rsidR="00A77B3E" w:rsidRDefault="004B6445">
      <w:pPr>
        <w:spacing w:line="360" w:lineRule="auto"/>
        <w:jc w:val="both"/>
      </w:pPr>
      <w:bookmarkStart w:id="1" w:name="OLE_LINK19"/>
      <w:bookmarkStart w:id="2" w:name="OLE_LINK20"/>
      <w:r>
        <w:rPr>
          <w:rFonts w:ascii="Book Antiqua" w:eastAsia="Book Antiqua" w:hAnsi="Book Antiqua" w:cs="Book Antiqua"/>
          <w:b/>
          <w:bCs/>
          <w:color w:val="000000"/>
        </w:rPr>
        <w:t>Biliary drainage in inoperable malignant biliary distal obstruction: A systematic review and meta-analysis</w:t>
      </w:r>
    </w:p>
    <w:bookmarkEnd w:id="1"/>
    <w:bookmarkEnd w:id="2"/>
    <w:p w14:paraId="6174F9FB" w14:textId="77777777" w:rsidR="00A77B3E" w:rsidRDefault="00A77B3E">
      <w:pPr>
        <w:spacing w:line="360" w:lineRule="auto"/>
        <w:jc w:val="both"/>
      </w:pPr>
    </w:p>
    <w:p w14:paraId="5FA70187" w14:textId="7F097E2F" w:rsidR="00A77B3E" w:rsidRPr="004B6445" w:rsidRDefault="004B6445">
      <w:pPr>
        <w:spacing w:line="360" w:lineRule="auto"/>
        <w:jc w:val="both"/>
      </w:pPr>
      <w:r w:rsidRPr="004B6445">
        <w:rPr>
          <w:rFonts w:ascii="Book Antiqua" w:eastAsia="Book Antiqua" w:hAnsi="Book Antiqua" w:cs="Book Antiqua"/>
          <w:color w:val="000000"/>
        </w:rPr>
        <w:t xml:space="preserve">Scatimburgo </w:t>
      </w:r>
      <w:r w:rsidRPr="004B6445">
        <w:rPr>
          <w:rStyle w:val="fontstyle31"/>
          <w:rFonts w:ascii="Book Antiqua" w:eastAsia="Book Antiqua" w:hAnsi="Book Antiqua" w:cs="Book Antiqua"/>
          <w:color w:val="000000"/>
        </w:rPr>
        <w:t>MVCV</w:t>
      </w:r>
      <w:r w:rsidRPr="004B6445">
        <w:rPr>
          <w:rFonts w:ascii="Book Antiqua" w:eastAsia="Book Antiqua" w:hAnsi="Book Antiqua" w:cs="Book Antiqua"/>
          <w:color w:val="000000"/>
        </w:rPr>
        <w:t xml:space="preserve"> </w:t>
      </w:r>
      <w:r w:rsidRPr="004B6445">
        <w:rPr>
          <w:rFonts w:ascii="Book Antiqua" w:eastAsia="Book Antiqua" w:hAnsi="Book Antiqua" w:cs="Book Antiqua"/>
          <w:i/>
          <w:iCs/>
          <w:color w:val="000000"/>
        </w:rPr>
        <w:t>et al.</w:t>
      </w:r>
      <w:r w:rsidRPr="004B6445">
        <w:rPr>
          <w:rFonts w:ascii="Book Antiqua" w:eastAsia="Book Antiqua" w:hAnsi="Book Antiqua" w:cs="Book Antiqua"/>
          <w:color w:val="000000"/>
        </w:rPr>
        <w:t xml:space="preserve"> </w:t>
      </w:r>
      <w:bookmarkStart w:id="3" w:name="OLE_LINK21"/>
      <w:bookmarkStart w:id="4" w:name="OLE_LINK22"/>
      <w:bookmarkStart w:id="5" w:name="OLE_LINK23"/>
      <w:r w:rsidRPr="004B6445">
        <w:rPr>
          <w:rFonts w:ascii="Book Antiqua" w:eastAsia="Book Antiqua" w:hAnsi="Book Antiqua" w:cs="Book Antiqua"/>
          <w:color w:val="000000"/>
        </w:rPr>
        <w:t>Endoscopic drainage for malignant distal biliary obstruction</w:t>
      </w:r>
      <w:bookmarkEnd w:id="3"/>
      <w:bookmarkEnd w:id="4"/>
      <w:bookmarkEnd w:id="5"/>
    </w:p>
    <w:p w14:paraId="24F26EBD" w14:textId="77777777" w:rsidR="00A77B3E" w:rsidRDefault="00A77B3E">
      <w:pPr>
        <w:spacing w:line="360" w:lineRule="auto"/>
        <w:jc w:val="both"/>
      </w:pPr>
    </w:p>
    <w:p w14:paraId="3CC4DE78" w14:textId="77777777" w:rsidR="00090A82" w:rsidRPr="00026E39" w:rsidRDefault="00090A82" w:rsidP="00090A82">
      <w:pPr>
        <w:adjustRightInd w:val="0"/>
        <w:snapToGrid w:val="0"/>
        <w:spacing w:line="360" w:lineRule="auto"/>
        <w:jc w:val="both"/>
        <w:rPr>
          <w:rFonts w:ascii="Book Antiqua" w:hAnsi="Book Antiqua"/>
        </w:rPr>
      </w:pPr>
      <w:r w:rsidRPr="00026E39">
        <w:rPr>
          <w:rFonts w:ascii="Book Antiqua" w:eastAsia="Book Antiqua" w:hAnsi="Book Antiqua" w:cs="Book Antiqua"/>
          <w:color w:val="000000"/>
        </w:rPr>
        <w:t xml:space="preserve">Maria Vitória </w:t>
      </w:r>
      <w:bookmarkStart w:id="6" w:name="OLE_LINK1"/>
      <w:bookmarkStart w:id="7" w:name="OLE_LINK2"/>
      <w:r w:rsidRPr="00026E39">
        <w:rPr>
          <w:rFonts w:ascii="Book Antiqua" w:eastAsia="Book Antiqua" w:hAnsi="Book Antiqua" w:cs="Book Antiqua"/>
          <w:color w:val="000000"/>
        </w:rPr>
        <w:t>Cury Vieira</w:t>
      </w:r>
      <w:bookmarkEnd w:id="6"/>
      <w:bookmarkEnd w:id="7"/>
      <w:r w:rsidRPr="00026E39">
        <w:rPr>
          <w:rFonts w:ascii="Book Antiqua" w:eastAsia="Book Antiqua" w:hAnsi="Book Antiqua" w:cs="Book Antiqua"/>
          <w:color w:val="000000"/>
        </w:rPr>
        <w:t xml:space="preserve"> Scatimburgo, Igor </w:t>
      </w:r>
      <w:bookmarkStart w:id="8" w:name="OLE_LINK3"/>
      <w:bookmarkStart w:id="9" w:name="OLE_LINK4"/>
      <w:bookmarkStart w:id="10" w:name="OLE_LINK5"/>
      <w:r w:rsidRPr="00026E39">
        <w:rPr>
          <w:rFonts w:ascii="Book Antiqua" w:eastAsia="Book Antiqua" w:hAnsi="Book Antiqua" w:cs="Book Antiqua"/>
          <w:color w:val="000000"/>
        </w:rPr>
        <w:t>Braga</w:t>
      </w:r>
      <w:bookmarkEnd w:id="8"/>
      <w:bookmarkEnd w:id="9"/>
      <w:bookmarkEnd w:id="10"/>
      <w:r w:rsidRPr="00026E39">
        <w:rPr>
          <w:rFonts w:ascii="Book Antiqua" w:eastAsia="Book Antiqua" w:hAnsi="Book Antiqua" w:cs="Book Antiqua"/>
          <w:color w:val="000000"/>
        </w:rPr>
        <w:t xml:space="preserve"> Ribeiro, Diogo </w:t>
      </w:r>
      <w:bookmarkStart w:id="11" w:name="OLE_LINK6"/>
      <w:bookmarkStart w:id="12" w:name="OLE_LINK7"/>
      <w:r w:rsidRPr="00026E39">
        <w:rPr>
          <w:rFonts w:ascii="Book Antiqua" w:eastAsia="Book Antiqua" w:hAnsi="Book Antiqua" w:cs="Book Antiqua"/>
          <w:color w:val="000000"/>
        </w:rPr>
        <w:t>Turiani Hourneaux</w:t>
      </w:r>
      <w:bookmarkEnd w:id="11"/>
      <w:bookmarkEnd w:id="12"/>
      <w:r w:rsidRPr="00026E39">
        <w:rPr>
          <w:rFonts w:ascii="Book Antiqua" w:eastAsia="Book Antiqua" w:hAnsi="Book Antiqua" w:cs="Book Antiqua"/>
          <w:color w:val="000000"/>
        </w:rPr>
        <w:t xml:space="preserve"> de Moura, Vitor </w:t>
      </w:r>
      <w:bookmarkStart w:id="13" w:name="OLE_LINK8"/>
      <w:bookmarkStart w:id="14" w:name="OLE_LINK9"/>
      <w:r w:rsidRPr="00026E39">
        <w:rPr>
          <w:rFonts w:ascii="Book Antiqua" w:eastAsia="Book Antiqua" w:hAnsi="Book Antiqua" w:cs="Book Antiqua"/>
          <w:color w:val="000000"/>
        </w:rPr>
        <w:t>Massaro Takamatsu</w:t>
      </w:r>
      <w:bookmarkEnd w:id="13"/>
      <w:bookmarkEnd w:id="14"/>
      <w:r w:rsidRPr="00026E39">
        <w:rPr>
          <w:rFonts w:ascii="Book Antiqua" w:eastAsia="Book Antiqua" w:hAnsi="Book Antiqua" w:cs="Book Antiqua"/>
          <w:color w:val="000000"/>
        </w:rPr>
        <w:t xml:space="preserve"> Sagae, Bruno </w:t>
      </w:r>
      <w:bookmarkStart w:id="15" w:name="OLE_LINK10"/>
      <w:r w:rsidRPr="00026E39">
        <w:rPr>
          <w:rFonts w:ascii="Book Antiqua" w:eastAsia="Book Antiqua" w:hAnsi="Book Antiqua" w:cs="Book Antiqua"/>
          <w:color w:val="000000"/>
        </w:rPr>
        <w:t>Salomão</w:t>
      </w:r>
      <w:bookmarkEnd w:id="15"/>
      <w:r w:rsidRPr="00026E39">
        <w:rPr>
          <w:rFonts w:ascii="Book Antiqua" w:eastAsia="Book Antiqua" w:hAnsi="Book Antiqua" w:cs="Book Antiqua"/>
          <w:color w:val="000000"/>
        </w:rPr>
        <w:t xml:space="preserve"> Hirsch, Mateus </w:t>
      </w:r>
      <w:bookmarkStart w:id="16" w:name="OLE_LINK11"/>
      <w:bookmarkStart w:id="17" w:name="OLE_LINK12"/>
      <w:r w:rsidRPr="00026E39">
        <w:rPr>
          <w:rFonts w:ascii="Book Antiqua" w:eastAsia="Book Antiqua" w:hAnsi="Book Antiqua" w:cs="Book Antiqua"/>
          <w:color w:val="000000"/>
        </w:rPr>
        <w:t>Bond</w:t>
      </w:r>
      <w:bookmarkEnd w:id="16"/>
      <w:bookmarkEnd w:id="17"/>
      <w:r w:rsidRPr="00026E39">
        <w:rPr>
          <w:rFonts w:ascii="Book Antiqua" w:eastAsia="Book Antiqua" w:hAnsi="Book Antiqua" w:cs="Book Antiqua"/>
          <w:color w:val="000000"/>
        </w:rPr>
        <w:t xml:space="preserve"> Boghossian, Thomas R McCarty, Marcos Eduardo </w:t>
      </w:r>
      <w:bookmarkStart w:id="18" w:name="OLE_LINK13"/>
      <w:r w:rsidRPr="00026E39">
        <w:rPr>
          <w:rFonts w:ascii="Book Antiqua" w:eastAsia="Book Antiqua" w:hAnsi="Book Antiqua" w:cs="Book Antiqua"/>
          <w:color w:val="000000"/>
        </w:rPr>
        <w:t>Lera</w:t>
      </w:r>
      <w:bookmarkEnd w:id="18"/>
      <w:r w:rsidRPr="00026E39">
        <w:rPr>
          <w:rFonts w:ascii="Book Antiqua" w:eastAsia="Book Antiqua" w:hAnsi="Book Antiqua" w:cs="Book Antiqua"/>
          <w:color w:val="000000"/>
        </w:rPr>
        <w:t xml:space="preserve"> dos Santos, Tomazo </w:t>
      </w:r>
      <w:bookmarkStart w:id="19" w:name="OLE_LINK14"/>
      <w:r w:rsidRPr="00026E39">
        <w:rPr>
          <w:rFonts w:ascii="Book Antiqua" w:eastAsia="Book Antiqua" w:hAnsi="Book Antiqua" w:cs="Book Antiqua"/>
          <w:color w:val="000000"/>
        </w:rPr>
        <w:t>Antonio Prince</w:t>
      </w:r>
      <w:bookmarkEnd w:id="19"/>
      <w:r w:rsidRPr="00026E39">
        <w:rPr>
          <w:rFonts w:ascii="Book Antiqua" w:eastAsia="Book Antiqua" w:hAnsi="Book Antiqua" w:cs="Book Antiqua"/>
          <w:color w:val="000000"/>
        </w:rPr>
        <w:t xml:space="preserve"> Franzini, Wanderley </w:t>
      </w:r>
      <w:bookmarkStart w:id="20" w:name="OLE_LINK15"/>
      <w:bookmarkStart w:id="21" w:name="OLE_LINK16"/>
      <w:r w:rsidRPr="00026E39">
        <w:rPr>
          <w:rFonts w:ascii="Book Antiqua" w:eastAsia="Book Antiqua" w:hAnsi="Book Antiqua" w:cs="Book Antiqua"/>
          <w:color w:val="000000"/>
        </w:rPr>
        <w:t>Marques</w:t>
      </w:r>
      <w:bookmarkEnd w:id="20"/>
      <w:bookmarkEnd w:id="21"/>
      <w:r w:rsidRPr="00026E39">
        <w:rPr>
          <w:rFonts w:ascii="Book Antiqua" w:eastAsia="Book Antiqua" w:hAnsi="Book Antiqua" w:cs="Book Antiqua"/>
          <w:color w:val="000000"/>
        </w:rPr>
        <w:t xml:space="preserve"> Bernardo, Eduardo Guimarães </w:t>
      </w:r>
      <w:bookmarkStart w:id="22" w:name="OLE_LINK17"/>
      <w:bookmarkStart w:id="23" w:name="OLE_LINK18"/>
      <w:r w:rsidRPr="00026E39">
        <w:rPr>
          <w:rFonts w:ascii="Book Antiqua" w:eastAsia="Book Antiqua" w:hAnsi="Book Antiqua" w:cs="Book Antiqua"/>
          <w:color w:val="000000"/>
        </w:rPr>
        <w:t>Hourneaux</w:t>
      </w:r>
      <w:bookmarkEnd w:id="22"/>
      <w:bookmarkEnd w:id="23"/>
      <w:r w:rsidRPr="00026E39">
        <w:rPr>
          <w:rFonts w:ascii="Book Antiqua" w:eastAsia="Book Antiqua" w:hAnsi="Book Antiqua" w:cs="Book Antiqua"/>
          <w:color w:val="000000"/>
        </w:rPr>
        <w:t xml:space="preserve"> de Moura</w:t>
      </w:r>
    </w:p>
    <w:p w14:paraId="205471EA" w14:textId="77777777" w:rsidR="00A77B3E" w:rsidRDefault="00A77B3E">
      <w:pPr>
        <w:spacing w:line="360" w:lineRule="auto"/>
        <w:jc w:val="both"/>
      </w:pPr>
    </w:p>
    <w:p w14:paraId="550A40D4" w14:textId="1528DADF" w:rsidR="00A77B3E" w:rsidRDefault="00090A82">
      <w:pPr>
        <w:spacing w:line="360" w:lineRule="auto"/>
        <w:jc w:val="both"/>
      </w:pPr>
      <w:r w:rsidRPr="00026E39">
        <w:rPr>
          <w:rFonts w:ascii="Book Antiqua" w:eastAsia="Book Antiqua" w:hAnsi="Book Antiqua" w:cs="Book Antiqua"/>
          <w:b/>
          <w:bCs/>
          <w:color w:val="000000"/>
        </w:rPr>
        <w:t>Maria Vitória Cury Vieira Scatimburgo, Igor Braga Ribeiro, Diogo Turiani Hourneaux de Moura, Marcos Eduardo Lera dos Santos, Wanderley Marques Bernardo, Vitor Massaro Takamatsu Sagae, Bruno Salomão Hirsch</w:t>
      </w:r>
      <w:r>
        <w:rPr>
          <w:rFonts w:ascii="Book Antiqua" w:eastAsia="Book Antiqua" w:hAnsi="Book Antiqua" w:cs="Book Antiqua"/>
          <w:b/>
          <w:bCs/>
          <w:color w:val="000000"/>
        </w:rPr>
        <w:t xml:space="preserve">, </w:t>
      </w:r>
      <w:r w:rsidRPr="00026E39">
        <w:rPr>
          <w:rFonts w:ascii="Book Antiqua" w:eastAsia="Book Antiqua" w:hAnsi="Book Antiqua" w:cs="Book Antiqua"/>
          <w:b/>
          <w:bCs/>
          <w:color w:val="000000"/>
        </w:rPr>
        <w:t>Mateus Bond Boghossian, Tomazo Antonio Prince Franzini,</w:t>
      </w:r>
      <w:r>
        <w:rPr>
          <w:rFonts w:ascii="Book Antiqua" w:eastAsia="Book Antiqua" w:hAnsi="Book Antiqua" w:cs="Book Antiqua"/>
          <w:b/>
          <w:bCs/>
          <w:color w:val="000000"/>
        </w:rPr>
        <w:t xml:space="preserve"> </w:t>
      </w:r>
      <w:r w:rsidRPr="00026E39">
        <w:rPr>
          <w:rFonts w:ascii="Book Antiqua" w:eastAsia="Book Antiqua" w:hAnsi="Book Antiqua" w:cs="Book Antiqua"/>
          <w:b/>
          <w:bCs/>
          <w:color w:val="000000"/>
        </w:rPr>
        <w:t>Eduardo Guimarães Hourneaux de Moura</w:t>
      </w:r>
      <w:r w:rsidR="004B6445">
        <w:rPr>
          <w:rFonts w:ascii="Book Antiqua" w:eastAsia="Book Antiqua" w:hAnsi="Book Antiqua" w:cs="Book Antiqua"/>
          <w:b/>
          <w:bCs/>
          <w:color w:val="000000"/>
        </w:rPr>
        <w:t xml:space="preserve">, </w:t>
      </w:r>
      <w:r w:rsidR="004B6445">
        <w:rPr>
          <w:rFonts w:ascii="Book Antiqua" w:eastAsia="Book Antiqua" w:hAnsi="Book Antiqua" w:cs="Book Antiqua"/>
          <w:color w:val="000000"/>
        </w:rPr>
        <w:t>Gastrointestinal Endoscopy Unit, Hospital das Clínicas da Faculdade de Medicina da Universidade de São Paulo, São Paulo 05403-010, Brazil</w:t>
      </w:r>
    </w:p>
    <w:p w14:paraId="5B616458" w14:textId="77777777" w:rsidR="00090A82" w:rsidRDefault="00090A82">
      <w:pPr>
        <w:spacing w:line="360" w:lineRule="auto"/>
        <w:jc w:val="both"/>
      </w:pPr>
    </w:p>
    <w:p w14:paraId="0565E42E" w14:textId="612B875B" w:rsidR="00A77B3E" w:rsidRDefault="004B6445">
      <w:pPr>
        <w:spacing w:line="360" w:lineRule="auto"/>
        <w:jc w:val="both"/>
      </w:pPr>
      <w:r>
        <w:rPr>
          <w:rFonts w:ascii="Book Antiqua" w:eastAsia="Book Antiqua" w:hAnsi="Book Antiqua" w:cs="Book Antiqua"/>
          <w:b/>
          <w:bCs/>
          <w:color w:val="000000"/>
        </w:rPr>
        <w:t xml:space="preserve">Thomas R McCarty, </w:t>
      </w:r>
      <w:r>
        <w:rPr>
          <w:rFonts w:ascii="Book Antiqua" w:eastAsia="Book Antiqua" w:hAnsi="Book Antiqua" w:cs="Book Antiqua"/>
          <w:color w:val="000000"/>
        </w:rPr>
        <w:t>Division of Gasteoenter</w:t>
      </w:r>
      <w:r w:rsidR="00024980">
        <w:rPr>
          <w:rFonts w:ascii="Book Antiqua" w:eastAsia="Book Antiqua" w:hAnsi="Book Antiqua" w:cs="Book Antiqua"/>
          <w:color w:val="000000"/>
        </w:rPr>
        <w:t>ology, Hepatology and Endoscopy</w:t>
      </w:r>
      <w:r>
        <w:rPr>
          <w:rFonts w:ascii="Book Antiqua" w:eastAsia="Book Antiqua" w:hAnsi="Book Antiqua" w:cs="Book Antiqua"/>
          <w:color w:val="000000"/>
        </w:rPr>
        <w:t>, Brigham and Women's Hospital, Boston, MA 02115, United States</w:t>
      </w:r>
    </w:p>
    <w:p w14:paraId="4AFE6C4D" w14:textId="77777777" w:rsidR="00A77B3E" w:rsidRDefault="00A77B3E">
      <w:pPr>
        <w:spacing w:line="360" w:lineRule="auto"/>
        <w:jc w:val="both"/>
      </w:pPr>
    </w:p>
    <w:p w14:paraId="65E8ABFE" w14:textId="30E32754" w:rsidR="00456423" w:rsidRPr="00795D31" w:rsidRDefault="004B644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r>
        <w:rPr>
          <w:rStyle w:val="fontstyle31"/>
          <w:rFonts w:ascii="Book Antiqua" w:eastAsia="Book Antiqua" w:hAnsi="Book Antiqua" w:cs="Book Antiqua"/>
          <w:color w:val="000000"/>
        </w:rPr>
        <w:t>Scatimburgo MVCV</w:t>
      </w:r>
      <w:r w:rsidR="00456423">
        <w:rPr>
          <w:rStyle w:val="fontstyle31"/>
          <w:rFonts w:ascii="Book Antiqua" w:eastAsia="Book Antiqua" w:hAnsi="Book Antiqua" w:cs="Book Antiqua"/>
          <w:color w:val="000000"/>
        </w:rPr>
        <w:t>, de Moura DTH, Sagae VMT, dos Santos M</w:t>
      </w:r>
      <w:r w:rsidR="00456423" w:rsidRPr="00795D31">
        <w:rPr>
          <w:rStyle w:val="fontstyle31"/>
          <w:rFonts w:ascii="Book Antiqua" w:eastAsia="Book Antiqua" w:hAnsi="Book Antiqua" w:cs="Book Antiqua"/>
          <w:color w:val="000000" w:themeColor="text1"/>
        </w:rPr>
        <w:t xml:space="preserve">EL, </w:t>
      </w:r>
      <w:r w:rsidR="0098649C">
        <w:rPr>
          <w:rStyle w:val="fontstyle31"/>
          <w:rFonts w:ascii="Book Antiqua" w:eastAsia="Book Antiqua" w:hAnsi="Book Antiqua" w:cs="Book Antiqua"/>
          <w:color w:val="000000" w:themeColor="text1"/>
        </w:rPr>
        <w:t xml:space="preserve">and </w:t>
      </w:r>
      <w:r w:rsidR="00456423" w:rsidRPr="00795D31">
        <w:rPr>
          <w:rStyle w:val="fontstyle31"/>
          <w:rFonts w:ascii="Book Antiqua" w:eastAsia="Book Antiqua" w:hAnsi="Book Antiqua" w:cs="Book Antiqua"/>
          <w:color w:val="000000" w:themeColor="text1"/>
        </w:rPr>
        <w:t>Franzini TAP</w:t>
      </w:r>
      <w:r w:rsidRPr="00795D31">
        <w:rPr>
          <w:rStyle w:val="fontstyle31"/>
          <w:rFonts w:ascii="Book Antiqua" w:eastAsia="Book Antiqua" w:hAnsi="Book Antiqua" w:cs="Book Antiqua"/>
          <w:color w:val="000000" w:themeColor="text1"/>
        </w:rPr>
        <w:t xml:space="preserve"> </w:t>
      </w:r>
      <w:r w:rsidR="00456423" w:rsidRPr="00795D31">
        <w:rPr>
          <w:rStyle w:val="fontstyle31"/>
          <w:rFonts w:ascii="Book Antiqua" w:eastAsia="Book Antiqua" w:hAnsi="Book Antiqua" w:cs="Book Antiqua"/>
          <w:color w:val="000000" w:themeColor="text1"/>
        </w:rPr>
        <w:t xml:space="preserve">contributed to </w:t>
      </w:r>
      <w:r w:rsidR="0098649C">
        <w:rPr>
          <w:rStyle w:val="fontstyle31"/>
          <w:rFonts w:ascii="Book Antiqua" w:eastAsia="Book Antiqua" w:hAnsi="Book Antiqua" w:cs="Book Antiqua"/>
          <w:color w:val="000000" w:themeColor="text1"/>
        </w:rPr>
        <w:t xml:space="preserve">the data </w:t>
      </w:r>
      <w:r w:rsidRPr="00795D31">
        <w:rPr>
          <w:rStyle w:val="fontstyle31"/>
          <w:rFonts w:ascii="Book Antiqua" w:eastAsia="Book Antiqua" w:hAnsi="Book Antiqua" w:cs="Book Antiqua"/>
          <w:color w:val="000000" w:themeColor="text1"/>
        </w:rPr>
        <w:t>acquisition</w:t>
      </w:r>
      <w:r w:rsidR="00795D31" w:rsidRPr="00795D31">
        <w:rPr>
          <w:rStyle w:val="fontstyle31"/>
          <w:rFonts w:ascii="Book Antiqua" w:eastAsia="Book Antiqua" w:hAnsi="Book Antiqua" w:cs="Book Antiqua"/>
          <w:color w:val="000000" w:themeColor="text1"/>
        </w:rPr>
        <w:t>;</w:t>
      </w:r>
      <w:r w:rsidR="00795D31" w:rsidRPr="00795D31">
        <w:rPr>
          <w:rStyle w:val="fontstyle31"/>
          <w:rFonts w:ascii="Book Antiqua" w:hAnsi="Book Antiqua" w:cs="Book Antiqua" w:hint="eastAsia"/>
          <w:color w:val="000000" w:themeColor="text1"/>
          <w:lang w:eastAsia="zh-CN"/>
        </w:rPr>
        <w:t xml:space="preserve"> </w:t>
      </w:r>
      <w:r w:rsidR="00456423" w:rsidRPr="00795D31">
        <w:rPr>
          <w:rStyle w:val="fontstyle31"/>
          <w:rFonts w:ascii="Book Antiqua" w:eastAsia="Book Antiqua" w:hAnsi="Book Antiqua" w:cs="Book Antiqua"/>
          <w:color w:val="000000" w:themeColor="text1"/>
        </w:rPr>
        <w:t>Scatimburgo MVCV, de Moura DTH, Sagae VMT, Boghossian MB</w:t>
      </w:r>
      <w:r w:rsidR="00795D31" w:rsidRPr="00795D31">
        <w:rPr>
          <w:rStyle w:val="fontstyle31"/>
          <w:rFonts w:ascii="Book Antiqua" w:eastAsia="Book Antiqua" w:hAnsi="Book Antiqua" w:cs="Book Antiqua"/>
          <w:color w:val="000000" w:themeColor="text1"/>
        </w:rPr>
        <w:t>, Bernardo WM, de Moura EGH</w:t>
      </w:r>
      <w:r w:rsidR="00795D31">
        <w:rPr>
          <w:rStyle w:val="fontstyle31"/>
          <w:rFonts w:ascii="Book Antiqua" w:eastAsia="Book Antiqua" w:hAnsi="Book Antiqua" w:cs="Book Antiqua"/>
          <w:color w:val="000000" w:themeColor="text1"/>
        </w:rPr>
        <w:t xml:space="preserve">, </w:t>
      </w:r>
      <w:r w:rsidR="00795D31" w:rsidRPr="00795D31">
        <w:rPr>
          <w:rStyle w:val="fontstyle31"/>
          <w:rFonts w:ascii="Book Antiqua" w:eastAsia="Book Antiqua" w:hAnsi="Book Antiqua" w:cs="Book Antiqua"/>
          <w:color w:val="000000" w:themeColor="text1"/>
        </w:rPr>
        <w:t xml:space="preserve">Ribeiro IB, </w:t>
      </w:r>
      <w:r w:rsidR="0098649C">
        <w:rPr>
          <w:rStyle w:val="fontstyle31"/>
          <w:rFonts w:ascii="Book Antiqua" w:eastAsia="Book Antiqua" w:hAnsi="Book Antiqua" w:cs="Book Antiqua"/>
          <w:color w:val="000000" w:themeColor="text1"/>
        </w:rPr>
        <w:t xml:space="preserve">and </w:t>
      </w:r>
      <w:r w:rsidR="00795D31" w:rsidRPr="00795D31">
        <w:rPr>
          <w:rStyle w:val="fontstyle31"/>
          <w:rFonts w:ascii="Book Antiqua" w:eastAsia="Book Antiqua" w:hAnsi="Book Antiqua" w:cs="Book Antiqua"/>
          <w:color w:val="000000" w:themeColor="text1"/>
        </w:rPr>
        <w:t>Hirsch BS</w:t>
      </w:r>
      <w:r w:rsidR="00456423" w:rsidRPr="00795D31">
        <w:rPr>
          <w:rStyle w:val="fontstyle31"/>
          <w:rFonts w:ascii="Book Antiqua" w:eastAsia="Book Antiqua" w:hAnsi="Book Antiqua" w:cs="Book Antiqua"/>
          <w:color w:val="000000" w:themeColor="text1"/>
        </w:rPr>
        <w:t xml:space="preserve"> </w:t>
      </w:r>
      <w:r w:rsidRPr="00795D31">
        <w:rPr>
          <w:rStyle w:val="fontstyle31"/>
          <w:rFonts w:ascii="Book Antiqua" w:eastAsia="Book Antiqua" w:hAnsi="Book Antiqua" w:cs="Book Antiqua"/>
          <w:color w:val="000000" w:themeColor="text1"/>
        </w:rPr>
        <w:t>analy</w:t>
      </w:r>
      <w:r w:rsidR="00795D31">
        <w:rPr>
          <w:rStyle w:val="fontstyle31"/>
          <w:rFonts w:ascii="Book Antiqua" w:eastAsia="Book Antiqua" w:hAnsi="Book Antiqua" w:cs="Book Antiqua"/>
          <w:color w:val="000000" w:themeColor="text1"/>
        </w:rPr>
        <w:t>zed</w:t>
      </w:r>
      <w:r w:rsidR="00456423" w:rsidRPr="00795D31">
        <w:rPr>
          <w:rStyle w:val="fontstyle31"/>
          <w:rFonts w:ascii="Book Antiqua" w:eastAsia="Book Antiqua" w:hAnsi="Book Antiqua" w:cs="Book Antiqua"/>
          <w:color w:val="000000" w:themeColor="text1"/>
        </w:rPr>
        <w:t xml:space="preserve"> and</w:t>
      </w:r>
      <w:r w:rsidRPr="00795D31">
        <w:rPr>
          <w:rStyle w:val="fontstyle31"/>
          <w:rFonts w:ascii="Book Antiqua" w:eastAsia="Book Antiqua" w:hAnsi="Book Antiqua" w:cs="Book Antiqua"/>
          <w:color w:val="000000" w:themeColor="text1"/>
        </w:rPr>
        <w:t xml:space="preserve"> interpretat</w:t>
      </w:r>
      <w:r w:rsidR="00795D31">
        <w:rPr>
          <w:rStyle w:val="fontstyle31"/>
          <w:rFonts w:ascii="Book Antiqua" w:eastAsia="Book Antiqua" w:hAnsi="Book Antiqua" w:cs="Book Antiqua"/>
          <w:color w:val="000000" w:themeColor="text1"/>
        </w:rPr>
        <w:t xml:space="preserve">ed </w:t>
      </w:r>
      <w:r w:rsidRPr="00795D31">
        <w:rPr>
          <w:rStyle w:val="fontstyle31"/>
          <w:rFonts w:ascii="Book Antiqua" w:eastAsia="Book Antiqua" w:hAnsi="Book Antiqua" w:cs="Book Antiqua"/>
          <w:color w:val="000000" w:themeColor="text1"/>
        </w:rPr>
        <w:t>data</w:t>
      </w:r>
      <w:r w:rsidR="00795D31" w:rsidRPr="00795D31">
        <w:rPr>
          <w:rStyle w:val="fontstyle31"/>
          <w:rFonts w:ascii="Book Antiqua" w:eastAsia="Book Antiqua" w:hAnsi="Book Antiqua" w:cs="Book Antiqua"/>
          <w:color w:val="000000" w:themeColor="text1"/>
        </w:rPr>
        <w:t>;</w:t>
      </w:r>
      <w:r w:rsidR="00795D31" w:rsidRPr="00795D31">
        <w:rPr>
          <w:rStyle w:val="fontstyle31"/>
          <w:rFonts w:ascii="Book Antiqua" w:hAnsi="Book Antiqua" w:cs="Book Antiqua" w:hint="eastAsia"/>
          <w:color w:val="000000" w:themeColor="text1"/>
          <w:lang w:eastAsia="zh-CN"/>
        </w:rPr>
        <w:t xml:space="preserve"> </w:t>
      </w:r>
      <w:r w:rsidR="00456423" w:rsidRPr="00795D31">
        <w:rPr>
          <w:rStyle w:val="fontstyle31"/>
          <w:rFonts w:ascii="Book Antiqua" w:eastAsia="Book Antiqua" w:hAnsi="Book Antiqua" w:cs="Book Antiqua"/>
          <w:color w:val="000000" w:themeColor="text1"/>
        </w:rPr>
        <w:t>Scatimburgo MVCV, de Moura DTH, Sagae VMT, Boghossian MB</w:t>
      </w:r>
      <w:r w:rsidR="00795D31" w:rsidRPr="00795D31">
        <w:rPr>
          <w:rStyle w:val="fontstyle31"/>
          <w:rFonts w:ascii="Book Antiqua" w:eastAsia="Book Antiqua" w:hAnsi="Book Antiqua" w:cs="Book Antiqua"/>
          <w:color w:val="000000" w:themeColor="text1"/>
        </w:rPr>
        <w:t>, de Moura EGH</w:t>
      </w:r>
      <w:r w:rsidR="00795D31">
        <w:rPr>
          <w:rStyle w:val="fontstyle31"/>
          <w:rFonts w:ascii="Book Antiqua" w:eastAsia="Book Antiqua" w:hAnsi="Book Antiqua" w:cs="Book Antiqua"/>
          <w:color w:val="000000" w:themeColor="text1"/>
        </w:rPr>
        <w:t xml:space="preserve">, </w:t>
      </w:r>
      <w:r w:rsidR="00795D31" w:rsidRPr="00795D31">
        <w:rPr>
          <w:rStyle w:val="fontstyle31"/>
          <w:rFonts w:ascii="Book Antiqua" w:eastAsia="Book Antiqua" w:hAnsi="Book Antiqua" w:cs="Book Antiqua"/>
          <w:color w:val="000000" w:themeColor="text1"/>
        </w:rPr>
        <w:t xml:space="preserve">Ribeiro IB, </w:t>
      </w:r>
      <w:r w:rsidR="0098649C">
        <w:rPr>
          <w:rStyle w:val="fontstyle31"/>
          <w:rFonts w:ascii="Book Antiqua" w:eastAsia="Book Antiqua" w:hAnsi="Book Antiqua" w:cs="Book Antiqua"/>
          <w:color w:val="000000" w:themeColor="text1"/>
        </w:rPr>
        <w:t xml:space="preserve">and </w:t>
      </w:r>
      <w:r w:rsidR="00795D31" w:rsidRPr="00795D31">
        <w:rPr>
          <w:rStyle w:val="fontstyle31"/>
          <w:rFonts w:ascii="Book Antiqua" w:eastAsia="Book Antiqua" w:hAnsi="Book Antiqua" w:cs="Book Antiqua"/>
          <w:color w:val="000000" w:themeColor="text1"/>
        </w:rPr>
        <w:t>Hirsch BS</w:t>
      </w:r>
      <w:r w:rsidRPr="00795D31">
        <w:rPr>
          <w:rStyle w:val="fontstyle31"/>
          <w:rFonts w:ascii="Book Antiqua" w:eastAsia="Book Antiqua" w:hAnsi="Book Antiqua" w:cs="Book Antiqua"/>
          <w:color w:val="000000" w:themeColor="text1"/>
        </w:rPr>
        <w:t xml:space="preserve"> revis</w:t>
      </w:r>
      <w:r w:rsidR="00795D31">
        <w:rPr>
          <w:rStyle w:val="fontstyle31"/>
          <w:rFonts w:ascii="Book Antiqua" w:eastAsia="Book Antiqua" w:hAnsi="Book Antiqua" w:cs="Book Antiqua"/>
          <w:color w:val="000000" w:themeColor="text1"/>
        </w:rPr>
        <w:t>ed</w:t>
      </w:r>
      <w:r w:rsidRPr="00795D31">
        <w:rPr>
          <w:rStyle w:val="fontstyle31"/>
          <w:rFonts w:ascii="Book Antiqua" w:eastAsia="Book Antiqua" w:hAnsi="Book Antiqua" w:cs="Book Antiqua"/>
          <w:color w:val="000000" w:themeColor="text1"/>
        </w:rPr>
        <w:t xml:space="preserve"> the article</w:t>
      </w:r>
      <w:r w:rsidR="00795D31" w:rsidRPr="00795D31">
        <w:rPr>
          <w:rStyle w:val="fontstyle31"/>
          <w:rFonts w:ascii="Book Antiqua" w:eastAsia="Book Antiqua" w:hAnsi="Book Antiqua" w:cs="Book Antiqua"/>
          <w:color w:val="000000" w:themeColor="text1"/>
        </w:rPr>
        <w:t>;</w:t>
      </w:r>
      <w:r w:rsidR="00795D31" w:rsidRPr="00795D31">
        <w:rPr>
          <w:rStyle w:val="fontstyle31"/>
          <w:rFonts w:ascii="Book Antiqua" w:hAnsi="Book Antiqua" w:cs="Book Antiqua" w:hint="eastAsia"/>
          <w:color w:val="000000" w:themeColor="text1"/>
          <w:lang w:eastAsia="zh-CN"/>
        </w:rPr>
        <w:t xml:space="preserve"> </w:t>
      </w:r>
      <w:r w:rsidR="00456423" w:rsidRPr="00795D31">
        <w:rPr>
          <w:rStyle w:val="fontstyle31"/>
          <w:rFonts w:ascii="Book Antiqua" w:eastAsia="Book Antiqua" w:hAnsi="Book Antiqua" w:cs="Book Antiqua"/>
          <w:color w:val="000000" w:themeColor="text1"/>
        </w:rPr>
        <w:lastRenderedPageBreak/>
        <w:t>Scatimburgo MVCV, de Moura DTH, Sagae VMT, dos Santos MEL, Franzini TAP</w:t>
      </w:r>
      <w:r w:rsidR="00795D31" w:rsidRPr="00795D31">
        <w:rPr>
          <w:rStyle w:val="fontstyle31"/>
          <w:rFonts w:ascii="Book Antiqua" w:eastAsia="Book Antiqua" w:hAnsi="Book Antiqua" w:cs="Book Antiqua"/>
          <w:color w:val="000000" w:themeColor="text1"/>
        </w:rPr>
        <w:t xml:space="preserve">, Bernardo WM, </w:t>
      </w:r>
      <w:r w:rsidR="0098649C">
        <w:rPr>
          <w:rStyle w:val="fontstyle31"/>
          <w:rFonts w:ascii="Book Antiqua" w:eastAsia="Book Antiqua" w:hAnsi="Book Antiqua" w:cs="Book Antiqua"/>
          <w:color w:val="000000" w:themeColor="text1"/>
        </w:rPr>
        <w:t xml:space="preserve">and </w:t>
      </w:r>
      <w:r w:rsidR="00795D31" w:rsidRPr="00795D31">
        <w:rPr>
          <w:rStyle w:val="fontstyle31"/>
          <w:rFonts w:ascii="Book Antiqua" w:eastAsia="Book Antiqua" w:hAnsi="Book Antiqua" w:cs="Book Antiqua"/>
          <w:color w:val="000000" w:themeColor="text1"/>
        </w:rPr>
        <w:t xml:space="preserve">de Moura EGH </w:t>
      </w:r>
      <w:r w:rsidR="00456423" w:rsidRPr="00795D31">
        <w:rPr>
          <w:rStyle w:val="fontstyle31"/>
          <w:rFonts w:ascii="Book Antiqua" w:eastAsia="Book Antiqua" w:hAnsi="Book Antiqua" w:cs="Book Antiqua"/>
          <w:color w:val="000000" w:themeColor="text1"/>
        </w:rPr>
        <w:t>draft</w:t>
      </w:r>
      <w:r w:rsidR="00795D31">
        <w:rPr>
          <w:rStyle w:val="fontstyle31"/>
          <w:rFonts w:ascii="Book Antiqua" w:eastAsia="Book Antiqua" w:hAnsi="Book Antiqua" w:cs="Book Antiqua"/>
          <w:color w:val="000000" w:themeColor="text1"/>
        </w:rPr>
        <w:t>ed</w:t>
      </w:r>
      <w:r w:rsidR="00456423" w:rsidRPr="00795D31">
        <w:rPr>
          <w:rStyle w:val="fontstyle31"/>
          <w:rFonts w:ascii="Book Antiqua" w:eastAsia="Book Antiqua" w:hAnsi="Book Antiqua" w:cs="Book Antiqua"/>
          <w:color w:val="000000" w:themeColor="text1"/>
        </w:rPr>
        <w:t xml:space="preserve"> the article;</w:t>
      </w:r>
      <w:r w:rsidR="00795D31" w:rsidRPr="00795D31">
        <w:rPr>
          <w:rStyle w:val="fontstyle31"/>
          <w:rFonts w:ascii="Book Antiqua" w:hAnsi="Book Antiqua" w:cs="Book Antiqua" w:hint="eastAsia"/>
          <w:color w:val="000000" w:themeColor="text1"/>
          <w:lang w:eastAsia="zh-CN"/>
        </w:rPr>
        <w:t xml:space="preserve"> </w:t>
      </w:r>
      <w:r w:rsidR="00456423" w:rsidRPr="00795D31">
        <w:rPr>
          <w:rStyle w:val="fontstyle31"/>
          <w:rFonts w:ascii="Book Antiqua" w:eastAsia="Book Antiqua" w:hAnsi="Book Antiqua" w:cs="Book Antiqua"/>
          <w:color w:val="000000" w:themeColor="text1"/>
        </w:rPr>
        <w:t>Scatimburgo MVCV, de Moura DTH, Franzini TAP</w:t>
      </w:r>
      <w:r w:rsidR="00795D31" w:rsidRPr="00795D31">
        <w:rPr>
          <w:rStyle w:val="fontstyle31"/>
          <w:rFonts w:ascii="Book Antiqua" w:eastAsia="Book Antiqua" w:hAnsi="Book Antiqua" w:cs="Book Antiqua"/>
          <w:color w:val="000000" w:themeColor="text1"/>
        </w:rPr>
        <w:t xml:space="preserve">, Bernardo WM, </w:t>
      </w:r>
      <w:r w:rsidR="0098649C">
        <w:rPr>
          <w:rStyle w:val="fontstyle31"/>
          <w:rFonts w:ascii="Book Antiqua" w:eastAsia="Book Antiqua" w:hAnsi="Book Antiqua" w:cs="Book Antiqua"/>
          <w:color w:val="000000" w:themeColor="text1"/>
        </w:rPr>
        <w:t xml:space="preserve">and </w:t>
      </w:r>
      <w:r w:rsidR="00795D31" w:rsidRPr="00795D31">
        <w:rPr>
          <w:rStyle w:val="fontstyle31"/>
          <w:rFonts w:ascii="Book Antiqua" w:eastAsia="Book Antiqua" w:hAnsi="Book Antiqua" w:cs="Book Antiqua"/>
          <w:color w:val="000000" w:themeColor="text1"/>
        </w:rPr>
        <w:t>de Moura EGH</w:t>
      </w:r>
      <w:r w:rsidR="00456423" w:rsidRPr="00795D31">
        <w:rPr>
          <w:rStyle w:val="fontstyle31"/>
          <w:rFonts w:ascii="Book Antiqua" w:eastAsia="Book Antiqua" w:hAnsi="Book Antiqua" w:cs="Book Antiqua"/>
          <w:color w:val="000000" w:themeColor="text1"/>
        </w:rPr>
        <w:t xml:space="preserve"> contributed to </w:t>
      </w:r>
      <w:r w:rsidRPr="00795D31">
        <w:rPr>
          <w:rStyle w:val="fontstyle31"/>
          <w:rFonts w:ascii="Book Antiqua" w:eastAsia="Book Antiqua" w:hAnsi="Book Antiqua" w:cs="Book Antiqua"/>
          <w:color w:val="000000" w:themeColor="text1"/>
        </w:rPr>
        <w:t xml:space="preserve">final approval; </w:t>
      </w:r>
      <w:r w:rsidRPr="00795D31">
        <w:rPr>
          <w:rFonts w:ascii="Book Antiqua" w:eastAsia="Book Antiqua" w:hAnsi="Book Antiqua" w:cs="Book Antiqua"/>
          <w:color w:val="000000" w:themeColor="text1"/>
        </w:rPr>
        <w:t>McCarty</w:t>
      </w:r>
      <w:r w:rsidR="00456423" w:rsidRPr="00795D31">
        <w:rPr>
          <w:rFonts w:ascii="Book Antiqua" w:eastAsia="Book Antiqua" w:hAnsi="Book Antiqua" w:cs="Book Antiqua"/>
          <w:color w:val="000000" w:themeColor="text1"/>
        </w:rPr>
        <w:t xml:space="preserve"> TR</w:t>
      </w:r>
      <w:r w:rsidRPr="00795D31">
        <w:rPr>
          <w:rFonts w:ascii="Book Antiqua" w:eastAsia="Book Antiqua" w:hAnsi="Book Antiqua" w:cs="Book Antiqua"/>
          <w:color w:val="000000" w:themeColor="text1"/>
        </w:rPr>
        <w:t xml:space="preserve"> review</w:t>
      </w:r>
      <w:r w:rsidR="00795D31">
        <w:rPr>
          <w:rFonts w:ascii="Book Antiqua" w:eastAsia="Book Antiqua" w:hAnsi="Book Antiqua" w:cs="Book Antiqua"/>
          <w:color w:val="000000" w:themeColor="text1"/>
        </w:rPr>
        <w:t>ed</w:t>
      </w:r>
      <w:r w:rsidRPr="00795D31">
        <w:rPr>
          <w:rFonts w:ascii="Book Antiqua" w:eastAsia="Book Antiqua" w:hAnsi="Book Antiqua" w:cs="Book Antiqua"/>
          <w:color w:val="000000" w:themeColor="text1"/>
        </w:rPr>
        <w:t xml:space="preserve"> the English</w:t>
      </w:r>
      <w:r w:rsidR="00795D31" w:rsidRPr="00795D31">
        <w:rPr>
          <w:rFonts w:ascii="Book Antiqua" w:eastAsia="Book Antiqua" w:hAnsi="Book Antiqua" w:cs="Book Antiqua"/>
          <w:color w:val="000000" w:themeColor="text1"/>
        </w:rPr>
        <w:t>.</w:t>
      </w:r>
    </w:p>
    <w:p w14:paraId="63F0EC46" w14:textId="77777777" w:rsidR="00A77B3E" w:rsidRDefault="00A77B3E">
      <w:pPr>
        <w:spacing w:line="360" w:lineRule="auto"/>
        <w:jc w:val="both"/>
      </w:pPr>
    </w:p>
    <w:p w14:paraId="2CA517B1" w14:textId="44C84088" w:rsidR="00A77B3E" w:rsidRDefault="004B6445">
      <w:pPr>
        <w:spacing w:line="360" w:lineRule="auto"/>
        <w:jc w:val="both"/>
      </w:pPr>
      <w:r>
        <w:rPr>
          <w:rFonts w:ascii="Book Antiqua" w:eastAsia="Book Antiqua" w:hAnsi="Book Antiqua" w:cs="Book Antiqua"/>
          <w:b/>
          <w:bCs/>
          <w:color w:val="000000"/>
        </w:rPr>
        <w:t>Corresponding author: Igor B</w:t>
      </w:r>
      <w:r w:rsidR="00090A82">
        <w:rPr>
          <w:rFonts w:ascii="Book Antiqua" w:eastAsia="Book Antiqua" w:hAnsi="Book Antiqua" w:cs="Book Antiqua"/>
          <w:b/>
          <w:bCs/>
          <w:color w:val="000000"/>
        </w:rPr>
        <w:t>raga</w:t>
      </w:r>
      <w:r>
        <w:rPr>
          <w:rFonts w:ascii="Book Antiqua" w:eastAsia="Book Antiqua" w:hAnsi="Book Antiqua" w:cs="Book Antiqua"/>
          <w:b/>
          <w:bCs/>
          <w:color w:val="000000"/>
        </w:rPr>
        <w:t xml:space="preserve"> Ribeiro, MD, Doctor, Research Fellow, Surgeon, </w:t>
      </w:r>
      <w:r>
        <w:rPr>
          <w:rFonts w:ascii="Book Antiqua" w:eastAsia="Book Antiqua" w:hAnsi="Book Antiqua" w:cs="Book Antiqua"/>
          <w:color w:val="000000"/>
        </w:rPr>
        <w:t>Gastrointestinal Endoscopy Unit, Hospital das Clínicas da Faculdade de Medicina da Universidade de São Paulo, Av. Dr Enéas de Carvalho Aguiar, 225, 6o andar, bloco 3, Cerqueira Cesar, São Paulo 05403-010, Brazil. igorbraga1@gmail.com</w:t>
      </w:r>
    </w:p>
    <w:p w14:paraId="548AA81B" w14:textId="77777777" w:rsidR="00A77B3E" w:rsidRDefault="00A77B3E">
      <w:pPr>
        <w:spacing w:line="360" w:lineRule="auto"/>
        <w:jc w:val="both"/>
      </w:pPr>
    </w:p>
    <w:p w14:paraId="66600699" w14:textId="77777777" w:rsidR="00A77B3E" w:rsidRDefault="004B644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24, 2021</w:t>
      </w:r>
    </w:p>
    <w:p w14:paraId="0CE9FFEA" w14:textId="77777777" w:rsidR="00A77B3E" w:rsidRDefault="004B644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30, 2021</w:t>
      </w:r>
    </w:p>
    <w:p w14:paraId="080B6FCE" w14:textId="6E5B3D67" w:rsidR="00A77B3E" w:rsidRDefault="004B6445">
      <w:pPr>
        <w:spacing w:line="360" w:lineRule="auto"/>
        <w:jc w:val="both"/>
      </w:pPr>
      <w:r>
        <w:rPr>
          <w:rFonts w:ascii="Book Antiqua" w:eastAsia="Book Antiqua" w:hAnsi="Book Antiqua" w:cs="Book Antiqua"/>
          <w:b/>
          <w:bCs/>
          <w:color w:val="000000"/>
        </w:rPr>
        <w:t xml:space="preserve">Accepted: </w:t>
      </w:r>
      <w:r w:rsidR="00284EE4" w:rsidRPr="00284EE4">
        <w:rPr>
          <w:rFonts w:ascii="Book Antiqua" w:eastAsia="Book Antiqua" w:hAnsi="Book Antiqua" w:cs="Book Antiqua"/>
          <w:bCs/>
          <w:color w:val="000000"/>
        </w:rPr>
        <w:t>April 23, 2021</w:t>
      </w:r>
    </w:p>
    <w:p w14:paraId="39CCE35D" w14:textId="77777777" w:rsidR="00A77B3E" w:rsidRDefault="004B6445">
      <w:pPr>
        <w:spacing w:line="360" w:lineRule="auto"/>
        <w:jc w:val="both"/>
      </w:pPr>
      <w:r>
        <w:rPr>
          <w:rFonts w:ascii="Book Antiqua" w:eastAsia="Book Antiqua" w:hAnsi="Book Antiqua" w:cs="Book Antiqua"/>
          <w:b/>
          <w:bCs/>
          <w:color w:val="000000"/>
        </w:rPr>
        <w:t xml:space="preserve">Published online: </w:t>
      </w:r>
    </w:p>
    <w:p w14:paraId="043B431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089E787" w14:textId="77777777" w:rsidR="00A77B3E" w:rsidRDefault="004B6445">
      <w:pPr>
        <w:spacing w:line="360" w:lineRule="auto"/>
        <w:jc w:val="both"/>
      </w:pPr>
      <w:r>
        <w:rPr>
          <w:rFonts w:ascii="Book Antiqua" w:eastAsia="Book Antiqua" w:hAnsi="Book Antiqua" w:cs="Book Antiqua"/>
          <w:b/>
          <w:color w:val="000000"/>
        </w:rPr>
        <w:lastRenderedPageBreak/>
        <w:t>Abstract</w:t>
      </w:r>
    </w:p>
    <w:p w14:paraId="758410E3" w14:textId="77777777" w:rsidR="00A77B3E" w:rsidRDefault="004B6445">
      <w:pPr>
        <w:spacing w:line="360" w:lineRule="auto"/>
        <w:jc w:val="both"/>
      </w:pPr>
      <w:r>
        <w:rPr>
          <w:rFonts w:ascii="Book Antiqua" w:eastAsia="Book Antiqua" w:hAnsi="Book Antiqua" w:cs="Book Antiqua"/>
          <w:color w:val="000000"/>
        </w:rPr>
        <w:t>BACKGROUND</w:t>
      </w:r>
    </w:p>
    <w:p w14:paraId="6688D590" w14:textId="64BE9609" w:rsidR="00A77B3E" w:rsidRDefault="004B6445">
      <w:pPr>
        <w:spacing w:line="360" w:lineRule="auto"/>
        <w:jc w:val="both"/>
      </w:pPr>
      <w:r>
        <w:rPr>
          <w:rFonts w:ascii="Book Antiqua" w:eastAsia="Book Antiqua" w:hAnsi="Book Antiqua" w:cs="Book Antiqua"/>
          <w:color w:val="000000"/>
        </w:rPr>
        <w:t>Endoscopic drainage remains the treatment of choice for unresect</w:t>
      </w:r>
      <w:r w:rsidR="0098649C">
        <w:rPr>
          <w:rFonts w:ascii="Book Antiqua" w:eastAsia="Book Antiqua" w:hAnsi="Book Antiqua" w:cs="Book Antiqua"/>
          <w:color w:val="000000"/>
        </w:rPr>
        <w:t>able</w:t>
      </w:r>
      <w:r>
        <w:rPr>
          <w:rFonts w:ascii="Book Antiqua" w:eastAsia="Book Antiqua" w:hAnsi="Book Antiqua" w:cs="Book Antiqua"/>
          <w:color w:val="000000"/>
        </w:rPr>
        <w:t xml:space="preserve"> or inoperable malignant distal biliary obstruction (MDBO). </w:t>
      </w:r>
    </w:p>
    <w:p w14:paraId="2A75F451" w14:textId="77777777" w:rsidR="00A77B3E" w:rsidRDefault="00A77B3E">
      <w:pPr>
        <w:spacing w:line="360" w:lineRule="auto"/>
        <w:jc w:val="both"/>
      </w:pPr>
    </w:p>
    <w:p w14:paraId="0A2A9CB3" w14:textId="77777777" w:rsidR="00A77B3E" w:rsidRDefault="004B6445">
      <w:pPr>
        <w:spacing w:line="360" w:lineRule="auto"/>
        <w:jc w:val="both"/>
      </w:pPr>
      <w:r>
        <w:rPr>
          <w:rFonts w:ascii="Book Antiqua" w:eastAsia="Book Antiqua" w:hAnsi="Book Antiqua" w:cs="Book Antiqua"/>
          <w:color w:val="000000"/>
        </w:rPr>
        <w:t>AIM</w:t>
      </w:r>
    </w:p>
    <w:p w14:paraId="1FCA2744" w14:textId="3A15E867" w:rsidR="00A77B3E" w:rsidRDefault="004B6445">
      <w:pPr>
        <w:spacing w:line="360" w:lineRule="auto"/>
        <w:jc w:val="both"/>
      </w:pPr>
      <w:r>
        <w:rPr>
          <w:rFonts w:ascii="Book Antiqua" w:eastAsia="Book Antiqua" w:hAnsi="Book Antiqua" w:cs="Book Antiqua"/>
          <w:color w:val="000000"/>
        </w:rPr>
        <w:t xml:space="preserve">To compare </w:t>
      </w:r>
      <w:r w:rsidR="0098649C">
        <w:rPr>
          <w:rFonts w:ascii="Book Antiqua" w:eastAsia="Book Antiqua" w:hAnsi="Book Antiqua" w:cs="Book Antiqua"/>
          <w:color w:val="000000"/>
        </w:rPr>
        <w:t xml:space="preserve">the </w:t>
      </w:r>
      <w:r>
        <w:rPr>
          <w:rFonts w:ascii="Book Antiqua" w:eastAsia="Book Antiqua" w:hAnsi="Book Antiqua" w:cs="Book Antiqua"/>
          <w:color w:val="000000"/>
        </w:rPr>
        <w:t xml:space="preserve">safety and efficacy of plastic stent (PS) </w:t>
      </w:r>
      <w:r>
        <w:rPr>
          <w:rFonts w:ascii="Book Antiqua" w:eastAsia="Book Antiqua" w:hAnsi="Book Antiqua" w:cs="Book Antiqua"/>
          <w:i/>
          <w:iCs/>
          <w:color w:val="000000"/>
        </w:rPr>
        <w:t>vs</w:t>
      </w:r>
      <w:r>
        <w:rPr>
          <w:rFonts w:ascii="Book Antiqua" w:eastAsia="Book Antiqua" w:hAnsi="Book Antiqua" w:cs="Book Antiqua"/>
          <w:color w:val="000000"/>
        </w:rPr>
        <w:t xml:space="preserve"> self-expanding metal stent (SEMS) placement for treatment of MDBO. </w:t>
      </w:r>
    </w:p>
    <w:p w14:paraId="295123F0" w14:textId="77777777" w:rsidR="00A77B3E" w:rsidRDefault="00A77B3E">
      <w:pPr>
        <w:spacing w:line="360" w:lineRule="auto"/>
        <w:jc w:val="both"/>
      </w:pPr>
    </w:p>
    <w:p w14:paraId="28DC6590" w14:textId="77777777" w:rsidR="00A77B3E" w:rsidRDefault="004B6445">
      <w:pPr>
        <w:spacing w:line="360" w:lineRule="auto"/>
        <w:jc w:val="both"/>
      </w:pPr>
      <w:r>
        <w:rPr>
          <w:rFonts w:ascii="Book Antiqua" w:eastAsia="Book Antiqua" w:hAnsi="Book Antiqua" w:cs="Book Antiqua"/>
          <w:color w:val="000000"/>
        </w:rPr>
        <w:t>METHODS</w:t>
      </w:r>
    </w:p>
    <w:p w14:paraId="2A3101B5" w14:textId="634991F0" w:rsidR="00A77B3E" w:rsidRDefault="004B6445">
      <w:pPr>
        <w:spacing w:line="360" w:lineRule="auto"/>
        <w:jc w:val="both"/>
      </w:pPr>
      <w:r>
        <w:rPr>
          <w:rFonts w:ascii="Book Antiqua" w:eastAsia="Book Antiqua" w:hAnsi="Book Antiqua" w:cs="Book Antiqua"/>
          <w:color w:val="000000"/>
        </w:rPr>
        <w:t xml:space="preserve">This meta-analysis was developed according to </w:t>
      </w:r>
      <w:r w:rsidR="006E7D34">
        <w:rPr>
          <w:rFonts w:ascii="Book Antiqua" w:eastAsia="Book Antiqua" w:hAnsi="Book Antiqua" w:cs="Book Antiqua"/>
          <w:color w:val="000000"/>
          <w:shd w:val="clear" w:color="auto" w:fill="FFFFFF"/>
        </w:rPr>
        <w:t>Preferred Reporting Items for Systematic Reviews and Meta-Analysis</w:t>
      </w:r>
      <w:r>
        <w:rPr>
          <w:rFonts w:ascii="Book Antiqua" w:eastAsia="Book Antiqua" w:hAnsi="Book Antiqua" w:cs="Book Antiqua"/>
          <w:color w:val="000000"/>
        </w:rPr>
        <w:t xml:space="preserve"> guidelines. A comprehensive search was performed in MEDLINE, Cochrane, Embase, </w:t>
      </w:r>
      <w:r w:rsidR="006E7D34">
        <w:rPr>
          <w:rFonts w:ascii="Book Antiqua" w:eastAsia="Book Antiqua" w:hAnsi="Book Antiqua" w:cs="Book Antiqua"/>
          <w:color w:val="000000"/>
        </w:rPr>
        <w:t>Latin American and Caribbean Health Sciences Literature</w:t>
      </w:r>
      <w:r>
        <w:rPr>
          <w:rFonts w:ascii="Book Antiqua" w:eastAsia="Book Antiqua" w:hAnsi="Book Antiqua" w:cs="Book Antiqua"/>
          <w:color w:val="000000"/>
        </w:rPr>
        <w:t xml:space="preserve">, and grey literature to identify randomized clinical trials (RCTs) comparing clinical success, adverse events, stent dysfunction rate, reintervention rate, duration of stent patency, and mean survival. Risk difference (RD) and mean difference (MD) </w:t>
      </w:r>
      <w:r w:rsidR="0098649C">
        <w:rPr>
          <w:rFonts w:ascii="Book Antiqua" w:eastAsia="Book Antiqua" w:hAnsi="Book Antiqua" w:cs="Book Antiqua"/>
          <w:color w:val="000000"/>
        </w:rPr>
        <w:t xml:space="preserve">were </w:t>
      </w:r>
      <w:r>
        <w:rPr>
          <w:rFonts w:ascii="Book Antiqua" w:eastAsia="Book Antiqua" w:hAnsi="Book Antiqua" w:cs="Book Antiqua"/>
          <w:color w:val="000000"/>
        </w:rPr>
        <w:t xml:space="preserve">calculated and heterogeneity </w:t>
      </w:r>
      <w:r w:rsidR="0098649C">
        <w:rPr>
          <w:rFonts w:ascii="Book Antiqua" w:eastAsia="Book Antiqua" w:hAnsi="Book Antiqua" w:cs="Book Antiqua"/>
          <w:color w:val="000000"/>
        </w:rPr>
        <w:t xml:space="preserve">was </w:t>
      </w:r>
      <w:r>
        <w:rPr>
          <w:rFonts w:ascii="Book Antiqua" w:eastAsia="Book Antiqua" w:hAnsi="Book Antiqua" w:cs="Book Antiqua"/>
          <w:color w:val="000000"/>
        </w:rPr>
        <w:t>assessed with 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statistic. Subgroup analyses were performed by </w:t>
      </w:r>
      <w:r w:rsidR="0098649C">
        <w:rPr>
          <w:rFonts w:ascii="Book Antiqua" w:eastAsia="Book Antiqua" w:hAnsi="Book Antiqua" w:cs="Book Antiqua"/>
          <w:color w:val="000000"/>
        </w:rPr>
        <w:t xml:space="preserve">SEMS </w:t>
      </w:r>
      <w:r>
        <w:rPr>
          <w:rFonts w:ascii="Book Antiqua" w:eastAsia="Book Antiqua" w:hAnsi="Book Antiqua" w:cs="Book Antiqua"/>
          <w:color w:val="000000"/>
        </w:rPr>
        <w:t xml:space="preserve">type. </w:t>
      </w:r>
    </w:p>
    <w:p w14:paraId="351B3FAA" w14:textId="77777777" w:rsidR="00A77B3E" w:rsidRDefault="00A77B3E">
      <w:pPr>
        <w:spacing w:line="360" w:lineRule="auto"/>
        <w:jc w:val="both"/>
      </w:pPr>
    </w:p>
    <w:p w14:paraId="71663E76" w14:textId="77777777" w:rsidR="00A77B3E" w:rsidRDefault="004B6445">
      <w:pPr>
        <w:spacing w:line="360" w:lineRule="auto"/>
        <w:jc w:val="both"/>
      </w:pPr>
      <w:r>
        <w:rPr>
          <w:rFonts w:ascii="Book Antiqua" w:eastAsia="Book Antiqua" w:hAnsi="Book Antiqua" w:cs="Book Antiqua"/>
          <w:color w:val="000000"/>
        </w:rPr>
        <w:t>RESULTS</w:t>
      </w:r>
    </w:p>
    <w:p w14:paraId="7A772FAC" w14:textId="1AE15461" w:rsidR="00A77B3E" w:rsidRDefault="004B6445">
      <w:pPr>
        <w:spacing w:line="360" w:lineRule="auto"/>
        <w:jc w:val="both"/>
      </w:pPr>
      <w:r>
        <w:rPr>
          <w:rFonts w:ascii="Book Antiqua" w:eastAsia="Book Antiqua" w:hAnsi="Book Antiqua" w:cs="Book Antiqua"/>
          <w:color w:val="000000"/>
        </w:rPr>
        <w:t xml:space="preserve">Twelve RCTs were included in this study, totaling 1005 patients. There was no difference in clinical success </w:t>
      </w:r>
      <w:r w:rsidR="0098649C">
        <w:rPr>
          <w:rFonts w:ascii="Book Antiqua" w:eastAsia="Book Antiqua" w:hAnsi="Book Antiqua" w:cs="Book Antiqua"/>
          <w:color w:val="000000"/>
        </w:rPr>
        <w:t>(</w:t>
      </w:r>
      <w:r>
        <w:rPr>
          <w:rFonts w:ascii="Book Antiqua" w:eastAsia="Book Antiqua" w:hAnsi="Book Antiqua" w:cs="Book Antiqua"/>
          <w:color w:val="000000"/>
        </w:rPr>
        <w:t>RD = -0.03</w:t>
      </w:r>
      <w:r w:rsidR="0098649C">
        <w:rPr>
          <w:rFonts w:ascii="Book Antiqua" w:eastAsia="Book Antiqua" w:hAnsi="Book Antiqua" w:cs="Book Antiqua"/>
          <w:color w:val="000000"/>
        </w:rPr>
        <w:t xml:space="preserve">, </w:t>
      </w:r>
      <w:r>
        <w:rPr>
          <w:rFonts w:ascii="Book Antiqua" w:eastAsia="Book Antiqua" w:hAnsi="Book Antiqua" w:cs="Book Antiqua"/>
          <w:color w:val="000000"/>
        </w:rPr>
        <w:t xml:space="preserve">95% confidence interval </w:t>
      </w:r>
      <w:r w:rsidR="0098649C">
        <w:rPr>
          <w:rFonts w:ascii="Book Antiqua" w:eastAsia="Book Antiqua" w:hAnsi="Book Antiqua" w:cs="Book Antiqua"/>
          <w:color w:val="000000"/>
        </w:rPr>
        <w:t>[</w:t>
      </w:r>
      <w:r>
        <w:rPr>
          <w:rFonts w:ascii="Book Antiqua" w:eastAsia="Book Antiqua" w:hAnsi="Book Antiqua" w:cs="Book Antiqua"/>
          <w:color w:val="000000"/>
        </w:rPr>
        <w:t>CI</w:t>
      </w:r>
      <w:r w:rsidR="0098649C">
        <w:rPr>
          <w:rFonts w:ascii="Book Antiqua" w:eastAsia="Book Antiqua" w:hAnsi="Book Antiqua" w:cs="Book Antiqua"/>
          <w:color w:val="000000"/>
        </w:rPr>
        <w:t>]</w:t>
      </w:r>
      <w:r w:rsidR="00E42CA2">
        <w:rPr>
          <w:rFonts w:ascii="Book Antiqua" w:eastAsia="Book Antiqua" w:hAnsi="Book Antiqua" w:cs="Book Antiqua"/>
          <w:color w:val="000000"/>
        </w:rPr>
        <w:t>:</w:t>
      </w:r>
      <w:r>
        <w:rPr>
          <w:rFonts w:ascii="Book Antiqua" w:eastAsia="Book Antiqua" w:hAnsi="Book Antiqua" w:cs="Book Antiqua"/>
          <w:color w:val="000000"/>
        </w:rPr>
        <w:t xml:space="preserve"> -0.01, 0.07; I</w:t>
      </w:r>
      <w:r>
        <w:rPr>
          <w:rFonts w:ascii="Book Antiqua" w:eastAsia="Book Antiqua" w:hAnsi="Book Antiqua" w:cs="Book Antiqua"/>
          <w:color w:val="000000"/>
          <w:szCs w:val="30"/>
          <w:vertAlign w:val="superscript"/>
        </w:rPr>
        <w:t xml:space="preserve">2 </w:t>
      </w:r>
      <w:r>
        <w:rPr>
          <w:rFonts w:ascii="Book Antiqua" w:eastAsia="Book Antiqua" w:hAnsi="Book Antiqua" w:cs="Book Antiqua"/>
          <w:color w:val="000000"/>
        </w:rPr>
        <w:t>= 0%</w:t>
      </w:r>
      <w:r w:rsidR="0098649C">
        <w:rPr>
          <w:rFonts w:ascii="Book Antiqua" w:eastAsia="Book Antiqua" w:hAnsi="Book Antiqua" w:cs="Book Antiqua"/>
          <w:color w:val="000000"/>
        </w:rPr>
        <w:t>)</w:t>
      </w:r>
      <w:r>
        <w:rPr>
          <w:rFonts w:ascii="Book Antiqua" w:eastAsia="Book Antiqua" w:hAnsi="Book Antiqua" w:cs="Book Antiqua"/>
          <w:color w:val="000000"/>
        </w:rPr>
        <w:t xml:space="preserve">, rate of adverse events </w:t>
      </w:r>
      <w:r w:rsidR="00F0355E">
        <w:rPr>
          <w:rFonts w:ascii="Book Antiqua" w:eastAsia="Book Antiqua" w:hAnsi="Book Antiqua" w:cs="Book Antiqua"/>
          <w:color w:val="000000"/>
        </w:rPr>
        <w:t>(</w:t>
      </w:r>
      <w:r>
        <w:rPr>
          <w:rFonts w:ascii="Book Antiqua" w:eastAsia="Book Antiqua" w:hAnsi="Book Antiqua" w:cs="Book Antiqua"/>
          <w:color w:val="000000"/>
        </w:rPr>
        <w:t>RD = -0.03</w:t>
      </w:r>
      <w:r w:rsidR="00F0355E">
        <w:rPr>
          <w:rFonts w:ascii="Book Antiqua" w:eastAsia="Book Antiqua" w:hAnsi="Book Antiqua" w:cs="Book Antiqua"/>
          <w:color w:val="000000"/>
        </w:rPr>
        <w:t xml:space="preserve">, </w:t>
      </w:r>
      <w:r w:rsidR="00E42CA2">
        <w:rPr>
          <w:rFonts w:ascii="Book Antiqua" w:eastAsia="Book Antiqua" w:hAnsi="Book Antiqua" w:cs="Book Antiqua"/>
          <w:color w:val="000000"/>
        </w:rPr>
        <w:t xml:space="preserve">95%CI: </w:t>
      </w:r>
      <w:r>
        <w:rPr>
          <w:rFonts w:ascii="Book Antiqua" w:eastAsia="Book Antiqua" w:hAnsi="Book Antiqua" w:cs="Book Antiqua"/>
          <w:color w:val="000000"/>
        </w:rPr>
        <w:t xml:space="preserve">-0.10, 0.03; </w:t>
      </w:r>
      <w:r w:rsidRPr="00E42CA2">
        <w:rPr>
          <w:rFonts w:ascii="Book Antiqua" w:eastAsia="Book Antiqua" w:hAnsi="Book Antiqua" w:cs="Book Antiqua"/>
          <w:i/>
          <w:color w:val="000000"/>
        </w:rPr>
        <w:t>I</w:t>
      </w:r>
      <w:r>
        <w:rPr>
          <w:rFonts w:ascii="Book Antiqua" w:eastAsia="Book Antiqua" w:hAnsi="Book Antiqua" w:cs="Book Antiqua"/>
          <w:color w:val="000000"/>
          <w:szCs w:val="30"/>
          <w:vertAlign w:val="superscript"/>
        </w:rPr>
        <w:t xml:space="preserve">2 </w:t>
      </w:r>
      <w:r>
        <w:rPr>
          <w:rFonts w:ascii="Book Antiqua" w:eastAsia="Book Antiqua" w:hAnsi="Book Antiqua" w:cs="Book Antiqua"/>
          <w:color w:val="000000"/>
        </w:rPr>
        <w:t>= 57%</w:t>
      </w:r>
      <w:r w:rsidR="00F0355E">
        <w:rPr>
          <w:rFonts w:ascii="Book Antiqua" w:eastAsia="Book Antiqua" w:hAnsi="Book Antiqua" w:cs="Book Antiqua"/>
          <w:color w:val="000000"/>
        </w:rPr>
        <w:t>)</w:t>
      </w:r>
      <w:r>
        <w:rPr>
          <w:rFonts w:ascii="Book Antiqua" w:eastAsia="Book Antiqua" w:hAnsi="Book Antiqua" w:cs="Book Antiqua"/>
          <w:color w:val="000000"/>
        </w:rPr>
        <w:t xml:space="preserve">, and mean patient survival </w:t>
      </w:r>
      <w:r w:rsidR="00F0355E">
        <w:rPr>
          <w:rFonts w:ascii="Book Antiqua" w:eastAsia="Book Antiqua" w:hAnsi="Book Antiqua" w:cs="Book Antiqua"/>
          <w:color w:val="000000"/>
        </w:rPr>
        <w:t>(</w:t>
      </w:r>
      <w:r>
        <w:rPr>
          <w:rFonts w:ascii="Book Antiqua" w:eastAsia="Book Antiqua" w:hAnsi="Book Antiqua" w:cs="Book Antiqua"/>
          <w:color w:val="000000"/>
        </w:rPr>
        <w:t>MD = -0.63</w:t>
      </w:r>
      <w:r w:rsidR="00F0355E">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-18.07, 19.33</w:t>
      </w:r>
      <w:r w:rsidR="0076445F">
        <w:rPr>
          <w:rFonts w:ascii="Book Antiqua" w:eastAsia="Book Antiqua" w:hAnsi="Book Antiqua" w:cs="Book Antiqua"/>
          <w:color w:val="000000"/>
        </w:rPr>
        <w:t>;</w:t>
      </w:r>
      <w:r>
        <w:rPr>
          <w:rFonts w:ascii="Book Antiqua" w:eastAsia="Book Antiqua" w:hAnsi="Book Antiqua" w:cs="Book Antiqua"/>
          <w:color w:val="000000"/>
        </w:rPr>
        <w:t xml:space="preserve"> 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54%</w:t>
      </w:r>
      <w:r w:rsidR="00F0355E">
        <w:rPr>
          <w:rFonts w:ascii="Book Antiqua" w:eastAsia="Book Antiqua" w:hAnsi="Book Antiqua" w:cs="Book Antiqua"/>
          <w:color w:val="000000"/>
        </w:rPr>
        <w:t>)</w:t>
      </w:r>
      <w:r>
        <w:rPr>
          <w:rFonts w:ascii="Book Antiqua" w:eastAsia="Book Antiqua" w:hAnsi="Book Antiqua" w:cs="Book Antiqua"/>
          <w:color w:val="000000"/>
        </w:rPr>
        <w:t xml:space="preserve"> between SEMS </w:t>
      </w:r>
      <w:r>
        <w:rPr>
          <w:rFonts w:ascii="Book Antiqua" w:eastAsia="Book Antiqua" w:hAnsi="Book Antiqua" w:cs="Book Antiqua"/>
          <w:i/>
          <w:iCs/>
          <w:color w:val="000000"/>
        </w:rPr>
        <w:t>vs</w:t>
      </w:r>
      <w:r>
        <w:rPr>
          <w:rFonts w:ascii="Book Antiqua" w:eastAsia="Book Antiqua" w:hAnsi="Book Antiqua" w:cs="Book Antiqua"/>
          <w:color w:val="000000"/>
        </w:rPr>
        <w:t xml:space="preserve"> PS placement. However, SEMS placement was associated with a lower rate of reintervention </w:t>
      </w:r>
      <w:r w:rsidR="00F0355E">
        <w:rPr>
          <w:rFonts w:ascii="Book Antiqua" w:eastAsia="Book Antiqua" w:hAnsi="Book Antiqua" w:cs="Book Antiqua"/>
          <w:color w:val="000000"/>
        </w:rPr>
        <w:t>(</w:t>
      </w:r>
      <w:r>
        <w:rPr>
          <w:rFonts w:ascii="Book Antiqua" w:eastAsia="Book Antiqua" w:hAnsi="Book Antiqua" w:cs="Book Antiqua"/>
          <w:color w:val="000000"/>
        </w:rPr>
        <w:t>RD = -0.34</w:t>
      </w:r>
      <w:r w:rsidR="00F0355E">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-0.46, -0.22</w:t>
      </w:r>
      <w:r w:rsidR="0076445F">
        <w:rPr>
          <w:rFonts w:ascii="Book Antiqua" w:eastAsia="Book Antiqua" w:hAnsi="Book Antiqua" w:cs="Book Antiqua"/>
          <w:color w:val="000000"/>
        </w:rPr>
        <w:t>;</w:t>
      </w:r>
      <w:r>
        <w:rPr>
          <w:rFonts w:ascii="Book Antiqua" w:eastAsia="Book Antiqua" w:hAnsi="Book Antiqua" w:cs="Book Antiqua"/>
          <w:color w:val="000000"/>
        </w:rPr>
        <w:t xml:space="preserve"> I² = 57%</w:t>
      </w:r>
      <w:r w:rsidR="00F0355E">
        <w:rPr>
          <w:rFonts w:ascii="Book Antiqua" w:eastAsia="Book Antiqua" w:hAnsi="Book Antiqua" w:cs="Book Antiqua"/>
          <w:color w:val="000000"/>
        </w:rPr>
        <w:t>)</w:t>
      </w:r>
      <w:r>
        <w:rPr>
          <w:rFonts w:ascii="Book Antiqua" w:eastAsia="Book Antiqua" w:hAnsi="Book Antiqua" w:cs="Book Antiqua"/>
          <w:color w:val="000000"/>
        </w:rPr>
        <w:t xml:space="preserve"> and longer duration of stent patency </w:t>
      </w:r>
      <w:r w:rsidR="00F0355E">
        <w:rPr>
          <w:rFonts w:ascii="Book Antiqua" w:eastAsia="Book Antiqua" w:hAnsi="Book Antiqua" w:cs="Book Antiqua"/>
          <w:color w:val="000000"/>
        </w:rPr>
        <w:t>(</w:t>
      </w:r>
      <w:r>
        <w:rPr>
          <w:rFonts w:ascii="Book Antiqua" w:eastAsia="Book Antiqua" w:hAnsi="Book Antiqua" w:cs="Book Antiqua"/>
          <w:color w:val="000000"/>
        </w:rPr>
        <w:t>MD = 125.77 d</w:t>
      </w:r>
      <w:r w:rsidR="00F0355E">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77.5, 174.01</w:t>
      </w:r>
      <w:r w:rsidR="00F0355E">
        <w:rPr>
          <w:rFonts w:ascii="Book Antiqua" w:eastAsia="Book Antiqua" w:hAnsi="Book Antiqua" w:cs="Book Antiqua"/>
          <w:color w:val="000000"/>
        </w:rPr>
        <w:t>)</w:t>
      </w:r>
      <w:r>
        <w:rPr>
          <w:rFonts w:ascii="Book Antiqua" w:eastAsia="Book Antiqua" w:hAnsi="Book Antiqua" w:cs="Book Antiqua"/>
          <w:color w:val="000000"/>
        </w:rPr>
        <w:t xml:space="preserve">. Subgroup analyses revealed both covered and uncovered SEMS improved stent patency compared to PS </w:t>
      </w:r>
      <w:r w:rsidR="00F0355E">
        <w:rPr>
          <w:rFonts w:ascii="Book Antiqua" w:eastAsia="Book Antiqua" w:hAnsi="Book Antiqua" w:cs="Book Antiqua"/>
          <w:color w:val="000000"/>
        </w:rPr>
        <w:t>(</w:t>
      </w:r>
      <w:r>
        <w:rPr>
          <w:rFonts w:ascii="Book Antiqua" w:eastAsia="Book Antiqua" w:hAnsi="Book Antiqua" w:cs="Book Antiqua"/>
          <w:color w:val="000000"/>
        </w:rPr>
        <w:t>RD = 152.25</w:t>
      </w:r>
      <w:r w:rsidR="00F0355E">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37.42, 267.07</w:t>
      </w:r>
      <w:r w:rsidR="0076445F">
        <w:rPr>
          <w:rFonts w:ascii="Book Antiqua" w:eastAsia="Book Antiqua" w:hAnsi="Book Antiqua" w:cs="Book Antiqua"/>
          <w:color w:val="000000"/>
        </w:rPr>
        <w:t>;</w:t>
      </w:r>
      <w:r>
        <w:rPr>
          <w:rFonts w:ascii="Book Antiqua" w:eastAsia="Book Antiqua" w:hAnsi="Book Antiqua" w:cs="Book Antiqua"/>
          <w:color w:val="000000"/>
        </w:rPr>
        <w:t xml:space="preserve"> I² = 98% and RD = 101.5</w:t>
      </w:r>
      <w:r w:rsidR="00F0355E">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38.91, 164.09</w:t>
      </w:r>
      <w:r w:rsidR="00F0355E">
        <w:rPr>
          <w:rFonts w:ascii="Book Antiqua" w:eastAsia="Book Antiqua" w:hAnsi="Book Antiqua" w:cs="Book Antiqua"/>
          <w:color w:val="000000"/>
        </w:rPr>
        <w:t>;</w:t>
      </w:r>
      <w:r>
        <w:rPr>
          <w:rFonts w:ascii="Book Antiqua" w:eastAsia="Book Antiqua" w:hAnsi="Book Antiqua" w:cs="Book Antiqua"/>
          <w:color w:val="000000"/>
        </w:rPr>
        <w:t xml:space="preserve"> I² = 98%; respectively</w:t>
      </w:r>
      <w:r w:rsidR="00F0355E">
        <w:rPr>
          <w:rFonts w:ascii="Book Antiqua" w:eastAsia="Book Antiqua" w:hAnsi="Book Antiqua" w:cs="Book Antiqua"/>
          <w:color w:val="000000"/>
        </w:rPr>
        <w:t>)</w:t>
      </w:r>
      <w:r>
        <w:rPr>
          <w:rFonts w:ascii="Book Antiqua" w:eastAsia="Book Antiqua" w:hAnsi="Book Antiqua" w:cs="Book Antiqua"/>
          <w:color w:val="000000"/>
        </w:rPr>
        <w:t xml:space="preserve">. Stent dysfunction was higher in the covered SEMS group </w:t>
      </w:r>
      <w:r w:rsidR="00D33929">
        <w:rPr>
          <w:rFonts w:ascii="Book Antiqua" w:eastAsia="Book Antiqua" w:hAnsi="Book Antiqua" w:cs="Book Antiqua"/>
          <w:color w:val="000000"/>
        </w:rPr>
        <w:lastRenderedPageBreak/>
        <w:t>(</w:t>
      </w:r>
      <w:r>
        <w:rPr>
          <w:rFonts w:ascii="Book Antiqua" w:eastAsia="Book Antiqua" w:hAnsi="Book Antiqua" w:cs="Book Antiqua"/>
          <w:color w:val="000000"/>
        </w:rPr>
        <w:t>RD = -0.21</w:t>
      </w:r>
      <w:r w:rsidR="00D33929">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-0.32, -0.1; </w:t>
      </w:r>
      <w:r w:rsidRPr="00F16B70">
        <w:rPr>
          <w:rFonts w:ascii="Book Antiqua" w:eastAsia="Book Antiqua" w:hAnsi="Book Antiqua" w:cs="Book Antiqua"/>
          <w:i/>
          <w:color w:val="000000"/>
        </w:rPr>
        <w:t>I</w:t>
      </w:r>
      <w:r>
        <w:rPr>
          <w:rFonts w:ascii="Book Antiqua" w:eastAsia="Book Antiqua" w:hAnsi="Book Antiqua" w:cs="Book Antiqua"/>
          <w:color w:val="000000"/>
        </w:rPr>
        <w:t>² = 205%)</w:t>
      </w:r>
      <w:r w:rsidR="00D33929">
        <w:rPr>
          <w:rFonts w:ascii="Book Antiqua" w:eastAsia="Book Antiqua" w:hAnsi="Book Antiqua" w:cs="Book Antiqua"/>
          <w:color w:val="000000"/>
        </w:rPr>
        <w:t>,</w:t>
      </w:r>
      <w:r>
        <w:rPr>
          <w:rFonts w:ascii="Book Antiqua" w:eastAsia="Book Antiqua" w:hAnsi="Book Antiqua" w:cs="Book Antiqua"/>
          <w:color w:val="000000"/>
        </w:rPr>
        <w:t xml:space="preserve"> with no difference in the uncovered SEMS group </w:t>
      </w:r>
      <w:r w:rsidR="00D33929">
        <w:rPr>
          <w:rFonts w:ascii="Book Antiqua" w:eastAsia="Book Antiqua" w:hAnsi="Book Antiqua" w:cs="Book Antiqua"/>
          <w:color w:val="000000"/>
        </w:rPr>
        <w:t>(</w:t>
      </w:r>
      <w:r>
        <w:rPr>
          <w:rFonts w:ascii="Book Antiqua" w:eastAsia="Book Antiqua" w:hAnsi="Book Antiqua" w:cs="Book Antiqua"/>
          <w:color w:val="000000"/>
        </w:rPr>
        <w:t>RD = -0.08</w:t>
      </w:r>
      <w:r w:rsidR="00D33929">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-0.56, 0.39; </w:t>
      </w:r>
      <w:r w:rsidR="00F16B70" w:rsidRPr="00F16B70">
        <w:rPr>
          <w:rFonts w:ascii="Book Antiqua" w:eastAsia="Book Antiqua" w:hAnsi="Book Antiqua" w:cs="Book Antiqua"/>
          <w:i/>
          <w:color w:val="000000"/>
        </w:rPr>
        <w:t>I</w:t>
      </w:r>
      <w:r w:rsidR="00F16B70">
        <w:rPr>
          <w:rFonts w:ascii="Book Antiqua" w:eastAsia="Book Antiqua" w:hAnsi="Book Antiqua" w:cs="Book Antiqua"/>
          <w:color w:val="000000"/>
        </w:rPr>
        <w:t>²</w:t>
      </w:r>
      <w:r>
        <w:rPr>
          <w:rFonts w:ascii="Book Antiqua" w:eastAsia="Book Antiqua" w:hAnsi="Book Antiqua" w:cs="Book Antiqua"/>
          <w:color w:val="000000"/>
        </w:rPr>
        <w:t xml:space="preserve"> = 87%</w:t>
      </w:r>
      <w:r w:rsidR="0076445F">
        <w:rPr>
          <w:rFonts w:ascii="Book Antiqua" w:eastAsia="Book Antiqua" w:hAnsi="Book Antiqua" w:cs="Book Antiqua"/>
          <w:color w:val="000000"/>
        </w:rPr>
        <w:t>)</w:t>
      </w:r>
      <w:r>
        <w:rPr>
          <w:rFonts w:ascii="Book Antiqua" w:eastAsia="Book Antiqua" w:hAnsi="Book Antiqua" w:cs="Book Antiqua"/>
          <w:color w:val="000000"/>
        </w:rPr>
        <w:t>.</w:t>
      </w:r>
    </w:p>
    <w:p w14:paraId="496CCE99" w14:textId="77777777" w:rsidR="00A77B3E" w:rsidRDefault="00A77B3E">
      <w:pPr>
        <w:spacing w:line="360" w:lineRule="auto"/>
        <w:jc w:val="both"/>
      </w:pPr>
    </w:p>
    <w:p w14:paraId="6E3E99D2" w14:textId="77777777" w:rsidR="00A77B3E" w:rsidRDefault="004B6445">
      <w:pPr>
        <w:spacing w:line="360" w:lineRule="auto"/>
        <w:jc w:val="both"/>
      </w:pPr>
      <w:r>
        <w:rPr>
          <w:rFonts w:ascii="Book Antiqua" w:eastAsia="Book Antiqua" w:hAnsi="Book Antiqua" w:cs="Book Antiqua"/>
          <w:color w:val="000000"/>
        </w:rPr>
        <w:t>CONCLUSION</w:t>
      </w:r>
    </w:p>
    <w:p w14:paraId="72A0101C" w14:textId="77777777" w:rsidR="00A77B3E" w:rsidRDefault="004B6445">
      <w:pPr>
        <w:spacing w:line="360" w:lineRule="auto"/>
        <w:jc w:val="both"/>
      </w:pPr>
      <w:r>
        <w:rPr>
          <w:rFonts w:ascii="Book Antiqua" w:eastAsia="Book Antiqua" w:hAnsi="Book Antiqua" w:cs="Book Antiqua"/>
          <w:color w:val="000000"/>
        </w:rPr>
        <w:t>While both stent types possessed a similar clinical success rate, complication rate, and patient-associated mean survival for treatment of MDBO, SEMS were associated with a longer duration of stent patency compared to PS.</w:t>
      </w:r>
    </w:p>
    <w:p w14:paraId="01970813" w14:textId="77777777" w:rsidR="00A77B3E" w:rsidRDefault="00A77B3E">
      <w:pPr>
        <w:spacing w:line="360" w:lineRule="auto"/>
        <w:jc w:val="both"/>
      </w:pPr>
    </w:p>
    <w:p w14:paraId="1A1D64CC" w14:textId="77777777" w:rsidR="00A77B3E" w:rsidRDefault="004B6445">
      <w:pPr>
        <w:spacing w:line="360" w:lineRule="auto"/>
        <w:jc w:val="both"/>
      </w:pPr>
      <w:r>
        <w:rPr>
          <w:rFonts w:ascii="Book Antiqua" w:eastAsia="Book Antiqua" w:hAnsi="Book Antiqua" w:cs="Book Antiqua"/>
          <w:b/>
          <w:bCs/>
          <w:color w:val="000000"/>
        </w:rPr>
        <w:t xml:space="preserve">Key Words: </w:t>
      </w:r>
      <w:bookmarkStart w:id="24" w:name="OLE_LINK24"/>
      <w:bookmarkStart w:id="25" w:name="OLE_LINK25"/>
      <w:r>
        <w:rPr>
          <w:rFonts w:ascii="Book Antiqua" w:eastAsia="Book Antiqua" w:hAnsi="Book Antiqua" w:cs="Book Antiqua"/>
          <w:color w:val="000000"/>
        </w:rPr>
        <w:t>Biliary tract neoplasms; Stents; Protheses; Malignancy; Biliary system; Cancer</w:t>
      </w:r>
      <w:bookmarkEnd w:id="24"/>
      <w:bookmarkEnd w:id="25"/>
    </w:p>
    <w:p w14:paraId="74B099CF" w14:textId="77777777" w:rsidR="00A77B3E" w:rsidRDefault="00A77B3E">
      <w:pPr>
        <w:spacing w:line="360" w:lineRule="auto"/>
        <w:jc w:val="both"/>
      </w:pPr>
    </w:p>
    <w:p w14:paraId="36098C47" w14:textId="77777777" w:rsidR="00A77B3E" w:rsidRDefault="004B6445">
      <w:pPr>
        <w:spacing w:line="360" w:lineRule="auto"/>
        <w:jc w:val="both"/>
      </w:pPr>
      <w:bookmarkStart w:id="26" w:name="OLE_LINK26"/>
      <w:bookmarkStart w:id="27" w:name="OLE_LINK27"/>
      <w:r>
        <w:rPr>
          <w:rFonts w:ascii="Book Antiqua" w:eastAsia="Book Antiqua" w:hAnsi="Book Antiqua" w:cs="Book Antiqua"/>
          <w:color w:val="000000"/>
        </w:rPr>
        <w:t xml:space="preserve">Scatimburgo MVC, Ribeiro IB, de Moura DT, Sagae VM, Hirsch BS, Boghossian MB, McCarty TR, dos Santos MEL, Franzini TA, Bernardo WM, de Moura EGH. Biliary drainage in inoperable malignant biliary distal obstruction: A systematic review and meta-analysis. </w:t>
      </w:r>
      <w:r>
        <w:rPr>
          <w:rFonts w:ascii="Book Antiqua" w:eastAsia="Book Antiqua" w:hAnsi="Book Antiqua" w:cs="Book Antiqua"/>
          <w:i/>
          <w:iCs/>
          <w:color w:val="000000"/>
        </w:rPr>
        <w:t>World J Gastrointest Surg</w:t>
      </w:r>
      <w:r>
        <w:rPr>
          <w:rFonts w:ascii="Book Antiqua" w:eastAsia="Book Antiqua" w:hAnsi="Book Antiqua" w:cs="Book Antiqua"/>
          <w:color w:val="000000"/>
        </w:rPr>
        <w:t xml:space="preserve"> 2021; In press</w:t>
      </w:r>
    </w:p>
    <w:bookmarkEnd w:id="26"/>
    <w:bookmarkEnd w:id="27"/>
    <w:p w14:paraId="27575B95" w14:textId="77777777" w:rsidR="00A77B3E" w:rsidRDefault="00A77B3E">
      <w:pPr>
        <w:spacing w:line="360" w:lineRule="auto"/>
        <w:jc w:val="both"/>
      </w:pPr>
    </w:p>
    <w:p w14:paraId="5D612A29" w14:textId="2408D9F1" w:rsidR="00A77B3E" w:rsidRDefault="004B644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Bile duct or pancreatic malignancies that result in malignant distal biliary obstruction (MDBO) </w:t>
      </w:r>
      <w:r w:rsidR="00D51737">
        <w:rPr>
          <w:rFonts w:ascii="Book Antiqua" w:eastAsia="Book Antiqua" w:hAnsi="Book Antiqua" w:cs="Book Antiqua"/>
          <w:color w:val="000000"/>
        </w:rPr>
        <w:t xml:space="preserve">are </w:t>
      </w:r>
      <w:r>
        <w:rPr>
          <w:rFonts w:ascii="Book Antiqua" w:eastAsia="Book Antiqua" w:hAnsi="Book Antiqua" w:cs="Book Antiqua"/>
          <w:color w:val="000000"/>
        </w:rPr>
        <w:t xml:space="preserve">often associated with a poor prognosis. Currently, palliative treatment </w:t>
      </w:r>
      <w:r>
        <w:rPr>
          <w:rFonts w:ascii="Book Antiqua" w:eastAsia="Book Antiqua" w:hAnsi="Book Antiqua" w:cs="Book Antiqua"/>
          <w:i/>
          <w:iCs/>
          <w:color w:val="000000"/>
        </w:rPr>
        <w:t>via</w:t>
      </w:r>
      <w:r>
        <w:rPr>
          <w:rFonts w:ascii="Book Antiqua" w:eastAsia="Book Antiqua" w:hAnsi="Book Antiqua" w:cs="Book Antiqua"/>
          <w:color w:val="000000"/>
        </w:rPr>
        <w:t xml:space="preserve"> endoscopic biliary drainage is considered the treatment of choice for unresectable or inoperable MDBO. In this systematic review and meta-analysis of randomized controlled trials, we compared the efficacy and safety of plastic stent (PS) </w:t>
      </w:r>
      <w:r>
        <w:rPr>
          <w:rFonts w:ascii="Book Antiqua" w:eastAsia="Book Antiqua" w:hAnsi="Book Antiqua" w:cs="Book Antiqua"/>
          <w:i/>
          <w:iCs/>
          <w:color w:val="000000"/>
        </w:rPr>
        <w:t>vs</w:t>
      </w:r>
      <w:r>
        <w:rPr>
          <w:rFonts w:ascii="Book Antiqua" w:eastAsia="Book Antiqua" w:hAnsi="Book Antiqua" w:cs="Book Antiqua"/>
          <w:color w:val="000000"/>
        </w:rPr>
        <w:t xml:space="preserve"> self-expanding metal stent (SEMS) placement. We concluded that SEMS placement </w:t>
      </w:r>
      <w:r w:rsidR="003472D0">
        <w:rPr>
          <w:rFonts w:ascii="Book Antiqua" w:eastAsia="Book Antiqua" w:hAnsi="Book Antiqua" w:cs="Book Antiqua"/>
          <w:color w:val="000000"/>
        </w:rPr>
        <w:t>ha</w:t>
      </w:r>
      <w:r w:rsidR="00724D56">
        <w:rPr>
          <w:rFonts w:ascii="Book Antiqua" w:eastAsia="Book Antiqua" w:hAnsi="Book Antiqua" w:cs="Book Antiqua"/>
          <w:color w:val="000000"/>
        </w:rPr>
        <w:t>d</w:t>
      </w:r>
      <w:r w:rsidR="003472D0">
        <w:rPr>
          <w:rFonts w:ascii="Book Antiqua" w:eastAsia="Book Antiqua" w:hAnsi="Book Antiqua" w:cs="Book Antiqua"/>
          <w:color w:val="000000"/>
        </w:rPr>
        <w:t xml:space="preserve"> </w:t>
      </w:r>
      <w:r>
        <w:rPr>
          <w:rFonts w:ascii="Book Antiqua" w:eastAsia="Book Antiqua" w:hAnsi="Book Antiqua" w:cs="Book Antiqua"/>
          <w:color w:val="000000"/>
        </w:rPr>
        <w:t>a longer duration of patency, lower rate of reintervention, and lower rate of stent dysfunction compared to PS in patients with MDBO. There was no difference in outcomes of clinical success, mean patient survival, and overall adverse events.</w:t>
      </w:r>
    </w:p>
    <w:p w14:paraId="739B4839" w14:textId="352747FB" w:rsidR="008A4235" w:rsidRDefault="008A4235">
      <w:r>
        <w:br w:type="page"/>
      </w:r>
    </w:p>
    <w:p w14:paraId="272EB10A" w14:textId="77777777" w:rsidR="00A77B3E" w:rsidRDefault="004B6445">
      <w:pPr>
        <w:spacing w:line="360" w:lineRule="auto"/>
        <w:jc w:val="both"/>
      </w:pPr>
      <w:r>
        <w:rPr>
          <w:rFonts w:ascii="Book Antiqua" w:eastAsia="Book Antiqua" w:hAnsi="Book Antiqua" w:cs="Book Antiqua"/>
          <w:b/>
          <w:caps/>
          <w:color w:val="000000"/>
          <w:u w:val="single"/>
        </w:rPr>
        <w:lastRenderedPageBreak/>
        <w:t>INTRODUCTION</w:t>
      </w:r>
    </w:p>
    <w:p w14:paraId="454A89B3" w14:textId="77777777" w:rsidR="00A77B3E" w:rsidRDefault="004B6445">
      <w:pPr>
        <w:spacing w:line="360" w:lineRule="auto"/>
        <w:jc w:val="both"/>
      </w:pPr>
      <w:r>
        <w:rPr>
          <w:rFonts w:ascii="Book Antiqua" w:eastAsia="Book Antiqua" w:hAnsi="Book Antiqua" w:cs="Book Antiqua"/>
          <w:color w:val="000000"/>
        </w:rPr>
        <w:t>While malignant bile duct tumors are uncommon, estimated to have an incidence of 8000 new intra- and extrahepatic cases per year according to the American Cancer Society</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these neoplasms are associated with a very poor overall prognosis. Similarly, malignant pancreatic lesions, which may also result in malignant distal biliary obstruction (MDBO), portend a poor prognosis. In many cases, these lesions have no curative perspective by the time of diagnosis. Thus, palliative treatment methods to achieve bile duct clearance play a major role, providing a longer life expectancy and improved quality of life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5791734A" w14:textId="0594D46D" w:rsidR="00A77B3E" w:rsidRDefault="004B6445" w:rsidP="00BB49DC">
      <w:pPr>
        <w:spacing w:line="360" w:lineRule="auto"/>
        <w:ind w:firstLine="270"/>
        <w:jc w:val="both"/>
      </w:pPr>
      <w:r>
        <w:rPr>
          <w:rFonts w:ascii="Book Antiqua" w:eastAsia="Book Antiqua" w:hAnsi="Book Antiqua" w:cs="Book Antiqua"/>
          <w:color w:val="000000"/>
        </w:rPr>
        <w:t>Endoscopic stenting, percutaneous transhepatic bile duct drainage (PTBD), and surgical bile derivation (</w:t>
      </w:r>
      <w:r>
        <w:rPr>
          <w:rFonts w:ascii="Book Antiqua" w:eastAsia="Book Antiqua" w:hAnsi="Book Antiqua" w:cs="Book Antiqua"/>
          <w:i/>
          <w:iCs/>
          <w:color w:val="000000"/>
        </w:rPr>
        <w:t>i.e.</w:t>
      </w:r>
      <w:r>
        <w:rPr>
          <w:rFonts w:ascii="Book Antiqua" w:eastAsia="Book Antiqua" w:hAnsi="Book Antiqua" w:cs="Book Antiqua"/>
          <w:color w:val="000000"/>
        </w:rPr>
        <w:t xml:space="preserve"> surgical bypass) are established methods to achieve bile duct drainage. The emergence of metallic stents was a turning point in endoscopic treatments, especially in chronic and palliative patients, being diffusely used in various situations such as emergencies of the colon</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stomach/duodenum</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and drainage of the bile ducts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Endoscopic biliary stenting was first described by Soehendra</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in 1979, and today is considered the treatment of choice in the palliative care of unresectable or inoperable MDBO. Additionally, endoscopic biliary drainage may be considered an alternative or as a combined approach method to PTBD</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Endoscopic drainage </w:t>
      </w:r>
      <w:r w:rsidR="006E7D34">
        <w:rPr>
          <w:rFonts w:ascii="Book Antiqua" w:eastAsia="Book Antiqua" w:hAnsi="Book Antiqua" w:cs="Book Antiqua"/>
          <w:color w:val="000000"/>
        </w:rPr>
        <w:t>is</w:t>
      </w:r>
      <w:r>
        <w:rPr>
          <w:rFonts w:ascii="Book Antiqua" w:eastAsia="Book Antiqua" w:hAnsi="Book Antiqua" w:cs="Book Antiqua"/>
          <w:color w:val="000000"/>
        </w:rPr>
        <w:t xml:space="preserve"> associated with a decreased mortality and lower complication rate, as well as a higher clinical success rate, compared to a traditional surgical approach; however, there does appear to be a higher rate of recurrent biliary obstruction</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w:t>
      </w:r>
    </w:p>
    <w:p w14:paraId="0200C0DE" w14:textId="31702DAA" w:rsidR="00A77B3E" w:rsidRDefault="004B6445" w:rsidP="005D3E69">
      <w:pPr>
        <w:spacing w:line="360" w:lineRule="auto"/>
        <w:ind w:firstLine="270"/>
        <w:jc w:val="both"/>
      </w:pPr>
      <w:r>
        <w:rPr>
          <w:rFonts w:ascii="Book Antiqua" w:eastAsia="Book Antiqua" w:hAnsi="Book Antiqua" w:cs="Book Antiqua"/>
          <w:color w:val="000000"/>
        </w:rPr>
        <w:t xml:space="preserve">Two types of stents may be utilized to achieve successful endoscopic biliary drainage: </w:t>
      </w:r>
      <w:r w:rsidR="006E7D34">
        <w:rPr>
          <w:rFonts w:ascii="Book Antiqua" w:eastAsia="Book Antiqua" w:hAnsi="Book Antiqua" w:cs="Book Antiqua"/>
          <w:color w:val="000000"/>
        </w:rPr>
        <w:t>p</w:t>
      </w:r>
      <w:r>
        <w:rPr>
          <w:rFonts w:ascii="Book Antiqua" w:eastAsia="Book Antiqua" w:hAnsi="Book Antiqua" w:cs="Book Antiqua"/>
          <w:color w:val="000000"/>
        </w:rPr>
        <w:t>lastic stent (PS) and self-expanding metal stent (SEMS) placement. Each of these stent types possess different characteristics regarding stent patency, need for reintervention, potential for stent dysfunction, and other adverse events. There is great deal of discussion in the literature, in randomized clinical trials (RCTs)</w:t>
      </w:r>
      <w:r>
        <w:rPr>
          <w:rFonts w:ascii="Book Antiqua" w:eastAsia="Book Antiqua" w:hAnsi="Book Antiqua" w:cs="Book Antiqua"/>
          <w:color w:val="000000"/>
          <w:szCs w:val="30"/>
          <w:vertAlign w:val="superscript"/>
        </w:rPr>
        <w:t>[10–21]</w:t>
      </w:r>
      <w:r>
        <w:rPr>
          <w:rFonts w:ascii="Book Antiqua" w:eastAsia="Book Antiqua" w:hAnsi="Book Antiqua" w:cs="Book Antiqua"/>
          <w:color w:val="000000"/>
        </w:rPr>
        <w:t xml:space="preserve"> and previous meta-analyses</w:t>
      </w:r>
      <w:r>
        <w:rPr>
          <w:rFonts w:ascii="Book Antiqua" w:eastAsia="Book Antiqua" w:hAnsi="Book Antiqua" w:cs="Book Antiqua"/>
          <w:color w:val="000000"/>
          <w:szCs w:val="30"/>
          <w:vertAlign w:val="superscript"/>
        </w:rPr>
        <w:t>[22–28]</w:t>
      </w:r>
      <w:r w:rsidR="006E7D34">
        <w:rPr>
          <w:rFonts w:ascii="Book Antiqua" w:eastAsia="Book Antiqua" w:hAnsi="Book Antiqua" w:cs="Book Antiqua"/>
          <w:color w:val="000000"/>
          <w:szCs w:val="30"/>
        </w:rPr>
        <w:t>,</w:t>
      </w:r>
      <w:r>
        <w:rPr>
          <w:rFonts w:ascii="Book Antiqua" w:eastAsia="Book Antiqua" w:hAnsi="Book Antiqua" w:cs="Book Antiqua"/>
          <w:color w:val="000000"/>
        </w:rPr>
        <w:t xml:space="preserve"> on which type of stent may be a preferred treatment for malignant biliary obstruction; however, these studies often include multiple locations for bile duct obstruction – making the conclusions challenging to interpret or implement in routine clinical practice. As such, this systematic review and meta-analysis compare</w:t>
      </w:r>
      <w:r w:rsidR="006E7D34">
        <w:rPr>
          <w:rFonts w:ascii="Book Antiqua" w:eastAsia="Book Antiqua" w:hAnsi="Book Antiqua" w:cs="Book Antiqua"/>
          <w:color w:val="000000"/>
        </w:rPr>
        <w:t>d</w:t>
      </w:r>
      <w:r>
        <w:rPr>
          <w:rFonts w:ascii="Book Antiqua" w:eastAsia="Book Antiqua" w:hAnsi="Book Antiqua" w:cs="Book Antiqua"/>
          <w:color w:val="000000"/>
        </w:rPr>
        <w:t xml:space="preserve"> the safety and efficacy of PS </w:t>
      </w:r>
      <w:r>
        <w:rPr>
          <w:rFonts w:ascii="Book Antiqua" w:eastAsia="Book Antiqua" w:hAnsi="Book Antiqua" w:cs="Book Antiqua"/>
          <w:i/>
          <w:iCs/>
          <w:color w:val="000000"/>
        </w:rPr>
        <w:t>vs</w:t>
      </w:r>
      <w:r>
        <w:rPr>
          <w:rFonts w:ascii="Book Antiqua" w:eastAsia="Book Antiqua" w:hAnsi="Book Antiqua" w:cs="Book Antiqua"/>
          <w:color w:val="000000"/>
        </w:rPr>
        <w:t xml:space="preserve"> SEMS placement for patients with unresectable MDBO. </w:t>
      </w:r>
    </w:p>
    <w:p w14:paraId="71F3B619" w14:textId="77777777" w:rsidR="00A77B3E" w:rsidRDefault="00A77B3E">
      <w:pPr>
        <w:spacing w:line="360" w:lineRule="auto"/>
        <w:ind w:firstLine="567"/>
        <w:jc w:val="both"/>
      </w:pPr>
    </w:p>
    <w:p w14:paraId="2D9DD8CB" w14:textId="77777777" w:rsidR="00A77B3E" w:rsidRDefault="004B6445">
      <w:pPr>
        <w:spacing w:line="360" w:lineRule="auto"/>
        <w:jc w:val="both"/>
      </w:pPr>
      <w:r>
        <w:rPr>
          <w:rFonts w:ascii="Book Antiqua" w:eastAsia="Book Antiqua" w:hAnsi="Book Antiqua" w:cs="Book Antiqua"/>
          <w:b/>
          <w:caps/>
          <w:color w:val="000000"/>
          <w:u w:val="single"/>
        </w:rPr>
        <w:t>MATERIALS AND METHODS</w:t>
      </w:r>
    </w:p>
    <w:p w14:paraId="1B92A9F5" w14:textId="77777777" w:rsidR="00A77B3E" w:rsidRDefault="004B6445">
      <w:pPr>
        <w:spacing w:line="360" w:lineRule="auto"/>
        <w:jc w:val="both"/>
      </w:pPr>
      <w:r>
        <w:rPr>
          <w:rFonts w:ascii="Book Antiqua" w:eastAsia="Book Antiqua" w:hAnsi="Book Antiqua" w:cs="Book Antiqua"/>
          <w:b/>
          <w:bCs/>
          <w:i/>
          <w:iCs/>
          <w:color w:val="000000"/>
          <w:shd w:val="clear" w:color="auto" w:fill="FFFFFF"/>
        </w:rPr>
        <w:t>Protocol and registration</w:t>
      </w:r>
    </w:p>
    <w:p w14:paraId="648ED70C" w14:textId="5A0AE527" w:rsidR="00A77B3E" w:rsidRDefault="004B6445">
      <w:pPr>
        <w:spacing w:line="360" w:lineRule="auto"/>
        <w:jc w:val="both"/>
      </w:pPr>
      <w:r>
        <w:rPr>
          <w:rFonts w:ascii="Book Antiqua" w:eastAsia="Book Antiqua" w:hAnsi="Book Antiqua" w:cs="Book Antiqua"/>
          <w:color w:val="000000"/>
          <w:shd w:val="clear" w:color="auto" w:fill="FFFFFF"/>
        </w:rPr>
        <w:t>This study was performed in conformity with the Preferred Reporting Items for Systematic Reviews and Meta-</w:t>
      </w:r>
      <w:r w:rsidR="006E7D34">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nalysis (PRISMA) guidelines and was registered in the International Prospective Register of Systematic Reviews under file number CRD42020191234. The study was approved by the Ethics Committee of Hospital das Clínicas, Faculty of Medicine, University of São Paulo.</w:t>
      </w:r>
    </w:p>
    <w:p w14:paraId="56DCC64B" w14:textId="77777777" w:rsidR="00A77B3E" w:rsidRDefault="00A77B3E">
      <w:pPr>
        <w:spacing w:line="360" w:lineRule="auto"/>
        <w:jc w:val="both"/>
      </w:pPr>
    </w:p>
    <w:p w14:paraId="6EB00A67" w14:textId="77777777" w:rsidR="00A77B3E" w:rsidRDefault="004B6445">
      <w:pPr>
        <w:spacing w:line="360" w:lineRule="auto"/>
        <w:jc w:val="both"/>
      </w:pPr>
      <w:r>
        <w:rPr>
          <w:rFonts w:ascii="Book Antiqua" w:eastAsia="Book Antiqua" w:hAnsi="Book Antiqua" w:cs="Book Antiqua"/>
          <w:b/>
          <w:bCs/>
          <w:i/>
          <w:iCs/>
          <w:color w:val="000000"/>
          <w:shd w:val="clear" w:color="auto" w:fill="FFFFFF"/>
        </w:rPr>
        <w:t>Eligibility criteria</w:t>
      </w:r>
    </w:p>
    <w:p w14:paraId="728C057B" w14:textId="77777777" w:rsidR="00A77B3E" w:rsidRDefault="004B6445">
      <w:pPr>
        <w:spacing w:line="360" w:lineRule="auto"/>
        <w:jc w:val="both"/>
      </w:pPr>
      <w:r>
        <w:rPr>
          <w:rFonts w:ascii="Book Antiqua" w:eastAsia="Book Antiqua" w:hAnsi="Book Antiqua" w:cs="Book Antiqua"/>
          <w:color w:val="000000"/>
          <w:shd w:val="clear" w:color="auto" w:fill="FFFFFF"/>
        </w:rPr>
        <w:t xml:space="preserve">We screened all studies comparing PS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SEMS placement among patients with inoperable MDBO, due to unrespectability or poor patient status (after evaluation by the surgeon or anesthesiologist). No restrictions were set for publication date or language.</w:t>
      </w:r>
    </w:p>
    <w:p w14:paraId="00BB2777" w14:textId="77777777" w:rsidR="00A77B3E" w:rsidRDefault="00A77B3E">
      <w:pPr>
        <w:spacing w:line="360" w:lineRule="auto"/>
        <w:jc w:val="both"/>
      </w:pPr>
    </w:p>
    <w:p w14:paraId="26E5A360" w14:textId="77777777" w:rsidR="00A77B3E" w:rsidRDefault="004B6445">
      <w:pPr>
        <w:spacing w:line="360" w:lineRule="auto"/>
        <w:jc w:val="both"/>
      </w:pPr>
      <w:r>
        <w:rPr>
          <w:rFonts w:ascii="Book Antiqua" w:eastAsia="Book Antiqua" w:hAnsi="Book Antiqua" w:cs="Book Antiqua"/>
          <w:b/>
          <w:bCs/>
          <w:i/>
          <w:iCs/>
          <w:color w:val="000000"/>
          <w:shd w:val="clear" w:color="auto" w:fill="FFFFFF"/>
        </w:rPr>
        <w:t>Literature search strategy</w:t>
      </w:r>
    </w:p>
    <w:p w14:paraId="52B9549E" w14:textId="0A983B35" w:rsidR="00A77B3E" w:rsidRDefault="004B6445">
      <w:pPr>
        <w:spacing w:line="360" w:lineRule="auto"/>
        <w:jc w:val="both"/>
      </w:pPr>
      <w:r>
        <w:rPr>
          <w:rFonts w:ascii="Book Antiqua" w:eastAsia="Book Antiqua" w:hAnsi="Book Antiqua" w:cs="Book Antiqua"/>
          <w:color w:val="000000"/>
          <w:shd w:val="clear" w:color="auto" w:fill="FFFFFF"/>
        </w:rPr>
        <w:t xml:space="preserve">A comprehensive search was performed in MEDLINE, Cochrane, Embase, </w:t>
      </w:r>
      <w:r w:rsidR="008A2B67">
        <w:rPr>
          <w:rFonts w:ascii="Book Antiqua" w:eastAsia="Book Antiqua" w:hAnsi="Book Antiqua" w:cs="Book Antiqua"/>
          <w:color w:val="000000"/>
        </w:rPr>
        <w:t>Latin American and Caribbean Health Sciences Literature (</w:t>
      </w:r>
      <w:r>
        <w:rPr>
          <w:rFonts w:ascii="Book Antiqua" w:eastAsia="Book Antiqua" w:hAnsi="Book Antiqua" w:cs="Book Antiqua"/>
          <w:color w:val="000000"/>
          <w:shd w:val="clear" w:color="auto" w:fill="FFFFFF"/>
        </w:rPr>
        <w:t>LILACS</w:t>
      </w:r>
      <w:r w:rsidR="008A2B6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and grey literature, from their inception to December 2020. Search strategies are available in Supplementary material, Appendix 1.</w:t>
      </w:r>
    </w:p>
    <w:p w14:paraId="2AF02653" w14:textId="77777777" w:rsidR="00A77B3E" w:rsidRDefault="00A77B3E">
      <w:pPr>
        <w:spacing w:line="360" w:lineRule="auto"/>
        <w:jc w:val="both"/>
      </w:pPr>
    </w:p>
    <w:p w14:paraId="59FB161E" w14:textId="77777777" w:rsidR="00A77B3E" w:rsidRDefault="004B6445">
      <w:pPr>
        <w:spacing w:line="360" w:lineRule="auto"/>
        <w:jc w:val="both"/>
      </w:pPr>
      <w:r>
        <w:rPr>
          <w:rFonts w:ascii="Book Antiqua" w:eastAsia="Book Antiqua" w:hAnsi="Book Antiqua" w:cs="Book Antiqua"/>
          <w:b/>
          <w:bCs/>
          <w:i/>
          <w:iCs/>
          <w:color w:val="000000"/>
          <w:shd w:val="clear" w:color="auto" w:fill="FFFFFF"/>
        </w:rPr>
        <w:t>Study selection and data extraction</w:t>
      </w:r>
    </w:p>
    <w:p w14:paraId="1EB94E7F" w14:textId="2636330E" w:rsidR="00A77B3E" w:rsidRDefault="004B6445" w:rsidP="005D3E69">
      <w:pPr>
        <w:spacing w:line="360" w:lineRule="auto"/>
        <w:jc w:val="both"/>
      </w:pPr>
      <w:r>
        <w:rPr>
          <w:rFonts w:ascii="Book Antiqua" w:eastAsia="Book Antiqua" w:hAnsi="Book Antiqua" w:cs="Book Antiqua"/>
          <w:color w:val="000000"/>
          <w:shd w:val="clear" w:color="auto" w:fill="FFFFFF"/>
        </w:rPr>
        <w:t xml:space="preserve">Studies meeting the eligibility criteria were selected by two reviewers, initially by title and abstract and later the relevant articles were selected for full-text review. Any disagreements were resolved by consultation with a third reviewer. For the evaluation of adverse events, data related to any disorder attributed to deployment of the stent were excluded. Complications related to the procedure were considered: cholecystitis, bleeding, pancreatitis, perforation, and hepatic abscess. To evaluate stent dysfunction, data related to obstruction, kinking, and/or migration of the stent were extracted. This outcome was identified when there was a direct report of these data, or through the </w:t>
      </w:r>
      <w:r>
        <w:rPr>
          <w:rFonts w:ascii="Book Antiqua" w:eastAsia="Book Antiqua" w:hAnsi="Book Antiqua" w:cs="Book Antiqua"/>
          <w:color w:val="000000"/>
          <w:shd w:val="clear" w:color="auto" w:fill="FFFFFF"/>
        </w:rPr>
        <w:lastRenderedPageBreak/>
        <w:t xml:space="preserve">interpretation of data related to cholestasis and cholangitis described in the RCTs. Thus, only the dysfunction of the first stent placed was considered. </w:t>
      </w:r>
    </w:p>
    <w:p w14:paraId="410C6614" w14:textId="06CA9227" w:rsidR="00A77B3E" w:rsidRDefault="004B6445" w:rsidP="005D3E69">
      <w:pPr>
        <w:spacing w:line="360" w:lineRule="auto"/>
        <w:ind w:firstLine="270"/>
        <w:jc w:val="both"/>
      </w:pPr>
      <w:r>
        <w:rPr>
          <w:rFonts w:ascii="Book Antiqua" w:eastAsia="Book Antiqua" w:hAnsi="Book Antiqua" w:cs="Book Antiqua"/>
          <w:color w:val="000000"/>
          <w:shd w:val="clear" w:color="auto" w:fill="FFFFFF"/>
        </w:rPr>
        <w:t>In this systematic review and meta-analysis, clinical success was defined as successful stent placement with a documented decrease in bilirubin post-procedure of ≥ 20% in relation to the value before the procedure and clinical improvement. Reintervention was evaluated by defining the replacement of a dysfunctional stent through any procedure necessary to drain the bile duct, whether endoscopic or percutaneous.</w:t>
      </w:r>
      <w:r w:rsidR="00CD60D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 the evaluation of duration of stent patency, the time between deployment of the stent and the first clinical or laboratory manifestation of the dysfunction of the stent was evaluated, with the need for a new reintervention, calculated in days. In this outcome, the average duration of patency of the first stent deployed in the patient was evaluated, being disregarded the other reinterventions. For the survival evaluation, the global average survival of the patients was evaluated, calculated in days.</w:t>
      </w:r>
    </w:p>
    <w:p w14:paraId="13B4F45F" w14:textId="77777777" w:rsidR="00A77B3E" w:rsidRDefault="00A77B3E">
      <w:pPr>
        <w:spacing w:line="360" w:lineRule="auto"/>
        <w:ind w:firstLine="480"/>
        <w:jc w:val="both"/>
      </w:pPr>
    </w:p>
    <w:p w14:paraId="200F9198" w14:textId="77777777" w:rsidR="00A77B3E" w:rsidRDefault="004B6445">
      <w:pPr>
        <w:spacing w:line="360" w:lineRule="auto"/>
        <w:jc w:val="both"/>
      </w:pPr>
      <w:r>
        <w:rPr>
          <w:rFonts w:ascii="Book Antiqua" w:eastAsia="Book Antiqua" w:hAnsi="Book Antiqua" w:cs="Book Antiqua"/>
          <w:b/>
          <w:bCs/>
          <w:i/>
          <w:iCs/>
          <w:color w:val="000000"/>
          <w:shd w:val="clear" w:color="auto" w:fill="FFFFFF"/>
        </w:rPr>
        <w:t>Risk of bias</w:t>
      </w:r>
    </w:p>
    <w:p w14:paraId="105126B9" w14:textId="07C61F74" w:rsidR="00A77B3E" w:rsidRDefault="004B6445">
      <w:pPr>
        <w:spacing w:line="360" w:lineRule="auto"/>
        <w:jc w:val="both"/>
      </w:pPr>
      <w:r>
        <w:rPr>
          <w:rFonts w:ascii="Book Antiqua" w:eastAsia="Book Antiqua" w:hAnsi="Book Antiqua" w:cs="Book Antiqua"/>
          <w:color w:val="000000"/>
          <w:shd w:val="clear" w:color="auto" w:fill="FFFFFF"/>
        </w:rPr>
        <w:t xml:space="preserve">Risk of bias </w:t>
      </w:r>
      <w:r w:rsidR="00CD60DA">
        <w:rPr>
          <w:rFonts w:ascii="Book Antiqua" w:eastAsia="Book Antiqua" w:hAnsi="Book Antiqua" w:cs="Book Antiqua"/>
          <w:color w:val="000000"/>
          <w:shd w:val="clear" w:color="auto" w:fill="FFFFFF"/>
        </w:rPr>
        <w:t xml:space="preserve">was </w:t>
      </w:r>
      <w:r>
        <w:rPr>
          <w:rFonts w:ascii="Book Antiqua" w:eastAsia="Book Antiqua" w:hAnsi="Book Antiqua" w:cs="Book Antiqua"/>
          <w:color w:val="000000"/>
          <w:shd w:val="clear" w:color="auto" w:fill="FFFFFF"/>
        </w:rPr>
        <w:t>evaluated through individual RCTs by Cochrane's risk assessment tool for randomized trials, available as ROB-II</w:t>
      </w:r>
      <w:r>
        <w:rPr>
          <w:rFonts w:ascii="Book Antiqua" w:eastAsia="Book Antiqua" w:hAnsi="Book Antiqua" w:cs="Book Antiqua"/>
          <w:color w:val="000000"/>
          <w:szCs w:val="30"/>
          <w:shd w:val="clear" w:color="auto" w:fill="FFFFFF"/>
          <w:vertAlign w:val="superscript"/>
        </w:rPr>
        <w:t>[29]</w:t>
      </w:r>
      <w:r>
        <w:rPr>
          <w:rFonts w:ascii="Book Antiqua" w:eastAsia="Book Antiqua" w:hAnsi="Book Antiqua" w:cs="Book Antiqua"/>
          <w:color w:val="000000"/>
          <w:shd w:val="clear" w:color="auto" w:fill="FFFFFF"/>
        </w:rPr>
        <w:t xml:space="preserve">. The items evaluated were as follows: </w:t>
      </w:r>
      <w:r w:rsidR="00CD60DA">
        <w:rPr>
          <w:rFonts w:ascii="Book Antiqua" w:eastAsia="Book Antiqua" w:hAnsi="Book Antiqua" w:cs="Book Antiqua"/>
          <w:color w:val="000000"/>
          <w:shd w:val="clear" w:color="auto" w:fill="FFFFFF"/>
        </w:rPr>
        <w:t>r</w:t>
      </w:r>
      <w:r>
        <w:rPr>
          <w:rFonts w:ascii="Book Antiqua" w:eastAsia="Book Antiqua" w:hAnsi="Book Antiqua" w:cs="Book Antiqua"/>
          <w:color w:val="000000"/>
          <w:shd w:val="clear" w:color="auto" w:fill="FFFFFF"/>
        </w:rPr>
        <w:t>andomization, blindfolded allocation, double-blind and blinded evaluator, loss</w:t>
      </w:r>
      <w:r w:rsidR="00CD60D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&gt;</w:t>
      </w:r>
      <w:r w:rsidR="00CD60D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20%, analysis by intention of treatment, prognostic characteristics, sample calculation, analyzed outcomes, and early interruption. Each item evaluated was classified </w:t>
      </w:r>
      <w:r w:rsidR="00CD60DA">
        <w:rPr>
          <w:rFonts w:ascii="Book Antiqua" w:eastAsia="Book Antiqua" w:hAnsi="Book Antiqua" w:cs="Book Antiqua"/>
          <w:color w:val="000000"/>
          <w:shd w:val="clear" w:color="auto" w:fill="FFFFFF"/>
        </w:rPr>
        <w:t xml:space="preserve">as </w:t>
      </w:r>
      <w:r>
        <w:rPr>
          <w:rFonts w:ascii="Book Antiqua" w:eastAsia="Book Antiqua" w:hAnsi="Book Antiqua" w:cs="Book Antiqua"/>
          <w:color w:val="000000"/>
          <w:shd w:val="clear" w:color="auto" w:fill="FFFFFF"/>
        </w:rPr>
        <w:t>low, moderate, or high bias risk. The quality of the evidence was analyzed using the Recommendation Classification, Development, and Evaluation (GRADE) working group</w:t>
      </w:r>
      <w:r>
        <w:rPr>
          <w:rFonts w:ascii="Book Antiqua" w:eastAsia="Book Antiqua" w:hAnsi="Book Antiqua" w:cs="Book Antiqua"/>
          <w:color w:val="000000"/>
          <w:szCs w:val="30"/>
          <w:shd w:val="clear" w:color="auto" w:fill="FFFFFF"/>
          <w:vertAlign w:val="superscript"/>
        </w:rPr>
        <w:t>[30]</w:t>
      </w:r>
      <w:r>
        <w:rPr>
          <w:rFonts w:ascii="Book Antiqua" w:eastAsia="Book Antiqua" w:hAnsi="Book Antiqua" w:cs="Book Antiqua"/>
          <w:color w:val="000000"/>
          <w:shd w:val="clear" w:color="auto" w:fill="FFFFFF"/>
        </w:rPr>
        <w:t>.</w:t>
      </w:r>
    </w:p>
    <w:p w14:paraId="14474B05" w14:textId="77777777" w:rsidR="00A77B3E" w:rsidRDefault="00A77B3E">
      <w:pPr>
        <w:spacing w:line="360" w:lineRule="auto"/>
        <w:jc w:val="both"/>
      </w:pPr>
    </w:p>
    <w:p w14:paraId="0E15C10E" w14:textId="56B16727" w:rsidR="00A77B3E" w:rsidRDefault="004B6445">
      <w:pPr>
        <w:spacing w:line="360" w:lineRule="auto"/>
        <w:jc w:val="both"/>
      </w:pPr>
      <w:r>
        <w:rPr>
          <w:rFonts w:ascii="Book Antiqua" w:eastAsia="Book Antiqua" w:hAnsi="Book Antiqua" w:cs="Book Antiqua"/>
          <w:b/>
          <w:bCs/>
          <w:i/>
          <w:iCs/>
          <w:color w:val="000000"/>
          <w:shd w:val="clear" w:color="auto" w:fill="FFFFFF"/>
        </w:rPr>
        <w:t>Statistical analys</w:t>
      </w:r>
      <w:r w:rsidR="00CD60DA">
        <w:rPr>
          <w:rFonts w:ascii="Book Antiqua" w:eastAsia="Book Antiqua" w:hAnsi="Book Antiqua" w:cs="Book Antiqua"/>
          <w:b/>
          <w:bCs/>
          <w:i/>
          <w:iCs/>
          <w:color w:val="000000"/>
          <w:shd w:val="clear" w:color="auto" w:fill="FFFFFF"/>
        </w:rPr>
        <w:t>e</w:t>
      </w:r>
      <w:r>
        <w:rPr>
          <w:rFonts w:ascii="Book Antiqua" w:eastAsia="Book Antiqua" w:hAnsi="Book Antiqua" w:cs="Book Antiqua"/>
          <w:b/>
          <w:bCs/>
          <w:i/>
          <w:iCs/>
          <w:color w:val="000000"/>
          <w:shd w:val="clear" w:color="auto" w:fill="FFFFFF"/>
        </w:rPr>
        <w:t>s</w:t>
      </w:r>
    </w:p>
    <w:p w14:paraId="739BFF70" w14:textId="7640FDEA" w:rsidR="00A77B3E" w:rsidRDefault="004B6445">
      <w:pPr>
        <w:spacing w:line="360" w:lineRule="auto"/>
        <w:jc w:val="both"/>
      </w:pPr>
      <w:r>
        <w:rPr>
          <w:rFonts w:ascii="Book Antiqua" w:eastAsia="Book Antiqua" w:hAnsi="Book Antiqua" w:cs="Book Antiqua"/>
          <w:color w:val="000000"/>
          <w:shd w:val="clear" w:color="auto" w:fill="FFFFFF"/>
        </w:rPr>
        <w:t>The data from the selected works were analyzed through the software Review Manager version 5.4 (RevMan 5.4). For dichotomous endpoints, the difference was calculated by the risk difference</w:t>
      </w:r>
      <w:r w:rsidR="00EB5972">
        <w:rPr>
          <w:rFonts w:ascii="Book Antiqua" w:eastAsia="Book Antiqua" w:hAnsi="Book Antiqua" w:cs="Book Antiqua"/>
          <w:color w:val="000000"/>
          <w:shd w:val="clear" w:color="auto" w:fill="FFFFFF"/>
        </w:rPr>
        <w:t xml:space="preserve"> (RD)</w:t>
      </w:r>
      <w:r>
        <w:rPr>
          <w:rFonts w:ascii="Book Antiqua" w:eastAsia="Book Antiqua" w:hAnsi="Book Antiqua" w:cs="Book Antiqua"/>
          <w:color w:val="000000"/>
          <w:shd w:val="clear" w:color="auto" w:fill="FFFFFF"/>
        </w:rPr>
        <w:t>, using the Cochrane Mantel-Haenszel test, with 95%</w:t>
      </w:r>
      <w:r>
        <w:rPr>
          <w:rFonts w:ascii="Book Antiqua" w:eastAsia="Book Antiqua" w:hAnsi="Book Antiqua" w:cs="Book Antiqua"/>
          <w:color w:val="000000"/>
        </w:rPr>
        <w:t xml:space="preserve"> confidence interval (CI)</w:t>
      </w:r>
      <w:r>
        <w:rPr>
          <w:rFonts w:ascii="Book Antiqua" w:eastAsia="Book Antiqua" w:hAnsi="Book Antiqua" w:cs="Book Antiqua"/>
          <w:color w:val="000000"/>
          <w:shd w:val="clear" w:color="auto" w:fill="FFFFFF"/>
        </w:rPr>
        <w:t xml:space="preserve">. </w:t>
      </w:r>
      <w:r w:rsidR="00D25386">
        <w:rPr>
          <w:rFonts w:ascii="Book Antiqua" w:eastAsia="Book Antiqua" w:hAnsi="Book Antiqua" w:cs="Book Antiqua"/>
          <w:color w:val="000000"/>
          <w:shd w:val="clear" w:color="auto" w:fill="FFFFFF"/>
        </w:rPr>
        <w:t>A f</w:t>
      </w:r>
      <w:r>
        <w:rPr>
          <w:rFonts w:ascii="Book Antiqua" w:eastAsia="Book Antiqua" w:hAnsi="Book Antiqua" w:cs="Book Antiqua"/>
          <w:color w:val="000000"/>
          <w:shd w:val="clear" w:color="auto" w:fill="FFFFFF"/>
        </w:rPr>
        <w:t>ixed</w:t>
      </w:r>
      <w:r w:rsidR="00D2538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effect</w:t>
      </w:r>
      <w:r w:rsidR="00D25386">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w:t>
      </w:r>
      <w:r w:rsidR="00D25386">
        <w:rPr>
          <w:rFonts w:ascii="Book Antiqua" w:eastAsia="Book Antiqua" w:hAnsi="Book Antiqua" w:cs="Book Antiqua"/>
          <w:color w:val="000000"/>
          <w:shd w:val="clear" w:color="auto" w:fill="FFFFFF"/>
        </w:rPr>
        <w:t xml:space="preserve">model </w:t>
      </w:r>
      <w:r>
        <w:rPr>
          <w:rFonts w:ascii="Book Antiqua" w:eastAsia="Book Antiqua" w:hAnsi="Book Antiqua" w:cs="Book Antiqua"/>
          <w:color w:val="000000"/>
          <w:shd w:val="clear" w:color="auto" w:fill="FFFFFF"/>
        </w:rPr>
        <w:t xml:space="preserve">was used in cases where the I² was less than 50% and </w:t>
      </w:r>
      <w:r w:rsidR="00D25386">
        <w:rPr>
          <w:rFonts w:ascii="Book Antiqua" w:eastAsia="Book Antiqua" w:hAnsi="Book Antiqua" w:cs="Book Antiqua"/>
          <w:color w:val="000000"/>
          <w:shd w:val="clear" w:color="auto" w:fill="FFFFFF"/>
        </w:rPr>
        <w:t xml:space="preserve">a </w:t>
      </w:r>
      <w:r>
        <w:rPr>
          <w:rFonts w:ascii="Book Antiqua" w:eastAsia="Book Antiqua" w:hAnsi="Book Antiqua" w:cs="Book Antiqua"/>
          <w:color w:val="000000"/>
          <w:shd w:val="clear" w:color="auto" w:fill="FFFFFF"/>
        </w:rPr>
        <w:t>random effect</w:t>
      </w:r>
      <w:r w:rsidR="00D25386">
        <w:rPr>
          <w:rFonts w:ascii="Book Antiqua" w:eastAsia="Book Antiqua" w:hAnsi="Book Antiqua" w:cs="Book Antiqua"/>
          <w:color w:val="000000"/>
          <w:shd w:val="clear" w:color="auto" w:fill="FFFFFF"/>
        </w:rPr>
        <w:t>s model was used</w:t>
      </w:r>
      <w:r>
        <w:rPr>
          <w:rFonts w:ascii="Book Antiqua" w:eastAsia="Book Antiqua" w:hAnsi="Book Antiqua" w:cs="Book Antiqua"/>
          <w:color w:val="000000"/>
          <w:shd w:val="clear" w:color="auto" w:fill="FFFFFF"/>
        </w:rPr>
        <w:t xml:space="preserve"> when the I² was greater than 50%. </w:t>
      </w:r>
      <w:r>
        <w:rPr>
          <w:rFonts w:ascii="Book Antiqua" w:eastAsia="Book Antiqua" w:hAnsi="Book Antiqua" w:cs="Book Antiqua"/>
          <w:i/>
          <w:iCs/>
          <w:color w:val="000000"/>
          <w:shd w:val="clear" w:color="auto" w:fill="FFFFFF"/>
        </w:rPr>
        <w:t>P</w:t>
      </w:r>
      <w:r>
        <w:rPr>
          <w:rFonts w:ascii="Book Antiqua" w:eastAsia="Book Antiqua" w:hAnsi="Book Antiqua" w:cs="Book Antiqua"/>
          <w:color w:val="000000"/>
          <w:shd w:val="clear" w:color="auto" w:fill="FFFFFF"/>
        </w:rPr>
        <w:t xml:space="preserve"> &lt; 0.05 </w:t>
      </w:r>
      <w:r w:rsidR="00D25386">
        <w:rPr>
          <w:rFonts w:ascii="Book Antiqua" w:eastAsia="Book Antiqua" w:hAnsi="Book Antiqua" w:cs="Book Antiqua"/>
          <w:color w:val="000000"/>
          <w:shd w:val="clear" w:color="auto" w:fill="FFFFFF"/>
        </w:rPr>
        <w:t xml:space="preserve">was </w:t>
      </w:r>
      <w:r>
        <w:rPr>
          <w:rFonts w:ascii="Book Antiqua" w:eastAsia="Book Antiqua" w:hAnsi="Book Antiqua" w:cs="Book Antiqua"/>
          <w:color w:val="000000"/>
          <w:shd w:val="clear" w:color="auto" w:fill="FFFFFF"/>
        </w:rPr>
        <w:lastRenderedPageBreak/>
        <w:t xml:space="preserve">considered statistically significant. For continuous variables, the inverse variance test was applied. </w:t>
      </w:r>
      <w:r w:rsidR="00D25386">
        <w:rPr>
          <w:rFonts w:ascii="Book Antiqua" w:eastAsia="Book Antiqua" w:hAnsi="Book Antiqua" w:cs="Book Antiqua"/>
          <w:color w:val="000000"/>
          <w:shd w:val="clear" w:color="auto" w:fill="FFFFFF"/>
        </w:rPr>
        <w:t>T</w:t>
      </w:r>
      <w:r>
        <w:rPr>
          <w:rFonts w:ascii="Book Antiqua" w:eastAsia="Book Antiqua" w:hAnsi="Book Antiqua" w:cs="Book Antiqua"/>
          <w:color w:val="000000"/>
          <w:shd w:val="clear" w:color="auto" w:fill="FFFFFF"/>
        </w:rPr>
        <w:t xml:space="preserve">o calculate the difference between the measures, the difference of the mean was used through calculations </w:t>
      </w:r>
      <w:r w:rsidR="00D25386">
        <w:rPr>
          <w:rFonts w:ascii="Book Antiqua" w:eastAsia="Book Antiqua" w:hAnsi="Book Antiqua" w:cs="Book Antiqua"/>
          <w:color w:val="000000"/>
          <w:shd w:val="clear" w:color="auto" w:fill="FFFFFF"/>
        </w:rPr>
        <w:t xml:space="preserve">among </w:t>
      </w:r>
      <w:r>
        <w:rPr>
          <w:rFonts w:ascii="Book Antiqua" w:eastAsia="Book Antiqua" w:hAnsi="Book Antiqua" w:cs="Book Antiqua"/>
          <w:color w:val="000000"/>
          <w:shd w:val="clear" w:color="auto" w:fill="FFFFFF"/>
        </w:rPr>
        <w:t xml:space="preserve">the mean, standard deviation, and sample size of each group. In RCTs where the standard deviation was not reported, it was calculated using the mean, the interval reported in the outcome, and the sample size. </w:t>
      </w:r>
    </w:p>
    <w:p w14:paraId="42A36539" w14:textId="3659F6B1" w:rsidR="00A77B3E" w:rsidRDefault="004B6445" w:rsidP="00D25386">
      <w:pPr>
        <w:spacing w:line="360" w:lineRule="auto"/>
        <w:ind w:firstLine="270"/>
        <w:jc w:val="both"/>
      </w:pPr>
      <w:r>
        <w:rPr>
          <w:rFonts w:ascii="Book Antiqua" w:eastAsia="Book Antiqua" w:hAnsi="Book Antiqua" w:cs="Book Antiqua"/>
          <w:color w:val="000000"/>
          <w:shd w:val="clear" w:color="auto" w:fill="FFFFFF"/>
        </w:rPr>
        <w:t>The inconsistency index was evaluated through I², in which it is possible to observe the presence of heterogeneity. The I² varies from 0</w:t>
      </w:r>
      <w:r w:rsidR="00D25386">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to 100%, and when it presents</w:t>
      </w:r>
      <w:r w:rsidR="00D25386">
        <w:rPr>
          <w:rFonts w:ascii="Book Antiqua" w:eastAsia="Book Antiqua" w:hAnsi="Book Antiqua" w:cs="Book Antiqua"/>
          <w:color w:val="000000"/>
          <w:shd w:val="clear" w:color="auto" w:fill="FFFFFF"/>
        </w:rPr>
        <w:t xml:space="preserve"> as</w:t>
      </w:r>
      <w:r>
        <w:rPr>
          <w:rFonts w:ascii="Book Antiqua" w:eastAsia="Book Antiqua" w:hAnsi="Book Antiqua" w:cs="Book Antiqua"/>
          <w:color w:val="000000"/>
          <w:shd w:val="clear" w:color="auto" w:fill="FFFFFF"/>
        </w:rPr>
        <w:t xml:space="preserve"> heterogeneity &gt; 50%</w:t>
      </w:r>
      <w:r w:rsidR="00D25386">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we consider </w:t>
      </w:r>
      <w:r w:rsidR="00D25386">
        <w:rPr>
          <w:rFonts w:ascii="Book Antiqua" w:eastAsia="Book Antiqua" w:hAnsi="Book Antiqua" w:cs="Book Antiqua"/>
          <w:color w:val="000000"/>
          <w:shd w:val="clear" w:color="auto" w:fill="FFFFFF"/>
        </w:rPr>
        <w:t xml:space="preserve">it </w:t>
      </w:r>
      <w:r>
        <w:rPr>
          <w:rFonts w:ascii="Book Antiqua" w:eastAsia="Book Antiqua" w:hAnsi="Book Antiqua" w:cs="Book Antiqua"/>
          <w:color w:val="000000"/>
          <w:shd w:val="clear" w:color="auto" w:fill="FFFFFF"/>
        </w:rPr>
        <w:t xml:space="preserve">high and &gt; 75% </w:t>
      </w:r>
      <w:r w:rsidR="00D25386">
        <w:rPr>
          <w:rFonts w:ascii="Book Antiqua" w:eastAsia="Book Antiqua" w:hAnsi="Book Antiqua" w:cs="Book Antiqua"/>
          <w:color w:val="000000"/>
          <w:shd w:val="clear" w:color="auto" w:fill="FFFFFF"/>
        </w:rPr>
        <w:t xml:space="preserve">is </w:t>
      </w:r>
      <w:r>
        <w:rPr>
          <w:rFonts w:ascii="Book Antiqua" w:eastAsia="Book Antiqua" w:hAnsi="Book Antiqua" w:cs="Book Antiqua"/>
          <w:color w:val="000000"/>
          <w:shd w:val="clear" w:color="auto" w:fill="FFFFFF"/>
        </w:rPr>
        <w:t>consider</w:t>
      </w:r>
      <w:r w:rsidR="00D25386">
        <w:rPr>
          <w:rFonts w:ascii="Book Antiqua" w:eastAsia="Book Antiqua" w:hAnsi="Book Antiqua" w:cs="Book Antiqua"/>
          <w:color w:val="000000"/>
          <w:shd w:val="clear" w:color="auto" w:fill="FFFFFF"/>
        </w:rPr>
        <w:t>ed</w:t>
      </w:r>
      <w:r>
        <w:rPr>
          <w:rFonts w:ascii="Book Antiqua" w:eastAsia="Book Antiqua" w:hAnsi="Book Antiqua" w:cs="Book Antiqua"/>
          <w:color w:val="000000"/>
          <w:shd w:val="clear" w:color="auto" w:fill="FFFFFF"/>
        </w:rPr>
        <w:t xml:space="preserve"> very high. The sensitivity test (Egger) was performed whenever the heterogeneity was high in the search for publication bias (outlier)</w:t>
      </w:r>
      <w:r>
        <w:rPr>
          <w:rFonts w:ascii="Book Antiqua" w:eastAsia="Book Antiqua" w:hAnsi="Book Antiqua" w:cs="Book Antiqua"/>
          <w:color w:val="000000"/>
          <w:szCs w:val="30"/>
          <w:shd w:val="clear" w:color="auto" w:fill="FFFFFF"/>
          <w:vertAlign w:val="superscript"/>
        </w:rPr>
        <w:t>[31]</w:t>
      </w:r>
      <w:r>
        <w:rPr>
          <w:rFonts w:ascii="Book Antiqua" w:eastAsia="Book Antiqua" w:hAnsi="Book Antiqua" w:cs="Book Antiqua"/>
          <w:color w:val="000000"/>
        </w:rPr>
        <w:t>.</w:t>
      </w:r>
    </w:p>
    <w:p w14:paraId="116F072A" w14:textId="77777777" w:rsidR="00A77B3E" w:rsidRDefault="00A77B3E">
      <w:pPr>
        <w:spacing w:line="360" w:lineRule="auto"/>
        <w:ind w:firstLine="480"/>
        <w:jc w:val="both"/>
      </w:pPr>
    </w:p>
    <w:p w14:paraId="6B72865C" w14:textId="77777777" w:rsidR="00A77B3E" w:rsidRDefault="004B6445">
      <w:pPr>
        <w:spacing w:line="360" w:lineRule="auto"/>
        <w:jc w:val="both"/>
      </w:pPr>
      <w:r>
        <w:rPr>
          <w:rFonts w:ascii="Book Antiqua" w:eastAsia="Book Antiqua" w:hAnsi="Book Antiqua" w:cs="Book Antiqua"/>
          <w:b/>
          <w:caps/>
          <w:color w:val="000000"/>
          <w:u w:val="single"/>
        </w:rPr>
        <w:t>RESULTS</w:t>
      </w:r>
    </w:p>
    <w:p w14:paraId="239968CA" w14:textId="77777777" w:rsidR="00A77B3E" w:rsidRDefault="004B6445">
      <w:pPr>
        <w:spacing w:line="360" w:lineRule="auto"/>
        <w:jc w:val="both"/>
      </w:pPr>
      <w:r>
        <w:rPr>
          <w:rFonts w:ascii="Book Antiqua" w:eastAsia="Book Antiqua" w:hAnsi="Book Antiqua" w:cs="Book Antiqua"/>
          <w:b/>
          <w:bCs/>
          <w:i/>
          <w:iCs/>
          <w:color w:val="000000"/>
        </w:rPr>
        <w:t>Study selection</w:t>
      </w:r>
    </w:p>
    <w:p w14:paraId="4F55E07A" w14:textId="7105C693" w:rsidR="00A77B3E" w:rsidRDefault="004B6445">
      <w:pPr>
        <w:spacing w:line="360" w:lineRule="auto"/>
        <w:jc w:val="both"/>
      </w:pPr>
      <w:r>
        <w:rPr>
          <w:rFonts w:ascii="Book Antiqua" w:eastAsia="Book Antiqua" w:hAnsi="Book Antiqua" w:cs="Book Antiqua"/>
          <w:color w:val="000000"/>
        </w:rPr>
        <w:t xml:space="preserve">The search strategy identified 4378 articles. After excluding the duplicates, retrospective studies, and applying the eligibility criteria, </w:t>
      </w:r>
      <w:r w:rsidR="00D25386">
        <w:rPr>
          <w:rFonts w:ascii="Book Antiqua" w:eastAsia="Book Antiqua" w:hAnsi="Book Antiqua" w:cs="Book Antiqua"/>
          <w:color w:val="000000"/>
        </w:rPr>
        <w:t>12 RCTs</w:t>
      </w:r>
      <w:r>
        <w:rPr>
          <w:rFonts w:ascii="Book Antiqua" w:eastAsia="Book Antiqua" w:hAnsi="Book Antiqua" w:cs="Book Antiqua"/>
          <w:color w:val="000000"/>
        </w:rPr>
        <w:t xml:space="preserve"> were selected</w:t>
      </w:r>
      <w:r>
        <w:rPr>
          <w:rFonts w:ascii="Book Antiqua" w:eastAsia="Book Antiqua" w:hAnsi="Book Antiqua" w:cs="Book Antiqua"/>
          <w:color w:val="000000"/>
          <w:szCs w:val="30"/>
          <w:vertAlign w:val="superscript"/>
        </w:rPr>
        <w:t>[10–21]</w:t>
      </w:r>
      <w:r>
        <w:rPr>
          <w:rFonts w:ascii="Book Antiqua" w:eastAsia="Book Antiqua" w:hAnsi="Book Antiqua" w:cs="Book Antiqua"/>
          <w:color w:val="000000"/>
        </w:rPr>
        <w:t xml:space="preserve"> (Figure 1).</w:t>
      </w:r>
    </w:p>
    <w:p w14:paraId="2C919305" w14:textId="77777777" w:rsidR="00A77B3E" w:rsidRDefault="00A77B3E">
      <w:pPr>
        <w:spacing w:line="360" w:lineRule="auto"/>
        <w:jc w:val="both"/>
      </w:pPr>
    </w:p>
    <w:p w14:paraId="67C1F377" w14:textId="77777777" w:rsidR="00A77B3E" w:rsidRDefault="004B6445">
      <w:pPr>
        <w:spacing w:line="360" w:lineRule="auto"/>
        <w:jc w:val="both"/>
      </w:pPr>
      <w:r>
        <w:rPr>
          <w:rFonts w:ascii="Book Antiqua" w:eastAsia="Book Antiqua" w:hAnsi="Book Antiqua" w:cs="Book Antiqua"/>
          <w:b/>
          <w:bCs/>
          <w:i/>
          <w:iCs/>
          <w:color w:val="000000"/>
        </w:rPr>
        <w:t>Study characteristics</w:t>
      </w:r>
    </w:p>
    <w:p w14:paraId="16A61578" w14:textId="77777777" w:rsidR="00A77B3E" w:rsidRDefault="004B6445">
      <w:pPr>
        <w:spacing w:line="360" w:lineRule="auto"/>
        <w:jc w:val="both"/>
      </w:pPr>
      <w:r>
        <w:rPr>
          <w:rFonts w:ascii="Book Antiqua" w:eastAsia="Book Antiqua" w:hAnsi="Book Antiqua" w:cs="Book Antiqua"/>
          <w:color w:val="000000"/>
        </w:rPr>
        <w:t>Twelve randomized clinical trials were selected</w:t>
      </w:r>
      <w:r>
        <w:rPr>
          <w:rFonts w:ascii="Book Antiqua" w:eastAsia="Book Antiqua" w:hAnsi="Book Antiqua" w:cs="Book Antiqua"/>
          <w:color w:val="000000"/>
          <w:szCs w:val="30"/>
          <w:vertAlign w:val="superscript"/>
        </w:rPr>
        <w:t>[10–21]</w:t>
      </w:r>
      <w:r>
        <w:rPr>
          <w:rFonts w:ascii="Book Antiqua" w:eastAsia="Book Antiqua" w:hAnsi="Book Antiqua" w:cs="Book Antiqua"/>
          <w:color w:val="000000"/>
        </w:rPr>
        <w:t>, totaling 1005 patients. This population provides several etiological profiles for the cause of biliary obstruction (Supplementary Table 1). In two studies</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there was no division of data between uncovered SEMS and partially or fully covered SEMS, but only one</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result was discriminated between the two types of SEMS.</w:t>
      </w:r>
    </w:p>
    <w:p w14:paraId="7E665EE8" w14:textId="37DBF5EB" w:rsidR="00A77B3E" w:rsidRDefault="004B6445" w:rsidP="005D3E69">
      <w:pPr>
        <w:spacing w:line="360" w:lineRule="auto"/>
        <w:ind w:firstLine="270"/>
        <w:jc w:val="both"/>
      </w:pPr>
      <w:r>
        <w:rPr>
          <w:rFonts w:ascii="Book Antiqua" w:eastAsia="Book Antiqua" w:hAnsi="Book Antiqua" w:cs="Book Antiqua"/>
          <w:color w:val="000000"/>
        </w:rPr>
        <w:t xml:space="preserve">Moreover, Prat </w:t>
      </w:r>
      <w:r w:rsidRPr="004B6445">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described three groups, and in group 2 (G2) the PS </w:t>
      </w:r>
      <w:r w:rsidR="00D25386">
        <w:rPr>
          <w:rFonts w:ascii="Book Antiqua" w:eastAsia="Book Antiqua" w:hAnsi="Book Antiqua" w:cs="Book Antiqua"/>
          <w:color w:val="000000"/>
        </w:rPr>
        <w:t xml:space="preserve">was </w:t>
      </w:r>
      <w:r>
        <w:rPr>
          <w:rFonts w:ascii="Book Antiqua" w:eastAsia="Book Antiqua" w:hAnsi="Book Antiqua" w:cs="Book Antiqua"/>
          <w:color w:val="000000"/>
        </w:rPr>
        <w:t>changed every 3 mo. Taking into account that certain outcomes would not be reliably evaluated, we chose to exclude this group from our review, considering only the population of group G1 (in which PS was changed only if dysfunctional) and G3 (in which SEMS was changed only if dysfunctional). Regarding the PS, only one study</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specified the type of stent between straight and pigtail, having used straight PS.</w:t>
      </w:r>
      <w:r w:rsidR="00D25386">
        <w:rPr>
          <w:rFonts w:ascii="Book Antiqua" w:eastAsia="Book Antiqua" w:hAnsi="Book Antiqua" w:cs="Book Antiqua"/>
          <w:color w:val="000000"/>
        </w:rPr>
        <w:t xml:space="preserve"> </w:t>
      </w:r>
      <w:r>
        <w:rPr>
          <w:rFonts w:ascii="Book Antiqua" w:eastAsia="Book Antiqua" w:hAnsi="Book Antiqua" w:cs="Book Antiqua"/>
          <w:color w:val="000000"/>
        </w:rPr>
        <w:t xml:space="preserve">Regarding the diameter of the stent, the most cited diameter was 10 mm for SEMS and 10 Fr for PS. Table 1 shows the type of specific stent used in each group and the outcomes evaluated in each study. </w:t>
      </w:r>
    </w:p>
    <w:p w14:paraId="3853F101" w14:textId="60B5F4A6" w:rsidR="00A77B3E" w:rsidRDefault="004B6445" w:rsidP="002E0AD7">
      <w:pPr>
        <w:spacing w:line="360" w:lineRule="auto"/>
        <w:ind w:firstLine="270"/>
        <w:jc w:val="both"/>
      </w:pPr>
      <w:r>
        <w:rPr>
          <w:rFonts w:ascii="Book Antiqua" w:eastAsia="Book Antiqua" w:hAnsi="Book Antiqua" w:cs="Book Antiqua"/>
          <w:color w:val="000000"/>
        </w:rPr>
        <w:lastRenderedPageBreak/>
        <w:t>Two studies</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were carried out by the same author and had the same population number. Thus, in the analysis of the oldest article, we used only the outcomes that were not cited in Walter </w:t>
      </w:r>
      <w:r w:rsidRPr="004B6445">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In the other endpoints, the most updated data were used, so that there was no data overlapping.</w:t>
      </w:r>
    </w:p>
    <w:p w14:paraId="07517D9F" w14:textId="77777777" w:rsidR="00A77B3E" w:rsidRDefault="00A77B3E">
      <w:pPr>
        <w:spacing w:line="360" w:lineRule="auto"/>
        <w:ind w:firstLine="480"/>
        <w:jc w:val="both"/>
      </w:pPr>
    </w:p>
    <w:p w14:paraId="5C4CF076" w14:textId="77777777" w:rsidR="00A77B3E" w:rsidRDefault="004B6445">
      <w:pPr>
        <w:spacing w:line="360" w:lineRule="auto"/>
        <w:jc w:val="both"/>
      </w:pPr>
      <w:r>
        <w:rPr>
          <w:rFonts w:ascii="Book Antiqua" w:eastAsia="Book Antiqua" w:hAnsi="Book Antiqua" w:cs="Book Antiqua"/>
          <w:b/>
          <w:bCs/>
          <w:i/>
          <w:iCs/>
          <w:color w:val="000000"/>
        </w:rPr>
        <w:t>Risk of bias and quality of evidence</w:t>
      </w:r>
    </w:p>
    <w:p w14:paraId="0EB1C573" w14:textId="0C75F956" w:rsidR="00A77B3E" w:rsidRDefault="004B6445">
      <w:pPr>
        <w:spacing w:line="360" w:lineRule="auto"/>
        <w:jc w:val="both"/>
      </w:pPr>
      <w:r>
        <w:rPr>
          <w:rFonts w:ascii="Book Antiqua" w:eastAsia="Book Antiqua" w:hAnsi="Book Antiqua" w:cs="Book Antiqua"/>
          <w:color w:val="000000"/>
        </w:rPr>
        <w:t>In the risk of bias analysis, it was not possible to evaluate the presence of double-blinding due to the study characteristics. The risk of bias analysis for each individualized study is shown in Figure 2. In two studies</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the randomization of 240 patients was performed before endoscopic retrograde cholangiopancreatography (ERCP)</w:t>
      </w:r>
      <w:r w:rsidR="00DC6E30">
        <w:rPr>
          <w:rFonts w:ascii="Book Antiqua" w:eastAsia="Book Antiqua" w:hAnsi="Book Antiqua" w:cs="Book Antiqua"/>
          <w:color w:val="000000"/>
        </w:rPr>
        <w:t>;</w:t>
      </w:r>
      <w:r>
        <w:rPr>
          <w:rFonts w:ascii="Book Antiqua" w:eastAsia="Book Antiqua" w:hAnsi="Book Antiqua" w:cs="Book Antiqua"/>
          <w:color w:val="000000"/>
        </w:rPr>
        <w:t xml:space="preserve"> however, after examination, only 219 were included in the studies. Patients presenting</w:t>
      </w:r>
      <w:r w:rsidR="00DC6E30">
        <w:rPr>
          <w:rFonts w:ascii="Book Antiqua" w:eastAsia="Book Antiqua" w:hAnsi="Book Antiqua" w:cs="Book Antiqua"/>
          <w:color w:val="000000"/>
        </w:rPr>
        <w:t xml:space="preserve"> with</w:t>
      </w:r>
      <w:r>
        <w:rPr>
          <w:rFonts w:ascii="Book Antiqua" w:eastAsia="Book Antiqua" w:hAnsi="Book Antiqua" w:cs="Book Antiqua"/>
          <w:color w:val="000000"/>
        </w:rPr>
        <w:t xml:space="preserve"> intrahepatic obstruction, absence of stenosis, duodenal involvement, benign stenosis, candidates for surgery, prior bile duct surgery, and those who did not have an informed consent form were excluded. Four studies</w:t>
      </w:r>
      <w:r>
        <w:rPr>
          <w:rFonts w:ascii="Book Antiqua" w:eastAsia="Book Antiqua" w:hAnsi="Book Antiqua" w:cs="Book Antiqua"/>
          <w:color w:val="000000"/>
          <w:szCs w:val="30"/>
          <w:vertAlign w:val="superscript"/>
        </w:rPr>
        <w:t>[10,11,15,16]</w:t>
      </w:r>
      <w:r>
        <w:rPr>
          <w:rFonts w:ascii="Book Antiqua" w:eastAsia="Book Antiqua" w:hAnsi="Book Antiqua" w:cs="Book Antiqua"/>
          <w:color w:val="000000"/>
        </w:rPr>
        <w:t xml:space="preserve"> associated percutaneous drainage with endoscopic drainage, when there was failure to place the stent only through the endoscopic route. </w:t>
      </w:r>
    </w:p>
    <w:p w14:paraId="54F07370" w14:textId="77777777" w:rsidR="00A77B3E" w:rsidRDefault="004B6445" w:rsidP="00446CFB">
      <w:pPr>
        <w:spacing w:line="360" w:lineRule="auto"/>
        <w:ind w:firstLine="270"/>
        <w:jc w:val="both"/>
      </w:pPr>
      <w:r>
        <w:rPr>
          <w:rFonts w:ascii="Book Antiqua" w:eastAsia="Book Antiqua" w:hAnsi="Book Antiqua" w:cs="Book Antiqua"/>
          <w:color w:val="000000"/>
        </w:rPr>
        <w:t>The quality of evidence was evaluated by GRADE criteria, and very low levels of evidence were found for complications, stent dysfunction, re interventions (dichotomous variables), and duration of stent patency; low for mean survival and re interventions (in the analysis of continuous variables); moderate for drainage success. The Supplementary material, Appendix 2 demonstrates the table GRADE.</w:t>
      </w:r>
    </w:p>
    <w:p w14:paraId="27898567" w14:textId="77777777" w:rsidR="00A77B3E" w:rsidRDefault="00A77B3E">
      <w:pPr>
        <w:spacing w:line="360" w:lineRule="auto"/>
        <w:ind w:firstLine="708"/>
        <w:jc w:val="both"/>
      </w:pPr>
    </w:p>
    <w:p w14:paraId="61CF819B" w14:textId="5F2FE491" w:rsidR="00A77B3E" w:rsidRPr="009119D8" w:rsidRDefault="004B6445">
      <w:pPr>
        <w:spacing w:line="360" w:lineRule="auto"/>
        <w:jc w:val="both"/>
        <w:rPr>
          <w:i/>
          <w:iCs/>
        </w:rPr>
      </w:pPr>
      <w:r w:rsidRPr="009119D8">
        <w:rPr>
          <w:rFonts w:ascii="Book Antiqua" w:eastAsia="Book Antiqua" w:hAnsi="Book Antiqua" w:cs="Book Antiqua"/>
          <w:b/>
          <w:bCs/>
          <w:i/>
          <w:iCs/>
          <w:color w:val="000000"/>
        </w:rPr>
        <w:t>M</w:t>
      </w:r>
      <w:r w:rsidR="009119D8" w:rsidRPr="009119D8">
        <w:rPr>
          <w:rFonts w:ascii="Book Antiqua" w:eastAsia="Book Antiqua" w:hAnsi="Book Antiqua" w:cs="Book Antiqua"/>
          <w:b/>
          <w:bCs/>
          <w:i/>
          <w:iCs/>
          <w:color w:val="000000"/>
        </w:rPr>
        <w:t>eta-analysis</w:t>
      </w:r>
    </w:p>
    <w:p w14:paraId="0F774EAB" w14:textId="0DD2B1FA" w:rsidR="00A77B3E" w:rsidRDefault="004B6445">
      <w:pPr>
        <w:spacing w:line="360" w:lineRule="auto"/>
        <w:jc w:val="both"/>
      </w:pPr>
      <w:r w:rsidRPr="009119D8">
        <w:rPr>
          <w:rFonts w:ascii="Book Antiqua" w:eastAsia="Book Antiqua" w:hAnsi="Book Antiqua" w:cs="Book Antiqua"/>
          <w:b/>
          <w:bCs/>
          <w:color w:val="000000"/>
        </w:rPr>
        <w:t>Clinical Success</w:t>
      </w:r>
      <w:r w:rsidR="009119D8">
        <w:rPr>
          <w:rFonts w:ascii="Book Antiqua" w:eastAsia="Book Antiqua" w:hAnsi="Book Antiqua" w:cs="Book Antiqua"/>
          <w:b/>
          <w:bCs/>
          <w:color w:val="000000"/>
        </w:rPr>
        <w:t xml:space="preserve">: </w:t>
      </w:r>
      <w:r>
        <w:rPr>
          <w:rFonts w:ascii="Book Antiqua" w:eastAsia="Book Antiqua" w:hAnsi="Book Antiqua" w:cs="Book Antiqua"/>
          <w:color w:val="000000"/>
        </w:rPr>
        <w:t>Clinical success was evaluated in eight studies</w:t>
      </w:r>
      <w:r>
        <w:rPr>
          <w:rFonts w:ascii="Book Antiqua" w:eastAsia="Book Antiqua" w:hAnsi="Book Antiqua" w:cs="Book Antiqua"/>
          <w:color w:val="000000"/>
          <w:szCs w:val="30"/>
          <w:vertAlign w:val="superscript"/>
        </w:rPr>
        <w:t>[10,12,13,15–17,20,21]</w:t>
      </w:r>
      <w:r>
        <w:rPr>
          <w:rFonts w:ascii="Book Antiqua" w:eastAsia="Book Antiqua" w:hAnsi="Book Antiqua" w:cs="Book Antiqua"/>
          <w:color w:val="000000"/>
        </w:rPr>
        <w:t xml:space="preserve">, totaling 765 patients (379 in the SEMS group and 386 in the PS group). There was no difference between the two groups </w:t>
      </w:r>
      <w:r w:rsidR="00EB5972">
        <w:rPr>
          <w:rFonts w:ascii="Book Antiqua" w:eastAsia="Book Antiqua" w:hAnsi="Book Antiqua" w:cs="Book Antiqua"/>
          <w:color w:val="000000"/>
        </w:rPr>
        <w:t>(</w:t>
      </w:r>
      <w:r>
        <w:rPr>
          <w:rFonts w:ascii="Book Antiqua" w:eastAsia="Book Antiqua" w:hAnsi="Book Antiqua" w:cs="Book Antiqua"/>
          <w:color w:val="000000"/>
        </w:rPr>
        <w:t>RD = 0.03</w:t>
      </w:r>
      <w:r w:rsidR="00EB5972">
        <w:rPr>
          <w:rFonts w:ascii="Book Antiqua" w:eastAsia="Book Antiqua" w:hAnsi="Book Antiqua" w:cs="Book Antiqua"/>
          <w:color w:val="000000"/>
        </w:rPr>
        <w:t xml:space="preserve">, </w:t>
      </w:r>
      <w:r>
        <w:rPr>
          <w:rFonts w:ascii="Book Antiqua" w:eastAsia="Book Antiqua" w:hAnsi="Book Antiqua" w:cs="Book Antiqua"/>
          <w:color w:val="000000"/>
        </w:rPr>
        <w:t xml:space="preserve">95%CI = -0.01, 0.07; I² = 0%; </w:t>
      </w:r>
      <w:r>
        <w:rPr>
          <w:rFonts w:ascii="Book Antiqua" w:eastAsia="Book Antiqua" w:hAnsi="Book Antiqua" w:cs="Book Antiqua"/>
          <w:i/>
          <w:iCs/>
          <w:color w:val="000000"/>
        </w:rPr>
        <w:t>P</w:t>
      </w:r>
      <w:r>
        <w:rPr>
          <w:rFonts w:ascii="Book Antiqua" w:eastAsia="Book Antiqua" w:hAnsi="Book Antiqua" w:cs="Book Antiqua"/>
          <w:color w:val="000000"/>
        </w:rPr>
        <w:t xml:space="preserve"> = 0.19</w:t>
      </w:r>
      <w:r w:rsidR="00EB5972">
        <w:rPr>
          <w:rFonts w:ascii="Book Antiqua" w:eastAsia="Book Antiqua" w:hAnsi="Book Antiqua" w:cs="Book Antiqua"/>
          <w:color w:val="000000"/>
        </w:rPr>
        <w:t>)</w:t>
      </w:r>
      <w:r>
        <w:rPr>
          <w:rFonts w:ascii="Book Antiqua" w:eastAsia="Book Antiqua" w:hAnsi="Book Antiqua" w:cs="Book Antiqua"/>
          <w:color w:val="000000"/>
        </w:rPr>
        <w:t xml:space="preserve">. There was also no difference in the uncovered SEMS </w:t>
      </w:r>
      <w:r w:rsidR="00EB5972">
        <w:rPr>
          <w:rFonts w:ascii="Book Antiqua" w:eastAsia="Book Antiqua" w:hAnsi="Book Antiqua" w:cs="Book Antiqua"/>
          <w:color w:val="000000"/>
        </w:rPr>
        <w:t>(</w:t>
      </w:r>
      <w:r>
        <w:rPr>
          <w:rFonts w:ascii="Book Antiqua" w:eastAsia="Book Antiqua" w:hAnsi="Book Antiqua" w:cs="Book Antiqua"/>
          <w:color w:val="000000"/>
        </w:rPr>
        <w:t>RD = 0.04</w:t>
      </w:r>
      <w:r w:rsidR="00EB5972">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-0.05,0.13; I² = 0%; </w:t>
      </w:r>
      <w:r>
        <w:rPr>
          <w:rFonts w:ascii="Book Antiqua" w:eastAsia="Book Antiqua" w:hAnsi="Book Antiqua" w:cs="Book Antiqua"/>
          <w:i/>
          <w:iCs/>
          <w:color w:val="000000"/>
        </w:rPr>
        <w:t>P</w:t>
      </w:r>
      <w:r>
        <w:rPr>
          <w:rFonts w:ascii="Book Antiqua" w:eastAsia="Book Antiqua" w:hAnsi="Book Antiqua" w:cs="Book Antiqua"/>
          <w:color w:val="000000"/>
        </w:rPr>
        <w:t xml:space="preserve"> = 0.40</w:t>
      </w:r>
      <w:r w:rsidR="00EB5972">
        <w:rPr>
          <w:rFonts w:ascii="Book Antiqua" w:eastAsia="Book Antiqua" w:hAnsi="Book Antiqua" w:cs="Book Antiqua"/>
          <w:color w:val="000000"/>
        </w:rPr>
        <w:t>)</w:t>
      </w:r>
      <w:r>
        <w:rPr>
          <w:rFonts w:ascii="Book Antiqua" w:eastAsia="Book Antiqua" w:hAnsi="Book Antiqua" w:cs="Book Antiqua"/>
          <w:color w:val="000000"/>
        </w:rPr>
        <w:t xml:space="preserve">, partially/fully covered SEMS </w:t>
      </w:r>
      <w:r w:rsidR="00EB5972">
        <w:rPr>
          <w:rFonts w:ascii="Book Antiqua" w:eastAsia="Book Antiqua" w:hAnsi="Book Antiqua" w:cs="Book Antiqua"/>
          <w:color w:val="000000"/>
        </w:rPr>
        <w:t>(</w:t>
      </w:r>
      <w:r>
        <w:rPr>
          <w:rFonts w:ascii="Book Antiqua" w:eastAsia="Book Antiqua" w:hAnsi="Book Antiqua" w:cs="Book Antiqua"/>
          <w:color w:val="000000"/>
        </w:rPr>
        <w:t>RD = 0.03</w:t>
      </w:r>
      <w:r w:rsidR="00EB5972">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-0.03, 0.10; I² = 18%; </w:t>
      </w:r>
      <w:r>
        <w:rPr>
          <w:rFonts w:ascii="Book Antiqua" w:eastAsia="Book Antiqua" w:hAnsi="Book Antiqua" w:cs="Book Antiqua"/>
          <w:i/>
          <w:iCs/>
          <w:color w:val="000000"/>
        </w:rPr>
        <w:t>P</w:t>
      </w:r>
      <w:r>
        <w:rPr>
          <w:rFonts w:ascii="Book Antiqua" w:eastAsia="Book Antiqua" w:hAnsi="Book Antiqua" w:cs="Book Antiqua"/>
          <w:color w:val="000000"/>
        </w:rPr>
        <w:t xml:space="preserve"> = 0.32</w:t>
      </w:r>
      <w:r w:rsidR="00EB5972">
        <w:rPr>
          <w:rFonts w:ascii="Book Antiqua" w:eastAsia="Book Antiqua" w:hAnsi="Book Antiqua" w:cs="Book Antiqua"/>
          <w:color w:val="000000"/>
        </w:rPr>
        <w:t>)</w:t>
      </w:r>
      <w:r>
        <w:rPr>
          <w:rFonts w:ascii="Book Antiqua" w:eastAsia="Book Antiqua" w:hAnsi="Book Antiqua" w:cs="Book Antiqua"/>
          <w:color w:val="000000"/>
        </w:rPr>
        <w:t xml:space="preserve">, and SEMS not specified subgroups </w:t>
      </w:r>
      <w:r w:rsidR="00EB5972">
        <w:rPr>
          <w:rFonts w:ascii="Book Antiqua" w:eastAsia="Book Antiqua" w:hAnsi="Book Antiqua" w:cs="Book Antiqua"/>
          <w:color w:val="000000"/>
        </w:rPr>
        <w:t>(</w:t>
      </w:r>
      <w:r>
        <w:rPr>
          <w:rFonts w:ascii="Book Antiqua" w:eastAsia="Book Antiqua" w:hAnsi="Book Antiqua" w:cs="Book Antiqua"/>
          <w:color w:val="000000"/>
        </w:rPr>
        <w:t>RD = 0.01</w:t>
      </w:r>
      <w:r w:rsidR="00EB5972">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-0.04, 0.06; I² = 0%; </w:t>
      </w:r>
      <w:r>
        <w:rPr>
          <w:rFonts w:ascii="Book Antiqua" w:eastAsia="Book Antiqua" w:hAnsi="Book Antiqua" w:cs="Book Antiqua"/>
          <w:i/>
          <w:iCs/>
          <w:color w:val="000000"/>
        </w:rPr>
        <w:t>P</w:t>
      </w:r>
      <w:r>
        <w:rPr>
          <w:rFonts w:ascii="Book Antiqua" w:eastAsia="Book Antiqua" w:hAnsi="Book Antiqua" w:cs="Book Antiqua"/>
          <w:color w:val="000000"/>
        </w:rPr>
        <w:t xml:space="preserve"> = 0.80</w:t>
      </w:r>
      <w:r w:rsidR="00EB5972">
        <w:rPr>
          <w:rFonts w:ascii="Book Antiqua" w:eastAsia="Book Antiqua" w:hAnsi="Book Antiqua" w:cs="Book Antiqua"/>
          <w:color w:val="000000"/>
        </w:rPr>
        <w:t>)</w:t>
      </w:r>
      <w:r>
        <w:rPr>
          <w:rFonts w:ascii="Book Antiqua" w:eastAsia="Book Antiqua" w:hAnsi="Book Antiqua" w:cs="Book Antiqua"/>
          <w:color w:val="000000"/>
        </w:rPr>
        <w:t xml:space="preserve"> (Figure 3).</w:t>
      </w:r>
    </w:p>
    <w:p w14:paraId="6F11BC2D" w14:textId="77777777" w:rsidR="00A77B3E" w:rsidRDefault="00A77B3E">
      <w:pPr>
        <w:spacing w:line="360" w:lineRule="auto"/>
        <w:jc w:val="both"/>
      </w:pPr>
    </w:p>
    <w:p w14:paraId="6F464009" w14:textId="3224E525" w:rsidR="00A77B3E" w:rsidRDefault="004B6445" w:rsidP="009119D8">
      <w:pPr>
        <w:spacing w:line="360" w:lineRule="auto"/>
        <w:jc w:val="both"/>
      </w:pPr>
      <w:r w:rsidRPr="009119D8">
        <w:rPr>
          <w:rFonts w:ascii="Book Antiqua" w:eastAsia="Book Antiqua" w:hAnsi="Book Antiqua" w:cs="Book Antiqua"/>
          <w:b/>
          <w:bCs/>
          <w:color w:val="000000"/>
        </w:rPr>
        <w:lastRenderedPageBreak/>
        <w:t>Mean survival</w:t>
      </w:r>
      <w:r w:rsidR="009119D8">
        <w:rPr>
          <w:rFonts w:ascii="Book Antiqua" w:eastAsia="Book Antiqua" w:hAnsi="Book Antiqua" w:cs="Book Antiqua"/>
          <w:b/>
          <w:bCs/>
          <w:color w:val="000000"/>
        </w:rPr>
        <w:t xml:space="preserve">: </w:t>
      </w:r>
      <w:r>
        <w:rPr>
          <w:rFonts w:ascii="Book Antiqua" w:eastAsia="Book Antiqua" w:hAnsi="Book Antiqua" w:cs="Book Antiqua"/>
          <w:color w:val="000000"/>
        </w:rPr>
        <w:t>The mean survival analysis was performed in days, and documented in six studies</w:t>
      </w:r>
      <w:r>
        <w:rPr>
          <w:rFonts w:ascii="Book Antiqua" w:eastAsia="Book Antiqua" w:hAnsi="Book Antiqua" w:cs="Book Antiqua"/>
          <w:color w:val="000000"/>
          <w:szCs w:val="30"/>
          <w:vertAlign w:val="superscript"/>
        </w:rPr>
        <w:t>[11–13,15,18,20]</w:t>
      </w:r>
      <w:r>
        <w:rPr>
          <w:rFonts w:ascii="Book Antiqua" w:eastAsia="Book Antiqua" w:hAnsi="Book Antiqua" w:cs="Book Antiqua"/>
          <w:color w:val="000000"/>
        </w:rPr>
        <w:t>, evaluating a total of 610 patients</w:t>
      </w:r>
      <w:r w:rsidR="00EB5972">
        <w:rPr>
          <w:rFonts w:ascii="Book Antiqua" w:eastAsia="Book Antiqua" w:hAnsi="Book Antiqua" w:cs="Book Antiqua"/>
          <w:color w:val="000000"/>
        </w:rPr>
        <w:t xml:space="preserve">: </w:t>
      </w:r>
      <w:r>
        <w:rPr>
          <w:rFonts w:ascii="Book Antiqua" w:eastAsia="Book Antiqua" w:hAnsi="Book Antiqua" w:cs="Book Antiqua"/>
          <w:color w:val="000000"/>
        </w:rPr>
        <w:t xml:space="preserve">338 patients in the SEMS group and 272 patients in the PS group. There was no difference between the two groups </w:t>
      </w:r>
      <w:r w:rsidR="00EB5972">
        <w:rPr>
          <w:rFonts w:ascii="Book Antiqua" w:eastAsia="Book Antiqua" w:hAnsi="Book Antiqua" w:cs="Book Antiqua"/>
          <w:color w:val="000000"/>
        </w:rPr>
        <w:t>(</w:t>
      </w:r>
      <w:r>
        <w:rPr>
          <w:rFonts w:ascii="Book Antiqua" w:eastAsia="Book Antiqua" w:hAnsi="Book Antiqua" w:cs="Book Antiqua"/>
          <w:color w:val="000000"/>
        </w:rPr>
        <w:t xml:space="preserve">mean difference </w:t>
      </w:r>
      <w:r w:rsidR="005C22FD">
        <w:rPr>
          <w:rFonts w:ascii="Book Antiqua" w:eastAsia="Book Antiqua" w:hAnsi="Book Antiqua" w:cs="Book Antiqua"/>
          <w:color w:val="000000"/>
        </w:rPr>
        <w:t>[</w:t>
      </w:r>
      <w:r>
        <w:rPr>
          <w:rFonts w:ascii="Book Antiqua" w:eastAsia="Book Antiqua" w:hAnsi="Book Antiqua" w:cs="Book Antiqua"/>
          <w:color w:val="000000"/>
        </w:rPr>
        <w:t>MD</w:t>
      </w:r>
      <w:r w:rsidR="005C22FD">
        <w:rPr>
          <w:rFonts w:ascii="Book Antiqua" w:eastAsia="Book Antiqua" w:hAnsi="Book Antiqua" w:cs="Book Antiqua"/>
          <w:color w:val="000000"/>
        </w:rPr>
        <w:t>]</w:t>
      </w:r>
      <w:r>
        <w:rPr>
          <w:rFonts w:ascii="Book Antiqua" w:eastAsia="Book Antiqua" w:hAnsi="Book Antiqua" w:cs="Book Antiqua"/>
          <w:color w:val="000000"/>
        </w:rPr>
        <w:t xml:space="preserve"> = 0.63</w:t>
      </w:r>
      <w:r w:rsidR="005C22FD">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-18.07, 19.33; </w:t>
      </w:r>
      <w:r w:rsidR="005101A9" w:rsidRPr="00F16B70">
        <w:rPr>
          <w:rFonts w:ascii="Book Antiqua" w:eastAsia="Book Antiqua" w:hAnsi="Book Antiqua" w:cs="Book Antiqua"/>
          <w:i/>
          <w:color w:val="000000"/>
        </w:rPr>
        <w:t>I</w:t>
      </w:r>
      <w:r w:rsidR="005101A9">
        <w:rPr>
          <w:rFonts w:ascii="Book Antiqua" w:eastAsia="Book Antiqua" w:hAnsi="Book Antiqua" w:cs="Book Antiqua"/>
          <w:color w:val="000000"/>
        </w:rPr>
        <w:t>²</w:t>
      </w:r>
      <w:r>
        <w:rPr>
          <w:rFonts w:ascii="Book Antiqua" w:eastAsia="Book Antiqua" w:hAnsi="Book Antiqua" w:cs="Book Antiqua"/>
          <w:color w:val="000000"/>
        </w:rPr>
        <w:t xml:space="preserve"> = 59%; </w:t>
      </w:r>
      <w:r>
        <w:rPr>
          <w:rFonts w:ascii="Book Antiqua" w:eastAsia="Book Antiqua" w:hAnsi="Book Antiqua" w:cs="Book Antiqua"/>
          <w:i/>
          <w:iCs/>
          <w:color w:val="000000"/>
        </w:rPr>
        <w:t>P</w:t>
      </w:r>
      <w:r>
        <w:rPr>
          <w:rFonts w:ascii="Book Antiqua" w:eastAsia="Book Antiqua" w:hAnsi="Book Antiqua" w:cs="Book Antiqua"/>
          <w:color w:val="000000"/>
        </w:rPr>
        <w:t xml:space="preserve"> = 0.95</w:t>
      </w:r>
      <w:r w:rsidR="005C22FD">
        <w:rPr>
          <w:rFonts w:ascii="Book Antiqua" w:eastAsia="Book Antiqua" w:hAnsi="Book Antiqua" w:cs="Book Antiqua"/>
          <w:color w:val="000000"/>
        </w:rPr>
        <w:t>)</w:t>
      </w:r>
      <w:r>
        <w:rPr>
          <w:rFonts w:ascii="Book Antiqua" w:eastAsia="Book Antiqua" w:hAnsi="Book Antiqua" w:cs="Book Antiqua"/>
          <w:color w:val="000000"/>
        </w:rPr>
        <w:t xml:space="preserve">. Regarding the subgroups, uncovered SEMS </w:t>
      </w:r>
      <w:r w:rsidR="005C22FD">
        <w:rPr>
          <w:rFonts w:ascii="Book Antiqua" w:eastAsia="Book Antiqua" w:hAnsi="Book Antiqua" w:cs="Book Antiqua"/>
          <w:color w:val="000000"/>
        </w:rPr>
        <w:t>(</w:t>
      </w:r>
      <w:r>
        <w:rPr>
          <w:rFonts w:ascii="Book Antiqua" w:eastAsia="Book Antiqua" w:hAnsi="Book Antiqua" w:cs="Book Antiqua"/>
          <w:color w:val="000000"/>
        </w:rPr>
        <w:t>MD = 65 d</w:t>
      </w:r>
      <w:r w:rsidR="005C22FD">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-18.44,</w:t>
      </w:r>
      <w:r w:rsidR="005101A9">
        <w:rPr>
          <w:rFonts w:ascii="Book Antiqua" w:eastAsia="Book Antiqua" w:hAnsi="Book Antiqua" w:cs="Book Antiqua"/>
          <w:color w:val="000000"/>
        </w:rPr>
        <w:t xml:space="preserve"> </w:t>
      </w:r>
      <w:r>
        <w:rPr>
          <w:rFonts w:ascii="Book Antiqua" w:eastAsia="Book Antiqua" w:hAnsi="Book Antiqua" w:cs="Book Antiqua"/>
          <w:color w:val="000000"/>
        </w:rPr>
        <w:t xml:space="preserve">148.44; I² = not applicable; </w:t>
      </w:r>
      <w:r>
        <w:rPr>
          <w:rFonts w:ascii="Book Antiqua" w:eastAsia="Book Antiqua" w:hAnsi="Book Antiqua" w:cs="Book Antiqua"/>
          <w:i/>
          <w:iCs/>
          <w:color w:val="000000"/>
        </w:rPr>
        <w:t>P</w:t>
      </w:r>
      <w:r>
        <w:rPr>
          <w:rFonts w:ascii="Book Antiqua" w:eastAsia="Book Antiqua" w:hAnsi="Book Antiqua" w:cs="Book Antiqua"/>
          <w:color w:val="000000"/>
        </w:rPr>
        <w:t xml:space="preserve"> = 0.13</w:t>
      </w:r>
      <w:r w:rsidR="005C22FD">
        <w:rPr>
          <w:rFonts w:ascii="Book Antiqua" w:eastAsia="Book Antiqua" w:hAnsi="Book Antiqua" w:cs="Book Antiqua"/>
          <w:color w:val="000000"/>
        </w:rPr>
        <w:t>)</w:t>
      </w:r>
      <w:r>
        <w:rPr>
          <w:rFonts w:ascii="Book Antiqua" w:eastAsia="Book Antiqua" w:hAnsi="Book Antiqua" w:cs="Book Antiqua"/>
          <w:color w:val="000000"/>
        </w:rPr>
        <w:t xml:space="preserve"> and SEMS not otherwise specified </w:t>
      </w:r>
      <w:r w:rsidR="005C22FD">
        <w:rPr>
          <w:rFonts w:ascii="Book Antiqua" w:eastAsia="Book Antiqua" w:hAnsi="Book Antiqua" w:cs="Book Antiqua"/>
          <w:color w:val="000000"/>
        </w:rPr>
        <w:t>(</w:t>
      </w:r>
      <w:r>
        <w:rPr>
          <w:rFonts w:ascii="Book Antiqua" w:eastAsia="Book Antiqua" w:hAnsi="Book Antiqua" w:cs="Book Antiqua"/>
          <w:color w:val="000000"/>
        </w:rPr>
        <w:t>MD = 14.10 d</w:t>
      </w:r>
      <w:r w:rsidR="005C22FD">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-22.43,</w:t>
      </w:r>
      <w:r w:rsidR="005101A9">
        <w:rPr>
          <w:rFonts w:ascii="Book Antiqua" w:eastAsia="Book Antiqua" w:hAnsi="Book Antiqua" w:cs="Book Antiqua"/>
          <w:color w:val="000000"/>
        </w:rPr>
        <w:t xml:space="preserve"> </w:t>
      </w:r>
      <w:r>
        <w:rPr>
          <w:rFonts w:ascii="Book Antiqua" w:eastAsia="Book Antiqua" w:hAnsi="Book Antiqua" w:cs="Book Antiqua"/>
          <w:color w:val="000000"/>
        </w:rPr>
        <w:t xml:space="preserve">50.63; </w:t>
      </w:r>
      <w:r w:rsidR="005101A9" w:rsidRPr="00F16B70">
        <w:rPr>
          <w:rFonts w:ascii="Book Antiqua" w:eastAsia="Book Antiqua" w:hAnsi="Book Antiqua" w:cs="Book Antiqua"/>
          <w:i/>
          <w:color w:val="000000"/>
        </w:rPr>
        <w:t>I</w:t>
      </w:r>
      <w:r w:rsidR="005101A9">
        <w:rPr>
          <w:rFonts w:ascii="Book Antiqua" w:eastAsia="Book Antiqua" w:hAnsi="Book Antiqua" w:cs="Book Antiqua"/>
          <w:color w:val="000000"/>
        </w:rPr>
        <w:t>²</w:t>
      </w:r>
      <w:r>
        <w:rPr>
          <w:rFonts w:ascii="Book Antiqua" w:eastAsia="Book Antiqua" w:hAnsi="Book Antiqua" w:cs="Book Antiqua"/>
          <w:color w:val="000000"/>
        </w:rPr>
        <w:t xml:space="preserve"> = 54%; </w:t>
      </w:r>
      <w:r>
        <w:rPr>
          <w:rFonts w:ascii="Book Antiqua" w:eastAsia="Book Antiqua" w:hAnsi="Book Antiqua" w:cs="Book Antiqua"/>
          <w:i/>
          <w:iCs/>
          <w:color w:val="000000"/>
        </w:rPr>
        <w:t>P</w:t>
      </w:r>
      <w:r>
        <w:rPr>
          <w:rFonts w:ascii="Book Antiqua" w:eastAsia="Book Antiqua" w:hAnsi="Book Antiqua" w:cs="Book Antiqua"/>
          <w:color w:val="000000"/>
        </w:rPr>
        <w:t xml:space="preserve"> = 0.45</w:t>
      </w:r>
      <w:r w:rsidR="005C22FD">
        <w:rPr>
          <w:rFonts w:ascii="Book Antiqua" w:eastAsia="Book Antiqua" w:hAnsi="Book Antiqua" w:cs="Book Antiqua"/>
          <w:color w:val="000000"/>
        </w:rPr>
        <w:t>)</w:t>
      </w:r>
      <w:r>
        <w:rPr>
          <w:rFonts w:ascii="Book Antiqua" w:eastAsia="Book Antiqua" w:hAnsi="Book Antiqua" w:cs="Book Antiqua"/>
          <w:color w:val="000000"/>
        </w:rPr>
        <w:t xml:space="preserve"> were not differen</w:t>
      </w:r>
      <w:r w:rsidR="001772C3">
        <w:rPr>
          <w:rFonts w:ascii="Book Antiqua" w:eastAsia="Book Antiqua" w:hAnsi="Book Antiqua" w:cs="Book Antiqua"/>
          <w:color w:val="000000"/>
        </w:rPr>
        <w:t>t</w:t>
      </w:r>
      <w:r>
        <w:rPr>
          <w:rFonts w:ascii="Book Antiqua" w:eastAsia="Book Antiqua" w:hAnsi="Book Antiqua" w:cs="Book Antiqua"/>
          <w:color w:val="000000"/>
        </w:rPr>
        <w:t xml:space="preserve"> from PS placement. However, partially or fully covered SEMS revealed an increase in mean survival </w:t>
      </w:r>
      <w:r w:rsidR="005C22FD">
        <w:rPr>
          <w:rFonts w:ascii="Book Antiqua" w:eastAsia="Book Antiqua" w:hAnsi="Book Antiqua" w:cs="Book Antiqua"/>
          <w:color w:val="000000"/>
        </w:rPr>
        <w:t>(</w:t>
      </w:r>
      <w:r>
        <w:rPr>
          <w:rFonts w:ascii="Book Antiqua" w:eastAsia="Book Antiqua" w:hAnsi="Book Antiqua" w:cs="Book Antiqua"/>
          <w:color w:val="000000"/>
        </w:rPr>
        <w:t>MD = -17.45 d</w:t>
      </w:r>
      <w:r w:rsidR="005C22FD">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-32.68, -2.21; </w:t>
      </w:r>
      <w:r w:rsidR="005101A9" w:rsidRPr="00F16B70">
        <w:rPr>
          <w:rFonts w:ascii="Book Antiqua" w:eastAsia="Book Antiqua" w:hAnsi="Book Antiqua" w:cs="Book Antiqua"/>
          <w:i/>
          <w:color w:val="000000"/>
        </w:rPr>
        <w:t>I</w:t>
      </w:r>
      <w:r w:rsidR="005101A9">
        <w:rPr>
          <w:rFonts w:ascii="Book Antiqua" w:eastAsia="Book Antiqua" w:hAnsi="Book Antiqua" w:cs="Book Antiqua"/>
          <w:color w:val="000000"/>
        </w:rPr>
        <w:t>²</w:t>
      </w:r>
      <w:r>
        <w:rPr>
          <w:rFonts w:ascii="Book Antiqua" w:eastAsia="Book Antiqua" w:hAnsi="Book Antiqua" w:cs="Book Antiqua"/>
          <w:color w:val="000000"/>
        </w:rPr>
        <w:t xml:space="preserve"> = 5%; </w:t>
      </w:r>
      <w:r>
        <w:rPr>
          <w:rFonts w:ascii="Book Antiqua" w:eastAsia="Book Antiqua" w:hAnsi="Book Antiqua" w:cs="Book Antiqua"/>
          <w:i/>
          <w:iCs/>
          <w:color w:val="000000"/>
        </w:rPr>
        <w:t>P</w:t>
      </w:r>
      <w:r>
        <w:rPr>
          <w:rFonts w:ascii="Book Antiqua" w:eastAsia="Book Antiqua" w:hAnsi="Book Antiqua" w:cs="Book Antiqua"/>
          <w:color w:val="000000"/>
        </w:rPr>
        <w:t xml:space="preserve"> = 0.02</w:t>
      </w:r>
      <w:r w:rsidR="005C22FD">
        <w:rPr>
          <w:rFonts w:ascii="Book Antiqua" w:eastAsia="Book Antiqua" w:hAnsi="Book Antiqua" w:cs="Book Antiqua"/>
          <w:color w:val="000000"/>
        </w:rPr>
        <w:t>)</w:t>
      </w:r>
      <w:r>
        <w:rPr>
          <w:rFonts w:ascii="Book Antiqua" w:eastAsia="Book Antiqua" w:hAnsi="Book Antiqua" w:cs="Book Antiqua"/>
          <w:color w:val="000000"/>
        </w:rPr>
        <w:t xml:space="preserve"> (Figure 4).</w:t>
      </w:r>
    </w:p>
    <w:p w14:paraId="7513859D" w14:textId="77777777" w:rsidR="00A77B3E" w:rsidRPr="009119D8" w:rsidRDefault="00A77B3E">
      <w:pPr>
        <w:spacing w:line="360" w:lineRule="auto"/>
        <w:ind w:firstLine="708"/>
        <w:jc w:val="both"/>
        <w:rPr>
          <w:b/>
          <w:bCs/>
        </w:rPr>
      </w:pPr>
    </w:p>
    <w:p w14:paraId="71EF84AA" w14:textId="7C919FD3" w:rsidR="00A77B3E" w:rsidRDefault="004B6445">
      <w:pPr>
        <w:spacing w:line="360" w:lineRule="auto"/>
        <w:jc w:val="both"/>
      </w:pPr>
      <w:r w:rsidRPr="009119D8">
        <w:rPr>
          <w:rFonts w:ascii="Book Antiqua" w:eastAsia="Book Antiqua" w:hAnsi="Book Antiqua" w:cs="Book Antiqua"/>
          <w:b/>
          <w:bCs/>
          <w:color w:val="000000"/>
        </w:rPr>
        <w:t>Adverse events</w:t>
      </w:r>
      <w:r w:rsidR="009119D8">
        <w:rPr>
          <w:rFonts w:ascii="Book Antiqua" w:eastAsia="Book Antiqua" w:hAnsi="Book Antiqua" w:cs="Book Antiqua"/>
          <w:b/>
          <w:bCs/>
          <w:color w:val="000000"/>
        </w:rPr>
        <w:t xml:space="preserve">: </w:t>
      </w:r>
      <w:r>
        <w:rPr>
          <w:rFonts w:ascii="Book Antiqua" w:eastAsia="Book Antiqua" w:hAnsi="Book Antiqua" w:cs="Book Antiqua"/>
          <w:color w:val="000000"/>
        </w:rPr>
        <w:t>Analys</w:t>
      </w:r>
      <w:r w:rsidR="001772C3">
        <w:rPr>
          <w:rFonts w:ascii="Book Antiqua" w:eastAsia="Book Antiqua" w:hAnsi="Book Antiqua" w:cs="Book Antiqua"/>
          <w:color w:val="000000"/>
        </w:rPr>
        <w:t>e</w:t>
      </w:r>
      <w:r>
        <w:rPr>
          <w:rFonts w:ascii="Book Antiqua" w:eastAsia="Book Antiqua" w:hAnsi="Book Antiqua" w:cs="Book Antiqua"/>
          <w:color w:val="000000"/>
        </w:rPr>
        <w:t>s of 10 studies</w:t>
      </w:r>
      <w:r>
        <w:rPr>
          <w:rFonts w:ascii="Book Antiqua" w:eastAsia="Book Antiqua" w:hAnsi="Book Antiqua" w:cs="Book Antiqua"/>
          <w:color w:val="000000"/>
          <w:szCs w:val="30"/>
          <w:vertAlign w:val="superscript"/>
        </w:rPr>
        <w:t>[10,12,13,15–21]</w:t>
      </w:r>
      <w:r>
        <w:rPr>
          <w:rFonts w:ascii="Book Antiqua" w:eastAsia="Book Antiqua" w:hAnsi="Book Antiqua" w:cs="Book Antiqua"/>
          <w:color w:val="000000"/>
        </w:rPr>
        <w:t xml:space="preserve"> totaling 505 patients in the PS group and 500 patients in the SEMS group. There was no difference between the two groups </w:t>
      </w:r>
      <w:r w:rsidR="001D61B7">
        <w:rPr>
          <w:rFonts w:ascii="Book Antiqua" w:eastAsia="Book Antiqua" w:hAnsi="Book Antiqua" w:cs="Book Antiqua"/>
          <w:color w:val="000000"/>
        </w:rPr>
        <w:t>(</w:t>
      </w:r>
      <w:r>
        <w:rPr>
          <w:rFonts w:ascii="Book Antiqua" w:eastAsia="Book Antiqua" w:hAnsi="Book Antiqua" w:cs="Book Antiqua"/>
          <w:color w:val="000000"/>
        </w:rPr>
        <w:t>RD = -0.03</w:t>
      </w:r>
      <w:r w:rsidR="001D61B7">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-0.10,</w:t>
      </w:r>
      <w:r w:rsidR="005101A9">
        <w:rPr>
          <w:rFonts w:ascii="Book Antiqua" w:eastAsia="Book Antiqua" w:hAnsi="Book Antiqua" w:cs="Book Antiqua"/>
          <w:color w:val="000000"/>
        </w:rPr>
        <w:t xml:space="preserve"> </w:t>
      </w:r>
      <w:r>
        <w:rPr>
          <w:rFonts w:ascii="Book Antiqua" w:eastAsia="Book Antiqua" w:hAnsi="Book Antiqua" w:cs="Book Antiqua"/>
          <w:color w:val="000000"/>
        </w:rPr>
        <w:t xml:space="preserve">0.03; </w:t>
      </w:r>
      <w:r>
        <w:rPr>
          <w:rFonts w:ascii="Book Antiqua" w:eastAsia="Book Antiqua" w:hAnsi="Book Antiqua" w:cs="Book Antiqua"/>
          <w:i/>
          <w:iCs/>
          <w:color w:val="000000"/>
        </w:rPr>
        <w:t>P</w:t>
      </w:r>
      <w:r>
        <w:rPr>
          <w:rFonts w:ascii="Book Antiqua" w:eastAsia="Book Antiqua" w:hAnsi="Book Antiqua" w:cs="Book Antiqua"/>
          <w:color w:val="000000"/>
        </w:rPr>
        <w:t xml:space="preserve"> = 0.26</w:t>
      </w:r>
      <w:r w:rsidR="001D61B7">
        <w:rPr>
          <w:rFonts w:ascii="Book Antiqua" w:eastAsia="Book Antiqua" w:hAnsi="Book Antiqua" w:cs="Book Antiqua"/>
          <w:color w:val="000000"/>
        </w:rPr>
        <w:t>)</w:t>
      </w:r>
      <w:r>
        <w:rPr>
          <w:rFonts w:ascii="Book Antiqua" w:eastAsia="Book Antiqua" w:hAnsi="Book Antiqua" w:cs="Book Antiqua"/>
          <w:color w:val="000000"/>
        </w:rPr>
        <w:t xml:space="preserve">. Subgroup analyses revealed no differences by specific SEMS type </w:t>
      </w:r>
      <w:r w:rsidR="00594F93">
        <w:rPr>
          <w:rFonts w:ascii="Book Antiqua" w:eastAsia="Book Antiqua" w:hAnsi="Book Antiqua" w:cs="Book Antiqua"/>
          <w:color w:val="000000"/>
        </w:rPr>
        <w:t>(</w:t>
      </w:r>
      <w:r>
        <w:rPr>
          <w:rFonts w:ascii="Book Antiqua" w:eastAsia="Book Antiqua" w:hAnsi="Book Antiqua" w:cs="Book Antiqua"/>
          <w:color w:val="000000"/>
        </w:rPr>
        <w:t>uncovered SEMS: RD = -0.09</w:t>
      </w:r>
      <w:r w:rsidR="00594F93">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-0.21,</w:t>
      </w:r>
      <w:r w:rsidR="005101A9">
        <w:rPr>
          <w:rFonts w:ascii="Book Antiqua" w:eastAsia="Book Antiqua" w:hAnsi="Book Antiqua" w:cs="Book Antiqua"/>
          <w:color w:val="000000"/>
        </w:rPr>
        <w:t xml:space="preserve"> </w:t>
      </w:r>
      <w:r>
        <w:rPr>
          <w:rFonts w:ascii="Book Antiqua" w:eastAsia="Book Antiqua" w:hAnsi="Book Antiqua" w:cs="Book Antiqua"/>
          <w:color w:val="000000"/>
        </w:rPr>
        <w:t>0.03</w:t>
      </w:r>
      <w:r w:rsidR="00594F93">
        <w:rPr>
          <w:rFonts w:ascii="Book Antiqua" w:eastAsia="Book Antiqua" w:hAnsi="Book Antiqua" w:cs="Book Antiqua"/>
          <w:color w:val="000000"/>
        </w:rPr>
        <w:t>,</w:t>
      </w:r>
      <w:r>
        <w:rPr>
          <w:rFonts w:ascii="Book Antiqua" w:eastAsia="Book Antiqua" w:hAnsi="Book Antiqua" w:cs="Book Antiqua"/>
          <w:color w:val="000000"/>
        </w:rPr>
        <w:t xml:space="preserve"> </w:t>
      </w:r>
      <w:r w:rsidR="005101A9" w:rsidRPr="00F16B70">
        <w:rPr>
          <w:rFonts w:ascii="Book Antiqua" w:eastAsia="Book Antiqua" w:hAnsi="Book Antiqua" w:cs="Book Antiqua"/>
          <w:i/>
          <w:color w:val="000000"/>
        </w:rPr>
        <w:t>I</w:t>
      </w:r>
      <w:r w:rsidR="005101A9">
        <w:rPr>
          <w:rFonts w:ascii="Book Antiqua" w:eastAsia="Book Antiqua" w:hAnsi="Book Antiqua" w:cs="Book Antiqua"/>
          <w:color w:val="000000"/>
        </w:rPr>
        <w:t>²</w:t>
      </w:r>
      <w:r>
        <w:rPr>
          <w:rFonts w:ascii="Book Antiqua" w:eastAsia="Book Antiqua" w:hAnsi="Book Antiqua" w:cs="Book Antiqua"/>
          <w:color w:val="000000"/>
        </w:rPr>
        <w:t xml:space="preserve"> = 33; </w:t>
      </w:r>
      <w:r>
        <w:rPr>
          <w:rFonts w:ascii="Book Antiqua" w:eastAsia="Book Antiqua" w:hAnsi="Book Antiqua" w:cs="Book Antiqua"/>
          <w:i/>
          <w:iCs/>
          <w:color w:val="000000"/>
        </w:rPr>
        <w:t>P</w:t>
      </w:r>
      <w:r>
        <w:rPr>
          <w:rFonts w:ascii="Book Antiqua" w:eastAsia="Book Antiqua" w:hAnsi="Book Antiqua" w:cs="Book Antiqua"/>
          <w:color w:val="000000"/>
        </w:rPr>
        <w:t xml:space="preserve"> = 0.13; partially/fully covered SEMS: RD = -0.00</w:t>
      </w:r>
      <w:r w:rsidR="00996EC9">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-0.09,</w:t>
      </w:r>
      <w:r w:rsidR="005101A9">
        <w:rPr>
          <w:rFonts w:ascii="Book Antiqua" w:eastAsia="Book Antiqua" w:hAnsi="Book Antiqua" w:cs="Book Antiqua"/>
          <w:color w:val="000000"/>
        </w:rPr>
        <w:t xml:space="preserve"> </w:t>
      </w:r>
      <w:r>
        <w:rPr>
          <w:rFonts w:ascii="Book Antiqua" w:eastAsia="Book Antiqua" w:hAnsi="Book Antiqua" w:cs="Book Antiqua"/>
          <w:color w:val="000000"/>
        </w:rPr>
        <w:t xml:space="preserve">0.09, </w:t>
      </w:r>
      <w:r w:rsidR="005101A9" w:rsidRPr="00F16B70">
        <w:rPr>
          <w:rFonts w:ascii="Book Antiqua" w:eastAsia="Book Antiqua" w:hAnsi="Book Antiqua" w:cs="Book Antiqua"/>
          <w:i/>
          <w:color w:val="000000"/>
        </w:rPr>
        <w:t>I</w:t>
      </w:r>
      <w:r w:rsidR="005101A9">
        <w:rPr>
          <w:rFonts w:ascii="Book Antiqua" w:eastAsia="Book Antiqua" w:hAnsi="Book Antiqua" w:cs="Book Antiqua"/>
          <w:color w:val="000000"/>
        </w:rPr>
        <w:t>²</w:t>
      </w:r>
      <w:r>
        <w:rPr>
          <w:rFonts w:ascii="Book Antiqua" w:eastAsia="Book Antiqua" w:hAnsi="Book Antiqua" w:cs="Book Antiqua"/>
          <w:color w:val="000000"/>
        </w:rPr>
        <w:t xml:space="preserve"> = 56%; </w:t>
      </w:r>
      <w:r>
        <w:rPr>
          <w:rFonts w:ascii="Book Antiqua" w:eastAsia="Book Antiqua" w:hAnsi="Book Antiqua" w:cs="Book Antiqua"/>
          <w:i/>
          <w:iCs/>
          <w:color w:val="000000"/>
        </w:rPr>
        <w:t>P</w:t>
      </w:r>
      <w:r>
        <w:rPr>
          <w:rFonts w:ascii="Book Antiqua" w:eastAsia="Book Antiqua" w:hAnsi="Book Antiqua" w:cs="Book Antiqua"/>
          <w:color w:val="000000"/>
        </w:rPr>
        <w:t xml:space="preserve"> = 0.99; and SEMS not otherwise specified RD = -0.06</w:t>
      </w:r>
      <w:r w:rsidR="00996EC9">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-0.21,</w:t>
      </w:r>
      <w:r w:rsidR="005101A9">
        <w:rPr>
          <w:rFonts w:ascii="Book Antiqua" w:eastAsia="Book Antiqua" w:hAnsi="Book Antiqua" w:cs="Book Antiqua"/>
          <w:color w:val="000000"/>
        </w:rPr>
        <w:t xml:space="preserve"> </w:t>
      </w:r>
      <w:r>
        <w:rPr>
          <w:rFonts w:ascii="Book Antiqua" w:eastAsia="Book Antiqua" w:hAnsi="Book Antiqua" w:cs="Book Antiqua"/>
          <w:color w:val="000000"/>
        </w:rPr>
        <w:t xml:space="preserve">0.08, </w:t>
      </w:r>
      <w:r w:rsidR="005101A9" w:rsidRPr="00F16B70">
        <w:rPr>
          <w:rFonts w:ascii="Book Antiqua" w:eastAsia="Book Antiqua" w:hAnsi="Book Antiqua" w:cs="Book Antiqua"/>
          <w:i/>
          <w:color w:val="000000"/>
        </w:rPr>
        <w:t>I</w:t>
      </w:r>
      <w:r w:rsidR="005101A9">
        <w:rPr>
          <w:rFonts w:ascii="Book Antiqua" w:eastAsia="Book Antiqua" w:hAnsi="Book Antiqua" w:cs="Book Antiqua"/>
          <w:color w:val="000000"/>
        </w:rPr>
        <w:t>²</w:t>
      </w:r>
      <w:r>
        <w:rPr>
          <w:rFonts w:ascii="Book Antiqua" w:eastAsia="Book Antiqua" w:hAnsi="Book Antiqua" w:cs="Book Antiqua"/>
          <w:color w:val="000000"/>
        </w:rPr>
        <w:t xml:space="preserve"> = 75%; </w:t>
      </w:r>
      <w:r>
        <w:rPr>
          <w:rFonts w:ascii="Book Antiqua" w:eastAsia="Book Antiqua" w:hAnsi="Book Antiqua" w:cs="Book Antiqua"/>
          <w:i/>
          <w:iCs/>
          <w:color w:val="000000"/>
        </w:rPr>
        <w:t>P</w:t>
      </w:r>
      <w:r>
        <w:rPr>
          <w:rFonts w:ascii="Book Antiqua" w:eastAsia="Book Antiqua" w:hAnsi="Book Antiqua" w:cs="Book Antiqua"/>
          <w:color w:val="000000"/>
        </w:rPr>
        <w:t xml:space="preserve"> = 0.41</w:t>
      </w:r>
      <w:r w:rsidR="00996EC9">
        <w:rPr>
          <w:rFonts w:ascii="Book Antiqua" w:eastAsia="Book Antiqua" w:hAnsi="Book Antiqua" w:cs="Book Antiqua"/>
          <w:color w:val="000000"/>
        </w:rPr>
        <w:t>)</w:t>
      </w:r>
      <w:r>
        <w:rPr>
          <w:rFonts w:ascii="Book Antiqua" w:eastAsia="Book Antiqua" w:hAnsi="Book Antiqua" w:cs="Book Antiqua"/>
          <w:color w:val="000000"/>
        </w:rPr>
        <w:t xml:space="preserve"> (Figure 5).</w:t>
      </w:r>
    </w:p>
    <w:p w14:paraId="0CC170E3" w14:textId="77777777" w:rsidR="00A77B3E" w:rsidRDefault="00A77B3E">
      <w:pPr>
        <w:spacing w:line="360" w:lineRule="auto"/>
        <w:jc w:val="both"/>
      </w:pPr>
    </w:p>
    <w:p w14:paraId="4D2C6280" w14:textId="395A6BC1" w:rsidR="00A77B3E" w:rsidRDefault="004B6445">
      <w:pPr>
        <w:spacing w:line="360" w:lineRule="auto"/>
        <w:jc w:val="both"/>
      </w:pPr>
      <w:r w:rsidRPr="009119D8">
        <w:rPr>
          <w:rFonts w:ascii="Book Antiqua" w:eastAsia="Book Antiqua" w:hAnsi="Book Antiqua" w:cs="Book Antiqua"/>
          <w:b/>
          <w:bCs/>
          <w:color w:val="000000"/>
        </w:rPr>
        <w:t>Stent dysfunction</w:t>
      </w:r>
      <w:r w:rsidR="009119D8">
        <w:rPr>
          <w:rFonts w:ascii="Book Antiqua" w:eastAsia="Book Antiqua" w:hAnsi="Book Antiqua" w:cs="Book Antiqua"/>
          <w:b/>
          <w:bCs/>
          <w:color w:val="000000"/>
        </w:rPr>
        <w:t xml:space="preserve">: </w:t>
      </w:r>
      <w:r>
        <w:rPr>
          <w:rFonts w:ascii="Book Antiqua" w:eastAsia="Book Antiqua" w:hAnsi="Book Antiqua" w:cs="Book Antiqua"/>
          <w:color w:val="000000"/>
        </w:rPr>
        <w:t>In the stent dysfunction analysis, it was possible to extract data from 11 studies</w:t>
      </w:r>
      <w:r>
        <w:rPr>
          <w:rFonts w:ascii="Book Antiqua" w:eastAsia="Book Antiqua" w:hAnsi="Book Antiqua" w:cs="Book Antiqua"/>
          <w:color w:val="000000"/>
          <w:szCs w:val="30"/>
          <w:vertAlign w:val="superscript"/>
        </w:rPr>
        <w:t>[11–21]</w:t>
      </w:r>
      <w:r>
        <w:rPr>
          <w:rFonts w:ascii="Book Antiqua" w:eastAsia="Book Antiqua" w:hAnsi="Book Antiqua" w:cs="Book Antiqua"/>
          <w:color w:val="000000"/>
        </w:rPr>
        <w:t xml:space="preserve"> totaling 465 patients in the PS group and 542 patients in the SEMS group. The rate of stent dysfunction was 24% lower in the SEMS group </w:t>
      </w:r>
      <w:r w:rsidR="00594F93">
        <w:rPr>
          <w:rFonts w:ascii="Book Antiqua" w:eastAsia="Book Antiqua" w:hAnsi="Book Antiqua" w:cs="Book Antiqua"/>
          <w:color w:val="000000"/>
        </w:rPr>
        <w:t>(</w:t>
      </w:r>
      <w:r>
        <w:rPr>
          <w:rFonts w:ascii="Book Antiqua" w:eastAsia="Book Antiqua" w:hAnsi="Book Antiqua" w:cs="Book Antiqua"/>
          <w:color w:val="000000"/>
        </w:rPr>
        <w:t>RD = -0.24</w:t>
      </w:r>
      <w:r w:rsidR="00594F93">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-0.33, -0.15; </w:t>
      </w:r>
      <w:r w:rsidR="003A224B" w:rsidRPr="00F16B70">
        <w:rPr>
          <w:rFonts w:ascii="Book Antiqua" w:eastAsia="Book Antiqua" w:hAnsi="Book Antiqua" w:cs="Book Antiqua"/>
          <w:i/>
          <w:color w:val="000000"/>
        </w:rPr>
        <w:t>I</w:t>
      </w:r>
      <w:r w:rsidR="003A224B">
        <w:rPr>
          <w:rFonts w:ascii="Book Antiqua" w:eastAsia="Book Antiqua" w:hAnsi="Book Antiqua" w:cs="Book Antiqua"/>
          <w:color w:val="000000"/>
        </w:rPr>
        <w:t xml:space="preserve">² </w:t>
      </w:r>
      <w:r>
        <w:rPr>
          <w:rFonts w:ascii="Book Antiqua" w:eastAsia="Book Antiqua" w:hAnsi="Book Antiqua" w:cs="Book Antiqua"/>
          <w:color w:val="000000"/>
        </w:rPr>
        <w:t xml:space="preserve">= 58%;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0.00001</w:t>
      </w:r>
      <w:r w:rsidR="00594F93">
        <w:rPr>
          <w:rFonts w:ascii="Book Antiqua" w:eastAsia="Book Antiqua" w:hAnsi="Book Antiqua" w:cs="Book Antiqua"/>
          <w:color w:val="000000"/>
        </w:rPr>
        <w:t>)</w:t>
      </w:r>
      <w:r>
        <w:rPr>
          <w:rFonts w:ascii="Book Antiqua" w:eastAsia="Book Antiqua" w:hAnsi="Book Antiqua" w:cs="Book Antiqua"/>
          <w:color w:val="000000"/>
        </w:rPr>
        <w:t xml:space="preserve"> (Figure 3). Performing a subgroup analysis by type of SEMS revealed no difference in stent dysfunction rate between uncovered SEMS and PS placement </w:t>
      </w:r>
      <w:r w:rsidR="003006D7">
        <w:rPr>
          <w:rFonts w:ascii="Book Antiqua" w:eastAsia="Book Antiqua" w:hAnsi="Book Antiqua" w:cs="Book Antiqua"/>
          <w:color w:val="000000"/>
        </w:rPr>
        <w:t>(</w:t>
      </w:r>
      <w:r>
        <w:rPr>
          <w:rFonts w:ascii="Book Antiqua" w:eastAsia="Book Antiqua" w:hAnsi="Book Antiqua" w:cs="Book Antiqua"/>
          <w:color w:val="000000"/>
        </w:rPr>
        <w:t>RD = -0.08</w:t>
      </w:r>
      <w:r w:rsidR="003006D7">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-0.56,</w:t>
      </w:r>
      <w:r w:rsidR="003A224B">
        <w:rPr>
          <w:rFonts w:ascii="Book Antiqua" w:eastAsia="Book Antiqua" w:hAnsi="Book Antiqua" w:cs="Book Antiqua"/>
          <w:color w:val="000000"/>
        </w:rPr>
        <w:t xml:space="preserve"> </w:t>
      </w:r>
      <w:r>
        <w:rPr>
          <w:rFonts w:ascii="Book Antiqua" w:eastAsia="Book Antiqua" w:hAnsi="Book Antiqua" w:cs="Book Antiqua"/>
          <w:color w:val="000000"/>
        </w:rPr>
        <w:t xml:space="preserve">0.39; </w:t>
      </w:r>
      <w:r w:rsidR="003A224B" w:rsidRPr="00F16B70">
        <w:rPr>
          <w:rFonts w:ascii="Book Antiqua" w:eastAsia="Book Antiqua" w:hAnsi="Book Antiqua" w:cs="Book Antiqua"/>
          <w:i/>
          <w:color w:val="000000"/>
        </w:rPr>
        <w:t>I</w:t>
      </w:r>
      <w:r w:rsidR="003A224B">
        <w:rPr>
          <w:rFonts w:ascii="Book Antiqua" w:eastAsia="Book Antiqua" w:hAnsi="Book Antiqua" w:cs="Book Antiqua"/>
          <w:color w:val="000000"/>
        </w:rPr>
        <w:t xml:space="preserve">² </w:t>
      </w:r>
      <w:r>
        <w:rPr>
          <w:rFonts w:ascii="Book Antiqua" w:eastAsia="Book Antiqua" w:hAnsi="Book Antiqua" w:cs="Book Antiqua"/>
          <w:color w:val="000000"/>
        </w:rPr>
        <w:t xml:space="preserve">= 87%; </w:t>
      </w:r>
      <w:r>
        <w:rPr>
          <w:rFonts w:ascii="Book Antiqua" w:eastAsia="Book Antiqua" w:hAnsi="Book Antiqua" w:cs="Book Antiqua"/>
          <w:i/>
          <w:iCs/>
          <w:color w:val="000000"/>
        </w:rPr>
        <w:t>P</w:t>
      </w:r>
      <w:r>
        <w:rPr>
          <w:rFonts w:ascii="Book Antiqua" w:eastAsia="Book Antiqua" w:hAnsi="Book Antiqua" w:cs="Book Antiqua"/>
          <w:color w:val="000000"/>
        </w:rPr>
        <w:t xml:space="preserve"> = 0.73</w:t>
      </w:r>
      <w:r w:rsidR="003006D7">
        <w:rPr>
          <w:rFonts w:ascii="Book Antiqua" w:eastAsia="Book Antiqua" w:hAnsi="Book Antiqua" w:cs="Book Antiqua"/>
          <w:color w:val="000000"/>
        </w:rPr>
        <w:t>)</w:t>
      </w:r>
      <w:r>
        <w:rPr>
          <w:rFonts w:ascii="Book Antiqua" w:eastAsia="Book Antiqua" w:hAnsi="Book Antiqua" w:cs="Book Antiqua"/>
          <w:color w:val="000000"/>
        </w:rPr>
        <w:t>. In the other two subgroups there was a statistically significant difference. In the partial/fully covered SEMS subgroup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151 patients), the stent dysfunction rate was 21% lower than in the PS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154 patients) </w:t>
      </w:r>
      <w:r w:rsidR="00222D7E">
        <w:rPr>
          <w:rFonts w:ascii="Book Antiqua" w:eastAsia="Book Antiqua" w:hAnsi="Book Antiqua" w:cs="Book Antiqua"/>
          <w:color w:val="000000"/>
        </w:rPr>
        <w:t>(</w:t>
      </w:r>
      <w:r>
        <w:rPr>
          <w:rFonts w:ascii="Book Antiqua" w:eastAsia="Book Antiqua" w:hAnsi="Book Antiqua" w:cs="Book Antiqua"/>
          <w:color w:val="000000"/>
        </w:rPr>
        <w:t>RD = -0.21</w:t>
      </w:r>
      <w:r w:rsidR="00222D7E">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-0.32, -0.1; </w:t>
      </w:r>
      <w:r w:rsidR="003A224B" w:rsidRPr="00F16B70">
        <w:rPr>
          <w:rFonts w:ascii="Book Antiqua" w:eastAsia="Book Antiqua" w:hAnsi="Book Antiqua" w:cs="Book Antiqua"/>
          <w:i/>
          <w:color w:val="000000"/>
        </w:rPr>
        <w:t>I</w:t>
      </w:r>
      <w:r w:rsidR="003A224B">
        <w:rPr>
          <w:rFonts w:ascii="Book Antiqua" w:eastAsia="Book Antiqua" w:hAnsi="Book Antiqua" w:cs="Book Antiqua"/>
          <w:color w:val="000000"/>
        </w:rPr>
        <w:t>²</w:t>
      </w:r>
      <w:r>
        <w:rPr>
          <w:rFonts w:ascii="Book Antiqua" w:eastAsia="Book Antiqua" w:hAnsi="Book Antiqua" w:cs="Book Antiqua"/>
          <w:color w:val="000000"/>
        </w:rPr>
        <w:t xml:space="preserve"> = 20%; </w:t>
      </w:r>
      <w:r>
        <w:rPr>
          <w:rFonts w:ascii="Book Antiqua" w:eastAsia="Book Antiqua" w:hAnsi="Book Antiqua" w:cs="Book Antiqua"/>
          <w:i/>
          <w:iCs/>
          <w:color w:val="000000"/>
        </w:rPr>
        <w:t>P</w:t>
      </w:r>
      <w:r>
        <w:rPr>
          <w:rFonts w:ascii="Book Antiqua" w:eastAsia="Book Antiqua" w:hAnsi="Book Antiqua" w:cs="Book Antiqua"/>
          <w:color w:val="000000"/>
        </w:rPr>
        <w:t xml:space="preserve"> = 0.0003</w:t>
      </w:r>
      <w:r w:rsidR="00222D7E">
        <w:rPr>
          <w:rFonts w:ascii="Book Antiqua" w:eastAsia="Book Antiqua" w:hAnsi="Book Antiqua" w:cs="Book Antiqua"/>
          <w:color w:val="000000"/>
        </w:rPr>
        <w:t>)</w:t>
      </w:r>
      <w:r>
        <w:rPr>
          <w:rFonts w:ascii="Book Antiqua" w:eastAsia="Book Antiqua" w:hAnsi="Book Antiqua" w:cs="Book Antiqua"/>
          <w:color w:val="000000"/>
        </w:rPr>
        <w:t>. In the SEMS not specified subgroup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347 patients), there was 29% less dysfunction than in the PS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268 patients) (Figure 6).</w:t>
      </w:r>
    </w:p>
    <w:p w14:paraId="3ACB9D3F" w14:textId="77777777" w:rsidR="00A77B3E" w:rsidRDefault="00A77B3E">
      <w:pPr>
        <w:spacing w:line="360" w:lineRule="auto"/>
        <w:jc w:val="both"/>
      </w:pPr>
    </w:p>
    <w:p w14:paraId="5DC61D9E" w14:textId="2CE8DB3D" w:rsidR="00A77B3E" w:rsidRDefault="004B6445">
      <w:pPr>
        <w:spacing w:line="360" w:lineRule="auto"/>
        <w:jc w:val="both"/>
      </w:pPr>
      <w:r w:rsidRPr="009119D8">
        <w:rPr>
          <w:rFonts w:ascii="Book Antiqua" w:eastAsia="Book Antiqua" w:hAnsi="Book Antiqua" w:cs="Book Antiqua"/>
          <w:b/>
          <w:bCs/>
          <w:color w:val="000000"/>
        </w:rPr>
        <w:lastRenderedPageBreak/>
        <w:t>Stent patency</w:t>
      </w:r>
      <w:r w:rsidR="009119D8">
        <w:rPr>
          <w:rFonts w:ascii="Book Antiqua" w:eastAsia="Book Antiqua" w:hAnsi="Book Antiqua" w:cs="Book Antiqua"/>
          <w:b/>
          <w:bCs/>
          <w:color w:val="000000"/>
        </w:rPr>
        <w:t xml:space="preserve">: </w:t>
      </w:r>
      <w:r>
        <w:rPr>
          <w:rFonts w:ascii="Book Antiqua" w:eastAsia="Book Antiqua" w:hAnsi="Book Antiqua" w:cs="Book Antiqua"/>
          <w:color w:val="000000"/>
        </w:rPr>
        <w:t>Data from seven studies</w:t>
      </w:r>
      <w:r>
        <w:rPr>
          <w:rFonts w:ascii="Book Antiqua" w:eastAsia="Book Antiqua" w:hAnsi="Book Antiqua" w:cs="Book Antiqua"/>
          <w:color w:val="000000"/>
          <w:szCs w:val="30"/>
          <w:vertAlign w:val="superscript"/>
        </w:rPr>
        <w:t>[11–13,15,16,18,20]</w:t>
      </w:r>
      <w:r>
        <w:rPr>
          <w:rFonts w:ascii="Book Antiqua" w:eastAsia="Book Antiqua" w:hAnsi="Book Antiqua" w:cs="Book Antiqua"/>
          <w:color w:val="000000"/>
        </w:rPr>
        <w:t xml:space="preserve"> were evaluated in a total of 720 patients</w:t>
      </w:r>
      <w:r w:rsidR="00651A63">
        <w:rPr>
          <w:rFonts w:ascii="Book Antiqua" w:eastAsia="Book Antiqua" w:hAnsi="Book Antiqua" w:cs="Book Antiqua"/>
          <w:color w:val="000000"/>
        </w:rPr>
        <w:t>:</w:t>
      </w:r>
      <w:r>
        <w:rPr>
          <w:rFonts w:ascii="Book Antiqua" w:eastAsia="Book Antiqua" w:hAnsi="Book Antiqua" w:cs="Book Antiqua"/>
          <w:color w:val="000000"/>
        </w:rPr>
        <w:t xml:space="preserve"> 397 in the SEMS group and 323 in the PS group. The duration of patency was longer in the SEMS group </w:t>
      </w:r>
      <w:r w:rsidR="00651A63">
        <w:rPr>
          <w:rFonts w:ascii="Book Antiqua" w:eastAsia="Book Antiqua" w:hAnsi="Book Antiqua" w:cs="Book Antiqua"/>
          <w:color w:val="000000"/>
        </w:rPr>
        <w:t>(</w:t>
      </w:r>
      <w:r>
        <w:rPr>
          <w:rFonts w:ascii="Book Antiqua" w:eastAsia="Book Antiqua" w:hAnsi="Book Antiqua" w:cs="Book Antiqua"/>
          <w:color w:val="000000"/>
        </w:rPr>
        <w:t>MD = 125.77</w:t>
      </w:r>
      <w:r w:rsidR="00651A63">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77.5, 174.01; </w:t>
      </w:r>
      <w:r w:rsidR="003A224B" w:rsidRPr="00F16B70">
        <w:rPr>
          <w:rFonts w:ascii="Book Antiqua" w:eastAsia="Book Antiqua" w:hAnsi="Book Antiqua" w:cs="Book Antiqua"/>
          <w:i/>
          <w:color w:val="000000"/>
        </w:rPr>
        <w:t>I</w:t>
      </w:r>
      <w:r w:rsidR="003A224B">
        <w:rPr>
          <w:rFonts w:ascii="Book Antiqua" w:eastAsia="Book Antiqua" w:hAnsi="Book Antiqua" w:cs="Book Antiqua"/>
          <w:color w:val="000000"/>
        </w:rPr>
        <w:t>²</w:t>
      </w:r>
      <w:r>
        <w:rPr>
          <w:rFonts w:ascii="Book Antiqua" w:eastAsia="Book Antiqua" w:hAnsi="Book Antiqua" w:cs="Book Antiqua"/>
          <w:color w:val="000000"/>
        </w:rPr>
        <w:t xml:space="preserve"> = 97%;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0.00001</w:t>
      </w:r>
      <w:r w:rsidR="00651A63">
        <w:rPr>
          <w:rFonts w:ascii="Book Antiqua" w:eastAsia="Book Antiqua" w:hAnsi="Book Antiqua" w:cs="Book Antiqua"/>
          <w:color w:val="000000"/>
        </w:rPr>
        <w:t>)</w:t>
      </w:r>
      <w:r>
        <w:rPr>
          <w:rFonts w:ascii="Book Antiqua" w:eastAsia="Book Antiqua" w:hAnsi="Book Antiqua" w:cs="Book Antiqua"/>
          <w:color w:val="000000"/>
        </w:rPr>
        <w:t xml:space="preserve">. In all subgroups, there was a longer time for stent dysfunction compared to PS. Twenty-three patients were evaluated in the uncovered SEMS subgroup </w:t>
      </w:r>
      <w:r w:rsidR="0013726D">
        <w:rPr>
          <w:rFonts w:ascii="Book Antiqua" w:eastAsia="Book Antiqua" w:hAnsi="Book Antiqua" w:cs="Book Antiqua"/>
          <w:color w:val="000000"/>
        </w:rPr>
        <w:t>(</w:t>
      </w:r>
      <w:r>
        <w:rPr>
          <w:rFonts w:ascii="Book Antiqua" w:eastAsia="Book Antiqua" w:hAnsi="Book Antiqua" w:cs="Book Antiqua"/>
          <w:color w:val="000000"/>
        </w:rPr>
        <w:t>MD = 101.5</w:t>
      </w:r>
      <w:r w:rsidR="0013726D">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38.91, 164.09; </w:t>
      </w:r>
      <w:r w:rsidR="00006E31" w:rsidRPr="00F16B70">
        <w:rPr>
          <w:rFonts w:ascii="Book Antiqua" w:eastAsia="Book Antiqua" w:hAnsi="Book Antiqua" w:cs="Book Antiqua"/>
          <w:i/>
          <w:color w:val="000000"/>
        </w:rPr>
        <w:t>I</w:t>
      </w:r>
      <w:r w:rsidR="00006E31">
        <w:rPr>
          <w:rFonts w:ascii="Book Antiqua" w:eastAsia="Book Antiqua" w:hAnsi="Book Antiqua" w:cs="Book Antiqua"/>
          <w:color w:val="000000"/>
        </w:rPr>
        <w:t xml:space="preserve">² </w:t>
      </w:r>
      <w:r>
        <w:rPr>
          <w:rFonts w:ascii="Book Antiqua" w:eastAsia="Book Antiqua" w:hAnsi="Book Antiqua" w:cs="Book Antiqua"/>
          <w:color w:val="000000"/>
        </w:rPr>
        <w:t xml:space="preserve">= 98%;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sidR="001001E4">
        <w:rPr>
          <w:rFonts w:ascii="Book Antiqua" w:eastAsia="Book Antiqua" w:hAnsi="Book Antiqua" w:cs="Book Antiqua"/>
          <w:color w:val="000000"/>
        </w:rPr>
        <w:t>.</w:t>
      </w:r>
      <w:r>
        <w:rPr>
          <w:rFonts w:ascii="Book Antiqua" w:eastAsia="Book Antiqua" w:hAnsi="Book Antiqua" w:cs="Book Antiqua"/>
          <w:color w:val="000000"/>
        </w:rPr>
        <w:t>001</w:t>
      </w:r>
      <w:r w:rsidR="0013726D">
        <w:rPr>
          <w:rFonts w:ascii="Book Antiqua" w:eastAsia="Book Antiqua" w:hAnsi="Book Antiqua" w:cs="Book Antiqua"/>
          <w:color w:val="000000"/>
        </w:rPr>
        <w:t>)</w:t>
      </w:r>
      <w:r>
        <w:rPr>
          <w:rFonts w:ascii="Book Antiqua" w:eastAsia="Book Antiqua" w:hAnsi="Book Antiqua" w:cs="Book Antiqua"/>
          <w:color w:val="000000"/>
        </w:rPr>
        <w:t xml:space="preserve">, 151 patients in the partially or fully covered SEMS subgroup </w:t>
      </w:r>
      <w:r w:rsidR="0013726D">
        <w:rPr>
          <w:rFonts w:ascii="Book Antiqua" w:eastAsia="Book Antiqua" w:hAnsi="Book Antiqua" w:cs="Book Antiqua"/>
          <w:color w:val="000000"/>
        </w:rPr>
        <w:t>(</w:t>
      </w:r>
      <w:r>
        <w:rPr>
          <w:rFonts w:ascii="Book Antiqua" w:eastAsia="Book Antiqua" w:hAnsi="Book Antiqua" w:cs="Book Antiqua"/>
          <w:color w:val="000000"/>
        </w:rPr>
        <w:t>MD = 152.25</w:t>
      </w:r>
      <w:r w:rsidR="0013726D">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37.42, 267.07; I² = 98%;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sidR="0013726D">
        <w:rPr>
          <w:rFonts w:ascii="Book Antiqua" w:eastAsia="Book Antiqua" w:hAnsi="Book Antiqua" w:cs="Book Antiqua"/>
          <w:color w:val="000000"/>
        </w:rPr>
        <w:t>.</w:t>
      </w:r>
      <w:r>
        <w:rPr>
          <w:rFonts w:ascii="Book Antiqua" w:eastAsia="Book Antiqua" w:hAnsi="Book Antiqua" w:cs="Book Antiqua"/>
          <w:color w:val="000000"/>
        </w:rPr>
        <w:t>009</w:t>
      </w:r>
      <w:r w:rsidR="0013726D">
        <w:rPr>
          <w:rFonts w:ascii="Book Antiqua" w:eastAsia="Book Antiqua" w:hAnsi="Book Antiqua" w:cs="Book Antiqua"/>
          <w:color w:val="000000"/>
        </w:rPr>
        <w:t>)</w:t>
      </w:r>
      <w:r>
        <w:rPr>
          <w:rFonts w:ascii="Book Antiqua" w:eastAsia="Book Antiqua" w:hAnsi="Book Antiqua" w:cs="Book Antiqua"/>
          <w:color w:val="000000"/>
        </w:rPr>
        <w:t xml:space="preserve">, and 223 patients in the SEMS subgroup not specified </w:t>
      </w:r>
      <w:r w:rsidR="0013726D">
        <w:rPr>
          <w:rFonts w:ascii="Book Antiqua" w:eastAsia="Book Antiqua" w:hAnsi="Book Antiqua" w:cs="Book Antiqua"/>
          <w:color w:val="000000"/>
        </w:rPr>
        <w:t>(</w:t>
      </w:r>
      <w:r>
        <w:rPr>
          <w:rFonts w:ascii="Book Antiqua" w:eastAsia="Book Antiqua" w:hAnsi="Book Antiqua" w:cs="Book Antiqua"/>
          <w:color w:val="000000"/>
        </w:rPr>
        <w:t>MD:</w:t>
      </w:r>
      <w:r w:rsidR="00161F9B">
        <w:rPr>
          <w:rFonts w:ascii="Book Antiqua" w:eastAsia="Book Antiqua" w:hAnsi="Book Antiqua" w:cs="Book Antiqua"/>
          <w:color w:val="000000"/>
        </w:rPr>
        <w:t xml:space="preserve"> </w:t>
      </w:r>
      <w:r>
        <w:rPr>
          <w:rFonts w:ascii="Book Antiqua" w:eastAsia="Book Antiqua" w:hAnsi="Book Antiqua" w:cs="Book Antiqua"/>
          <w:color w:val="000000"/>
        </w:rPr>
        <w:t>105.81</w:t>
      </w:r>
      <w:r w:rsidR="0013726D">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33.01,</w:t>
      </w:r>
      <w:r w:rsidR="007E7B63">
        <w:rPr>
          <w:rFonts w:ascii="Book Antiqua" w:eastAsia="Book Antiqua" w:hAnsi="Book Antiqua" w:cs="Book Antiqua"/>
          <w:color w:val="000000"/>
        </w:rPr>
        <w:t xml:space="preserve"> </w:t>
      </w:r>
      <w:r>
        <w:rPr>
          <w:rFonts w:ascii="Book Antiqua" w:eastAsia="Book Antiqua" w:hAnsi="Book Antiqua" w:cs="Book Antiqua"/>
          <w:color w:val="000000"/>
        </w:rPr>
        <w:t xml:space="preserve">178.60; </w:t>
      </w:r>
      <w:r w:rsidR="00C21615" w:rsidRPr="00F16B70">
        <w:rPr>
          <w:rFonts w:ascii="Book Antiqua" w:eastAsia="Book Antiqua" w:hAnsi="Book Antiqua" w:cs="Book Antiqua"/>
          <w:i/>
          <w:color w:val="000000"/>
        </w:rPr>
        <w:t>I</w:t>
      </w:r>
      <w:r w:rsidR="00C21615">
        <w:rPr>
          <w:rFonts w:ascii="Book Antiqua" w:eastAsia="Book Antiqua" w:hAnsi="Book Antiqua" w:cs="Book Antiqua"/>
          <w:color w:val="000000"/>
        </w:rPr>
        <w:t xml:space="preserve">² </w:t>
      </w:r>
      <w:r>
        <w:rPr>
          <w:rFonts w:ascii="Book Antiqua" w:eastAsia="Book Antiqua" w:hAnsi="Book Antiqua" w:cs="Book Antiqua"/>
          <w:color w:val="000000"/>
        </w:rPr>
        <w:t xml:space="preserve">= 95%; </w:t>
      </w:r>
      <w:r>
        <w:rPr>
          <w:rFonts w:ascii="Book Antiqua" w:eastAsia="Book Antiqua" w:hAnsi="Book Antiqua" w:cs="Book Antiqua"/>
          <w:i/>
          <w:iCs/>
          <w:color w:val="000000"/>
        </w:rPr>
        <w:t>P</w:t>
      </w:r>
      <w:r>
        <w:rPr>
          <w:rFonts w:ascii="Book Antiqua" w:eastAsia="Book Antiqua" w:hAnsi="Book Antiqua" w:cs="Book Antiqua"/>
          <w:color w:val="000000"/>
        </w:rPr>
        <w:t xml:space="preserve"> = 0.004</w:t>
      </w:r>
      <w:r w:rsidR="0013726D">
        <w:rPr>
          <w:rFonts w:ascii="Book Antiqua" w:eastAsia="Book Antiqua" w:hAnsi="Book Antiqua" w:cs="Book Antiqua"/>
          <w:color w:val="000000"/>
        </w:rPr>
        <w:t>)</w:t>
      </w:r>
      <w:r>
        <w:rPr>
          <w:rFonts w:ascii="Book Antiqua" w:eastAsia="Book Antiqua" w:hAnsi="Book Antiqua" w:cs="Book Antiqua"/>
          <w:color w:val="000000"/>
        </w:rPr>
        <w:t xml:space="preserve"> (Figure 7).</w:t>
      </w:r>
    </w:p>
    <w:p w14:paraId="146B1184" w14:textId="77777777" w:rsidR="00A77B3E" w:rsidRDefault="00A77B3E">
      <w:pPr>
        <w:spacing w:line="360" w:lineRule="auto"/>
        <w:jc w:val="both"/>
      </w:pPr>
    </w:p>
    <w:p w14:paraId="0A115DEA" w14:textId="39BD87F2" w:rsidR="00A77B3E" w:rsidRDefault="004B6445">
      <w:pPr>
        <w:spacing w:line="360" w:lineRule="auto"/>
        <w:jc w:val="both"/>
      </w:pPr>
      <w:r w:rsidRPr="009119D8">
        <w:rPr>
          <w:rFonts w:ascii="Book Antiqua" w:eastAsia="Book Antiqua" w:hAnsi="Book Antiqua" w:cs="Book Antiqua"/>
          <w:b/>
          <w:bCs/>
          <w:color w:val="000000"/>
        </w:rPr>
        <w:t>Reintervention</w:t>
      </w:r>
      <w:r w:rsidR="009119D8">
        <w:rPr>
          <w:rFonts w:ascii="Book Antiqua" w:eastAsia="Book Antiqua" w:hAnsi="Book Antiqua" w:cs="Book Antiqua"/>
          <w:b/>
          <w:bCs/>
          <w:color w:val="000000"/>
        </w:rPr>
        <w:t xml:space="preserve">: </w:t>
      </w:r>
      <w:r>
        <w:rPr>
          <w:rFonts w:ascii="Book Antiqua" w:eastAsia="Book Antiqua" w:hAnsi="Book Antiqua" w:cs="Book Antiqua"/>
          <w:color w:val="000000"/>
        </w:rPr>
        <w:t>The reintervention analys</w:t>
      </w:r>
      <w:r w:rsidR="006D22F8">
        <w:rPr>
          <w:rFonts w:ascii="Book Antiqua" w:eastAsia="Book Antiqua" w:hAnsi="Book Antiqua" w:cs="Book Antiqua"/>
          <w:color w:val="000000"/>
        </w:rPr>
        <w:t>e</w:t>
      </w:r>
      <w:r>
        <w:rPr>
          <w:rFonts w:ascii="Book Antiqua" w:eastAsia="Book Antiqua" w:hAnsi="Book Antiqua" w:cs="Book Antiqua"/>
          <w:color w:val="000000"/>
        </w:rPr>
        <w:t>s w</w:t>
      </w:r>
      <w:r w:rsidR="006D22F8">
        <w:rPr>
          <w:rFonts w:ascii="Book Antiqua" w:eastAsia="Book Antiqua" w:hAnsi="Book Antiqua" w:cs="Book Antiqua"/>
          <w:color w:val="000000"/>
        </w:rPr>
        <w:t>ere</w:t>
      </w:r>
      <w:r>
        <w:rPr>
          <w:rFonts w:ascii="Book Antiqua" w:eastAsia="Book Antiqua" w:hAnsi="Book Antiqua" w:cs="Book Antiqua"/>
          <w:color w:val="000000"/>
        </w:rPr>
        <w:t xml:space="preserve"> divided into two analyses</w:t>
      </w:r>
      <w:r w:rsidR="006D22F8">
        <w:rPr>
          <w:rFonts w:ascii="Book Antiqua" w:eastAsia="Book Antiqua" w:hAnsi="Book Antiqua" w:cs="Book Antiqua"/>
          <w:color w:val="000000"/>
        </w:rPr>
        <w:t>:</w:t>
      </w:r>
      <w:r>
        <w:rPr>
          <w:rFonts w:ascii="Book Antiqua" w:eastAsia="Book Antiqua" w:hAnsi="Book Antiqua" w:cs="Book Antiqua"/>
          <w:color w:val="000000"/>
        </w:rPr>
        <w:t xml:space="preserve"> one evaluating studies in which the result was expressed in dichotomous variables and the other in continuous variables. </w:t>
      </w:r>
    </w:p>
    <w:p w14:paraId="2E1368C6" w14:textId="3016E2B7" w:rsidR="00A77B3E" w:rsidRDefault="004B6445" w:rsidP="005D3E69">
      <w:pPr>
        <w:spacing w:line="360" w:lineRule="auto"/>
        <w:ind w:firstLine="270"/>
        <w:jc w:val="both"/>
      </w:pPr>
      <w:r>
        <w:rPr>
          <w:rFonts w:ascii="Book Antiqua" w:eastAsia="Book Antiqua" w:hAnsi="Book Antiqua" w:cs="Book Antiqua"/>
          <w:color w:val="000000"/>
        </w:rPr>
        <w:t>In the analysis of dichotomous variables, it was possible to evaluate four studies</w:t>
      </w:r>
      <w:r>
        <w:rPr>
          <w:rFonts w:ascii="Book Antiqua" w:eastAsia="Book Antiqua" w:hAnsi="Book Antiqua" w:cs="Book Antiqua"/>
          <w:color w:val="000000"/>
          <w:szCs w:val="30"/>
          <w:vertAlign w:val="superscript"/>
        </w:rPr>
        <w:t>[15,16,18,19]</w:t>
      </w:r>
      <w:r>
        <w:rPr>
          <w:rFonts w:ascii="Book Antiqua" w:eastAsia="Book Antiqua" w:hAnsi="Book Antiqua" w:cs="Book Antiqua"/>
          <w:color w:val="000000"/>
        </w:rPr>
        <w:t xml:space="preserve">, presenting 226 patients in the PS group and 217 patients in the SEMS group, totaling 443 patients. The reintervention rate was 34% lower in the SEMS group, with statistical difference </w:t>
      </w:r>
      <w:r w:rsidR="006D22F8">
        <w:rPr>
          <w:rFonts w:ascii="Book Antiqua" w:eastAsia="Book Antiqua" w:hAnsi="Book Antiqua" w:cs="Book Antiqua"/>
          <w:color w:val="000000"/>
        </w:rPr>
        <w:t>(</w:t>
      </w:r>
      <w:r>
        <w:rPr>
          <w:rFonts w:ascii="Book Antiqua" w:eastAsia="Book Antiqua" w:hAnsi="Book Antiqua" w:cs="Book Antiqua"/>
          <w:color w:val="000000"/>
        </w:rPr>
        <w:t>RD = -0.34</w:t>
      </w:r>
      <w:r w:rsidR="006D22F8">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-0.46, -0.22; </w:t>
      </w:r>
      <w:r w:rsidR="008570D4" w:rsidRPr="00F16B70">
        <w:rPr>
          <w:rFonts w:ascii="Book Antiqua" w:eastAsia="Book Antiqua" w:hAnsi="Book Antiqua" w:cs="Book Antiqua"/>
          <w:i/>
          <w:color w:val="000000"/>
        </w:rPr>
        <w:t>I</w:t>
      </w:r>
      <w:r w:rsidR="008570D4">
        <w:rPr>
          <w:rFonts w:ascii="Book Antiqua" w:eastAsia="Book Antiqua" w:hAnsi="Book Antiqua" w:cs="Book Antiqua"/>
          <w:color w:val="000000"/>
        </w:rPr>
        <w:t>²</w:t>
      </w:r>
      <w:r>
        <w:rPr>
          <w:rFonts w:ascii="Book Antiqua" w:eastAsia="Book Antiqua" w:hAnsi="Book Antiqua" w:cs="Book Antiqua"/>
          <w:color w:val="000000"/>
        </w:rPr>
        <w:t xml:space="preserve"> = 57%;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0.00001</w:t>
      </w:r>
      <w:r w:rsidR="006D22F8">
        <w:rPr>
          <w:rFonts w:ascii="Book Antiqua" w:eastAsia="Book Antiqua" w:hAnsi="Book Antiqua" w:cs="Book Antiqua"/>
          <w:color w:val="000000"/>
        </w:rPr>
        <w:t>)</w:t>
      </w:r>
      <w:r>
        <w:rPr>
          <w:rFonts w:ascii="Book Antiqua" w:eastAsia="Book Antiqua" w:hAnsi="Book Antiqua" w:cs="Book Antiqua"/>
          <w:color w:val="000000"/>
        </w:rPr>
        <w:t xml:space="preserve">. In both the covered SEMS subgroup and the SEMS not specified subgroup, there was a lower reintervention rate than in the PS group </w:t>
      </w:r>
      <w:r w:rsidR="006D22F8">
        <w:rPr>
          <w:rFonts w:ascii="Book Antiqua" w:eastAsia="Book Antiqua" w:hAnsi="Book Antiqua" w:cs="Book Antiqua"/>
          <w:color w:val="000000"/>
        </w:rPr>
        <w:t>(</w:t>
      </w:r>
      <w:r>
        <w:rPr>
          <w:rFonts w:ascii="Book Antiqua" w:eastAsia="Book Antiqua" w:hAnsi="Book Antiqua" w:cs="Book Antiqua"/>
          <w:color w:val="000000"/>
        </w:rPr>
        <w:t>RD = -0.29</w:t>
      </w:r>
      <w:r w:rsidR="006D22F8">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-0.41, -0.17; </w:t>
      </w:r>
      <w:r w:rsidR="004E063E" w:rsidRPr="00F16B70">
        <w:rPr>
          <w:rFonts w:ascii="Book Antiqua" w:eastAsia="Book Antiqua" w:hAnsi="Book Antiqua" w:cs="Book Antiqua"/>
          <w:i/>
          <w:color w:val="000000"/>
        </w:rPr>
        <w:t>I</w:t>
      </w:r>
      <w:r w:rsidR="004E063E">
        <w:rPr>
          <w:rFonts w:ascii="Book Antiqua" w:eastAsia="Book Antiqua" w:hAnsi="Book Antiqua" w:cs="Book Antiqua"/>
          <w:color w:val="000000"/>
        </w:rPr>
        <w:t>²</w:t>
      </w:r>
      <w:r>
        <w:rPr>
          <w:rFonts w:ascii="Book Antiqua" w:eastAsia="Book Antiqua" w:hAnsi="Book Antiqua" w:cs="Book Antiqua"/>
          <w:color w:val="000000"/>
        </w:rPr>
        <w:t xml:space="preserve"> = 3%;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0.00001 and RD = -0.39</w:t>
      </w:r>
      <w:r w:rsidR="006D22F8">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-0.63, -0.15; </w:t>
      </w:r>
      <w:r w:rsidR="005510A1" w:rsidRPr="00F16B70">
        <w:rPr>
          <w:rFonts w:ascii="Book Antiqua" w:eastAsia="Book Antiqua" w:hAnsi="Book Antiqua" w:cs="Book Antiqua"/>
          <w:i/>
          <w:color w:val="000000"/>
        </w:rPr>
        <w:t>I</w:t>
      </w:r>
      <w:r w:rsidR="005510A1">
        <w:rPr>
          <w:rFonts w:ascii="Book Antiqua" w:eastAsia="Book Antiqua" w:hAnsi="Book Antiqua" w:cs="Book Antiqua"/>
          <w:color w:val="000000"/>
        </w:rPr>
        <w:t xml:space="preserve">² </w:t>
      </w:r>
      <w:r>
        <w:rPr>
          <w:rFonts w:ascii="Book Antiqua" w:eastAsia="Book Antiqua" w:hAnsi="Book Antiqua" w:cs="Book Antiqua"/>
          <w:color w:val="000000"/>
        </w:rPr>
        <w:t xml:space="preserve">= 79%;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respectively</w:t>
      </w:r>
      <w:r w:rsidR="006D22F8">
        <w:rPr>
          <w:rFonts w:ascii="Book Antiqua" w:eastAsia="Book Antiqua" w:hAnsi="Book Antiqua" w:cs="Book Antiqua"/>
          <w:color w:val="000000"/>
        </w:rPr>
        <w:t>)</w:t>
      </w:r>
      <w:r>
        <w:rPr>
          <w:rFonts w:ascii="Book Antiqua" w:eastAsia="Book Antiqua" w:hAnsi="Book Antiqua" w:cs="Book Antiqua"/>
          <w:color w:val="000000"/>
        </w:rPr>
        <w:t xml:space="preserve"> (Figure 8).</w:t>
      </w:r>
      <w:r w:rsidR="002171FA">
        <w:rPr>
          <w:rFonts w:ascii="Book Antiqua" w:eastAsia="Book Antiqua" w:hAnsi="Book Antiqua" w:cs="Book Antiqua"/>
          <w:color w:val="000000"/>
        </w:rPr>
        <w:t xml:space="preserve"> </w:t>
      </w:r>
      <w:r>
        <w:rPr>
          <w:rFonts w:ascii="Book Antiqua" w:eastAsia="Book Antiqua" w:hAnsi="Book Antiqua" w:cs="Book Antiqua"/>
          <w:color w:val="000000"/>
        </w:rPr>
        <w:t>In the analys</w:t>
      </w:r>
      <w:r w:rsidR="002171FA">
        <w:rPr>
          <w:rFonts w:ascii="Book Antiqua" w:eastAsia="Book Antiqua" w:hAnsi="Book Antiqua" w:cs="Book Antiqua"/>
          <w:color w:val="000000"/>
        </w:rPr>
        <w:t>e</w:t>
      </w:r>
      <w:r>
        <w:rPr>
          <w:rFonts w:ascii="Book Antiqua" w:eastAsia="Book Antiqua" w:hAnsi="Book Antiqua" w:cs="Book Antiqua"/>
          <w:color w:val="000000"/>
        </w:rPr>
        <w:t>s of continuous variables, three studies</w:t>
      </w:r>
      <w:r>
        <w:rPr>
          <w:rFonts w:ascii="Book Antiqua" w:eastAsia="Book Antiqua" w:hAnsi="Book Antiqua" w:cs="Book Antiqua"/>
          <w:color w:val="000000"/>
          <w:szCs w:val="30"/>
          <w:vertAlign w:val="superscript"/>
        </w:rPr>
        <w:t>[14,20,21]</w:t>
      </w:r>
      <w:r>
        <w:rPr>
          <w:rFonts w:ascii="Book Antiqua" w:eastAsia="Book Antiqua" w:hAnsi="Book Antiqua" w:cs="Book Antiqua"/>
          <w:color w:val="000000"/>
        </w:rPr>
        <w:t xml:space="preserve"> were evaluated, with 88 patients in each group. The reintervention rate was 67% lower in the SEMS group </w:t>
      </w:r>
      <w:r w:rsidR="002171FA">
        <w:rPr>
          <w:rFonts w:ascii="Book Antiqua" w:eastAsia="Book Antiqua" w:hAnsi="Book Antiqua" w:cs="Book Antiqua"/>
          <w:color w:val="000000"/>
        </w:rPr>
        <w:t>(</w:t>
      </w:r>
      <w:r>
        <w:rPr>
          <w:rFonts w:ascii="Book Antiqua" w:eastAsia="Book Antiqua" w:hAnsi="Book Antiqua" w:cs="Book Antiqua"/>
          <w:color w:val="000000"/>
        </w:rPr>
        <w:t>MD = -0.67</w:t>
      </w:r>
      <w:r w:rsidR="002171FA">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-0.85, -0.50; </w:t>
      </w:r>
      <w:r w:rsidR="00916939" w:rsidRPr="00F16B70">
        <w:rPr>
          <w:rFonts w:ascii="Book Antiqua" w:eastAsia="Book Antiqua" w:hAnsi="Book Antiqua" w:cs="Book Antiqua"/>
          <w:i/>
          <w:color w:val="000000"/>
        </w:rPr>
        <w:t>I</w:t>
      </w:r>
      <w:r w:rsidR="00916939">
        <w:rPr>
          <w:rFonts w:ascii="Book Antiqua" w:eastAsia="Book Antiqua" w:hAnsi="Book Antiqua" w:cs="Book Antiqua"/>
          <w:color w:val="000000"/>
        </w:rPr>
        <w:t xml:space="preserve">² </w:t>
      </w:r>
      <w:r>
        <w:rPr>
          <w:rFonts w:ascii="Book Antiqua" w:eastAsia="Book Antiqua" w:hAnsi="Book Antiqua" w:cs="Book Antiqua"/>
          <w:color w:val="000000"/>
        </w:rPr>
        <w:t xml:space="preserve">= 0%;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0.00001</w:t>
      </w:r>
      <w:r w:rsidR="002171FA">
        <w:rPr>
          <w:rFonts w:ascii="Book Antiqua" w:eastAsia="Book Antiqua" w:hAnsi="Book Antiqua" w:cs="Book Antiqua"/>
          <w:color w:val="000000"/>
        </w:rPr>
        <w:t>)</w:t>
      </w:r>
      <w:r>
        <w:rPr>
          <w:rFonts w:ascii="Book Antiqua" w:eastAsia="Book Antiqua" w:hAnsi="Book Antiqua" w:cs="Book Antiqua"/>
          <w:color w:val="000000"/>
        </w:rPr>
        <w:t xml:space="preserve">. The uncovered SEMS subgroup revealed no difference </w:t>
      </w:r>
      <w:r>
        <w:rPr>
          <w:rFonts w:ascii="Book Antiqua" w:eastAsia="Book Antiqua" w:hAnsi="Book Antiqua" w:cs="Book Antiqua"/>
          <w:i/>
          <w:iCs/>
          <w:color w:val="000000"/>
        </w:rPr>
        <w:t>vs</w:t>
      </w:r>
      <w:r>
        <w:rPr>
          <w:rFonts w:ascii="Book Antiqua" w:eastAsia="Book Antiqua" w:hAnsi="Book Antiqua" w:cs="Book Antiqua"/>
          <w:color w:val="000000"/>
        </w:rPr>
        <w:t xml:space="preserve"> the PS group </w:t>
      </w:r>
      <w:r w:rsidR="00147E56">
        <w:rPr>
          <w:rFonts w:ascii="Book Antiqua" w:eastAsia="Book Antiqua" w:hAnsi="Book Antiqua" w:cs="Book Antiqua"/>
          <w:color w:val="000000"/>
        </w:rPr>
        <w:t>(</w:t>
      </w:r>
      <w:r>
        <w:rPr>
          <w:rFonts w:ascii="Book Antiqua" w:eastAsia="Book Antiqua" w:hAnsi="Book Antiqua" w:cs="Book Antiqua"/>
          <w:color w:val="000000"/>
        </w:rPr>
        <w:t>RD = -0.76</w:t>
      </w:r>
      <w:r w:rsidR="00147E56">
        <w:rPr>
          <w:rFonts w:ascii="Book Antiqua" w:eastAsia="Book Antiqua" w:hAnsi="Book Antiqua" w:cs="Book Antiqua"/>
          <w:color w:val="000000"/>
        </w:rPr>
        <w:t xml:space="preserve">, </w:t>
      </w:r>
      <w:r>
        <w:rPr>
          <w:rFonts w:ascii="Book Antiqua" w:eastAsia="Book Antiqua" w:hAnsi="Book Antiqua" w:cs="Book Antiqua"/>
          <w:color w:val="000000"/>
        </w:rPr>
        <w:t xml:space="preserve">95% C, -1.53, 0.01; </w:t>
      </w:r>
      <w:r w:rsidR="00C814C2" w:rsidRPr="00F16B70">
        <w:rPr>
          <w:rFonts w:ascii="Book Antiqua" w:eastAsia="Book Antiqua" w:hAnsi="Book Antiqua" w:cs="Book Antiqua"/>
          <w:i/>
          <w:color w:val="000000"/>
        </w:rPr>
        <w:t>I</w:t>
      </w:r>
      <w:r w:rsidR="00C814C2">
        <w:rPr>
          <w:rFonts w:ascii="Book Antiqua" w:eastAsia="Book Antiqua" w:hAnsi="Book Antiqua" w:cs="Book Antiqua"/>
          <w:color w:val="000000"/>
        </w:rPr>
        <w:t>²</w:t>
      </w:r>
      <w:r>
        <w:rPr>
          <w:rFonts w:ascii="Book Antiqua" w:eastAsia="Book Antiqua" w:hAnsi="Book Antiqua" w:cs="Book Antiqua"/>
          <w:color w:val="000000"/>
        </w:rPr>
        <w:t xml:space="preserve"> = not applicable; </w:t>
      </w:r>
      <w:r>
        <w:rPr>
          <w:rFonts w:ascii="Book Antiqua" w:eastAsia="Book Antiqua" w:hAnsi="Book Antiqua" w:cs="Book Antiqua"/>
          <w:i/>
          <w:iCs/>
          <w:color w:val="000000"/>
        </w:rPr>
        <w:t>P</w:t>
      </w:r>
      <w:r>
        <w:rPr>
          <w:rFonts w:ascii="Book Antiqua" w:eastAsia="Book Antiqua" w:hAnsi="Book Antiqua" w:cs="Book Antiqua"/>
          <w:color w:val="000000"/>
        </w:rPr>
        <w:t xml:space="preserve"> = 0.05); however, the SEMS not specified subgroup had a reintervention rate 67% lower than in the PS group </w:t>
      </w:r>
      <w:r w:rsidR="00147E56">
        <w:rPr>
          <w:rFonts w:ascii="Book Antiqua" w:eastAsia="Book Antiqua" w:hAnsi="Book Antiqua" w:cs="Book Antiqua"/>
          <w:color w:val="000000"/>
        </w:rPr>
        <w:t>(</w:t>
      </w:r>
      <w:r>
        <w:rPr>
          <w:rFonts w:ascii="Book Antiqua" w:eastAsia="Book Antiqua" w:hAnsi="Book Antiqua" w:cs="Book Antiqua"/>
          <w:color w:val="000000"/>
        </w:rPr>
        <w:t>RD = -0.67</w:t>
      </w:r>
      <w:r w:rsidR="00147E56">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-0.85, -0.49; I² = 0%;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0.00001</w:t>
      </w:r>
      <w:r w:rsidR="00147E56">
        <w:rPr>
          <w:rFonts w:ascii="Book Antiqua" w:eastAsia="Book Antiqua" w:hAnsi="Book Antiqua" w:cs="Book Antiqua"/>
          <w:color w:val="000000"/>
        </w:rPr>
        <w:t>)</w:t>
      </w:r>
      <w:r>
        <w:rPr>
          <w:rFonts w:ascii="Book Antiqua" w:eastAsia="Book Antiqua" w:hAnsi="Book Antiqua" w:cs="Book Antiqua"/>
          <w:color w:val="000000"/>
        </w:rPr>
        <w:t xml:space="preserve"> (Figure 9).</w:t>
      </w:r>
    </w:p>
    <w:p w14:paraId="39A73AE3" w14:textId="77777777" w:rsidR="00A77B3E" w:rsidRDefault="00A77B3E">
      <w:pPr>
        <w:spacing w:line="360" w:lineRule="auto"/>
        <w:ind w:firstLine="708"/>
        <w:jc w:val="both"/>
      </w:pPr>
    </w:p>
    <w:p w14:paraId="5F8AF0D4" w14:textId="77777777" w:rsidR="00A77B3E" w:rsidRDefault="004B6445">
      <w:pPr>
        <w:spacing w:line="360" w:lineRule="auto"/>
        <w:jc w:val="both"/>
      </w:pPr>
      <w:r>
        <w:rPr>
          <w:rFonts w:ascii="Book Antiqua" w:eastAsia="Book Antiqua" w:hAnsi="Book Antiqua" w:cs="Book Antiqua"/>
          <w:b/>
          <w:caps/>
          <w:color w:val="000000"/>
          <w:u w:val="single"/>
        </w:rPr>
        <w:t>DISCUSSION</w:t>
      </w:r>
    </w:p>
    <w:p w14:paraId="7045D11A" w14:textId="0B4364CE" w:rsidR="00A77B3E" w:rsidRDefault="004B6445">
      <w:pPr>
        <w:spacing w:line="360" w:lineRule="auto"/>
        <w:jc w:val="both"/>
      </w:pPr>
      <w:r>
        <w:rPr>
          <w:rFonts w:ascii="Book Antiqua" w:eastAsia="Book Antiqua" w:hAnsi="Book Antiqua" w:cs="Book Antiqua"/>
          <w:color w:val="000000"/>
        </w:rPr>
        <w:t xml:space="preserve">Based on the results of this systematic review and meta-analysis, both PS and SEMS types </w:t>
      </w:r>
      <w:r w:rsidR="00C97E7F">
        <w:rPr>
          <w:rFonts w:ascii="Book Antiqua" w:eastAsia="Book Antiqua" w:hAnsi="Book Antiqua" w:cs="Book Antiqua"/>
          <w:color w:val="000000"/>
        </w:rPr>
        <w:t>had a</w:t>
      </w:r>
      <w:r>
        <w:rPr>
          <w:rFonts w:ascii="Book Antiqua" w:eastAsia="Book Antiqua" w:hAnsi="Book Antiqua" w:cs="Book Antiqua"/>
          <w:color w:val="000000"/>
        </w:rPr>
        <w:t xml:space="preserve"> similar clinical success rate, complication rate, and patient-associated mean survival for treatment of MDBO. However, our study also demonstrated that SEMS </w:t>
      </w:r>
      <w:r w:rsidR="00C97E7F">
        <w:rPr>
          <w:rFonts w:ascii="Book Antiqua" w:eastAsia="Book Antiqua" w:hAnsi="Book Antiqua" w:cs="Book Antiqua"/>
          <w:color w:val="000000"/>
        </w:rPr>
        <w:t xml:space="preserve">was </w:t>
      </w:r>
      <w:r>
        <w:rPr>
          <w:rFonts w:ascii="Book Antiqua" w:eastAsia="Book Antiqua" w:hAnsi="Book Antiqua" w:cs="Book Antiqua"/>
          <w:color w:val="000000"/>
        </w:rPr>
        <w:lastRenderedPageBreak/>
        <w:t>associated with a longer duration of stent patency compared to PS as well as a lower rate of reintervention. On subgroup analyses, both covered and uncovered SEMS improved stent patency compared to PS</w:t>
      </w:r>
      <w:r w:rsidR="00C97E7F">
        <w:rPr>
          <w:rFonts w:ascii="Book Antiqua" w:eastAsia="Book Antiqua" w:hAnsi="Book Antiqua" w:cs="Book Antiqua"/>
          <w:color w:val="000000"/>
        </w:rPr>
        <w:t>, al</w:t>
      </w:r>
      <w:r>
        <w:rPr>
          <w:rFonts w:ascii="Book Antiqua" w:eastAsia="Book Antiqua" w:hAnsi="Book Antiqua" w:cs="Book Antiqua"/>
          <w:color w:val="000000"/>
        </w:rPr>
        <w:t xml:space="preserve">though stent dysfunction was higher among patients who received treatment with a partially or fully covered SEMS. </w:t>
      </w:r>
    </w:p>
    <w:p w14:paraId="4173B55A" w14:textId="51F94FE5" w:rsidR="00A77B3E" w:rsidRDefault="004B6445" w:rsidP="005D3E69">
      <w:pPr>
        <w:spacing w:line="360" w:lineRule="auto"/>
        <w:ind w:firstLine="270"/>
        <w:jc w:val="both"/>
      </w:pPr>
      <w:r>
        <w:rPr>
          <w:rFonts w:ascii="Book Antiqua" w:eastAsia="Book Antiqua" w:hAnsi="Book Antiqua" w:cs="Book Antiqua"/>
          <w:color w:val="000000"/>
        </w:rPr>
        <w:t xml:space="preserve">In this study, we </w:t>
      </w:r>
      <w:r w:rsidR="00C97E7F">
        <w:rPr>
          <w:rFonts w:ascii="Book Antiqua" w:eastAsia="Book Antiqua" w:hAnsi="Book Antiqua" w:cs="Book Antiqua"/>
          <w:color w:val="000000"/>
        </w:rPr>
        <w:t xml:space="preserve">found </w:t>
      </w:r>
      <w:r>
        <w:rPr>
          <w:rFonts w:ascii="Book Antiqua" w:eastAsia="Book Antiqua" w:hAnsi="Book Antiqua" w:cs="Book Antiqua"/>
          <w:color w:val="000000"/>
        </w:rPr>
        <w:t xml:space="preserve">that SEMS </w:t>
      </w:r>
      <w:r w:rsidR="00C37586">
        <w:rPr>
          <w:rFonts w:ascii="Book Antiqua" w:eastAsia="Book Antiqua" w:hAnsi="Book Antiqua" w:cs="Book Antiqua"/>
          <w:color w:val="000000"/>
        </w:rPr>
        <w:t xml:space="preserve">was </w:t>
      </w:r>
      <w:r>
        <w:rPr>
          <w:rFonts w:ascii="Book Antiqua" w:eastAsia="Book Antiqua" w:hAnsi="Book Antiqua" w:cs="Book Antiqua"/>
          <w:color w:val="000000"/>
        </w:rPr>
        <w:t xml:space="preserve">associated with a longer duration of patency, lower rate of stent dysfunction, and decreased need for reintervention. This may be explained by two factors. First, SEMS is self-expanding and reaches a larger diameter when compared to PS placement, allowing for a greater flow and consequently better drainage of the bile duct. Furthermore, SEMS </w:t>
      </w:r>
      <w:r w:rsidR="00C37586">
        <w:rPr>
          <w:rFonts w:ascii="Book Antiqua" w:eastAsia="Book Antiqua" w:hAnsi="Book Antiqua" w:cs="Book Antiqua"/>
          <w:color w:val="000000"/>
        </w:rPr>
        <w:t xml:space="preserve">has </w:t>
      </w:r>
      <w:r>
        <w:rPr>
          <w:rFonts w:ascii="Book Antiqua" w:eastAsia="Book Antiqua" w:hAnsi="Book Antiqua" w:cs="Book Antiqua"/>
          <w:color w:val="000000"/>
        </w:rPr>
        <w:t>less surface for bacterial multiplication and fixation, which may lead to the formation of biofilm and deposition of bile sludge, responsible for earlier obstruction of the PS</w:t>
      </w:r>
      <w:r>
        <w:rPr>
          <w:rFonts w:ascii="Book Antiqua" w:eastAsia="Book Antiqua" w:hAnsi="Book Antiqua" w:cs="Book Antiqua"/>
          <w:color w:val="000000"/>
          <w:szCs w:val="30"/>
          <w:vertAlign w:val="superscript"/>
        </w:rPr>
        <w:t>[14,20,21]</w:t>
      </w:r>
      <w:r>
        <w:rPr>
          <w:rFonts w:ascii="Book Antiqua" w:eastAsia="Book Antiqua" w:hAnsi="Book Antiqua" w:cs="Book Antiqua"/>
          <w:color w:val="000000"/>
        </w:rPr>
        <w:t xml:space="preserve">. </w:t>
      </w:r>
    </w:p>
    <w:p w14:paraId="0F010E8C" w14:textId="77777777" w:rsidR="00A77B3E" w:rsidRDefault="004B6445" w:rsidP="005D3E69">
      <w:pPr>
        <w:spacing w:line="360" w:lineRule="auto"/>
        <w:ind w:firstLine="270"/>
        <w:jc w:val="both"/>
      </w:pPr>
      <w:r>
        <w:rPr>
          <w:rFonts w:ascii="Book Antiqua" w:eastAsia="Book Antiqua" w:hAnsi="Book Antiqua" w:cs="Book Antiqua"/>
          <w:color w:val="000000"/>
        </w:rPr>
        <w:t>In the subgroup of uncovered metal stents, the main cause of obstruction was internal tumor growth ("ingrowth"), making replacement extremely challenging in cases of obstruction. In the subgroups of partially covered or covered metal stents, due to their covering, the main complication is migration. This is due to the fact that this type of stent applies a greater expandable force that, associated with tumor growth, leads to its migration. However, partially or fully covered SEMS allow for a greater possibility of stent removal or replacement in case of failure/clogging compared to uncovered SEMS</w:t>
      </w:r>
      <w:r>
        <w:rPr>
          <w:rFonts w:ascii="Book Antiqua" w:eastAsia="Book Antiqua" w:hAnsi="Book Antiqua" w:cs="Book Antiqua"/>
          <w:color w:val="000000"/>
          <w:szCs w:val="30"/>
          <w:vertAlign w:val="superscript"/>
        </w:rPr>
        <w:t>[14,20]</w:t>
      </w:r>
      <w:r>
        <w:rPr>
          <w:rFonts w:ascii="Book Antiqua" w:eastAsia="Book Antiqua" w:hAnsi="Book Antiqua" w:cs="Book Antiqua"/>
          <w:color w:val="000000"/>
        </w:rPr>
        <w:t xml:space="preserve">. </w:t>
      </w:r>
    </w:p>
    <w:p w14:paraId="3697C3F6" w14:textId="77ABDBC9" w:rsidR="00A77B3E" w:rsidRDefault="004B6445" w:rsidP="005D3E69">
      <w:pPr>
        <w:spacing w:line="360" w:lineRule="auto"/>
        <w:ind w:firstLine="270"/>
        <w:jc w:val="both"/>
      </w:pPr>
      <w:r>
        <w:rPr>
          <w:rFonts w:ascii="Book Antiqua" w:eastAsia="Book Antiqua" w:hAnsi="Book Antiqua" w:cs="Book Antiqua"/>
          <w:color w:val="000000"/>
        </w:rPr>
        <w:t>Regarding survival, there was no difference between SEMS and PS</w:t>
      </w:r>
      <w:r w:rsidR="00C37586">
        <w:rPr>
          <w:rFonts w:ascii="Book Antiqua" w:eastAsia="Book Antiqua" w:hAnsi="Book Antiqua" w:cs="Book Antiqua"/>
          <w:color w:val="000000"/>
        </w:rPr>
        <w:t>;</w:t>
      </w:r>
      <w:r>
        <w:rPr>
          <w:rFonts w:ascii="Book Antiqua" w:eastAsia="Book Antiqua" w:hAnsi="Book Antiqua" w:cs="Book Antiqua"/>
          <w:color w:val="000000"/>
        </w:rPr>
        <w:t xml:space="preserve"> </w:t>
      </w:r>
      <w:r w:rsidR="00C37586">
        <w:rPr>
          <w:rFonts w:ascii="Book Antiqua" w:eastAsia="Book Antiqua" w:hAnsi="Book Antiqua" w:cs="Book Antiqua"/>
          <w:color w:val="000000"/>
        </w:rPr>
        <w:t>h</w:t>
      </w:r>
      <w:r>
        <w:rPr>
          <w:rFonts w:ascii="Book Antiqua" w:eastAsia="Book Antiqua" w:hAnsi="Book Antiqua" w:cs="Book Antiqua"/>
          <w:color w:val="000000"/>
        </w:rPr>
        <w:t>owever, when analyzing the subgroups, the covered SEMS placement outperformed PS. MDBO leads to late symptoms and diagnosis, consequently reduc</w:t>
      </w:r>
      <w:r w:rsidR="00C37586">
        <w:rPr>
          <w:rFonts w:ascii="Book Antiqua" w:eastAsia="Book Antiqua" w:hAnsi="Book Antiqua" w:cs="Book Antiqua"/>
          <w:color w:val="000000"/>
        </w:rPr>
        <w:t>ing</w:t>
      </w:r>
      <w:r>
        <w:rPr>
          <w:rFonts w:ascii="Book Antiqua" w:eastAsia="Book Antiqua" w:hAnsi="Book Antiqua" w:cs="Book Antiqua"/>
          <w:color w:val="000000"/>
        </w:rPr>
        <w:t xml:space="preserve"> survival, regardless of the form of palliative treatment performed. However, some factors favor the choice between the two types of stent. It should be noted that in those patients who have a life expectancy longer than 120 to 180 d, the use of SEMS is indicated, due to the longer duration of patency and lower reintervention rate, since it would reduce the need for numerous procedures, resulting in a better quality of life</w:t>
      </w:r>
      <w:r>
        <w:rPr>
          <w:rFonts w:ascii="Book Antiqua" w:eastAsia="Book Antiqua" w:hAnsi="Book Antiqua" w:cs="Book Antiqua"/>
          <w:color w:val="000000"/>
          <w:szCs w:val="30"/>
          <w:vertAlign w:val="superscript"/>
        </w:rPr>
        <w:t>[2,8,9]</w:t>
      </w:r>
      <w:r>
        <w:rPr>
          <w:rFonts w:ascii="Book Antiqua" w:eastAsia="Book Antiqua" w:hAnsi="Book Antiqua" w:cs="Book Antiqua"/>
          <w:color w:val="000000"/>
        </w:rPr>
        <w:t>. In five included RCTs</w:t>
      </w:r>
      <w:r>
        <w:rPr>
          <w:rFonts w:ascii="Book Antiqua" w:eastAsia="Book Antiqua" w:hAnsi="Book Antiqua" w:cs="Book Antiqua"/>
          <w:color w:val="000000"/>
          <w:szCs w:val="30"/>
          <w:vertAlign w:val="superscript"/>
        </w:rPr>
        <w:t>[10,12,14,19]</w:t>
      </w:r>
      <w:r>
        <w:rPr>
          <w:rFonts w:ascii="Book Antiqua" w:eastAsia="Book Antiqua" w:hAnsi="Book Antiqua" w:cs="Book Antiqua"/>
          <w:color w:val="000000"/>
        </w:rPr>
        <w:t xml:space="preserve"> the main factors for choosing between PS and SEMS were tumors larger than 30 mm and the presence of hepatic metastasis</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According to these studies, these factors may </w:t>
      </w:r>
      <w:r>
        <w:rPr>
          <w:rFonts w:ascii="Book Antiqua" w:eastAsia="Book Antiqua" w:hAnsi="Book Antiqua" w:cs="Book Antiqua"/>
          <w:color w:val="000000"/>
        </w:rPr>
        <w:lastRenderedPageBreak/>
        <w:t>significantly reduce the patient</w:t>
      </w:r>
      <w:r w:rsidR="0069322E">
        <w:rPr>
          <w:rFonts w:ascii="Book Antiqua" w:eastAsia="Book Antiqua" w:hAnsi="Book Antiqua" w:cs="Book Antiqua"/>
          <w:color w:val="000000"/>
        </w:rPr>
        <w:t>’</w:t>
      </w:r>
      <w:r>
        <w:rPr>
          <w:rFonts w:ascii="Book Antiqua" w:eastAsia="Book Antiqua" w:hAnsi="Book Antiqua" w:cs="Book Antiqua"/>
          <w:color w:val="000000"/>
        </w:rPr>
        <w:t xml:space="preserve">s survival, favoring the deployment of PS, because of its lower initial cost. </w:t>
      </w:r>
    </w:p>
    <w:p w14:paraId="7745898F" w14:textId="0ED3875D" w:rsidR="00A77B3E" w:rsidRDefault="004B6445" w:rsidP="005D3E69">
      <w:pPr>
        <w:spacing w:line="360" w:lineRule="auto"/>
        <w:ind w:firstLine="270"/>
        <w:jc w:val="both"/>
      </w:pPr>
      <w:r>
        <w:rPr>
          <w:rFonts w:ascii="Book Antiqua" w:eastAsia="Book Antiqua" w:hAnsi="Book Antiqua" w:cs="Book Antiqua"/>
          <w:color w:val="000000"/>
        </w:rPr>
        <w:t xml:space="preserve">Regarding complications, there was no statistical difference between SEMS and PS. This may be explained by the fact that ERCP is a therapeutic procedure that can present complications regardless of the type of stent used. The main complications reported in the studies were pancreatitis, infections (cholangitis, cholecystitis, or liver abscess), perforation, and bleeding. In most cases, the complications </w:t>
      </w:r>
      <w:r w:rsidR="0069322E">
        <w:rPr>
          <w:rFonts w:ascii="Book Antiqua" w:eastAsia="Book Antiqua" w:hAnsi="Book Antiqua" w:cs="Book Antiqua"/>
          <w:color w:val="000000"/>
        </w:rPr>
        <w:t xml:space="preserve">were </w:t>
      </w:r>
      <w:r>
        <w:rPr>
          <w:rFonts w:ascii="Book Antiqua" w:eastAsia="Book Antiqua" w:hAnsi="Book Antiqua" w:cs="Book Antiqua"/>
          <w:color w:val="000000"/>
        </w:rPr>
        <w:t>diagnosed and treated early</w:t>
      </w:r>
      <w:r w:rsidR="0069322E">
        <w:rPr>
          <w:rFonts w:ascii="Book Antiqua" w:eastAsia="Book Antiqua" w:hAnsi="Book Antiqua" w:cs="Book Antiqua"/>
          <w:color w:val="000000"/>
        </w:rPr>
        <w:t>;</w:t>
      </w:r>
      <w:r>
        <w:rPr>
          <w:rFonts w:ascii="Book Antiqua" w:eastAsia="Book Antiqua" w:hAnsi="Book Antiqua" w:cs="Book Antiqua"/>
          <w:color w:val="000000"/>
        </w:rPr>
        <w:t xml:space="preserve"> however, sometimes they may appear later (7 to 10 d after the procedure), as in the case of infections or bleeding. In our study, it was not possible to carry out an analysis by type of complication, since the RCT did not make this division</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w:t>
      </w:r>
    </w:p>
    <w:p w14:paraId="41BB20F2" w14:textId="63FCBC6C" w:rsidR="00A77B3E" w:rsidRDefault="004B6445" w:rsidP="005D3E69">
      <w:pPr>
        <w:spacing w:line="360" w:lineRule="auto"/>
        <w:ind w:firstLine="270"/>
        <w:jc w:val="both"/>
      </w:pPr>
      <w:r>
        <w:rPr>
          <w:rFonts w:ascii="Book Antiqua" w:eastAsia="Book Antiqua" w:hAnsi="Book Antiqua" w:cs="Book Antiqua"/>
          <w:color w:val="000000"/>
        </w:rPr>
        <w:t xml:space="preserve">It is important to acknowledge </w:t>
      </w:r>
      <w:r w:rsidR="00C66A81">
        <w:rPr>
          <w:rFonts w:ascii="Book Antiqua" w:eastAsia="Book Antiqua" w:hAnsi="Book Antiqua" w:cs="Book Antiqua"/>
          <w:color w:val="000000"/>
        </w:rPr>
        <w:t xml:space="preserve">that </w:t>
      </w:r>
      <w:r>
        <w:rPr>
          <w:rFonts w:ascii="Book Antiqua" w:eastAsia="Book Antiqua" w:hAnsi="Book Antiqua" w:cs="Book Antiqua"/>
          <w:color w:val="000000"/>
        </w:rPr>
        <w:t>there have been several previous meta-analyses</w:t>
      </w:r>
      <w:r>
        <w:rPr>
          <w:rFonts w:ascii="Book Antiqua" w:eastAsia="Book Antiqua" w:hAnsi="Book Antiqua" w:cs="Book Antiqua"/>
          <w:color w:val="000000"/>
          <w:szCs w:val="30"/>
          <w:vertAlign w:val="superscript"/>
        </w:rPr>
        <w:t>[22–28]</w:t>
      </w:r>
      <w:r>
        <w:rPr>
          <w:rFonts w:ascii="Book Antiqua" w:eastAsia="Book Antiqua" w:hAnsi="Book Antiqua" w:cs="Book Antiqua"/>
          <w:color w:val="000000"/>
        </w:rPr>
        <w:t xml:space="preserve"> on this subject in the literature. However, in all of them, location was not isolated to the site of distal biliary obstruction (</w:t>
      </w:r>
      <w:r w:rsidRPr="005D3E69">
        <w:rPr>
          <w:rFonts w:ascii="Book Antiqua" w:eastAsia="Book Antiqua" w:hAnsi="Book Antiqua" w:cs="Book Antiqua"/>
          <w:i/>
          <w:iCs/>
          <w:color w:val="000000"/>
        </w:rPr>
        <w:t>i.e.</w:t>
      </w:r>
      <w:r>
        <w:rPr>
          <w:rFonts w:ascii="Book Antiqua" w:eastAsia="Book Antiqua" w:hAnsi="Book Antiqua" w:cs="Book Antiqua"/>
          <w:color w:val="000000"/>
        </w:rPr>
        <w:t xml:space="preserve"> inclusion of both malignant proximal and distal biliary obstructions), thereby leading to greater bias, as different locations result in different tumor behaviors and associated morbidity/mortality. In addition, in five of these meta-analyses</w:t>
      </w:r>
      <w:r>
        <w:rPr>
          <w:rFonts w:ascii="Book Antiqua" w:eastAsia="Book Antiqua" w:hAnsi="Book Antiqua" w:cs="Book Antiqua"/>
          <w:color w:val="000000"/>
          <w:szCs w:val="30"/>
          <w:vertAlign w:val="superscript"/>
        </w:rPr>
        <w:t>[23,24,26–28]</w:t>
      </w:r>
      <w:r>
        <w:rPr>
          <w:rFonts w:ascii="Book Antiqua" w:eastAsia="Book Antiqua" w:hAnsi="Book Antiqua" w:cs="Book Antiqua"/>
          <w:color w:val="000000"/>
        </w:rPr>
        <w:t>, comparison of percutaneous and endoscopic placed stents were performed, generating another bias, since these treatments produce different rates of complications, recurrence and associated mortality. Furthermore, two previous meta-analysis included retrospective studies</w:t>
      </w:r>
      <w:r>
        <w:rPr>
          <w:rFonts w:ascii="Book Antiqua" w:eastAsia="Book Antiqua" w:hAnsi="Book Antiqua" w:cs="Book Antiqua"/>
          <w:color w:val="000000"/>
          <w:szCs w:val="30"/>
          <w:vertAlign w:val="superscript"/>
        </w:rPr>
        <w:t>[24,26]</w:t>
      </w:r>
      <w:r>
        <w:rPr>
          <w:rFonts w:ascii="Book Antiqua" w:eastAsia="Book Antiqua" w:hAnsi="Book Antiqua" w:cs="Book Antiqua"/>
          <w:color w:val="000000"/>
        </w:rPr>
        <w:t xml:space="preserve">, thereby allowing for the introduction of patient selection bias and significantly reducing the quality of evidence. </w:t>
      </w:r>
    </w:p>
    <w:p w14:paraId="42EBB044" w14:textId="71D55991" w:rsidR="00A77B3E" w:rsidRDefault="004B6445" w:rsidP="005D3E69">
      <w:pPr>
        <w:spacing w:line="360" w:lineRule="auto"/>
        <w:ind w:firstLine="270"/>
        <w:jc w:val="both"/>
      </w:pPr>
      <w:r>
        <w:rPr>
          <w:rFonts w:ascii="Book Antiqua" w:eastAsia="Book Antiqua" w:hAnsi="Book Antiqua" w:cs="Book Antiqua"/>
          <w:color w:val="000000"/>
        </w:rPr>
        <w:t>Therefore, we include</w:t>
      </w:r>
      <w:r w:rsidR="00AC4551">
        <w:rPr>
          <w:rFonts w:ascii="Book Antiqua" w:eastAsia="Book Antiqua" w:hAnsi="Book Antiqua" w:cs="Book Antiqua"/>
          <w:color w:val="000000"/>
        </w:rPr>
        <w:t>d</w:t>
      </w:r>
      <w:r>
        <w:rPr>
          <w:rFonts w:ascii="Book Antiqua" w:eastAsia="Book Antiqua" w:hAnsi="Book Antiqua" w:cs="Book Antiqua"/>
          <w:color w:val="000000"/>
        </w:rPr>
        <w:t xml:space="preserve"> and analyze</w:t>
      </w:r>
      <w:r w:rsidR="00AC4551">
        <w:rPr>
          <w:rFonts w:ascii="Book Antiqua" w:eastAsia="Book Antiqua" w:hAnsi="Book Antiqua" w:cs="Book Antiqua"/>
          <w:color w:val="000000"/>
        </w:rPr>
        <w:t>d</w:t>
      </w:r>
      <w:r>
        <w:rPr>
          <w:rFonts w:ascii="Book Antiqua" w:eastAsia="Book Antiqua" w:hAnsi="Book Antiqua" w:cs="Book Antiqua"/>
          <w:color w:val="000000"/>
        </w:rPr>
        <w:t xml:space="preserve"> only RCTs among patients with confirmed, non-operative MDBO. As such, this systematic review and meta-analysis is the first to analyze endoscopic biliary drainage as a specific treatment for MDBO. In additional to comparing plastic </w:t>
      </w:r>
      <w:r>
        <w:rPr>
          <w:rFonts w:ascii="Book Antiqua" w:eastAsia="Book Antiqua" w:hAnsi="Book Antiqua" w:cs="Book Antiqua"/>
          <w:i/>
          <w:iCs/>
          <w:color w:val="000000"/>
        </w:rPr>
        <w:t>vs</w:t>
      </w:r>
      <w:r>
        <w:rPr>
          <w:rFonts w:ascii="Book Antiqua" w:eastAsia="Book Antiqua" w:hAnsi="Book Antiqua" w:cs="Book Antiqua"/>
          <w:color w:val="000000"/>
        </w:rPr>
        <w:t xml:space="preserve"> metal stent placement, this study also performed subgroup analysis by type of SEMS. </w:t>
      </w:r>
    </w:p>
    <w:p w14:paraId="66D5FE10" w14:textId="026048E2" w:rsidR="00A77B3E" w:rsidRDefault="004B6445" w:rsidP="005D3E69">
      <w:pPr>
        <w:spacing w:line="360" w:lineRule="auto"/>
        <w:ind w:firstLine="270"/>
        <w:jc w:val="both"/>
      </w:pPr>
      <w:r>
        <w:rPr>
          <w:rFonts w:ascii="Book Antiqua" w:eastAsia="Book Antiqua" w:hAnsi="Book Antiqua" w:cs="Book Antiqua"/>
          <w:color w:val="000000"/>
        </w:rPr>
        <w:t xml:space="preserve">Yet despite this study’s strengths, this meta-analysis </w:t>
      </w:r>
      <w:r w:rsidR="00143F69">
        <w:rPr>
          <w:rFonts w:ascii="Book Antiqua" w:eastAsia="Book Antiqua" w:hAnsi="Book Antiqua" w:cs="Book Antiqua"/>
          <w:color w:val="000000"/>
        </w:rPr>
        <w:t>also had</w:t>
      </w:r>
      <w:r>
        <w:rPr>
          <w:rFonts w:ascii="Book Antiqua" w:eastAsia="Book Antiqua" w:hAnsi="Book Antiqua" w:cs="Book Antiqua"/>
          <w:color w:val="000000"/>
        </w:rPr>
        <w:t xml:space="preserve"> limitations. Despite inclusion of high</w:t>
      </w:r>
      <w:r w:rsidR="00143F69">
        <w:rPr>
          <w:rFonts w:ascii="Book Antiqua" w:eastAsia="Book Antiqua" w:hAnsi="Book Antiqua" w:cs="Book Antiqua"/>
          <w:color w:val="000000"/>
        </w:rPr>
        <w:t>-</w:t>
      </w:r>
      <w:r>
        <w:rPr>
          <w:rFonts w:ascii="Book Antiqua" w:eastAsia="Book Antiqua" w:hAnsi="Book Antiqua" w:cs="Book Antiqua"/>
          <w:color w:val="000000"/>
        </w:rPr>
        <w:t xml:space="preserve">quality RCT data, significant heterogeneity existed for many outcomes included in this study. However, this is not surprising given the aggressive nature of these malignancies and palliative endoscopic treatment involved. </w:t>
      </w:r>
    </w:p>
    <w:p w14:paraId="3A809217" w14:textId="77777777" w:rsidR="00A77B3E" w:rsidRDefault="00A77B3E" w:rsidP="006E50C4">
      <w:pPr>
        <w:spacing w:line="360" w:lineRule="auto"/>
        <w:jc w:val="both"/>
      </w:pPr>
    </w:p>
    <w:p w14:paraId="717153DE" w14:textId="77777777" w:rsidR="00A77B3E" w:rsidRDefault="004B6445">
      <w:pPr>
        <w:spacing w:line="360" w:lineRule="auto"/>
        <w:jc w:val="both"/>
      </w:pPr>
      <w:r>
        <w:rPr>
          <w:rFonts w:ascii="Book Antiqua" w:eastAsia="Book Antiqua" w:hAnsi="Book Antiqua" w:cs="Book Antiqua"/>
          <w:b/>
          <w:caps/>
          <w:color w:val="000000"/>
          <w:u w:val="single"/>
        </w:rPr>
        <w:lastRenderedPageBreak/>
        <w:t>CONCLUSION</w:t>
      </w:r>
    </w:p>
    <w:p w14:paraId="23AB71D9" w14:textId="77777777" w:rsidR="00A77B3E" w:rsidRDefault="004B6445">
      <w:pPr>
        <w:spacing w:line="360" w:lineRule="auto"/>
        <w:jc w:val="both"/>
      </w:pPr>
      <w:r>
        <w:rPr>
          <w:rFonts w:ascii="Book Antiqua" w:eastAsia="Book Antiqua" w:hAnsi="Book Antiqua" w:cs="Book Antiqua"/>
          <w:color w:val="000000"/>
        </w:rPr>
        <w:t xml:space="preserve">The use of SEMS provides for a longer duration of stent patency, lower reintervention rate, and lower rate of stent dysfunction when compared to the use of PS in patients with MDBO. With regard to mean survival analysis, there was no difference between SEMS </w:t>
      </w:r>
      <w:r>
        <w:rPr>
          <w:rFonts w:ascii="Book Antiqua" w:eastAsia="Book Antiqua" w:hAnsi="Book Antiqua" w:cs="Book Antiqua"/>
          <w:i/>
          <w:iCs/>
          <w:color w:val="000000"/>
        </w:rPr>
        <w:t>vs</w:t>
      </w:r>
      <w:r>
        <w:rPr>
          <w:rFonts w:ascii="Book Antiqua" w:eastAsia="Book Antiqua" w:hAnsi="Book Antiqua" w:cs="Book Antiqua"/>
          <w:color w:val="000000"/>
        </w:rPr>
        <w:t xml:space="preserve"> PS placement; however, on subgroup analyses, partial or fully covered SEMS demonstrated an increased mean survival compared to PS. There was no difference between the methods in concern of clinical success and rate of complications.</w:t>
      </w:r>
    </w:p>
    <w:p w14:paraId="033B519A" w14:textId="77777777" w:rsidR="00A77B3E" w:rsidRDefault="00A77B3E">
      <w:pPr>
        <w:spacing w:line="360" w:lineRule="auto"/>
        <w:jc w:val="both"/>
      </w:pPr>
    </w:p>
    <w:p w14:paraId="15B6242A" w14:textId="77777777" w:rsidR="00A77B3E" w:rsidRDefault="004B6445">
      <w:pPr>
        <w:spacing w:line="360" w:lineRule="auto"/>
        <w:jc w:val="both"/>
      </w:pPr>
      <w:r>
        <w:rPr>
          <w:rFonts w:ascii="Book Antiqua" w:eastAsia="Book Antiqua" w:hAnsi="Book Antiqua" w:cs="Book Antiqua"/>
          <w:b/>
          <w:caps/>
          <w:color w:val="000000"/>
          <w:u w:val="single"/>
        </w:rPr>
        <w:t>ARTICLE HIGHLIGHTS</w:t>
      </w:r>
    </w:p>
    <w:p w14:paraId="079620FA" w14:textId="77777777" w:rsidR="00A77B3E" w:rsidRDefault="004B6445">
      <w:pPr>
        <w:spacing w:line="360" w:lineRule="auto"/>
        <w:jc w:val="both"/>
      </w:pPr>
      <w:r>
        <w:rPr>
          <w:rFonts w:ascii="Book Antiqua" w:eastAsia="Book Antiqua" w:hAnsi="Book Antiqua" w:cs="Book Antiqua"/>
          <w:b/>
          <w:i/>
          <w:color w:val="000000"/>
        </w:rPr>
        <w:t>Research background</w:t>
      </w:r>
    </w:p>
    <w:p w14:paraId="257BC667" w14:textId="77777777" w:rsidR="00A77B3E" w:rsidRDefault="004B6445">
      <w:pPr>
        <w:spacing w:line="360" w:lineRule="auto"/>
        <w:jc w:val="both"/>
      </w:pPr>
      <w:r>
        <w:rPr>
          <w:rFonts w:ascii="Book Antiqua" w:eastAsia="Book Antiqua" w:hAnsi="Book Antiqua" w:cs="Book Antiqua"/>
          <w:color w:val="000000"/>
        </w:rPr>
        <w:t xml:space="preserve">The drainage endoscopic in patients with inoperable and/or irresectable malignant distal biliary obstruction (MDBO) has several advantages such as patient comfort, increased survival and fewer complications due to biliary obstruction. However, there are two types of stents, self-expanding metal stent (SEMS) and plastic stent (PS), leading to much discussion about which one to use, due to their different characteristics. </w:t>
      </w:r>
    </w:p>
    <w:p w14:paraId="18771E02" w14:textId="77777777" w:rsidR="00A77B3E" w:rsidRDefault="00A77B3E">
      <w:pPr>
        <w:spacing w:line="360" w:lineRule="auto"/>
        <w:jc w:val="both"/>
      </w:pPr>
    </w:p>
    <w:p w14:paraId="2CC6FC3C" w14:textId="77777777" w:rsidR="00A77B3E" w:rsidRDefault="004B6445">
      <w:pPr>
        <w:spacing w:line="360" w:lineRule="auto"/>
        <w:jc w:val="both"/>
      </w:pPr>
      <w:r>
        <w:rPr>
          <w:rFonts w:ascii="Book Antiqua" w:eastAsia="Book Antiqua" w:hAnsi="Book Antiqua" w:cs="Book Antiqua"/>
          <w:b/>
          <w:i/>
          <w:color w:val="000000"/>
        </w:rPr>
        <w:t>Research motivation</w:t>
      </w:r>
    </w:p>
    <w:p w14:paraId="68C7448A" w14:textId="77777777" w:rsidR="00A77B3E" w:rsidRDefault="004B6445">
      <w:pPr>
        <w:spacing w:line="360" w:lineRule="auto"/>
        <w:jc w:val="both"/>
      </w:pPr>
      <w:r>
        <w:rPr>
          <w:rFonts w:ascii="Book Antiqua" w:eastAsia="Book Antiqua" w:hAnsi="Book Antiqua" w:cs="Book Antiqua"/>
          <w:color w:val="000000"/>
        </w:rPr>
        <w:t xml:space="preserve">In many cases, MDBO have no curative perspective by the time of diagnosis. Therefore, palliative treatment for bile duct clearance plays a major role, since they provide longer life expectancy and better quality of life. Therefore, we wanted to compare the two types of stents commonly used in an attempt to understand which approach is best. </w:t>
      </w:r>
    </w:p>
    <w:p w14:paraId="3F9D4B8F" w14:textId="77777777" w:rsidR="00A77B3E" w:rsidRDefault="00A77B3E">
      <w:pPr>
        <w:spacing w:line="360" w:lineRule="auto"/>
        <w:jc w:val="both"/>
      </w:pPr>
    </w:p>
    <w:p w14:paraId="1068763B" w14:textId="77777777" w:rsidR="00A77B3E" w:rsidRDefault="004B6445">
      <w:pPr>
        <w:spacing w:line="360" w:lineRule="auto"/>
        <w:jc w:val="both"/>
      </w:pPr>
      <w:r>
        <w:rPr>
          <w:rFonts w:ascii="Book Antiqua" w:eastAsia="Book Antiqua" w:hAnsi="Book Antiqua" w:cs="Book Antiqua"/>
          <w:b/>
          <w:i/>
          <w:color w:val="000000"/>
        </w:rPr>
        <w:t>Research objectives</w:t>
      </w:r>
    </w:p>
    <w:p w14:paraId="128C81A4" w14:textId="77777777" w:rsidR="00A77B3E" w:rsidRDefault="004B6445">
      <w:pPr>
        <w:spacing w:line="360" w:lineRule="auto"/>
        <w:jc w:val="both"/>
      </w:pPr>
      <w:r>
        <w:rPr>
          <w:rFonts w:ascii="Book Antiqua" w:eastAsia="Book Antiqua" w:hAnsi="Book Antiqua" w:cs="Book Antiqua"/>
          <w:color w:val="000000"/>
        </w:rPr>
        <w:t xml:space="preserve">To perform a systematic review and meta-analysis of Randomized Controlled Trials comparing plastic </w:t>
      </w:r>
      <w:r>
        <w:rPr>
          <w:rFonts w:ascii="Book Antiqua" w:eastAsia="Book Antiqua" w:hAnsi="Book Antiqua" w:cs="Book Antiqua"/>
          <w:i/>
          <w:iCs/>
          <w:color w:val="000000"/>
        </w:rPr>
        <w:t>vs</w:t>
      </w:r>
      <w:r>
        <w:rPr>
          <w:rFonts w:ascii="Book Antiqua" w:eastAsia="Book Antiqua" w:hAnsi="Book Antiqua" w:cs="Book Antiqua"/>
          <w:color w:val="000000"/>
        </w:rPr>
        <w:t xml:space="preserve"> metallic stents in palliative treatment of MDBO.</w:t>
      </w:r>
    </w:p>
    <w:p w14:paraId="335619A4" w14:textId="77777777" w:rsidR="00A77B3E" w:rsidRDefault="00A77B3E">
      <w:pPr>
        <w:spacing w:line="360" w:lineRule="auto"/>
        <w:jc w:val="both"/>
      </w:pPr>
    </w:p>
    <w:p w14:paraId="092270BD" w14:textId="77777777" w:rsidR="00A77B3E" w:rsidRDefault="004B6445">
      <w:pPr>
        <w:spacing w:line="360" w:lineRule="auto"/>
        <w:jc w:val="both"/>
      </w:pPr>
      <w:r>
        <w:rPr>
          <w:rFonts w:ascii="Book Antiqua" w:eastAsia="Book Antiqua" w:hAnsi="Book Antiqua" w:cs="Book Antiqua"/>
          <w:b/>
          <w:i/>
          <w:color w:val="000000"/>
        </w:rPr>
        <w:t>Research methods</w:t>
      </w:r>
    </w:p>
    <w:p w14:paraId="094BB311" w14:textId="0ECFFA64" w:rsidR="00A77B3E" w:rsidRDefault="004B6445">
      <w:pPr>
        <w:spacing w:line="360" w:lineRule="auto"/>
        <w:jc w:val="both"/>
      </w:pPr>
      <w:r>
        <w:rPr>
          <w:rFonts w:ascii="Book Antiqua" w:eastAsia="Book Antiqua" w:hAnsi="Book Antiqua" w:cs="Book Antiqua"/>
          <w:color w:val="000000"/>
        </w:rPr>
        <w:t xml:space="preserve">We performed a systematic review and meta-analysis using the </w:t>
      </w:r>
      <w:r w:rsidR="00A53153">
        <w:rPr>
          <w:rFonts w:ascii="Book Antiqua" w:eastAsia="Book Antiqua" w:hAnsi="Book Antiqua" w:cs="Book Antiqua"/>
          <w:color w:val="000000"/>
          <w:shd w:val="clear" w:color="auto" w:fill="FFFFFF"/>
        </w:rPr>
        <w:t>Preferred Reporting Items for Systematic Reviews and Meta-Analysis</w:t>
      </w:r>
      <w:r>
        <w:rPr>
          <w:rFonts w:ascii="Book Antiqua" w:eastAsia="Book Antiqua" w:hAnsi="Book Antiqua" w:cs="Book Antiqua"/>
          <w:color w:val="000000"/>
        </w:rPr>
        <w:t xml:space="preserve"> guidelines. Electronic searches were performer using MEDLINE, EMBASE, Central Cochrane, </w:t>
      </w:r>
      <w:r w:rsidR="00A53153">
        <w:rPr>
          <w:rFonts w:ascii="Book Antiqua" w:eastAsia="Book Antiqua" w:hAnsi="Book Antiqua" w:cs="Book Antiqua"/>
          <w:color w:val="000000"/>
        </w:rPr>
        <w:t xml:space="preserve">Latin American and Caribbean </w:t>
      </w:r>
      <w:r w:rsidR="00A53153">
        <w:rPr>
          <w:rFonts w:ascii="Book Antiqua" w:eastAsia="Book Antiqua" w:hAnsi="Book Antiqua" w:cs="Book Antiqua"/>
          <w:color w:val="000000"/>
        </w:rPr>
        <w:lastRenderedPageBreak/>
        <w:t>Health Sciences Literature</w:t>
      </w:r>
      <w:r>
        <w:rPr>
          <w:rFonts w:ascii="Book Antiqua" w:eastAsia="Book Antiqua" w:hAnsi="Book Antiqua" w:cs="Book Antiqua"/>
          <w:color w:val="000000"/>
        </w:rPr>
        <w:t xml:space="preserve"> databases. Only randomized control trials were included. The outcomes studied were stent dysfunction rate, reintervention rate, duration of patency, mean survival, complications, and clinical success.</w:t>
      </w:r>
    </w:p>
    <w:p w14:paraId="382153B1" w14:textId="77777777" w:rsidR="00A77B3E" w:rsidRDefault="00A77B3E">
      <w:pPr>
        <w:spacing w:line="360" w:lineRule="auto"/>
        <w:jc w:val="both"/>
      </w:pPr>
    </w:p>
    <w:p w14:paraId="71946FD6" w14:textId="77777777" w:rsidR="00A77B3E" w:rsidRDefault="004B6445">
      <w:pPr>
        <w:spacing w:line="360" w:lineRule="auto"/>
        <w:jc w:val="both"/>
      </w:pPr>
      <w:r>
        <w:rPr>
          <w:rFonts w:ascii="Book Antiqua" w:eastAsia="Book Antiqua" w:hAnsi="Book Antiqua" w:cs="Book Antiqua"/>
          <w:b/>
          <w:i/>
          <w:color w:val="000000"/>
        </w:rPr>
        <w:t>Research results</w:t>
      </w:r>
    </w:p>
    <w:p w14:paraId="669349F8" w14:textId="77777777" w:rsidR="00A77B3E" w:rsidRDefault="004B6445">
      <w:pPr>
        <w:spacing w:line="360" w:lineRule="auto"/>
        <w:jc w:val="both"/>
      </w:pPr>
      <w:r>
        <w:rPr>
          <w:rFonts w:ascii="Book Antiqua" w:eastAsia="Book Antiqua" w:hAnsi="Book Antiqua" w:cs="Book Antiqua"/>
          <w:color w:val="000000"/>
        </w:rPr>
        <w:t>Twelve randomized clinical trials were included in the final analysis with a total of 1005 patients, of whom 681 belonged to the SEMS group and 542 to the PS group</w:t>
      </w:r>
      <w:r>
        <w:rPr>
          <w:rFonts w:ascii="Book Antiqua" w:eastAsia="Book Antiqua" w:hAnsi="Book Antiqua" w:cs="Book Antiqua"/>
          <w:color w:val="000000"/>
          <w:shd w:val="clear" w:color="auto" w:fill="FFFFFF"/>
        </w:rPr>
        <w:t>. The SEMS group was divided into three subgroups, uncovered metal stent (uSEMS), partially/fully covered (pcSEMS/cSEMS) and the group in which the SEMS was not specified (SEMS not specified</w:t>
      </w:r>
      <w:r>
        <w:rPr>
          <w:rFonts w:ascii="Book Antiqua" w:eastAsia="Book Antiqua" w:hAnsi="Book Antiqua" w:cs="Book Antiqua"/>
          <w:color w:val="000000"/>
        </w:rPr>
        <w:t xml:space="preserve">). SEMS had a lower dysfunction rate than the PS and in the analysis of the subgroups, uSEMS had no difference comparing to PS and pcSEMS/cSEMS was higher. </w:t>
      </w:r>
      <w:r>
        <w:rPr>
          <w:rFonts w:ascii="Book Antiqua" w:eastAsia="Book Antiqua" w:hAnsi="Book Antiqua" w:cs="Book Antiqua"/>
          <w:color w:val="000000"/>
          <w:shd w:val="clear" w:color="auto" w:fill="FFFFFF"/>
        </w:rPr>
        <w:t>Regarding reintervention, SEMS had a lower reintervention rate compared to PS.</w:t>
      </w:r>
      <w:r>
        <w:rPr>
          <w:rFonts w:ascii="Book Antiqua" w:eastAsia="Book Antiqua" w:hAnsi="Book Antiqua" w:cs="Book Antiqua"/>
          <w:color w:val="000000"/>
        </w:rPr>
        <w:t xml:space="preserve"> Concerning duration of patency, SEMS also showed advantage than PS. In the three subgroups of the SEMS, there was longer duration of patency. In the mean survival analysis, there was no difference between SEMS and PS, however, in the analysis of the subgroups, pcSEMS/cSEMS favored over the PS. Regarding complications rate and clinical success were similar in both groups, and have no significant difference.</w:t>
      </w:r>
    </w:p>
    <w:p w14:paraId="3B899838" w14:textId="77777777" w:rsidR="00A77B3E" w:rsidRDefault="00A77B3E">
      <w:pPr>
        <w:spacing w:line="360" w:lineRule="auto"/>
        <w:jc w:val="both"/>
      </w:pPr>
    </w:p>
    <w:p w14:paraId="28A1701E" w14:textId="77777777" w:rsidR="00A77B3E" w:rsidRDefault="004B6445">
      <w:pPr>
        <w:spacing w:line="360" w:lineRule="auto"/>
        <w:jc w:val="both"/>
      </w:pPr>
      <w:r>
        <w:rPr>
          <w:rFonts w:ascii="Book Antiqua" w:eastAsia="Book Antiqua" w:hAnsi="Book Antiqua" w:cs="Book Antiqua"/>
          <w:b/>
          <w:i/>
          <w:color w:val="000000"/>
        </w:rPr>
        <w:t>Research conclusions</w:t>
      </w:r>
    </w:p>
    <w:p w14:paraId="5456E538" w14:textId="77777777" w:rsidR="00A77B3E" w:rsidRDefault="004B6445">
      <w:pPr>
        <w:spacing w:line="360" w:lineRule="auto"/>
        <w:jc w:val="both"/>
      </w:pPr>
      <w:r>
        <w:rPr>
          <w:rFonts w:ascii="Book Antiqua" w:eastAsia="Book Antiqua" w:hAnsi="Book Antiqua" w:cs="Book Antiqua"/>
          <w:color w:val="000000"/>
        </w:rPr>
        <w:t>Our study showed that SEMS presents a higher duration of patency, lower reintervention rate, and lower dysfunction rate when compared to the use of PS. There was no difference between the methods in concern of survival analysis, clinical success and rate of complications.</w:t>
      </w:r>
    </w:p>
    <w:p w14:paraId="24A489A2" w14:textId="77777777" w:rsidR="00A77B3E" w:rsidRDefault="00A77B3E">
      <w:pPr>
        <w:spacing w:line="360" w:lineRule="auto"/>
        <w:jc w:val="both"/>
      </w:pPr>
    </w:p>
    <w:p w14:paraId="5740E218" w14:textId="77777777" w:rsidR="00A77B3E" w:rsidRDefault="004B6445">
      <w:pPr>
        <w:spacing w:line="360" w:lineRule="auto"/>
        <w:jc w:val="both"/>
      </w:pPr>
      <w:r>
        <w:rPr>
          <w:rFonts w:ascii="Book Antiqua" w:eastAsia="Book Antiqua" w:hAnsi="Book Antiqua" w:cs="Book Antiqua"/>
          <w:b/>
          <w:i/>
          <w:color w:val="000000"/>
        </w:rPr>
        <w:t>Research perspectives</w:t>
      </w:r>
    </w:p>
    <w:p w14:paraId="6F2E8F2D" w14:textId="77777777" w:rsidR="00A77B3E" w:rsidRDefault="004B6445">
      <w:pPr>
        <w:spacing w:line="360" w:lineRule="auto"/>
        <w:jc w:val="both"/>
      </w:pPr>
      <w:r>
        <w:rPr>
          <w:rFonts w:ascii="Book Antiqua" w:eastAsia="Book Antiqua" w:hAnsi="Book Antiqua" w:cs="Book Antiqua"/>
          <w:color w:val="000000"/>
        </w:rPr>
        <w:t>The use of SEMS was a great advent in palliative therapy for MDBO. In our study, the use of SEMS revealed even more benefits in most cases. We hope that this study can clarify its benefit and that more patients can be benefited in deciding the type of stent used from here.</w:t>
      </w:r>
    </w:p>
    <w:p w14:paraId="6837B718" w14:textId="77777777" w:rsidR="00A77B3E" w:rsidRDefault="00A77B3E">
      <w:pPr>
        <w:spacing w:line="360" w:lineRule="auto"/>
        <w:jc w:val="both"/>
      </w:pPr>
    </w:p>
    <w:p w14:paraId="3C77F666" w14:textId="77777777" w:rsidR="00A77B3E" w:rsidRDefault="004B6445">
      <w:pPr>
        <w:spacing w:line="360" w:lineRule="auto"/>
        <w:jc w:val="both"/>
      </w:pPr>
      <w:r>
        <w:rPr>
          <w:rFonts w:ascii="Book Antiqua" w:eastAsia="Book Antiqua" w:hAnsi="Book Antiqua" w:cs="Book Antiqua"/>
          <w:b/>
          <w:color w:val="000000"/>
        </w:rPr>
        <w:lastRenderedPageBreak/>
        <w:t>REFERENCES</w:t>
      </w:r>
    </w:p>
    <w:p w14:paraId="49305F72" w14:textId="08206436" w:rsidR="00255F13" w:rsidRPr="00026E39" w:rsidRDefault="00255F13" w:rsidP="00255F13">
      <w:pPr>
        <w:adjustRightInd w:val="0"/>
        <w:snapToGrid w:val="0"/>
        <w:spacing w:line="360" w:lineRule="auto"/>
        <w:jc w:val="both"/>
        <w:rPr>
          <w:rFonts w:ascii="Book Antiqua" w:hAnsi="Book Antiqua"/>
        </w:rPr>
      </w:pPr>
      <w:r w:rsidRPr="002270C8">
        <w:rPr>
          <w:rFonts w:ascii="Book Antiqua" w:hAnsi="Book Antiqua"/>
          <w:highlight w:val="yellow"/>
        </w:rPr>
        <w:t xml:space="preserve">1 </w:t>
      </w:r>
      <w:r w:rsidRPr="002270C8">
        <w:rPr>
          <w:rFonts w:ascii="Book Antiqua" w:hAnsi="Book Antiqua"/>
          <w:b/>
          <w:bCs/>
          <w:highlight w:val="yellow"/>
        </w:rPr>
        <w:t>American Cancer Society</w:t>
      </w:r>
      <w:r w:rsidRPr="002270C8">
        <w:rPr>
          <w:rFonts w:ascii="Book Antiqua" w:hAnsi="Book Antiqua"/>
          <w:highlight w:val="yellow"/>
        </w:rPr>
        <w:t>. Cancer Facts &amp; Figures 2020 [cited  Jan</w:t>
      </w:r>
      <w:r w:rsidR="00297350" w:rsidRPr="002270C8">
        <w:rPr>
          <w:rFonts w:ascii="Book Antiqua" w:hAnsi="Book Antiqua"/>
          <w:highlight w:val="yellow"/>
        </w:rPr>
        <w:t>uary</w:t>
      </w:r>
      <w:r w:rsidRPr="002270C8">
        <w:rPr>
          <w:rFonts w:ascii="Book Antiqua" w:hAnsi="Book Antiqua"/>
          <w:highlight w:val="yellow"/>
        </w:rPr>
        <w:t xml:space="preserve"> 10</w:t>
      </w:r>
      <w:r w:rsidR="00297350" w:rsidRPr="002270C8">
        <w:rPr>
          <w:rFonts w:ascii="Book Antiqua" w:hAnsi="Book Antiqua"/>
          <w:highlight w:val="yellow"/>
        </w:rPr>
        <w:t>, 2021</w:t>
      </w:r>
      <w:r w:rsidRPr="002270C8">
        <w:rPr>
          <w:rFonts w:ascii="Book Antiqua" w:hAnsi="Book Antiqua"/>
          <w:highlight w:val="yellow"/>
        </w:rPr>
        <w:t>]. American Cancer Society [Internet]. Available from: http://www.cancer.org/acs/groups/content/@nho/documents/document/caff2007pwsecuredpdf.pdf</w:t>
      </w:r>
    </w:p>
    <w:p w14:paraId="5FCA6F08"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2 </w:t>
      </w:r>
      <w:r w:rsidRPr="00026E39">
        <w:rPr>
          <w:rFonts w:ascii="Book Antiqua" w:hAnsi="Book Antiqua"/>
          <w:b/>
          <w:bCs/>
        </w:rPr>
        <w:t>Pu LZ</w:t>
      </w:r>
      <w:r w:rsidRPr="00026E39">
        <w:rPr>
          <w:rFonts w:ascii="Book Antiqua" w:hAnsi="Book Antiqua"/>
        </w:rPr>
        <w:t xml:space="preserve">, Singh R, Loong CK, de Moura EG. Malignant Biliary Obstruction: Evidence for Best Practice. </w:t>
      </w:r>
      <w:r w:rsidRPr="00026E39">
        <w:rPr>
          <w:rFonts w:ascii="Book Antiqua" w:hAnsi="Book Antiqua"/>
          <w:i/>
          <w:iCs/>
        </w:rPr>
        <w:t>Gastroenterol Res Pract</w:t>
      </w:r>
      <w:r w:rsidRPr="00026E39">
        <w:rPr>
          <w:rFonts w:ascii="Book Antiqua" w:hAnsi="Book Antiqua"/>
        </w:rPr>
        <w:t xml:space="preserve"> 2016; </w:t>
      </w:r>
      <w:r w:rsidRPr="00026E39">
        <w:rPr>
          <w:rFonts w:ascii="Book Antiqua" w:hAnsi="Book Antiqua"/>
          <w:b/>
          <w:bCs/>
        </w:rPr>
        <w:t>2016</w:t>
      </w:r>
      <w:r w:rsidRPr="00026E39">
        <w:rPr>
          <w:rFonts w:ascii="Book Antiqua" w:hAnsi="Book Antiqua"/>
        </w:rPr>
        <w:t>: 3296801 [PMID: 26981114 DOI: 10.1155/2016/3296801]</w:t>
      </w:r>
    </w:p>
    <w:p w14:paraId="74125ED8"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3 </w:t>
      </w:r>
      <w:r w:rsidRPr="00026E39">
        <w:rPr>
          <w:rFonts w:ascii="Book Antiqua" w:hAnsi="Book Antiqua"/>
          <w:b/>
          <w:bCs/>
        </w:rPr>
        <w:t>Ribeiro IB</w:t>
      </w:r>
      <w:r w:rsidRPr="00026E39">
        <w:rPr>
          <w:rFonts w:ascii="Book Antiqua" w:hAnsi="Book Antiqua"/>
        </w:rPr>
        <w:t xml:space="preserve">, de Moura DTH, Thompson CC, de Moura EGH. Acute abdominal obstruction: Colon stent or emergency surgery? An evidence-based review. </w:t>
      </w:r>
      <w:r w:rsidRPr="00026E39">
        <w:rPr>
          <w:rFonts w:ascii="Book Antiqua" w:hAnsi="Book Antiqua"/>
          <w:i/>
          <w:iCs/>
        </w:rPr>
        <w:t>World J Gastrointest Endosc</w:t>
      </w:r>
      <w:r w:rsidRPr="00026E39">
        <w:rPr>
          <w:rFonts w:ascii="Book Antiqua" w:hAnsi="Book Antiqua"/>
        </w:rPr>
        <w:t xml:space="preserve"> 2019; </w:t>
      </w:r>
      <w:r w:rsidRPr="00026E39">
        <w:rPr>
          <w:rFonts w:ascii="Book Antiqua" w:hAnsi="Book Antiqua"/>
          <w:b/>
          <w:bCs/>
        </w:rPr>
        <w:t>11</w:t>
      </w:r>
      <w:r w:rsidRPr="00026E39">
        <w:rPr>
          <w:rFonts w:ascii="Book Antiqua" w:hAnsi="Book Antiqua"/>
        </w:rPr>
        <w:t>: 193-208 [PMID: 30918585 DOI: 10.4253/wjge.v11.i3.193]</w:t>
      </w:r>
    </w:p>
    <w:p w14:paraId="7FCD759B"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4 </w:t>
      </w:r>
      <w:r w:rsidRPr="00026E39">
        <w:rPr>
          <w:rFonts w:ascii="Book Antiqua" w:hAnsi="Book Antiqua"/>
          <w:b/>
          <w:bCs/>
        </w:rPr>
        <w:t>Minata MK</w:t>
      </w:r>
      <w:r w:rsidRPr="00026E39">
        <w:rPr>
          <w:rFonts w:ascii="Book Antiqua" w:hAnsi="Book Antiqua"/>
        </w:rPr>
        <w:t xml:space="preserve">, Bernardo WM, Rocha RS, Morita FH, Aquino JC, Cheng S, Zilberstein B, Sakai P, de Moura EG. Stents and surgical interventions in the palliation of gastric outlet obstruction: a systematic review. </w:t>
      </w:r>
      <w:r w:rsidRPr="00026E39">
        <w:rPr>
          <w:rFonts w:ascii="Book Antiqua" w:hAnsi="Book Antiqua"/>
          <w:i/>
          <w:iCs/>
        </w:rPr>
        <w:t>Endosc Int Open</w:t>
      </w:r>
      <w:r w:rsidRPr="00026E39">
        <w:rPr>
          <w:rFonts w:ascii="Book Antiqua" w:hAnsi="Book Antiqua"/>
        </w:rPr>
        <w:t xml:space="preserve"> 2016; </w:t>
      </w:r>
      <w:r w:rsidRPr="00026E39">
        <w:rPr>
          <w:rFonts w:ascii="Book Antiqua" w:hAnsi="Book Antiqua"/>
          <w:b/>
          <w:bCs/>
        </w:rPr>
        <w:t>4</w:t>
      </w:r>
      <w:r w:rsidRPr="00026E39">
        <w:rPr>
          <w:rFonts w:ascii="Book Antiqua" w:hAnsi="Book Antiqua"/>
        </w:rPr>
        <w:t>: E1158-E1170 [PMID: 27857965 DOI: 10.1055/s-0042-115935]</w:t>
      </w:r>
    </w:p>
    <w:p w14:paraId="0825C64E"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5 </w:t>
      </w:r>
      <w:r w:rsidRPr="00026E39">
        <w:rPr>
          <w:rFonts w:ascii="Book Antiqua" w:hAnsi="Book Antiqua"/>
          <w:b/>
          <w:bCs/>
        </w:rPr>
        <w:t>Upchurch E</w:t>
      </w:r>
      <w:r w:rsidRPr="00026E39">
        <w:rPr>
          <w:rFonts w:ascii="Book Antiqua" w:hAnsi="Book Antiqua"/>
        </w:rPr>
        <w:t xml:space="preserve">, Ragusa M, Cirocchi R. Stent placement versus surgical palliation for adults with malignant gastric outlet obstruction. </w:t>
      </w:r>
      <w:r w:rsidRPr="00026E39">
        <w:rPr>
          <w:rFonts w:ascii="Book Antiqua" w:hAnsi="Book Antiqua"/>
          <w:i/>
          <w:iCs/>
        </w:rPr>
        <w:t>Cochrane Database Syst Rev</w:t>
      </w:r>
      <w:r w:rsidRPr="00026E39">
        <w:rPr>
          <w:rFonts w:ascii="Book Antiqua" w:hAnsi="Book Antiqua"/>
        </w:rPr>
        <w:t xml:space="preserve"> 2018; </w:t>
      </w:r>
      <w:r w:rsidRPr="00026E39">
        <w:rPr>
          <w:rFonts w:ascii="Book Antiqua" w:hAnsi="Book Antiqua"/>
          <w:b/>
          <w:bCs/>
        </w:rPr>
        <w:t>5</w:t>
      </w:r>
      <w:r w:rsidRPr="00026E39">
        <w:rPr>
          <w:rFonts w:ascii="Book Antiqua" w:hAnsi="Book Antiqua"/>
        </w:rPr>
        <w:t>: CD012506 [PMID: 29845610 DOI: 10.1002/14651858.CD012506.pub2]</w:t>
      </w:r>
    </w:p>
    <w:p w14:paraId="2C354FB7"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6 </w:t>
      </w:r>
      <w:r w:rsidRPr="00026E39">
        <w:rPr>
          <w:rFonts w:ascii="Book Antiqua" w:hAnsi="Book Antiqua"/>
          <w:b/>
          <w:bCs/>
        </w:rPr>
        <w:t>Visconti TAC</w:t>
      </w:r>
      <w:r w:rsidRPr="00026E39">
        <w:rPr>
          <w:rFonts w:ascii="Book Antiqua" w:hAnsi="Book Antiqua"/>
        </w:rPr>
        <w:t xml:space="preserve">, Bernardo WM, Moura DTH, Moura ETH, Gonçalves CVT, Farias GF, Guedes HG, Ribeiro IB, Franzini TP, Luz GO, Dos Santos MEDL, de Moura EGH. Metallic vs plastic stents to treat biliary stricture after liver transplantation: a systematic review and meta-analysis based on randomized trials. </w:t>
      </w:r>
      <w:r w:rsidRPr="00026E39">
        <w:rPr>
          <w:rFonts w:ascii="Book Antiqua" w:hAnsi="Book Antiqua"/>
          <w:i/>
          <w:iCs/>
        </w:rPr>
        <w:t>Endosc Int Open</w:t>
      </w:r>
      <w:r w:rsidRPr="00026E39">
        <w:rPr>
          <w:rFonts w:ascii="Book Antiqua" w:hAnsi="Book Antiqua"/>
        </w:rPr>
        <w:t xml:space="preserve"> 2018; </w:t>
      </w:r>
      <w:r w:rsidRPr="00026E39">
        <w:rPr>
          <w:rFonts w:ascii="Book Antiqua" w:hAnsi="Book Antiqua"/>
          <w:b/>
          <w:bCs/>
        </w:rPr>
        <w:t>6</w:t>
      </w:r>
      <w:r w:rsidRPr="00026E39">
        <w:rPr>
          <w:rFonts w:ascii="Book Antiqua" w:hAnsi="Book Antiqua"/>
        </w:rPr>
        <w:t>: E914-E923 [PMID: 30258982 DOI: 10.1055/a-0626-7048]</w:t>
      </w:r>
    </w:p>
    <w:p w14:paraId="143FEDDC"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7 </w:t>
      </w:r>
      <w:r w:rsidRPr="00026E39">
        <w:rPr>
          <w:rFonts w:ascii="Book Antiqua" w:hAnsi="Book Antiqua"/>
          <w:b/>
          <w:bCs/>
        </w:rPr>
        <w:t>Soehendra N</w:t>
      </w:r>
      <w:r w:rsidRPr="00026E39">
        <w:rPr>
          <w:rFonts w:ascii="Book Antiqua" w:hAnsi="Book Antiqua"/>
        </w:rPr>
        <w:t xml:space="preserve">, Reynders-Frederix V. [Palliative biliary duct drainage. A new method for endoscopic introduction of a new drain]. </w:t>
      </w:r>
      <w:r w:rsidRPr="00026E39">
        <w:rPr>
          <w:rFonts w:ascii="Book Antiqua" w:hAnsi="Book Antiqua"/>
          <w:i/>
          <w:iCs/>
        </w:rPr>
        <w:t>Dtsch Med Wochenschr</w:t>
      </w:r>
      <w:r w:rsidRPr="00026E39">
        <w:rPr>
          <w:rFonts w:ascii="Book Antiqua" w:hAnsi="Book Antiqua"/>
        </w:rPr>
        <w:t xml:space="preserve"> 1979; </w:t>
      </w:r>
      <w:r w:rsidRPr="00026E39">
        <w:rPr>
          <w:rFonts w:ascii="Book Antiqua" w:hAnsi="Book Antiqua"/>
          <w:b/>
          <w:bCs/>
        </w:rPr>
        <w:t>104</w:t>
      </w:r>
      <w:r w:rsidRPr="00026E39">
        <w:rPr>
          <w:rFonts w:ascii="Book Antiqua" w:hAnsi="Book Antiqua"/>
        </w:rPr>
        <w:t>: 206-207 [PMID: 84736 DOI: 10.1055/s-0028-1103870]</w:t>
      </w:r>
    </w:p>
    <w:p w14:paraId="7394C43F"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8 </w:t>
      </w:r>
      <w:r w:rsidRPr="00026E39">
        <w:rPr>
          <w:rFonts w:ascii="Book Antiqua" w:hAnsi="Book Antiqua"/>
          <w:b/>
          <w:bCs/>
        </w:rPr>
        <w:t>Dumonceau JM</w:t>
      </w:r>
      <w:r w:rsidRPr="00026E39">
        <w:rPr>
          <w:rFonts w:ascii="Book Antiqua" w:hAnsi="Book Antiqua"/>
        </w:rPr>
        <w:t xml:space="preserve">, Tringali A, Papanikolaou IS, Blero D, Mangiavillano B, Schmidt A, Vanbiervliet G, Costamagna G, Devière J, García-Cano J, Gyökeres T, Hassan C, Prat F, Siersema PD, van Hooft JE. Endoscopic biliary stenting: indications, choice of stents, and results: European Society of Gastrointestinal Endoscopy (ESGE) Clinical Guideline - </w:t>
      </w:r>
      <w:r w:rsidRPr="00026E39">
        <w:rPr>
          <w:rFonts w:ascii="Book Antiqua" w:hAnsi="Book Antiqua"/>
        </w:rPr>
        <w:lastRenderedPageBreak/>
        <w:t xml:space="preserve">Updated October 2017. </w:t>
      </w:r>
      <w:r w:rsidRPr="00026E39">
        <w:rPr>
          <w:rFonts w:ascii="Book Antiqua" w:hAnsi="Book Antiqua"/>
          <w:i/>
          <w:iCs/>
        </w:rPr>
        <w:t>Endoscopy</w:t>
      </w:r>
      <w:r w:rsidRPr="00026E39">
        <w:rPr>
          <w:rFonts w:ascii="Book Antiqua" w:hAnsi="Book Antiqua"/>
        </w:rPr>
        <w:t xml:space="preserve"> 2018; </w:t>
      </w:r>
      <w:r w:rsidRPr="00026E39">
        <w:rPr>
          <w:rFonts w:ascii="Book Antiqua" w:hAnsi="Book Antiqua"/>
          <w:b/>
          <w:bCs/>
        </w:rPr>
        <w:t>50</w:t>
      </w:r>
      <w:r w:rsidRPr="00026E39">
        <w:rPr>
          <w:rFonts w:ascii="Book Antiqua" w:hAnsi="Book Antiqua"/>
        </w:rPr>
        <w:t>: 910-930 [PMID: 30086596 DOI: 10.1055/a-0659-9864]</w:t>
      </w:r>
    </w:p>
    <w:p w14:paraId="2D398EFD"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9 </w:t>
      </w:r>
      <w:r w:rsidRPr="00026E39">
        <w:rPr>
          <w:rFonts w:ascii="Book Antiqua" w:hAnsi="Book Antiqua"/>
          <w:b/>
          <w:bCs/>
        </w:rPr>
        <w:t>Wang CC</w:t>
      </w:r>
      <w:r w:rsidRPr="00026E39">
        <w:rPr>
          <w:rFonts w:ascii="Book Antiqua" w:hAnsi="Book Antiqua"/>
        </w:rPr>
        <w:t xml:space="preserve">, Yang TW, Sung WW, Tsai MC. Current Endoscopic Management of Malignant Biliary Stricture. </w:t>
      </w:r>
      <w:r w:rsidRPr="00026E39">
        <w:rPr>
          <w:rFonts w:ascii="Book Antiqua" w:hAnsi="Book Antiqua"/>
          <w:i/>
          <w:iCs/>
        </w:rPr>
        <w:t>Medicina (Kaunas)</w:t>
      </w:r>
      <w:r w:rsidRPr="00026E39">
        <w:rPr>
          <w:rFonts w:ascii="Book Antiqua" w:hAnsi="Book Antiqua"/>
        </w:rPr>
        <w:t xml:space="preserve"> 2020; </w:t>
      </w:r>
      <w:r w:rsidRPr="00026E39">
        <w:rPr>
          <w:rFonts w:ascii="Book Antiqua" w:hAnsi="Book Antiqua"/>
          <w:b/>
          <w:bCs/>
        </w:rPr>
        <w:t>56</w:t>
      </w:r>
      <w:r w:rsidRPr="00026E39">
        <w:rPr>
          <w:rFonts w:ascii="Book Antiqua" w:hAnsi="Book Antiqua"/>
        </w:rPr>
        <w:t xml:space="preserve"> [PMID: 32151099 DOI: 10.3390/medicina56030114]</w:t>
      </w:r>
    </w:p>
    <w:p w14:paraId="142F3B2E"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10 </w:t>
      </w:r>
      <w:r w:rsidRPr="00026E39">
        <w:rPr>
          <w:rFonts w:ascii="Book Antiqua" w:hAnsi="Book Antiqua"/>
          <w:b/>
          <w:bCs/>
        </w:rPr>
        <w:t>Walter D</w:t>
      </w:r>
      <w:r w:rsidRPr="00026E39">
        <w:rPr>
          <w:rFonts w:ascii="Book Antiqua" w:hAnsi="Book Antiqua"/>
        </w:rPr>
        <w:t xml:space="preserve">, van Boeckel PG, Groenen MJ, Weusten BL, Witteman BJ, Tan G, Brink MA, Nicolai J, Tan AC, Alderliesten J, Venneman NG, Laleman W, Jansen JM, Bodelier A, Wolters FL, van der Waaij LA, Breumelhof R, Peters FT, Scheffer RC, Leenders M, Hirdes MM, Steyerberg EW, Vleggaar FP, Siersema PD. Cost Efficacy of Metal Stents for Palliation of Extrahepatic Bile Duct Obstruction in a Randomized Controlled Trial. </w:t>
      </w:r>
      <w:r w:rsidRPr="00026E39">
        <w:rPr>
          <w:rFonts w:ascii="Book Antiqua" w:hAnsi="Book Antiqua"/>
          <w:i/>
          <w:iCs/>
        </w:rPr>
        <w:t>Gastroenterology</w:t>
      </w:r>
      <w:r w:rsidRPr="00026E39">
        <w:rPr>
          <w:rFonts w:ascii="Book Antiqua" w:hAnsi="Book Antiqua"/>
        </w:rPr>
        <w:t xml:space="preserve"> 2015; </w:t>
      </w:r>
      <w:r w:rsidRPr="00026E39">
        <w:rPr>
          <w:rFonts w:ascii="Book Antiqua" w:hAnsi="Book Antiqua"/>
          <w:b/>
          <w:bCs/>
        </w:rPr>
        <w:t>149</w:t>
      </w:r>
      <w:r w:rsidRPr="00026E39">
        <w:rPr>
          <w:rFonts w:ascii="Book Antiqua" w:hAnsi="Book Antiqua"/>
        </w:rPr>
        <w:t>: 130-138 [PMID: 25790742 DOI: 10.1053/j.gastro.2015.03.012]</w:t>
      </w:r>
    </w:p>
    <w:p w14:paraId="72FE212F"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11 </w:t>
      </w:r>
      <w:r w:rsidRPr="00026E39">
        <w:rPr>
          <w:rFonts w:ascii="Book Antiqua" w:hAnsi="Book Antiqua"/>
          <w:b/>
          <w:bCs/>
        </w:rPr>
        <w:t>Walter D</w:t>
      </w:r>
      <w:r w:rsidRPr="00026E39">
        <w:rPr>
          <w:rFonts w:ascii="Book Antiqua" w:hAnsi="Book Antiqua"/>
        </w:rPr>
        <w:t xml:space="preserve">, van Boeckel PG, Groenen MJ, Weusten BL, Witteman BJ, Tan G, Brink MA, Nicolai J, Tan AC, Alderliesten J, Venneman NG, Laleman W, Jansen JM, Bodelier A, Wolters FL, van der Waaij LA, Breumelhof R, Peters FT, Scheffer RC, Steyerberg EW, May AM, Leenders M, Hirdes MM, Vleggaar FP, Siersema PD. Higher quality of life after metal stent placement compared with plastic stent placement for malignant extrahepatic bile duct obstruction: a randomized controlled trial. </w:t>
      </w:r>
      <w:r w:rsidRPr="00026E39">
        <w:rPr>
          <w:rFonts w:ascii="Book Antiqua" w:hAnsi="Book Antiqua"/>
          <w:i/>
          <w:iCs/>
        </w:rPr>
        <w:t>Eur J Gastroenterol Hepatol</w:t>
      </w:r>
      <w:r w:rsidRPr="00026E39">
        <w:rPr>
          <w:rFonts w:ascii="Book Antiqua" w:hAnsi="Book Antiqua"/>
        </w:rPr>
        <w:t xml:space="preserve"> 2017; </w:t>
      </w:r>
      <w:r w:rsidRPr="00026E39">
        <w:rPr>
          <w:rFonts w:ascii="Book Antiqua" w:hAnsi="Book Antiqua"/>
          <w:b/>
          <w:bCs/>
        </w:rPr>
        <w:t>29</w:t>
      </w:r>
      <w:r w:rsidRPr="00026E39">
        <w:rPr>
          <w:rFonts w:ascii="Book Antiqua" w:hAnsi="Book Antiqua"/>
        </w:rPr>
        <w:t>: 231-237 [PMID: 27741030 DOI: 10.1097/MEG.0000000000000762]</w:t>
      </w:r>
    </w:p>
    <w:p w14:paraId="1A4C013C"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12 </w:t>
      </w:r>
      <w:r w:rsidRPr="00026E39">
        <w:rPr>
          <w:rFonts w:ascii="Book Antiqua" w:hAnsi="Book Antiqua"/>
          <w:b/>
          <w:bCs/>
        </w:rPr>
        <w:t>Schmidt A</w:t>
      </w:r>
      <w:r w:rsidRPr="00026E39">
        <w:rPr>
          <w:rFonts w:ascii="Book Antiqua" w:hAnsi="Book Antiqua"/>
        </w:rPr>
        <w:t xml:space="preserve">, Riecken B, Rische S, Klinger C, Jakobs R, Bechtler M, Kähler G, Dormann A, Caca K. Wing-shaped plastic stents vs. self-expandable metal stents for palliative drainage of malignant distal biliary obstruction: a randomized multicenter study. </w:t>
      </w:r>
      <w:r w:rsidRPr="00026E39">
        <w:rPr>
          <w:rFonts w:ascii="Book Antiqua" w:hAnsi="Book Antiqua"/>
          <w:i/>
          <w:iCs/>
        </w:rPr>
        <w:t>Endoscopy</w:t>
      </w:r>
      <w:r w:rsidRPr="00026E39">
        <w:rPr>
          <w:rFonts w:ascii="Book Antiqua" w:hAnsi="Book Antiqua"/>
        </w:rPr>
        <w:t xml:space="preserve"> 2015; </w:t>
      </w:r>
      <w:r w:rsidRPr="00026E39">
        <w:rPr>
          <w:rFonts w:ascii="Book Antiqua" w:hAnsi="Book Antiqua"/>
          <w:b/>
          <w:bCs/>
        </w:rPr>
        <w:t>47</w:t>
      </w:r>
      <w:r w:rsidRPr="00026E39">
        <w:rPr>
          <w:rFonts w:ascii="Book Antiqua" w:hAnsi="Book Antiqua"/>
        </w:rPr>
        <w:t>: 430-436 [PMID: 25590188 DOI: 10.1055/s-0034-1391232]</w:t>
      </w:r>
    </w:p>
    <w:p w14:paraId="70D829B2"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13 </w:t>
      </w:r>
      <w:r w:rsidRPr="00026E39">
        <w:rPr>
          <w:rFonts w:ascii="Book Antiqua" w:hAnsi="Book Antiqua"/>
          <w:b/>
          <w:bCs/>
        </w:rPr>
        <w:t>Moses PL</w:t>
      </w:r>
      <w:r w:rsidRPr="00026E39">
        <w:rPr>
          <w:rFonts w:ascii="Book Antiqua" w:hAnsi="Book Antiqua"/>
        </w:rPr>
        <w:t xml:space="preserve">, Alnaamani KM, Barkun AN, Gordon SR, Mitty RD, Branch MS, Kowalski TE, Martel M, Adam V. Randomized trial in malignant biliary obstruction: plastic vs partially covered metal stents. </w:t>
      </w:r>
      <w:r w:rsidRPr="00026E39">
        <w:rPr>
          <w:rFonts w:ascii="Book Antiqua" w:hAnsi="Book Antiqua"/>
          <w:i/>
          <w:iCs/>
        </w:rPr>
        <w:t>World J Gastroenterol</w:t>
      </w:r>
      <w:r w:rsidRPr="00026E39">
        <w:rPr>
          <w:rFonts w:ascii="Book Antiqua" w:hAnsi="Book Antiqua"/>
        </w:rPr>
        <w:t xml:space="preserve"> 2013; </w:t>
      </w:r>
      <w:r w:rsidRPr="00026E39">
        <w:rPr>
          <w:rFonts w:ascii="Book Antiqua" w:hAnsi="Book Antiqua"/>
          <w:b/>
          <w:bCs/>
        </w:rPr>
        <w:t>19</w:t>
      </w:r>
      <w:r w:rsidRPr="00026E39">
        <w:rPr>
          <w:rFonts w:ascii="Book Antiqua" w:hAnsi="Book Antiqua"/>
        </w:rPr>
        <w:t>: 8638-8646 [PMID: 24379581 DOI: 10.3748/wjg.v19.i46.8638]</w:t>
      </w:r>
    </w:p>
    <w:p w14:paraId="2FC475C5"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14 </w:t>
      </w:r>
      <w:r w:rsidRPr="00026E39">
        <w:rPr>
          <w:rFonts w:ascii="Book Antiqua" w:hAnsi="Book Antiqua"/>
          <w:b/>
          <w:bCs/>
        </w:rPr>
        <w:t>Prat F</w:t>
      </w:r>
      <w:r w:rsidRPr="00026E39">
        <w:rPr>
          <w:rFonts w:ascii="Book Antiqua" w:hAnsi="Book Antiqua"/>
        </w:rPr>
        <w:t xml:space="preserve">, Chapat O, Ducot B, Ponchon T, Pelletier G, Fritsch J, Choury AD, Buffet C. A randomized trial of endoscopic drainage methods for inoperable malignant strictures of the common bile duct. </w:t>
      </w:r>
      <w:r w:rsidRPr="00026E39">
        <w:rPr>
          <w:rFonts w:ascii="Book Antiqua" w:hAnsi="Book Antiqua"/>
          <w:i/>
          <w:iCs/>
        </w:rPr>
        <w:t>Gastrointest Endosc</w:t>
      </w:r>
      <w:r w:rsidRPr="00026E39">
        <w:rPr>
          <w:rFonts w:ascii="Book Antiqua" w:hAnsi="Book Antiqua"/>
        </w:rPr>
        <w:t xml:space="preserve"> 1998; </w:t>
      </w:r>
      <w:r w:rsidRPr="00026E39">
        <w:rPr>
          <w:rFonts w:ascii="Book Antiqua" w:hAnsi="Book Antiqua"/>
          <w:b/>
          <w:bCs/>
        </w:rPr>
        <w:t>47</w:t>
      </w:r>
      <w:r w:rsidRPr="00026E39">
        <w:rPr>
          <w:rFonts w:ascii="Book Antiqua" w:hAnsi="Book Antiqua"/>
        </w:rPr>
        <w:t>: 1-7 [PMID: 9468416 DOI: 10.1016/s0016-5107(98)70291-3]</w:t>
      </w:r>
    </w:p>
    <w:p w14:paraId="1EE6D3D2"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lastRenderedPageBreak/>
        <w:t xml:space="preserve">15 </w:t>
      </w:r>
      <w:r w:rsidRPr="00026E39">
        <w:rPr>
          <w:rFonts w:ascii="Book Antiqua" w:hAnsi="Book Antiqua"/>
          <w:b/>
          <w:bCs/>
        </w:rPr>
        <w:t>Davids PH</w:t>
      </w:r>
      <w:r w:rsidRPr="00026E39">
        <w:rPr>
          <w:rFonts w:ascii="Book Antiqua" w:hAnsi="Book Antiqua"/>
        </w:rPr>
        <w:t xml:space="preserve">, Groen AK, Rauws EA, Tytgat GN, Huibregtse K. Randomised trial of self-expanding metal stents versus polyethylene stents for distal malignant biliary obstruction. </w:t>
      </w:r>
      <w:r w:rsidRPr="00026E39">
        <w:rPr>
          <w:rFonts w:ascii="Book Antiqua" w:hAnsi="Book Antiqua"/>
          <w:i/>
          <w:iCs/>
        </w:rPr>
        <w:t>Lancet</w:t>
      </w:r>
      <w:r w:rsidRPr="00026E39">
        <w:rPr>
          <w:rFonts w:ascii="Book Antiqua" w:hAnsi="Book Antiqua"/>
        </w:rPr>
        <w:t xml:space="preserve"> 1992; </w:t>
      </w:r>
      <w:r w:rsidRPr="00026E39">
        <w:rPr>
          <w:rFonts w:ascii="Book Antiqua" w:hAnsi="Book Antiqua"/>
          <w:b/>
          <w:bCs/>
        </w:rPr>
        <w:t>340</w:t>
      </w:r>
      <w:r w:rsidRPr="00026E39">
        <w:rPr>
          <w:rFonts w:ascii="Book Antiqua" w:hAnsi="Book Antiqua"/>
        </w:rPr>
        <w:t>: 1488-1492 [PMID: 1281903 DOI: 10.1016/0140-6736(92)92752-2]</w:t>
      </w:r>
    </w:p>
    <w:p w14:paraId="1858DD2F"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16 </w:t>
      </w:r>
      <w:r w:rsidRPr="00026E39">
        <w:rPr>
          <w:rFonts w:ascii="Book Antiqua" w:hAnsi="Book Antiqua"/>
          <w:b/>
          <w:bCs/>
        </w:rPr>
        <w:t>Soderlund C</w:t>
      </w:r>
      <w:r w:rsidRPr="00026E39">
        <w:rPr>
          <w:rFonts w:ascii="Book Antiqua" w:hAnsi="Book Antiqua"/>
        </w:rPr>
        <w:t xml:space="preserve">, Linder S. Covered metal versus plastic stents for malignant common bile duct stenosis: a prospective, randomized, controlled trial. </w:t>
      </w:r>
      <w:r w:rsidRPr="00026E39">
        <w:rPr>
          <w:rFonts w:ascii="Book Antiqua" w:hAnsi="Book Antiqua"/>
          <w:i/>
          <w:iCs/>
        </w:rPr>
        <w:t>Gastrointest Endosc</w:t>
      </w:r>
      <w:r w:rsidRPr="00026E39">
        <w:rPr>
          <w:rFonts w:ascii="Book Antiqua" w:hAnsi="Book Antiqua"/>
        </w:rPr>
        <w:t xml:space="preserve"> 2006; </w:t>
      </w:r>
      <w:r w:rsidRPr="00026E39">
        <w:rPr>
          <w:rFonts w:ascii="Book Antiqua" w:hAnsi="Book Antiqua"/>
          <w:b/>
          <w:bCs/>
        </w:rPr>
        <w:t>63</w:t>
      </w:r>
      <w:r w:rsidRPr="00026E39">
        <w:rPr>
          <w:rFonts w:ascii="Book Antiqua" w:hAnsi="Book Antiqua"/>
        </w:rPr>
        <w:t>: 986-995 [PMID: 16733114 DOI: 10.1016/j.gie.2005.11.052]</w:t>
      </w:r>
    </w:p>
    <w:p w14:paraId="242A08E7"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17 </w:t>
      </w:r>
      <w:r w:rsidRPr="00026E39">
        <w:rPr>
          <w:rFonts w:ascii="Book Antiqua" w:hAnsi="Book Antiqua"/>
          <w:b/>
          <w:bCs/>
        </w:rPr>
        <w:t>Bernon MM</w:t>
      </w:r>
      <w:r w:rsidRPr="00026E39">
        <w:rPr>
          <w:rFonts w:ascii="Book Antiqua" w:hAnsi="Book Antiqua"/>
        </w:rPr>
        <w:t xml:space="preserve">, Shaw J, Burmeister S, Chinnery G, Hofmeyr S, Kloppers JC, Jonas E, Krige JE. Distal malignant biliary obstruction: a prospective randomised trial comparing plastic and uncovered self-expanding metal stents in the palliation of symptomatic jaundice. </w:t>
      </w:r>
      <w:r w:rsidRPr="00026E39">
        <w:rPr>
          <w:rFonts w:ascii="Book Antiqua" w:hAnsi="Book Antiqua"/>
          <w:i/>
          <w:iCs/>
        </w:rPr>
        <w:t>S Afr J Surg</w:t>
      </w:r>
      <w:r w:rsidRPr="00026E39">
        <w:rPr>
          <w:rFonts w:ascii="Book Antiqua" w:hAnsi="Book Antiqua"/>
        </w:rPr>
        <w:t xml:space="preserve"> 2018; </w:t>
      </w:r>
      <w:r w:rsidRPr="00026E39">
        <w:rPr>
          <w:rFonts w:ascii="Book Antiqua" w:hAnsi="Book Antiqua"/>
          <w:b/>
          <w:bCs/>
        </w:rPr>
        <w:t>56</w:t>
      </w:r>
      <w:r w:rsidRPr="00026E39">
        <w:rPr>
          <w:rFonts w:ascii="Book Antiqua" w:hAnsi="Book Antiqua"/>
        </w:rPr>
        <w:t>: 30-34 [PMID: 29638090]</w:t>
      </w:r>
    </w:p>
    <w:p w14:paraId="7BA43B90"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18 </w:t>
      </w:r>
      <w:r w:rsidRPr="00026E39">
        <w:rPr>
          <w:rFonts w:ascii="Book Antiqua" w:hAnsi="Book Antiqua"/>
          <w:b/>
          <w:bCs/>
        </w:rPr>
        <w:t>Isayama H</w:t>
      </w:r>
      <w:r w:rsidRPr="00026E39">
        <w:rPr>
          <w:rFonts w:ascii="Book Antiqua" w:hAnsi="Book Antiqua"/>
        </w:rPr>
        <w:t xml:space="preserve">, Yasuda I, Ryozawa S, Maguchi H, Igarashi Y, Matsuyama Y, Katanuma A, Hasebe O, Irisawa A, Itoi T, Mukai H, Arisaka Y, Okushima K, Uno K, Kida M, Tamada K. Results of a Japanese multicenter, randomized trial of endoscopic stenting for non-resectable pancreatic head cancer (JM-test): Covered Wallstent versus DoubleLayer stent. </w:t>
      </w:r>
      <w:r w:rsidRPr="00026E39">
        <w:rPr>
          <w:rFonts w:ascii="Book Antiqua" w:hAnsi="Book Antiqua"/>
          <w:i/>
          <w:iCs/>
        </w:rPr>
        <w:t>Dig Endosc</w:t>
      </w:r>
      <w:r w:rsidRPr="00026E39">
        <w:rPr>
          <w:rFonts w:ascii="Book Antiqua" w:hAnsi="Book Antiqua"/>
        </w:rPr>
        <w:t xml:space="preserve"> 2011; </w:t>
      </w:r>
      <w:r w:rsidRPr="00026E39">
        <w:rPr>
          <w:rFonts w:ascii="Book Antiqua" w:hAnsi="Book Antiqua"/>
          <w:b/>
          <w:bCs/>
        </w:rPr>
        <w:t>23</w:t>
      </w:r>
      <w:r w:rsidRPr="00026E39">
        <w:rPr>
          <w:rFonts w:ascii="Book Antiqua" w:hAnsi="Book Antiqua"/>
        </w:rPr>
        <w:t>: 310-315 [PMID: 21951091 DOI: 10.1111/j.1443-1661.2011.01124.x]</w:t>
      </w:r>
    </w:p>
    <w:p w14:paraId="668E059C"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19 </w:t>
      </w:r>
      <w:r w:rsidRPr="00026E39">
        <w:rPr>
          <w:rFonts w:ascii="Book Antiqua" w:hAnsi="Book Antiqua"/>
          <w:b/>
          <w:bCs/>
        </w:rPr>
        <w:t>Kaassis M</w:t>
      </w:r>
      <w:r w:rsidRPr="00026E39">
        <w:rPr>
          <w:rFonts w:ascii="Book Antiqua" w:hAnsi="Book Antiqua"/>
        </w:rPr>
        <w:t xml:space="preserve">, Boyer J, Dumas R, Ponchon T, Coumaros D, Delcenserie R, Canard JM, Fritsch J, Rey JF, Burtin P. Plastic or metal stents for malignant stricture of the common bile duct? Results of a randomized prospective study. </w:t>
      </w:r>
      <w:r w:rsidRPr="00026E39">
        <w:rPr>
          <w:rFonts w:ascii="Book Antiqua" w:hAnsi="Book Antiqua"/>
          <w:i/>
          <w:iCs/>
        </w:rPr>
        <w:t>Gastrointest Endosc</w:t>
      </w:r>
      <w:r w:rsidRPr="00026E39">
        <w:rPr>
          <w:rFonts w:ascii="Book Antiqua" w:hAnsi="Book Antiqua"/>
        </w:rPr>
        <w:t xml:space="preserve"> 2003; </w:t>
      </w:r>
      <w:r w:rsidRPr="00026E39">
        <w:rPr>
          <w:rFonts w:ascii="Book Antiqua" w:hAnsi="Book Antiqua"/>
          <w:b/>
          <w:bCs/>
        </w:rPr>
        <w:t>57</w:t>
      </w:r>
      <w:r w:rsidRPr="00026E39">
        <w:rPr>
          <w:rFonts w:ascii="Book Antiqua" w:hAnsi="Book Antiqua"/>
        </w:rPr>
        <w:t>: 178-182 [PMID: 12556780 DOI: 10.1067/mge.2003.66]</w:t>
      </w:r>
    </w:p>
    <w:p w14:paraId="717A2D13"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20 </w:t>
      </w:r>
      <w:r w:rsidRPr="00026E39">
        <w:rPr>
          <w:rFonts w:ascii="Book Antiqua" w:hAnsi="Book Antiqua"/>
          <w:b/>
          <w:bCs/>
        </w:rPr>
        <w:t>Katsinelos P</w:t>
      </w:r>
      <w:r w:rsidRPr="00026E39">
        <w:rPr>
          <w:rFonts w:ascii="Book Antiqua" w:hAnsi="Book Antiqua"/>
        </w:rPr>
        <w:t xml:space="preserve">, Paikos D, Kountouras J, Chatzimavroudis G, Paroutoglou G, Moschos I, Gatopoulou A, Beltsis A, Zavos C, Papaziogas B. Tannenbaum and metal stents in the palliative treatment of malignant distal bile duct obstruction: a comparative study of patency and cost effectiveness. </w:t>
      </w:r>
      <w:r w:rsidRPr="00026E39">
        <w:rPr>
          <w:rFonts w:ascii="Book Antiqua" w:hAnsi="Book Antiqua"/>
          <w:i/>
          <w:iCs/>
        </w:rPr>
        <w:t>Surg Endosc</w:t>
      </w:r>
      <w:r w:rsidRPr="00026E39">
        <w:rPr>
          <w:rFonts w:ascii="Book Antiqua" w:hAnsi="Book Antiqua"/>
        </w:rPr>
        <w:t xml:space="preserve"> 2006; </w:t>
      </w:r>
      <w:r w:rsidRPr="00026E39">
        <w:rPr>
          <w:rFonts w:ascii="Book Antiqua" w:hAnsi="Book Antiqua"/>
          <w:b/>
          <w:bCs/>
        </w:rPr>
        <w:t>20</w:t>
      </w:r>
      <w:r w:rsidRPr="00026E39">
        <w:rPr>
          <w:rFonts w:ascii="Book Antiqua" w:hAnsi="Book Antiqua"/>
        </w:rPr>
        <w:t>: 1587-1593 [PMID: 16897286 DOI: 10.1007/s00464-005-0778-1]</w:t>
      </w:r>
    </w:p>
    <w:p w14:paraId="77203852"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21 </w:t>
      </w:r>
      <w:r w:rsidRPr="00026E39">
        <w:rPr>
          <w:rFonts w:ascii="Book Antiqua" w:hAnsi="Book Antiqua"/>
          <w:b/>
          <w:bCs/>
        </w:rPr>
        <w:t>Knyrim K</w:t>
      </w:r>
      <w:r w:rsidRPr="00026E39">
        <w:rPr>
          <w:rFonts w:ascii="Book Antiqua" w:hAnsi="Book Antiqua"/>
        </w:rPr>
        <w:t xml:space="preserve">, Wagner HJ, Pausch J, Vakil N. A prospective, randomized, controlled trial of metal stents for malignant obstruction of the common bile duct. </w:t>
      </w:r>
      <w:r w:rsidRPr="00026E39">
        <w:rPr>
          <w:rFonts w:ascii="Book Antiqua" w:hAnsi="Book Antiqua"/>
          <w:i/>
          <w:iCs/>
        </w:rPr>
        <w:t>Endoscopy</w:t>
      </w:r>
      <w:r w:rsidRPr="00026E39">
        <w:rPr>
          <w:rFonts w:ascii="Book Antiqua" w:hAnsi="Book Antiqua"/>
        </w:rPr>
        <w:t xml:space="preserve"> 1993; </w:t>
      </w:r>
      <w:r w:rsidRPr="00026E39">
        <w:rPr>
          <w:rFonts w:ascii="Book Antiqua" w:hAnsi="Book Antiqua"/>
          <w:b/>
          <w:bCs/>
        </w:rPr>
        <w:t>25</w:t>
      </w:r>
      <w:r w:rsidRPr="00026E39">
        <w:rPr>
          <w:rFonts w:ascii="Book Antiqua" w:hAnsi="Book Antiqua"/>
        </w:rPr>
        <w:t>: 207-212 [PMID: 8519239 DOI: 10.1055/s-2007-1010294]</w:t>
      </w:r>
    </w:p>
    <w:p w14:paraId="2A1D9CE6"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22 </w:t>
      </w:r>
      <w:r w:rsidRPr="00026E39">
        <w:rPr>
          <w:rFonts w:ascii="Book Antiqua" w:hAnsi="Book Antiqua"/>
          <w:b/>
          <w:bCs/>
        </w:rPr>
        <w:t>Moss AC</w:t>
      </w:r>
      <w:r w:rsidRPr="00026E39">
        <w:rPr>
          <w:rFonts w:ascii="Book Antiqua" w:hAnsi="Book Antiqua"/>
        </w:rPr>
        <w:t xml:space="preserve">, Morris E, Leyden J, MacMathuna P. Do the benefits of metal stents justify the costs? A systematic review and meta-analysis of trials comparing endoscopic stents </w:t>
      </w:r>
      <w:r w:rsidRPr="00026E39">
        <w:rPr>
          <w:rFonts w:ascii="Book Antiqua" w:hAnsi="Book Antiqua"/>
        </w:rPr>
        <w:lastRenderedPageBreak/>
        <w:t xml:space="preserve">for malignant biliary obstruction. </w:t>
      </w:r>
      <w:r w:rsidRPr="00026E39">
        <w:rPr>
          <w:rFonts w:ascii="Book Antiqua" w:hAnsi="Book Antiqua"/>
          <w:i/>
          <w:iCs/>
        </w:rPr>
        <w:t>Eur J Gastroenterol Hepatol</w:t>
      </w:r>
      <w:r w:rsidRPr="00026E39">
        <w:rPr>
          <w:rFonts w:ascii="Book Antiqua" w:hAnsi="Book Antiqua"/>
        </w:rPr>
        <w:t xml:space="preserve"> 2007; </w:t>
      </w:r>
      <w:r w:rsidRPr="00026E39">
        <w:rPr>
          <w:rFonts w:ascii="Book Antiqua" w:hAnsi="Book Antiqua"/>
          <w:b/>
          <w:bCs/>
        </w:rPr>
        <w:t>19</w:t>
      </w:r>
      <w:r w:rsidRPr="00026E39">
        <w:rPr>
          <w:rFonts w:ascii="Book Antiqua" w:hAnsi="Book Antiqua"/>
        </w:rPr>
        <w:t>: 1119-1124 [PMID: 17998839 DOI: 10.1097/MEG.0b013e3282f16206]</w:t>
      </w:r>
    </w:p>
    <w:p w14:paraId="4D18E7D0"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23 </w:t>
      </w:r>
      <w:r w:rsidRPr="00026E39">
        <w:rPr>
          <w:rFonts w:ascii="Book Antiqua" w:hAnsi="Book Antiqua"/>
          <w:b/>
          <w:bCs/>
        </w:rPr>
        <w:t>Hong WD</w:t>
      </w:r>
      <w:r w:rsidRPr="00026E39">
        <w:rPr>
          <w:rFonts w:ascii="Book Antiqua" w:hAnsi="Book Antiqua"/>
        </w:rPr>
        <w:t xml:space="preserve">, Chen XW, Wu WZ, Zhu QH, Chen XR. Metal versus plastic stents for malignant biliary obstruction: an update meta-analysis. </w:t>
      </w:r>
      <w:r w:rsidRPr="00026E39">
        <w:rPr>
          <w:rFonts w:ascii="Book Antiqua" w:hAnsi="Book Antiqua"/>
          <w:i/>
          <w:iCs/>
        </w:rPr>
        <w:t>Clin Res Hepatol Gastroenterol</w:t>
      </w:r>
      <w:r w:rsidRPr="00026E39">
        <w:rPr>
          <w:rFonts w:ascii="Book Antiqua" w:hAnsi="Book Antiqua"/>
        </w:rPr>
        <w:t xml:space="preserve"> 2013; </w:t>
      </w:r>
      <w:r w:rsidRPr="00026E39">
        <w:rPr>
          <w:rFonts w:ascii="Book Antiqua" w:hAnsi="Book Antiqua"/>
          <w:b/>
          <w:bCs/>
        </w:rPr>
        <w:t>37</w:t>
      </w:r>
      <w:r w:rsidRPr="00026E39">
        <w:rPr>
          <w:rFonts w:ascii="Book Antiqua" w:hAnsi="Book Antiqua"/>
        </w:rPr>
        <w:t>: 496-500 [PMID: 23333231 DOI: 10.1016/j.clinre.2012.12.002]</w:t>
      </w:r>
    </w:p>
    <w:p w14:paraId="4F82029C"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24 </w:t>
      </w:r>
      <w:r w:rsidRPr="00026E39">
        <w:rPr>
          <w:rFonts w:ascii="Book Antiqua" w:hAnsi="Book Antiqua"/>
          <w:b/>
          <w:bCs/>
        </w:rPr>
        <w:t>Sawas T</w:t>
      </w:r>
      <w:r w:rsidRPr="00026E39">
        <w:rPr>
          <w:rFonts w:ascii="Book Antiqua" w:hAnsi="Book Antiqua"/>
        </w:rPr>
        <w:t xml:space="preserve">, Al Halabi S, Parsi MA, Vargo JJ. Self-expandable metal stents versus plastic stents for malignant biliary obstruction: a meta-analysis. </w:t>
      </w:r>
      <w:r w:rsidRPr="00026E39">
        <w:rPr>
          <w:rFonts w:ascii="Book Antiqua" w:hAnsi="Book Antiqua"/>
          <w:i/>
          <w:iCs/>
        </w:rPr>
        <w:t>Gastrointest Endosc</w:t>
      </w:r>
      <w:r w:rsidRPr="00026E39">
        <w:rPr>
          <w:rFonts w:ascii="Book Antiqua" w:hAnsi="Book Antiqua"/>
        </w:rPr>
        <w:t xml:space="preserve"> 2015; </w:t>
      </w:r>
      <w:r w:rsidRPr="00026E39">
        <w:rPr>
          <w:rFonts w:ascii="Book Antiqua" w:hAnsi="Book Antiqua"/>
          <w:b/>
          <w:bCs/>
        </w:rPr>
        <w:t>82</w:t>
      </w:r>
      <w:r w:rsidRPr="00026E39">
        <w:rPr>
          <w:rFonts w:ascii="Book Antiqua" w:hAnsi="Book Antiqua"/>
        </w:rPr>
        <w:t>: 256-267.e7 [PMID: 25982849 DOI: 10.1016/j.gie.2015.03.1980]</w:t>
      </w:r>
    </w:p>
    <w:p w14:paraId="49AAF1AA"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25 </w:t>
      </w:r>
      <w:r w:rsidRPr="00026E39">
        <w:rPr>
          <w:rFonts w:ascii="Book Antiqua" w:hAnsi="Book Antiqua"/>
          <w:b/>
          <w:bCs/>
        </w:rPr>
        <w:t>Zorrón Pu L</w:t>
      </w:r>
      <w:r w:rsidRPr="00026E39">
        <w:rPr>
          <w:rFonts w:ascii="Book Antiqua" w:hAnsi="Book Antiqua"/>
        </w:rPr>
        <w:t xml:space="preserve">, de Moura EG, Bernardo WM, Baracat FI, Mendonça EQ, Kondo A, Luz GO, Furuya Júnior CK, Artifon EL. Endoscopic stenting for inoperable malignant biliary obstruction: A systematic review and meta-analysis. </w:t>
      </w:r>
      <w:r w:rsidRPr="00026E39">
        <w:rPr>
          <w:rFonts w:ascii="Book Antiqua" w:hAnsi="Book Antiqua"/>
          <w:i/>
          <w:iCs/>
        </w:rPr>
        <w:t>World J Gastroenterol</w:t>
      </w:r>
      <w:r w:rsidRPr="00026E39">
        <w:rPr>
          <w:rFonts w:ascii="Book Antiqua" w:hAnsi="Book Antiqua"/>
        </w:rPr>
        <w:t xml:space="preserve"> 2015; </w:t>
      </w:r>
      <w:r w:rsidRPr="00026E39">
        <w:rPr>
          <w:rFonts w:ascii="Book Antiqua" w:hAnsi="Book Antiqua"/>
          <w:b/>
          <w:bCs/>
        </w:rPr>
        <w:t>21</w:t>
      </w:r>
      <w:r w:rsidRPr="00026E39">
        <w:rPr>
          <w:rFonts w:ascii="Book Antiqua" w:hAnsi="Book Antiqua"/>
        </w:rPr>
        <w:t>: 13374-13385 [PMID: 26715823 DOI: 10.3748/wjg.v21.i47.13374]</w:t>
      </w:r>
    </w:p>
    <w:p w14:paraId="3E05DC2D"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26 </w:t>
      </w:r>
      <w:r w:rsidRPr="00026E39">
        <w:rPr>
          <w:rFonts w:ascii="Book Antiqua" w:hAnsi="Book Antiqua"/>
          <w:b/>
          <w:bCs/>
        </w:rPr>
        <w:t>Moole H</w:t>
      </w:r>
      <w:r w:rsidRPr="00026E39">
        <w:rPr>
          <w:rFonts w:ascii="Book Antiqua" w:hAnsi="Book Antiqua"/>
        </w:rPr>
        <w:t xml:space="preserve">, Jaeger A, Cashman M, Volmar FH, Dhillon S, Bechtold ML, Puli SR. Are self-expandable metal stents superior to plastic stents in palliating malignant distal biliary strictures? A meta-analysis and systematic review. </w:t>
      </w:r>
      <w:r w:rsidRPr="00026E39">
        <w:rPr>
          <w:rFonts w:ascii="Book Antiqua" w:hAnsi="Book Antiqua"/>
          <w:i/>
          <w:iCs/>
        </w:rPr>
        <w:t>Med J Armed Forces India</w:t>
      </w:r>
      <w:r w:rsidRPr="00026E39">
        <w:rPr>
          <w:rFonts w:ascii="Book Antiqua" w:hAnsi="Book Antiqua"/>
        </w:rPr>
        <w:t xml:space="preserve"> 2017; </w:t>
      </w:r>
      <w:r w:rsidRPr="00026E39">
        <w:rPr>
          <w:rFonts w:ascii="Book Antiqua" w:hAnsi="Book Antiqua"/>
          <w:b/>
          <w:bCs/>
        </w:rPr>
        <w:t>73</w:t>
      </w:r>
      <w:r w:rsidRPr="00026E39">
        <w:rPr>
          <w:rFonts w:ascii="Book Antiqua" w:hAnsi="Book Antiqua"/>
        </w:rPr>
        <w:t>: 42-48 [PMID: 28123244 DOI: 10.1016/j.mjafi.2016.08.014]</w:t>
      </w:r>
    </w:p>
    <w:p w14:paraId="01DC86E3"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27 </w:t>
      </w:r>
      <w:r w:rsidRPr="00026E39">
        <w:rPr>
          <w:rFonts w:ascii="Book Antiqua" w:hAnsi="Book Antiqua"/>
          <w:b/>
          <w:bCs/>
        </w:rPr>
        <w:t>Almadi MA</w:t>
      </w:r>
      <w:r w:rsidRPr="00026E39">
        <w:rPr>
          <w:rFonts w:ascii="Book Antiqua" w:hAnsi="Book Antiqua"/>
        </w:rPr>
        <w:t xml:space="preserve">, Barkun A, Martel M. Plastic vs. Self-Expandable Metal Stents for Palliation in Malignant Biliary Obstruction: A Series of Meta-Analyses. </w:t>
      </w:r>
      <w:r w:rsidRPr="00026E39">
        <w:rPr>
          <w:rFonts w:ascii="Book Antiqua" w:hAnsi="Book Antiqua"/>
          <w:i/>
          <w:iCs/>
        </w:rPr>
        <w:t>Am J Gastroenterol</w:t>
      </w:r>
      <w:r w:rsidRPr="00026E39">
        <w:rPr>
          <w:rFonts w:ascii="Book Antiqua" w:hAnsi="Book Antiqua"/>
        </w:rPr>
        <w:t xml:space="preserve"> 2017; </w:t>
      </w:r>
      <w:r w:rsidRPr="00026E39">
        <w:rPr>
          <w:rFonts w:ascii="Book Antiqua" w:hAnsi="Book Antiqua"/>
          <w:b/>
          <w:bCs/>
        </w:rPr>
        <w:t>112</w:t>
      </w:r>
      <w:r w:rsidRPr="00026E39">
        <w:rPr>
          <w:rFonts w:ascii="Book Antiqua" w:hAnsi="Book Antiqua"/>
        </w:rPr>
        <w:t>: 260-273 [PMID: 27845340 DOI: 10.1038/ajg.2016.512]</w:t>
      </w:r>
    </w:p>
    <w:p w14:paraId="042F7275"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28 </w:t>
      </w:r>
      <w:r w:rsidRPr="00026E39">
        <w:rPr>
          <w:rFonts w:ascii="Book Antiqua" w:hAnsi="Book Antiqua"/>
          <w:b/>
          <w:bCs/>
        </w:rPr>
        <w:t>Yuan TW</w:t>
      </w:r>
      <w:r w:rsidRPr="00026E39">
        <w:rPr>
          <w:rFonts w:ascii="Book Antiqua" w:hAnsi="Book Antiqua"/>
        </w:rPr>
        <w:t xml:space="preserve">, Liu HQ, Wang SB, Cao J. Comparison of plastic stents with self-expandable metal stents in palliative treatment of malignant biliary obstruction: a meta-analysis. </w:t>
      </w:r>
      <w:r w:rsidRPr="00026E39">
        <w:rPr>
          <w:rFonts w:ascii="Book Antiqua" w:hAnsi="Book Antiqua"/>
          <w:i/>
          <w:iCs/>
        </w:rPr>
        <w:t>Eur Rev Med Pharmacol Sci</w:t>
      </w:r>
      <w:r w:rsidRPr="00026E39">
        <w:rPr>
          <w:rFonts w:ascii="Book Antiqua" w:hAnsi="Book Antiqua"/>
        </w:rPr>
        <w:t xml:space="preserve"> 2017; </w:t>
      </w:r>
      <w:r w:rsidRPr="00026E39">
        <w:rPr>
          <w:rFonts w:ascii="Book Antiqua" w:hAnsi="Book Antiqua"/>
          <w:b/>
          <w:bCs/>
        </w:rPr>
        <w:t>21</w:t>
      </w:r>
      <w:r w:rsidRPr="00026E39">
        <w:rPr>
          <w:rFonts w:ascii="Book Antiqua" w:hAnsi="Book Antiqua"/>
        </w:rPr>
        <w:t>: 2847-2857 [PMID: 28682432]</w:t>
      </w:r>
    </w:p>
    <w:p w14:paraId="2B46AAA1"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29 </w:t>
      </w:r>
      <w:r w:rsidRPr="00026E39">
        <w:rPr>
          <w:rFonts w:ascii="Book Antiqua" w:hAnsi="Book Antiqua"/>
          <w:b/>
          <w:bCs/>
        </w:rPr>
        <w:t>Sterne JAC</w:t>
      </w:r>
      <w:r w:rsidRPr="00026E39">
        <w:rPr>
          <w:rFonts w:ascii="Book Antiqua" w:hAnsi="Book Antiqua"/>
        </w:rPr>
        <w:t xml:space="preserve">, Savović J, Page MJ, Elbers RG, Blencowe NS, Boutron I, Cates CJ, Cheng HY, Corbett MS, Eldridge SM, Emberson JR, Hernán MA, Hopewell S, Hróbjartsson A, Junqueira DR, Jüni P, Kirkham JJ, Lasserson T, Li T, McAleenan A, Reeves BC, Shepperd S, Shrier I, Stewart LA, Tilling K, White IR, Whiting PF, Higgins JPT. RoB 2: a revised tool for assessing risk of bias in randomised trials. </w:t>
      </w:r>
      <w:r w:rsidRPr="00026E39">
        <w:rPr>
          <w:rFonts w:ascii="Book Antiqua" w:hAnsi="Book Antiqua"/>
          <w:i/>
          <w:iCs/>
        </w:rPr>
        <w:t>BMJ</w:t>
      </w:r>
      <w:r w:rsidRPr="00026E39">
        <w:rPr>
          <w:rFonts w:ascii="Book Antiqua" w:hAnsi="Book Antiqua"/>
        </w:rPr>
        <w:t xml:space="preserve"> 2019; </w:t>
      </w:r>
      <w:r w:rsidRPr="00026E39">
        <w:rPr>
          <w:rFonts w:ascii="Book Antiqua" w:hAnsi="Book Antiqua"/>
          <w:b/>
          <w:bCs/>
        </w:rPr>
        <w:t>366</w:t>
      </w:r>
      <w:r w:rsidRPr="00026E39">
        <w:rPr>
          <w:rFonts w:ascii="Book Antiqua" w:hAnsi="Book Antiqua"/>
        </w:rPr>
        <w:t>: l4898 [PMID: 31462531 DOI: 10.1136/bmj.l4898]</w:t>
      </w:r>
    </w:p>
    <w:p w14:paraId="510CAED5"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30 </w:t>
      </w:r>
      <w:r w:rsidRPr="00026E39">
        <w:rPr>
          <w:rFonts w:ascii="Book Antiqua" w:hAnsi="Book Antiqua"/>
          <w:b/>
          <w:bCs/>
        </w:rPr>
        <w:t>Guyatt GH</w:t>
      </w:r>
      <w:r w:rsidRPr="00026E39">
        <w:rPr>
          <w:rFonts w:ascii="Book Antiqua" w:hAnsi="Book Antiqua"/>
        </w:rPr>
        <w:t xml:space="preserve">, Oxman AD, Vist GE, Kunz R, Falck-Ytter Y, Alonso-Coello P, Schünemann HJ; GRADE Working Group. GRADE: an emerging consensus on rating </w:t>
      </w:r>
      <w:r w:rsidRPr="00026E39">
        <w:rPr>
          <w:rFonts w:ascii="Book Antiqua" w:hAnsi="Book Antiqua"/>
        </w:rPr>
        <w:lastRenderedPageBreak/>
        <w:t xml:space="preserve">quality of evidence and strength of recommendations. </w:t>
      </w:r>
      <w:r w:rsidRPr="00026E39">
        <w:rPr>
          <w:rFonts w:ascii="Book Antiqua" w:hAnsi="Book Antiqua"/>
          <w:i/>
          <w:iCs/>
        </w:rPr>
        <w:t>BMJ</w:t>
      </w:r>
      <w:r w:rsidRPr="00026E39">
        <w:rPr>
          <w:rFonts w:ascii="Book Antiqua" w:hAnsi="Book Antiqua"/>
        </w:rPr>
        <w:t xml:space="preserve"> 2008; </w:t>
      </w:r>
      <w:r w:rsidRPr="00026E39">
        <w:rPr>
          <w:rFonts w:ascii="Book Antiqua" w:hAnsi="Book Antiqua"/>
          <w:b/>
          <w:bCs/>
        </w:rPr>
        <w:t>336</w:t>
      </w:r>
      <w:r w:rsidRPr="00026E39">
        <w:rPr>
          <w:rFonts w:ascii="Book Antiqua" w:hAnsi="Book Antiqua"/>
        </w:rPr>
        <w:t>: 924-926 [PMID: 18436948 DOI: 10.1136/bmj.39489.470347.AD]</w:t>
      </w:r>
    </w:p>
    <w:p w14:paraId="6E9BEF7D"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31 </w:t>
      </w:r>
      <w:r w:rsidRPr="00026E39">
        <w:rPr>
          <w:rFonts w:ascii="Book Antiqua" w:hAnsi="Book Antiqua"/>
          <w:b/>
          <w:bCs/>
        </w:rPr>
        <w:t>Higgins JP</w:t>
      </w:r>
      <w:r w:rsidRPr="00026E39">
        <w:rPr>
          <w:rFonts w:ascii="Book Antiqua" w:hAnsi="Book Antiqua"/>
        </w:rPr>
        <w:t xml:space="preserve">, Thompson SG, Deeks JJ, Altman DG. Measuring inconsistency in meta-analyses. </w:t>
      </w:r>
      <w:r w:rsidRPr="00026E39">
        <w:rPr>
          <w:rFonts w:ascii="Book Antiqua" w:hAnsi="Book Antiqua"/>
          <w:i/>
          <w:iCs/>
        </w:rPr>
        <w:t>BMJ</w:t>
      </w:r>
      <w:r w:rsidRPr="00026E39">
        <w:rPr>
          <w:rFonts w:ascii="Book Antiqua" w:hAnsi="Book Antiqua"/>
        </w:rPr>
        <w:t xml:space="preserve"> 2003; </w:t>
      </w:r>
      <w:r w:rsidRPr="00026E39">
        <w:rPr>
          <w:rFonts w:ascii="Book Antiqua" w:hAnsi="Book Antiqua"/>
          <w:b/>
          <w:bCs/>
        </w:rPr>
        <w:t>327</w:t>
      </w:r>
      <w:r w:rsidRPr="00026E39">
        <w:rPr>
          <w:rFonts w:ascii="Book Antiqua" w:hAnsi="Book Antiqua"/>
        </w:rPr>
        <w:t>: 557-560 [PMID: 12958120 DOI: 10.1136/bmj.327.7414.557]</w:t>
      </w:r>
    </w:p>
    <w:p w14:paraId="6F3F894A"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32 </w:t>
      </w:r>
      <w:r w:rsidRPr="00026E39">
        <w:rPr>
          <w:rFonts w:ascii="Book Antiqua" w:hAnsi="Book Antiqua"/>
          <w:b/>
          <w:bCs/>
        </w:rPr>
        <w:t>Matsumoto K</w:t>
      </w:r>
      <w:r w:rsidRPr="00026E39">
        <w:rPr>
          <w:rFonts w:ascii="Book Antiqua" w:hAnsi="Book Antiqua"/>
        </w:rPr>
        <w:t xml:space="preserve">, Takeda Y, Onoyama T, Kawata S, Kurumi H, Koda H, Yamashita T, Isomoto H. Endoscopic treatment for distal malignant biliary obstruction. </w:t>
      </w:r>
      <w:r w:rsidRPr="00026E39">
        <w:rPr>
          <w:rFonts w:ascii="Book Antiqua" w:hAnsi="Book Antiqua"/>
          <w:i/>
          <w:iCs/>
        </w:rPr>
        <w:t>Ann Transl Med</w:t>
      </w:r>
      <w:r w:rsidRPr="00026E39">
        <w:rPr>
          <w:rFonts w:ascii="Book Antiqua" w:hAnsi="Book Antiqua"/>
        </w:rPr>
        <w:t xml:space="preserve"> 2017; </w:t>
      </w:r>
      <w:r w:rsidRPr="00026E39">
        <w:rPr>
          <w:rFonts w:ascii="Book Antiqua" w:hAnsi="Book Antiqua"/>
          <w:b/>
          <w:bCs/>
        </w:rPr>
        <w:t>5</w:t>
      </w:r>
      <w:r w:rsidRPr="00026E39">
        <w:rPr>
          <w:rFonts w:ascii="Book Antiqua" w:hAnsi="Book Antiqua"/>
        </w:rPr>
        <w:t>: 190 [PMID: 28616405 DOI: 10.21037/atm.2017.02.22]</w:t>
      </w:r>
    </w:p>
    <w:p w14:paraId="7382D7E3"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33 </w:t>
      </w:r>
      <w:r w:rsidRPr="00026E39">
        <w:rPr>
          <w:rFonts w:ascii="Book Antiqua" w:hAnsi="Book Antiqua"/>
          <w:b/>
          <w:bCs/>
        </w:rPr>
        <w:t>Dumonceau JM</w:t>
      </w:r>
      <w:r w:rsidRPr="00026E39">
        <w:rPr>
          <w:rFonts w:ascii="Book Antiqua" w:hAnsi="Book Antiqua"/>
        </w:rPr>
        <w:t xml:space="preserve">, Kapral C, Aabakken L, Papanikolaou IS, Tringali A, Vanbiervliet G, Beyna T, Dinis-Ribeiro M, Hritz I, Mariani A, Paspatis G, Radaelli F, Lakhtakia S, Veitch AM, van Hooft JE. ERCP-related adverse events: European Society of Gastrointestinal Endoscopy (ESGE) Guideline. </w:t>
      </w:r>
      <w:r w:rsidRPr="00026E39">
        <w:rPr>
          <w:rFonts w:ascii="Book Antiqua" w:hAnsi="Book Antiqua"/>
          <w:i/>
          <w:iCs/>
        </w:rPr>
        <w:t>Endoscopy</w:t>
      </w:r>
      <w:r w:rsidRPr="00026E39">
        <w:rPr>
          <w:rFonts w:ascii="Book Antiqua" w:hAnsi="Book Antiqua"/>
        </w:rPr>
        <w:t xml:space="preserve"> 2020; </w:t>
      </w:r>
      <w:r w:rsidRPr="00026E39">
        <w:rPr>
          <w:rFonts w:ascii="Book Antiqua" w:hAnsi="Book Antiqua"/>
          <w:b/>
          <w:bCs/>
        </w:rPr>
        <w:t>52</w:t>
      </w:r>
      <w:r w:rsidRPr="00026E39">
        <w:rPr>
          <w:rFonts w:ascii="Book Antiqua" w:hAnsi="Book Antiqua"/>
        </w:rPr>
        <w:t>: 127-149 [PMID: 31863440 DOI: 10.1055/a-1075-4080]</w:t>
      </w:r>
    </w:p>
    <w:p w14:paraId="618C59F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064E2A6" w14:textId="77777777" w:rsidR="00A77B3E" w:rsidRDefault="004B6445">
      <w:pPr>
        <w:spacing w:line="360" w:lineRule="auto"/>
        <w:jc w:val="both"/>
      </w:pPr>
      <w:r>
        <w:rPr>
          <w:rFonts w:ascii="Book Antiqua" w:eastAsia="Book Antiqua" w:hAnsi="Book Antiqua" w:cs="Book Antiqua"/>
          <w:b/>
          <w:color w:val="000000"/>
        </w:rPr>
        <w:lastRenderedPageBreak/>
        <w:t>Footnotes</w:t>
      </w:r>
    </w:p>
    <w:p w14:paraId="1957ECCC" w14:textId="77777777" w:rsidR="00A77B3E" w:rsidRDefault="004B6445">
      <w:pPr>
        <w:spacing w:line="360" w:lineRule="auto"/>
        <w:jc w:val="both"/>
      </w:pPr>
      <w:r>
        <w:rPr>
          <w:rFonts w:ascii="Book Antiqua" w:eastAsia="Book Antiqua" w:hAnsi="Book Antiqua" w:cs="Book Antiqua"/>
          <w:b/>
          <w:bCs/>
          <w:color w:val="000000"/>
        </w:rPr>
        <w:t xml:space="preserve">Conflict-of-interest statement: </w:t>
      </w:r>
      <w:r>
        <w:rPr>
          <w:rStyle w:val="fontstyle31"/>
          <w:rFonts w:ascii="Book Antiqua" w:eastAsia="Book Antiqua" w:hAnsi="Book Antiqua" w:cs="Book Antiqua"/>
          <w:color w:val="000000"/>
        </w:rPr>
        <w:t>The authors do not have any conflicts of interest.</w:t>
      </w:r>
    </w:p>
    <w:p w14:paraId="5D241690" w14:textId="77777777" w:rsidR="00A77B3E" w:rsidRDefault="00A77B3E">
      <w:pPr>
        <w:spacing w:line="360" w:lineRule="auto"/>
        <w:jc w:val="both"/>
      </w:pPr>
    </w:p>
    <w:p w14:paraId="4C8284F4" w14:textId="77777777" w:rsidR="00A77B3E" w:rsidRDefault="004B6445">
      <w:pPr>
        <w:spacing w:line="360" w:lineRule="auto"/>
        <w:jc w:val="both"/>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rPr>
        <w:t>The authors have read the PRISMA 2009 Checklist statement, and the manuscript was prepared and revised according to the PRISMA 2009 Checklist statement.</w:t>
      </w:r>
    </w:p>
    <w:p w14:paraId="46335B08" w14:textId="77777777" w:rsidR="00A77B3E" w:rsidRDefault="00A77B3E">
      <w:pPr>
        <w:spacing w:line="360" w:lineRule="auto"/>
        <w:jc w:val="both"/>
      </w:pPr>
    </w:p>
    <w:p w14:paraId="3B382C4E" w14:textId="77777777" w:rsidR="00A77B3E" w:rsidRDefault="004B644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508837A" w14:textId="77777777" w:rsidR="00A77B3E" w:rsidRDefault="00A77B3E">
      <w:pPr>
        <w:spacing w:line="360" w:lineRule="auto"/>
        <w:jc w:val="both"/>
      </w:pPr>
    </w:p>
    <w:p w14:paraId="62A8C2AC" w14:textId="3D1A9B5E" w:rsidR="00A77B3E" w:rsidRDefault="004B644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2270C8">
        <w:rPr>
          <w:rFonts w:ascii="Book Antiqua" w:eastAsia="Book Antiqua" w:hAnsi="Book Antiqua" w:cs="Book Antiqua"/>
          <w:color w:val="000000"/>
        </w:rPr>
        <w:t>m</w:t>
      </w:r>
      <w:r>
        <w:rPr>
          <w:rFonts w:ascii="Book Antiqua" w:eastAsia="Book Antiqua" w:hAnsi="Book Antiqua" w:cs="Book Antiqua"/>
          <w:color w:val="000000"/>
        </w:rPr>
        <w:t>anuscript</w:t>
      </w:r>
    </w:p>
    <w:p w14:paraId="7F413B4A" w14:textId="77777777" w:rsidR="00A77B3E" w:rsidRDefault="00A77B3E">
      <w:pPr>
        <w:spacing w:line="360" w:lineRule="auto"/>
        <w:jc w:val="both"/>
      </w:pPr>
    </w:p>
    <w:p w14:paraId="048C7AED" w14:textId="77777777" w:rsidR="00A77B3E" w:rsidRDefault="004B644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24, 2021</w:t>
      </w:r>
    </w:p>
    <w:p w14:paraId="1C547F16" w14:textId="77777777" w:rsidR="00A77B3E" w:rsidRDefault="004B644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29, 2021</w:t>
      </w:r>
    </w:p>
    <w:p w14:paraId="709C302D" w14:textId="77777777" w:rsidR="00A77B3E" w:rsidRDefault="004B6445">
      <w:pPr>
        <w:spacing w:line="360" w:lineRule="auto"/>
        <w:jc w:val="both"/>
      </w:pPr>
      <w:r>
        <w:rPr>
          <w:rFonts w:ascii="Book Antiqua" w:eastAsia="Book Antiqua" w:hAnsi="Book Antiqua" w:cs="Book Antiqua"/>
          <w:b/>
          <w:color w:val="000000"/>
        </w:rPr>
        <w:t xml:space="preserve">Article in press: </w:t>
      </w:r>
    </w:p>
    <w:p w14:paraId="32F12F9A" w14:textId="77777777" w:rsidR="00A77B3E" w:rsidRDefault="00A77B3E">
      <w:pPr>
        <w:spacing w:line="360" w:lineRule="auto"/>
        <w:jc w:val="both"/>
      </w:pPr>
    </w:p>
    <w:p w14:paraId="69BBE728" w14:textId="62ABBCBA" w:rsidR="00A77B3E" w:rsidRDefault="004B644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532CE7">
        <w:rPr>
          <w:rFonts w:ascii="Book Antiqua" w:eastAsia="Book Antiqua" w:hAnsi="Book Antiqua" w:cs="Book Antiqua"/>
          <w:color w:val="000000"/>
        </w:rPr>
        <w:t>h</w:t>
      </w:r>
      <w:r>
        <w:rPr>
          <w:rFonts w:ascii="Book Antiqua" w:eastAsia="Book Antiqua" w:hAnsi="Book Antiqua" w:cs="Book Antiqua"/>
          <w:color w:val="000000"/>
        </w:rPr>
        <w:t>epatology</w:t>
      </w:r>
    </w:p>
    <w:p w14:paraId="689FDCEB" w14:textId="77777777" w:rsidR="00A77B3E" w:rsidRDefault="004B644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Brazil</w:t>
      </w:r>
    </w:p>
    <w:p w14:paraId="57EB1915" w14:textId="77777777" w:rsidR="00A77B3E" w:rsidRDefault="004B6445">
      <w:pPr>
        <w:spacing w:line="360" w:lineRule="auto"/>
        <w:jc w:val="both"/>
      </w:pPr>
      <w:r>
        <w:rPr>
          <w:rFonts w:ascii="Book Antiqua" w:eastAsia="Book Antiqua" w:hAnsi="Book Antiqua" w:cs="Book Antiqua"/>
          <w:b/>
          <w:color w:val="000000"/>
        </w:rPr>
        <w:t>Peer-review report’s scientific quality classification</w:t>
      </w:r>
    </w:p>
    <w:p w14:paraId="712E222D" w14:textId="77777777" w:rsidR="00A77B3E" w:rsidRDefault="004B6445">
      <w:pPr>
        <w:spacing w:line="360" w:lineRule="auto"/>
        <w:jc w:val="both"/>
      </w:pPr>
      <w:r>
        <w:rPr>
          <w:rFonts w:ascii="Book Antiqua" w:eastAsia="Book Antiqua" w:hAnsi="Book Antiqua" w:cs="Book Antiqua"/>
          <w:color w:val="000000"/>
        </w:rPr>
        <w:t>Grade A (Excellent): A</w:t>
      </w:r>
    </w:p>
    <w:p w14:paraId="11E2199A" w14:textId="77777777" w:rsidR="00A77B3E" w:rsidRDefault="004B6445">
      <w:pPr>
        <w:spacing w:line="360" w:lineRule="auto"/>
        <w:jc w:val="both"/>
      </w:pPr>
      <w:r>
        <w:rPr>
          <w:rFonts w:ascii="Book Antiqua" w:eastAsia="Book Antiqua" w:hAnsi="Book Antiqua" w:cs="Book Antiqua"/>
          <w:color w:val="000000"/>
        </w:rPr>
        <w:t>Grade B (Very good): B</w:t>
      </w:r>
    </w:p>
    <w:p w14:paraId="29FCE929" w14:textId="77777777" w:rsidR="00A77B3E" w:rsidRDefault="004B6445">
      <w:pPr>
        <w:spacing w:line="360" w:lineRule="auto"/>
        <w:jc w:val="both"/>
      </w:pPr>
      <w:r>
        <w:rPr>
          <w:rFonts w:ascii="Book Antiqua" w:eastAsia="Book Antiqua" w:hAnsi="Book Antiqua" w:cs="Book Antiqua"/>
          <w:color w:val="000000"/>
        </w:rPr>
        <w:t>Grade C (Good): C</w:t>
      </w:r>
    </w:p>
    <w:p w14:paraId="668996EB" w14:textId="77777777" w:rsidR="00A77B3E" w:rsidRDefault="004B6445">
      <w:pPr>
        <w:spacing w:line="360" w:lineRule="auto"/>
        <w:jc w:val="both"/>
      </w:pPr>
      <w:r>
        <w:rPr>
          <w:rFonts w:ascii="Book Antiqua" w:eastAsia="Book Antiqua" w:hAnsi="Book Antiqua" w:cs="Book Antiqua"/>
          <w:color w:val="000000"/>
        </w:rPr>
        <w:t>Grade D (Fair): 0</w:t>
      </w:r>
    </w:p>
    <w:p w14:paraId="476FAB15" w14:textId="77777777" w:rsidR="00A77B3E" w:rsidRDefault="004B6445">
      <w:pPr>
        <w:spacing w:line="360" w:lineRule="auto"/>
        <w:jc w:val="both"/>
      </w:pPr>
      <w:r>
        <w:rPr>
          <w:rFonts w:ascii="Book Antiqua" w:eastAsia="Book Antiqua" w:hAnsi="Book Antiqua" w:cs="Book Antiqua"/>
          <w:color w:val="000000"/>
        </w:rPr>
        <w:t>Grade E (Poor): 0</w:t>
      </w:r>
    </w:p>
    <w:p w14:paraId="22032C2F" w14:textId="77777777" w:rsidR="00A77B3E" w:rsidRDefault="00A77B3E">
      <w:pPr>
        <w:spacing w:line="360" w:lineRule="auto"/>
        <w:jc w:val="both"/>
      </w:pPr>
    </w:p>
    <w:p w14:paraId="6EC2BB99" w14:textId="360E6541" w:rsidR="00A77B3E" w:rsidRDefault="004B6445">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Krishnan A, Taira K</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sidR="009F7F33">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3FA3C316" w14:textId="77777777" w:rsidR="00A77B3E" w:rsidRDefault="004B6445">
      <w:pPr>
        <w:spacing w:line="360" w:lineRule="auto"/>
        <w:jc w:val="both"/>
      </w:pPr>
      <w:r>
        <w:rPr>
          <w:rFonts w:ascii="Book Antiqua" w:eastAsia="Book Antiqua" w:hAnsi="Book Antiqua" w:cs="Book Antiqua"/>
          <w:b/>
          <w:color w:val="000000"/>
        </w:rPr>
        <w:lastRenderedPageBreak/>
        <w:t>Figure Legends</w:t>
      </w:r>
    </w:p>
    <w:p w14:paraId="6607E021" w14:textId="77777777" w:rsidR="004B6445" w:rsidRPr="00026E39" w:rsidRDefault="004B6445" w:rsidP="004B6445">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14:anchorId="67D2EEB8" wp14:editId="31652393">
            <wp:extent cx="5774522" cy="501727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9106" cy="5029945"/>
                    </a:xfrm>
                    <a:prstGeom prst="rect">
                      <a:avLst/>
                    </a:prstGeom>
                    <a:noFill/>
                  </pic:spPr>
                </pic:pic>
              </a:graphicData>
            </a:graphic>
          </wp:inline>
        </w:drawing>
      </w:r>
    </w:p>
    <w:p w14:paraId="572E3C3C" w14:textId="4FF8A5FC" w:rsidR="004B6445" w:rsidRPr="00026E39" w:rsidRDefault="004B6445" w:rsidP="004B6445">
      <w:pPr>
        <w:adjustRightInd w:val="0"/>
        <w:snapToGrid w:val="0"/>
        <w:spacing w:line="360" w:lineRule="auto"/>
        <w:jc w:val="both"/>
        <w:rPr>
          <w:rFonts w:ascii="Book Antiqua" w:eastAsia="Book Antiqua" w:hAnsi="Book Antiqua" w:cs="Book Antiqua"/>
          <w:color w:val="000000"/>
        </w:rPr>
      </w:pPr>
      <w:r w:rsidRPr="00026E39">
        <w:rPr>
          <w:rFonts w:ascii="Book Antiqua" w:eastAsia="Book Antiqua" w:hAnsi="Book Antiqua" w:cs="Book Antiqua"/>
          <w:b/>
          <w:bCs/>
          <w:color w:val="000000"/>
        </w:rPr>
        <w:t xml:space="preserve">Figure 1 Flow diagram showing the article selection process. </w:t>
      </w:r>
      <w:r w:rsidR="00067D65" w:rsidRPr="00026E39">
        <w:rPr>
          <w:rFonts w:ascii="Book Antiqua" w:eastAsia="Book Antiqua" w:hAnsi="Book Antiqua" w:cs="Book Antiqua"/>
          <w:color w:val="000000"/>
        </w:rPr>
        <w:t>MBPO:</w:t>
      </w:r>
      <w:r w:rsidR="00067D65">
        <w:rPr>
          <w:rFonts w:ascii="Book Antiqua" w:eastAsia="Book Antiqua" w:hAnsi="Book Antiqua" w:cs="Book Antiqua"/>
          <w:color w:val="000000"/>
        </w:rPr>
        <w:t xml:space="preserve"> Malignant biliary proximal obstruction; </w:t>
      </w:r>
      <w:r>
        <w:rPr>
          <w:rFonts w:ascii="Book Antiqua" w:eastAsia="Book Antiqua" w:hAnsi="Book Antiqua" w:cs="Book Antiqua"/>
          <w:color w:val="000000"/>
        </w:rPr>
        <w:t>RCTs</w:t>
      </w:r>
      <w:r w:rsidRPr="00026E39">
        <w:rPr>
          <w:rFonts w:ascii="Book Antiqua" w:eastAsia="Book Antiqua" w:hAnsi="Book Antiqua" w:cs="Book Antiqua"/>
          <w:color w:val="000000"/>
        </w:rPr>
        <w:t>:</w:t>
      </w:r>
      <w:r>
        <w:rPr>
          <w:rFonts w:ascii="Book Antiqua" w:eastAsia="Book Antiqua" w:hAnsi="Book Antiqua" w:cs="Book Antiqua"/>
          <w:color w:val="000000"/>
        </w:rPr>
        <w:t xml:space="preserve"> Randomized clinical trials.</w:t>
      </w:r>
    </w:p>
    <w:p w14:paraId="23C9B95E" w14:textId="602ED6EB" w:rsidR="004B6445" w:rsidRPr="004B6445" w:rsidRDefault="004B6445" w:rsidP="004B6445">
      <w:pPr>
        <w:adjustRightInd w:val="0"/>
        <w:snapToGrid w:val="0"/>
        <w:spacing w:line="360" w:lineRule="auto"/>
        <w:jc w:val="both"/>
        <w:rPr>
          <w:bCs/>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4A5EF7AB" wp14:editId="385029CC">
            <wp:extent cx="5902960" cy="356121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4994" cy="3568475"/>
                    </a:xfrm>
                    <a:prstGeom prst="rect">
                      <a:avLst/>
                    </a:prstGeom>
                    <a:noFill/>
                  </pic:spPr>
                </pic:pic>
              </a:graphicData>
            </a:graphic>
          </wp:inline>
        </w:drawing>
      </w:r>
      <w:r>
        <w:rPr>
          <w:b/>
        </w:rPr>
        <w:t xml:space="preserve"> Figure 2: Description of biases in therapeutic study (ROB-II). </w:t>
      </w:r>
      <w:r w:rsidRPr="004B6445">
        <w:rPr>
          <w:bCs/>
        </w:rPr>
        <w:t xml:space="preserve">RCT: </w:t>
      </w:r>
      <w:r w:rsidRPr="004B6445">
        <w:rPr>
          <w:rFonts w:ascii="Book Antiqua" w:eastAsia="Book Antiqua" w:hAnsi="Book Antiqua" w:cs="Book Antiqua"/>
          <w:bCs/>
          <w:color w:val="000000"/>
        </w:rPr>
        <w:t>Randomized clinical trial.</w:t>
      </w:r>
    </w:p>
    <w:p w14:paraId="0CD91063" w14:textId="77777777" w:rsidR="004B6445" w:rsidRPr="00026E39" w:rsidRDefault="004B6445" w:rsidP="004B6445">
      <w:pPr>
        <w:adjustRightInd w:val="0"/>
        <w:snapToGrid w:val="0"/>
        <w:spacing w:line="360" w:lineRule="auto"/>
        <w:jc w:val="both"/>
        <w:rPr>
          <w:rFonts w:ascii="Book Antiqua" w:hAnsi="Book Antiqua"/>
          <w:b/>
          <w:bCs/>
        </w:rPr>
      </w:pPr>
      <w:r w:rsidRPr="00026E39">
        <w:rPr>
          <w:rFonts w:ascii="Book Antiqua" w:eastAsia="Book Antiqua" w:hAnsi="Book Antiqua" w:cs="Book Antiqua"/>
          <w:color w:val="000000"/>
        </w:rPr>
        <w:br w:type="page"/>
      </w:r>
      <w:r w:rsidRPr="00026E39">
        <w:rPr>
          <w:rFonts w:ascii="Book Antiqua" w:eastAsia="Book Antiqua" w:hAnsi="Book Antiqua" w:cs="Book Antiqua"/>
          <w:noProof/>
          <w:color w:val="000000"/>
          <w:lang w:eastAsia="zh-CN"/>
        </w:rPr>
        <w:lastRenderedPageBreak/>
        <w:drawing>
          <wp:inline distT="0" distB="0" distL="0" distR="0" wp14:anchorId="7660464E" wp14:editId="66761E50">
            <wp:extent cx="5007429" cy="3637876"/>
            <wp:effectExtent l="0" t="0" r="0" b="0"/>
            <wp:docPr id="11" name="Imagem 10">
              <a:extLst xmlns:a="http://schemas.openxmlformats.org/drawingml/2006/main">
                <a:ext uri="{FF2B5EF4-FFF2-40B4-BE49-F238E27FC236}">
                  <a16:creationId xmlns:a16="http://schemas.microsoft.com/office/drawing/2014/main" id="{726DCAD2-C110-437F-B17D-AF714A06BC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0">
                      <a:extLst>
                        <a:ext uri="{FF2B5EF4-FFF2-40B4-BE49-F238E27FC236}">
                          <a16:creationId xmlns:a16="http://schemas.microsoft.com/office/drawing/2014/main" id="{726DCAD2-C110-437F-B17D-AF714A06BC07}"/>
                        </a:ext>
                      </a:extLst>
                    </pic:cNvPr>
                    <pic:cNvPicPr>
                      <a:picLocks noChangeAspect="1"/>
                    </pic:cNvPicPr>
                  </pic:nvPicPr>
                  <pic:blipFill>
                    <a:blip r:embed="rId10"/>
                    <a:stretch>
                      <a:fillRect/>
                    </a:stretch>
                  </pic:blipFill>
                  <pic:spPr>
                    <a:xfrm>
                      <a:off x="0" y="0"/>
                      <a:ext cx="5021748" cy="3648279"/>
                    </a:xfrm>
                    <a:prstGeom prst="rect">
                      <a:avLst/>
                    </a:prstGeom>
                  </pic:spPr>
                </pic:pic>
              </a:graphicData>
            </a:graphic>
          </wp:inline>
        </w:drawing>
      </w:r>
    </w:p>
    <w:p w14:paraId="7E565325" w14:textId="78D126DF" w:rsidR="004B6445" w:rsidRPr="00026E39" w:rsidRDefault="004B6445" w:rsidP="004B6445">
      <w:pPr>
        <w:adjustRightInd w:val="0"/>
        <w:snapToGrid w:val="0"/>
        <w:spacing w:line="360" w:lineRule="auto"/>
        <w:jc w:val="both"/>
        <w:rPr>
          <w:rFonts w:ascii="Book Antiqua" w:eastAsia="Book Antiqua" w:hAnsi="Book Antiqua" w:cs="Book Antiqua"/>
          <w:color w:val="000000"/>
        </w:rPr>
      </w:pPr>
      <w:r w:rsidRPr="00026E39">
        <w:rPr>
          <w:rFonts w:ascii="Book Antiqua" w:eastAsia="Book Antiqua" w:hAnsi="Book Antiqua" w:cs="Book Antiqua"/>
          <w:b/>
          <w:bCs/>
          <w:color w:val="000000"/>
        </w:rPr>
        <w:t xml:space="preserve">Figure </w:t>
      </w:r>
      <w:r>
        <w:rPr>
          <w:rFonts w:ascii="Book Antiqua" w:eastAsia="Book Antiqua" w:hAnsi="Book Antiqua" w:cs="Book Antiqua"/>
          <w:b/>
          <w:bCs/>
          <w:color w:val="000000"/>
        </w:rPr>
        <w:t>3</w:t>
      </w:r>
      <w:r w:rsidRPr="00026E39">
        <w:rPr>
          <w:rFonts w:ascii="Book Antiqua" w:eastAsia="Book Antiqua" w:hAnsi="Book Antiqua" w:cs="Book Antiqua"/>
          <w:b/>
          <w:bCs/>
          <w:color w:val="000000"/>
        </w:rPr>
        <w:t xml:space="preserve"> Clinical Success - Forest Plot</w:t>
      </w:r>
      <w:r w:rsidRPr="00026E39">
        <w:rPr>
          <w:rFonts w:ascii="Book Antiqua" w:eastAsia="SimSun" w:hAnsi="Book Antiqua" w:cs="SimSun"/>
          <w:b/>
          <w:bCs/>
          <w:color w:val="000000"/>
          <w:lang w:eastAsia="zh-CN"/>
        </w:rPr>
        <w:t xml:space="preserve">. </w:t>
      </w:r>
      <w:r w:rsidR="00067D65" w:rsidRPr="00026E39">
        <w:rPr>
          <w:rFonts w:ascii="Book Antiqua" w:eastAsia="SimSun" w:hAnsi="Book Antiqua" w:cs="SimSun"/>
          <w:color w:val="000000"/>
          <w:lang w:eastAsia="zh-CN"/>
        </w:rPr>
        <w:t>CI:</w:t>
      </w:r>
      <w:r w:rsidR="00067D65" w:rsidRPr="00026E39">
        <w:rPr>
          <w:rFonts w:ascii="Book Antiqua" w:eastAsia="Book Antiqua" w:hAnsi="Book Antiqua" w:cs="Book Antiqua"/>
          <w:color w:val="000000"/>
        </w:rPr>
        <w:t xml:space="preserve"> Confidence interval; </w:t>
      </w:r>
      <w:r w:rsidRPr="00026E39">
        <w:rPr>
          <w:rFonts w:ascii="Book Antiqua" w:eastAsia="SimSun" w:hAnsi="Book Antiqua" w:cs="SimSun"/>
          <w:color w:val="000000"/>
          <w:lang w:eastAsia="zh-CN"/>
        </w:rPr>
        <w:t>PS:</w:t>
      </w:r>
      <w:r w:rsidRPr="00026E39">
        <w:rPr>
          <w:rFonts w:ascii="Book Antiqua" w:eastAsia="Book Antiqua" w:hAnsi="Book Antiqua" w:cs="Book Antiqua"/>
          <w:color w:val="000000"/>
        </w:rPr>
        <w:t xml:space="preserve"> Plastic stent;</w:t>
      </w:r>
      <w:r w:rsidRPr="00026E39">
        <w:rPr>
          <w:rFonts w:ascii="Book Antiqua" w:eastAsia="SimSun" w:hAnsi="Book Antiqua" w:cs="SimSun"/>
          <w:color w:val="000000"/>
          <w:lang w:eastAsia="zh-CN"/>
        </w:rPr>
        <w:t xml:space="preserve"> </w:t>
      </w:r>
      <w:r w:rsidRPr="00026E39">
        <w:rPr>
          <w:rFonts w:ascii="Book Antiqua" w:eastAsia="Book Antiqua" w:hAnsi="Book Antiqua" w:cs="Book Antiqua"/>
          <w:color w:val="000000"/>
        </w:rPr>
        <w:t>SEMS: Self-expanding metal stent.</w:t>
      </w:r>
    </w:p>
    <w:p w14:paraId="50C0A096" w14:textId="77777777" w:rsidR="004B6445" w:rsidRPr="00026E39" w:rsidRDefault="004B6445" w:rsidP="004B6445">
      <w:pPr>
        <w:adjustRightInd w:val="0"/>
        <w:snapToGrid w:val="0"/>
        <w:spacing w:line="360" w:lineRule="auto"/>
        <w:jc w:val="both"/>
        <w:rPr>
          <w:rFonts w:ascii="Book Antiqua" w:hAnsi="Book Antiqua"/>
          <w:b/>
          <w:bCs/>
        </w:rPr>
      </w:pPr>
      <w:r w:rsidRPr="00026E39">
        <w:rPr>
          <w:rFonts w:ascii="Book Antiqua" w:eastAsia="Book Antiqua" w:hAnsi="Book Antiqua" w:cs="Book Antiqua"/>
          <w:color w:val="000000"/>
        </w:rPr>
        <w:br w:type="page"/>
      </w:r>
      <w:r w:rsidRPr="00026E39">
        <w:rPr>
          <w:rFonts w:ascii="Book Antiqua" w:eastAsia="SimSun" w:hAnsi="Book Antiqua" w:cs="SimSun"/>
          <w:b/>
          <w:bCs/>
          <w:color w:val="000000"/>
          <w:lang w:eastAsia="zh-CN"/>
        </w:rPr>
        <w:lastRenderedPageBreak/>
        <w:t xml:space="preserve"> </w:t>
      </w:r>
      <w:r w:rsidRPr="00026E39">
        <w:rPr>
          <w:rFonts w:ascii="Book Antiqua" w:eastAsia="SimSun" w:hAnsi="Book Antiqua" w:cs="SimSun"/>
          <w:b/>
          <w:bCs/>
          <w:noProof/>
          <w:color w:val="000000"/>
          <w:lang w:eastAsia="zh-CN"/>
        </w:rPr>
        <w:drawing>
          <wp:inline distT="0" distB="0" distL="0" distR="0" wp14:anchorId="5C75C631" wp14:editId="2D412B8E">
            <wp:extent cx="5676900" cy="2855432"/>
            <wp:effectExtent l="0" t="0" r="0" b="0"/>
            <wp:docPr id="5" name="Imagem 4">
              <a:extLst xmlns:a="http://schemas.openxmlformats.org/drawingml/2006/main">
                <a:ext uri="{FF2B5EF4-FFF2-40B4-BE49-F238E27FC236}">
                  <a16:creationId xmlns:a16="http://schemas.microsoft.com/office/drawing/2014/main" id="{71554F53-CF0A-48B4-9398-403E256F43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71554F53-CF0A-48B4-9398-403E256F43BC}"/>
                        </a:ext>
                      </a:extLst>
                    </pic:cNvPr>
                    <pic:cNvPicPr>
                      <a:picLocks noChangeAspect="1"/>
                    </pic:cNvPicPr>
                  </pic:nvPicPr>
                  <pic:blipFill>
                    <a:blip r:embed="rId11"/>
                    <a:stretch>
                      <a:fillRect/>
                    </a:stretch>
                  </pic:blipFill>
                  <pic:spPr>
                    <a:xfrm>
                      <a:off x="0" y="0"/>
                      <a:ext cx="5682291" cy="2858143"/>
                    </a:xfrm>
                    <a:prstGeom prst="rect">
                      <a:avLst/>
                    </a:prstGeom>
                  </pic:spPr>
                </pic:pic>
              </a:graphicData>
            </a:graphic>
          </wp:inline>
        </w:drawing>
      </w:r>
    </w:p>
    <w:p w14:paraId="08DD74EF" w14:textId="7E917F4B" w:rsidR="004B6445" w:rsidRPr="00026E39" w:rsidRDefault="004B6445" w:rsidP="004B6445">
      <w:pPr>
        <w:adjustRightInd w:val="0"/>
        <w:snapToGrid w:val="0"/>
        <w:spacing w:line="360" w:lineRule="auto"/>
        <w:jc w:val="both"/>
        <w:rPr>
          <w:rFonts w:ascii="Book Antiqua" w:eastAsia="Book Antiqua" w:hAnsi="Book Antiqua" w:cs="Book Antiqua"/>
          <w:color w:val="000000"/>
        </w:rPr>
      </w:pPr>
      <w:r w:rsidRPr="00026E39">
        <w:rPr>
          <w:rFonts w:ascii="Book Antiqua" w:eastAsia="Book Antiqua" w:hAnsi="Book Antiqua" w:cs="Book Antiqua"/>
          <w:b/>
          <w:bCs/>
          <w:color w:val="000000"/>
        </w:rPr>
        <w:t xml:space="preserve">Figure </w:t>
      </w:r>
      <w:r>
        <w:rPr>
          <w:rFonts w:ascii="Book Antiqua" w:eastAsia="Book Antiqua" w:hAnsi="Book Antiqua" w:cs="Book Antiqua"/>
          <w:b/>
          <w:bCs/>
          <w:color w:val="000000"/>
        </w:rPr>
        <w:t>4</w:t>
      </w:r>
      <w:r w:rsidRPr="00026E39">
        <w:rPr>
          <w:rFonts w:ascii="Book Antiqua" w:eastAsia="Book Antiqua" w:hAnsi="Book Antiqua" w:cs="Book Antiqua"/>
          <w:b/>
          <w:bCs/>
          <w:color w:val="000000"/>
        </w:rPr>
        <w:t xml:space="preserve"> Mean Survival (days) - Forest Plot.</w:t>
      </w:r>
      <w:r w:rsidRPr="00026E39">
        <w:rPr>
          <w:rFonts w:ascii="Book Antiqua" w:eastAsia="Book Antiqua" w:hAnsi="Book Antiqua" w:cs="Book Antiqua"/>
          <w:color w:val="000000"/>
        </w:rPr>
        <w:t xml:space="preserve"> </w:t>
      </w:r>
      <w:r w:rsidR="00067D65" w:rsidRPr="00026E39">
        <w:rPr>
          <w:rFonts w:ascii="Book Antiqua" w:eastAsia="SimSun" w:hAnsi="Book Antiqua" w:cs="SimSun"/>
          <w:color w:val="000000"/>
          <w:lang w:eastAsia="zh-CN"/>
        </w:rPr>
        <w:t>CI:</w:t>
      </w:r>
      <w:r w:rsidR="00067D65" w:rsidRPr="00026E39">
        <w:rPr>
          <w:rFonts w:ascii="Book Antiqua" w:eastAsia="Book Antiqua" w:hAnsi="Book Antiqua" w:cs="Book Antiqua"/>
          <w:color w:val="000000"/>
        </w:rPr>
        <w:t xml:space="preserve"> Confidence interval; </w:t>
      </w:r>
      <w:r w:rsidRPr="00026E39">
        <w:rPr>
          <w:rFonts w:ascii="Book Antiqua" w:eastAsia="SimSun" w:hAnsi="Book Antiqua" w:cs="SimSun"/>
          <w:color w:val="000000"/>
          <w:lang w:eastAsia="zh-CN"/>
        </w:rPr>
        <w:t>PS:</w:t>
      </w:r>
      <w:r w:rsidRPr="00026E39">
        <w:rPr>
          <w:rFonts w:ascii="Book Antiqua" w:eastAsia="Book Antiqua" w:hAnsi="Book Antiqua" w:cs="Book Antiqua"/>
          <w:color w:val="000000"/>
        </w:rPr>
        <w:t xml:space="preserve"> Plastic stent;</w:t>
      </w:r>
      <w:r w:rsidRPr="00026E39">
        <w:rPr>
          <w:rFonts w:ascii="Book Antiqua" w:eastAsia="SimSun" w:hAnsi="Book Antiqua" w:cs="SimSun"/>
          <w:color w:val="000000"/>
          <w:lang w:eastAsia="zh-CN"/>
        </w:rPr>
        <w:t xml:space="preserve"> </w:t>
      </w:r>
      <w:r w:rsidRPr="00026E39">
        <w:rPr>
          <w:rFonts w:ascii="Book Antiqua" w:eastAsia="Book Antiqua" w:hAnsi="Book Antiqua" w:cs="Book Antiqua"/>
          <w:color w:val="000000"/>
        </w:rPr>
        <w:t>SEMS: Self-expanding metal stent.</w:t>
      </w:r>
    </w:p>
    <w:p w14:paraId="32DBB184" w14:textId="77777777" w:rsidR="004B6445" w:rsidRPr="00026E39" w:rsidRDefault="004B6445" w:rsidP="004B6445">
      <w:pPr>
        <w:adjustRightInd w:val="0"/>
        <w:snapToGrid w:val="0"/>
        <w:spacing w:line="360" w:lineRule="auto"/>
        <w:jc w:val="both"/>
        <w:rPr>
          <w:rFonts w:ascii="Book Antiqua" w:hAnsi="Book Antiqua"/>
        </w:rPr>
      </w:pPr>
      <w:r w:rsidRPr="00026E39">
        <w:rPr>
          <w:rFonts w:ascii="Book Antiqua" w:hAnsi="Book Antiqua"/>
        </w:rPr>
        <w:br w:type="page"/>
      </w:r>
      <w:r w:rsidRPr="00026E39">
        <w:rPr>
          <w:rFonts w:ascii="Book Antiqua" w:hAnsi="Book Antiqua"/>
          <w:noProof/>
          <w:lang w:eastAsia="zh-CN"/>
        </w:rPr>
        <w:lastRenderedPageBreak/>
        <w:drawing>
          <wp:inline distT="0" distB="0" distL="0" distR="0" wp14:anchorId="3830B3B0" wp14:editId="3F6A3D41">
            <wp:extent cx="5943600" cy="4518025"/>
            <wp:effectExtent l="0" t="0" r="0" b="0"/>
            <wp:docPr id="7" name="Imagem 6">
              <a:extLst xmlns:a="http://schemas.openxmlformats.org/drawingml/2006/main">
                <a:ext uri="{FF2B5EF4-FFF2-40B4-BE49-F238E27FC236}">
                  <a16:creationId xmlns:a16="http://schemas.microsoft.com/office/drawing/2014/main" id="{10CD3006-D3C3-4269-9CD4-40F491471B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10CD3006-D3C3-4269-9CD4-40F491471B4A}"/>
                        </a:ext>
                      </a:extLst>
                    </pic:cNvPr>
                    <pic:cNvPicPr>
                      <a:picLocks noChangeAspect="1"/>
                    </pic:cNvPicPr>
                  </pic:nvPicPr>
                  <pic:blipFill>
                    <a:blip r:embed="rId12"/>
                    <a:stretch>
                      <a:fillRect/>
                    </a:stretch>
                  </pic:blipFill>
                  <pic:spPr>
                    <a:xfrm>
                      <a:off x="0" y="0"/>
                      <a:ext cx="5943600" cy="4518025"/>
                    </a:xfrm>
                    <a:prstGeom prst="rect">
                      <a:avLst/>
                    </a:prstGeom>
                  </pic:spPr>
                </pic:pic>
              </a:graphicData>
            </a:graphic>
          </wp:inline>
        </w:drawing>
      </w:r>
    </w:p>
    <w:p w14:paraId="3135F3BD" w14:textId="1602E416" w:rsidR="004B6445" w:rsidRPr="00026E39" w:rsidRDefault="004B6445" w:rsidP="004B6445">
      <w:pPr>
        <w:adjustRightInd w:val="0"/>
        <w:snapToGrid w:val="0"/>
        <w:spacing w:line="360" w:lineRule="auto"/>
        <w:jc w:val="both"/>
        <w:rPr>
          <w:rFonts w:ascii="Book Antiqua" w:eastAsia="Book Antiqua" w:hAnsi="Book Antiqua" w:cs="Book Antiqua"/>
          <w:color w:val="000000"/>
        </w:rPr>
      </w:pPr>
      <w:r w:rsidRPr="00026E39">
        <w:rPr>
          <w:rFonts w:ascii="Book Antiqua" w:eastAsia="Book Antiqua" w:hAnsi="Book Antiqua" w:cs="Book Antiqua"/>
          <w:b/>
          <w:bCs/>
          <w:color w:val="000000"/>
        </w:rPr>
        <w:t xml:space="preserve">Figure </w:t>
      </w:r>
      <w:r>
        <w:rPr>
          <w:rFonts w:ascii="Book Antiqua" w:eastAsia="Book Antiqua" w:hAnsi="Book Antiqua" w:cs="Book Antiqua"/>
          <w:b/>
          <w:bCs/>
          <w:color w:val="000000"/>
        </w:rPr>
        <w:t>5</w:t>
      </w:r>
      <w:r w:rsidRPr="00026E39">
        <w:rPr>
          <w:rFonts w:ascii="Book Antiqua" w:eastAsia="Book Antiqua" w:hAnsi="Book Antiqua" w:cs="Book Antiqua"/>
          <w:b/>
          <w:bCs/>
          <w:color w:val="000000"/>
        </w:rPr>
        <w:t xml:space="preserve"> Adverse events - Forest Plot. </w:t>
      </w:r>
      <w:r w:rsidR="00067D65" w:rsidRPr="00026E39">
        <w:rPr>
          <w:rFonts w:ascii="Book Antiqua" w:eastAsia="SimSun" w:hAnsi="Book Antiqua" w:cs="SimSun"/>
          <w:color w:val="000000"/>
          <w:lang w:eastAsia="zh-CN"/>
        </w:rPr>
        <w:t>CI:</w:t>
      </w:r>
      <w:r w:rsidR="00067D65" w:rsidRPr="00026E39">
        <w:rPr>
          <w:rFonts w:ascii="Book Antiqua" w:eastAsia="Book Antiqua" w:hAnsi="Book Antiqua" w:cs="Book Antiqua"/>
          <w:color w:val="000000"/>
        </w:rPr>
        <w:t xml:space="preserve"> Confidence interval; </w:t>
      </w:r>
      <w:r w:rsidRPr="00026E39">
        <w:rPr>
          <w:rFonts w:ascii="Book Antiqua" w:eastAsia="SimSun" w:hAnsi="Book Antiqua" w:cs="SimSun"/>
          <w:color w:val="000000"/>
          <w:lang w:eastAsia="zh-CN"/>
        </w:rPr>
        <w:t>PS:</w:t>
      </w:r>
      <w:r w:rsidRPr="00026E39">
        <w:rPr>
          <w:rFonts w:ascii="Book Antiqua" w:eastAsia="Book Antiqua" w:hAnsi="Book Antiqua" w:cs="Book Antiqua"/>
          <w:color w:val="000000"/>
        </w:rPr>
        <w:t xml:space="preserve"> Plastic stent;</w:t>
      </w:r>
      <w:r w:rsidRPr="00026E39">
        <w:rPr>
          <w:rFonts w:ascii="Book Antiqua" w:eastAsia="SimSun" w:hAnsi="Book Antiqua" w:cs="SimSun"/>
          <w:color w:val="000000"/>
          <w:lang w:eastAsia="zh-CN"/>
        </w:rPr>
        <w:t xml:space="preserve"> </w:t>
      </w:r>
      <w:r w:rsidRPr="00026E39">
        <w:rPr>
          <w:rFonts w:ascii="Book Antiqua" w:eastAsia="Book Antiqua" w:hAnsi="Book Antiqua" w:cs="Book Antiqua"/>
          <w:color w:val="000000"/>
        </w:rPr>
        <w:t>SEMS: Self-expanding metal stent.</w:t>
      </w:r>
    </w:p>
    <w:p w14:paraId="7DD46AE1" w14:textId="77777777" w:rsidR="004B6445" w:rsidRPr="00026E39" w:rsidRDefault="004B6445" w:rsidP="004B6445">
      <w:pPr>
        <w:adjustRightInd w:val="0"/>
        <w:snapToGrid w:val="0"/>
        <w:spacing w:line="360" w:lineRule="auto"/>
        <w:jc w:val="both"/>
        <w:rPr>
          <w:rFonts w:ascii="Book Antiqua" w:eastAsia="Book Antiqua" w:hAnsi="Book Antiqua" w:cs="Book Antiqua"/>
          <w:color w:val="000000"/>
        </w:rPr>
      </w:pPr>
    </w:p>
    <w:p w14:paraId="5915360B" w14:textId="77777777" w:rsidR="004B6445" w:rsidRPr="00026E39" w:rsidRDefault="004B6445" w:rsidP="004B6445">
      <w:pPr>
        <w:adjustRightInd w:val="0"/>
        <w:snapToGrid w:val="0"/>
        <w:spacing w:line="360" w:lineRule="auto"/>
        <w:jc w:val="both"/>
        <w:rPr>
          <w:rFonts w:ascii="Book Antiqua" w:hAnsi="Book Antiqua"/>
          <w:b/>
          <w:bCs/>
        </w:rPr>
      </w:pPr>
      <w:r w:rsidRPr="00026E39">
        <w:rPr>
          <w:rFonts w:ascii="Book Antiqua" w:hAnsi="Book Antiqua"/>
          <w:b/>
          <w:bCs/>
        </w:rPr>
        <w:br w:type="page"/>
      </w:r>
      <w:r w:rsidRPr="00026E39">
        <w:rPr>
          <w:rFonts w:ascii="Book Antiqua" w:hAnsi="Book Antiqua"/>
          <w:b/>
          <w:bCs/>
          <w:noProof/>
          <w:lang w:eastAsia="zh-CN"/>
        </w:rPr>
        <w:lastRenderedPageBreak/>
        <w:drawing>
          <wp:inline distT="0" distB="0" distL="0" distR="0" wp14:anchorId="69BCCA0A" wp14:editId="0A9FE343">
            <wp:extent cx="5943600" cy="4377055"/>
            <wp:effectExtent l="0" t="0" r="0" b="0"/>
            <wp:docPr id="2" name="Imagem 6">
              <a:extLst xmlns:a="http://schemas.openxmlformats.org/drawingml/2006/main">
                <a:ext uri="{FF2B5EF4-FFF2-40B4-BE49-F238E27FC236}">
                  <a16:creationId xmlns:a16="http://schemas.microsoft.com/office/drawing/2014/main" id="{C723CD9F-85AC-4D3B-A869-73A5CEA551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C723CD9F-85AC-4D3B-A869-73A5CEA5517E}"/>
                        </a:ext>
                      </a:extLst>
                    </pic:cNvPr>
                    <pic:cNvPicPr>
                      <a:picLocks noChangeAspect="1"/>
                    </pic:cNvPicPr>
                  </pic:nvPicPr>
                  <pic:blipFill>
                    <a:blip r:embed="rId13"/>
                    <a:stretch>
                      <a:fillRect/>
                    </a:stretch>
                  </pic:blipFill>
                  <pic:spPr>
                    <a:xfrm>
                      <a:off x="0" y="0"/>
                      <a:ext cx="5943600" cy="4377055"/>
                    </a:xfrm>
                    <a:prstGeom prst="rect">
                      <a:avLst/>
                    </a:prstGeom>
                  </pic:spPr>
                </pic:pic>
              </a:graphicData>
            </a:graphic>
          </wp:inline>
        </w:drawing>
      </w:r>
    </w:p>
    <w:p w14:paraId="1DC72B06" w14:textId="5528225C" w:rsidR="004B6445" w:rsidRPr="00026E39" w:rsidRDefault="004B6445" w:rsidP="004B6445">
      <w:pPr>
        <w:adjustRightInd w:val="0"/>
        <w:snapToGrid w:val="0"/>
        <w:spacing w:line="360" w:lineRule="auto"/>
        <w:jc w:val="both"/>
        <w:rPr>
          <w:rFonts w:ascii="Book Antiqua" w:eastAsia="Book Antiqua" w:hAnsi="Book Antiqua" w:cs="Book Antiqua"/>
          <w:color w:val="000000"/>
        </w:rPr>
      </w:pPr>
      <w:r w:rsidRPr="00026E39">
        <w:rPr>
          <w:rFonts w:ascii="Book Antiqua" w:eastAsia="Book Antiqua" w:hAnsi="Book Antiqua" w:cs="Book Antiqua"/>
          <w:b/>
          <w:bCs/>
          <w:color w:val="000000"/>
        </w:rPr>
        <w:t xml:space="preserve">Figure </w:t>
      </w:r>
      <w:r>
        <w:rPr>
          <w:rFonts w:ascii="Book Antiqua" w:eastAsia="Book Antiqua" w:hAnsi="Book Antiqua" w:cs="Book Antiqua"/>
          <w:b/>
          <w:bCs/>
          <w:color w:val="000000"/>
        </w:rPr>
        <w:t>6</w:t>
      </w:r>
      <w:r w:rsidRPr="00026E39">
        <w:rPr>
          <w:rFonts w:ascii="Book Antiqua" w:eastAsia="Book Antiqua" w:hAnsi="Book Antiqua" w:cs="Book Antiqua"/>
          <w:b/>
          <w:bCs/>
          <w:color w:val="000000"/>
        </w:rPr>
        <w:t xml:space="preserve"> Stent dysfunction - Forest Plot. </w:t>
      </w:r>
      <w:r w:rsidR="00067D65" w:rsidRPr="00026E39">
        <w:rPr>
          <w:rFonts w:ascii="Book Antiqua" w:eastAsia="SimSun" w:hAnsi="Book Antiqua" w:cs="SimSun"/>
          <w:color w:val="000000"/>
          <w:lang w:eastAsia="zh-CN"/>
        </w:rPr>
        <w:t>CI:</w:t>
      </w:r>
      <w:r w:rsidR="00067D65" w:rsidRPr="00026E39">
        <w:rPr>
          <w:rFonts w:ascii="Book Antiqua" w:eastAsia="Book Antiqua" w:hAnsi="Book Antiqua" w:cs="Book Antiqua"/>
          <w:color w:val="000000"/>
        </w:rPr>
        <w:t xml:space="preserve"> Confidence interval; </w:t>
      </w:r>
      <w:r w:rsidRPr="00026E39">
        <w:rPr>
          <w:rFonts w:ascii="Book Antiqua" w:eastAsia="SimSun" w:hAnsi="Book Antiqua" w:cs="SimSun"/>
          <w:color w:val="000000"/>
          <w:lang w:eastAsia="zh-CN"/>
        </w:rPr>
        <w:t>PS:</w:t>
      </w:r>
      <w:r w:rsidRPr="00026E39">
        <w:rPr>
          <w:rFonts w:ascii="Book Antiqua" w:eastAsia="Book Antiqua" w:hAnsi="Book Antiqua" w:cs="Book Antiqua"/>
          <w:color w:val="000000"/>
        </w:rPr>
        <w:t xml:space="preserve"> Plastic stent;</w:t>
      </w:r>
      <w:r w:rsidRPr="00026E39">
        <w:rPr>
          <w:rFonts w:ascii="Book Antiqua" w:eastAsia="SimSun" w:hAnsi="Book Antiqua" w:cs="SimSun"/>
          <w:color w:val="000000"/>
          <w:lang w:eastAsia="zh-CN"/>
        </w:rPr>
        <w:t xml:space="preserve"> </w:t>
      </w:r>
      <w:r w:rsidRPr="00026E39">
        <w:rPr>
          <w:rFonts w:ascii="Book Antiqua" w:eastAsia="Book Antiqua" w:hAnsi="Book Antiqua" w:cs="Book Antiqua"/>
          <w:color w:val="000000"/>
        </w:rPr>
        <w:t>SEMS: Self-expanding metal stent.</w:t>
      </w:r>
    </w:p>
    <w:p w14:paraId="7CCA55A6" w14:textId="77777777" w:rsidR="004B6445" w:rsidRPr="00026E39" w:rsidRDefault="004B6445" w:rsidP="004B6445">
      <w:pPr>
        <w:adjustRightInd w:val="0"/>
        <w:snapToGrid w:val="0"/>
        <w:spacing w:line="360" w:lineRule="auto"/>
        <w:jc w:val="both"/>
        <w:rPr>
          <w:rFonts w:ascii="Book Antiqua" w:hAnsi="Book Antiqua"/>
          <w:b/>
          <w:bCs/>
        </w:rPr>
      </w:pPr>
      <w:r w:rsidRPr="00026E39">
        <w:rPr>
          <w:rFonts w:ascii="Book Antiqua" w:hAnsi="Book Antiqua"/>
          <w:b/>
          <w:bCs/>
        </w:rPr>
        <w:br w:type="page"/>
      </w:r>
      <w:r w:rsidRPr="00026E39">
        <w:rPr>
          <w:rFonts w:ascii="Book Antiqua" w:hAnsi="Book Antiqua"/>
          <w:b/>
          <w:bCs/>
          <w:noProof/>
          <w:lang w:eastAsia="zh-CN"/>
        </w:rPr>
        <w:lastRenderedPageBreak/>
        <w:drawing>
          <wp:inline distT="0" distB="0" distL="0" distR="0" wp14:anchorId="32DE3DF5" wp14:editId="12FBB7D3">
            <wp:extent cx="5943600" cy="3274695"/>
            <wp:effectExtent l="0" t="0" r="0" b="0"/>
            <wp:docPr id="3" name="Imagem 6">
              <a:extLst xmlns:a="http://schemas.openxmlformats.org/drawingml/2006/main">
                <a:ext uri="{FF2B5EF4-FFF2-40B4-BE49-F238E27FC236}">
                  <a16:creationId xmlns:a16="http://schemas.microsoft.com/office/drawing/2014/main" id="{0FE39A90-4429-447D-931C-172864345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0FE39A90-4429-447D-931C-17286434500A}"/>
                        </a:ext>
                      </a:extLst>
                    </pic:cNvPr>
                    <pic:cNvPicPr>
                      <a:picLocks noChangeAspect="1"/>
                    </pic:cNvPicPr>
                  </pic:nvPicPr>
                  <pic:blipFill>
                    <a:blip r:embed="rId14"/>
                    <a:stretch>
                      <a:fillRect/>
                    </a:stretch>
                  </pic:blipFill>
                  <pic:spPr>
                    <a:xfrm>
                      <a:off x="0" y="0"/>
                      <a:ext cx="5943600" cy="3274695"/>
                    </a:xfrm>
                    <a:prstGeom prst="rect">
                      <a:avLst/>
                    </a:prstGeom>
                  </pic:spPr>
                </pic:pic>
              </a:graphicData>
            </a:graphic>
          </wp:inline>
        </w:drawing>
      </w:r>
    </w:p>
    <w:p w14:paraId="7944C4A7" w14:textId="4794F6D8" w:rsidR="004B6445" w:rsidRPr="00026E39" w:rsidRDefault="004B6445" w:rsidP="004B6445">
      <w:pPr>
        <w:adjustRightInd w:val="0"/>
        <w:snapToGrid w:val="0"/>
        <w:spacing w:line="360" w:lineRule="auto"/>
        <w:jc w:val="both"/>
        <w:rPr>
          <w:rFonts w:ascii="Book Antiqua" w:eastAsia="Book Antiqua" w:hAnsi="Book Antiqua" w:cs="Book Antiqua"/>
          <w:color w:val="000000"/>
        </w:rPr>
      </w:pPr>
      <w:r w:rsidRPr="00026E39">
        <w:rPr>
          <w:rFonts w:ascii="Book Antiqua" w:eastAsia="Book Antiqua" w:hAnsi="Book Antiqua" w:cs="Book Antiqua"/>
          <w:b/>
          <w:bCs/>
          <w:color w:val="000000"/>
        </w:rPr>
        <w:t xml:space="preserve">Figure </w:t>
      </w:r>
      <w:r>
        <w:rPr>
          <w:rFonts w:ascii="Book Antiqua" w:eastAsia="Book Antiqua" w:hAnsi="Book Antiqua" w:cs="Book Antiqua"/>
          <w:b/>
          <w:bCs/>
          <w:color w:val="000000"/>
        </w:rPr>
        <w:t>7</w:t>
      </w:r>
      <w:r w:rsidRPr="00026E39">
        <w:rPr>
          <w:rFonts w:ascii="Book Antiqua" w:eastAsia="Book Antiqua" w:hAnsi="Book Antiqua" w:cs="Book Antiqua"/>
          <w:b/>
          <w:bCs/>
          <w:color w:val="000000"/>
        </w:rPr>
        <w:t xml:space="preserve"> Stent patency (days) - Forest Plot. </w:t>
      </w:r>
      <w:r w:rsidR="00067D65" w:rsidRPr="00026E39">
        <w:rPr>
          <w:rFonts w:ascii="Book Antiqua" w:eastAsia="SimSun" w:hAnsi="Book Antiqua" w:cs="SimSun"/>
          <w:color w:val="000000"/>
          <w:lang w:eastAsia="zh-CN"/>
        </w:rPr>
        <w:t>CI:</w:t>
      </w:r>
      <w:r w:rsidR="00067D65" w:rsidRPr="00026E39">
        <w:rPr>
          <w:rFonts w:ascii="Book Antiqua" w:eastAsia="Book Antiqua" w:hAnsi="Book Antiqua" w:cs="Book Antiqua"/>
          <w:color w:val="000000"/>
        </w:rPr>
        <w:t xml:space="preserve"> Confidence interval; </w:t>
      </w:r>
      <w:r w:rsidRPr="00026E39">
        <w:rPr>
          <w:rFonts w:ascii="Book Antiqua" w:eastAsia="SimSun" w:hAnsi="Book Antiqua" w:cs="SimSun"/>
          <w:color w:val="000000"/>
          <w:lang w:eastAsia="zh-CN"/>
        </w:rPr>
        <w:t>PS:</w:t>
      </w:r>
      <w:r w:rsidRPr="00026E39">
        <w:rPr>
          <w:rFonts w:ascii="Book Antiqua" w:eastAsia="Book Antiqua" w:hAnsi="Book Antiqua" w:cs="Book Antiqua"/>
          <w:color w:val="000000"/>
        </w:rPr>
        <w:t xml:space="preserve"> Plastic stent;</w:t>
      </w:r>
      <w:r w:rsidRPr="00026E39">
        <w:rPr>
          <w:rFonts w:ascii="Book Antiqua" w:eastAsia="SimSun" w:hAnsi="Book Antiqua" w:cs="SimSun"/>
          <w:color w:val="000000"/>
          <w:lang w:eastAsia="zh-CN"/>
        </w:rPr>
        <w:t xml:space="preserve"> </w:t>
      </w:r>
      <w:r w:rsidRPr="00026E39">
        <w:rPr>
          <w:rFonts w:ascii="Book Antiqua" w:eastAsia="Book Antiqua" w:hAnsi="Book Antiqua" w:cs="Book Antiqua"/>
          <w:color w:val="000000"/>
        </w:rPr>
        <w:t>SEMS: Self-expanding metal stent.</w:t>
      </w:r>
    </w:p>
    <w:p w14:paraId="5E39248A" w14:textId="77777777" w:rsidR="004B6445" w:rsidRPr="00026E39" w:rsidRDefault="004B6445" w:rsidP="004B6445">
      <w:pPr>
        <w:adjustRightInd w:val="0"/>
        <w:snapToGrid w:val="0"/>
        <w:spacing w:line="360" w:lineRule="auto"/>
        <w:jc w:val="both"/>
        <w:rPr>
          <w:rFonts w:ascii="Book Antiqua" w:hAnsi="Book Antiqua"/>
          <w:b/>
          <w:bCs/>
        </w:rPr>
      </w:pPr>
      <w:r w:rsidRPr="00026E39">
        <w:rPr>
          <w:rFonts w:ascii="Book Antiqua" w:hAnsi="Book Antiqua"/>
          <w:b/>
          <w:bCs/>
        </w:rPr>
        <w:br w:type="page"/>
      </w:r>
      <w:r w:rsidRPr="00026E39">
        <w:rPr>
          <w:rFonts w:ascii="Book Antiqua" w:hAnsi="Book Antiqua"/>
          <w:b/>
          <w:bCs/>
          <w:noProof/>
          <w:lang w:eastAsia="zh-CN"/>
        </w:rPr>
        <w:lastRenderedPageBreak/>
        <w:drawing>
          <wp:inline distT="0" distB="0" distL="0" distR="0" wp14:anchorId="5DC7C8A2" wp14:editId="5468C46B">
            <wp:extent cx="5943600" cy="3085465"/>
            <wp:effectExtent l="0" t="0" r="0" b="0"/>
            <wp:docPr id="4" name="Imagem 6">
              <a:extLst xmlns:a="http://schemas.openxmlformats.org/drawingml/2006/main">
                <a:ext uri="{FF2B5EF4-FFF2-40B4-BE49-F238E27FC236}">
                  <a16:creationId xmlns:a16="http://schemas.microsoft.com/office/drawing/2014/main" id="{6A26523B-39E1-4D85-95A7-37C3C0D37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6A26523B-39E1-4D85-95A7-37C3C0D37E71}"/>
                        </a:ext>
                      </a:extLst>
                    </pic:cNvPr>
                    <pic:cNvPicPr>
                      <a:picLocks noChangeAspect="1"/>
                    </pic:cNvPicPr>
                  </pic:nvPicPr>
                  <pic:blipFill>
                    <a:blip r:embed="rId15"/>
                    <a:stretch>
                      <a:fillRect/>
                    </a:stretch>
                  </pic:blipFill>
                  <pic:spPr>
                    <a:xfrm>
                      <a:off x="0" y="0"/>
                      <a:ext cx="5943600" cy="3085465"/>
                    </a:xfrm>
                    <a:prstGeom prst="rect">
                      <a:avLst/>
                    </a:prstGeom>
                  </pic:spPr>
                </pic:pic>
              </a:graphicData>
            </a:graphic>
          </wp:inline>
        </w:drawing>
      </w:r>
    </w:p>
    <w:p w14:paraId="513BB54C" w14:textId="66583E2A" w:rsidR="004B6445" w:rsidRPr="00026E39" w:rsidRDefault="004B6445" w:rsidP="004B6445">
      <w:pPr>
        <w:adjustRightInd w:val="0"/>
        <w:snapToGrid w:val="0"/>
        <w:spacing w:line="360" w:lineRule="auto"/>
        <w:jc w:val="both"/>
        <w:rPr>
          <w:rFonts w:ascii="Book Antiqua" w:eastAsia="Book Antiqua" w:hAnsi="Book Antiqua" w:cs="Book Antiqua"/>
          <w:color w:val="000000"/>
        </w:rPr>
      </w:pPr>
      <w:r w:rsidRPr="00026E39">
        <w:rPr>
          <w:rFonts w:ascii="Book Antiqua" w:eastAsia="Book Antiqua" w:hAnsi="Book Antiqua" w:cs="Book Antiqua"/>
          <w:b/>
          <w:bCs/>
          <w:color w:val="000000"/>
        </w:rPr>
        <w:t xml:space="preserve">Figure </w:t>
      </w:r>
      <w:r>
        <w:rPr>
          <w:rFonts w:ascii="Book Antiqua" w:eastAsia="Book Antiqua" w:hAnsi="Book Antiqua" w:cs="Book Antiqua"/>
          <w:b/>
          <w:bCs/>
          <w:color w:val="000000"/>
        </w:rPr>
        <w:t>8</w:t>
      </w:r>
      <w:r w:rsidRPr="00026E39">
        <w:rPr>
          <w:rFonts w:ascii="Book Antiqua" w:eastAsia="Book Antiqua" w:hAnsi="Book Antiqua" w:cs="Book Antiqua"/>
          <w:b/>
          <w:bCs/>
          <w:color w:val="000000"/>
        </w:rPr>
        <w:t xml:space="preserve"> Reinterventions (dichotomic) - Forest Plot. </w:t>
      </w:r>
      <w:r w:rsidR="00067D65" w:rsidRPr="00026E39">
        <w:rPr>
          <w:rFonts w:ascii="Book Antiqua" w:eastAsia="SimSun" w:hAnsi="Book Antiqua" w:cs="SimSun"/>
          <w:color w:val="000000"/>
          <w:lang w:eastAsia="zh-CN"/>
        </w:rPr>
        <w:t>CI:</w:t>
      </w:r>
      <w:r w:rsidR="00067D65" w:rsidRPr="00026E39">
        <w:rPr>
          <w:rFonts w:ascii="Book Antiqua" w:eastAsia="Book Antiqua" w:hAnsi="Book Antiqua" w:cs="Book Antiqua"/>
          <w:color w:val="000000"/>
        </w:rPr>
        <w:t xml:space="preserve"> Confidence interval; </w:t>
      </w:r>
      <w:r w:rsidRPr="00026E39">
        <w:rPr>
          <w:rFonts w:ascii="Book Antiqua" w:eastAsia="SimSun" w:hAnsi="Book Antiqua" w:cs="SimSun"/>
          <w:color w:val="000000"/>
          <w:lang w:eastAsia="zh-CN"/>
        </w:rPr>
        <w:t>PS:</w:t>
      </w:r>
      <w:r w:rsidRPr="00026E39">
        <w:rPr>
          <w:rFonts w:ascii="Book Antiqua" w:eastAsia="Book Antiqua" w:hAnsi="Book Antiqua" w:cs="Book Antiqua"/>
          <w:color w:val="000000"/>
        </w:rPr>
        <w:t xml:space="preserve"> Plastic stent;</w:t>
      </w:r>
      <w:r w:rsidRPr="00026E39">
        <w:rPr>
          <w:rFonts w:ascii="Book Antiqua" w:eastAsia="SimSun" w:hAnsi="Book Antiqua" w:cs="SimSun"/>
          <w:color w:val="000000"/>
          <w:lang w:eastAsia="zh-CN"/>
        </w:rPr>
        <w:t xml:space="preserve"> </w:t>
      </w:r>
      <w:r w:rsidRPr="00026E39">
        <w:rPr>
          <w:rFonts w:ascii="Book Antiqua" w:eastAsia="Book Antiqua" w:hAnsi="Book Antiqua" w:cs="Book Antiqua"/>
          <w:color w:val="000000"/>
        </w:rPr>
        <w:t>SEMS: Self-expanding metal stent.</w:t>
      </w:r>
    </w:p>
    <w:p w14:paraId="7AA7056A" w14:textId="77777777" w:rsidR="004B6445" w:rsidRPr="00026E39" w:rsidRDefault="004B6445" w:rsidP="004B6445">
      <w:pPr>
        <w:adjustRightInd w:val="0"/>
        <w:snapToGrid w:val="0"/>
        <w:spacing w:line="360" w:lineRule="auto"/>
        <w:jc w:val="both"/>
        <w:rPr>
          <w:rFonts w:ascii="Book Antiqua" w:hAnsi="Book Antiqua"/>
          <w:b/>
          <w:bCs/>
        </w:rPr>
      </w:pPr>
      <w:r w:rsidRPr="00026E39">
        <w:rPr>
          <w:rFonts w:ascii="Book Antiqua" w:hAnsi="Book Antiqua"/>
          <w:b/>
          <w:bCs/>
        </w:rPr>
        <w:br w:type="page"/>
      </w:r>
      <w:r w:rsidRPr="00026E39">
        <w:rPr>
          <w:rFonts w:ascii="Book Antiqua" w:hAnsi="Book Antiqua"/>
          <w:b/>
          <w:bCs/>
          <w:noProof/>
          <w:lang w:eastAsia="zh-CN"/>
        </w:rPr>
        <w:lastRenderedPageBreak/>
        <w:drawing>
          <wp:inline distT="0" distB="0" distL="0" distR="0" wp14:anchorId="52442758" wp14:editId="1BA63915">
            <wp:extent cx="5943600" cy="2305050"/>
            <wp:effectExtent l="0" t="0" r="0" b="0"/>
            <wp:docPr id="6" name="Imagem 6">
              <a:extLst xmlns:a="http://schemas.openxmlformats.org/drawingml/2006/main">
                <a:ext uri="{FF2B5EF4-FFF2-40B4-BE49-F238E27FC236}">
                  <a16:creationId xmlns:a16="http://schemas.microsoft.com/office/drawing/2014/main" id="{81E7626F-2F20-4E6E-AE81-3040F8DCB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81E7626F-2F20-4E6E-AE81-3040F8DCB083}"/>
                        </a:ext>
                      </a:extLst>
                    </pic:cNvPr>
                    <pic:cNvPicPr>
                      <a:picLocks noChangeAspect="1"/>
                    </pic:cNvPicPr>
                  </pic:nvPicPr>
                  <pic:blipFill>
                    <a:blip r:embed="rId16"/>
                    <a:stretch>
                      <a:fillRect/>
                    </a:stretch>
                  </pic:blipFill>
                  <pic:spPr>
                    <a:xfrm>
                      <a:off x="0" y="0"/>
                      <a:ext cx="5943600" cy="2305050"/>
                    </a:xfrm>
                    <a:prstGeom prst="rect">
                      <a:avLst/>
                    </a:prstGeom>
                  </pic:spPr>
                </pic:pic>
              </a:graphicData>
            </a:graphic>
          </wp:inline>
        </w:drawing>
      </w:r>
    </w:p>
    <w:p w14:paraId="132EB414" w14:textId="5A31095B" w:rsidR="004B6445" w:rsidRDefault="004B6445" w:rsidP="004B6445">
      <w:pPr>
        <w:adjustRightInd w:val="0"/>
        <w:snapToGrid w:val="0"/>
        <w:spacing w:line="360" w:lineRule="auto"/>
        <w:jc w:val="both"/>
      </w:pPr>
      <w:r w:rsidRPr="00026E39">
        <w:rPr>
          <w:rFonts w:ascii="Book Antiqua" w:eastAsia="Book Antiqua" w:hAnsi="Book Antiqua" w:cs="Book Antiqua"/>
          <w:b/>
          <w:bCs/>
          <w:color w:val="000000"/>
        </w:rPr>
        <w:t xml:space="preserve">Figure </w:t>
      </w:r>
      <w:r>
        <w:rPr>
          <w:rFonts w:ascii="Book Antiqua" w:eastAsia="Book Antiqua" w:hAnsi="Book Antiqua" w:cs="Book Antiqua"/>
          <w:b/>
          <w:bCs/>
          <w:color w:val="000000"/>
        </w:rPr>
        <w:t>9</w:t>
      </w:r>
      <w:r w:rsidRPr="00026E39">
        <w:rPr>
          <w:rFonts w:ascii="Book Antiqua" w:eastAsia="Book Antiqua" w:hAnsi="Book Antiqua" w:cs="Book Antiqua"/>
          <w:b/>
          <w:bCs/>
          <w:color w:val="000000"/>
        </w:rPr>
        <w:t xml:space="preserve"> Reinterventions (continuous) - Forest Plot. </w:t>
      </w:r>
      <w:r w:rsidR="00067D65" w:rsidRPr="00026E39">
        <w:rPr>
          <w:rFonts w:ascii="Book Antiqua" w:eastAsia="SimSun" w:hAnsi="Book Antiqua" w:cs="SimSun"/>
          <w:color w:val="000000"/>
          <w:lang w:eastAsia="zh-CN"/>
        </w:rPr>
        <w:t>CI:</w:t>
      </w:r>
      <w:r w:rsidR="00067D65" w:rsidRPr="00026E39">
        <w:rPr>
          <w:rFonts w:ascii="Book Antiqua" w:eastAsia="Book Antiqua" w:hAnsi="Book Antiqua" w:cs="Book Antiqua"/>
          <w:color w:val="000000"/>
        </w:rPr>
        <w:t xml:space="preserve"> Confidence interval</w:t>
      </w:r>
      <w:r w:rsidR="00067D65">
        <w:rPr>
          <w:rFonts w:ascii="Book Antiqua" w:eastAsia="Book Antiqua" w:hAnsi="Book Antiqua" w:cs="Book Antiqua"/>
          <w:color w:val="000000"/>
        </w:rPr>
        <w:t xml:space="preserve">; </w:t>
      </w:r>
      <w:r w:rsidRPr="00026E39">
        <w:rPr>
          <w:rFonts w:ascii="Book Antiqua" w:eastAsia="SimSun" w:hAnsi="Book Antiqua" w:cs="SimSun"/>
          <w:color w:val="000000"/>
          <w:lang w:eastAsia="zh-CN"/>
        </w:rPr>
        <w:t>PS:</w:t>
      </w:r>
      <w:r w:rsidRPr="00026E39">
        <w:rPr>
          <w:rFonts w:ascii="Book Antiqua" w:eastAsia="Book Antiqua" w:hAnsi="Book Antiqua" w:cs="Book Antiqua"/>
          <w:color w:val="000000"/>
        </w:rPr>
        <w:t xml:space="preserve"> Plastic stent</w:t>
      </w:r>
      <w:r w:rsidR="00067D65">
        <w:rPr>
          <w:rFonts w:ascii="Book Antiqua" w:eastAsia="SimSun" w:hAnsi="Book Antiqua" w:cs="SimSun"/>
          <w:color w:val="000000"/>
          <w:lang w:eastAsia="zh-CN"/>
        </w:rPr>
        <w:t>.</w:t>
      </w:r>
    </w:p>
    <w:p w14:paraId="01BF0EA7" w14:textId="77777777" w:rsidR="004B6445" w:rsidRPr="00026E39" w:rsidRDefault="004B6445" w:rsidP="004B6445">
      <w:pPr>
        <w:adjustRightInd w:val="0"/>
        <w:snapToGrid w:val="0"/>
        <w:spacing w:line="360" w:lineRule="auto"/>
        <w:jc w:val="both"/>
        <w:rPr>
          <w:rFonts w:ascii="Book Antiqua" w:eastAsia="Book Antiqua" w:hAnsi="Book Antiqua" w:cs="Book Antiqua"/>
          <w:color w:val="000000"/>
        </w:rPr>
        <w:sectPr w:rsidR="004B6445" w:rsidRPr="00026E39">
          <w:pgSz w:w="12240" w:h="15840"/>
          <w:pgMar w:top="1440" w:right="1440" w:bottom="1440" w:left="1440" w:header="720" w:footer="720" w:gutter="0"/>
          <w:cols w:space="720"/>
          <w:docGrid w:linePitch="360"/>
        </w:sectPr>
      </w:pPr>
    </w:p>
    <w:p w14:paraId="19A1D6AA" w14:textId="77777777" w:rsidR="004B6445" w:rsidRPr="00026E39" w:rsidRDefault="004B6445" w:rsidP="004B6445">
      <w:pPr>
        <w:adjustRightInd w:val="0"/>
        <w:snapToGrid w:val="0"/>
        <w:spacing w:line="360" w:lineRule="auto"/>
        <w:jc w:val="both"/>
        <w:rPr>
          <w:rFonts w:ascii="Book Antiqua" w:eastAsia="Book Antiqua" w:hAnsi="Book Antiqua" w:cs="Book Antiqua"/>
          <w:b/>
          <w:bCs/>
          <w:color w:val="000000"/>
        </w:rPr>
      </w:pPr>
      <w:r w:rsidRPr="00026E39">
        <w:rPr>
          <w:rFonts w:ascii="Book Antiqua" w:eastAsia="Book Antiqua" w:hAnsi="Book Antiqua" w:cs="Book Antiqua"/>
          <w:b/>
          <w:bCs/>
          <w:color w:val="000000"/>
        </w:rPr>
        <w:lastRenderedPageBreak/>
        <w:t>Table 1 Type of intervention and outcome for study</w:t>
      </w:r>
    </w:p>
    <w:tbl>
      <w:tblPr>
        <w:tblStyle w:val="TabeladeGrade5Escura-nfase11"/>
        <w:tblW w:w="10206" w:type="dxa"/>
        <w:tblInd w:w="108" w:type="dxa"/>
        <w:tblBorders>
          <w:bottom w:val="single" w:sz="4" w:space="0" w:color="auto"/>
        </w:tblBorders>
        <w:tblLayout w:type="fixed"/>
        <w:tblLook w:val="04A0" w:firstRow="1" w:lastRow="0" w:firstColumn="1" w:lastColumn="0" w:noHBand="0" w:noVBand="1"/>
      </w:tblPr>
      <w:tblGrid>
        <w:gridCol w:w="1701"/>
        <w:gridCol w:w="1134"/>
        <w:gridCol w:w="1701"/>
        <w:gridCol w:w="1843"/>
        <w:gridCol w:w="1701"/>
        <w:gridCol w:w="2126"/>
      </w:tblGrid>
      <w:tr w:rsidR="004B6445" w:rsidRPr="00026E39" w14:paraId="41D4D39A" w14:textId="77777777" w:rsidTr="004B64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shd w:val="clear" w:color="auto" w:fill="auto"/>
            <w:hideMark/>
          </w:tcPr>
          <w:p w14:paraId="70B501DD" w14:textId="77777777" w:rsidR="004B6445" w:rsidRPr="00026E39" w:rsidRDefault="004B6445" w:rsidP="00C97E7F">
            <w:pPr>
              <w:adjustRightInd w:val="0"/>
              <w:snapToGrid w:val="0"/>
              <w:spacing w:line="360" w:lineRule="auto"/>
              <w:jc w:val="both"/>
              <w:rPr>
                <w:rFonts w:ascii="Book Antiqua" w:hAnsi="Book Antiqua"/>
                <w:color w:val="000000"/>
              </w:rPr>
            </w:pPr>
            <w:r w:rsidRPr="00026E39">
              <w:rPr>
                <w:rFonts w:ascii="Book Antiqua" w:hAnsi="Book Antiqua"/>
                <w:color w:val="000000"/>
              </w:rPr>
              <w:t>Author</w:t>
            </w:r>
          </w:p>
        </w:tc>
        <w:tc>
          <w:tcPr>
            <w:tcW w:w="1134" w:type="dxa"/>
            <w:tcBorders>
              <w:top w:val="single" w:sz="4" w:space="0" w:color="auto"/>
              <w:bottom w:val="single" w:sz="4" w:space="0" w:color="auto"/>
            </w:tcBorders>
            <w:shd w:val="clear" w:color="auto" w:fill="auto"/>
            <w:hideMark/>
          </w:tcPr>
          <w:p w14:paraId="6B155E6A" w14:textId="77777777" w:rsidR="004B6445" w:rsidRPr="00026E39" w:rsidRDefault="004B6445" w:rsidP="00C97E7F">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rPr>
            </w:pPr>
            <w:r w:rsidRPr="00026E39">
              <w:rPr>
                <w:rFonts w:ascii="Book Antiqua" w:hAnsi="Book Antiqua"/>
                <w:color w:val="000000"/>
              </w:rPr>
              <w:t>Patients</w:t>
            </w:r>
          </w:p>
        </w:tc>
        <w:tc>
          <w:tcPr>
            <w:tcW w:w="1701" w:type="dxa"/>
            <w:tcBorders>
              <w:top w:val="single" w:sz="4" w:space="0" w:color="auto"/>
              <w:bottom w:val="single" w:sz="4" w:space="0" w:color="auto"/>
            </w:tcBorders>
            <w:shd w:val="clear" w:color="auto" w:fill="auto"/>
            <w:hideMark/>
          </w:tcPr>
          <w:p w14:paraId="2DD3EE56" w14:textId="77777777" w:rsidR="004B6445" w:rsidRPr="00026E39" w:rsidRDefault="004B6445" w:rsidP="00C97E7F">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rPr>
            </w:pPr>
            <w:r w:rsidRPr="00026E39">
              <w:rPr>
                <w:rFonts w:ascii="Book Antiqua" w:hAnsi="Book Antiqua"/>
                <w:color w:val="000000"/>
              </w:rPr>
              <w:t>P - palliative disease</w:t>
            </w:r>
          </w:p>
        </w:tc>
        <w:tc>
          <w:tcPr>
            <w:tcW w:w="1843" w:type="dxa"/>
            <w:tcBorders>
              <w:top w:val="single" w:sz="4" w:space="0" w:color="auto"/>
              <w:bottom w:val="single" w:sz="4" w:space="0" w:color="auto"/>
            </w:tcBorders>
            <w:shd w:val="clear" w:color="auto" w:fill="auto"/>
            <w:hideMark/>
          </w:tcPr>
          <w:p w14:paraId="366B2D63" w14:textId="77777777" w:rsidR="004B6445" w:rsidRPr="00026E39" w:rsidRDefault="004B6445" w:rsidP="00C97E7F">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rPr>
            </w:pPr>
            <w:r w:rsidRPr="00026E39">
              <w:rPr>
                <w:rFonts w:ascii="Book Antiqua" w:hAnsi="Book Antiqua"/>
                <w:color w:val="000000"/>
              </w:rPr>
              <w:t>I - intervention</w:t>
            </w:r>
          </w:p>
        </w:tc>
        <w:tc>
          <w:tcPr>
            <w:tcW w:w="1701" w:type="dxa"/>
            <w:tcBorders>
              <w:top w:val="single" w:sz="4" w:space="0" w:color="auto"/>
              <w:bottom w:val="single" w:sz="4" w:space="0" w:color="auto"/>
            </w:tcBorders>
            <w:shd w:val="clear" w:color="auto" w:fill="auto"/>
            <w:hideMark/>
          </w:tcPr>
          <w:p w14:paraId="48B90821" w14:textId="6CB02570" w:rsidR="004B6445" w:rsidRPr="00026E39" w:rsidRDefault="004B6445" w:rsidP="00C97E7F">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rPr>
            </w:pPr>
            <w:r w:rsidRPr="00026E39">
              <w:rPr>
                <w:rFonts w:ascii="Book Antiqua" w:hAnsi="Book Antiqua"/>
                <w:color w:val="000000"/>
              </w:rPr>
              <w:t>C</w:t>
            </w:r>
            <w:r w:rsidR="00C75166">
              <w:rPr>
                <w:rFonts w:ascii="Book Antiqua" w:hAnsi="Book Antiqua"/>
                <w:color w:val="000000"/>
              </w:rPr>
              <w:t xml:space="preserve"> </w:t>
            </w:r>
            <w:r w:rsidRPr="00026E39">
              <w:rPr>
                <w:rFonts w:ascii="Book Antiqua" w:hAnsi="Book Antiqua"/>
                <w:color w:val="000000"/>
              </w:rPr>
              <w:t>- control</w:t>
            </w:r>
          </w:p>
        </w:tc>
        <w:tc>
          <w:tcPr>
            <w:tcW w:w="2126" w:type="dxa"/>
            <w:tcBorders>
              <w:top w:val="single" w:sz="4" w:space="0" w:color="auto"/>
              <w:bottom w:val="single" w:sz="4" w:space="0" w:color="auto"/>
            </w:tcBorders>
            <w:shd w:val="clear" w:color="auto" w:fill="auto"/>
            <w:hideMark/>
          </w:tcPr>
          <w:p w14:paraId="7D79B9AB" w14:textId="77777777" w:rsidR="004B6445" w:rsidRPr="00026E39" w:rsidRDefault="004B6445" w:rsidP="00C97E7F">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rPr>
            </w:pPr>
            <w:r w:rsidRPr="00026E39">
              <w:rPr>
                <w:rFonts w:ascii="Book Antiqua" w:hAnsi="Book Antiqua"/>
                <w:color w:val="000000"/>
              </w:rPr>
              <w:t>O - outcomes</w:t>
            </w:r>
          </w:p>
        </w:tc>
      </w:tr>
      <w:tr w:rsidR="004B6445" w:rsidRPr="00026E39" w14:paraId="1CC84724" w14:textId="77777777" w:rsidTr="004B6445">
        <w:trPr>
          <w:trHeight w:val="763"/>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FFFFFF"/>
            </w:tcBorders>
            <w:shd w:val="clear" w:color="auto" w:fill="auto"/>
            <w:hideMark/>
          </w:tcPr>
          <w:p w14:paraId="1CC685CD" w14:textId="0F0D7889" w:rsidR="004B6445" w:rsidRPr="00026E39" w:rsidRDefault="004B6445" w:rsidP="00C97E7F">
            <w:pPr>
              <w:adjustRightInd w:val="0"/>
              <w:snapToGrid w:val="0"/>
              <w:spacing w:line="360" w:lineRule="auto"/>
              <w:jc w:val="both"/>
              <w:rPr>
                <w:rFonts w:ascii="Book Antiqua" w:hAnsi="Book Antiqua"/>
                <w:b w:val="0"/>
                <w:bCs w:val="0"/>
                <w:color w:val="000000"/>
              </w:rPr>
            </w:pPr>
            <w:r w:rsidRPr="00026E39">
              <w:rPr>
                <w:rFonts w:ascii="Book Antiqua" w:hAnsi="Book Antiqua"/>
                <w:b w:val="0"/>
                <w:bCs w:val="0"/>
                <w:color w:val="000000"/>
              </w:rPr>
              <w:t xml:space="preserve">Davids </w:t>
            </w:r>
            <w:r w:rsidRPr="004B6445">
              <w:rPr>
                <w:rFonts w:ascii="Book Antiqua" w:hAnsi="Book Antiqua"/>
                <w:b w:val="0"/>
                <w:bCs w:val="0"/>
                <w:i/>
                <w:color w:val="000000"/>
              </w:rPr>
              <w:t>et al</w:t>
            </w:r>
            <w:r w:rsidRPr="00026E39">
              <w:rPr>
                <w:rFonts w:ascii="Book Antiqua" w:hAnsi="Book Antiqua"/>
                <w:b w:val="0"/>
                <w:bCs w:val="0"/>
                <w:color w:val="000000"/>
                <w:vertAlign w:val="superscript"/>
              </w:rPr>
              <w:t>[15]</w:t>
            </w:r>
            <w:r>
              <w:rPr>
                <w:rFonts w:ascii="Book Antiqua" w:hAnsi="Book Antiqua"/>
                <w:b w:val="0"/>
                <w:bCs w:val="0"/>
                <w:color w:val="000000"/>
              </w:rPr>
              <w:t>, 1992</w:t>
            </w:r>
          </w:p>
        </w:tc>
        <w:tc>
          <w:tcPr>
            <w:tcW w:w="1134" w:type="dxa"/>
            <w:tcBorders>
              <w:top w:val="single" w:sz="4" w:space="0" w:color="auto"/>
              <w:bottom w:val="single" w:sz="4" w:space="0" w:color="FFFFFF"/>
            </w:tcBorders>
            <w:shd w:val="clear" w:color="auto" w:fill="auto"/>
            <w:hideMark/>
          </w:tcPr>
          <w:p w14:paraId="0707CE8F"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105</w:t>
            </w:r>
          </w:p>
        </w:tc>
        <w:tc>
          <w:tcPr>
            <w:tcW w:w="1701" w:type="dxa"/>
            <w:tcBorders>
              <w:top w:val="single" w:sz="4" w:space="0" w:color="auto"/>
              <w:bottom w:val="single" w:sz="4" w:space="0" w:color="FFFFFF"/>
            </w:tcBorders>
            <w:shd w:val="clear" w:color="auto" w:fill="auto"/>
            <w:hideMark/>
          </w:tcPr>
          <w:p w14:paraId="518C098F"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MBDO</w:t>
            </w:r>
          </w:p>
        </w:tc>
        <w:tc>
          <w:tcPr>
            <w:tcW w:w="1843" w:type="dxa"/>
            <w:tcBorders>
              <w:top w:val="single" w:sz="4" w:space="0" w:color="auto"/>
              <w:bottom w:val="single" w:sz="4" w:space="0" w:color="FFFFFF"/>
            </w:tcBorders>
            <w:shd w:val="clear" w:color="auto" w:fill="auto"/>
            <w:hideMark/>
          </w:tcPr>
          <w:p w14:paraId="045782FA"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49</w:t>
            </w:r>
          </w:p>
          <w:p w14:paraId="2C4863FF" w14:textId="5CC2C9D0"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 xml:space="preserve">8-10 mm </w:t>
            </w:r>
            <w:r>
              <w:rPr>
                <w:rFonts w:ascii="Book Antiqua" w:hAnsi="Book Antiqua"/>
              </w:rPr>
              <w:t>w</w:t>
            </w:r>
            <w:r w:rsidRPr="00026E39">
              <w:rPr>
                <w:rFonts w:ascii="Book Antiqua" w:hAnsi="Book Antiqua"/>
              </w:rPr>
              <w:t>allstent</w:t>
            </w:r>
          </w:p>
        </w:tc>
        <w:tc>
          <w:tcPr>
            <w:tcW w:w="1701" w:type="dxa"/>
            <w:tcBorders>
              <w:top w:val="single" w:sz="4" w:space="0" w:color="auto"/>
              <w:bottom w:val="single" w:sz="4" w:space="0" w:color="FFFFFF"/>
            </w:tcBorders>
            <w:shd w:val="clear" w:color="auto" w:fill="auto"/>
            <w:hideMark/>
          </w:tcPr>
          <w:p w14:paraId="703109CC"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56</w:t>
            </w:r>
          </w:p>
          <w:p w14:paraId="2451C0FC"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 xml:space="preserve">10 Fr PS straight </w:t>
            </w:r>
          </w:p>
        </w:tc>
        <w:tc>
          <w:tcPr>
            <w:tcW w:w="2126" w:type="dxa"/>
            <w:tcBorders>
              <w:top w:val="single" w:sz="4" w:space="0" w:color="auto"/>
              <w:bottom w:val="single" w:sz="4" w:space="0" w:color="FFFFFF"/>
            </w:tcBorders>
            <w:shd w:val="clear" w:color="auto" w:fill="auto"/>
            <w:hideMark/>
          </w:tcPr>
          <w:p w14:paraId="6F655059"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Stent dysfunction, mean survival, duration of patency, complications, reinterventions, clinical success</w:t>
            </w:r>
          </w:p>
        </w:tc>
      </w:tr>
      <w:tr w:rsidR="004B6445" w:rsidRPr="00026E39" w14:paraId="64454816" w14:textId="77777777" w:rsidTr="004B6445">
        <w:trPr>
          <w:trHeight w:val="687"/>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FFFFFF"/>
            </w:tcBorders>
            <w:shd w:val="clear" w:color="auto" w:fill="auto"/>
          </w:tcPr>
          <w:p w14:paraId="4A5DFDA1" w14:textId="77777777" w:rsidR="004B6445" w:rsidRPr="00026E39" w:rsidRDefault="004B6445" w:rsidP="00C97E7F">
            <w:pPr>
              <w:adjustRightInd w:val="0"/>
              <w:snapToGrid w:val="0"/>
              <w:spacing w:line="360" w:lineRule="auto"/>
              <w:jc w:val="both"/>
              <w:rPr>
                <w:rFonts w:ascii="Book Antiqua" w:hAnsi="Book Antiqua"/>
                <w:color w:val="000000"/>
              </w:rPr>
            </w:pPr>
          </w:p>
          <w:p w14:paraId="12D7E341" w14:textId="3049A73B" w:rsidR="004B6445" w:rsidRPr="00026E39" w:rsidRDefault="004B6445" w:rsidP="00C97E7F">
            <w:pPr>
              <w:adjustRightInd w:val="0"/>
              <w:snapToGrid w:val="0"/>
              <w:spacing w:line="360" w:lineRule="auto"/>
              <w:jc w:val="both"/>
              <w:rPr>
                <w:rFonts w:ascii="Book Antiqua" w:hAnsi="Book Antiqua"/>
                <w:b w:val="0"/>
                <w:bCs w:val="0"/>
                <w:color w:val="000000"/>
              </w:rPr>
            </w:pPr>
            <w:r w:rsidRPr="00026E39">
              <w:rPr>
                <w:rFonts w:ascii="Book Antiqua" w:hAnsi="Book Antiqua"/>
                <w:b w:val="0"/>
                <w:bCs w:val="0"/>
                <w:color w:val="000000"/>
              </w:rPr>
              <w:t xml:space="preserve">Knyrim </w:t>
            </w:r>
            <w:r w:rsidRPr="004B6445">
              <w:rPr>
                <w:rFonts w:ascii="Book Antiqua" w:hAnsi="Book Antiqua"/>
                <w:b w:val="0"/>
                <w:bCs w:val="0"/>
                <w:i/>
                <w:color w:val="000000"/>
              </w:rPr>
              <w:t>et al</w:t>
            </w:r>
            <w:r w:rsidRPr="00026E39">
              <w:rPr>
                <w:rFonts w:ascii="Book Antiqua" w:hAnsi="Book Antiqua"/>
                <w:b w:val="0"/>
                <w:bCs w:val="0"/>
                <w:color w:val="000000"/>
                <w:vertAlign w:val="superscript"/>
              </w:rPr>
              <w:t>[21]</w:t>
            </w:r>
            <w:r>
              <w:rPr>
                <w:rFonts w:ascii="Book Antiqua" w:hAnsi="Book Antiqua"/>
                <w:b w:val="0"/>
                <w:bCs w:val="0"/>
                <w:color w:val="000000"/>
              </w:rPr>
              <w:t>, 1993</w:t>
            </w:r>
          </w:p>
        </w:tc>
        <w:tc>
          <w:tcPr>
            <w:tcW w:w="1134" w:type="dxa"/>
            <w:tcBorders>
              <w:bottom w:val="single" w:sz="4" w:space="0" w:color="FFFFFF"/>
            </w:tcBorders>
            <w:shd w:val="clear" w:color="auto" w:fill="auto"/>
            <w:hideMark/>
          </w:tcPr>
          <w:p w14:paraId="7F35FF50"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62</w:t>
            </w:r>
          </w:p>
        </w:tc>
        <w:tc>
          <w:tcPr>
            <w:tcW w:w="1701" w:type="dxa"/>
            <w:tcBorders>
              <w:bottom w:val="single" w:sz="4" w:space="0" w:color="FFFFFF"/>
            </w:tcBorders>
            <w:shd w:val="clear" w:color="auto" w:fill="auto"/>
            <w:hideMark/>
          </w:tcPr>
          <w:p w14:paraId="5590A3EF"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MBDO</w:t>
            </w:r>
          </w:p>
        </w:tc>
        <w:tc>
          <w:tcPr>
            <w:tcW w:w="1843" w:type="dxa"/>
            <w:tcBorders>
              <w:bottom w:val="single" w:sz="4" w:space="0" w:color="FFFFFF"/>
            </w:tcBorders>
            <w:shd w:val="clear" w:color="auto" w:fill="auto"/>
            <w:hideMark/>
          </w:tcPr>
          <w:p w14:paraId="28EDFC0A"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31</w:t>
            </w:r>
          </w:p>
          <w:p w14:paraId="4CEADAE8" w14:textId="1645FA39"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 xml:space="preserve">8 mm </w:t>
            </w:r>
            <w:r>
              <w:rPr>
                <w:rFonts w:ascii="Book Antiqua" w:hAnsi="Book Antiqua"/>
              </w:rPr>
              <w:t>w</w:t>
            </w:r>
            <w:r w:rsidRPr="00026E39">
              <w:rPr>
                <w:rFonts w:ascii="Book Antiqua" w:hAnsi="Book Antiqua"/>
              </w:rPr>
              <w:t xml:space="preserve">allstent ou </w:t>
            </w:r>
            <w:r>
              <w:rPr>
                <w:rFonts w:ascii="Book Antiqua" w:hAnsi="Book Antiqua"/>
              </w:rPr>
              <w:t>s</w:t>
            </w:r>
            <w:r w:rsidRPr="00026E39">
              <w:rPr>
                <w:rFonts w:ascii="Book Antiqua" w:hAnsi="Book Antiqua"/>
              </w:rPr>
              <w:t>trecket stent (1 or 2)</w:t>
            </w:r>
          </w:p>
        </w:tc>
        <w:tc>
          <w:tcPr>
            <w:tcW w:w="1701" w:type="dxa"/>
            <w:tcBorders>
              <w:bottom w:val="single" w:sz="4" w:space="0" w:color="FFFFFF"/>
            </w:tcBorders>
            <w:shd w:val="clear" w:color="auto" w:fill="auto"/>
            <w:hideMark/>
          </w:tcPr>
          <w:p w14:paraId="68DCD6DD"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31</w:t>
            </w:r>
          </w:p>
          <w:p w14:paraId="7B2BBB4A" w14:textId="318A004E"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11</w:t>
            </w:r>
            <w:r>
              <w:rPr>
                <w:rFonts w:ascii="Book Antiqua" w:hAnsi="Book Antiqua"/>
              </w:rPr>
              <w:t>.</w:t>
            </w:r>
            <w:r w:rsidRPr="00026E39">
              <w:rPr>
                <w:rFonts w:ascii="Book Antiqua" w:hAnsi="Book Antiqua"/>
              </w:rPr>
              <w:t xml:space="preserve">5 Fr PS </w:t>
            </w:r>
          </w:p>
          <w:p w14:paraId="57BD125F"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If it fails à 14 Fr percutaneous technique</w:t>
            </w:r>
          </w:p>
        </w:tc>
        <w:tc>
          <w:tcPr>
            <w:tcW w:w="2126" w:type="dxa"/>
            <w:tcBorders>
              <w:bottom w:val="single" w:sz="4" w:space="0" w:color="FFFFFF"/>
            </w:tcBorders>
            <w:shd w:val="clear" w:color="auto" w:fill="auto"/>
            <w:hideMark/>
          </w:tcPr>
          <w:p w14:paraId="0B76B688"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Complications, stent dysfunctions, reinterventions, clinical success</w:t>
            </w:r>
          </w:p>
        </w:tc>
      </w:tr>
      <w:tr w:rsidR="004B6445" w:rsidRPr="00026E39" w14:paraId="51B5AA79" w14:textId="77777777" w:rsidTr="004B6445">
        <w:trPr>
          <w:trHeight w:val="714"/>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FFFFFF"/>
            </w:tcBorders>
            <w:shd w:val="clear" w:color="auto" w:fill="auto"/>
            <w:hideMark/>
          </w:tcPr>
          <w:p w14:paraId="50EB552C" w14:textId="0DAE377C" w:rsidR="004B6445" w:rsidRPr="00026E39" w:rsidRDefault="004B6445" w:rsidP="00C97E7F">
            <w:pPr>
              <w:adjustRightInd w:val="0"/>
              <w:snapToGrid w:val="0"/>
              <w:spacing w:line="360" w:lineRule="auto"/>
              <w:jc w:val="both"/>
              <w:rPr>
                <w:rFonts w:ascii="Book Antiqua" w:hAnsi="Book Antiqua"/>
                <w:color w:val="000000"/>
              </w:rPr>
            </w:pPr>
            <w:r w:rsidRPr="00026E39">
              <w:rPr>
                <w:rFonts w:ascii="Book Antiqua" w:hAnsi="Book Antiqua"/>
                <w:b w:val="0"/>
                <w:bCs w:val="0"/>
                <w:color w:val="000000"/>
              </w:rPr>
              <w:t xml:space="preserve">Prat </w:t>
            </w:r>
            <w:r w:rsidRPr="004B6445">
              <w:rPr>
                <w:rFonts w:ascii="Book Antiqua" w:hAnsi="Book Antiqua"/>
                <w:b w:val="0"/>
                <w:bCs w:val="0"/>
                <w:i/>
                <w:color w:val="000000"/>
              </w:rPr>
              <w:t>et al</w:t>
            </w:r>
            <w:r w:rsidRPr="00026E39">
              <w:rPr>
                <w:rFonts w:ascii="Book Antiqua" w:hAnsi="Book Antiqua"/>
                <w:b w:val="0"/>
                <w:bCs w:val="0"/>
                <w:color w:val="000000"/>
                <w:vertAlign w:val="superscript"/>
              </w:rPr>
              <w:t>[14]</w:t>
            </w:r>
            <w:r>
              <w:rPr>
                <w:rFonts w:ascii="Book Antiqua" w:hAnsi="Book Antiqua"/>
                <w:b w:val="0"/>
                <w:bCs w:val="0"/>
                <w:color w:val="000000"/>
              </w:rPr>
              <w:t>, 1998</w:t>
            </w:r>
          </w:p>
        </w:tc>
        <w:tc>
          <w:tcPr>
            <w:tcW w:w="1134" w:type="dxa"/>
            <w:tcBorders>
              <w:bottom w:val="single" w:sz="4" w:space="0" w:color="FFFFFF"/>
            </w:tcBorders>
            <w:shd w:val="clear" w:color="auto" w:fill="auto"/>
            <w:hideMark/>
          </w:tcPr>
          <w:p w14:paraId="6F2F6960"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105¹</w:t>
            </w:r>
          </w:p>
        </w:tc>
        <w:tc>
          <w:tcPr>
            <w:tcW w:w="1701" w:type="dxa"/>
            <w:tcBorders>
              <w:bottom w:val="single" w:sz="4" w:space="0" w:color="FFFFFF"/>
            </w:tcBorders>
            <w:shd w:val="clear" w:color="auto" w:fill="auto"/>
            <w:hideMark/>
          </w:tcPr>
          <w:p w14:paraId="08EA7367"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MBDO</w:t>
            </w:r>
          </w:p>
        </w:tc>
        <w:tc>
          <w:tcPr>
            <w:tcW w:w="1843" w:type="dxa"/>
            <w:tcBorders>
              <w:bottom w:val="single" w:sz="4" w:space="0" w:color="FFFFFF"/>
            </w:tcBorders>
            <w:shd w:val="clear" w:color="auto" w:fill="auto"/>
            <w:hideMark/>
          </w:tcPr>
          <w:p w14:paraId="2559DCB5"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34</w:t>
            </w:r>
          </w:p>
          <w:p w14:paraId="0374DEA1" w14:textId="475177ED"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10</w:t>
            </w:r>
            <w:r>
              <w:rPr>
                <w:rFonts w:ascii="Book Antiqua" w:hAnsi="Book Antiqua"/>
              </w:rPr>
              <w:t xml:space="preserve"> </w:t>
            </w:r>
            <w:r w:rsidRPr="00026E39">
              <w:rPr>
                <w:rFonts w:ascii="Book Antiqua" w:hAnsi="Book Antiqua"/>
              </w:rPr>
              <w:t xml:space="preserve">mm </w:t>
            </w:r>
            <w:r>
              <w:rPr>
                <w:rFonts w:ascii="Book Antiqua" w:hAnsi="Book Antiqua"/>
              </w:rPr>
              <w:t>w</w:t>
            </w:r>
            <w:r w:rsidRPr="00026E39">
              <w:rPr>
                <w:rFonts w:ascii="Book Antiqua" w:hAnsi="Book Antiqua"/>
              </w:rPr>
              <w:t xml:space="preserve">allstent </w:t>
            </w:r>
          </w:p>
        </w:tc>
        <w:tc>
          <w:tcPr>
            <w:tcW w:w="1701" w:type="dxa"/>
            <w:tcBorders>
              <w:bottom w:val="single" w:sz="4" w:space="0" w:color="FFFFFF"/>
            </w:tcBorders>
            <w:shd w:val="clear" w:color="auto" w:fill="auto"/>
            <w:hideMark/>
          </w:tcPr>
          <w:p w14:paraId="358D75EB"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2 groups: 33/34</w:t>
            </w:r>
          </w:p>
          <w:p w14:paraId="0EF19164" w14:textId="6742C446"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11</w:t>
            </w:r>
            <w:r>
              <w:rPr>
                <w:rFonts w:ascii="Book Antiqua" w:hAnsi="Book Antiqua"/>
              </w:rPr>
              <w:t>.</w:t>
            </w:r>
            <w:r w:rsidRPr="00026E39">
              <w:rPr>
                <w:rFonts w:ascii="Book Antiqua" w:hAnsi="Book Antiqua"/>
              </w:rPr>
              <w:t xml:space="preserve">5 Fr PS </w:t>
            </w:r>
          </w:p>
        </w:tc>
        <w:tc>
          <w:tcPr>
            <w:tcW w:w="2126" w:type="dxa"/>
            <w:tcBorders>
              <w:bottom w:val="single" w:sz="4" w:space="0" w:color="FFFFFF"/>
            </w:tcBorders>
            <w:shd w:val="clear" w:color="auto" w:fill="auto"/>
            <w:hideMark/>
          </w:tcPr>
          <w:p w14:paraId="646354B6"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 xml:space="preserve">Stent dysfunction, reinterventions </w:t>
            </w:r>
          </w:p>
        </w:tc>
      </w:tr>
      <w:tr w:rsidR="004B6445" w:rsidRPr="00026E39" w14:paraId="2D25388A" w14:textId="77777777" w:rsidTr="004B6445">
        <w:trPr>
          <w:trHeight w:val="695"/>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FFFFFF"/>
            </w:tcBorders>
            <w:shd w:val="clear" w:color="auto" w:fill="auto"/>
            <w:hideMark/>
          </w:tcPr>
          <w:p w14:paraId="4159D46D" w14:textId="7F757EA4" w:rsidR="004B6445" w:rsidRPr="00026E39" w:rsidRDefault="004B6445" w:rsidP="00C97E7F">
            <w:pPr>
              <w:adjustRightInd w:val="0"/>
              <w:snapToGrid w:val="0"/>
              <w:spacing w:line="360" w:lineRule="auto"/>
              <w:jc w:val="both"/>
              <w:rPr>
                <w:rFonts w:ascii="Book Antiqua" w:hAnsi="Book Antiqua"/>
                <w:color w:val="000000"/>
              </w:rPr>
            </w:pPr>
            <w:r w:rsidRPr="00026E39">
              <w:rPr>
                <w:rFonts w:ascii="Book Antiqua" w:hAnsi="Book Antiqua"/>
                <w:b w:val="0"/>
                <w:bCs w:val="0"/>
                <w:color w:val="000000"/>
              </w:rPr>
              <w:t xml:space="preserve">Kaassis </w:t>
            </w:r>
            <w:r w:rsidRPr="004B6445">
              <w:rPr>
                <w:rFonts w:ascii="Book Antiqua" w:hAnsi="Book Antiqua"/>
                <w:b w:val="0"/>
                <w:bCs w:val="0"/>
                <w:i/>
                <w:color w:val="000000"/>
              </w:rPr>
              <w:t>et al</w:t>
            </w:r>
            <w:r>
              <w:rPr>
                <w:rFonts w:ascii="Book Antiqua" w:hAnsi="Book Antiqua"/>
                <w:b w:val="0"/>
                <w:bCs w:val="0"/>
                <w:color w:val="000000"/>
              </w:rPr>
              <w:t>[19], 2003</w:t>
            </w:r>
          </w:p>
        </w:tc>
        <w:tc>
          <w:tcPr>
            <w:tcW w:w="1134" w:type="dxa"/>
            <w:tcBorders>
              <w:bottom w:val="single" w:sz="4" w:space="0" w:color="FFFFFF"/>
            </w:tcBorders>
            <w:shd w:val="clear" w:color="auto" w:fill="auto"/>
            <w:hideMark/>
          </w:tcPr>
          <w:p w14:paraId="2E3725BA"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118</w:t>
            </w:r>
          </w:p>
        </w:tc>
        <w:tc>
          <w:tcPr>
            <w:tcW w:w="1701" w:type="dxa"/>
            <w:tcBorders>
              <w:bottom w:val="single" w:sz="4" w:space="0" w:color="FFFFFF"/>
            </w:tcBorders>
            <w:shd w:val="clear" w:color="auto" w:fill="auto"/>
            <w:hideMark/>
          </w:tcPr>
          <w:p w14:paraId="14AF1907"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MBDO</w:t>
            </w:r>
          </w:p>
        </w:tc>
        <w:tc>
          <w:tcPr>
            <w:tcW w:w="1843" w:type="dxa"/>
            <w:tcBorders>
              <w:bottom w:val="single" w:sz="4" w:space="0" w:color="FFFFFF"/>
            </w:tcBorders>
            <w:shd w:val="clear" w:color="auto" w:fill="auto"/>
            <w:hideMark/>
          </w:tcPr>
          <w:p w14:paraId="1C5FEDD3"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59</w:t>
            </w:r>
          </w:p>
          <w:p w14:paraId="273367AF" w14:textId="149EB52B"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 xml:space="preserve">10 mm </w:t>
            </w:r>
            <w:r>
              <w:rPr>
                <w:rFonts w:ascii="Book Antiqua" w:hAnsi="Book Antiqua"/>
              </w:rPr>
              <w:t>w</w:t>
            </w:r>
            <w:r w:rsidRPr="00026E39">
              <w:rPr>
                <w:rFonts w:ascii="Book Antiqua" w:hAnsi="Book Antiqua"/>
              </w:rPr>
              <w:t>allstent</w:t>
            </w:r>
          </w:p>
        </w:tc>
        <w:tc>
          <w:tcPr>
            <w:tcW w:w="1701" w:type="dxa"/>
            <w:tcBorders>
              <w:bottom w:val="single" w:sz="4" w:space="0" w:color="FFFFFF"/>
            </w:tcBorders>
            <w:shd w:val="clear" w:color="auto" w:fill="auto"/>
            <w:hideMark/>
          </w:tcPr>
          <w:p w14:paraId="7A1D689B"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59</w:t>
            </w:r>
          </w:p>
          <w:p w14:paraId="5542FFD0"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 xml:space="preserve">10 Fr Tannenbaum PS </w:t>
            </w:r>
          </w:p>
        </w:tc>
        <w:tc>
          <w:tcPr>
            <w:tcW w:w="2126" w:type="dxa"/>
            <w:tcBorders>
              <w:bottom w:val="single" w:sz="4" w:space="0" w:color="FFFFFF"/>
            </w:tcBorders>
            <w:shd w:val="clear" w:color="auto" w:fill="auto"/>
            <w:hideMark/>
          </w:tcPr>
          <w:p w14:paraId="065CB1FF"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Stent dysfunction, reinterventions, complications</w:t>
            </w:r>
          </w:p>
        </w:tc>
      </w:tr>
      <w:tr w:rsidR="004B6445" w:rsidRPr="00026E39" w14:paraId="2452A2DF" w14:textId="77777777" w:rsidTr="004B6445">
        <w:trPr>
          <w:trHeight w:val="691"/>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FFFFFF"/>
            </w:tcBorders>
            <w:shd w:val="clear" w:color="auto" w:fill="auto"/>
            <w:hideMark/>
          </w:tcPr>
          <w:p w14:paraId="07F6C2C1" w14:textId="5F451B43" w:rsidR="004B6445" w:rsidRPr="00026E39" w:rsidRDefault="004B6445" w:rsidP="00C97E7F">
            <w:pPr>
              <w:adjustRightInd w:val="0"/>
              <w:snapToGrid w:val="0"/>
              <w:spacing w:line="360" w:lineRule="auto"/>
              <w:jc w:val="both"/>
              <w:rPr>
                <w:rFonts w:ascii="Book Antiqua" w:hAnsi="Book Antiqua"/>
                <w:color w:val="000000"/>
              </w:rPr>
            </w:pPr>
            <w:r w:rsidRPr="00026E39">
              <w:rPr>
                <w:rFonts w:ascii="Book Antiqua" w:hAnsi="Book Antiqua"/>
                <w:b w:val="0"/>
                <w:bCs w:val="0"/>
                <w:color w:val="000000"/>
              </w:rPr>
              <w:t xml:space="preserve">Katsinelos </w:t>
            </w:r>
            <w:r w:rsidRPr="004B6445">
              <w:rPr>
                <w:rFonts w:ascii="Book Antiqua" w:hAnsi="Book Antiqua"/>
                <w:b w:val="0"/>
                <w:bCs w:val="0"/>
                <w:i/>
                <w:color w:val="000000"/>
              </w:rPr>
              <w:t>et al</w:t>
            </w:r>
            <w:r w:rsidRPr="00026E39">
              <w:rPr>
                <w:rFonts w:ascii="Book Antiqua" w:hAnsi="Book Antiqua"/>
                <w:b w:val="0"/>
                <w:bCs w:val="0"/>
                <w:color w:val="000000"/>
                <w:vertAlign w:val="superscript"/>
              </w:rPr>
              <w:t>[20]</w:t>
            </w:r>
            <w:r>
              <w:rPr>
                <w:rFonts w:ascii="Book Antiqua" w:hAnsi="Book Antiqua"/>
                <w:b w:val="0"/>
                <w:bCs w:val="0"/>
                <w:color w:val="000000"/>
              </w:rPr>
              <w:t>, 2006</w:t>
            </w:r>
          </w:p>
        </w:tc>
        <w:tc>
          <w:tcPr>
            <w:tcW w:w="1134" w:type="dxa"/>
            <w:tcBorders>
              <w:bottom w:val="single" w:sz="4" w:space="0" w:color="FFFFFF"/>
            </w:tcBorders>
            <w:shd w:val="clear" w:color="auto" w:fill="auto"/>
            <w:hideMark/>
          </w:tcPr>
          <w:p w14:paraId="209A1791"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47</w:t>
            </w:r>
          </w:p>
        </w:tc>
        <w:tc>
          <w:tcPr>
            <w:tcW w:w="1701" w:type="dxa"/>
            <w:tcBorders>
              <w:bottom w:val="single" w:sz="4" w:space="0" w:color="FFFFFF"/>
            </w:tcBorders>
            <w:shd w:val="clear" w:color="auto" w:fill="auto"/>
            <w:hideMark/>
          </w:tcPr>
          <w:p w14:paraId="5286EB05"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MBDO</w:t>
            </w:r>
          </w:p>
        </w:tc>
        <w:tc>
          <w:tcPr>
            <w:tcW w:w="1843" w:type="dxa"/>
            <w:tcBorders>
              <w:bottom w:val="single" w:sz="4" w:space="0" w:color="FFFFFF"/>
            </w:tcBorders>
            <w:shd w:val="clear" w:color="auto" w:fill="auto"/>
            <w:hideMark/>
          </w:tcPr>
          <w:p w14:paraId="1CF2F463"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23</w:t>
            </w:r>
          </w:p>
          <w:p w14:paraId="2F963E13"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 xml:space="preserve">10 mm uSEMS </w:t>
            </w:r>
          </w:p>
        </w:tc>
        <w:tc>
          <w:tcPr>
            <w:tcW w:w="1701" w:type="dxa"/>
            <w:tcBorders>
              <w:bottom w:val="single" w:sz="4" w:space="0" w:color="FFFFFF"/>
            </w:tcBorders>
            <w:shd w:val="clear" w:color="auto" w:fill="auto"/>
            <w:hideMark/>
          </w:tcPr>
          <w:p w14:paraId="31D83D03"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24</w:t>
            </w:r>
          </w:p>
          <w:p w14:paraId="4FA97B53"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10 Fr Tannenbaum PS straight</w:t>
            </w:r>
          </w:p>
        </w:tc>
        <w:tc>
          <w:tcPr>
            <w:tcW w:w="2126" w:type="dxa"/>
            <w:tcBorders>
              <w:bottom w:val="single" w:sz="4" w:space="0" w:color="FFFFFF"/>
            </w:tcBorders>
            <w:shd w:val="clear" w:color="auto" w:fill="auto"/>
            <w:hideMark/>
          </w:tcPr>
          <w:p w14:paraId="33ECF3D3"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 xml:space="preserve">Stent dysfunction, Mean survival, complications, reinterventions, </w:t>
            </w:r>
            <w:r w:rsidRPr="00026E39">
              <w:rPr>
                <w:rFonts w:ascii="Book Antiqua" w:hAnsi="Book Antiqua"/>
              </w:rPr>
              <w:lastRenderedPageBreak/>
              <w:t>duration of patency, clinical success</w:t>
            </w:r>
          </w:p>
        </w:tc>
      </w:tr>
      <w:tr w:rsidR="004B6445" w:rsidRPr="00026E39" w14:paraId="65ABB5D7" w14:textId="77777777" w:rsidTr="004B6445">
        <w:trPr>
          <w:trHeight w:val="715"/>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FFFFFF"/>
            </w:tcBorders>
            <w:shd w:val="clear" w:color="auto" w:fill="auto"/>
            <w:hideMark/>
          </w:tcPr>
          <w:p w14:paraId="113F07DA" w14:textId="53A3ACE2" w:rsidR="004B6445" w:rsidRPr="00026E39" w:rsidRDefault="004B6445" w:rsidP="00C97E7F">
            <w:pPr>
              <w:adjustRightInd w:val="0"/>
              <w:snapToGrid w:val="0"/>
              <w:spacing w:line="360" w:lineRule="auto"/>
              <w:jc w:val="both"/>
              <w:rPr>
                <w:rFonts w:ascii="Book Antiqua" w:hAnsi="Book Antiqua"/>
                <w:color w:val="000000"/>
              </w:rPr>
            </w:pPr>
            <w:r w:rsidRPr="00026E39">
              <w:rPr>
                <w:rFonts w:ascii="Book Antiqua" w:hAnsi="Book Antiqua"/>
                <w:b w:val="0"/>
                <w:bCs w:val="0"/>
                <w:color w:val="000000"/>
              </w:rPr>
              <w:lastRenderedPageBreak/>
              <w:t xml:space="preserve">Soderlund </w:t>
            </w:r>
            <w:r w:rsidRPr="004B6445">
              <w:rPr>
                <w:rFonts w:ascii="Book Antiqua" w:hAnsi="Book Antiqua"/>
                <w:b w:val="0"/>
                <w:bCs w:val="0"/>
                <w:i/>
                <w:color w:val="000000"/>
              </w:rPr>
              <w:t>et al</w:t>
            </w:r>
            <w:r w:rsidRPr="002F474F">
              <w:rPr>
                <w:rFonts w:ascii="Book Antiqua" w:hAnsi="Book Antiqua"/>
                <w:b w:val="0"/>
                <w:bCs w:val="0"/>
                <w:color w:val="000000"/>
                <w:vertAlign w:val="superscript"/>
              </w:rPr>
              <w:t>[16]</w:t>
            </w:r>
            <w:r>
              <w:rPr>
                <w:rFonts w:ascii="Book Antiqua" w:hAnsi="Book Antiqua"/>
                <w:b w:val="0"/>
                <w:bCs w:val="0"/>
                <w:color w:val="000000"/>
              </w:rPr>
              <w:t>, 2006</w:t>
            </w:r>
          </w:p>
        </w:tc>
        <w:tc>
          <w:tcPr>
            <w:tcW w:w="1134" w:type="dxa"/>
            <w:tcBorders>
              <w:bottom w:val="single" w:sz="4" w:space="0" w:color="FFFFFF"/>
            </w:tcBorders>
            <w:shd w:val="clear" w:color="auto" w:fill="auto"/>
            <w:hideMark/>
          </w:tcPr>
          <w:p w14:paraId="3A1CEA92"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100</w:t>
            </w:r>
          </w:p>
        </w:tc>
        <w:tc>
          <w:tcPr>
            <w:tcW w:w="1701" w:type="dxa"/>
            <w:tcBorders>
              <w:bottom w:val="single" w:sz="4" w:space="0" w:color="FFFFFF"/>
            </w:tcBorders>
            <w:shd w:val="clear" w:color="auto" w:fill="auto"/>
            <w:hideMark/>
          </w:tcPr>
          <w:p w14:paraId="025FBB9C"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MBDO</w:t>
            </w:r>
          </w:p>
        </w:tc>
        <w:tc>
          <w:tcPr>
            <w:tcW w:w="1843" w:type="dxa"/>
            <w:tcBorders>
              <w:bottom w:val="single" w:sz="4" w:space="0" w:color="FFFFFF"/>
            </w:tcBorders>
            <w:shd w:val="clear" w:color="auto" w:fill="auto"/>
            <w:hideMark/>
          </w:tcPr>
          <w:p w14:paraId="2DACF79C"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49</w:t>
            </w:r>
          </w:p>
          <w:p w14:paraId="5FA3EE65"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 xml:space="preserve">10 mm cSEMS </w:t>
            </w:r>
          </w:p>
        </w:tc>
        <w:tc>
          <w:tcPr>
            <w:tcW w:w="1701" w:type="dxa"/>
            <w:tcBorders>
              <w:bottom w:val="single" w:sz="4" w:space="0" w:color="FFFFFF"/>
            </w:tcBorders>
            <w:shd w:val="clear" w:color="auto" w:fill="auto"/>
            <w:hideMark/>
          </w:tcPr>
          <w:p w14:paraId="2EFD778D"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51</w:t>
            </w:r>
          </w:p>
          <w:p w14:paraId="4CE0346A"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10 Fr PS</w:t>
            </w:r>
          </w:p>
        </w:tc>
        <w:tc>
          <w:tcPr>
            <w:tcW w:w="2126" w:type="dxa"/>
            <w:tcBorders>
              <w:bottom w:val="single" w:sz="4" w:space="0" w:color="FFFFFF"/>
            </w:tcBorders>
            <w:shd w:val="clear" w:color="auto" w:fill="auto"/>
            <w:hideMark/>
          </w:tcPr>
          <w:p w14:paraId="50479854"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Mean survival, reinterventions, duration of patency, complications, mean survival, clinical success</w:t>
            </w:r>
          </w:p>
        </w:tc>
      </w:tr>
      <w:tr w:rsidR="004B6445" w:rsidRPr="00026E39" w14:paraId="26E0C093" w14:textId="77777777" w:rsidTr="004B6445">
        <w:trPr>
          <w:trHeight w:val="684"/>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FFFFFF"/>
            </w:tcBorders>
            <w:shd w:val="clear" w:color="auto" w:fill="auto"/>
            <w:hideMark/>
          </w:tcPr>
          <w:p w14:paraId="076BE575" w14:textId="43E20768" w:rsidR="004B6445" w:rsidRPr="00026E39" w:rsidRDefault="004B6445" w:rsidP="00C97E7F">
            <w:pPr>
              <w:adjustRightInd w:val="0"/>
              <w:snapToGrid w:val="0"/>
              <w:spacing w:line="360" w:lineRule="auto"/>
              <w:jc w:val="both"/>
              <w:rPr>
                <w:rFonts w:ascii="Book Antiqua" w:hAnsi="Book Antiqua"/>
                <w:color w:val="000000"/>
              </w:rPr>
            </w:pPr>
            <w:r w:rsidRPr="00026E39">
              <w:rPr>
                <w:rFonts w:ascii="Book Antiqua" w:hAnsi="Book Antiqua"/>
                <w:b w:val="0"/>
                <w:bCs w:val="0"/>
                <w:color w:val="000000"/>
              </w:rPr>
              <w:t xml:space="preserve">Isayama </w:t>
            </w:r>
            <w:r w:rsidRPr="004B6445">
              <w:rPr>
                <w:rFonts w:ascii="Book Antiqua" w:hAnsi="Book Antiqua"/>
                <w:b w:val="0"/>
                <w:bCs w:val="0"/>
                <w:i/>
                <w:color w:val="000000"/>
              </w:rPr>
              <w:t>et al</w:t>
            </w:r>
            <w:r w:rsidRPr="00AB39C8">
              <w:rPr>
                <w:rFonts w:ascii="Book Antiqua" w:hAnsi="Book Antiqua"/>
                <w:b w:val="0"/>
                <w:bCs w:val="0"/>
                <w:color w:val="000000"/>
                <w:vertAlign w:val="superscript"/>
              </w:rPr>
              <w:t>[18]</w:t>
            </w:r>
            <w:r>
              <w:rPr>
                <w:rFonts w:ascii="Book Antiqua" w:hAnsi="Book Antiqua"/>
                <w:b w:val="0"/>
                <w:bCs w:val="0"/>
                <w:color w:val="000000"/>
              </w:rPr>
              <w:t>, 2011</w:t>
            </w:r>
          </w:p>
        </w:tc>
        <w:tc>
          <w:tcPr>
            <w:tcW w:w="1134" w:type="dxa"/>
            <w:tcBorders>
              <w:bottom w:val="single" w:sz="4" w:space="0" w:color="FFFFFF"/>
            </w:tcBorders>
            <w:shd w:val="clear" w:color="auto" w:fill="auto"/>
            <w:hideMark/>
          </w:tcPr>
          <w:p w14:paraId="514E5FA4"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120</w:t>
            </w:r>
          </w:p>
        </w:tc>
        <w:tc>
          <w:tcPr>
            <w:tcW w:w="1701" w:type="dxa"/>
            <w:tcBorders>
              <w:bottom w:val="single" w:sz="4" w:space="0" w:color="FFFFFF"/>
            </w:tcBorders>
            <w:shd w:val="clear" w:color="auto" w:fill="auto"/>
            <w:hideMark/>
          </w:tcPr>
          <w:p w14:paraId="46B801E0"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MBDO</w:t>
            </w:r>
          </w:p>
        </w:tc>
        <w:tc>
          <w:tcPr>
            <w:tcW w:w="1843" w:type="dxa"/>
            <w:tcBorders>
              <w:bottom w:val="single" w:sz="4" w:space="0" w:color="FFFFFF"/>
            </w:tcBorders>
            <w:shd w:val="clear" w:color="auto" w:fill="auto"/>
            <w:hideMark/>
          </w:tcPr>
          <w:p w14:paraId="1C2CCC6A"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60</w:t>
            </w:r>
          </w:p>
          <w:p w14:paraId="7DAAB068"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 xml:space="preserve">cSEMS </w:t>
            </w:r>
          </w:p>
        </w:tc>
        <w:tc>
          <w:tcPr>
            <w:tcW w:w="1701" w:type="dxa"/>
            <w:tcBorders>
              <w:bottom w:val="single" w:sz="4" w:space="0" w:color="FFFFFF"/>
            </w:tcBorders>
            <w:shd w:val="clear" w:color="auto" w:fill="auto"/>
            <w:hideMark/>
          </w:tcPr>
          <w:p w14:paraId="183E84F0"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60</w:t>
            </w:r>
          </w:p>
          <w:p w14:paraId="317EA81B" w14:textId="6B2CC2E1"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10 Fr Stent Double Layer</w:t>
            </w:r>
          </w:p>
        </w:tc>
        <w:tc>
          <w:tcPr>
            <w:tcW w:w="2126" w:type="dxa"/>
            <w:tcBorders>
              <w:bottom w:val="single" w:sz="4" w:space="0" w:color="FFFFFF"/>
            </w:tcBorders>
            <w:shd w:val="clear" w:color="auto" w:fill="auto"/>
            <w:hideMark/>
          </w:tcPr>
          <w:p w14:paraId="6303E122"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Mean survival, complication, stent dysfunction, reinterventions, duration of patency</w:t>
            </w:r>
          </w:p>
        </w:tc>
      </w:tr>
      <w:tr w:rsidR="004B6445" w:rsidRPr="00026E39" w14:paraId="542BAFC9" w14:textId="77777777" w:rsidTr="004B6445">
        <w:trPr>
          <w:trHeight w:val="708"/>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FFFFFF"/>
            </w:tcBorders>
            <w:shd w:val="clear" w:color="auto" w:fill="auto"/>
            <w:hideMark/>
          </w:tcPr>
          <w:p w14:paraId="17489E79" w14:textId="122AF0B6" w:rsidR="004B6445" w:rsidRPr="00026E39" w:rsidRDefault="004B6445" w:rsidP="00C97E7F">
            <w:pPr>
              <w:adjustRightInd w:val="0"/>
              <w:snapToGrid w:val="0"/>
              <w:spacing w:line="360" w:lineRule="auto"/>
              <w:jc w:val="both"/>
              <w:rPr>
                <w:rFonts w:ascii="Book Antiqua" w:hAnsi="Book Antiqua"/>
                <w:color w:val="000000"/>
              </w:rPr>
            </w:pPr>
            <w:r w:rsidRPr="00026E39">
              <w:rPr>
                <w:rFonts w:ascii="Book Antiqua" w:hAnsi="Book Antiqua"/>
                <w:b w:val="0"/>
                <w:bCs w:val="0"/>
                <w:color w:val="000000"/>
              </w:rPr>
              <w:t xml:space="preserve">Moses </w:t>
            </w:r>
            <w:r w:rsidRPr="004B6445">
              <w:rPr>
                <w:rFonts w:ascii="Book Antiqua" w:hAnsi="Book Antiqua"/>
                <w:b w:val="0"/>
                <w:bCs w:val="0"/>
                <w:i/>
                <w:color w:val="000000"/>
              </w:rPr>
              <w:t>et al</w:t>
            </w:r>
            <w:r w:rsidRPr="00AB39C8">
              <w:rPr>
                <w:rFonts w:ascii="Book Antiqua" w:hAnsi="Book Antiqua"/>
                <w:b w:val="0"/>
                <w:bCs w:val="0"/>
                <w:color w:val="000000"/>
                <w:vertAlign w:val="superscript"/>
              </w:rPr>
              <w:t>[13]</w:t>
            </w:r>
            <w:r>
              <w:rPr>
                <w:rFonts w:ascii="Book Antiqua" w:hAnsi="Book Antiqua"/>
                <w:b w:val="0"/>
                <w:bCs w:val="0"/>
                <w:color w:val="000000"/>
              </w:rPr>
              <w:t>, 2013</w:t>
            </w:r>
          </w:p>
        </w:tc>
        <w:tc>
          <w:tcPr>
            <w:tcW w:w="1134" w:type="dxa"/>
            <w:tcBorders>
              <w:bottom w:val="single" w:sz="4" w:space="0" w:color="FFFFFF"/>
            </w:tcBorders>
            <w:shd w:val="clear" w:color="auto" w:fill="auto"/>
            <w:hideMark/>
          </w:tcPr>
          <w:p w14:paraId="57F43DFB"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85</w:t>
            </w:r>
          </w:p>
        </w:tc>
        <w:tc>
          <w:tcPr>
            <w:tcW w:w="1701" w:type="dxa"/>
            <w:tcBorders>
              <w:bottom w:val="single" w:sz="4" w:space="0" w:color="FFFFFF"/>
            </w:tcBorders>
            <w:shd w:val="clear" w:color="auto" w:fill="auto"/>
            <w:hideMark/>
          </w:tcPr>
          <w:p w14:paraId="4FFA9E99"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MBDO</w:t>
            </w:r>
          </w:p>
        </w:tc>
        <w:tc>
          <w:tcPr>
            <w:tcW w:w="1843" w:type="dxa"/>
            <w:tcBorders>
              <w:bottom w:val="single" w:sz="4" w:space="0" w:color="FFFFFF"/>
            </w:tcBorders>
            <w:shd w:val="clear" w:color="auto" w:fill="auto"/>
            <w:hideMark/>
          </w:tcPr>
          <w:p w14:paraId="5CA33A4F"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42</w:t>
            </w:r>
          </w:p>
          <w:p w14:paraId="7D00C3A9"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 xml:space="preserve">10 mm pcSEMS </w:t>
            </w:r>
          </w:p>
        </w:tc>
        <w:tc>
          <w:tcPr>
            <w:tcW w:w="1701" w:type="dxa"/>
            <w:tcBorders>
              <w:bottom w:val="single" w:sz="4" w:space="0" w:color="FFFFFF"/>
            </w:tcBorders>
            <w:shd w:val="clear" w:color="auto" w:fill="auto"/>
            <w:hideMark/>
          </w:tcPr>
          <w:p w14:paraId="215F17DE"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43</w:t>
            </w:r>
          </w:p>
          <w:p w14:paraId="582361A9"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 xml:space="preserve">10 Fr Amsterdam PS </w:t>
            </w:r>
          </w:p>
        </w:tc>
        <w:tc>
          <w:tcPr>
            <w:tcW w:w="2126" w:type="dxa"/>
            <w:tcBorders>
              <w:bottom w:val="single" w:sz="4" w:space="0" w:color="FFFFFF"/>
            </w:tcBorders>
            <w:shd w:val="clear" w:color="auto" w:fill="auto"/>
            <w:hideMark/>
          </w:tcPr>
          <w:p w14:paraId="60666B35"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Mean survival, duration of patency, complications, stent dysfunction, clinical success</w:t>
            </w:r>
          </w:p>
        </w:tc>
      </w:tr>
      <w:tr w:rsidR="004B6445" w:rsidRPr="00026E39" w14:paraId="194FF6EF" w14:textId="77777777" w:rsidTr="004B6445">
        <w:trPr>
          <w:trHeight w:val="973"/>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FFFFFF"/>
            </w:tcBorders>
            <w:shd w:val="clear" w:color="auto" w:fill="auto"/>
            <w:hideMark/>
          </w:tcPr>
          <w:p w14:paraId="2B03A290" w14:textId="70D5A33F" w:rsidR="004B6445" w:rsidRPr="00026E39" w:rsidRDefault="004B6445" w:rsidP="00C97E7F">
            <w:pPr>
              <w:adjustRightInd w:val="0"/>
              <w:snapToGrid w:val="0"/>
              <w:spacing w:line="360" w:lineRule="auto"/>
              <w:jc w:val="both"/>
              <w:rPr>
                <w:rFonts w:ascii="Book Antiqua" w:hAnsi="Book Antiqua"/>
                <w:color w:val="000000"/>
              </w:rPr>
            </w:pPr>
            <w:r w:rsidRPr="00026E39">
              <w:rPr>
                <w:rFonts w:ascii="Book Antiqua" w:hAnsi="Book Antiqua"/>
                <w:b w:val="0"/>
                <w:bCs w:val="0"/>
                <w:color w:val="000000"/>
              </w:rPr>
              <w:t xml:space="preserve">Schmidt </w:t>
            </w:r>
            <w:r w:rsidRPr="004B6445">
              <w:rPr>
                <w:rFonts w:ascii="Book Antiqua" w:hAnsi="Book Antiqua"/>
                <w:b w:val="0"/>
                <w:bCs w:val="0"/>
                <w:i/>
                <w:color w:val="000000"/>
              </w:rPr>
              <w:t>et al</w:t>
            </w:r>
            <w:r w:rsidRPr="00AB39C8">
              <w:rPr>
                <w:rFonts w:ascii="Book Antiqua" w:hAnsi="Book Antiqua"/>
                <w:b w:val="0"/>
                <w:bCs w:val="0"/>
                <w:color w:val="000000"/>
                <w:vertAlign w:val="superscript"/>
              </w:rPr>
              <w:t>[12]</w:t>
            </w:r>
            <w:r>
              <w:rPr>
                <w:rFonts w:ascii="Book Antiqua" w:hAnsi="Book Antiqua"/>
                <w:b w:val="0"/>
                <w:bCs w:val="0"/>
                <w:color w:val="000000"/>
              </w:rPr>
              <w:t>, 2015</w:t>
            </w:r>
          </w:p>
        </w:tc>
        <w:tc>
          <w:tcPr>
            <w:tcW w:w="1134" w:type="dxa"/>
            <w:tcBorders>
              <w:bottom w:val="single" w:sz="4" w:space="0" w:color="FFFFFF"/>
            </w:tcBorders>
            <w:shd w:val="clear" w:color="auto" w:fill="auto"/>
            <w:hideMark/>
          </w:tcPr>
          <w:p w14:paraId="45804168"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37</w:t>
            </w:r>
          </w:p>
        </w:tc>
        <w:tc>
          <w:tcPr>
            <w:tcW w:w="1701" w:type="dxa"/>
            <w:tcBorders>
              <w:bottom w:val="single" w:sz="4" w:space="0" w:color="FFFFFF"/>
            </w:tcBorders>
            <w:shd w:val="clear" w:color="auto" w:fill="auto"/>
            <w:hideMark/>
          </w:tcPr>
          <w:p w14:paraId="645A1D7A"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MBDO</w:t>
            </w:r>
          </w:p>
        </w:tc>
        <w:tc>
          <w:tcPr>
            <w:tcW w:w="1843" w:type="dxa"/>
            <w:tcBorders>
              <w:bottom w:val="single" w:sz="4" w:space="0" w:color="FFFFFF"/>
            </w:tcBorders>
            <w:shd w:val="clear" w:color="auto" w:fill="auto"/>
            <w:hideMark/>
          </w:tcPr>
          <w:p w14:paraId="7029C455"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19</w:t>
            </w:r>
          </w:p>
          <w:p w14:paraId="0D5DEA1E"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10 mm uSEMS, cSEMS or pcSEMS</w:t>
            </w:r>
          </w:p>
        </w:tc>
        <w:tc>
          <w:tcPr>
            <w:tcW w:w="1701" w:type="dxa"/>
            <w:tcBorders>
              <w:bottom w:val="single" w:sz="4" w:space="0" w:color="FFFFFF"/>
            </w:tcBorders>
            <w:shd w:val="clear" w:color="auto" w:fill="auto"/>
            <w:hideMark/>
          </w:tcPr>
          <w:p w14:paraId="66EB307A"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18</w:t>
            </w:r>
          </w:p>
          <w:p w14:paraId="67AF9F45"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10 Fr ViaDuct Stent (PS wing)</w:t>
            </w:r>
          </w:p>
        </w:tc>
        <w:tc>
          <w:tcPr>
            <w:tcW w:w="2126" w:type="dxa"/>
            <w:tcBorders>
              <w:bottom w:val="single" w:sz="4" w:space="0" w:color="FFFFFF"/>
            </w:tcBorders>
            <w:shd w:val="clear" w:color="auto" w:fill="auto"/>
            <w:hideMark/>
          </w:tcPr>
          <w:p w14:paraId="577E09EF"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Stent dysfunction, complications.</w:t>
            </w:r>
          </w:p>
        </w:tc>
      </w:tr>
      <w:tr w:rsidR="004B6445" w:rsidRPr="00026E39" w14:paraId="59169894" w14:textId="77777777" w:rsidTr="004B6445">
        <w:trPr>
          <w:trHeight w:val="989"/>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FFFFFF"/>
            </w:tcBorders>
            <w:shd w:val="clear" w:color="auto" w:fill="auto"/>
            <w:hideMark/>
          </w:tcPr>
          <w:p w14:paraId="2BC0F1E3" w14:textId="3442556A" w:rsidR="004B6445" w:rsidRPr="00026E39" w:rsidRDefault="004B6445" w:rsidP="00C97E7F">
            <w:pPr>
              <w:adjustRightInd w:val="0"/>
              <w:snapToGrid w:val="0"/>
              <w:spacing w:line="360" w:lineRule="auto"/>
              <w:jc w:val="both"/>
              <w:rPr>
                <w:rFonts w:ascii="Book Antiqua" w:hAnsi="Book Antiqua"/>
                <w:color w:val="000000"/>
              </w:rPr>
            </w:pPr>
            <w:r w:rsidRPr="00026E39">
              <w:rPr>
                <w:rFonts w:ascii="Book Antiqua" w:hAnsi="Book Antiqua"/>
                <w:b w:val="0"/>
                <w:bCs w:val="0"/>
                <w:color w:val="000000"/>
              </w:rPr>
              <w:t xml:space="preserve">Walter </w:t>
            </w:r>
            <w:r w:rsidRPr="004B6445">
              <w:rPr>
                <w:rFonts w:ascii="Book Antiqua" w:hAnsi="Book Antiqua"/>
                <w:b w:val="0"/>
                <w:bCs w:val="0"/>
                <w:i/>
                <w:color w:val="000000"/>
              </w:rPr>
              <w:t>et al</w:t>
            </w:r>
            <w:r w:rsidRPr="00AB39C8">
              <w:rPr>
                <w:rFonts w:ascii="Book Antiqua" w:hAnsi="Book Antiqua"/>
                <w:b w:val="0"/>
                <w:bCs w:val="0"/>
                <w:color w:val="000000"/>
                <w:vertAlign w:val="superscript"/>
              </w:rPr>
              <w:t>[10]</w:t>
            </w:r>
            <w:r>
              <w:rPr>
                <w:rFonts w:ascii="Book Antiqua" w:hAnsi="Book Antiqua"/>
                <w:b w:val="0"/>
                <w:bCs w:val="0"/>
                <w:color w:val="000000"/>
              </w:rPr>
              <w:t>, 2015</w:t>
            </w:r>
          </w:p>
        </w:tc>
        <w:tc>
          <w:tcPr>
            <w:tcW w:w="1134" w:type="dxa"/>
            <w:tcBorders>
              <w:bottom w:val="single" w:sz="4" w:space="0" w:color="FFFFFF"/>
            </w:tcBorders>
            <w:shd w:val="clear" w:color="auto" w:fill="auto"/>
            <w:hideMark/>
          </w:tcPr>
          <w:p w14:paraId="240C5ABF"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240¹</w:t>
            </w:r>
          </w:p>
        </w:tc>
        <w:tc>
          <w:tcPr>
            <w:tcW w:w="1701" w:type="dxa"/>
            <w:tcBorders>
              <w:bottom w:val="single" w:sz="4" w:space="0" w:color="FFFFFF"/>
            </w:tcBorders>
            <w:shd w:val="clear" w:color="auto" w:fill="auto"/>
            <w:hideMark/>
          </w:tcPr>
          <w:p w14:paraId="09021D98"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MBDO</w:t>
            </w:r>
          </w:p>
        </w:tc>
        <w:tc>
          <w:tcPr>
            <w:tcW w:w="1843" w:type="dxa"/>
            <w:tcBorders>
              <w:bottom w:val="single" w:sz="4" w:space="0" w:color="FFFFFF"/>
            </w:tcBorders>
            <w:shd w:val="clear" w:color="auto" w:fill="auto"/>
            <w:hideMark/>
          </w:tcPr>
          <w:p w14:paraId="3135F948"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uSEMS: 75 / pcSEMS: 73</w:t>
            </w:r>
          </w:p>
          <w:p w14:paraId="7EA9074F"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lastRenderedPageBreak/>
              <w:t>10 mm uSEMS or pcSEMS Wallstent RX</w:t>
            </w:r>
          </w:p>
        </w:tc>
        <w:tc>
          <w:tcPr>
            <w:tcW w:w="1701" w:type="dxa"/>
            <w:tcBorders>
              <w:bottom w:val="single" w:sz="4" w:space="0" w:color="FFFFFF"/>
            </w:tcBorders>
            <w:shd w:val="clear" w:color="auto" w:fill="auto"/>
            <w:hideMark/>
          </w:tcPr>
          <w:p w14:paraId="358A5ED5"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lastRenderedPageBreak/>
              <w:t>73</w:t>
            </w:r>
          </w:p>
          <w:p w14:paraId="1864D20B" w14:textId="2640C98B"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 xml:space="preserve">10 Fr PS </w:t>
            </w:r>
            <w:r w:rsidR="008A4235" w:rsidRPr="00026E39">
              <w:rPr>
                <w:rFonts w:ascii="Book Antiqua" w:hAnsi="Book Antiqua"/>
              </w:rPr>
              <w:t>Polyethylene</w:t>
            </w:r>
            <w:r w:rsidRPr="00026E39">
              <w:rPr>
                <w:rFonts w:ascii="Book Antiqua" w:hAnsi="Book Antiqua"/>
              </w:rPr>
              <w:t xml:space="preserve"> </w:t>
            </w:r>
            <w:r w:rsidRPr="00026E39">
              <w:rPr>
                <w:rFonts w:ascii="Book Antiqua" w:hAnsi="Book Antiqua"/>
              </w:rPr>
              <w:lastRenderedPageBreak/>
              <w:t>or polyurethan</w:t>
            </w:r>
          </w:p>
        </w:tc>
        <w:tc>
          <w:tcPr>
            <w:tcW w:w="2126" w:type="dxa"/>
            <w:tcBorders>
              <w:bottom w:val="single" w:sz="4" w:space="0" w:color="FFFFFF"/>
            </w:tcBorders>
            <w:shd w:val="clear" w:color="auto" w:fill="auto"/>
            <w:hideMark/>
          </w:tcPr>
          <w:p w14:paraId="6EDAC077"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lastRenderedPageBreak/>
              <w:t xml:space="preserve">Stent dysfunction, mean survival, </w:t>
            </w:r>
            <w:r w:rsidRPr="00026E39">
              <w:rPr>
                <w:rFonts w:ascii="Book Antiqua" w:hAnsi="Book Antiqua"/>
              </w:rPr>
              <w:lastRenderedPageBreak/>
              <w:t>complications, duration of patency, clinical success</w:t>
            </w:r>
          </w:p>
        </w:tc>
      </w:tr>
      <w:tr w:rsidR="004B6445" w:rsidRPr="00026E39" w14:paraId="4750A5CA" w14:textId="77777777" w:rsidTr="004B6445">
        <w:trPr>
          <w:trHeight w:val="861"/>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FFFFFF"/>
            </w:tcBorders>
            <w:shd w:val="clear" w:color="auto" w:fill="auto"/>
            <w:hideMark/>
          </w:tcPr>
          <w:p w14:paraId="52E84FA3" w14:textId="23BB5758" w:rsidR="004B6445" w:rsidRPr="00026E39" w:rsidRDefault="004B6445" w:rsidP="00C97E7F">
            <w:pPr>
              <w:adjustRightInd w:val="0"/>
              <w:snapToGrid w:val="0"/>
              <w:spacing w:line="360" w:lineRule="auto"/>
              <w:jc w:val="both"/>
              <w:rPr>
                <w:rFonts w:ascii="Book Antiqua" w:hAnsi="Book Antiqua"/>
                <w:color w:val="000000"/>
              </w:rPr>
            </w:pPr>
            <w:r w:rsidRPr="00026E39">
              <w:rPr>
                <w:rFonts w:ascii="Book Antiqua" w:hAnsi="Book Antiqua"/>
                <w:b w:val="0"/>
                <w:bCs w:val="0"/>
                <w:color w:val="000000"/>
              </w:rPr>
              <w:lastRenderedPageBreak/>
              <w:t xml:space="preserve">Walter </w:t>
            </w:r>
            <w:r w:rsidRPr="004B6445">
              <w:rPr>
                <w:rFonts w:ascii="Book Antiqua" w:hAnsi="Book Antiqua"/>
                <w:b w:val="0"/>
                <w:bCs w:val="0"/>
                <w:i/>
                <w:color w:val="000000"/>
              </w:rPr>
              <w:t>et al</w:t>
            </w:r>
            <w:r w:rsidRPr="00342210">
              <w:rPr>
                <w:rFonts w:ascii="Book Antiqua" w:hAnsi="Book Antiqua"/>
                <w:b w:val="0"/>
                <w:bCs w:val="0"/>
                <w:color w:val="000000"/>
                <w:vertAlign w:val="superscript"/>
              </w:rPr>
              <w:t>[11]</w:t>
            </w:r>
            <w:r>
              <w:rPr>
                <w:rFonts w:ascii="Book Antiqua" w:hAnsi="Book Antiqua"/>
                <w:b w:val="0"/>
                <w:bCs w:val="0"/>
                <w:color w:val="000000"/>
              </w:rPr>
              <w:t>, 2017</w:t>
            </w:r>
          </w:p>
        </w:tc>
        <w:tc>
          <w:tcPr>
            <w:tcW w:w="1134" w:type="dxa"/>
            <w:tcBorders>
              <w:bottom w:val="single" w:sz="4" w:space="0" w:color="FFFFFF"/>
            </w:tcBorders>
            <w:shd w:val="clear" w:color="auto" w:fill="auto"/>
            <w:hideMark/>
          </w:tcPr>
          <w:p w14:paraId="3544134E"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240¹</w:t>
            </w:r>
          </w:p>
        </w:tc>
        <w:tc>
          <w:tcPr>
            <w:tcW w:w="1701" w:type="dxa"/>
            <w:tcBorders>
              <w:bottom w:val="single" w:sz="4" w:space="0" w:color="FFFFFF"/>
            </w:tcBorders>
            <w:shd w:val="clear" w:color="auto" w:fill="auto"/>
            <w:hideMark/>
          </w:tcPr>
          <w:p w14:paraId="0FA5712E"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MBDO</w:t>
            </w:r>
          </w:p>
        </w:tc>
        <w:tc>
          <w:tcPr>
            <w:tcW w:w="1843" w:type="dxa"/>
            <w:tcBorders>
              <w:bottom w:val="single" w:sz="4" w:space="0" w:color="FFFFFF"/>
            </w:tcBorders>
            <w:shd w:val="clear" w:color="auto" w:fill="auto"/>
            <w:hideMark/>
          </w:tcPr>
          <w:p w14:paraId="58F39D05"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uSEMS: 75 / pcSEMS: 73</w:t>
            </w:r>
          </w:p>
          <w:p w14:paraId="14DBA235"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10 mm uSEMS or pcSEMS Wallstent RX</w:t>
            </w:r>
          </w:p>
        </w:tc>
        <w:tc>
          <w:tcPr>
            <w:tcW w:w="1701" w:type="dxa"/>
            <w:tcBorders>
              <w:bottom w:val="single" w:sz="4" w:space="0" w:color="FFFFFF"/>
            </w:tcBorders>
            <w:shd w:val="clear" w:color="auto" w:fill="auto"/>
            <w:hideMark/>
          </w:tcPr>
          <w:p w14:paraId="48EA997B"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73</w:t>
            </w:r>
          </w:p>
          <w:p w14:paraId="6B0ECF6F"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10 Fr PS Polyethylene or polyurethan</w:t>
            </w:r>
          </w:p>
        </w:tc>
        <w:tc>
          <w:tcPr>
            <w:tcW w:w="2126" w:type="dxa"/>
            <w:tcBorders>
              <w:bottom w:val="single" w:sz="4" w:space="0" w:color="FFFFFF"/>
            </w:tcBorders>
            <w:shd w:val="clear" w:color="auto" w:fill="auto"/>
            <w:hideMark/>
          </w:tcPr>
          <w:p w14:paraId="3238C7AA"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 xml:space="preserve">Stent dysfunction, duration of patency, mean survival </w:t>
            </w:r>
          </w:p>
        </w:tc>
      </w:tr>
      <w:tr w:rsidR="004B6445" w:rsidRPr="00026E39" w14:paraId="207B0B2E" w14:textId="77777777" w:rsidTr="004B6445">
        <w:trPr>
          <w:trHeight w:val="548"/>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auto"/>
            </w:tcBorders>
            <w:shd w:val="clear" w:color="auto" w:fill="auto"/>
            <w:hideMark/>
          </w:tcPr>
          <w:p w14:paraId="7BF518D6" w14:textId="12FF5C47" w:rsidR="004B6445" w:rsidRPr="00026E39" w:rsidRDefault="004B6445" w:rsidP="00C97E7F">
            <w:pPr>
              <w:adjustRightInd w:val="0"/>
              <w:snapToGrid w:val="0"/>
              <w:spacing w:line="360" w:lineRule="auto"/>
              <w:jc w:val="both"/>
              <w:rPr>
                <w:rFonts w:ascii="Book Antiqua" w:hAnsi="Book Antiqua"/>
                <w:color w:val="000000"/>
              </w:rPr>
            </w:pPr>
            <w:r w:rsidRPr="00026E39">
              <w:rPr>
                <w:rFonts w:ascii="Book Antiqua" w:hAnsi="Book Antiqua"/>
                <w:b w:val="0"/>
                <w:bCs w:val="0"/>
                <w:color w:val="000000"/>
              </w:rPr>
              <w:t xml:space="preserve">Bernon </w:t>
            </w:r>
            <w:r w:rsidRPr="004B6445">
              <w:rPr>
                <w:rFonts w:ascii="Book Antiqua" w:hAnsi="Book Antiqua"/>
                <w:b w:val="0"/>
                <w:bCs w:val="0"/>
                <w:i/>
                <w:color w:val="000000"/>
              </w:rPr>
              <w:t>et al</w:t>
            </w:r>
            <w:r w:rsidRPr="00342210">
              <w:rPr>
                <w:rFonts w:ascii="Book Antiqua" w:hAnsi="Book Antiqua"/>
                <w:b w:val="0"/>
                <w:bCs w:val="0"/>
                <w:color w:val="000000"/>
                <w:vertAlign w:val="superscript"/>
              </w:rPr>
              <w:t>[17]</w:t>
            </w:r>
            <w:r>
              <w:rPr>
                <w:rFonts w:ascii="Book Antiqua" w:hAnsi="Book Antiqua"/>
                <w:b w:val="0"/>
                <w:bCs w:val="0"/>
                <w:color w:val="000000"/>
              </w:rPr>
              <w:t>, 2018</w:t>
            </w:r>
          </w:p>
        </w:tc>
        <w:tc>
          <w:tcPr>
            <w:tcW w:w="1134" w:type="dxa"/>
            <w:tcBorders>
              <w:bottom w:val="single" w:sz="4" w:space="0" w:color="auto"/>
            </w:tcBorders>
            <w:shd w:val="clear" w:color="auto" w:fill="auto"/>
            <w:hideMark/>
          </w:tcPr>
          <w:p w14:paraId="04C6BD83"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40</w:t>
            </w:r>
          </w:p>
        </w:tc>
        <w:tc>
          <w:tcPr>
            <w:tcW w:w="1701" w:type="dxa"/>
            <w:tcBorders>
              <w:bottom w:val="single" w:sz="4" w:space="0" w:color="auto"/>
            </w:tcBorders>
            <w:shd w:val="clear" w:color="auto" w:fill="auto"/>
            <w:hideMark/>
          </w:tcPr>
          <w:p w14:paraId="5760F021"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MBDO</w:t>
            </w:r>
          </w:p>
        </w:tc>
        <w:tc>
          <w:tcPr>
            <w:tcW w:w="1843" w:type="dxa"/>
            <w:tcBorders>
              <w:bottom w:val="single" w:sz="4" w:space="0" w:color="auto"/>
            </w:tcBorders>
            <w:shd w:val="clear" w:color="auto" w:fill="auto"/>
            <w:hideMark/>
          </w:tcPr>
          <w:p w14:paraId="3CE8FBE7"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19</w:t>
            </w:r>
          </w:p>
          <w:p w14:paraId="5114A58F"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10 mm uSEMS</w:t>
            </w:r>
          </w:p>
        </w:tc>
        <w:tc>
          <w:tcPr>
            <w:tcW w:w="1701" w:type="dxa"/>
            <w:tcBorders>
              <w:bottom w:val="single" w:sz="4" w:space="0" w:color="auto"/>
            </w:tcBorders>
            <w:shd w:val="clear" w:color="auto" w:fill="auto"/>
            <w:hideMark/>
          </w:tcPr>
          <w:p w14:paraId="20203438"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21</w:t>
            </w:r>
          </w:p>
          <w:p w14:paraId="0E8016F2" w14:textId="1E80990A"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 xml:space="preserve">10 Fr PS </w:t>
            </w:r>
            <w:r w:rsidR="008A4235" w:rsidRPr="00026E39">
              <w:rPr>
                <w:rFonts w:ascii="Book Antiqua" w:hAnsi="Book Antiqua"/>
              </w:rPr>
              <w:t>polyethylene</w:t>
            </w:r>
          </w:p>
        </w:tc>
        <w:tc>
          <w:tcPr>
            <w:tcW w:w="2126" w:type="dxa"/>
            <w:tcBorders>
              <w:bottom w:val="single" w:sz="4" w:space="0" w:color="auto"/>
            </w:tcBorders>
            <w:shd w:val="clear" w:color="auto" w:fill="auto"/>
            <w:hideMark/>
          </w:tcPr>
          <w:p w14:paraId="62FD0A25"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Stent dysfunction, duration of patency, complications, clinical success</w:t>
            </w:r>
          </w:p>
        </w:tc>
      </w:tr>
    </w:tbl>
    <w:p w14:paraId="087FE90E" w14:textId="10932AFE" w:rsidR="00A77B3E" w:rsidRPr="001665FC" w:rsidRDefault="00D12D94" w:rsidP="001665FC">
      <w:pPr>
        <w:adjustRightInd w:val="0"/>
        <w:snapToGrid w:val="0"/>
        <w:spacing w:line="360" w:lineRule="auto"/>
        <w:jc w:val="both"/>
        <w:rPr>
          <w:rFonts w:ascii="Book Antiqua" w:hAnsi="Book Antiqua"/>
        </w:rPr>
      </w:pPr>
      <w:r>
        <w:rPr>
          <w:rFonts w:ascii="Book Antiqua" w:hAnsi="Book Antiqua"/>
        </w:rPr>
        <w:t>¹</w:t>
      </w:r>
      <w:r w:rsidR="004B6445" w:rsidRPr="00026E39">
        <w:rPr>
          <w:rFonts w:ascii="Book Antiqua" w:hAnsi="Book Antiqua"/>
        </w:rPr>
        <w:t>Not all patients were included in the meta-analysis.</w:t>
      </w:r>
      <w:r w:rsidR="004B6445">
        <w:rPr>
          <w:rFonts w:ascii="Book Antiqua" w:hAnsi="Book Antiqua"/>
        </w:rPr>
        <w:t xml:space="preserve"> </w:t>
      </w:r>
      <w:r w:rsidR="005455F3">
        <w:rPr>
          <w:rFonts w:ascii="Book Antiqua" w:eastAsia="Book Antiqua" w:hAnsi="Book Antiqua" w:cs="Book Antiqua"/>
          <w:color w:val="000000"/>
          <w:shd w:val="clear" w:color="auto" w:fill="FFFFFF"/>
        </w:rPr>
        <w:t xml:space="preserve">cSEMS: fully </w:t>
      </w:r>
      <w:r w:rsidR="005455F3" w:rsidRPr="00026E39">
        <w:rPr>
          <w:rFonts w:ascii="Book Antiqua" w:eastAsia="Book Antiqua" w:hAnsi="Book Antiqua" w:cs="Book Antiqua"/>
          <w:color w:val="000000"/>
          <w:shd w:val="clear" w:color="auto" w:fill="FFFFFF"/>
        </w:rPr>
        <w:t xml:space="preserve">covered </w:t>
      </w:r>
      <w:r w:rsidR="005455F3">
        <w:rPr>
          <w:rFonts w:ascii="Book Antiqua" w:eastAsia="Book Antiqua" w:hAnsi="Book Antiqua" w:cs="Book Antiqua"/>
          <w:color w:val="000000"/>
        </w:rPr>
        <w:t>s</w:t>
      </w:r>
      <w:r w:rsidR="005455F3" w:rsidRPr="00026E39">
        <w:rPr>
          <w:rFonts w:ascii="Book Antiqua" w:eastAsia="Book Antiqua" w:hAnsi="Book Antiqua" w:cs="Book Antiqua"/>
          <w:color w:val="000000"/>
        </w:rPr>
        <w:t xml:space="preserve">elf-expanding </w:t>
      </w:r>
      <w:r w:rsidR="005455F3">
        <w:rPr>
          <w:rFonts w:ascii="Book Antiqua" w:eastAsia="Book Antiqua" w:hAnsi="Book Antiqua" w:cs="Book Antiqua"/>
          <w:color w:val="000000"/>
          <w:shd w:val="clear" w:color="auto" w:fill="FFFFFF"/>
        </w:rPr>
        <w:t xml:space="preserve">metal stent; </w:t>
      </w:r>
      <w:r w:rsidR="004B6445" w:rsidRPr="00026E39">
        <w:rPr>
          <w:rFonts w:ascii="Book Antiqua" w:hAnsi="Book Antiqua"/>
        </w:rPr>
        <w:t>MBDO</w:t>
      </w:r>
      <w:r w:rsidR="004B6445">
        <w:rPr>
          <w:rFonts w:ascii="Book Antiqua" w:hAnsi="Book Antiqua"/>
        </w:rPr>
        <w:t xml:space="preserve">: Malignant biliary distal obstruction; </w:t>
      </w:r>
      <w:r w:rsidR="005455F3">
        <w:rPr>
          <w:rFonts w:ascii="Book Antiqua" w:eastAsia="Book Antiqua" w:hAnsi="Book Antiqua" w:cs="Book Antiqua"/>
          <w:color w:val="000000"/>
          <w:shd w:val="clear" w:color="auto" w:fill="FFFFFF"/>
        </w:rPr>
        <w:t xml:space="preserve">pcSEMS: </w:t>
      </w:r>
      <w:r w:rsidR="005455F3" w:rsidRPr="00026E39">
        <w:rPr>
          <w:rFonts w:ascii="Book Antiqua" w:eastAsia="Book Antiqua" w:hAnsi="Book Antiqua" w:cs="Book Antiqua"/>
          <w:color w:val="000000"/>
          <w:shd w:val="clear" w:color="auto" w:fill="FFFFFF"/>
        </w:rPr>
        <w:t xml:space="preserve">partially covered </w:t>
      </w:r>
      <w:r w:rsidR="005455F3">
        <w:rPr>
          <w:rFonts w:ascii="Book Antiqua" w:eastAsia="Book Antiqua" w:hAnsi="Book Antiqua" w:cs="Book Antiqua"/>
          <w:color w:val="000000"/>
        </w:rPr>
        <w:t>s</w:t>
      </w:r>
      <w:r w:rsidR="005455F3" w:rsidRPr="00026E39">
        <w:rPr>
          <w:rFonts w:ascii="Book Antiqua" w:eastAsia="Book Antiqua" w:hAnsi="Book Antiqua" w:cs="Book Antiqua"/>
          <w:color w:val="000000"/>
        </w:rPr>
        <w:t xml:space="preserve">elf-expanding </w:t>
      </w:r>
      <w:r w:rsidR="005455F3">
        <w:rPr>
          <w:rFonts w:ascii="Book Antiqua" w:eastAsia="Book Antiqua" w:hAnsi="Book Antiqua" w:cs="Book Antiqua"/>
          <w:color w:val="000000"/>
          <w:shd w:val="clear" w:color="auto" w:fill="FFFFFF"/>
        </w:rPr>
        <w:t>metal stent; PS</w:t>
      </w:r>
      <w:r w:rsidR="005455F3">
        <w:rPr>
          <w:rFonts w:ascii="Book Antiqua" w:eastAsia="Book Antiqua" w:hAnsi="Book Antiqua" w:cs="Book Antiqua"/>
          <w:color w:val="000000"/>
        </w:rPr>
        <w:t>: P</w:t>
      </w:r>
      <w:r w:rsidR="005455F3" w:rsidRPr="00026E39">
        <w:rPr>
          <w:rFonts w:ascii="Book Antiqua" w:eastAsia="Book Antiqua" w:hAnsi="Book Antiqua" w:cs="Book Antiqua"/>
          <w:color w:val="000000"/>
        </w:rPr>
        <w:t>lastic stent</w:t>
      </w:r>
      <w:r w:rsidR="005455F3">
        <w:rPr>
          <w:rFonts w:ascii="Book Antiqua" w:eastAsia="Book Antiqua" w:hAnsi="Book Antiqua" w:cs="Book Antiqua"/>
          <w:color w:val="000000"/>
        </w:rPr>
        <w:t xml:space="preserve">; </w:t>
      </w:r>
      <w:r w:rsidR="004B6445" w:rsidRPr="00026E39">
        <w:rPr>
          <w:rFonts w:ascii="Book Antiqua" w:eastAsia="Book Antiqua" w:hAnsi="Book Antiqua" w:cs="Book Antiqua"/>
          <w:color w:val="000000"/>
        </w:rPr>
        <w:t>SEMS</w:t>
      </w:r>
      <w:r w:rsidR="004B6445">
        <w:rPr>
          <w:rFonts w:ascii="Book Antiqua" w:eastAsia="Book Antiqua" w:hAnsi="Book Antiqua" w:cs="Book Antiqua"/>
          <w:color w:val="000000"/>
        </w:rPr>
        <w:t>: S</w:t>
      </w:r>
      <w:r w:rsidR="004B6445" w:rsidRPr="00026E39">
        <w:rPr>
          <w:rFonts w:ascii="Book Antiqua" w:eastAsia="Book Antiqua" w:hAnsi="Book Antiqua" w:cs="Book Antiqua"/>
          <w:color w:val="000000"/>
        </w:rPr>
        <w:t>elf-expanding metal stent</w:t>
      </w:r>
      <w:r w:rsidR="004B6445">
        <w:rPr>
          <w:rFonts w:ascii="Book Antiqua" w:eastAsia="Book Antiqua" w:hAnsi="Book Antiqua" w:cs="Book Antiqua"/>
          <w:color w:val="000000"/>
        </w:rPr>
        <w:t xml:space="preserve">; uSEMS: </w:t>
      </w:r>
      <w:r w:rsidR="004B6445" w:rsidRPr="00026E39">
        <w:rPr>
          <w:rFonts w:ascii="Book Antiqua" w:eastAsia="Book Antiqua" w:hAnsi="Book Antiqua" w:cs="Book Antiqua"/>
          <w:color w:val="000000"/>
          <w:shd w:val="clear" w:color="auto" w:fill="FFFFFF"/>
        </w:rPr>
        <w:t xml:space="preserve">uncovered </w:t>
      </w:r>
      <w:r w:rsidR="004B6445">
        <w:rPr>
          <w:rFonts w:ascii="Book Antiqua" w:eastAsia="Book Antiqua" w:hAnsi="Book Antiqua" w:cs="Book Antiqua"/>
          <w:color w:val="000000"/>
        </w:rPr>
        <w:t>s</w:t>
      </w:r>
      <w:r w:rsidR="004B6445" w:rsidRPr="00026E39">
        <w:rPr>
          <w:rFonts w:ascii="Book Antiqua" w:eastAsia="Book Antiqua" w:hAnsi="Book Antiqua" w:cs="Book Antiqua"/>
          <w:color w:val="000000"/>
        </w:rPr>
        <w:t xml:space="preserve">elf-expanding </w:t>
      </w:r>
      <w:r w:rsidR="004B6445" w:rsidRPr="00026E39">
        <w:rPr>
          <w:rFonts w:ascii="Book Antiqua" w:eastAsia="Book Antiqua" w:hAnsi="Book Antiqua" w:cs="Book Antiqua"/>
          <w:color w:val="000000"/>
          <w:shd w:val="clear" w:color="auto" w:fill="FFFFFF"/>
        </w:rPr>
        <w:t>metal stent</w:t>
      </w:r>
      <w:r w:rsidR="005455F3">
        <w:rPr>
          <w:rFonts w:ascii="Book Antiqua" w:eastAsia="Book Antiqua" w:hAnsi="Book Antiqua" w:cs="Book Antiqua"/>
          <w:color w:val="000000"/>
          <w:shd w:val="clear" w:color="auto" w:fill="FFFFFF"/>
        </w:rPr>
        <w:t>.</w:t>
      </w:r>
      <w:r w:rsidR="004B6445">
        <w:rPr>
          <w:rFonts w:ascii="Book Antiqua" w:eastAsia="Book Antiqua" w:hAnsi="Book Antiqua" w:cs="Book Antiqua"/>
          <w:color w:val="000000"/>
          <w:shd w:val="clear" w:color="auto" w:fill="FFFFFF"/>
        </w:rPr>
        <w:t xml:space="preserve"> </w:t>
      </w:r>
    </w:p>
    <w:sectPr w:rsidR="00A77B3E" w:rsidRPr="001665F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CF42EC" w14:textId="77777777" w:rsidR="00CB1F82" w:rsidRDefault="00CB1F82" w:rsidP="004B6445">
      <w:r>
        <w:separator/>
      </w:r>
    </w:p>
  </w:endnote>
  <w:endnote w:type="continuationSeparator" w:id="0">
    <w:p w14:paraId="575CD08C" w14:textId="77777777" w:rsidR="00CB1F82" w:rsidRDefault="00CB1F82" w:rsidP="004B6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756636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3B4BB5A" w14:textId="0935A164" w:rsidR="00C97E7F" w:rsidRPr="008A4235" w:rsidRDefault="00C97E7F" w:rsidP="009119D8">
            <w:pPr>
              <w:pStyle w:val="Footer"/>
              <w:jc w:val="right"/>
              <w:rPr>
                <w:rFonts w:ascii="Book Antiqua" w:hAnsi="Book Antiqua"/>
                <w:sz w:val="24"/>
                <w:szCs w:val="24"/>
              </w:rPr>
            </w:pPr>
            <w:r w:rsidRPr="009119D8">
              <w:rPr>
                <w:rFonts w:ascii="Book Antiqua" w:hAnsi="Book Antiqua"/>
                <w:sz w:val="24"/>
                <w:szCs w:val="24"/>
                <w:lang w:val="zh-CN" w:eastAsia="zh-CN"/>
              </w:rPr>
              <w:t xml:space="preserve"> </w:t>
            </w:r>
            <w:r w:rsidRPr="005D3E69">
              <w:rPr>
                <w:rFonts w:ascii="Book Antiqua" w:hAnsi="Book Antiqua"/>
                <w:sz w:val="24"/>
                <w:szCs w:val="24"/>
              </w:rPr>
              <w:fldChar w:fldCharType="begin"/>
            </w:r>
            <w:r w:rsidRPr="005D3E69">
              <w:rPr>
                <w:rFonts w:ascii="Book Antiqua" w:hAnsi="Book Antiqua"/>
                <w:sz w:val="24"/>
                <w:szCs w:val="24"/>
              </w:rPr>
              <w:instrText>PAGE</w:instrText>
            </w:r>
            <w:r w:rsidRPr="005D3E69">
              <w:rPr>
                <w:rFonts w:ascii="Book Antiqua" w:hAnsi="Book Antiqua"/>
                <w:sz w:val="24"/>
                <w:szCs w:val="24"/>
              </w:rPr>
              <w:fldChar w:fldCharType="separate"/>
            </w:r>
            <w:r w:rsidRPr="005D3E69">
              <w:rPr>
                <w:rFonts w:ascii="Book Antiqua" w:hAnsi="Book Antiqua"/>
                <w:noProof/>
                <w:sz w:val="24"/>
                <w:szCs w:val="24"/>
              </w:rPr>
              <w:t>21</w:t>
            </w:r>
            <w:r w:rsidRPr="005D3E69">
              <w:rPr>
                <w:rFonts w:ascii="Book Antiqua" w:hAnsi="Book Antiqua"/>
                <w:sz w:val="24"/>
                <w:szCs w:val="24"/>
              </w:rPr>
              <w:fldChar w:fldCharType="end"/>
            </w:r>
            <w:r w:rsidRPr="008A4235">
              <w:rPr>
                <w:rFonts w:ascii="Book Antiqua" w:hAnsi="Book Antiqua"/>
                <w:sz w:val="24"/>
                <w:szCs w:val="24"/>
                <w:lang w:val="zh-CN" w:eastAsia="zh-CN"/>
              </w:rPr>
              <w:t xml:space="preserve"> / </w:t>
            </w:r>
            <w:r w:rsidRPr="005D3E69">
              <w:rPr>
                <w:rFonts w:ascii="Book Antiqua" w:hAnsi="Book Antiqua"/>
                <w:sz w:val="24"/>
                <w:szCs w:val="24"/>
              </w:rPr>
              <w:fldChar w:fldCharType="begin"/>
            </w:r>
            <w:r w:rsidRPr="005D3E69">
              <w:rPr>
                <w:rFonts w:ascii="Book Antiqua" w:hAnsi="Book Antiqua"/>
                <w:sz w:val="24"/>
                <w:szCs w:val="24"/>
              </w:rPr>
              <w:instrText>NUMPAGES</w:instrText>
            </w:r>
            <w:r w:rsidRPr="005D3E69">
              <w:rPr>
                <w:rFonts w:ascii="Book Antiqua" w:hAnsi="Book Antiqua"/>
                <w:sz w:val="24"/>
                <w:szCs w:val="24"/>
              </w:rPr>
              <w:fldChar w:fldCharType="separate"/>
            </w:r>
            <w:r w:rsidRPr="005D3E69">
              <w:rPr>
                <w:rFonts w:ascii="Book Antiqua" w:hAnsi="Book Antiqua"/>
                <w:noProof/>
                <w:sz w:val="24"/>
                <w:szCs w:val="24"/>
              </w:rPr>
              <w:t>35</w:t>
            </w:r>
            <w:r w:rsidRPr="005D3E69">
              <w:rPr>
                <w:rFonts w:ascii="Book Antiqua" w:hAnsi="Book Antiqua"/>
                <w:sz w:val="24"/>
                <w:szCs w:val="24"/>
              </w:rPr>
              <w:fldChar w:fldCharType="end"/>
            </w:r>
          </w:p>
        </w:sdtContent>
      </w:sdt>
    </w:sdtContent>
  </w:sdt>
  <w:p w14:paraId="36C86219" w14:textId="77777777" w:rsidR="00C97E7F" w:rsidRDefault="00C97E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08E42F" w14:textId="77777777" w:rsidR="00CB1F82" w:rsidRDefault="00CB1F82" w:rsidP="004B6445">
      <w:r>
        <w:separator/>
      </w:r>
    </w:p>
  </w:footnote>
  <w:footnote w:type="continuationSeparator" w:id="0">
    <w:p w14:paraId="7B280EE9" w14:textId="77777777" w:rsidR="00CB1F82" w:rsidRDefault="00CB1F82" w:rsidP="004B64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6E31"/>
    <w:rsid w:val="00010B09"/>
    <w:rsid w:val="00024980"/>
    <w:rsid w:val="00067D65"/>
    <w:rsid w:val="00090A82"/>
    <w:rsid w:val="00096022"/>
    <w:rsid w:val="001001E4"/>
    <w:rsid w:val="0013726D"/>
    <w:rsid w:val="00143F69"/>
    <w:rsid w:val="00147E56"/>
    <w:rsid w:val="00161F9B"/>
    <w:rsid w:val="001665FC"/>
    <w:rsid w:val="001772C3"/>
    <w:rsid w:val="001D61B7"/>
    <w:rsid w:val="002171FA"/>
    <w:rsid w:val="00222D7E"/>
    <w:rsid w:val="002270C8"/>
    <w:rsid w:val="00252ED4"/>
    <w:rsid w:val="00255F13"/>
    <w:rsid w:val="0026174C"/>
    <w:rsid w:val="00284EE4"/>
    <w:rsid w:val="00297350"/>
    <w:rsid w:val="002D100C"/>
    <w:rsid w:val="002E0AD7"/>
    <w:rsid w:val="003006D7"/>
    <w:rsid w:val="003472D0"/>
    <w:rsid w:val="003A224B"/>
    <w:rsid w:val="003B1856"/>
    <w:rsid w:val="004038A2"/>
    <w:rsid w:val="0044533C"/>
    <w:rsid w:val="00446CFB"/>
    <w:rsid w:val="00456423"/>
    <w:rsid w:val="004B6445"/>
    <w:rsid w:val="004E063E"/>
    <w:rsid w:val="005101A9"/>
    <w:rsid w:val="00532CE7"/>
    <w:rsid w:val="005455F3"/>
    <w:rsid w:val="005510A1"/>
    <w:rsid w:val="00594F93"/>
    <w:rsid w:val="00595162"/>
    <w:rsid w:val="005C22FD"/>
    <w:rsid w:val="005D3E69"/>
    <w:rsid w:val="00620E37"/>
    <w:rsid w:val="00645DD4"/>
    <w:rsid w:val="00651A63"/>
    <w:rsid w:val="0069322E"/>
    <w:rsid w:val="006D22F8"/>
    <w:rsid w:val="006E50C4"/>
    <w:rsid w:val="006E7D34"/>
    <w:rsid w:val="00724D56"/>
    <w:rsid w:val="007567EC"/>
    <w:rsid w:val="0076445F"/>
    <w:rsid w:val="00781E9E"/>
    <w:rsid w:val="00795D31"/>
    <w:rsid w:val="007E52B0"/>
    <w:rsid w:val="007E7B63"/>
    <w:rsid w:val="00816444"/>
    <w:rsid w:val="008570D4"/>
    <w:rsid w:val="0089007E"/>
    <w:rsid w:val="008A2B67"/>
    <w:rsid w:val="008A4235"/>
    <w:rsid w:val="008C6198"/>
    <w:rsid w:val="009119D8"/>
    <w:rsid w:val="00916939"/>
    <w:rsid w:val="00932A1A"/>
    <w:rsid w:val="0098649C"/>
    <w:rsid w:val="00996EC9"/>
    <w:rsid w:val="009F7F33"/>
    <w:rsid w:val="00A53153"/>
    <w:rsid w:val="00A77B3E"/>
    <w:rsid w:val="00AC4551"/>
    <w:rsid w:val="00AF6749"/>
    <w:rsid w:val="00B50541"/>
    <w:rsid w:val="00B8549F"/>
    <w:rsid w:val="00BB49DC"/>
    <w:rsid w:val="00C21615"/>
    <w:rsid w:val="00C37586"/>
    <w:rsid w:val="00C63F97"/>
    <w:rsid w:val="00C66A81"/>
    <w:rsid w:val="00C75166"/>
    <w:rsid w:val="00C814C2"/>
    <w:rsid w:val="00C97E7F"/>
    <w:rsid w:val="00CA2A55"/>
    <w:rsid w:val="00CB1F82"/>
    <w:rsid w:val="00CD60DA"/>
    <w:rsid w:val="00CE508C"/>
    <w:rsid w:val="00D12D94"/>
    <w:rsid w:val="00D25386"/>
    <w:rsid w:val="00D33929"/>
    <w:rsid w:val="00D51737"/>
    <w:rsid w:val="00D53001"/>
    <w:rsid w:val="00D86193"/>
    <w:rsid w:val="00D863A7"/>
    <w:rsid w:val="00DB5AF7"/>
    <w:rsid w:val="00DC6E30"/>
    <w:rsid w:val="00DF4DE8"/>
    <w:rsid w:val="00E061BD"/>
    <w:rsid w:val="00E35B75"/>
    <w:rsid w:val="00E42CA2"/>
    <w:rsid w:val="00E448E9"/>
    <w:rsid w:val="00E7530C"/>
    <w:rsid w:val="00EA6934"/>
    <w:rsid w:val="00EB5972"/>
    <w:rsid w:val="00ED0C79"/>
    <w:rsid w:val="00F0355E"/>
    <w:rsid w:val="00F12D69"/>
    <w:rsid w:val="00F16B70"/>
    <w:rsid w:val="00FB49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E37045"/>
  <w15:docId w15:val="{5E82B11A-12DB-4F79-81AD-02C191449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31">
    <w:name w:val="fontstyle31"/>
    <w:basedOn w:val="DefaultParagraphFont"/>
  </w:style>
  <w:style w:type="paragraph" w:styleId="Header">
    <w:name w:val="header"/>
    <w:basedOn w:val="Normal"/>
    <w:link w:val="HeaderChar"/>
    <w:unhideWhenUsed/>
    <w:rsid w:val="004B644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B6445"/>
    <w:rPr>
      <w:sz w:val="18"/>
      <w:szCs w:val="18"/>
    </w:rPr>
  </w:style>
  <w:style w:type="paragraph" w:styleId="Footer">
    <w:name w:val="footer"/>
    <w:basedOn w:val="Normal"/>
    <w:link w:val="FooterChar"/>
    <w:uiPriority w:val="99"/>
    <w:unhideWhenUsed/>
    <w:rsid w:val="004B644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B6445"/>
    <w:rPr>
      <w:sz w:val="18"/>
      <w:szCs w:val="18"/>
    </w:rPr>
  </w:style>
  <w:style w:type="table" w:customStyle="1" w:styleId="TabeladeGrade5Escura-nfase11">
    <w:name w:val="Tabela de Grade 5 Escura - Ênfase 11"/>
    <w:basedOn w:val="TableNormal"/>
    <w:uiPriority w:val="50"/>
    <w:qFormat/>
    <w:rsid w:val="004B6445"/>
    <w:rPr>
      <w:rFonts w:eastAsia="Times New Roman"/>
      <w:lang w:eastAsia="zh-CN"/>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rFonts w:ascii="Times New Roman" w:hAnsi="Times New Roman" w:cs="Times New Roman" w:hint="default"/>
        <w:b/>
        <w:bCs/>
        <w:color w:val="FFFFFF"/>
      </w:rPr>
      <w:tblPr/>
      <w:tcPr>
        <w:tcBorders>
          <w:top w:val="single" w:sz="4" w:space="0" w:color="FFFFFF"/>
          <w:left w:val="single" w:sz="4" w:space="0" w:color="FFFFFF"/>
          <w:right w:val="single" w:sz="4" w:space="0" w:color="FFFFFF"/>
          <w:insideH w:val="none" w:sz="0" w:space="0" w:color="auto"/>
          <w:insideV w:val="none" w:sz="0" w:space="0" w:color="auto"/>
        </w:tcBorders>
        <w:shd w:val="clear" w:color="auto" w:fill="4472C4"/>
      </w:tcPr>
    </w:tblStylePr>
    <w:tblStylePr w:type="lastRow">
      <w:rPr>
        <w:rFonts w:ascii="Times New Roman" w:hAnsi="Times New Roman" w:cs="Times New Roman" w:hint="default"/>
        <w:b/>
        <w:bCs/>
        <w:color w:val="FFFFFF"/>
      </w:rPr>
      <w:tblPr/>
      <w:tcPr>
        <w:tcBorders>
          <w:left w:val="single" w:sz="4" w:space="0" w:color="FFFFFF"/>
          <w:bottom w:val="single" w:sz="4" w:space="0" w:color="FFFFFF"/>
          <w:right w:val="single" w:sz="4" w:space="0" w:color="FFFFFF"/>
          <w:insideH w:val="none" w:sz="0" w:space="0" w:color="auto"/>
          <w:insideV w:val="none" w:sz="0" w:space="0" w:color="auto"/>
        </w:tcBorders>
        <w:shd w:val="clear" w:color="auto" w:fill="4472C4"/>
      </w:tcPr>
    </w:tblStylePr>
    <w:tblStylePr w:type="firstCol">
      <w:rPr>
        <w:rFonts w:ascii="Times New Roman" w:hAnsi="Times New Roman" w:cs="Times New Roman" w:hint="default"/>
        <w:b/>
        <w:bCs/>
        <w:color w:val="FFFFFF"/>
      </w:rPr>
      <w:tblPr/>
      <w:tcPr>
        <w:tcBorders>
          <w:top w:val="single" w:sz="4" w:space="0" w:color="FFFFFF"/>
          <w:left w:val="single" w:sz="4" w:space="0" w:color="FFFFFF"/>
          <w:bottom w:val="single" w:sz="4" w:space="0" w:color="FFFFFF"/>
          <w:insideV w:val="none" w:sz="0" w:space="0" w:color="auto"/>
        </w:tcBorders>
        <w:shd w:val="clear" w:color="auto" w:fill="4472C4"/>
      </w:tcPr>
    </w:tblStylePr>
    <w:tblStylePr w:type="lastCol">
      <w:rPr>
        <w:rFonts w:ascii="Times New Roman" w:hAnsi="Times New Roman" w:cs="Times New Roman" w:hint="default"/>
        <w:b/>
        <w:bCs/>
        <w:color w:val="FFFFFF"/>
      </w:rPr>
      <w:tblPr/>
      <w:tcPr>
        <w:tcBorders>
          <w:top w:val="single" w:sz="4" w:space="0" w:color="FFFFFF"/>
          <w:bottom w:val="single" w:sz="4" w:space="0" w:color="FFFFFF"/>
          <w:right w:val="single" w:sz="4" w:space="0" w:color="FFFFFF"/>
          <w:insideV w:val="none" w:sz="0" w:space="0" w:color="auto"/>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styleId="CommentReference">
    <w:name w:val="annotation reference"/>
    <w:basedOn w:val="DefaultParagraphFont"/>
    <w:semiHidden/>
    <w:unhideWhenUsed/>
    <w:rsid w:val="00090A82"/>
    <w:rPr>
      <w:sz w:val="21"/>
      <w:szCs w:val="21"/>
    </w:rPr>
  </w:style>
  <w:style w:type="paragraph" w:styleId="BalloonText">
    <w:name w:val="Balloon Text"/>
    <w:basedOn w:val="Normal"/>
    <w:link w:val="BalloonTextChar"/>
    <w:rsid w:val="00090A82"/>
    <w:rPr>
      <w:sz w:val="18"/>
      <w:szCs w:val="18"/>
    </w:rPr>
  </w:style>
  <w:style w:type="character" w:customStyle="1" w:styleId="BalloonTextChar">
    <w:name w:val="Balloon Text Char"/>
    <w:basedOn w:val="DefaultParagraphFont"/>
    <w:link w:val="BalloonText"/>
    <w:rsid w:val="00090A82"/>
    <w:rPr>
      <w:sz w:val="18"/>
      <w:szCs w:val="18"/>
    </w:rPr>
  </w:style>
  <w:style w:type="paragraph" w:styleId="CommentText">
    <w:name w:val="annotation text"/>
    <w:basedOn w:val="Normal"/>
    <w:link w:val="CommentTextChar"/>
    <w:semiHidden/>
    <w:unhideWhenUsed/>
    <w:rsid w:val="00090A82"/>
    <w:rPr>
      <w:sz w:val="20"/>
      <w:szCs w:val="20"/>
    </w:rPr>
  </w:style>
  <w:style w:type="character" w:customStyle="1" w:styleId="CommentTextChar">
    <w:name w:val="Comment Text Char"/>
    <w:basedOn w:val="DefaultParagraphFont"/>
    <w:link w:val="CommentText"/>
    <w:semiHidden/>
    <w:rsid w:val="00090A82"/>
  </w:style>
  <w:style w:type="paragraph" w:styleId="CommentSubject">
    <w:name w:val="annotation subject"/>
    <w:basedOn w:val="CommentText"/>
    <w:next w:val="CommentText"/>
    <w:link w:val="CommentSubjectChar"/>
    <w:semiHidden/>
    <w:unhideWhenUsed/>
    <w:rsid w:val="00090A82"/>
    <w:rPr>
      <w:b/>
      <w:bCs/>
    </w:rPr>
  </w:style>
  <w:style w:type="character" w:customStyle="1" w:styleId="CommentSubjectChar">
    <w:name w:val="Comment Subject Char"/>
    <w:basedOn w:val="CommentTextChar"/>
    <w:link w:val="CommentSubject"/>
    <w:semiHidden/>
    <w:rsid w:val="00090A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D3D19-07AF-4DB2-A75D-80C8CEEE1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6479</Words>
  <Characters>36935</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2021-05-10T03:56:00Z</dcterms:created>
  <dcterms:modified xsi:type="dcterms:W3CDTF">2021-05-10T03:56:00Z</dcterms:modified>
</cp:coreProperties>
</file>