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DE7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 xml:space="preserve">Name of Journal: </w:t>
      </w:r>
      <w:r w:rsidRPr="00D35DBC">
        <w:rPr>
          <w:rFonts w:ascii="Book Antiqua" w:eastAsia="Book Antiqua" w:hAnsi="Book Antiqua" w:cs="Book Antiqua"/>
          <w:i/>
          <w:color w:val="000000" w:themeColor="text1"/>
        </w:rPr>
        <w:t>World Journal of Gastrointestinal Surgery</w:t>
      </w:r>
    </w:p>
    <w:p w14:paraId="3B0CF17E"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 xml:space="preserve">Manuscript NO: </w:t>
      </w:r>
      <w:r w:rsidRPr="00D35DBC">
        <w:rPr>
          <w:rFonts w:ascii="Book Antiqua" w:eastAsia="Book Antiqua" w:hAnsi="Book Antiqua" w:cs="Book Antiqua"/>
          <w:color w:val="000000" w:themeColor="text1"/>
        </w:rPr>
        <w:t>62821</w:t>
      </w:r>
    </w:p>
    <w:p w14:paraId="7A99313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 xml:space="preserve">Manuscript Type: </w:t>
      </w:r>
      <w:r w:rsidRPr="00D35DBC">
        <w:rPr>
          <w:rFonts w:ascii="Book Antiqua" w:eastAsia="Book Antiqua" w:hAnsi="Book Antiqua" w:cs="Book Antiqua"/>
          <w:color w:val="000000" w:themeColor="text1"/>
        </w:rPr>
        <w:t>ORIGINAL ARTICLE</w:t>
      </w:r>
    </w:p>
    <w:p w14:paraId="6202A90E"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B1C6B6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Observational Study</w:t>
      </w:r>
    </w:p>
    <w:p w14:paraId="2C514F25" w14:textId="2AE695B1"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 xml:space="preserve">Comparison of effects of six main gastrectomy procedures on patients’ quality of life assessed by </w:t>
      </w:r>
      <w:r w:rsidR="00FD12EA" w:rsidRPr="00D35DBC">
        <w:rPr>
          <w:rFonts w:ascii="Book Antiqua" w:eastAsia="Book Antiqua" w:hAnsi="Book Antiqua" w:cs="Book Antiqua"/>
          <w:b/>
          <w:color w:val="000000" w:themeColor="text1"/>
        </w:rPr>
        <w:t>Postgastrectomy Syndrome Assessment Scale-45</w:t>
      </w:r>
    </w:p>
    <w:p w14:paraId="46561A87"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0448FF2" w14:textId="5B17AD95" w:rsidR="00A77B3E" w:rsidRPr="00D35DBC" w:rsidRDefault="000E6795"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Nakada K </w:t>
      </w:r>
      <w:r w:rsidRPr="00D35DBC">
        <w:rPr>
          <w:rFonts w:ascii="Book Antiqua" w:eastAsia="Book Antiqua" w:hAnsi="Book Antiqua" w:cs="Book Antiqua"/>
          <w:i/>
          <w:iCs/>
          <w:color w:val="000000" w:themeColor="text1"/>
        </w:rPr>
        <w:t xml:space="preserve">et al. </w:t>
      </w:r>
      <w:r w:rsidR="00C1648E" w:rsidRPr="00D35DBC">
        <w:rPr>
          <w:rFonts w:ascii="Book Antiqua" w:eastAsia="Book Antiqua" w:hAnsi="Book Antiqua" w:cs="Book Antiqua"/>
          <w:color w:val="000000" w:themeColor="text1"/>
        </w:rPr>
        <w:t>Life quality after various gastrectomy procedures</w:t>
      </w:r>
    </w:p>
    <w:p w14:paraId="11532E21"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F1D5B2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Koji Nakada, Yoshiyuki Kawashima, Shinichi Kinami, Ryoji Fukushima, Hiroshi Yabusaki, Akiyoshi Seshimo, Naoki Hiki, Keisuke Koeda, Mikihiro Kano, Yoshikazu Uenosono, Atsushi Oshio, Yasuhiro Kodera</w:t>
      </w:r>
    </w:p>
    <w:p w14:paraId="643F366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81790BE"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Koji Nakada, </w:t>
      </w:r>
      <w:r w:rsidRPr="00D35DBC">
        <w:rPr>
          <w:rFonts w:ascii="Book Antiqua" w:eastAsia="Book Antiqua" w:hAnsi="Book Antiqua" w:cs="Book Antiqua"/>
          <w:color w:val="000000" w:themeColor="text1"/>
        </w:rPr>
        <w:t>Department of Laboratory Medicine, The Jikei University School of Medicine, Tokyo 105-8461, Japan</w:t>
      </w:r>
    </w:p>
    <w:p w14:paraId="6B18BC1C"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EF57E60" w14:textId="17057B3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Yoshiyuki Kawashima, </w:t>
      </w:r>
      <w:r w:rsidR="007E69FF" w:rsidRPr="00D35DBC">
        <w:rPr>
          <w:rFonts w:ascii="Book Antiqua" w:eastAsia="Book Antiqua" w:hAnsi="Book Antiqua" w:cs="Book Antiqua"/>
          <w:bCs/>
          <w:color w:val="000000" w:themeColor="text1"/>
        </w:rPr>
        <w:t xml:space="preserve">Department of </w:t>
      </w:r>
      <w:r w:rsidRPr="00D35DBC">
        <w:rPr>
          <w:rFonts w:ascii="Book Antiqua" w:eastAsia="Book Antiqua" w:hAnsi="Book Antiqua" w:cs="Book Antiqua"/>
          <w:color w:val="000000" w:themeColor="text1"/>
        </w:rPr>
        <w:t>Gastroenterological Surgery, Saitama Cancer Center, Saitama 362-0806, Japan</w:t>
      </w:r>
    </w:p>
    <w:p w14:paraId="1AFDFAA0"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C84861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Shinichi Kinami, </w:t>
      </w:r>
      <w:r w:rsidRPr="00D35DBC">
        <w:rPr>
          <w:rFonts w:ascii="Book Antiqua" w:eastAsia="Book Antiqua" w:hAnsi="Book Antiqua" w:cs="Book Antiqua"/>
          <w:color w:val="000000" w:themeColor="text1"/>
        </w:rPr>
        <w:t>Department of Surgical Oncology, Kanazawa Medical University, Kahoku-gun 920-0293, Ishikawa, Japan</w:t>
      </w:r>
    </w:p>
    <w:p w14:paraId="231A1D5E"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BE56B47" w14:textId="6D764806"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Ryoji Fukushima,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Surgery, Teikyo University School of Medicine, Tokyo 173-8605, Japan</w:t>
      </w:r>
    </w:p>
    <w:p w14:paraId="6B514B3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8C0A287" w14:textId="7B4A233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Hiroshi Yabusaki,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Surgery, Niigata Cancer Center Hospital, Niigata 951-8566, Japan</w:t>
      </w:r>
    </w:p>
    <w:p w14:paraId="0127EB97"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385AB76" w14:textId="679A8AB2"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lastRenderedPageBreak/>
        <w:t xml:space="preserve">Akiyoshi Seshimo,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Gastrointestinal and Pediatric Surgery, Tokyo Medical University, Tokyo 160-0023, Japan</w:t>
      </w:r>
    </w:p>
    <w:p w14:paraId="6A0FC321"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9BDB8B4" w14:textId="3D86C3CD"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Naoki Hiki,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Upper Gastrointestinal Surgery, Kitasato University School of Medicine, Kanagawa 252-0374, Japan</w:t>
      </w:r>
    </w:p>
    <w:p w14:paraId="7E63CAEC"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56CB18D" w14:textId="3BC94EF3"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Keisuke Koeda,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Medical Safety Science, Iwate Medical University, Iwate 028-3695, Japan</w:t>
      </w:r>
    </w:p>
    <w:p w14:paraId="45E444C4"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12EE52C" w14:textId="0DCA418A"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Mikihiro Kano,</w:t>
      </w:r>
      <w:r w:rsidR="000E6795" w:rsidRPr="00D35DBC">
        <w:rPr>
          <w:rFonts w:ascii="Book Antiqua" w:eastAsia="Book Antiqua" w:hAnsi="Book Antiqua" w:cs="Book Antiqua"/>
          <w:color w:val="000000" w:themeColor="text1"/>
        </w:rPr>
        <w:t xml:space="preserve"> Department of</w:t>
      </w:r>
      <w:r w:rsidRPr="00D35DBC">
        <w:rPr>
          <w:rFonts w:ascii="Book Antiqua" w:eastAsia="Book Antiqua" w:hAnsi="Book Antiqua" w:cs="Book Antiqua"/>
          <w:b/>
          <w:bCs/>
          <w:color w:val="000000" w:themeColor="text1"/>
        </w:rPr>
        <w:t xml:space="preserve"> </w:t>
      </w:r>
      <w:r w:rsidRPr="00D35DBC">
        <w:rPr>
          <w:rFonts w:ascii="Book Antiqua" w:eastAsia="Book Antiqua" w:hAnsi="Book Antiqua" w:cs="Book Antiqua"/>
          <w:color w:val="000000" w:themeColor="text1"/>
        </w:rPr>
        <w:t>Surgery, Hiroshima City Asa Citizens Hospital, Hiroshima 731-0293, Japan</w:t>
      </w:r>
    </w:p>
    <w:p w14:paraId="5F1ABE3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0015AFE" w14:textId="10322FD0"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Yoshikazu Uenosono,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Digestive Surgery, Imamura General Hospital, Kagoshima 890-0064, Japan</w:t>
      </w:r>
    </w:p>
    <w:p w14:paraId="6F0C8F86"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4FEAEBEF" w14:textId="764CF14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Atsushi Oshio, </w:t>
      </w:r>
      <w:r w:rsidRPr="00D35DBC">
        <w:rPr>
          <w:rFonts w:ascii="Book Antiqua" w:eastAsia="Book Antiqua" w:hAnsi="Book Antiqua" w:cs="Book Antiqua"/>
          <w:color w:val="000000" w:themeColor="text1"/>
        </w:rPr>
        <w:t xml:space="preserve">Faculty of Letters, Arts and Sciences, Waseda University, Tokyo </w:t>
      </w:r>
      <w:r w:rsidR="00FD2C78" w:rsidRPr="00D35DBC">
        <w:rPr>
          <w:rFonts w:ascii="Book Antiqua" w:eastAsia="Book Antiqua" w:hAnsi="Book Antiqua" w:cs="Book Antiqua"/>
          <w:color w:val="000000" w:themeColor="text1"/>
        </w:rPr>
        <w:t>162-8644</w:t>
      </w:r>
      <w:r w:rsidRPr="00D35DBC">
        <w:rPr>
          <w:rFonts w:ascii="Book Antiqua" w:eastAsia="Book Antiqua" w:hAnsi="Book Antiqua" w:cs="Book Antiqua"/>
          <w:color w:val="000000" w:themeColor="text1"/>
        </w:rPr>
        <w:t>, Japan</w:t>
      </w:r>
    </w:p>
    <w:p w14:paraId="026A0B2A"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93B0DD8" w14:textId="39EF770F"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Yasuhiro Kodera,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Gastroenterological Surgery, Nagoya University Graduate School of Medicine, Nagoya 466-8550, Japan</w:t>
      </w:r>
    </w:p>
    <w:p w14:paraId="298EEB2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AE096FA" w14:textId="530FD954"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Author contributions: </w:t>
      </w:r>
      <w:r w:rsidRPr="00D35DBC">
        <w:rPr>
          <w:rFonts w:ascii="Book Antiqua" w:eastAsia="Book Antiqua" w:hAnsi="Book Antiqua" w:cs="Book Antiqua"/>
          <w:color w:val="000000" w:themeColor="text1"/>
        </w:rPr>
        <w:t>Nakada K, Kinami S, Uenosono Y, Kodera Y designed the study,</w:t>
      </w:r>
      <w:r w:rsidR="000E6795"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 xml:space="preserve">collected and managed the data; Kawashima Y, Fukushima R, Yabusaki H, Seshimo A, Hiki N, Koeda K, Kano M collected and managed the data; Oshio A contributed to statistical analysis; Nakada K wrote the paper; </w:t>
      </w:r>
      <w:r w:rsidR="003F71C7">
        <w:rPr>
          <w:rFonts w:ascii="Book Antiqua" w:eastAsia="Book Antiqua" w:hAnsi="Book Antiqua" w:cs="Book Antiqua"/>
          <w:color w:val="000000" w:themeColor="text1"/>
        </w:rPr>
        <w:t>a</w:t>
      </w:r>
      <w:r w:rsidRPr="00D35DBC">
        <w:rPr>
          <w:rFonts w:ascii="Book Antiqua" w:eastAsia="Book Antiqua" w:hAnsi="Book Antiqua" w:cs="Book Antiqua"/>
          <w:color w:val="000000" w:themeColor="text1"/>
        </w:rPr>
        <w:t>ll authors have read and approved the final version to be published.</w:t>
      </w:r>
    </w:p>
    <w:p w14:paraId="450CE42A"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A99F61A" w14:textId="1361028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Supported by</w:t>
      </w:r>
      <w:r w:rsidR="000E6795" w:rsidRPr="00D35DBC">
        <w:rPr>
          <w:rFonts w:ascii="Book Antiqua" w:eastAsia="Book Antiqua" w:hAnsi="Book Antiqua" w:cs="Book Antiqua"/>
          <w:b/>
          <w:bCs/>
          <w:color w:val="000000" w:themeColor="text1"/>
        </w:rPr>
        <w:t xml:space="preserve"> </w:t>
      </w:r>
      <w:bookmarkStart w:id="0" w:name="OLE_LINK2884"/>
      <w:r w:rsidR="000A4626" w:rsidRPr="00D35DBC">
        <w:rPr>
          <w:rFonts w:ascii="Book Antiqua" w:eastAsia="MS Mincho" w:hAnsi="Book Antiqua" w:cs="Book Antiqua"/>
          <w:bCs/>
          <w:color w:val="000000" w:themeColor="text1"/>
          <w:lang w:eastAsia="ja-JP"/>
        </w:rPr>
        <w:t>The</w:t>
      </w:r>
      <w:r w:rsidR="000A4626" w:rsidRPr="00D35DBC">
        <w:rPr>
          <w:rFonts w:ascii="Book Antiqua" w:eastAsia="MS Mincho" w:hAnsi="Book Antiqua" w:cs="Book Antiqua"/>
          <w:b/>
          <w:bCs/>
          <w:color w:val="000000" w:themeColor="text1"/>
          <w:lang w:eastAsia="ja-JP"/>
        </w:rPr>
        <w:t xml:space="preserve"> </w:t>
      </w:r>
      <w:r w:rsidRPr="00D35DBC">
        <w:rPr>
          <w:rFonts w:ascii="Book Antiqua" w:eastAsia="Book Antiqua" w:hAnsi="Book Antiqua" w:cs="Book Antiqua"/>
          <w:color w:val="000000" w:themeColor="text1"/>
        </w:rPr>
        <w:t>Jikei University</w:t>
      </w:r>
      <w:r w:rsidR="00ED09AA" w:rsidRPr="00D35DBC">
        <w:rPr>
          <w:rFonts w:ascii="Book Antiqua" w:eastAsia="Book Antiqua" w:hAnsi="Book Antiqua" w:cs="Book Antiqua"/>
          <w:color w:val="000000" w:themeColor="text1"/>
        </w:rPr>
        <w:t xml:space="preserve"> School of Medicine</w:t>
      </w:r>
      <w:bookmarkEnd w:id="0"/>
      <w:r w:rsidR="0052531C"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and </w:t>
      </w:r>
      <w:r w:rsidR="00FD5488" w:rsidRPr="00D35DBC">
        <w:rPr>
          <w:rFonts w:ascii="Book Antiqua" w:eastAsia="Book Antiqua" w:hAnsi="Book Antiqua" w:cs="Book Antiqua"/>
          <w:color w:val="000000" w:themeColor="text1"/>
        </w:rPr>
        <w:t xml:space="preserve">the </w:t>
      </w:r>
      <w:bookmarkStart w:id="1" w:name="OLE_LINK2885"/>
      <w:bookmarkStart w:id="2" w:name="OLE_LINK2886"/>
      <w:r w:rsidRPr="00D35DBC">
        <w:rPr>
          <w:rFonts w:ascii="Book Antiqua" w:eastAsia="Book Antiqua" w:hAnsi="Book Antiqua" w:cs="Book Antiqua"/>
          <w:color w:val="000000" w:themeColor="text1"/>
        </w:rPr>
        <w:t>Japanese Society for Gastro-surgical Pathophysiology</w:t>
      </w:r>
      <w:bookmarkEnd w:id="1"/>
      <w:bookmarkEnd w:id="2"/>
      <w:r w:rsidRPr="00D35DBC">
        <w:rPr>
          <w:rFonts w:ascii="Book Antiqua" w:eastAsia="Book Antiqua" w:hAnsi="Book Antiqua" w:cs="Book Antiqua"/>
          <w:color w:val="000000" w:themeColor="text1"/>
        </w:rPr>
        <w:t>.</w:t>
      </w:r>
    </w:p>
    <w:p w14:paraId="1F830AEE"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1470AE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Corresponding author: Koji Nakada, MD, PhD, Professor, </w:t>
      </w:r>
      <w:r w:rsidRPr="00D35DBC">
        <w:rPr>
          <w:rFonts w:ascii="Book Antiqua" w:eastAsia="Book Antiqua" w:hAnsi="Book Antiqua" w:cs="Book Antiqua"/>
          <w:color w:val="000000" w:themeColor="text1"/>
        </w:rPr>
        <w:t>Department of Laboratory Medicine, The Jikei University School of Medicine, 3-25-8, Nishishinbashi, Minato-ku, Tokyo 105-8461, Japan. nakada@jikei.ac.jp</w:t>
      </w:r>
    </w:p>
    <w:p w14:paraId="1D7918F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49C0145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Received: </w:t>
      </w:r>
      <w:r w:rsidRPr="00D35DBC">
        <w:rPr>
          <w:rFonts w:ascii="Book Antiqua" w:eastAsia="Book Antiqua" w:hAnsi="Book Antiqua" w:cs="Book Antiqua"/>
          <w:color w:val="000000" w:themeColor="text1"/>
        </w:rPr>
        <w:t>January 19, 2021</w:t>
      </w:r>
    </w:p>
    <w:p w14:paraId="68D98464" w14:textId="1AF6CF3F" w:rsidR="00A77B3E" w:rsidRPr="00D35DBC" w:rsidRDefault="00C1648E" w:rsidP="00D35DBC">
      <w:pPr>
        <w:adjustRightInd w:val="0"/>
        <w:snapToGrid w:val="0"/>
        <w:spacing w:line="360" w:lineRule="auto"/>
        <w:jc w:val="both"/>
        <w:rPr>
          <w:rFonts w:ascii="Book Antiqua" w:eastAsia="Book Antiqua" w:hAnsi="Book Antiqua" w:cs="Book Antiqua"/>
          <w:b/>
          <w:bCs/>
          <w:color w:val="000000" w:themeColor="text1"/>
        </w:rPr>
      </w:pPr>
      <w:r w:rsidRPr="00D35DBC">
        <w:rPr>
          <w:rFonts w:ascii="Book Antiqua" w:eastAsia="Book Antiqua" w:hAnsi="Book Antiqua" w:cs="Book Antiqua"/>
          <w:b/>
          <w:bCs/>
          <w:color w:val="000000" w:themeColor="text1"/>
        </w:rPr>
        <w:t xml:space="preserve">Revised: </w:t>
      </w:r>
      <w:r w:rsidR="00581C8A" w:rsidRPr="00D35DBC">
        <w:rPr>
          <w:rFonts w:ascii="Book Antiqua" w:eastAsia="Book Antiqua" w:hAnsi="Book Antiqua" w:cs="Book Antiqua"/>
          <w:color w:val="000000" w:themeColor="text1"/>
        </w:rPr>
        <w:t>February 21, 2021</w:t>
      </w:r>
    </w:p>
    <w:p w14:paraId="7BB8E19E" w14:textId="11973EA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Accepted: </w:t>
      </w:r>
      <w:r w:rsidR="00BC012B" w:rsidRPr="00BC012B">
        <w:rPr>
          <w:rFonts w:ascii="Book Antiqua" w:eastAsia="Book Antiqua" w:hAnsi="Book Antiqua" w:cs="Book Antiqua"/>
          <w:color w:val="000000" w:themeColor="text1"/>
        </w:rPr>
        <w:t>April 22, 2021</w:t>
      </w:r>
    </w:p>
    <w:p w14:paraId="7EB45CCF" w14:textId="1391B145" w:rsidR="00A77B3E" w:rsidRPr="00E3008F"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Published online: </w:t>
      </w:r>
      <w:r w:rsidR="00E3008F" w:rsidRPr="00E3008F">
        <w:rPr>
          <w:rFonts w:ascii="Book Antiqua" w:eastAsia="Book Antiqua" w:hAnsi="Book Antiqua" w:cs="Book Antiqua"/>
          <w:color w:val="000000" w:themeColor="text1"/>
        </w:rPr>
        <w:t>May 27, 2021</w:t>
      </w:r>
    </w:p>
    <w:p w14:paraId="68597F7C" w14:textId="77777777" w:rsidR="00A77B3E" w:rsidRPr="00D35DBC" w:rsidRDefault="00A77B3E" w:rsidP="00D35DBC">
      <w:pPr>
        <w:adjustRightInd w:val="0"/>
        <w:snapToGrid w:val="0"/>
        <w:spacing w:line="360" w:lineRule="auto"/>
        <w:jc w:val="both"/>
        <w:rPr>
          <w:rFonts w:ascii="Book Antiqua" w:hAnsi="Book Antiqua"/>
          <w:color w:val="000000" w:themeColor="text1"/>
        </w:rPr>
        <w:sectPr w:rsidR="00A77B3E" w:rsidRPr="00D35DBC">
          <w:footerReference w:type="default" r:id="rId8"/>
          <w:pgSz w:w="12240" w:h="15840"/>
          <w:pgMar w:top="1440" w:right="1440" w:bottom="1440" w:left="1440" w:header="720" w:footer="720" w:gutter="0"/>
          <w:cols w:space="720"/>
          <w:docGrid w:linePitch="360"/>
        </w:sectPr>
      </w:pPr>
    </w:p>
    <w:p w14:paraId="4C7CB5D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lastRenderedPageBreak/>
        <w:t>Abstract</w:t>
      </w:r>
    </w:p>
    <w:p w14:paraId="6759450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BACKGROUND</w:t>
      </w:r>
    </w:p>
    <w:p w14:paraId="66BB3A9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The effects of various gastrectomy procedures on the patient’s quality of life (QOL) are not well understood. Thus, this nationwide multi-institutional cross-sectional study using the Postgastrectomy Syndrome Assessment Scale-45 (PGSAS-45), a well-established questionnaire designed to clarify the severity and characteristics of the postgastrectomy syndrome, was conducted.</w:t>
      </w:r>
    </w:p>
    <w:p w14:paraId="37C4CE5D"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42D8F2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AIM</w:t>
      </w:r>
    </w:p>
    <w:p w14:paraId="32D92B4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To compare the effects of six main gastrectomy procedures on the postoperative QOL.</w:t>
      </w:r>
    </w:p>
    <w:p w14:paraId="505D018D"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B116D1E"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METHODS</w:t>
      </w:r>
    </w:p>
    <w:p w14:paraId="0693EB26" w14:textId="4DE7925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Eligible questionnaires retrieved from 2368 patients who underwent either of six gastrectomy procedures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total gastrectomy with Roux-en-Y reconstruction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TGRY;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393</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proximal gastrectomy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PG;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193</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distal gastrectomy with Roux-en-Y reconstruction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DGRY;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475</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distal gastrectomy with Billroth-I reconstruction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DGBI;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909</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pylorus-preserving gastrectomy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PPG;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313</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and local resection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LR;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8</w:t>
      </w:r>
      <w:r w:rsidR="00073F0E" w:rsidRPr="00D35DBC">
        <w:rPr>
          <w:rFonts w:ascii="Book Antiqua" w:eastAsia="Book Antiqua" w:hAnsi="Book Antiqua" w:cs="Book Antiqua"/>
          <w:color w:val="000000" w:themeColor="text1"/>
        </w:rPr>
        <w:t>5</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were analyzed. Among the 19 main outcome measures of PGSAS-45, the severity and characteristics of postgastrectomy syndrome were compared for the aforementioned six gastrectomy procedures using analysis of means.</w:t>
      </w:r>
    </w:p>
    <w:p w14:paraId="73B0BCB6"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E447CE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RESULTS</w:t>
      </w:r>
    </w:p>
    <w:p w14:paraId="04780A8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TGRY and PG significantly impaired the QOL of postoperative patients. Postoperative QOL was excellent in LR (cardia and pylorus were preserved with minimal resection). In procedures removing the distal stomach, diarrhea subscale (SS) and dumping SS were less frequent in PPG than in DGBI and DGRY. However, there was no difference in the postoperative QOL between DGBI and DGRY. The most noticeable adverse effects caused by gastrectomy were meal-related distress SS, dissatisfaction at the meal, and weight loss, with significant differences among the surgical procedures.</w:t>
      </w:r>
    </w:p>
    <w:p w14:paraId="0C388C67"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06EF71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CONCLUSION</w:t>
      </w:r>
    </w:p>
    <w:p w14:paraId="6C0A765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Postoperative QOL greatly differed among six gastrectomy procedures. The severity and characteristics of postgastrectomy syndrome should be considered to select gastrectomy procedures, overcome surgical shortcomings, and enhance postoperative care.</w:t>
      </w:r>
    </w:p>
    <w:p w14:paraId="6869BB32"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B3F48CD" w14:textId="7CD86D2D"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Key Words: </w:t>
      </w:r>
      <w:r w:rsidR="000E6795" w:rsidRPr="00D35DBC">
        <w:rPr>
          <w:rFonts w:ascii="Book Antiqua" w:eastAsia="Book Antiqua" w:hAnsi="Book Antiqua" w:cs="Book Antiqua"/>
          <w:color w:val="000000" w:themeColor="text1"/>
        </w:rPr>
        <w:t>G</w:t>
      </w:r>
      <w:r w:rsidRPr="00D35DBC">
        <w:rPr>
          <w:rFonts w:ascii="Book Antiqua" w:eastAsia="Book Antiqua" w:hAnsi="Book Antiqua" w:cs="Book Antiqua"/>
          <w:color w:val="000000" w:themeColor="text1"/>
        </w:rPr>
        <w:t xml:space="preserve">astrectomy; </w:t>
      </w:r>
      <w:r w:rsidR="000E6795" w:rsidRPr="00D35DBC">
        <w:rPr>
          <w:rFonts w:ascii="Book Antiqua" w:eastAsia="Book Antiqua" w:hAnsi="Book Antiqua" w:cs="Book Antiqua"/>
          <w:color w:val="000000" w:themeColor="text1"/>
        </w:rPr>
        <w:t>Q</w:t>
      </w:r>
      <w:r w:rsidRPr="00D35DBC">
        <w:rPr>
          <w:rFonts w:ascii="Book Antiqua" w:eastAsia="Book Antiqua" w:hAnsi="Book Antiqua" w:cs="Book Antiqua"/>
          <w:color w:val="000000" w:themeColor="text1"/>
        </w:rPr>
        <w:t xml:space="preserve">uality of life; </w:t>
      </w:r>
      <w:r w:rsidR="000E6795"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 xml:space="preserve">ostgastrectomy syndromes; </w:t>
      </w:r>
      <w:r w:rsidR="000E6795"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atient reported outcome measures</w:t>
      </w:r>
    </w:p>
    <w:p w14:paraId="7607150D" w14:textId="77777777" w:rsidR="003214DB" w:rsidRDefault="003214DB" w:rsidP="003214DB">
      <w:pPr>
        <w:spacing w:line="360" w:lineRule="auto"/>
        <w:jc w:val="both"/>
        <w:rPr>
          <w:lang w:eastAsia="zh-CN"/>
        </w:rPr>
      </w:pPr>
      <w:bookmarkStart w:id="3" w:name="OLE_LINK2887"/>
      <w:bookmarkStart w:id="4" w:name="OLE_LINK2888"/>
    </w:p>
    <w:p w14:paraId="08BF89BD" w14:textId="77777777" w:rsidR="003214DB" w:rsidRDefault="003214DB" w:rsidP="003214D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713CE6F" w14:textId="77777777" w:rsidR="003214DB" w:rsidRDefault="003214DB" w:rsidP="003214DB">
      <w:pPr>
        <w:spacing w:line="360" w:lineRule="auto"/>
        <w:jc w:val="both"/>
        <w:rPr>
          <w:lang w:eastAsia="zh-CN"/>
        </w:rPr>
      </w:pPr>
    </w:p>
    <w:p w14:paraId="5D372765" w14:textId="44579468" w:rsidR="00486DC7" w:rsidRDefault="003214DB" w:rsidP="003214DB">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C1648E" w:rsidRPr="00D35DBC">
        <w:rPr>
          <w:rFonts w:ascii="Book Antiqua" w:eastAsia="Book Antiqua" w:hAnsi="Book Antiqua" w:cs="Book Antiqua"/>
          <w:color w:val="000000" w:themeColor="text1"/>
        </w:rPr>
        <w:t xml:space="preserve">Nakada K, Kawashima Y, Kinami S, Fukushima R, Yabusaki H, Seshimo A, Hiki N, Koeda K, Kano M, Uenosono Y, Oshio A, Kodera Y. Comparison of the effects of the six main gastrectomy procedures on patients’ quality of life assessed by </w:t>
      </w:r>
      <w:r w:rsidR="003F71C7" w:rsidRPr="00D35DBC">
        <w:rPr>
          <w:rFonts w:ascii="Book Antiqua" w:eastAsia="Book Antiqua" w:hAnsi="Book Antiqua" w:cs="Book Antiqua"/>
          <w:color w:val="000000" w:themeColor="text1"/>
        </w:rPr>
        <w:t>Postgastrectomy Syndrome Assessment Scale-45</w:t>
      </w:r>
      <w:r w:rsidR="00C1648E" w:rsidRPr="00D35DBC">
        <w:rPr>
          <w:rFonts w:ascii="Book Antiqua" w:eastAsia="Book Antiqua" w:hAnsi="Book Antiqua" w:cs="Book Antiqua"/>
          <w:color w:val="000000" w:themeColor="text1"/>
        </w:rPr>
        <w:t xml:space="preserve">. </w:t>
      </w:r>
      <w:r w:rsidR="00C1648E" w:rsidRPr="00D35DBC">
        <w:rPr>
          <w:rFonts w:ascii="Book Antiqua" w:eastAsia="Book Antiqua" w:hAnsi="Book Antiqua" w:cs="Book Antiqua"/>
          <w:i/>
          <w:iCs/>
          <w:color w:val="000000" w:themeColor="text1"/>
        </w:rPr>
        <w:t>World J Gastrointest Surg</w:t>
      </w:r>
      <w:r w:rsidR="00C1648E" w:rsidRPr="00D35DBC">
        <w:rPr>
          <w:rFonts w:ascii="Book Antiqua" w:eastAsia="Book Antiqua" w:hAnsi="Book Antiqua" w:cs="Book Antiqua"/>
          <w:color w:val="000000" w:themeColor="text1"/>
        </w:rPr>
        <w:t xml:space="preserve"> 2021; </w:t>
      </w:r>
      <w:r w:rsidR="00BE00A6" w:rsidRPr="00BE00A6">
        <w:rPr>
          <w:rFonts w:ascii="Book Antiqua" w:eastAsia="Book Antiqua" w:hAnsi="Book Antiqua" w:cs="Book Antiqua"/>
          <w:color w:val="000000" w:themeColor="text1"/>
        </w:rPr>
        <w:t xml:space="preserve">13(5): </w:t>
      </w:r>
      <w:r w:rsidR="00486DC7">
        <w:rPr>
          <w:rFonts w:ascii="Book Antiqua" w:eastAsia="Book Antiqua" w:hAnsi="Book Antiqua" w:cs="Book Antiqua"/>
          <w:color w:val="000000" w:themeColor="text1"/>
        </w:rPr>
        <w:t>461-</w:t>
      </w:r>
      <w:r w:rsidR="001D5F4D">
        <w:rPr>
          <w:rFonts w:ascii="Book Antiqua" w:eastAsia="Book Antiqua" w:hAnsi="Book Antiqua" w:cs="Book Antiqua"/>
          <w:color w:val="000000" w:themeColor="text1"/>
        </w:rPr>
        <w:t>475</w:t>
      </w:r>
      <w:r w:rsidR="00BE00A6" w:rsidRPr="00BE00A6">
        <w:rPr>
          <w:rFonts w:ascii="Book Antiqua" w:eastAsia="Book Antiqua" w:hAnsi="Book Antiqua" w:cs="Book Antiqua"/>
          <w:color w:val="000000" w:themeColor="text1"/>
        </w:rPr>
        <w:t xml:space="preserve"> </w:t>
      </w:r>
    </w:p>
    <w:p w14:paraId="1D0E7B1B" w14:textId="7A67439A" w:rsidR="00486DC7" w:rsidRDefault="00BE00A6" w:rsidP="003214DB">
      <w:pPr>
        <w:adjustRightInd w:val="0"/>
        <w:snapToGrid w:val="0"/>
        <w:spacing w:line="360" w:lineRule="auto"/>
        <w:jc w:val="both"/>
        <w:rPr>
          <w:rFonts w:ascii="Book Antiqua" w:eastAsia="Book Antiqua" w:hAnsi="Book Antiqua" w:cs="Book Antiqua"/>
          <w:color w:val="000000" w:themeColor="text1"/>
        </w:rPr>
      </w:pPr>
      <w:r w:rsidRPr="00BE00A6">
        <w:rPr>
          <w:rFonts w:ascii="Book Antiqua" w:eastAsia="Book Antiqua" w:hAnsi="Book Antiqua" w:cs="Book Antiqua"/>
          <w:color w:val="000000" w:themeColor="text1"/>
        </w:rPr>
        <w:t>URL: https://www.wjgnet.com/1948-9366/full/v13/i5/</w:t>
      </w:r>
      <w:r w:rsidR="001D5F4D">
        <w:rPr>
          <w:rFonts w:ascii="Book Antiqua" w:eastAsia="Book Antiqua" w:hAnsi="Book Antiqua" w:cs="Book Antiqua"/>
          <w:color w:val="000000" w:themeColor="text1"/>
        </w:rPr>
        <w:t>461</w:t>
      </w:r>
      <w:r w:rsidRPr="00BE00A6">
        <w:rPr>
          <w:rFonts w:ascii="Book Antiqua" w:eastAsia="Book Antiqua" w:hAnsi="Book Antiqua" w:cs="Book Antiqua"/>
          <w:color w:val="000000" w:themeColor="text1"/>
        </w:rPr>
        <w:t xml:space="preserve">.htm  </w:t>
      </w:r>
    </w:p>
    <w:p w14:paraId="6747F708" w14:textId="1B2FCE39" w:rsidR="00A77B3E" w:rsidRPr="00D35DBC" w:rsidRDefault="00BE00A6" w:rsidP="003214DB">
      <w:pPr>
        <w:adjustRightInd w:val="0"/>
        <w:snapToGrid w:val="0"/>
        <w:spacing w:line="360" w:lineRule="auto"/>
        <w:jc w:val="both"/>
        <w:rPr>
          <w:rFonts w:ascii="Book Antiqua" w:hAnsi="Book Antiqua"/>
          <w:color w:val="000000" w:themeColor="text1"/>
        </w:rPr>
      </w:pPr>
      <w:r w:rsidRPr="00BE00A6">
        <w:rPr>
          <w:rFonts w:ascii="Book Antiqua" w:eastAsia="Book Antiqua" w:hAnsi="Book Antiqua" w:cs="Book Antiqua"/>
          <w:color w:val="000000" w:themeColor="text1"/>
        </w:rPr>
        <w:t>DOI: https://dx.doi.org/10.4240/wjgs.v13.i5.</w:t>
      </w:r>
      <w:r w:rsidR="001D5F4D">
        <w:rPr>
          <w:rFonts w:ascii="Book Antiqua" w:eastAsia="Book Antiqua" w:hAnsi="Book Antiqua" w:cs="Book Antiqua"/>
          <w:color w:val="000000" w:themeColor="text1"/>
        </w:rPr>
        <w:t>461</w:t>
      </w:r>
    </w:p>
    <w:bookmarkEnd w:id="3"/>
    <w:bookmarkEnd w:id="4"/>
    <w:p w14:paraId="4EDCEB7C"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C42DE60" w14:textId="11188C32"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Core Tip: </w:t>
      </w:r>
      <w:r w:rsidRPr="00D35DBC">
        <w:rPr>
          <w:rFonts w:ascii="Book Antiqua" w:eastAsia="Book Antiqua" w:hAnsi="Book Antiqua" w:cs="Book Antiqua"/>
          <w:color w:val="000000" w:themeColor="text1"/>
        </w:rPr>
        <w:t>For surgeons, to understand the general aspects of how the site and extent of gastrectomy affect postoperative</w:t>
      </w:r>
      <w:r w:rsidR="004D6B7A" w:rsidRPr="00D35DBC">
        <w:rPr>
          <w:rFonts w:ascii="Book Antiqua" w:hAnsi="Book Antiqua"/>
          <w:color w:val="000000" w:themeColor="text1"/>
        </w:rPr>
        <w:t xml:space="preserve"> </w:t>
      </w:r>
      <w:r w:rsidR="004D6B7A" w:rsidRPr="00D35DBC">
        <w:rPr>
          <w:rFonts w:ascii="Book Antiqua" w:eastAsia="Book Antiqua" w:hAnsi="Book Antiqua" w:cs="Book Antiqua"/>
          <w:color w:val="000000" w:themeColor="text1"/>
        </w:rPr>
        <w:t>patient’s quality of life (QOL) i</w:t>
      </w:r>
      <w:r w:rsidRPr="00D35DBC">
        <w:rPr>
          <w:rFonts w:ascii="Book Antiqua" w:eastAsia="Book Antiqua" w:hAnsi="Book Antiqua" w:cs="Book Antiqua"/>
          <w:color w:val="000000" w:themeColor="text1"/>
        </w:rPr>
        <w:t>s important. Therefore, we investigated this concern by the nationwide multi-institutional collaborative study called Postgastrectomy Syndrome Assessment Study. The overview of the effects of the six main gastrectomy procedures on the patient’s dairy living revealed that the postoperative QOL differed greatly depending on the site and extent of gastrectomy. The severity and characteristics of postgastrectomy syndrome should be considered to select gastrectomy procedures, overcome surgical shortcomings, and enhance postoperative care.</w:t>
      </w:r>
    </w:p>
    <w:p w14:paraId="3A1741E0" w14:textId="77777777" w:rsidR="003F71C7" w:rsidRDefault="003F71C7" w:rsidP="00D35DBC">
      <w:pPr>
        <w:adjustRightInd w:val="0"/>
        <w:snapToGrid w:val="0"/>
        <w:spacing w:line="360" w:lineRule="auto"/>
        <w:jc w:val="both"/>
        <w:rPr>
          <w:rFonts w:ascii="Book Antiqua" w:hAnsi="Book Antiqua"/>
          <w:color w:val="000000" w:themeColor="text1"/>
        </w:rPr>
        <w:sectPr w:rsidR="003F71C7">
          <w:pgSz w:w="12240" w:h="15840"/>
          <w:pgMar w:top="1440" w:right="1440" w:bottom="1440" w:left="1440" w:header="720" w:footer="720" w:gutter="0"/>
          <w:cols w:space="720"/>
          <w:docGrid w:linePitch="360"/>
        </w:sectPr>
      </w:pPr>
    </w:p>
    <w:p w14:paraId="1828CB0E"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lastRenderedPageBreak/>
        <w:t>INTRODUCTION</w:t>
      </w:r>
    </w:p>
    <w:p w14:paraId="700285B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Gastrectomy is widely performed and is the most effective treatment for gastric cancer. Recent improvements in early-stage diagnosis and treatment have improved the detection, treatment, and subsequent curing of the disease</w:t>
      </w:r>
      <w:r w:rsidRPr="00D35DBC">
        <w:rPr>
          <w:rFonts w:ascii="Book Antiqua" w:eastAsia="Book Antiqua" w:hAnsi="Book Antiqua" w:cs="Book Antiqua"/>
          <w:color w:val="000000" w:themeColor="text1"/>
          <w:vertAlign w:val="superscript"/>
        </w:rPr>
        <w:t>[1]</w:t>
      </w:r>
      <w:r w:rsidRPr="00D35DBC">
        <w:rPr>
          <w:rFonts w:ascii="Book Antiqua" w:eastAsia="Book Antiqua" w:hAnsi="Book Antiqua" w:cs="Book Antiqua"/>
          <w:color w:val="000000" w:themeColor="text1"/>
        </w:rPr>
        <w:t>. However, postgastrectomy syndrome occurs frequently</w:t>
      </w:r>
      <w:r w:rsidRPr="00D35DBC">
        <w:rPr>
          <w:rFonts w:ascii="Book Antiqua" w:eastAsia="Book Antiqua" w:hAnsi="Book Antiqua" w:cs="Book Antiqua"/>
          <w:color w:val="000000" w:themeColor="text1"/>
          <w:vertAlign w:val="superscript"/>
        </w:rPr>
        <w:t>[2-7]</w:t>
      </w:r>
      <w:r w:rsidRPr="00D35DBC">
        <w:rPr>
          <w:rFonts w:ascii="Book Antiqua" w:eastAsia="Book Antiqua" w:hAnsi="Book Antiqua" w:cs="Book Antiqua"/>
          <w:color w:val="000000" w:themeColor="text1"/>
        </w:rPr>
        <w:t>, and the patient’s long-term impairments are a concern. In patients with gastric cancer, procedure selection depends on its location, extent, and progression. Daily life impairment caused by gastrectomy varies with the type of surgical procedure. Therefore, function-preserving gastrectomies such as proximal gastrectomies (PG) and pylorus-preserving gastrectomies (PPG)</w:t>
      </w:r>
      <w:r w:rsidRPr="00D35DBC">
        <w:rPr>
          <w:rFonts w:ascii="Book Antiqua" w:eastAsia="Book Antiqua" w:hAnsi="Book Antiqua" w:cs="Book Antiqua"/>
          <w:color w:val="000000" w:themeColor="text1"/>
          <w:vertAlign w:val="superscript"/>
        </w:rPr>
        <w:t>[8-10]</w:t>
      </w:r>
      <w:r w:rsidRPr="00D35DBC">
        <w:rPr>
          <w:rFonts w:ascii="Book Antiqua" w:eastAsia="Book Antiqua" w:hAnsi="Book Antiqua" w:cs="Book Antiqua"/>
          <w:color w:val="000000" w:themeColor="text1"/>
        </w:rPr>
        <w:t xml:space="preserve"> are performed for early gastric cancer to attenuate the postgastrectomy syndrome associated with gastrectomy by reducing the extent of resection, and local resection (LR) in rare cases</w:t>
      </w:r>
      <w:r w:rsidRPr="00D35DBC">
        <w:rPr>
          <w:rFonts w:ascii="Book Antiqua" w:eastAsia="Book Antiqua" w:hAnsi="Book Antiqua" w:cs="Book Antiqua"/>
          <w:color w:val="000000" w:themeColor="text1"/>
          <w:vertAlign w:val="superscript"/>
        </w:rPr>
        <w:t>[11]</w:t>
      </w:r>
      <w:r w:rsidRPr="00D35DBC">
        <w:rPr>
          <w:rFonts w:ascii="Book Antiqua" w:eastAsia="Book Antiqua" w:hAnsi="Book Antiqua" w:cs="Book Antiqua"/>
          <w:color w:val="000000" w:themeColor="text1"/>
        </w:rPr>
        <w:t>.</w:t>
      </w:r>
    </w:p>
    <w:p w14:paraId="2BD0AF13" w14:textId="6C439470"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Currently, a means of assessing the effect of gastrectomy on a patients’ daily living does not exist. Therefore, it was difficult to assess the severity and characteristics of postgastrectomy syndrome. In this context, we developed the Postgastrectomy Syndrome Assessment Scale-45 (PGSAS-45)</w:t>
      </w:r>
      <w:r w:rsidRPr="00D35DBC">
        <w:rPr>
          <w:rFonts w:ascii="Book Antiqua" w:eastAsia="Book Antiqua" w:hAnsi="Book Antiqua" w:cs="Book Antiqua"/>
          <w:color w:val="000000" w:themeColor="text1"/>
          <w:vertAlign w:val="superscript"/>
        </w:rPr>
        <w:t>[12]</w:t>
      </w:r>
      <w:r w:rsidRPr="00D35DBC">
        <w:rPr>
          <w:rFonts w:ascii="Book Antiqua" w:eastAsia="Book Antiqua" w:hAnsi="Book Antiqua" w:cs="Book Antiqua"/>
          <w:color w:val="000000" w:themeColor="text1"/>
        </w:rPr>
        <w:t>, which is a patient-reported outcome scale, designed to assess the effect of gastrectomy on postoperative patients’ daily living. It has been reported to be useful for assessing symptoms, living status, and quality of life (QOL) of postgastrectomy</w:t>
      </w:r>
      <w:r w:rsidR="008845C7"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patients</w:t>
      </w:r>
      <w:r w:rsidRPr="00D35DBC">
        <w:rPr>
          <w:rFonts w:ascii="Book Antiqua" w:eastAsia="Book Antiqua" w:hAnsi="Book Antiqua" w:cs="Book Antiqua"/>
          <w:color w:val="000000" w:themeColor="text1"/>
          <w:vertAlign w:val="superscript"/>
        </w:rPr>
        <w:t>[13-20]</w:t>
      </w:r>
      <w:r w:rsidRPr="00D35DBC">
        <w:rPr>
          <w:rFonts w:ascii="Book Antiqua" w:eastAsia="Book Antiqua" w:hAnsi="Book Antiqua" w:cs="Book Antiqua"/>
          <w:color w:val="000000" w:themeColor="text1"/>
        </w:rPr>
        <w:t>. Studies have investigated the postoperative QOL among procedures performed to treat gastric cancer at a specific site. However, no study has simultaneously assessed different gastrectomy procedures used to treat gastric cancer at various sites and compared the severity and characteristics of postgastrectomy syndrome for these procedures to elucidate the broader perspective of the burden of gastrectomy. Therefore, this study aimed to compare the outcomes of the six main gastrectomy procedures with respect to the patient’s QOL using PGSAS-45 in order to clarify the severity and characteristics of postgastrectomy syndrome.</w:t>
      </w:r>
    </w:p>
    <w:p w14:paraId="7FD92D76"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49B2059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MATERIALS AND METHODS</w:t>
      </w:r>
    </w:p>
    <w:p w14:paraId="4D8D90A1" w14:textId="77777777"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Study population</w:t>
      </w:r>
    </w:p>
    <w:p w14:paraId="4AF2465B" w14:textId="466A0DB0"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Fifty-two institutions participated in this study. The PGSAS-45 questionnaire was distributed to 2922 patients between July 2009 and December 2010. The questionnaires were given to 2922 patients, and 2520 responses were mailed to the data center. Among the 2520 respondents, 152 provided answers that were deemed unsuitable for analysis. Consequently, a total of 2368 questionnaires returned by mail were analyzed (Figure 1).</w:t>
      </w:r>
    </w:p>
    <w:p w14:paraId="4B81F10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309009F" w14:textId="6D9BEE0E"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 xml:space="preserve">Eligibility criteria </w:t>
      </w:r>
    </w:p>
    <w:p w14:paraId="1B69B47F" w14:textId="6B16E18C"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All patients enrolled in this study fulfilled the following eligibility criteria: (1) </w:t>
      </w:r>
      <w:r w:rsidR="008845C7"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athologically confirmed stage IA or IB gastric cancer (for LR, other tumors, such as gastrointestinal stromal tumors (GISTs) or carcinoids, were included)</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(2) </w:t>
      </w:r>
      <w:r w:rsidR="008845C7" w:rsidRPr="00D35DBC">
        <w:rPr>
          <w:rFonts w:ascii="Book Antiqua" w:eastAsia="Book Antiqua" w:hAnsi="Book Antiqua" w:cs="Book Antiqua"/>
          <w:color w:val="000000" w:themeColor="text1"/>
        </w:rPr>
        <w:t>F</w:t>
      </w:r>
      <w:r w:rsidRPr="00D35DBC">
        <w:rPr>
          <w:rFonts w:ascii="Book Antiqua" w:eastAsia="Book Antiqua" w:hAnsi="Book Antiqua" w:cs="Book Antiqua"/>
          <w:color w:val="000000" w:themeColor="text1"/>
        </w:rPr>
        <w:t>irst-time gastrectomy</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(3) </w:t>
      </w:r>
      <w:r w:rsidR="008845C7" w:rsidRPr="00D35DBC">
        <w:rPr>
          <w:rFonts w:ascii="Book Antiqua" w:eastAsia="Book Antiqua" w:hAnsi="Book Antiqua" w:cs="Book Antiqua"/>
          <w:color w:val="000000" w:themeColor="text1"/>
        </w:rPr>
        <w:t>A</w:t>
      </w:r>
      <w:r w:rsidRPr="00D35DBC">
        <w:rPr>
          <w:rFonts w:ascii="Book Antiqua" w:eastAsia="Book Antiqua" w:hAnsi="Book Antiqua" w:cs="Book Antiqua"/>
          <w:color w:val="000000" w:themeColor="text1"/>
        </w:rPr>
        <w:t>ge ≥</w:t>
      </w:r>
      <w:r w:rsidR="004D6B7A"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20 and ≤</w:t>
      </w:r>
      <w:r w:rsidR="004D6B7A"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75 years</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(4) </w:t>
      </w:r>
      <w:r w:rsidR="008845C7" w:rsidRPr="00D35DBC">
        <w:rPr>
          <w:rFonts w:ascii="Book Antiqua" w:eastAsia="Book Antiqua" w:hAnsi="Book Antiqua" w:cs="Book Antiqua"/>
          <w:color w:val="000000" w:themeColor="text1"/>
        </w:rPr>
        <w:t>N</w:t>
      </w:r>
      <w:r w:rsidRPr="00D35DBC">
        <w:rPr>
          <w:rFonts w:ascii="Book Antiqua" w:eastAsia="Book Antiqua" w:hAnsi="Book Antiqua" w:cs="Book Antiqua"/>
          <w:color w:val="000000" w:themeColor="text1"/>
        </w:rPr>
        <w:t>o history of chemotherapy</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(5) </w:t>
      </w:r>
      <w:r w:rsidR="008845C7" w:rsidRPr="00D35DBC">
        <w:rPr>
          <w:rFonts w:ascii="Book Antiqua" w:eastAsia="Book Antiqua" w:hAnsi="Book Antiqua" w:cs="Book Antiqua"/>
          <w:color w:val="000000" w:themeColor="text1"/>
        </w:rPr>
        <w:t>N</w:t>
      </w:r>
      <w:r w:rsidRPr="00D35DBC">
        <w:rPr>
          <w:rFonts w:ascii="Book Antiqua" w:eastAsia="Book Antiqua" w:hAnsi="Book Antiqua" w:cs="Book Antiqua"/>
          <w:color w:val="000000" w:themeColor="text1"/>
        </w:rPr>
        <w:t>o recurrence or distant metastasis</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(6) ≥</w:t>
      </w:r>
      <w:r w:rsidR="004D6B7A"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1 year had elapsed since gastrectomy</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(7) </w:t>
      </w:r>
      <w:r w:rsidR="000216CE"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erformance status ≤</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1 on the Eastern Cooperative Group Scale</w:t>
      </w:r>
      <w:r w:rsidR="000216CE"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(8) </w:t>
      </w:r>
      <w:r w:rsidR="000216CE" w:rsidRPr="00D35DBC">
        <w:rPr>
          <w:rFonts w:ascii="Book Antiqua" w:eastAsia="Book Antiqua" w:hAnsi="Book Antiqua" w:cs="Book Antiqua"/>
          <w:color w:val="000000" w:themeColor="text1"/>
        </w:rPr>
        <w:t>F</w:t>
      </w:r>
      <w:r w:rsidRPr="00D35DBC">
        <w:rPr>
          <w:rFonts w:ascii="Book Antiqua" w:eastAsia="Book Antiqua" w:hAnsi="Book Antiqua" w:cs="Book Antiqua"/>
          <w:color w:val="000000" w:themeColor="text1"/>
        </w:rPr>
        <w:t>ully capable of understanding and responding to the questionnaire</w:t>
      </w:r>
      <w:r w:rsidR="000216CE"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(9) </w:t>
      </w:r>
      <w:r w:rsidR="000216CE" w:rsidRPr="00D35DBC">
        <w:rPr>
          <w:rFonts w:ascii="Book Antiqua" w:eastAsia="Book Antiqua" w:hAnsi="Book Antiqua" w:cs="Book Antiqua"/>
          <w:color w:val="000000" w:themeColor="text1"/>
        </w:rPr>
        <w:t>A</w:t>
      </w:r>
      <w:r w:rsidRPr="00D35DBC">
        <w:rPr>
          <w:rFonts w:ascii="Book Antiqua" w:eastAsia="Book Antiqua" w:hAnsi="Book Antiqua" w:cs="Book Antiqua"/>
          <w:color w:val="000000" w:themeColor="text1"/>
        </w:rPr>
        <w:t>bsence of other diseases or previous surgeries that may have a greater influence on the results of the questionnaire than gastrectomy</w:t>
      </w:r>
      <w:r w:rsidR="000216CE"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(10) </w:t>
      </w:r>
      <w:r w:rsidR="000216CE" w:rsidRPr="00D35DBC">
        <w:rPr>
          <w:rFonts w:ascii="Book Antiqua" w:eastAsia="Book Antiqua" w:hAnsi="Book Antiqua" w:cs="Book Antiqua"/>
          <w:color w:val="000000" w:themeColor="text1"/>
        </w:rPr>
        <w:t>N</w:t>
      </w:r>
      <w:r w:rsidRPr="00D35DBC">
        <w:rPr>
          <w:rFonts w:ascii="Book Antiqua" w:eastAsia="Book Antiqua" w:hAnsi="Book Antiqua" w:cs="Book Antiqua"/>
          <w:color w:val="000000" w:themeColor="text1"/>
        </w:rPr>
        <w:t xml:space="preserve">o organ failure or mental disease; and (11) </w:t>
      </w:r>
      <w:r w:rsidR="000216CE"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rovision of written informed consent by the patient. The patients with dual malignancy or concomitant resection of other organs (co-resection equivalent to cholecystectomy being the exception) were excluded.</w:t>
      </w:r>
    </w:p>
    <w:p w14:paraId="413E32B8"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A2C9ABC" w14:textId="772E4CE9"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Design</w:t>
      </w:r>
    </w:p>
    <w:p w14:paraId="6C38C24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We performed continuous sampling from a central registration system for participant enrollment. The questionnaire was distributed to all eligible patients on presentation to the participating clinics. The patients were requested to return the completed forms to the data center by mail. The perioperative data were reported by the attending surgeon to the data center through case report forms. All QOL data from questionnaires were matched with individual patient data collected </w:t>
      </w:r>
      <w:r w:rsidRPr="00D35DBC">
        <w:rPr>
          <w:rFonts w:ascii="Book Antiqua" w:eastAsia="Book Antiqua" w:hAnsi="Book Antiqua" w:cs="Book Antiqua"/>
          <w:i/>
          <w:iCs/>
          <w:color w:val="000000" w:themeColor="text1"/>
        </w:rPr>
        <w:t>via</w:t>
      </w:r>
      <w:r w:rsidRPr="00D35DBC">
        <w:rPr>
          <w:rFonts w:ascii="Book Antiqua" w:eastAsia="Book Antiqua" w:hAnsi="Book Antiqua" w:cs="Book Antiqua"/>
          <w:color w:val="000000" w:themeColor="text1"/>
        </w:rPr>
        <w:t xml:space="preserve"> the case report forms. </w:t>
      </w:r>
    </w:p>
    <w:p w14:paraId="5881655F"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This study was approved by the local ethics committees of each participating institution and was in accordance with the ethical standards of the responsible committee </w:t>
      </w:r>
      <w:r w:rsidRPr="00D35DBC">
        <w:rPr>
          <w:rFonts w:ascii="Book Antiqua" w:eastAsia="Book Antiqua" w:hAnsi="Book Antiqua" w:cs="Book Antiqua"/>
          <w:color w:val="000000" w:themeColor="text1"/>
        </w:rPr>
        <w:lastRenderedPageBreak/>
        <w:t>on human experimentation and with the Helsinki Declaration of 1964 and later versions. This study was registered with the University Hospital Medical Information Network’s Clinical Trials Registry as trial number 000002116.</w:t>
      </w:r>
    </w:p>
    <w:p w14:paraId="771AD00A"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AAC0A5D" w14:textId="77777777"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QOL assessment</w:t>
      </w:r>
    </w:p>
    <w:p w14:paraId="15168002"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We developed the PGSAS-45 as a new integrated QOL questionnaire, comprising an 8-item short-form generic health-related QOL questionnaire (SF-8)</w:t>
      </w:r>
      <w:r w:rsidRPr="00D35DBC">
        <w:rPr>
          <w:rFonts w:ascii="Book Antiqua" w:eastAsia="Book Antiqua" w:hAnsi="Book Antiqua" w:cs="Book Antiqua"/>
          <w:color w:val="000000" w:themeColor="text1"/>
          <w:vertAlign w:val="superscript"/>
        </w:rPr>
        <w:t>[21]</w:t>
      </w:r>
      <w:r w:rsidRPr="00D35DBC">
        <w:rPr>
          <w:rFonts w:ascii="Book Antiqua" w:eastAsia="Book Antiqua" w:hAnsi="Book Antiqua" w:cs="Book Antiqua"/>
          <w:color w:val="000000" w:themeColor="text1"/>
        </w:rPr>
        <w:t xml:space="preserve"> and the Gastrointestinal Symptom Rating Scale (GSRS)</w:t>
      </w:r>
      <w:r w:rsidRPr="00D35DBC">
        <w:rPr>
          <w:rFonts w:ascii="Book Antiqua" w:eastAsia="Book Antiqua" w:hAnsi="Book Antiqua" w:cs="Book Antiqua"/>
          <w:color w:val="000000" w:themeColor="text1"/>
          <w:vertAlign w:val="superscript"/>
        </w:rPr>
        <w:t>[22,23]</w:t>
      </w:r>
      <w:r w:rsidRPr="00D35DBC">
        <w:rPr>
          <w:rFonts w:ascii="Book Antiqua" w:eastAsia="Book Antiqua" w:hAnsi="Book Antiqua" w:cs="Book Antiqua"/>
          <w:color w:val="000000" w:themeColor="text1"/>
        </w:rPr>
        <w:t>. In addition to the items of the SF-8 (8 items) and GSRS (15 items), 22 newly selected items are included, comprising questions on common postgastrectomy symptoms (8 items), number and type of dumping symptoms (2 items), amount and quality of dietary intake (8 items), daily activity status (1 item), and dissatisfaction with daily life (3 items). Hence, each patient was asked 45 questions in total (Table 1). The details of the PGSAS-45 have been reported previously</w:t>
      </w:r>
      <w:r w:rsidRPr="00D35DBC">
        <w:rPr>
          <w:rFonts w:ascii="Book Antiqua" w:eastAsia="Book Antiqua" w:hAnsi="Book Antiqua" w:cs="Book Antiqua"/>
          <w:color w:val="000000" w:themeColor="text1"/>
          <w:vertAlign w:val="superscript"/>
        </w:rPr>
        <w:t>[12]</w:t>
      </w:r>
      <w:r w:rsidRPr="00D35DBC">
        <w:rPr>
          <w:rFonts w:ascii="Book Antiqua" w:eastAsia="Book Antiqua" w:hAnsi="Book Antiqua" w:cs="Book Antiqua"/>
          <w:color w:val="000000" w:themeColor="text1"/>
        </w:rPr>
        <w:t>.</w:t>
      </w:r>
    </w:p>
    <w:p w14:paraId="1B39879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914AFC3" w14:textId="702F2A09"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 xml:space="preserve">Statistical analysis </w:t>
      </w:r>
    </w:p>
    <w:p w14:paraId="79A78CE0" w14:textId="01B0C4FF"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Statistical analyses were performed using JMP12.0.1 software (SAS Institute Inc., Cary, NC, </w:t>
      </w:r>
      <w:r w:rsidR="000216CE" w:rsidRPr="00D35DBC">
        <w:rPr>
          <w:rFonts w:ascii="Book Antiqua" w:eastAsia="Book Antiqua" w:hAnsi="Book Antiqua" w:cs="Book Antiqua"/>
          <w:color w:val="000000" w:themeColor="text1"/>
        </w:rPr>
        <w:t>United States</w:t>
      </w:r>
      <w:r w:rsidRPr="00D35DBC">
        <w:rPr>
          <w:rFonts w:ascii="Book Antiqua" w:eastAsia="Book Antiqua" w:hAnsi="Book Antiqua" w:cs="Book Antiqua"/>
          <w:color w:val="000000" w:themeColor="text1"/>
        </w:rPr>
        <w:t xml:space="preserve">). The differences in patient characteristics were assessed using analysis of means (ANOM) and the chi-square test, followed by residual analysis. To compare the 19 main outcome measures (MOMs) of PGSAS-45 for the six main gastrectomy techniques, the ANOM method was used, with the alpha level was set at 0.05. Values with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&lt;</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0.05 were considered significant. The statistical methods of this study were reviewed by Atsushi Oshio from Waseda University.</w:t>
      </w:r>
    </w:p>
    <w:p w14:paraId="2BD460B1"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D8E2EC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RESULTS</w:t>
      </w:r>
    </w:p>
    <w:p w14:paraId="22A494C1" w14:textId="01978E83"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i/>
          <w:iCs/>
          <w:color w:val="000000" w:themeColor="text1"/>
        </w:rPr>
        <w:t>Background</w:t>
      </w:r>
    </w:p>
    <w:p w14:paraId="1EEB8682" w14:textId="6B157650"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2368 patients who underwent the six main gastrectomy procedures were distributed according to the surgical procedure, as follows: </w:t>
      </w:r>
      <w:r w:rsidR="000216CE" w:rsidRPr="00D35DBC">
        <w:rPr>
          <w:rFonts w:ascii="Book Antiqua" w:eastAsia="Book Antiqua" w:hAnsi="Book Antiqua" w:cs="Book Antiqua"/>
          <w:color w:val="000000" w:themeColor="text1"/>
        </w:rPr>
        <w:t>T</w:t>
      </w:r>
      <w:r w:rsidRPr="00D35DBC">
        <w:rPr>
          <w:rFonts w:ascii="Book Antiqua" w:eastAsia="Book Antiqua" w:hAnsi="Book Antiqua" w:cs="Book Antiqua"/>
          <w:color w:val="000000" w:themeColor="text1"/>
        </w:rPr>
        <w:t xml:space="preserve">otal gastrectomy with Roux-en-Y reconstruction (TGRY), 393 patients; PG, 193 patients, distal gastrectomy with Roux-en-Y reconstruction (DGRY), 475 patients; distal gastrectomy with Billroth-I reconstruction </w:t>
      </w:r>
      <w:r w:rsidRPr="00D35DBC">
        <w:rPr>
          <w:rFonts w:ascii="Book Antiqua" w:eastAsia="Book Antiqua" w:hAnsi="Book Antiqua" w:cs="Book Antiqua"/>
          <w:color w:val="000000" w:themeColor="text1"/>
        </w:rPr>
        <w:lastRenderedPageBreak/>
        <w:t>(DGBI), 909 patients; PPG, 313 patients; and LR, 85 patients (Fig</w:t>
      </w:r>
      <w:r w:rsidR="00E549F5" w:rsidRPr="00D35DBC">
        <w:rPr>
          <w:rFonts w:ascii="Book Antiqua" w:eastAsia="Book Antiqua" w:hAnsi="Book Antiqua" w:cs="Book Antiqua"/>
          <w:color w:val="000000" w:themeColor="text1"/>
        </w:rPr>
        <w:t>ure</w:t>
      </w:r>
      <w:r w:rsidRPr="00D35DBC">
        <w:rPr>
          <w:rFonts w:ascii="Book Antiqua" w:eastAsia="Book Antiqua" w:hAnsi="Book Antiqua" w:cs="Book Antiqua"/>
          <w:color w:val="000000" w:themeColor="text1"/>
        </w:rPr>
        <w:t xml:space="preserve"> 1). The average age of the patients was 62.1 years, and for patients undergoing TGRY, the mean age was significantly higher at 63.4 years</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 xml:space="preserve">. The overall mean postoperative period was 37.7 </w:t>
      </w:r>
      <w:r w:rsidR="00D008DF" w:rsidRPr="00D35DBC">
        <w:rPr>
          <w:rFonts w:ascii="Book Antiqua" w:eastAsia="Book Antiqua" w:hAnsi="Book Antiqua" w:cs="Book Antiqua"/>
          <w:color w:val="000000" w:themeColor="text1"/>
        </w:rPr>
        <w:t>mo</w:t>
      </w:r>
      <w:r w:rsidRPr="00D35DBC">
        <w:rPr>
          <w:rFonts w:ascii="Book Antiqua" w:eastAsia="Book Antiqua" w:hAnsi="Book Antiqua" w:cs="Book Antiqua"/>
          <w:color w:val="000000" w:themeColor="text1"/>
        </w:rPr>
        <w:t>. For DGBI, the mean postoperative period was significantly longer at 40.7 mo and was significantly shorter at 31.7 mo for DGRY</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 The proportion of men and women in the study population was 66% and 34%, respectively. Among the patients undergoing PPG, the proportion of women was significantly higher at 41%</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 The overall mean rate for the laparoscopic approach was 38% and was significantly higher for LR (61%) and DGBI (46%), but significantly lower for PG (17%) and TGRY (25%)</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 The overall mean rate of preservation of the celiac branch of the vagus nerve was 24% and was significantly higher for LR (100%), PPG (71%), and PG (44%); however, it was significantly lower for TGRY (3%), DGRY (6%), and DGBI (15%)</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w:t>
      </w:r>
    </w:p>
    <w:p w14:paraId="4C93ED43"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201FA7B" w14:textId="3D544F10"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i/>
          <w:iCs/>
          <w:color w:val="000000" w:themeColor="text1"/>
        </w:rPr>
        <w:t>Symptoms</w:t>
      </w:r>
      <w:r w:rsidRPr="00D35DBC">
        <w:rPr>
          <w:rFonts w:ascii="Book Antiqua" w:eastAsia="Book Antiqua" w:hAnsi="Book Antiqua" w:cs="Book Antiqua"/>
          <w:color w:val="000000" w:themeColor="text1"/>
        </w:rPr>
        <w:t xml:space="preserve"> </w:t>
      </w:r>
    </w:p>
    <w:p w14:paraId="00F3240B" w14:textId="688D2D04"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When comparing postgastrectomy symptoms of each type of gastrectomy with the overall mean symptom scores, most symptoms were severe for TGRY, while for LR, the symptoms, except for abdominal pain subscale (SS), were mild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&lt;</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0.05). In PG, meal-related distress SS and esophageal reflux SS were serious complications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The meal-related distress SS was low for both DGBI and DGRY. In addition, the esophageal reflux SS was low for DGRY and the indigestion SS was low for DGBI, respectively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&lt;</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0.05). The diarrhea SS and dumping SS were reported less severe for PPG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w:t>
      </w:r>
    </w:p>
    <w:p w14:paraId="0ABA67EE" w14:textId="06026B36"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Among the seven symptom SS, after gastrectomy, the most prominent symptom with higher scores were meal-related distress, constipation, and diarrhea. Additionally, as the mean score of symptoms for a specific gastrectomy type significantly differs from the overall mean score of symptoms, the symptom MOMs showing a large difference depending on the procedure were meal-related distress SS (noted in 5 of the 6 gastrectomy procedures), followed by esophageal reflux SS (4 of the 6 gastrectomy procedures)</w:t>
      </w:r>
      <w:r w:rsidR="000216CE" w:rsidRPr="00D35DBC">
        <w:rPr>
          <w:rFonts w:ascii="Book Antiqua" w:eastAsia="Book Antiqua" w:hAnsi="Book Antiqua" w:cs="Book Antiqua"/>
          <w:color w:val="000000" w:themeColor="text1"/>
        </w:rPr>
        <w:t xml:space="preserve"> (Table 3)</w:t>
      </w:r>
      <w:r w:rsidRPr="00D35DBC">
        <w:rPr>
          <w:rFonts w:ascii="Book Antiqua" w:eastAsia="Book Antiqua" w:hAnsi="Book Antiqua" w:cs="Book Antiqua"/>
          <w:color w:val="000000" w:themeColor="text1"/>
        </w:rPr>
        <w:t>.</w:t>
      </w:r>
    </w:p>
    <w:p w14:paraId="2C31D634"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EF34579" w14:textId="7F4AC16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i/>
          <w:iCs/>
          <w:color w:val="000000" w:themeColor="text1"/>
        </w:rPr>
        <w:lastRenderedPageBreak/>
        <w:t>Living status</w:t>
      </w:r>
    </w:p>
    <w:p w14:paraId="25BCF41C" w14:textId="5EB974D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Compared with the overall mean living status scores, the postgastrectomy living status for TGRY was clearly worse for all MOMs, except for the quality of ingestion SS, whereas the postgastrectomy living status for the LR was significantly better for all MOMs (</w:t>
      </w:r>
      <w:r w:rsidR="000216CE" w:rsidRPr="00D35DBC">
        <w:rPr>
          <w:rFonts w:ascii="Book Antiqua" w:eastAsia="Book Antiqua" w:hAnsi="Book Antiqua" w:cs="Book Antiqua"/>
          <w:i/>
          <w:iCs/>
          <w:color w:val="000000" w:themeColor="text1"/>
        </w:rPr>
        <w:t xml:space="preserve">P </w:t>
      </w:r>
      <w:r w:rsidR="000216CE" w:rsidRPr="00D35DBC">
        <w:rPr>
          <w:rFonts w:ascii="Book Antiqua" w:eastAsia="Book Antiqua" w:hAnsi="Book Antiqua" w:cs="Book Antiqua"/>
          <w:color w:val="000000" w:themeColor="text1"/>
        </w:rPr>
        <w:t xml:space="preserve">&lt; </w:t>
      </w:r>
      <w:r w:rsidRPr="00D35DBC">
        <w:rPr>
          <w:rFonts w:ascii="Book Antiqua" w:eastAsia="Book Antiqua" w:hAnsi="Book Antiqua" w:cs="Book Antiqua"/>
          <w:color w:val="000000" w:themeColor="text1"/>
        </w:rPr>
        <w:t>0.05). Moreover, for PG, the ingested amount of food per meal was low, quality of ingestion SS was poor, and weight loss was massive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DGBI and PPG were associated with lesser necessity for additional meals and less weight loss; moreover, DGBI was associated with better ability for working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Additionally, as the mean score of living status for a specific gastrectomy type significantly differs from the overall mean score of living status, the living status MOMs showing a large difference depending on the procedure were weight loss (noted in 5 of the 6 gastrectomy procedures), followed by necessity for additional meals (4 of the 6 gastrectomy procedures)</w:t>
      </w:r>
      <w:r w:rsidR="000216CE" w:rsidRPr="00D35DBC">
        <w:rPr>
          <w:rFonts w:ascii="Book Antiqua" w:eastAsia="Book Antiqua" w:hAnsi="Book Antiqua" w:cs="Book Antiqua"/>
          <w:color w:val="000000" w:themeColor="text1"/>
        </w:rPr>
        <w:t xml:space="preserve"> (Table 3)</w:t>
      </w:r>
      <w:r w:rsidRPr="00D35DBC">
        <w:rPr>
          <w:rFonts w:ascii="Book Antiqua" w:eastAsia="Book Antiqua" w:hAnsi="Book Antiqua" w:cs="Book Antiqua"/>
          <w:color w:val="000000" w:themeColor="text1"/>
        </w:rPr>
        <w:t>.</w:t>
      </w:r>
    </w:p>
    <w:p w14:paraId="5CED9A65"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248EA13" w14:textId="2DC4C24F"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i/>
          <w:iCs/>
          <w:color w:val="000000" w:themeColor="text1"/>
        </w:rPr>
        <w:t xml:space="preserve">QOL </w:t>
      </w:r>
    </w:p>
    <w:p w14:paraId="6248A0BC" w14:textId="01359D90" w:rsidR="00A77B3E" w:rsidRPr="00D35DBC" w:rsidRDefault="00C1648E" w:rsidP="00D35DBC">
      <w:pPr>
        <w:adjustRightInd w:val="0"/>
        <w:snapToGrid w:val="0"/>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color w:val="000000" w:themeColor="text1"/>
        </w:rPr>
        <w:t>Compared with the overall mean QOL scores, TGRY showed poor scores for all QOL MOMs, except for the mental component summary of SF-8, whereas LR showed excellent scores for all QOL MOMs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For PG, a significantly more patients reported dissatisfaction at the meal, dissatisfaction at working, and dissatisfaction for daily life SS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The prevalence of dissatisfaction at the meal was lower for DGBI and DGRY, and that of dissatisfaction at working and dissatisfaction for daily life SS was lower for DGBI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One of the QOL MOMs notable in gastrectomy was dissatisfaction at the meal. Additionally, as the mean score of QOL for a specific gastrectomy type significantly differs from the overall mean score of QOL, the QOL MOMs showing a large difference depending on the procedure, was dissatisfaction at the meal (noted in 5 of the 6 gastrectomy procedures), followed by dissatisfaction at working and dissatisfaction for daily life SS (4 of 6 gastrectomy procedures)</w:t>
      </w:r>
      <w:r w:rsidR="000216CE" w:rsidRPr="00D35DBC">
        <w:rPr>
          <w:rFonts w:ascii="Book Antiqua" w:eastAsia="Book Antiqua" w:hAnsi="Book Antiqua" w:cs="Book Antiqua"/>
          <w:color w:val="000000" w:themeColor="text1"/>
        </w:rPr>
        <w:t xml:space="preserve"> (Table 3)</w:t>
      </w:r>
      <w:r w:rsidRPr="00D35DBC">
        <w:rPr>
          <w:rFonts w:ascii="Book Antiqua" w:eastAsia="Book Antiqua" w:hAnsi="Book Antiqua" w:cs="Book Antiqua"/>
          <w:color w:val="000000" w:themeColor="text1"/>
        </w:rPr>
        <w:t>.</w:t>
      </w:r>
    </w:p>
    <w:p w14:paraId="00EA4208" w14:textId="77777777" w:rsidR="000216CE" w:rsidRPr="00D35DBC" w:rsidRDefault="000216CE" w:rsidP="00D35DBC">
      <w:pPr>
        <w:adjustRightInd w:val="0"/>
        <w:snapToGrid w:val="0"/>
        <w:spacing w:line="360" w:lineRule="auto"/>
        <w:jc w:val="both"/>
        <w:rPr>
          <w:rFonts w:ascii="Book Antiqua" w:hAnsi="Book Antiqua"/>
          <w:color w:val="000000" w:themeColor="text1"/>
        </w:rPr>
      </w:pPr>
    </w:p>
    <w:p w14:paraId="4A6F99DB" w14:textId="77777777" w:rsidR="000216C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Overall characteristics</w:t>
      </w:r>
    </w:p>
    <w:p w14:paraId="3AAC4B3F" w14:textId="15863DB8"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color w:val="000000" w:themeColor="text1"/>
        </w:rPr>
        <w:lastRenderedPageBreak/>
        <w:t>The percentage for the overall mean score of each surgical procedure was calculated for 19 MOMs of PGSAS-45 (Table 4). For every 5% deviation in score from the overall mean score, 1 point was added if the daily living condition was good and 1 point was subtracted if the daily living condition was bad. The total score of the 19 MOMs for each procedure was calculated and compared (Table 4</w:t>
      </w:r>
      <w:r w:rsidR="000216CE" w:rsidRPr="00D35DBC">
        <w:rPr>
          <w:rFonts w:ascii="Book Antiqua" w:eastAsia="Book Antiqua" w:hAnsi="Book Antiqua" w:cs="Book Antiqua"/>
          <w:color w:val="000000" w:themeColor="text1"/>
        </w:rPr>
        <w:t xml:space="preserve"> and</w:t>
      </w:r>
      <w:r w:rsidRPr="00D35DBC">
        <w:rPr>
          <w:rFonts w:ascii="Book Antiqua" w:eastAsia="Book Antiqua" w:hAnsi="Book Antiqua" w:cs="Book Antiqua"/>
          <w:color w:val="000000" w:themeColor="text1"/>
        </w:rPr>
        <w:t xml:space="preserve"> Fig</w:t>
      </w:r>
      <w:r w:rsidR="00E549F5" w:rsidRPr="00D35DBC">
        <w:rPr>
          <w:rFonts w:ascii="Book Antiqua" w:eastAsia="Book Antiqua" w:hAnsi="Book Antiqua" w:cs="Book Antiqua"/>
          <w:color w:val="000000" w:themeColor="text1"/>
        </w:rPr>
        <w:t>ure</w:t>
      </w:r>
      <w:r w:rsidRPr="00D35DBC">
        <w:rPr>
          <w:rFonts w:ascii="Book Antiqua" w:eastAsia="Book Antiqua" w:hAnsi="Book Antiqua" w:cs="Book Antiqua"/>
          <w:color w:val="000000" w:themeColor="text1"/>
        </w:rPr>
        <w:t xml:space="preserve"> 2). The overall living condition of patients who underwent the aforementioned gastrectomy procedures was compared: </w:t>
      </w:r>
      <w:r w:rsidR="000216CE" w:rsidRPr="00D35DBC">
        <w:rPr>
          <w:rFonts w:ascii="Book Antiqua" w:eastAsia="Book Antiqua" w:hAnsi="Book Antiqua" w:cs="Book Antiqua"/>
          <w:color w:val="000000" w:themeColor="text1"/>
        </w:rPr>
        <w:t>T</w:t>
      </w:r>
      <w:r w:rsidRPr="00D35DBC">
        <w:rPr>
          <w:rFonts w:ascii="Book Antiqua" w:eastAsia="Book Antiqua" w:hAnsi="Book Antiqua" w:cs="Book Antiqua"/>
          <w:color w:val="000000" w:themeColor="text1"/>
        </w:rPr>
        <w:t>he TGRY had a score of -47 points, which indicated a considerably worse living condition than other procedures, while LR had score of +97 points, which indicated a markedly better living condition compared to the other procedures. PG, where the proximal stomach was resected, had a score of -26 points; therefore, the QOL of patients who underwent PG was poor compared to that of patients who underwent DGRY (3 points), DGBI (5 points), and PPG (10 points), wherein the proximal stomach is presented. The QOL was better for the patients who underwent PPG where the pylorus was preserved compared to those who underwent DGBI and DGRY, and was almost similar between the patients who underwent DGBI and DGRY.</w:t>
      </w:r>
    </w:p>
    <w:p w14:paraId="7ECF8D2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B67B04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DISCUSSION</w:t>
      </w:r>
    </w:p>
    <w:p w14:paraId="53E308E2"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In this study, we developed the PGSAS-45 questionnaire for the assessment of postgastrectomy syndrome. Using this questionnaire, we examined the effects of the six main gastrectomy procedures on patients’ daily living. The results revealed that TGRY had the worst postoperative QOL score, whereas LR had the highest postoperative QOL score. For PG, where the proximal stomach is resected, the postoperative QOL was clearly worse than that for PPG, DGBI, and DGRY, where the proximal stomach is preserved. Post-PPG, where the pylorus was preserved, the QOL was slightly better than that of post-DGBI and -DGRY. No significant difference was found between DGBI and DGRY in terms of QOL. Among the 19 MOMs in PGSAS-45, the major differences in the surgical procedures were meal-related distress SS and esophageal reflux SS with respect to the symptoms, weight loss and necessity for additional meals with respect to the living status, and dissatisfaction at the meal, dissatisfaction at working, and dissatisfaction for daily </w:t>
      </w:r>
      <w:r w:rsidRPr="00D35DBC">
        <w:rPr>
          <w:rFonts w:ascii="Book Antiqua" w:eastAsia="Book Antiqua" w:hAnsi="Book Antiqua" w:cs="Book Antiqua"/>
          <w:color w:val="000000" w:themeColor="text1"/>
        </w:rPr>
        <w:lastRenderedPageBreak/>
        <w:t>life SS with respect to the QOL. After gastrectomy, the most prominent burdens were meal-related distress SS, constipation SS, diarrhea SS, and dissatisfaction at the meal. To the best of our knowledge, this is the first study to simultaneously examine the effects of various gastrectomy procedures on the patients’ daily living postoperatively and to clarify the overall characteristics of postgastrectomy syndrome.</w:t>
      </w:r>
    </w:p>
    <w:p w14:paraId="47D8A5A3"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In recent years, the rate of detection of early-stage gastric cancer has increased due to widespread medical screening and improvement of diagnostic techniques</w:t>
      </w:r>
      <w:r w:rsidRPr="00D35DBC">
        <w:rPr>
          <w:rFonts w:ascii="Book Antiqua" w:eastAsia="Book Antiqua" w:hAnsi="Book Antiqua" w:cs="Book Antiqua"/>
          <w:color w:val="000000" w:themeColor="text1"/>
          <w:vertAlign w:val="superscript"/>
        </w:rPr>
        <w:t>[1]</w:t>
      </w:r>
      <w:r w:rsidRPr="00D35DBC">
        <w:rPr>
          <w:rFonts w:ascii="Book Antiqua" w:eastAsia="Book Antiqua" w:hAnsi="Book Antiqua" w:cs="Book Antiqua"/>
          <w:color w:val="000000" w:themeColor="text1"/>
        </w:rPr>
        <w:t>. Advances in treatment also increase the number of patients who can attain long-term postgastrectomy survival</w:t>
      </w:r>
      <w:r w:rsidRPr="00D35DBC">
        <w:rPr>
          <w:rFonts w:ascii="Book Antiqua" w:eastAsia="Book Antiqua" w:hAnsi="Book Antiqua" w:cs="Book Antiqua"/>
          <w:color w:val="000000" w:themeColor="text1"/>
          <w:vertAlign w:val="superscript"/>
        </w:rPr>
        <w:t>[1]</w:t>
      </w:r>
      <w:r w:rsidRPr="00D35DBC">
        <w:rPr>
          <w:rFonts w:ascii="Book Antiqua" w:eastAsia="Book Antiqua" w:hAnsi="Book Antiqua" w:cs="Book Antiqua"/>
          <w:color w:val="000000" w:themeColor="text1"/>
        </w:rPr>
        <w:t>. On the contrary, various complications, called postgastrectomy syndrome, occur after gastrectomy</w:t>
      </w:r>
      <w:r w:rsidRPr="00D35DBC">
        <w:rPr>
          <w:rFonts w:ascii="Book Antiqua" w:eastAsia="Book Antiqua" w:hAnsi="Book Antiqua" w:cs="Book Antiqua"/>
          <w:color w:val="000000" w:themeColor="text1"/>
          <w:vertAlign w:val="superscript"/>
        </w:rPr>
        <w:t>[2-7]</w:t>
      </w:r>
      <w:r w:rsidRPr="00D35DBC">
        <w:rPr>
          <w:rFonts w:ascii="Book Antiqua" w:eastAsia="Book Antiqua" w:hAnsi="Book Antiqua" w:cs="Book Antiqua"/>
          <w:color w:val="000000" w:themeColor="text1"/>
        </w:rPr>
        <w:t>, which become clinical problems that interfere with daily living. Within this context, there has been increasing interest in reducing the incidence of postgastrectomy syndrome and improving postoperative patients’ QOL, and the introduction of function-preserving surgery, such as PG and PPG</w:t>
      </w:r>
      <w:r w:rsidRPr="00D35DBC">
        <w:rPr>
          <w:rFonts w:ascii="Book Antiqua" w:eastAsia="Book Antiqua" w:hAnsi="Book Antiqua" w:cs="Book Antiqua"/>
          <w:color w:val="000000" w:themeColor="text1"/>
          <w:vertAlign w:val="superscript"/>
        </w:rPr>
        <w:t>[8-10]</w:t>
      </w:r>
      <w:r w:rsidRPr="00D35DBC">
        <w:rPr>
          <w:rFonts w:ascii="Book Antiqua" w:eastAsia="Book Antiqua" w:hAnsi="Book Antiqua" w:cs="Book Antiqua"/>
          <w:color w:val="000000" w:themeColor="text1"/>
        </w:rPr>
        <w:t>, and minimally invasive surgery, such as laparoscopic surgery</w:t>
      </w:r>
      <w:r w:rsidRPr="00D35DBC">
        <w:rPr>
          <w:rFonts w:ascii="Book Antiqua" w:eastAsia="Book Antiqua" w:hAnsi="Book Antiqua" w:cs="Book Antiqua"/>
          <w:color w:val="000000" w:themeColor="text1"/>
          <w:vertAlign w:val="superscript"/>
        </w:rPr>
        <w:t>[24]</w:t>
      </w:r>
      <w:r w:rsidRPr="00D35DBC">
        <w:rPr>
          <w:rFonts w:ascii="Book Antiqua" w:eastAsia="Book Antiqua" w:hAnsi="Book Antiqua" w:cs="Book Antiqua"/>
          <w:color w:val="000000" w:themeColor="text1"/>
        </w:rPr>
        <w:t>, has increased. These function-preserving surgical procedures are also accepted by the fourth edition of the gastric cancer treatment guidelines (2017) as an alternative treatment of early-stage gastric cancer (cT1N0M0)</w:t>
      </w:r>
      <w:r w:rsidRPr="00D35DBC">
        <w:rPr>
          <w:rFonts w:ascii="Book Antiqua" w:eastAsia="Book Antiqua" w:hAnsi="Book Antiqua" w:cs="Book Antiqua"/>
          <w:color w:val="000000" w:themeColor="text1"/>
          <w:vertAlign w:val="superscript"/>
        </w:rPr>
        <w:t>[25]</w:t>
      </w:r>
      <w:r w:rsidRPr="00D35DBC">
        <w:rPr>
          <w:rFonts w:ascii="Book Antiqua" w:eastAsia="Book Antiqua" w:hAnsi="Book Antiqua" w:cs="Book Antiqua"/>
          <w:color w:val="000000" w:themeColor="text1"/>
        </w:rPr>
        <w:t xml:space="preserve">. </w:t>
      </w:r>
    </w:p>
    <w:p w14:paraId="5D572864"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The primary purpose of gastrectomy is to cure cancer, and then, to allow the patient to live comfortably at the same level as their preoperative condition. To improve the QOL of postgastrectomy patients, it is important to select a gastrectomy procedure considering the patient’s postoperative QOL. However, to achieve this, a questionnaire, which accurately measures the postgastrectomy patients’ burden in their daily living, is essential. Many studies have compared different gastrectomy procedures</w:t>
      </w:r>
      <w:r w:rsidRPr="00D35DBC">
        <w:rPr>
          <w:rFonts w:ascii="Book Antiqua" w:eastAsia="Book Antiqua" w:hAnsi="Book Antiqua" w:cs="Book Antiqua"/>
          <w:color w:val="000000" w:themeColor="text1"/>
          <w:vertAlign w:val="superscript"/>
        </w:rPr>
        <w:t>[26-28]</w:t>
      </w:r>
      <w:r w:rsidRPr="00D35DBC">
        <w:rPr>
          <w:rFonts w:ascii="Book Antiqua" w:eastAsia="Book Antiqua" w:hAnsi="Book Antiqua" w:cs="Book Antiqua"/>
          <w:color w:val="000000" w:themeColor="text1"/>
        </w:rPr>
        <w:t>, but in the absence of a suitable questionnaire to assess the effects of gastrectomy, satisfactory assessment could not be attained. In this light, PGSAS-45</w:t>
      </w:r>
      <w:r w:rsidRPr="00D35DBC">
        <w:rPr>
          <w:rFonts w:ascii="Book Antiqua" w:eastAsia="Book Antiqua" w:hAnsi="Book Antiqua" w:cs="Book Antiqua"/>
          <w:color w:val="000000" w:themeColor="text1"/>
          <w:vertAlign w:val="superscript"/>
        </w:rPr>
        <w:t>[12]</w:t>
      </w:r>
      <w:r w:rsidRPr="00D35DBC">
        <w:rPr>
          <w:rFonts w:ascii="Book Antiqua" w:eastAsia="Book Antiqua" w:hAnsi="Book Antiqua" w:cs="Book Antiqua"/>
          <w:color w:val="000000" w:themeColor="text1"/>
        </w:rPr>
        <w:t xml:space="preserve">, a new questionnaire developed by the Japan Postgastrectomy Syndrome Working Party, was used to assess the gastrectomy procedures, and a nationwide multi-institutional collaborative study called Postgastrectomy Syndrome Assessment Study was conducted to elucidate the </w:t>
      </w:r>
      <w:r w:rsidRPr="00D35DBC">
        <w:rPr>
          <w:rFonts w:ascii="Book Antiqua" w:eastAsia="Book Antiqua" w:hAnsi="Book Antiqua" w:cs="Book Antiqua"/>
          <w:color w:val="000000" w:themeColor="text1"/>
        </w:rPr>
        <w:lastRenderedPageBreak/>
        <w:t>effects of the six main gastrectomy procedures on the daily living of postoperative patients.</w:t>
      </w:r>
    </w:p>
    <w:p w14:paraId="73B57DC9"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To date, several studies have compared various gastrectomy procedures as treatment of gastric cancer on a specific site. Total gastrectomy was often performed for upper gastric cancer, but in recent years, PG, which is a function-preserving surgery, has often been performed to treat early-stage gastric cancer for expecting better QOL</w:t>
      </w:r>
      <w:r w:rsidRPr="00D35DBC">
        <w:rPr>
          <w:rFonts w:ascii="Book Antiqua" w:eastAsia="Book Antiqua" w:hAnsi="Book Antiqua" w:cs="Book Antiqua"/>
          <w:color w:val="000000" w:themeColor="text1"/>
          <w:vertAlign w:val="superscript"/>
        </w:rPr>
        <w:t>[8-10]</w:t>
      </w:r>
      <w:r w:rsidRPr="00D35DBC">
        <w:rPr>
          <w:rFonts w:ascii="Book Antiqua" w:eastAsia="Book Antiqua" w:hAnsi="Book Antiqua" w:cs="Book Antiqua"/>
          <w:color w:val="000000" w:themeColor="text1"/>
        </w:rPr>
        <w:t>. A study comparing postoperative QOL between total gastrectomy and PG shows that the latter results in better QOL</w:t>
      </w:r>
      <w:r w:rsidRPr="00D35DBC">
        <w:rPr>
          <w:rFonts w:ascii="Book Antiqua" w:eastAsia="Book Antiqua" w:hAnsi="Book Antiqua" w:cs="Book Antiqua"/>
          <w:color w:val="000000" w:themeColor="text1"/>
          <w:vertAlign w:val="superscript"/>
        </w:rPr>
        <w:t>[29]</w:t>
      </w:r>
      <w:r w:rsidRPr="00D35DBC">
        <w:rPr>
          <w:rFonts w:ascii="Book Antiqua" w:eastAsia="Book Antiqua" w:hAnsi="Book Antiqua" w:cs="Book Antiqua"/>
          <w:color w:val="000000" w:themeColor="text1"/>
        </w:rPr>
        <w:t xml:space="preserve"> with less diarrhea and dumping symptoms, less weight loss, and less necessity for additional meals</w:t>
      </w:r>
      <w:r w:rsidRPr="00D35DBC">
        <w:rPr>
          <w:rFonts w:ascii="Book Antiqua" w:eastAsia="Book Antiqua" w:hAnsi="Book Antiqua" w:cs="Book Antiqua"/>
          <w:color w:val="000000" w:themeColor="text1"/>
          <w:vertAlign w:val="superscript"/>
        </w:rPr>
        <w:t>[19]</w:t>
      </w:r>
      <w:r w:rsidRPr="00D35DBC">
        <w:rPr>
          <w:rFonts w:ascii="Book Antiqua" w:eastAsia="Book Antiqua" w:hAnsi="Book Antiqua" w:cs="Book Antiqua"/>
          <w:color w:val="000000" w:themeColor="text1"/>
        </w:rPr>
        <w:t>. On the contrary, reflux esophagitis and anastomotic stricture have been reported in PG</w:t>
      </w:r>
      <w:r w:rsidRPr="00D35DBC">
        <w:rPr>
          <w:rFonts w:ascii="Book Antiqua" w:eastAsia="Book Antiqua" w:hAnsi="Book Antiqua" w:cs="Book Antiqua"/>
          <w:color w:val="000000" w:themeColor="text1"/>
          <w:vertAlign w:val="superscript"/>
        </w:rPr>
        <w:t>[17,30]</w:t>
      </w:r>
      <w:r w:rsidRPr="00D35DBC">
        <w:rPr>
          <w:rFonts w:ascii="Book Antiqua" w:eastAsia="Book Antiqua" w:hAnsi="Book Antiqua" w:cs="Book Antiqua"/>
          <w:color w:val="000000" w:themeColor="text1"/>
        </w:rPr>
        <w:t xml:space="preserve"> and remains a problem. In this study, PG had a total QOL score of -26 points compared with TGRY having -47 points. This shows that PG has lesser worse effects on QOL than TGRY, resulting in less impairment in daily living.</w:t>
      </w:r>
    </w:p>
    <w:p w14:paraId="14A772B8"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Distal gastrectomy is often performed for middle-third gastric cancer; however, PPG has also been selected as a function-preserving surgery for early-stage gastric cancer</w:t>
      </w:r>
      <w:r w:rsidRPr="00D35DBC">
        <w:rPr>
          <w:rFonts w:ascii="Book Antiqua" w:eastAsia="Book Antiqua" w:hAnsi="Book Antiqua" w:cs="Book Antiqua"/>
          <w:color w:val="000000" w:themeColor="text1"/>
          <w:vertAlign w:val="superscript"/>
        </w:rPr>
        <w:t>[8-10]</w:t>
      </w:r>
      <w:r w:rsidRPr="00D35DBC">
        <w:rPr>
          <w:rFonts w:ascii="Book Antiqua" w:eastAsia="Book Antiqua" w:hAnsi="Book Antiqua" w:cs="Book Antiqua"/>
          <w:color w:val="000000" w:themeColor="text1"/>
        </w:rPr>
        <w:t>. In studies comparing the postoperative QOL of distal gastrectomy and PPG, PPG was reported to have better QOL</w:t>
      </w:r>
      <w:r w:rsidRPr="00D35DBC">
        <w:rPr>
          <w:rFonts w:ascii="Book Antiqua" w:eastAsia="Book Antiqua" w:hAnsi="Book Antiqua" w:cs="Book Antiqua"/>
          <w:color w:val="000000" w:themeColor="text1"/>
          <w:vertAlign w:val="superscript"/>
        </w:rPr>
        <w:t>[13,14,31-33]</w:t>
      </w:r>
      <w:r w:rsidRPr="00D35DBC">
        <w:rPr>
          <w:rFonts w:ascii="Book Antiqua" w:eastAsia="Book Antiqua" w:hAnsi="Book Antiqua" w:cs="Book Antiqua"/>
          <w:color w:val="000000" w:themeColor="text1"/>
        </w:rPr>
        <w:t xml:space="preserve"> with fewer occurrences of diarrhea and dumping, less weight loss, and less necessity for additional meals</w:t>
      </w:r>
      <w:r w:rsidRPr="00D35DBC">
        <w:rPr>
          <w:rFonts w:ascii="Book Antiqua" w:eastAsia="Book Antiqua" w:hAnsi="Book Antiqua" w:cs="Book Antiqua"/>
          <w:color w:val="000000" w:themeColor="text1"/>
          <w:vertAlign w:val="superscript"/>
        </w:rPr>
        <w:t>[13]</w:t>
      </w:r>
      <w:r w:rsidRPr="00D35DBC">
        <w:rPr>
          <w:rFonts w:ascii="Book Antiqua" w:eastAsia="Book Antiqua" w:hAnsi="Book Antiqua" w:cs="Book Antiqua"/>
          <w:color w:val="000000" w:themeColor="text1"/>
        </w:rPr>
        <w:t xml:space="preserve">. In this study, DGBI had QOL score of 5 points, and DGRY had 3 points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PPG’s score of 10 points, indicating that PPG provides better QOL than distal gastrectomy.</w:t>
      </w:r>
    </w:p>
    <w:p w14:paraId="76E8C97E"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Distal gastrectomy is performed as a standard surgical procedure for lower gastric cancer. DGBI and DGRY are mainly performed as reconstructive methods. Many studies have compared DGBI with DGRY</w:t>
      </w:r>
      <w:r w:rsidRPr="00D35DBC">
        <w:rPr>
          <w:rFonts w:ascii="Book Antiqua" w:eastAsia="Book Antiqua" w:hAnsi="Book Antiqua" w:cs="Book Antiqua"/>
          <w:color w:val="000000" w:themeColor="text1"/>
          <w:vertAlign w:val="superscript"/>
        </w:rPr>
        <w:t>[20,34-41]</w:t>
      </w:r>
      <w:r w:rsidRPr="00D35DBC">
        <w:rPr>
          <w:rFonts w:ascii="Book Antiqua" w:eastAsia="Book Antiqua" w:hAnsi="Book Antiqua" w:cs="Book Antiqua"/>
          <w:color w:val="000000" w:themeColor="text1"/>
        </w:rPr>
        <w:t>, each of which has reported benefits, such as lesser weight loss in DGBI</w:t>
      </w:r>
      <w:r w:rsidRPr="00D35DBC">
        <w:rPr>
          <w:rFonts w:ascii="Book Antiqua" w:eastAsia="Book Antiqua" w:hAnsi="Book Antiqua" w:cs="Book Antiqua"/>
          <w:color w:val="000000" w:themeColor="text1"/>
          <w:vertAlign w:val="superscript"/>
        </w:rPr>
        <w:t>[20]</w:t>
      </w:r>
      <w:r w:rsidRPr="00D35DBC">
        <w:rPr>
          <w:rFonts w:ascii="Book Antiqua" w:eastAsia="Book Antiqua" w:hAnsi="Book Antiqua" w:cs="Book Antiqua"/>
          <w:color w:val="000000" w:themeColor="text1"/>
        </w:rPr>
        <w:t xml:space="preserve"> and lower occurrence of residual gastritis and esophageal reflux symptoms in DGRY</w:t>
      </w:r>
      <w:r w:rsidRPr="00D35DBC">
        <w:rPr>
          <w:rFonts w:ascii="Book Antiqua" w:eastAsia="Book Antiqua" w:hAnsi="Book Antiqua" w:cs="Book Antiqua"/>
          <w:color w:val="000000" w:themeColor="text1"/>
          <w:vertAlign w:val="superscript"/>
        </w:rPr>
        <w:t>[20,38,41]</w:t>
      </w:r>
      <w:r w:rsidRPr="00D35DBC">
        <w:rPr>
          <w:rFonts w:ascii="Book Antiqua" w:eastAsia="Book Antiqua" w:hAnsi="Book Antiqua" w:cs="Book Antiqua"/>
          <w:color w:val="000000" w:themeColor="text1"/>
        </w:rPr>
        <w:t>. However, there is no definitive view on which of the two reconstructive surgeries is effective. In this study, DGRY (3 points) and DGBI (5 points) had virtually identical scores.</w:t>
      </w:r>
    </w:p>
    <w:p w14:paraId="5B86E002"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results of this study were consistent with previous studies comparing various contrasting rival gastrectomy procedures. As mentioned above, various gastrectomy </w:t>
      </w:r>
      <w:r w:rsidRPr="00D35DBC">
        <w:rPr>
          <w:rFonts w:ascii="Book Antiqua" w:eastAsia="Book Antiqua" w:hAnsi="Book Antiqua" w:cs="Book Antiqua"/>
          <w:color w:val="000000" w:themeColor="text1"/>
        </w:rPr>
        <w:lastRenderedPageBreak/>
        <w:t>procedures were compared, which revealed an increase of evidence, showing the usefulness of function-preserving surgery. In the future, we anticipate that function-preserving gastrectomy will be applied to a wider extent to address early-stage gastric cancer.</w:t>
      </w:r>
    </w:p>
    <w:p w14:paraId="604C82AB" w14:textId="7B5FFC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In the overall characteristics, the worse effects of total gastrectomy on daily life were greater than those in the other five procedures (Table 4</w:t>
      </w:r>
      <w:r w:rsidR="000216CE" w:rsidRPr="00D35DBC">
        <w:rPr>
          <w:rFonts w:ascii="Book Antiqua" w:eastAsia="Book Antiqua" w:hAnsi="Book Antiqua" w:cs="Book Antiqua"/>
          <w:color w:val="000000" w:themeColor="text1"/>
        </w:rPr>
        <w:t xml:space="preserve"> and</w:t>
      </w:r>
      <w:r w:rsidRPr="00D35DBC">
        <w:rPr>
          <w:rFonts w:ascii="Book Antiqua" w:eastAsia="Book Antiqua" w:hAnsi="Book Antiqua" w:cs="Book Antiqua"/>
          <w:color w:val="000000" w:themeColor="text1"/>
        </w:rPr>
        <w:t xml:space="preserve"> Fig</w:t>
      </w:r>
      <w:r w:rsidR="00E549F5" w:rsidRPr="00D35DBC">
        <w:rPr>
          <w:rFonts w:ascii="Book Antiqua" w:eastAsia="Book Antiqua" w:hAnsi="Book Antiqua" w:cs="Book Antiqua"/>
          <w:color w:val="000000" w:themeColor="text1"/>
        </w:rPr>
        <w:t>ure</w:t>
      </w:r>
      <w:r w:rsidRPr="00D35DBC">
        <w:rPr>
          <w:rFonts w:ascii="Book Antiqua" w:eastAsia="Book Antiqua" w:hAnsi="Book Antiqua" w:cs="Book Antiqua"/>
          <w:color w:val="000000" w:themeColor="text1"/>
        </w:rPr>
        <w:t xml:space="preserve"> 2) and fatal. In recent years, PG has been frequently performed for early-stage upper gastric cancer, which reduces the incidence of postgastrectomy syndrome, and the postoperative QOL is better than that in total gastrectomy. Alternatively, subtotal gastrectomy is performed, which leaves a portion of the proximal stomach even if the size of the remaining stomach becomes considerably small</w:t>
      </w:r>
      <w:r w:rsidRPr="00D35DBC">
        <w:rPr>
          <w:rFonts w:ascii="Book Antiqua" w:eastAsia="Book Antiqua" w:hAnsi="Book Antiqua" w:cs="Book Antiqua"/>
          <w:color w:val="000000" w:themeColor="text1"/>
          <w:vertAlign w:val="superscript"/>
        </w:rPr>
        <w:t>[42,43]</w:t>
      </w:r>
      <w:r w:rsidRPr="00D35DBC">
        <w:rPr>
          <w:rFonts w:ascii="Book Antiqua" w:eastAsia="Book Antiqua" w:hAnsi="Book Antiqua" w:cs="Book Antiqua"/>
          <w:color w:val="000000" w:themeColor="text1"/>
        </w:rPr>
        <w:t>, and its QOL is reported better than that of TG</w:t>
      </w:r>
      <w:r w:rsidRPr="00D35DBC">
        <w:rPr>
          <w:rFonts w:ascii="Book Antiqua" w:eastAsia="Book Antiqua" w:hAnsi="Book Antiqua" w:cs="Book Antiqua"/>
          <w:color w:val="000000" w:themeColor="text1"/>
          <w:vertAlign w:val="superscript"/>
        </w:rPr>
        <w:t>[43]</w:t>
      </w:r>
      <w:r w:rsidRPr="00D35DBC">
        <w:rPr>
          <w:rFonts w:ascii="Book Antiqua" w:eastAsia="Book Antiqua" w:hAnsi="Book Antiqua" w:cs="Book Antiqua"/>
          <w:color w:val="000000" w:themeColor="text1"/>
        </w:rPr>
        <w:t>. If oncological safety is maintained, avoiding total gastrectomy as much as possible, and actively adopting a procedure that leaves either the distal stomach or a portion of the proximal stomach may help improve postoperative QOL.</w:t>
      </w:r>
    </w:p>
    <w:p w14:paraId="723DC112"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In contrast, the QOL after LR was by far better than that after other gastrectomy procedures. Many reports have indicated that QOL after LR was favorable</w:t>
      </w:r>
      <w:r w:rsidRPr="00D35DBC">
        <w:rPr>
          <w:rFonts w:ascii="Book Antiqua" w:eastAsia="Book Antiqua" w:hAnsi="Book Antiqua" w:cs="Book Antiqua"/>
          <w:color w:val="000000" w:themeColor="text1"/>
          <w:vertAlign w:val="superscript"/>
        </w:rPr>
        <w:t>[15,44,45]</w:t>
      </w:r>
      <w:r w:rsidRPr="00D35DBC">
        <w:rPr>
          <w:rFonts w:ascii="Book Antiqua" w:eastAsia="Book Antiqua" w:hAnsi="Book Antiqua" w:cs="Book Antiqua"/>
          <w:color w:val="000000" w:themeColor="text1"/>
        </w:rPr>
        <w:t xml:space="preserve"> and that residual stomach functions were retained</w:t>
      </w:r>
      <w:r w:rsidRPr="00D35DBC">
        <w:rPr>
          <w:rFonts w:ascii="Book Antiqua" w:eastAsia="Book Antiqua" w:hAnsi="Book Antiqua" w:cs="Book Antiqua"/>
          <w:color w:val="000000" w:themeColor="text1"/>
          <w:vertAlign w:val="superscript"/>
        </w:rPr>
        <w:t>[44]</w:t>
      </w:r>
      <w:r w:rsidRPr="00D35DBC">
        <w:rPr>
          <w:rFonts w:ascii="Book Antiqua" w:eastAsia="Book Antiqua" w:hAnsi="Book Antiqua" w:cs="Book Antiqua"/>
          <w:color w:val="000000" w:themeColor="text1"/>
        </w:rPr>
        <w:t>. Local gastric resection is often performed for GISTs; however, it has been performed as a surgical treatment for early-stage gastric cancers based on the sentinel lymph node concept</w:t>
      </w:r>
      <w:r w:rsidRPr="00D35DBC">
        <w:rPr>
          <w:rFonts w:ascii="Book Antiqua" w:eastAsia="Book Antiqua" w:hAnsi="Book Antiqua" w:cs="Book Antiqua"/>
          <w:color w:val="000000" w:themeColor="text1"/>
          <w:vertAlign w:val="superscript"/>
        </w:rPr>
        <w:t>[45,46]</w:t>
      </w:r>
      <w:r w:rsidRPr="00D35DBC">
        <w:rPr>
          <w:rFonts w:ascii="Book Antiqua" w:eastAsia="Book Antiqua" w:hAnsi="Book Antiqua" w:cs="Book Antiqua"/>
          <w:color w:val="000000" w:themeColor="text1"/>
        </w:rPr>
        <w:t>. Endoscopic submucosal dissection (ESD) has been increasingly performed for early-stage gastric cancers, and its applicability continues to increase</w:t>
      </w:r>
      <w:r w:rsidRPr="00D35DBC">
        <w:rPr>
          <w:rFonts w:ascii="Book Antiqua" w:eastAsia="Book Antiqua" w:hAnsi="Book Antiqua" w:cs="Book Antiqua"/>
          <w:color w:val="000000" w:themeColor="text1"/>
          <w:vertAlign w:val="superscript"/>
        </w:rPr>
        <w:t>[47]</w:t>
      </w:r>
      <w:r w:rsidRPr="00D35DBC">
        <w:rPr>
          <w:rFonts w:ascii="Book Antiqua" w:eastAsia="Book Antiqua" w:hAnsi="Book Antiqua" w:cs="Book Antiqua"/>
          <w:color w:val="000000" w:themeColor="text1"/>
        </w:rPr>
        <w:t>. The QOL after ESD is especially favorable</w:t>
      </w:r>
      <w:r w:rsidRPr="00D35DBC">
        <w:rPr>
          <w:rFonts w:ascii="Book Antiqua" w:eastAsia="Book Antiqua" w:hAnsi="Book Antiqua" w:cs="Book Antiqua"/>
          <w:color w:val="000000" w:themeColor="text1"/>
          <w:vertAlign w:val="superscript"/>
        </w:rPr>
        <w:t>[48]</w:t>
      </w:r>
      <w:r w:rsidRPr="00D35DBC">
        <w:rPr>
          <w:rFonts w:ascii="Book Antiqua" w:eastAsia="Book Antiqua" w:hAnsi="Book Antiqua" w:cs="Book Antiqua"/>
          <w:color w:val="000000" w:themeColor="text1"/>
        </w:rPr>
        <w:t xml:space="preserve">, and it would be an ideal treatment method if gastric cancer could be completely cured. Meanwhile, gastrectomy procedures, such as PG, PPG, and DG have been performed in conjunction with the preservation of the celiac branch of the vagus nerve as function-preserving gastrectomy for lesions in early-stage non-ESD applicable gastric cancers. However, there is still a major gap between functional preservation after gastrectomy and ESD with regards to the patients' QOL. In recent years, sentinel node navigation surgery has been incorporated against early-stage non-ESD applicable gastric cancers by safely employing LR while maintaining oncological safety. As the present results show, the </w:t>
      </w:r>
      <w:r w:rsidRPr="00D35DBC">
        <w:rPr>
          <w:rFonts w:ascii="Book Antiqua" w:eastAsia="Book Antiqua" w:hAnsi="Book Antiqua" w:cs="Book Antiqua"/>
          <w:color w:val="000000" w:themeColor="text1"/>
        </w:rPr>
        <w:lastRenderedPageBreak/>
        <w:t xml:space="preserve">QOL after LR is exceedingly favorable compared to that after PPG and PG; therefore, LR may be an effective treatment option for some early-stage non-ESD applicable gastric cancers. We anticipate the safe introduction of LR against early-stage non-ESD applicable gastric cancers with the accumulation of evidence in the future. </w:t>
      </w:r>
    </w:p>
    <w:p w14:paraId="4624BF68"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Among the MOMs of PGSAS-45, the major differences according to the type of procedure were meal-related distress SS, change in body weight, and dissatisfaction at the meal. Therefore, the effect of gastrectomy on meal-related MOMs was extremely large, and this was considered the most important factor contributing to the reduction of QOL of postoperative patients. Of the seven symptoms SS of PGSAS-45, meal-related distress SS and dumping SS were reported to have the largest influence on QOL, reducing postgastrectomy QOL</w:t>
      </w:r>
      <w:r w:rsidRPr="00D35DBC">
        <w:rPr>
          <w:rFonts w:ascii="Book Antiqua" w:eastAsia="Book Antiqua" w:hAnsi="Book Antiqua" w:cs="Book Antiqua"/>
          <w:color w:val="000000" w:themeColor="text1"/>
          <w:vertAlign w:val="superscript"/>
        </w:rPr>
        <w:t>[16]</w:t>
      </w:r>
      <w:r w:rsidRPr="00D35DBC">
        <w:rPr>
          <w:rFonts w:ascii="Book Antiqua" w:eastAsia="Book Antiqua" w:hAnsi="Book Antiqua" w:cs="Book Antiqua"/>
          <w:color w:val="000000" w:themeColor="text1"/>
        </w:rPr>
        <w:t xml:space="preserve">. Therefore, the procedure should be improved to reduce meal-related distress SS and dumping SS. </w:t>
      </w:r>
    </w:p>
    <w:p w14:paraId="0ACFD9F8" w14:textId="2946EE71"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This study has limitations. First, since the choice of gastrectomy is mainly based on the site and spread of gastric cancer, simultaneously comparing various procedures performed on gastric cancer of different sites has only a little significance on the selection of the type of gastrectomy. However, it is important for surgeons to understand the general aspects of how the site and extent of gastrectomy affect patient’s postoperative QOL. Second, this is a retrospective study, and there is a bias in the number of cases between each surgery. However, the overall analysis was based on a large number of cases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2368), and the progression was relatively early as stage IA/IB. Thus, we believe that the difference in the progression of cancer has little influence on the differences between each procedure and mainly reflects the effect of the procedures.</w:t>
      </w:r>
    </w:p>
    <w:p w14:paraId="62E9A2C2"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815D80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CONCLUSION</w:t>
      </w:r>
    </w:p>
    <w:p w14:paraId="390C449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This study provided an overview of the severity and characteristics of postgastrectomy syndrome in patients who underwent the six main gastrectomy procedures. It also clarified that the postoperative QOL differed greatly depending on the site and extent of gastrectomy. To improve postgastrectomy QOL, it is important for surgeons to understand these matters to select the appropriate procedure, to improve the surgical </w:t>
      </w:r>
      <w:r w:rsidRPr="00D35DBC">
        <w:rPr>
          <w:rFonts w:ascii="Book Antiqua" w:eastAsia="Book Antiqua" w:hAnsi="Book Antiqua" w:cs="Book Antiqua"/>
          <w:color w:val="000000" w:themeColor="text1"/>
        </w:rPr>
        <w:lastRenderedPageBreak/>
        <w:t>technique to compensate for the shortcomings of each procedure, and to enhance postoperative care by providing appropriate dietary guidance and detecting and addressing postgastrectomy syndromes at an early stage.</w:t>
      </w:r>
    </w:p>
    <w:p w14:paraId="26AFADA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CA6530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ARTICLE HIGHLIGHTS</w:t>
      </w:r>
    </w:p>
    <w:p w14:paraId="53CC58E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background</w:t>
      </w:r>
    </w:p>
    <w:p w14:paraId="617BB7E9" w14:textId="20C2B335"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No study has simultaneously assessed the effects of the different gastrectomy procedures used to treat gastric cancer at various sites on the postgastrectomy</w:t>
      </w:r>
      <w:r w:rsidR="000216CE" w:rsidRPr="00D35DBC">
        <w:rPr>
          <w:rFonts w:ascii="Book Antiqua" w:eastAsia="Book Antiqua" w:hAnsi="Book Antiqua" w:cs="Book Antiqua"/>
          <w:color w:val="000000" w:themeColor="text1"/>
        </w:rPr>
        <w:t xml:space="preserve"> quality of life (QOL)</w:t>
      </w:r>
      <w:r w:rsidRPr="00D35DBC">
        <w:rPr>
          <w:rFonts w:ascii="Book Antiqua" w:eastAsia="Book Antiqua" w:hAnsi="Book Antiqua" w:cs="Book Antiqua"/>
          <w:color w:val="000000" w:themeColor="text1"/>
        </w:rPr>
        <w:t>.</w:t>
      </w:r>
    </w:p>
    <w:p w14:paraId="624B5A9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FDFDAE6"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motivation</w:t>
      </w:r>
    </w:p>
    <w:p w14:paraId="49DDADA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It is important for surgeons to understand the general aspects of how the site and extent of gastrectomy affect patient’s postoperative QOL.</w:t>
      </w:r>
    </w:p>
    <w:p w14:paraId="585BC27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341726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objectives</w:t>
      </w:r>
    </w:p>
    <w:p w14:paraId="10CDD0D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The aim of this study was to compare the effects of six main gastrectomy procedures on the postoperative QOL using the Postgastrectomy Syndrome Assessment Scale-45 (PGSAS-45).</w:t>
      </w:r>
    </w:p>
    <w:p w14:paraId="42D10379"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77F041C"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methods</w:t>
      </w:r>
    </w:p>
    <w:p w14:paraId="0ECD8722" w14:textId="3412064B"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2368 patients who underwent either of the six main gastrectomy procedures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total gastrectomy with Roux-en-Y reconstruction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TGRY;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393</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proximal gastrectomy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PG;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193</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distal gastrectomy with Roux-en-Y reconstruction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DGRY;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475</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distal gastrectomy with Billroth-I reconstruction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DGBI;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909</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pylorus-preserving gastrectomy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PPG;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313</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and local resection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LR;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85</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were enrolled in this study. The severity and characteristics of postgastrectomy syndrome were compared among the six gastrectomy procedures by the main outcome measures of PGSAS-45.</w:t>
      </w:r>
    </w:p>
    <w:p w14:paraId="7DC5D879"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A0E91D8"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results</w:t>
      </w:r>
    </w:p>
    <w:p w14:paraId="0BFDD6E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Postoperative QOL was greatly impaired in TGRY and PG, and was excellent in LR. After distal gastrectomy, diarrhea and dumping were less frequent in PPG, and there was no difference between DGBI and DGRY. The most noticeable adverse effects with significant differences among the gastrectomy procedures were meal-related distress SS, dissatisfaction at the meal, and weight loss. </w:t>
      </w:r>
    </w:p>
    <w:p w14:paraId="242AF234"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E9A7FE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conclusions</w:t>
      </w:r>
    </w:p>
    <w:p w14:paraId="2829473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Postoperative QOL greatly differed depending on the site and extent of gastrectomy. </w:t>
      </w:r>
    </w:p>
    <w:p w14:paraId="529DC659"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9CF151C"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perspectives</w:t>
      </w:r>
    </w:p>
    <w:p w14:paraId="68697F4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To improve postgastrectomy QOL, it is important for surgeons to understand these matters to select the appropriate procedure, to improve the surgical technique to compensate for the shortcomings of each procedure, and to enhance postoperative care by providing appropriate dietary guidance and detecting and addressing postgastrectomy syndromes at an early stage. </w:t>
      </w:r>
    </w:p>
    <w:p w14:paraId="3245ACA7"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5FD49E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ACKNOWLEDGEMENTS</w:t>
      </w:r>
    </w:p>
    <w:p w14:paraId="5109D8F8" w14:textId="0267CEA9"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This study was completed by 52 institutions in Japan. The authors thank all physicians who participated in this study and the patients whose cooperation made this study possible.</w:t>
      </w:r>
    </w:p>
    <w:p w14:paraId="01D59410"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99DE7D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REFERENCES</w:t>
      </w:r>
    </w:p>
    <w:p w14:paraId="39D47F53" w14:textId="77777777" w:rsidR="00A77B3E" w:rsidRPr="00D35DBC" w:rsidRDefault="00C1648E" w:rsidP="00D35DBC">
      <w:pPr>
        <w:adjustRightInd w:val="0"/>
        <w:snapToGrid w:val="0"/>
        <w:spacing w:line="360" w:lineRule="auto"/>
        <w:jc w:val="both"/>
        <w:rPr>
          <w:rFonts w:ascii="Book Antiqua" w:hAnsi="Book Antiqua"/>
          <w:color w:val="000000" w:themeColor="text1"/>
        </w:rPr>
      </w:pPr>
      <w:bookmarkStart w:id="5" w:name="OLE_LINK2882"/>
      <w:bookmarkStart w:id="6" w:name="OLE_LINK2883"/>
      <w:r w:rsidRPr="00D35DBC">
        <w:rPr>
          <w:rFonts w:ascii="Book Antiqua" w:eastAsia="Book Antiqua" w:hAnsi="Book Antiqua" w:cs="Book Antiqua"/>
          <w:color w:val="000000" w:themeColor="text1"/>
        </w:rPr>
        <w:t xml:space="preserve">1 </w:t>
      </w:r>
      <w:r w:rsidRPr="00D35DBC">
        <w:rPr>
          <w:rFonts w:ascii="Book Antiqua" w:eastAsia="Book Antiqua" w:hAnsi="Book Antiqua" w:cs="Book Antiqua"/>
          <w:b/>
          <w:bCs/>
          <w:color w:val="000000" w:themeColor="text1"/>
        </w:rPr>
        <w:t>Nashimoto A</w:t>
      </w:r>
      <w:r w:rsidRPr="00D35DBC">
        <w:rPr>
          <w:rFonts w:ascii="Book Antiqua" w:eastAsia="Book Antiqua" w:hAnsi="Book Antiqua" w:cs="Book Antiqua"/>
          <w:color w:val="000000" w:themeColor="text1"/>
        </w:rPr>
        <w:t xml:space="preserve">, Akazawa K, Isobe Y, Miyashiro I, Katai H, Kodera Y, Tsujitani S, Seto Y, Furukawa H, Oda I, Ono H, Tanabe S, Kaminishi M. Gastric cancer treated in 2002 in Japan: 2009 annual report of the JGCA nationwide registry.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2013; </w:t>
      </w:r>
      <w:r w:rsidRPr="00D35DBC">
        <w:rPr>
          <w:rFonts w:ascii="Book Antiqua" w:eastAsia="Book Antiqua" w:hAnsi="Book Antiqua" w:cs="Book Antiqua"/>
          <w:b/>
          <w:bCs/>
          <w:color w:val="000000" w:themeColor="text1"/>
        </w:rPr>
        <w:t>16</w:t>
      </w:r>
      <w:r w:rsidRPr="00D35DBC">
        <w:rPr>
          <w:rFonts w:ascii="Book Antiqua" w:eastAsia="Book Antiqua" w:hAnsi="Book Antiqua" w:cs="Book Antiqua"/>
          <w:color w:val="000000" w:themeColor="text1"/>
        </w:rPr>
        <w:t>: 1-27 [PMID: 22729699 DOI: 10.1007/s10120-012-0163-4]</w:t>
      </w:r>
    </w:p>
    <w:p w14:paraId="2825579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 </w:t>
      </w:r>
      <w:r w:rsidRPr="00D35DBC">
        <w:rPr>
          <w:rFonts w:ascii="Book Antiqua" w:eastAsia="Book Antiqua" w:hAnsi="Book Antiqua" w:cs="Book Antiqua"/>
          <w:b/>
          <w:bCs/>
          <w:color w:val="000000" w:themeColor="text1"/>
        </w:rPr>
        <w:t>Bolton JS</w:t>
      </w:r>
      <w:r w:rsidRPr="00D35DBC">
        <w:rPr>
          <w:rFonts w:ascii="Book Antiqua" w:eastAsia="Book Antiqua" w:hAnsi="Book Antiqua" w:cs="Book Antiqua"/>
          <w:color w:val="000000" w:themeColor="text1"/>
        </w:rPr>
        <w:t xml:space="preserve">, Conway WC 2nd. Postgastrectomy syndromes. </w:t>
      </w:r>
      <w:r w:rsidRPr="00D35DBC">
        <w:rPr>
          <w:rFonts w:ascii="Book Antiqua" w:eastAsia="Book Antiqua" w:hAnsi="Book Antiqua" w:cs="Book Antiqua"/>
          <w:i/>
          <w:iCs/>
          <w:color w:val="000000" w:themeColor="text1"/>
        </w:rPr>
        <w:t>Surg Clin North Am</w:t>
      </w:r>
      <w:r w:rsidRPr="00D35DBC">
        <w:rPr>
          <w:rFonts w:ascii="Book Antiqua" w:eastAsia="Book Antiqua" w:hAnsi="Book Antiqua" w:cs="Book Antiqua"/>
          <w:color w:val="000000" w:themeColor="text1"/>
        </w:rPr>
        <w:t xml:space="preserve"> 2011; </w:t>
      </w:r>
      <w:r w:rsidRPr="00D35DBC">
        <w:rPr>
          <w:rFonts w:ascii="Book Antiqua" w:eastAsia="Book Antiqua" w:hAnsi="Book Antiqua" w:cs="Book Antiqua"/>
          <w:b/>
          <w:bCs/>
          <w:color w:val="000000" w:themeColor="text1"/>
        </w:rPr>
        <w:t>91</w:t>
      </w:r>
      <w:r w:rsidRPr="00D35DBC">
        <w:rPr>
          <w:rFonts w:ascii="Book Antiqua" w:eastAsia="Book Antiqua" w:hAnsi="Book Antiqua" w:cs="Book Antiqua"/>
          <w:color w:val="000000" w:themeColor="text1"/>
        </w:rPr>
        <w:t>: 1105-1122 [PMID: 21889032 DOI: 10.1016/j.suc.2011.07.001]</w:t>
      </w:r>
    </w:p>
    <w:p w14:paraId="3B9D02E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3 </w:t>
      </w:r>
      <w:r w:rsidRPr="00D35DBC">
        <w:rPr>
          <w:rFonts w:ascii="Book Antiqua" w:eastAsia="Book Antiqua" w:hAnsi="Book Antiqua" w:cs="Book Antiqua"/>
          <w:b/>
          <w:bCs/>
          <w:color w:val="000000" w:themeColor="text1"/>
        </w:rPr>
        <w:t>Carvajal SH</w:t>
      </w:r>
      <w:r w:rsidRPr="00D35DBC">
        <w:rPr>
          <w:rFonts w:ascii="Book Antiqua" w:eastAsia="Book Antiqua" w:hAnsi="Book Antiqua" w:cs="Book Antiqua"/>
          <w:color w:val="000000" w:themeColor="text1"/>
        </w:rPr>
        <w:t xml:space="preserve">, Mulvihill SJ. Postgastrectomy syndromes: dumping and diarrhea. </w:t>
      </w:r>
      <w:r w:rsidRPr="00D35DBC">
        <w:rPr>
          <w:rFonts w:ascii="Book Antiqua" w:eastAsia="Book Antiqua" w:hAnsi="Book Antiqua" w:cs="Book Antiqua"/>
          <w:i/>
          <w:iCs/>
          <w:color w:val="000000" w:themeColor="text1"/>
        </w:rPr>
        <w:t>Gastroenterol Clin North Am</w:t>
      </w:r>
      <w:r w:rsidRPr="00D35DBC">
        <w:rPr>
          <w:rFonts w:ascii="Book Antiqua" w:eastAsia="Book Antiqua" w:hAnsi="Book Antiqua" w:cs="Book Antiqua"/>
          <w:color w:val="000000" w:themeColor="text1"/>
        </w:rPr>
        <w:t xml:space="preserve"> 1994; </w:t>
      </w:r>
      <w:r w:rsidRPr="00D35DBC">
        <w:rPr>
          <w:rFonts w:ascii="Book Antiqua" w:eastAsia="Book Antiqua" w:hAnsi="Book Antiqua" w:cs="Book Antiqua"/>
          <w:b/>
          <w:bCs/>
          <w:color w:val="000000" w:themeColor="text1"/>
        </w:rPr>
        <w:t>23</w:t>
      </w:r>
      <w:r w:rsidRPr="00D35DBC">
        <w:rPr>
          <w:rFonts w:ascii="Book Antiqua" w:eastAsia="Book Antiqua" w:hAnsi="Book Antiqua" w:cs="Book Antiqua"/>
          <w:color w:val="000000" w:themeColor="text1"/>
        </w:rPr>
        <w:t>: 261-279 [PMID: 8070912]</w:t>
      </w:r>
    </w:p>
    <w:p w14:paraId="1186599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 </w:t>
      </w:r>
      <w:r w:rsidRPr="00D35DBC">
        <w:rPr>
          <w:rFonts w:ascii="Book Antiqua" w:eastAsia="Book Antiqua" w:hAnsi="Book Antiqua" w:cs="Book Antiqua"/>
          <w:b/>
          <w:bCs/>
          <w:color w:val="000000" w:themeColor="text1"/>
        </w:rPr>
        <w:t>Cooperman AM</w:t>
      </w:r>
      <w:r w:rsidRPr="00D35DBC">
        <w:rPr>
          <w:rFonts w:ascii="Book Antiqua" w:eastAsia="Book Antiqua" w:hAnsi="Book Antiqua" w:cs="Book Antiqua"/>
          <w:color w:val="000000" w:themeColor="text1"/>
        </w:rPr>
        <w:t xml:space="preserve">. Postgastrectomy syndromes. </w:t>
      </w:r>
      <w:r w:rsidRPr="00D35DBC">
        <w:rPr>
          <w:rFonts w:ascii="Book Antiqua" w:eastAsia="Book Antiqua" w:hAnsi="Book Antiqua" w:cs="Book Antiqua"/>
          <w:i/>
          <w:iCs/>
          <w:color w:val="000000" w:themeColor="text1"/>
        </w:rPr>
        <w:t>Surg Annu</w:t>
      </w:r>
      <w:r w:rsidRPr="00D35DBC">
        <w:rPr>
          <w:rFonts w:ascii="Book Antiqua" w:eastAsia="Book Antiqua" w:hAnsi="Book Antiqua" w:cs="Book Antiqua"/>
          <w:color w:val="000000" w:themeColor="text1"/>
        </w:rPr>
        <w:t xml:space="preserve"> 1981; </w:t>
      </w:r>
      <w:r w:rsidRPr="00D35DBC">
        <w:rPr>
          <w:rFonts w:ascii="Book Antiqua" w:eastAsia="Book Antiqua" w:hAnsi="Book Antiqua" w:cs="Book Antiqua"/>
          <w:b/>
          <w:bCs/>
          <w:color w:val="000000" w:themeColor="text1"/>
        </w:rPr>
        <w:t>13</w:t>
      </w:r>
      <w:r w:rsidRPr="00D35DBC">
        <w:rPr>
          <w:rFonts w:ascii="Book Antiqua" w:eastAsia="Book Antiqua" w:hAnsi="Book Antiqua" w:cs="Book Antiqua"/>
          <w:color w:val="000000" w:themeColor="text1"/>
        </w:rPr>
        <w:t>: 139-161 [PMID: 7025276]</w:t>
      </w:r>
    </w:p>
    <w:p w14:paraId="6A27329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5 </w:t>
      </w:r>
      <w:r w:rsidRPr="00D35DBC">
        <w:rPr>
          <w:rFonts w:ascii="Book Antiqua" w:eastAsia="Book Antiqua" w:hAnsi="Book Antiqua" w:cs="Book Antiqua"/>
          <w:b/>
          <w:bCs/>
          <w:color w:val="000000" w:themeColor="text1"/>
        </w:rPr>
        <w:t>Davis JL</w:t>
      </w:r>
      <w:r w:rsidRPr="00D35DBC">
        <w:rPr>
          <w:rFonts w:ascii="Book Antiqua" w:eastAsia="Book Antiqua" w:hAnsi="Book Antiqua" w:cs="Book Antiqua"/>
          <w:color w:val="000000" w:themeColor="text1"/>
        </w:rPr>
        <w:t xml:space="preserve">, Ripley RT. Postgastrectomy Syndromes and Nutritional Considerations Following Gastric Surgery. </w:t>
      </w:r>
      <w:r w:rsidRPr="00D35DBC">
        <w:rPr>
          <w:rFonts w:ascii="Book Antiqua" w:eastAsia="Book Antiqua" w:hAnsi="Book Antiqua" w:cs="Book Antiqua"/>
          <w:i/>
          <w:iCs/>
          <w:color w:val="000000" w:themeColor="text1"/>
        </w:rPr>
        <w:t>Surg Clin North Am</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97</w:t>
      </w:r>
      <w:r w:rsidRPr="00D35DBC">
        <w:rPr>
          <w:rFonts w:ascii="Book Antiqua" w:eastAsia="Book Antiqua" w:hAnsi="Book Antiqua" w:cs="Book Antiqua"/>
          <w:color w:val="000000" w:themeColor="text1"/>
        </w:rPr>
        <w:t>: 277-293 [PMID: 28325187 DOI: 10.1016/j.suc.2016.11.005]</w:t>
      </w:r>
    </w:p>
    <w:p w14:paraId="7CCBE08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6 </w:t>
      </w:r>
      <w:r w:rsidRPr="00D35DBC">
        <w:rPr>
          <w:rFonts w:ascii="Book Antiqua" w:eastAsia="Book Antiqua" w:hAnsi="Book Antiqua" w:cs="Book Antiqua"/>
          <w:b/>
          <w:bCs/>
          <w:color w:val="000000" w:themeColor="text1"/>
        </w:rPr>
        <w:t>Harju E</w:t>
      </w:r>
      <w:r w:rsidRPr="00D35DBC">
        <w:rPr>
          <w:rFonts w:ascii="Book Antiqua" w:eastAsia="Book Antiqua" w:hAnsi="Book Antiqua" w:cs="Book Antiqua"/>
          <w:color w:val="000000" w:themeColor="text1"/>
        </w:rPr>
        <w:t xml:space="preserve">. Metabolic problems after gastric surgery. </w:t>
      </w:r>
      <w:r w:rsidRPr="00D35DBC">
        <w:rPr>
          <w:rFonts w:ascii="Book Antiqua" w:eastAsia="Book Antiqua" w:hAnsi="Book Antiqua" w:cs="Book Antiqua"/>
          <w:i/>
          <w:iCs/>
          <w:color w:val="000000" w:themeColor="text1"/>
        </w:rPr>
        <w:t>Int Surg</w:t>
      </w:r>
      <w:r w:rsidRPr="00D35DBC">
        <w:rPr>
          <w:rFonts w:ascii="Book Antiqua" w:eastAsia="Book Antiqua" w:hAnsi="Book Antiqua" w:cs="Book Antiqua"/>
          <w:color w:val="000000" w:themeColor="text1"/>
        </w:rPr>
        <w:t xml:space="preserve"> 1990; </w:t>
      </w:r>
      <w:r w:rsidRPr="00D35DBC">
        <w:rPr>
          <w:rFonts w:ascii="Book Antiqua" w:eastAsia="Book Antiqua" w:hAnsi="Book Antiqua" w:cs="Book Antiqua"/>
          <w:b/>
          <w:bCs/>
          <w:color w:val="000000" w:themeColor="text1"/>
        </w:rPr>
        <w:t>75</w:t>
      </w:r>
      <w:r w:rsidRPr="00D35DBC">
        <w:rPr>
          <w:rFonts w:ascii="Book Antiqua" w:eastAsia="Book Antiqua" w:hAnsi="Book Antiqua" w:cs="Book Antiqua"/>
          <w:color w:val="000000" w:themeColor="text1"/>
        </w:rPr>
        <w:t>: 27-35 [PMID: 2180835]</w:t>
      </w:r>
    </w:p>
    <w:p w14:paraId="3471A4E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7 </w:t>
      </w:r>
      <w:r w:rsidRPr="00D35DBC">
        <w:rPr>
          <w:rFonts w:ascii="Book Antiqua" w:eastAsia="Book Antiqua" w:hAnsi="Book Antiqua" w:cs="Book Antiqua"/>
          <w:b/>
          <w:bCs/>
          <w:color w:val="000000" w:themeColor="text1"/>
        </w:rPr>
        <w:t>Jay BS</w:t>
      </w:r>
      <w:r w:rsidRPr="00D35DBC">
        <w:rPr>
          <w:rFonts w:ascii="Book Antiqua" w:eastAsia="Book Antiqua" w:hAnsi="Book Antiqua" w:cs="Book Antiqua"/>
          <w:color w:val="000000" w:themeColor="text1"/>
        </w:rPr>
        <w:t xml:space="preserve">, Burrell M. Iatrogenic problems following gastric surgery. </w:t>
      </w:r>
      <w:r w:rsidRPr="00D35DBC">
        <w:rPr>
          <w:rFonts w:ascii="Book Antiqua" w:eastAsia="Book Antiqua" w:hAnsi="Book Antiqua" w:cs="Book Antiqua"/>
          <w:i/>
          <w:iCs/>
          <w:color w:val="000000" w:themeColor="text1"/>
        </w:rPr>
        <w:t>Gastrointest Radiol</w:t>
      </w:r>
      <w:r w:rsidRPr="00D35DBC">
        <w:rPr>
          <w:rFonts w:ascii="Book Antiqua" w:eastAsia="Book Antiqua" w:hAnsi="Book Antiqua" w:cs="Book Antiqua"/>
          <w:color w:val="000000" w:themeColor="text1"/>
        </w:rPr>
        <w:t xml:space="preserve"> 1977; </w:t>
      </w:r>
      <w:r w:rsidRPr="00D35DBC">
        <w:rPr>
          <w:rFonts w:ascii="Book Antiqua" w:eastAsia="Book Antiqua" w:hAnsi="Book Antiqua" w:cs="Book Antiqua"/>
          <w:b/>
          <w:bCs/>
          <w:color w:val="000000" w:themeColor="text1"/>
        </w:rPr>
        <w:t>2</w:t>
      </w:r>
      <w:r w:rsidRPr="00D35DBC">
        <w:rPr>
          <w:rFonts w:ascii="Book Antiqua" w:eastAsia="Book Antiqua" w:hAnsi="Book Antiqua" w:cs="Book Antiqua"/>
          <w:color w:val="000000" w:themeColor="text1"/>
        </w:rPr>
        <w:t>: 239-257 [PMID: 355046 DOI: 10.1007/bf02256501]</w:t>
      </w:r>
    </w:p>
    <w:p w14:paraId="06D060E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8 </w:t>
      </w:r>
      <w:r w:rsidRPr="00D35DBC">
        <w:rPr>
          <w:rFonts w:ascii="Book Antiqua" w:eastAsia="Book Antiqua" w:hAnsi="Book Antiqua" w:cs="Book Antiqua"/>
          <w:b/>
          <w:bCs/>
          <w:color w:val="000000" w:themeColor="text1"/>
        </w:rPr>
        <w:t>Hiki N</w:t>
      </w:r>
      <w:r w:rsidRPr="00D35DBC">
        <w:rPr>
          <w:rFonts w:ascii="Book Antiqua" w:eastAsia="Book Antiqua" w:hAnsi="Book Antiqua" w:cs="Book Antiqua"/>
          <w:color w:val="000000" w:themeColor="text1"/>
        </w:rPr>
        <w:t xml:space="preserve">, Nunobe S, Kubota T, Jiang X. Function-preserving gastrectomy for early gastric cancer. </w:t>
      </w:r>
      <w:r w:rsidRPr="00D35DBC">
        <w:rPr>
          <w:rFonts w:ascii="Book Antiqua" w:eastAsia="Book Antiqua" w:hAnsi="Book Antiqua" w:cs="Book Antiqua"/>
          <w:i/>
          <w:iCs/>
          <w:color w:val="000000" w:themeColor="text1"/>
        </w:rPr>
        <w:t>Ann Surg Oncol</w:t>
      </w:r>
      <w:r w:rsidRPr="00D35DBC">
        <w:rPr>
          <w:rFonts w:ascii="Book Antiqua" w:eastAsia="Book Antiqua" w:hAnsi="Book Antiqua" w:cs="Book Antiqua"/>
          <w:color w:val="000000" w:themeColor="text1"/>
        </w:rPr>
        <w:t xml:space="preserve"> 2013; </w:t>
      </w:r>
      <w:r w:rsidRPr="00D35DBC">
        <w:rPr>
          <w:rFonts w:ascii="Book Antiqua" w:eastAsia="Book Antiqua" w:hAnsi="Book Antiqua" w:cs="Book Antiqua"/>
          <w:b/>
          <w:bCs/>
          <w:color w:val="000000" w:themeColor="text1"/>
        </w:rPr>
        <w:t>20</w:t>
      </w:r>
      <w:r w:rsidRPr="00D35DBC">
        <w:rPr>
          <w:rFonts w:ascii="Book Antiqua" w:eastAsia="Book Antiqua" w:hAnsi="Book Antiqua" w:cs="Book Antiqua"/>
          <w:color w:val="000000" w:themeColor="text1"/>
        </w:rPr>
        <w:t>: 2683-2692 [PMID: 23504120 DOI: 10.1245/s10434-013-2931-8]</w:t>
      </w:r>
    </w:p>
    <w:p w14:paraId="0321503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9 </w:t>
      </w:r>
      <w:r w:rsidRPr="00D35DBC">
        <w:rPr>
          <w:rFonts w:ascii="Book Antiqua" w:eastAsia="Book Antiqua" w:hAnsi="Book Antiqua" w:cs="Book Antiqua"/>
          <w:b/>
          <w:bCs/>
          <w:color w:val="000000" w:themeColor="text1"/>
        </w:rPr>
        <w:t>Katai H</w:t>
      </w:r>
      <w:r w:rsidRPr="00D35DBC">
        <w:rPr>
          <w:rFonts w:ascii="Book Antiqua" w:eastAsia="Book Antiqua" w:hAnsi="Book Antiqua" w:cs="Book Antiqua"/>
          <w:color w:val="000000" w:themeColor="text1"/>
        </w:rPr>
        <w:t xml:space="preserve">. Function-preserving surgery for gastric cancer. </w:t>
      </w:r>
      <w:r w:rsidRPr="00D35DBC">
        <w:rPr>
          <w:rFonts w:ascii="Book Antiqua" w:eastAsia="Book Antiqua" w:hAnsi="Book Antiqua" w:cs="Book Antiqua"/>
          <w:i/>
          <w:iCs/>
          <w:color w:val="000000" w:themeColor="text1"/>
        </w:rPr>
        <w:t>Int J Clin Oncol</w:t>
      </w:r>
      <w:r w:rsidRPr="00D35DBC">
        <w:rPr>
          <w:rFonts w:ascii="Book Antiqua" w:eastAsia="Book Antiqua" w:hAnsi="Book Antiqua" w:cs="Book Antiqua"/>
          <w:color w:val="000000" w:themeColor="text1"/>
        </w:rPr>
        <w:t xml:space="preserve"> 2006; </w:t>
      </w:r>
      <w:r w:rsidRPr="00D35DBC">
        <w:rPr>
          <w:rFonts w:ascii="Book Antiqua" w:eastAsia="Book Antiqua" w:hAnsi="Book Antiqua" w:cs="Book Antiqua"/>
          <w:b/>
          <w:bCs/>
          <w:color w:val="000000" w:themeColor="text1"/>
        </w:rPr>
        <w:t>11</w:t>
      </w:r>
      <w:r w:rsidRPr="00D35DBC">
        <w:rPr>
          <w:rFonts w:ascii="Book Antiqua" w:eastAsia="Book Antiqua" w:hAnsi="Book Antiqua" w:cs="Book Antiqua"/>
          <w:color w:val="000000" w:themeColor="text1"/>
        </w:rPr>
        <w:t>: 357-366 [PMID: 17058133 DOI: 10.1007/s10147-006-0613-2]</w:t>
      </w:r>
    </w:p>
    <w:p w14:paraId="300FE5F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10 </w:t>
      </w:r>
      <w:r w:rsidRPr="00D35DBC">
        <w:rPr>
          <w:rFonts w:ascii="Book Antiqua" w:eastAsia="Book Antiqua" w:hAnsi="Book Antiqua" w:cs="Book Antiqua"/>
          <w:b/>
          <w:bCs/>
          <w:color w:val="000000" w:themeColor="text1"/>
        </w:rPr>
        <w:t>Nunobe S</w:t>
      </w:r>
      <w:r w:rsidRPr="00D35DBC">
        <w:rPr>
          <w:rFonts w:ascii="Book Antiqua" w:eastAsia="Book Antiqua" w:hAnsi="Book Antiqua" w:cs="Book Antiqua"/>
          <w:color w:val="000000" w:themeColor="text1"/>
        </w:rPr>
        <w:t xml:space="preserve">, Hiki N. Function-preserving surgery for gastric cancer: current status and future perspectives. </w:t>
      </w:r>
      <w:r w:rsidRPr="00D35DBC">
        <w:rPr>
          <w:rFonts w:ascii="Book Antiqua" w:eastAsia="Book Antiqua" w:hAnsi="Book Antiqua" w:cs="Book Antiqua"/>
          <w:i/>
          <w:iCs/>
          <w:color w:val="000000" w:themeColor="text1"/>
        </w:rPr>
        <w:t>Transl Gastroenterol Hepatol</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w:t>
      </w:r>
      <w:r w:rsidRPr="00D35DBC">
        <w:rPr>
          <w:rFonts w:ascii="Book Antiqua" w:eastAsia="Book Antiqua" w:hAnsi="Book Antiqua" w:cs="Book Antiqua"/>
          <w:color w:val="000000" w:themeColor="text1"/>
        </w:rPr>
        <w:t>: 77 [PMID: 29034350 DOI: 10.21037/tgh.2017.09.07]</w:t>
      </w:r>
    </w:p>
    <w:p w14:paraId="6CF6ECB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11 </w:t>
      </w:r>
      <w:r w:rsidRPr="00D35DBC">
        <w:rPr>
          <w:rFonts w:ascii="Book Antiqua" w:eastAsia="Book Antiqua" w:hAnsi="Book Antiqua" w:cs="Book Antiqua"/>
          <w:b/>
          <w:bCs/>
          <w:color w:val="000000" w:themeColor="text1"/>
        </w:rPr>
        <w:t>Seto Y</w:t>
      </w:r>
      <w:r w:rsidRPr="00D35DBC">
        <w:rPr>
          <w:rFonts w:ascii="Book Antiqua" w:eastAsia="Book Antiqua" w:hAnsi="Book Antiqua" w:cs="Book Antiqua"/>
          <w:color w:val="000000" w:themeColor="text1"/>
        </w:rPr>
        <w:t xml:space="preserve">, Yamaguchi H, Shimoyama S, Shimizu N, Aoki F, Kaminishi M. Results of local resection with regional lymphadenectomy for early gastric cancer. </w:t>
      </w:r>
      <w:r w:rsidRPr="00D35DBC">
        <w:rPr>
          <w:rFonts w:ascii="Book Antiqua" w:eastAsia="Book Antiqua" w:hAnsi="Book Antiqua" w:cs="Book Antiqua"/>
          <w:i/>
          <w:iCs/>
          <w:color w:val="000000" w:themeColor="text1"/>
        </w:rPr>
        <w:t>Am J Surg</w:t>
      </w:r>
      <w:r w:rsidRPr="00D35DBC">
        <w:rPr>
          <w:rFonts w:ascii="Book Antiqua" w:eastAsia="Book Antiqua" w:hAnsi="Book Antiqua" w:cs="Book Antiqua"/>
          <w:color w:val="000000" w:themeColor="text1"/>
        </w:rPr>
        <w:t xml:space="preserve"> 2001; </w:t>
      </w:r>
      <w:r w:rsidRPr="00D35DBC">
        <w:rPr>
          <w:rFonts w:ascii="Book Antiqua" w:eastAsia="Book Antiqua" w:hAnsi="Book Antiqua" w:cs="Book Antiqua"/>
          <w:b/>
          <w:bCs/>
          <w:color w:val="000000" w:themeColor="text1"/>
        </w:rPr>
        <w:t>182</w:t>
      </w:r>
      <w:r w:rsidRPr="00D35DBC">
        <w:rPr>
          <w:rFonts w:ascii="Book Antiqua" w:eastAsia="Book Antiqua" w:hAnsi="Book Antiqua" w:cs="Book Antiqua"/>
          <w:color w:val="000000" w:themeColor="text1"/>
        </w:rPr>
        <w:t>: 498-501 [PMID: 11754858 DOI: 10.1016/s0002-9610(01)00747-4]</w:t>
      </w:r>
    </w:p>
    <w:p w14:paraId="57E4C04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12 </w:t>
      </w:r>
      <w:r w:rsidRPr="00D35DBC">
        <w:rPr>
          <w:rFonts w:ascii="Book Antiqua" w:eastAsia="Book Antiqua" w:hAnsi="Book Antiqua" w:cs="Book Antiqua"/>
          <w:b/>
          <w:bCs/>
          <w:color w:val="000000" w:themeColor="text1"/>
        </w:rPr>
        <w:t>Nakada K</w:t>
      </w:r>
      <w:r w:rsidRPr="00D35DBC">
        <w:rPr>
          <w:rFonts w:ascii="Book Antiqua" w:eastAsia="Book Antiqua" w:hAnsi="Book Antiqua" w:cs="Book Antiqua"/>
          <w:color w:val="000000" w:themeColor="text1"/>
        </w:rPr>
        <w:t xml:space="preserve">, Ikeda M, Takahashi M, Kinami S, Yoshida M, Uenosono Y, Kawashima Y, Oshio A, Suzukamo Y, Terashima M, Kodera Y. Characteristics and clinical relevance of postgastrectomy syndrome assessment scale (PGSAS)-45: newly developed integrated questionnaires for assessment of living status and quality of life in postgastrectomy patients.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2015; </w:t>
      </w:r>
      <w:r w:rsidRPr="00D35DBC">
        <w:rPr>
          <w:rFonts w:ascii="Book Antiqua" w:eastAsia="Book Antiqua" w:hAnsi="Book Antiqua" w:cs="Book Antiqua"/>
          <w:b/>
          <w:bCs/>
          <w:color w:val="000000" w:themeColor="text1"/>
        </w:rPr>
        <w:t>18</w:t>
      </w:r>
      <w:r w:rsidRPr="00D35DBC">
        <w:rPr>
          <w:rFonts w:ascii="Book Antiqua" w:eastAsia="Book Antiqua" w:hAnsi="Book Antiqua" w:cs="Book Antiqua"/>
          <w:color w:val="000000" w:themeColor="text1"/>
        </w:rPr>
        <w:t>: 147-158 [PMID: 24515247 DOI: 10.1007/s10120-014-0344-4]</w:t>
      </w:r>
    </w:p>
    <w:p w14:paraId="7DB0ADC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13 </w:t>
      </w:r>
      <w:r w:rsidRPr="00D35DBC">
        <w:rPr>
          <w:rFonts w:ascii="Book Antiqua" w:eastAsia="Book Antiqua" w:hAnsi="Book Antiqua" w:cs="Book Antiqua"/>
          <w:b/>
          <w:bCs/>
          <w:color w:val="000000" w:themeColor="text1"/>
        </w:rPr>
        <w:t>Fujita J</w:t>
      </w:r>
      <w:r w:rsidRPr="00D35DBC">
        <w:rPr>
          <w:rFonts w:ascii="Book Antiqua" w:eastAsia="Book Antiqua" w:hAnsi="Book Antiqua" w:cs="Book Antiqua"/>
          <w:color w:val="000000" w:themeColor="text1"/>
        </w:rPr>
        <w:t xml:space="preserve">, Takahashi M, Urushihara T, Tanabe K, Kodera Y, Yumiba T, Matsumoto H, Takagane A, Kunisaki C, Nakada K. Assessment of postoperative quality of life following pylorus-preserving gastrectomy and Billroth-I distal gastrectomy in gastric cancer patients: results of the nationwide postgastrectomy syndrome assessment study.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2016; </w:t>
      </w:r>
      <w:r w:rsidRPr="00D35DBC">
        <w:rPr>
          <w:rFonts w:ascii="Book Antiqua" w:eastAsia="Book Antiqua" w:hAnsi="Book Antiqua" w:cs="Book Antiqua"/>
          <w:b/>
          <w:bCs/>
          <w:color w:val="000000" w:themeColor="text1"/>
        </w:rPr>
        <w:t>19</w:t>
      </w:r>
      <w:r w:rsidRPr="00D35DBC">
        <w:rPr>
          <w:rFonts w:ascii="Book Antiqua" w:eastAsia="Book Antiqua" w:hAnsi="Book Antiqua" w:cs="Book Antiqua"/>
          <w:color w:val="000000" w:themeColor="text1"/>
        </w:rPr>
        <w:t>: 302-311 [PMID: 25637175 DOI: 10.1007/s10120-015-0460-9]</w:t>
      </w:r>
    </w:p>
    <w:p w14:paraId="7E0739D3" w14:textId="4C1D9992"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14 </w:t>
      </w:r>
      <w:r w:rsidRPr="00D35DBC">
        <w:rPr>
          <w:rFonts w:ascii="Book Antiqua" w:eastAsia="Book Antiqua" w:hAnsi="Book Antiqua" w:cs="Book Antiqua"/>
          <w:b/>
          <w:bCs/>
          <w:color w:val="000000" w:themeColor="text1"/>
        </w:rPr>
        <w:t>Hosoda K</w:t>
      </w:r>
      <w:r w:rsidRPr="00D35DBC">
        <w:rPr>
          <w:rFonts w:ascii="Book Antiqua" w:eastAsia="Book Antiqua" w:hAnsi="Book Antiqua" w:cs="Book Antiqua"/>
          <w:color w:val="000000" w:themeColor="text1"/>
        </w:rPr>
        <w:t xml:space="preserve">, Yamashita K, Sakuramoto S, Katada N, Moriya H, Mieno H, Watanabe M. Postoperative quality of life after laparoscopy-assisted pylorus-preserving gastrectomy compared </w:t>
      </w:r>
      <w:r w:rsidR="009D1D46" w:rsidRPr="00D35DBC">
        <w:rPr>
          <w:rFonts w:ascii="Book Antiqua" w:eastAsia="Book Antiqua" w:hAnsi="Book Antiqua" w:cs="Book Antiqua"/>
          <w:color w:val="000000" w:themeColor="text1"/>
        </w:rPr>
        <w:t>w</w:t>
      </w:r>
      <w:r w:rsidRPr="00D35DBC">
        <w:rPr>
          <w:rFonts w:ascii="Book Antiqua" w:eastAsia="Book Antiqua" w:hAnsi="Book Antiqua" w:cs="Book Antiqua"/>
          <w:color w:val="000000" w:themeColor="text1"/>
        </w:rPr>
        <w:t xml:space="preserve">ith laparoscopy-assisted distal gastrectomy: A cross-sectional postal questionnaire survey. </w:t>
      </w:r>
      <w:r w:rsidRPr="00D35DBC">
        <w:rPr>
          <w:rFonts w:ascii="Book Antiqua" w:eastAsia="Book Antiqua" w:hAnsi="Book Antiqua" w:cs="Book Antiqua"/>
          <w:i/>
          <w:iCs/>
          <w:color w:val="000000" w:themeColor="text1"/>
        </w:rPr>
        <w:t>Am J Surg</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213</w:t>
      </w:r>
      <w:r w:rsidRPr="00D35DBC">
        <w:rPr>
          <w:rFonts w:ascii="Book Antiqua" w:eastAsia="Book Antiqua" w:hAnsi="Book Antiqua" w:cs="Book Antiqua"/>
          <w:color w:val="000000" w:themeColor="text1"/>
        </w:rPr>
        <w:t>: 763-770 [PMID: 27751530 DOI: 10.1016/j.amjsurg.2016.09.041]</w:t>
      </w:r>
    </w:p>
    <w:p w14:paraId="76425D2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15 </w:t>
      </w:r>
      <w:r w:rsidRPr="00D35DBC">
        <w:rPr>
          <w:rFonts w:ascii="Book Antiqua" w:eastAsia="Book Antiqua" w:hAnsi="Book Antiqua" w:cs="Book Antiqua"/>
          <w:b/>
          <w:bCs/>
          <w:color w:val="000000" w:themeColor="text1"/>
        </w:rPr>
        <w:t>Isozaki H</w:t>
      </w:r>
      <w:r w:rsidRPr="00D35DBC">
        <w:rPr>
          <w:rFonts w:ascii="Book Antiqua" w:eastAsia="Book Antiqua" w:hAnsi="Book Antiqua" w:cs="Book Antiqua"/>
          <w:color w:val="000000" w:themeColor="text1"/>
        </w:rPr>
        <w:t xml:space="preserve">, Matsumoto S, Murakami S, Takama T, Sho T, Ishihara K, Sakai K, Takeda M, Nakada K, Fujiwara T. Diminished Gastric Resection Preserves Better Quality of Life in Patients with Early Gastric Cancer. </w:t>
      </w:r>
      <w:r w:rsidRPr="00D35DBC">
        <w:rPr>
          <w:rFonts w:ascii="Book Antiqua" w:eastAsia="Book Antiqua" w:hAnsi="Book Antiqua" w:cs="Book Antiqua"/>
          <w:i/>
          <w:iCs/>
          <w:color w:val="000000" w:themeColor="text1"/>
        </w:rPr>
        <w:t>Acta Med Okayama</w:t>
      </w:r>
      <w:r w:rsidRPr="00D35DBC">
        <w:rPr>
          <w:rFonts w:ascii="Book Antiqua" w:eastAsia="Book Antiqua" w:hAnsi="Book Antiqua" w:cs="Book Antiqua"/>
          <w:color w:val="000000" w:themeColor="text1"/>
        </w:rPr>
        <w:t xml:space="preserve"> 2016; </w:t>
      </w:r>
      <w:r w:rsidRPr="00D35DBC">
        <w:rPr>
          <w:rFonts w:ascii="Book Antiqua" w:eastAsia="Book Antiqua" w:hAnsi="Book Antiqua" w:cs="Book Antiqua"/>
          <w:b/>
          <w:bCs/>
          <w:color w:val="000000" w:themeColor="text1"/>
        </w:rPr>
        <w:t>70</w:t>
      </w:r>
      <w:r w:rsidRPr="00D35DBC">
        <w:rPr>
          <w:rFonts w:ascii="Book Antiqua" w:eastAsia="Book Antiqua" w:hAnsi="Book Antiqua" w:cs="Book Antiqua"/>
          <w:color w:val="000000" w:themeColor="text1"/>
        </w:rPr>
        <w:t>: 119-130 [PMID: 27094837 DOI: 10.18926/amo/54191]</w:t>
      </w:r>
    </w:p>
    <w:p w14:paraId="6AFC3A4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16 </w:t>
      </w:r>
      <w:r w:rsidRPr="00D35DBC">
        <w:rPr>
          <w:rFonts w:ascii="Book Antiqua" w:eastAsia="Book Antiqua" w:hAnsi="Book Antiqua" w:cs="Book Antiqua"/>
          <w:b/>
          <w:bCs/>
          <w:color w:val="000000" w:themeColor="text1"/>
        </w:rPr>
        <w:t>Nakada K</w:t>
      </w:r>
      <w:r w:rsidRPr="00D35DBC">
        <w:rPr>
          <w:rFonts w:ascii="Book Antiqua" w:eastAsia="Book Antiqua" w:hAnsi="Book Antiqua" w:cs="Book Antiqua"/>
          <w:color w:val="000000" w:themeColor="text1"/>
        </w:rPr>
        <w:t xml:space="preserve">, Takahashi M, Ikeda M, Kinami S, Yoshida M, Uenosono Y, Kawashima Y, Nakao S, Oshio A, Suzukamo Y, Terashima M, Kodera Y. Factors affecting the quality of life of patients after gastrectomy as assessed using the newly developed PGSAS-45 scale: A nationwide multi-institutional study. </w:t>
      </w:r>
      <w:r w:rsidRPr="00D35DBC">
        <w:rPr>
          <w:rFonts w:ascii="Book Antiqua" w:eastAsia="Book Antiqua" w:hAnsi="Book Antiqua" w:cs="Book Antiqua"/>
          <w:i/>
          <w:iCs/>
          <w:color w:val="000000" w:themeColor="text1"/>
        </w:rPr>
        <w:t>World J Gastroenterol</w:t>
      </w:r>
      <w:r w:rsidRPr="00D35DBC">
        <w:rPr>
          <w:rFonts w:ascii="Book Antiqua" w:eastAsia="Book Antiqua" w:hAnsi="Book Antiqua" w:cs="Book Antiqua"/>
          <w:color w:val="000000" w:themeColor="text1"/>
        </w:rPr>
        <w:t xml:space="preserve"> 2016; </w:t>
      </w:r>
      <w:r w:rsidRPr="00D35DBC">
        <w:rPr>
          <w:rFonts w:ascii="Book Antiqua" w:eastAsia="Book Antiqua" w:hAnsi="Book Antiqua" w:cs="Book Antiqua"/>
          <w:b/>
          <w:bCs/>
          <w:color w:val="000000" w:themeColor="text1"/>
        </w:rPr>
        <w:t>22</w:t>
      </w:r>
      <w:r w:rsidRPr="00D35DBC">
        <w:rPr>
          <w:rFonts w:ascii="Book Antiqua" w:eastAsia="Book Antiqua" w:hAnsi="Book Antiqua" w:cs="Book Antiqua"/>
          <w:color w:val="000000" w:themeColor="text1"/>
        </w:rPr>
        <w:t>: 8978-8990 [PMID: 27833389 DOI: 10.3748/wjg.v22.i40.8978]</w:t>
      </w:r>
    </w:p>
    <w:p w14:paraId="69543D3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17 </w:t>
      </w:r>
      <w:r w:rsidRPr="00D35DBC">
        <w:rPr>
          <w:rFonts w:ascii="Book Antiqua" w:eastAsia="Book Antiqua" w:hAnsi="Book Antiqua" w:cs="Book Antiqua"/>
          <w:b/>
          <w:bCs/>
          <w:color w:val="000000" w:themeColor="text1"/>
        </w:rPr>
        <w:t>Nishigori T</w:t>
      </w:r>
      <w:r w:rsidRPr="00D35DBC">
        <w:rPr>
          <w:rFonts w:ascii="Book Antiqua" w:eastAsia="Book Antiqua" w:hAnsi="Book Antiqua" w:cs="Book Antiqua"/>
          <w:color w:val="000000" w:themeColor="text1"/>
        </w:rPr>
        <w:t xml:space="preserve">, Okabe H, Tsunoda S, Shinohara H, Obama K, Hosogi H, Hisamori S, Miyazaki K, Nakayama T, Sakai Y. Superiority of laparoscopic proximal gastrectomy with hand-sewn esophagogastrostomy over total gastrectomy in improving postoperative body weight loss and quality of life. </w:t>
      </w:r>
      <w:r w:rsidRPr="00D35DBC">
        <w:rPr>
          <w:rFonts w:ascii="Book Antiqua" w:eastAsia="Book Antiqua" w:hAnsi="Book Antiqua" w:cs="Book Antiqua"/>
          <w:i/>
          <w:iCs/>
          <w:color w:val="000000" w:themeColor="text1"/>
        </w:rPr>
        <w:t>Surg Endosc</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31</w:t>
      </w:r>
      <w:r w:rsidRPr="00D35DBC">
        <w:rPr>
          <w:rFonts w:ascii="Book Antiqua" w:eastAsia="Book Antiqua" w:hAnsi="Book Antiqua" w:cs="Book Antiqua"/>
          <w:color w:val="000000" w:themeColor="text1"/>
        </w:rPr>
        <w:t>: 3664-3672 [PMID: 28078458 DOI: 10.1007/s00464-016-5403-y]</w:t>
      </w:r>
    </w:p>
    <w:p w14:paraId="5FBD19D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18 </w:t>
      </w:r>
      <w:r w:rsidRPr="00D35DBC">
        <w:rPr>
          <w:rFonts w:ascii="Book Antiqua" w:eastAsia="Book Antiqua" w:hAnsi="Book Antiqua" w:cs="Book Antiqua"/>
          <w:b/>
          <w:bCs/>
          <w:color w:val="000000" w:themeColor="text1"/>
        </w:rPr>
        <w:t>Takahashi M</w:t>
      </w:r>
      <w:r w:rsidRPr="00D35DBC">
        <w:rPr>
          <w:rFonts w:ascii="Book Antiqua" w:eastAsia="Book Antiqua" w:hAnsi="Book Antiqua" w:cs="Book Antiqua"/>
          <w:color w:val="000000" w:themeColor="text1"/>
        </w:rPr>
        <w:t xml:space="preserve">, Terashima M, Kawahira H, Nagai E, Uenosono Y, Kinami S, Nagata Y, Yoshida M, Aoyagi K, Kodera Y, Nakada K. Quality of life after total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distal gastrectomy with Roux-en-Y reconstruction: Use of the Postgastrectomy Syndrome Assessment Scale-45. </w:t>
      </w:r>
      <w:r w:rsidRPr="00D35DBC">
        <w:rPr>
          <w:rFonts w:ascii="Book Antiqua" w:eastAsia="Book Antiqua" w:hAnsi="Book Antiqua" w:cs="Book Antiqua"/>
          <w:i/>
          <w:iCs/>
          <w:color w:val="000000" w:themeColor="text1"/>
        </w:rPr>
        <w:t>World J Gastroenterol</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23</w:t>
      </w:r>
      <w:r w:rsidRPr="00D35DBC">
        <w:rPr>
          <w:rFonts w:ascii="Book Antiqua" w:eastAsia="Book Antiqua" w:hAnsi="Book Antiqua" w:cs="Book Antiqua"/>
          <w:color w:val="000000" w:themeColor="text1"/>
        </w:rPr>
        <w:t>: 2068-2076 [PMID: 28373774 DOI: 10.3748/wjg.v23.i11.2068]</w:t>
      </w:r>
    </w:p>
    <w:p w14:paraId="7495CD3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19 </w:t>
      </w:r>
      <w:r w:rsidRPr="00D35DBC">
        <w:rPr>
          <w:rFonts w:ascii="Book Antiqua" w:eastAsia="Book Antiqua" w:hAnsi="Book Antiqua" w:cs="Book Antiqua"/>
          <w:b/>
          <w:bCs/>
          <w:color w:val="000000" w:themeColor="text1"/>
        </w:rPr>
        <w:t>Takiguchi N</w:t>
      </w:r>
      <w:r w:rsidRPr="00D35DBC">
        <w:rPr>
          <w:rFonts w:ascii="Book Antiqua" w:eastAsia="Book Antiqua" w:hAnsi="Book Antiqua" w:cs="Book Antiqua"/>
          <w:color w:val="000000" w:themeColor="text1"/>
        </w:rPr>
        <w:t xml:space="preserve">, Takahashi M, Ikeda M, Inagawa S, Ueda S, Nobuoka T, Ota M, Iwasaki Y, Uchida N, Kodera Y, Nakada K. Long-term quality-of-life comparison of total gastrectomy and proximal gastrectomy by postgastrectomy syndrome assessment scale (PGSAS-45): a nationwide multi-institutional study.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2015; </w:t>
      </w:r>
      <w:r w:rsidRPr="00D35DBC">
        <w:rPr>
          <w:rFonts w:ascii="Book Antiqua" w:eastAsia="Book Antiqua" w:hAnsi="Book Antiqua" w:cs="Book Antiqua"/>
          <w:b/>
          <w:bCs/>
          <w:color w:val="000000" w:themeColor="text1"/>
        </w:rPr>
        <w:t>18</w:t>
      </w:r>
      <w:r w:rsidRPr="00D35DBC">
        <w:rPr>
          <w:rFonts w:ascii="Book Antiqua" w:eastAsia="Book Antiqua" w:hAnsi="Book Antiqua" w:cs="Book Antiqua"/>
          <w:color w:val="000000" w:themeColor="text1"/>
        </w:rPr>
        <w:t>: 407-416 [PMID: 24801198 DOI: 10.1007/s10120-014-0377-8]</w:t>
      </w:r>
    </w:p>
    <w:p w14:paraId="31EE649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20 </w:t>
      </w:r>
      <w:r w:rsidRPr="00D35DBC">
        <w:rPr>
          <w:rFonts w:ascii="Book Antiqua" w:eastAsia="Book Antiqua" w:hAnsi="Book Antiqua" w:cs="Book Antiqua"/>
          <w:b/>
          <w:bCs/>
          <w:color w:val="000000" w:themeColor="text1"/>
        </w:rPr>
        <w:t>Terashima M</w:t>
      </w:r>
      <w:r w:rsidRPr="00D35DBC">
        <w:rPr>
          <w:rFonts w:ascii="Book Antiqua" w:eastAsia="Book Antiqua" w:hAnsi="Book Antiqua" w:cs="Book Antiqua"/>
          <w:color w:val="000000" w:themeColor="text1"/>
        </w:rPr>
        <w:t xml:space="preserve">, Tanabe K, Yoshida M, Kawahira H, Inada T, Okabe H, Urushihara T, Kawashima Y, Fukushima N, Nakada K. Postgastrectomy Syndrome Assessment Scale (PGSAS)-45 and changes in body weight are useful tools for evaluation of reconstruction methods following distal gastrectomy. </w:t>
      </w:r>
      <w:r w:rsidRPr="00D35DBC">
        <w:rPr>
          <w:rFonts w:ascii="Book Antiqua" w:eastAsia="Book Antiqua" w:hAnsi="Book Antiqua" w:cs="Book Antiqua"/>
          <w:i/>
          <w:iCs/>
          <w:color w:val="000000" w:themeColor="text1"/>
        </w:rPr>
        <w:t>Ann Surg Oncol</w:t>
      </w:r>
      <w:r w:rsidRPr="00D35DBC">
        <w:rPr>
          <w:rFonts w:ascii="Book Antiqua" w:eastAsia="Book Antiqua" w:hAnsi="Book Antiqua" w:cs="Book Antiqua"/>
          <w:color w:val="000000" w:themeColor="text1"/>
        </w:rPr>
        <w:t xml:space="preserve"> 2014; </w:t>
      </w:r>
      <w:r w:rsidRPr="00D35DBC">
        <w:rPr>
          <w:rFonts w:ascii="Book Antiqua" w:eastAsia="Book Antiqua" w:hAnsi="Book Antiqua" w:cs="Book Antiqua"/>
          <w:b/>
          <w:bCs/>
          <w:color w:val="000000" w:themeColor="text1"/>
        </w:rPr>
        <w:t xml:space="preserve">21 </w:t>
      </w:r>
      <w:r w:rsidRPr="00D35DBC">
        <w:rPr>
          <w:rFonts w:ascii="Book Antiqua" w:eastAsia="Book Antiqua" w:hAnsi="Book Antiqua" w:cs="Book Antiqua"/>
          <w:color w:val="000000" w:themeColor="text1"/>
        </w:rPr>
        <w:t>Suppl 3: S370-S378 [PMID: 24590434 DOI: 10.1245/s10434-014-3583-z]</w:t>
      </w:r>
    </w:p>
    <w:p w14:paraId="2196A65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21 </w:t>
      </w:r>
      <w:r w:rsidRPr="00D35DBC">
        <w:rPr>
          <w:rFonts w:ascii="Book Antiqua" w:eastAsia="Book Antiqua" w:hAnsi="Book Antiqua" w:cs="Book Antiqua"/>
          <w:b/>
          <w:bCs/>
          <w:color w:val="000000" w:themeColor="text1"/>
        </w:rPr>
        <w:t>Turner-Bowker DM</w:t>
      </w:r>
      <w:r w:rsidRPr="00D35DBC">
        <w:rPr>
          <w:rFonts w:ascii="Book Antiqua" w:eastAsia="Book Antiqua" w:hAnsi="Book Antiqua" w:cs="Book Antiqua"/>
          <w:color w:val="000000" w:themeColor="text1"/>
        </w:rPr>
        <w:t xml:space="preserve">, Bayliss MS, Ware JE Jr, Kosinski M. Usefulness of the SF-8 Health Survey for comparing the impact of migraine and other conditions. </w:t>
      </w:r>
      <w:r w:rsidRPr="00D35DBC">
        <w:rPr>
          <w:rFonts w:ascii="Book Antiqua" w:eastAsia="Book Antiqua" w:hAnsi="Book Antiqua" w:cs="Book Antiqua"/>
          <w:i/>
          <w:iCs/>
          <w:color w:val="000000" w:themeColor="text1"/>
        </w:rPr>
        <w:t>Qual Life Res</w:t>
      </w:r>
      <w:r w:rsidRPr="00D35DBC">
        <w:rPr>
          <w:rFonts w:ascii="Book Antiqua" w:eastAsia="Book Antiqua" w:hAnsi="Book Antiqua" w:cs="Book Antiqua"/>
          <w:color w:val="000000" w:themeColor="text1"/>
        </w:rPr>
        <w:t xml:space="preserve"> 2003; </w:t>
      </w:r>
      <w:r w:rsidRPr="00D35DBC">
        <w:rPr>
          <w:rFonts w:ascii="Book Antiqua" w:eastAsia="Book Antiqua" w:hAnsi="Book Antiqua" w:cs="Book Antiqua"/>
          <w:b/>
          <w:bCs/>
          <w:color w:val="000000" w:themeColor="text1"/>
        </w:rPr>
        <w:t>12</w:t>
      </w:r>
      <w:r w:rsidRPr="00D35DBC">
        <w:rPr>
          <w:rFonts w:ascii="Book Antiqua" w:eastAsia="Book Antiqua" w:hAnsi="Book Antiqua" w:cs="Book Antiqua"/>
          <w:color w:val="000000" w:themeColor="text1"/>
        </w:rPr>
        <w:t>: 1003-1012 [PMID: 14651418 DOI: 10.1023/a:1026179517081]</w:t>
      </w:r>
    </w:p>
    <w:p w14:paraId="2B78202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22 </w:t>
      </w:r>
      <w:r w:rsidRPr="00D35DBC">
        <w:rPr>
          <w:rFonts w:ascii="Book Antiqua" w:eastAsia="Book Antiqua" w:hAnsi="Book Antiqua" w:cs="Book Antiqua"/>
          <w:b/>
          <w:bCs/>
          <w:color w:val="000000" w:themeColor="text1"/>
        </w:rPr>
        <w:t>Revicki DA</w:t>
      </w:r>
      <w:r w:rsidRPr="00D35DBC">
        <w:rPr>
          <w:rFonts w:ascii="Book Antiqua" w:eastAsia="Book Antiqua" w:hAnsi="Book Antiqua" w:cs="Book Antiqua"/>
          <w:color w:val="000000" w:themeColor="text1"/>
        </w:rPr>
        <w:t xml:space="preserve">, Wood M, Wiklund I, Crawley J. Reliability and validity of the Gastrointestinal Symptom Rating Scale in patients with gastroesophageal reflux disease. </w:t>
      </w:r>
      <w:r w:rsidRPr="00D35DBC">
        <w:rPr>
          <w:rFonts w:ascii="Book Antiqua" w:eastAsia="Book Antiqua" w:hAnsi="Book Antiqua" w:cs="Book Antiqua"/>
          <w:i/>
          <w:iCs/>
          <w:color w:val="000000" w:themeColor="text1"/>
        </w:rPr>
        <w:t>Qual Life Res</w:t>
      </w:r>
      <w:r w:rsidRPr="00D35DBC">
        <w:rPr>
          <w:rFonts w:ascii="Book Antiqua" w:eastAsia="Book Antiqua" w:hAnsi="Book Antiqua" w:cs="Book Antiqua"/>
          <w:color w:val="000000" w:themeColor="text1"/>
        </w:rPr>
        <w:t xml:space="preserve"> 1998; </w:t>
      </w:r>
      <w:r w:rsidRPr="00D35DBC">
        <w:rPr>
          <w:rFonts w:ascii="Book Antiqua" w:eastAsia="Book Antiqua" w:hAnsi="Book Antiqua" w:cs="Book Antiqua"/>
          <w:b/>
          <w:bCs/>
          <w:color w:val="000000" w:themeColor="text1"/>
        </w:rPr>
        <w:t>7</w:t>
      </w:r>
      <w:r w:rsidRPr="00D35DBC">
        <w:rPr>
          <w:rFonts w:ascii="Book Antiqua" w:eastAsia="Book Antiqua" w:hAnsi="Book Antiqua" w:cs="Book Antiqua"/>
          <w:color w:val="000000" w:themeColor="text1"/>
        </w:rPr>
        <w:t>: 75-83 [PMID: 9481153 DOI: 10.1023/a:1008841022998]</w:t>
      </w:r>
    </w:p>
    <w:p w14:paraId="3A75B1F6"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23 </w:t>
      </w:r>
      <w:r w:rsidRPr="00D35DBC">
        <w:rPr>
          <w:rFonts w:ascii="Book Antiqua" w:eastAsia="Book Antiqua" w:hAnsi="Book Antiqua" w:cs="Book Antiqua"/>
          <w:b/>
          <w:bCs/>
          <w:color w:val="000000" w:themeColor="text1"/>
        </w:rPr>
        <w:t>Svedlund J</w:t>
      </w:r>
      <w:r w:rsidRPr="00D35DBC">
        <w:rPr>
          <w:rFonts w:ascii="Book Antiqua" w:eastAsia="Book Antiqua" w:hAnsi="Book Antiqua" w:cs="Book Antiqua"/>
          <w:color w:val="000000" w:themeColor="text1"/>
        </w:rPr>
        <w:t xml:space="preserve">, Sjödin I, Dotevall G. GSRS--a clinical rating scale for gastrointestinal symptoms in patients with irritable bowel syndrome and peptic ulcer disease. </w:t>
      </w:r>
      <w:r w:rsidRPr="00D35DBC">
        <w:rPr>
          <w:rFonts w:ascii="Book Antiqua" w:eastAsia="Book Antiqua" w:hAnsi="Book Antiqua" w:cs="Book Antiqua"/>
          <w:i/>
          <w:iCs/>
          <w:color w:val="000000" w:themeColor="text1"/>
        </w:rPr>
        <w:t>Dig Dis Sci</w:t>
      </w:r>
      <w:r w:rsidRPr="00D35DBC">
        <w:rPr>
          <w:rFonts w:ascii="Book Antiqua" w:eastAsia="Book Antiqua" w:hAnsi="Book Antiqua" w:cs="Book Antiqua"/>
          <w:color w:val="000000" w:themeColor="text1"/>
        </w:rPr>
        <w:t xml:space="preserve"> 1988; </w:t>
      </w:r>
      <w:r w:rsidRPr="00D35DBC">
        <w:rPr>
          <w:rFonts w:ascii="Book Antiqua" w:eastAsia="Book Antiqua" w:hAnsi="Book Antiqua" w:cs="Book Antiqua"/>
          <w:b/>
          <w:bCs/>
          <w:color w:val="000000" w:themeColor="text1"/>
        </w:rPr>
        <w:t>33</w:t>
      </w:r>
      <w:r w:rsidRPr="00D35DBC">
        <w:rPr>
          <w:rFonts w:ascii="Book Antiqua" w:eastAsia="Book Antiqua" w:hAnsi="Book Antiqua" w:cs="Book Antiqua"/>
          <w:color w:val="000000" w:themeColor="text1"/>
        </w:rPr>
        <w:t>: 129-134 [PMID: 3123181 DOI: 10.1007/bf01535722]</w:t>
      </w:r>
    </w:p>
    <w:p w14:paraId="5038FCA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24 </w:t>
      </w:r>
      <w:r w:rsidRPr="00D35DBC">
        <w:rPr>
          <w:rFonts w:ascii="Book Antiqua" w:eastAsia="Book Antiqua" w:hAnsi="Book Antiqua" w:cs="Book Antiqua"/>
          <w:b/>
          <w:bCs/>
          <w:color w:val="000000" w:themeColor="text1"/>
        </w:rPr>
        <w:t>Hong L</w:t>
      </w:r>
      <w:r w:rsidRPr="00D35DBC">
        <w:rPr>
          <w:rFonts w:ascii="Book Antiqua" w:eastAsia="Book Antiqua" w:hAnsi="Book Antiqua" w:cs="Book Antiqua"/>
          <w:color w:val="000000" w:themeColor="text1"/>
        </w:rPr>
        <w:t xml:space="preserve">, Han Y, Jin Y, Zhang H, Zhao Q. The short-term outcome in esophagogastric junctional adenocarcinoma patients receiving total gastrectomy: laparoscopic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open gastrectomy--a retrospective cohort study. </w:t>
      </w:r>
      <w:r w:rsidRPr="00D35DBC">
        <w:rPr>
          <w:rFonts w:ascii="Book Antiqua" w:eastAsia="Book Antiqua" w:hAnsi="Book Antiqua" w:cs="Book Antiqua"/>
          <w:i/>
          <w:iCs/>
          <w:color w:val="000000" w:themeColor="text1"/>
        </w:rPr>
        <w:t>Int J Surg</w:t>
      </w:r>
      <w:r w:rsidRPr="00D35DBC">
        <w:rPr>
          <w:rFonts w:ascii="Book Antiqua" w:eastAsia="Book Antiqua" w:hAnsi="Book Antiqua" w:cs="Book Antiqua"/>
          <w:color w:val="000000" w:themeColor="text1"/>
        </w:rPr>
        <w:t xml:space="preserve"> 2013; </w:t>
      </w:r>
      <w:r w:rsidRPr="00D35DBC">
        <w:rPr>
          <w:rFonts w:ascii="Book Antiqua" w:eastAsia="Book Antiqua" w:hAnsi="Book Antiqua" w:cs="Book Antiqua"/>
          <w:b/>
          <w:bCs/>
          <w:color w:val="000000" w:themeColor="text1"/>
        </w:rPr>
        <w:t>11</w:t>
      </w:r>
      <w:r w:rsidRPr="00D35DBC">
        <w:rPr>
          <w:rFonts w:ascii="Book Antiqua" w:eastAsia="Book Antiqua" w:hAnsi="Book Antiqua" w:cs="Book Antiqua"/>
          <w:color w:val="000000" w:themeColor="text1"/>
        </w:rPr>
        <w:t>: 957-961 [PMID: 23796445 DOI: 10.1016/j.ijsu.2013.06.010]</w:t>
      </w:r>
    </w:p>
    <w:p w14:paraId="3540E3FD" w14:textId="2699665C"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25 </w:t>
      </w:r>
      <w:r w:rsidRPr="00D35DBC">
        <w:rPr>
          <w:rFonts w:ascii="Book Antiqua" w:eastAsia="Book Antiqua" w:hAnsi="Book Antiqua" w:cs="Book Antiqua"/>
          <w:b/>
          <w:bCs/>
          <w:color w:val="000000" w:themeColor="text1"/>
        </w:rPr>
        <w:t>Japanese Gastric Cancer Association</w:t>
      </w:r>
      <w:r w:rsidRPr="00D35DBC">
        <w:rPr>
          <w:rFonts w:ascii="Book Antiqua" w:eastAsia="Book Antiqua" w:hAnsi="Book Antiqua" w:cs="Book Antiqua"/>
          <w:color w:val="000000" w:themeColor="text1"/>
        </w:rPr>
        <w:t xml:space="preserve">. Japanese gastric cancer treatment guidelines 2014 (ver. 4).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20</w:t>
      </w:r>
      <w:r w:rsidRPr="00D35DBC">
        <w:rPr>
          <w:rFonts w:ascii="Book Antiqua" w:eastAsia="Book Antiqua" w:hAnsi="Book Antiqua" w:cs="Book Antiqua"/>
          <w:color w:val="000000" w:themeColor="text1"/>
        </w:rPr>
        <w:t>: 1-19 [PMID: 27342689 DOI: 10.1007/s10120-016-0622-4]</w:t>
      </w:r>
    </w:p>
    <w:p w14:paraId="15773488"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26 </w:t>
      </w:r>
      <w:r w:rsidRPr="00D35DBC">
        <w:rPr>
          <w:rFonts w:ascii="Book Antiqua" w:eastAsia="Book Antiqua" w:hAnsi="Book Antiqua" w:cs="Book Antiqua"/>
          <w:b/>
          <w:bCs/>
          <w:color w:val="000000" w:themeColor="text1"/>
        </w:rPr>
        <w:t>Goh YM</w:t>
      </w:r>
      <w:r w:rsidRPr="00D35DBC">
        <w:rPr>
          <w:rFonts w:ascii="Book Antiqua" w:eastAsia="Book Antiqua" w:hAnsi="Book Antiqua" w:cs="Book Antiqua"/>
          <w:color w:val="000000" w:themeColor="text1"/>
        </w:rPr>
        <w:t xml:space="preserve">, Gillespie C, Couper G, Paterson-Brown S. Quality of life after total and subtotal gastrectomy for gastric carcinoma. </w:t>
      </w:r>
      <w:r w:rsidRPr="00D35DBC">
        <w:rPr>
          <w:rFonts w:ascii="Book Antiqua" w:eastAsia="Book Antiqua" w:hAnsi="Book Antiqua" w:cs="Book Antiqua"/>
          <w:i/>
          <w:iCs/>
          <w:color w:val="000000" w:themeColor="text1"/>
        </w:rPr>
        <w:t>Surgeon</w:t>
      </w:r>
      <w:r w:rsidRPr="00D35DBC">
        <w:rPr>
          <w:rFonts w:ascii="Book Antiqua" w:eastAsia="Book Antiqua" w:hAnsi="Book Antiqua" w:cs="Book Antiqua"/>
          <w:color w:val="000000" w:themeColor="text1"/>
        </w:rPr>
        <w:t xml:space="preserve"> 2015; </w:t>
      </w:r>
      <w:r w:rsidRPr="00D35DBC">
        <w:rPr>
          <w:rFonts w:ascii="Book Antiqua" w:eastAsia="Book Antiqua" w:hAnsi="Book Antiqua" w:cs="Book Antiqua"/>
          <w:b/>
          <w:bCs/>
          <w:color w:val="000000" w:themeColor="text1"/>
        </w:rPr>
        <w:t>13</w:t>
      </w:r>
      <w:r w:rsidRPr="00D35DBC">
        <w:rPr>
          <w:rFonts w:ascii="Book Antiqua" w:eastAsia="Book Antiqua" w:hAnsi="Book Antiqua" w:cs="Book Antiqua"/>
          <w:color w:val="000000" w:themeColor="text1"/>
        </w:rPr>
        <w:t>: 267-270 [PMID: 25127442 DOI: 10.1016/j.surge.2014.07.002]</w:t>
      </w:r>
    </w:p>
    <w:p w14:paraId="1927142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27 </w:t>
      </w:r>
      <w:r w:rsidRPr="00D35DBC">
        <w:rPr>
          <w:rFonts w:ascii="Book Antiqua" w:eastAsia="Book Antiqua" w:hAnsi="Book Antiqua" w:cs="Book Antiqua"/>
          <w:b/>
          <w:bCs/>
          <w:color w:val="000000" w:themeColor="text1"/>
        </w:rPr>
        <w:t>Lee MS</w:t>
      </w:r>
      <w:r w:rsidRPr="00D35DBC">
        <w:rPr>
          <w:rFonts w:ascii="Book Antiqua" w:eastAsia="Book Antiqua" w:hAnsi="Book Antiqua" w:cs="Book Antiqua"/>
          <w:color w:val="000000" w:themeColor="text1"/>
        </w:rPr>
        <w:t xml:space="preserve">, Ahn SH, Lee JH, Park DJ, Lee HJ, Kim HH, Yang HK, Kim N, Lee WW. What is the best reconstruction method after distal gastrectomy for gastric cancer? </w:t>
      </w:r>
      <w:r w:rsidRPr="00D35DBC">
        <w:rPr>
          <w:rFonts w:ascii="Book Antiqua" w:eastAsia="Book Antiqua" w:hAnsi="Book Antiqua" w:cs="Book Antiqua"/>
          <w:i/>
          <w:iCs/>
          <w:color w:val="000000" w:themeColor="text1"/>
        </w:rPr>
        <w:t>Surg Endosc</w:t>
      </w:r>
      <w:r w:rsidRPr="00D35DBC">
        <w:rPr>
          <w:rFonts w:ascii="Book Antiqua" w:eastAsia="Book Antiqua" w:hAnsi="Book Antiqua" w:cs="Book Antiqua"/>
          <w:color w:val="000000" w:themeColor="text1"/>
        </w:rPr>
        <w:t xml:space="preserve"> 2012; </w:t>
      </w:r>
      <w:r w:rsidRPr="00D35DBC">
        <w:rPr>
          <w:rFonts w:ascii="Book Antiqua" w:eastAsia="Book Antiqua" w:hAnsi="Book Antiqua" w:cs="Book Antiqua"/>
          <w:b/>
          <w:bCs/>
          <w:color w:val="000000" w:themeColor="text1"/>
        </w:rPr>
        <w:t>26</w:t>
      </w:r>
      <w:r w:rsidRPr="00D35DBC">
        <w:rPr>
          <w:rFonts w:ascii="Book Antiqua" w:eastAsia="Book Antiqua" w:hAnsi="Book Antiqua" w:cs="Book Antiqua"/>
          <w:color w:val="000000" w:themeColor="text1"/>
        </w:rPr>
        <w:t>: 1539-1547 [PMID: 22179454 DOI: 10.1007/s00464-011-2064-8]</w:t>
      </w:r>
    </w:p>
    <w:p w14:paraId="0B3D18B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28 </w:t>
      </w:r>
      <w:r w:rsidRPr="00D35DBC">
        <w:rPr>
          <w:rFonts w:ascii="Book Antiqua" w:eastAsia="Book Antiqua" w:hAnsi="Book Antiqua" w:cs="Book Antiqua"/>
          <w:b/>
          <w:bCs/>
          <w:color w:val="000000" w:themeColor="text1"/>
        </w:rPr>
        <w:t>Miyoshi K</w:t>
      </w:r>
      <w:r w:rsidRPr="00D35DBC">
        <w:rPr>
          <w:rFonts w:ascii="Book Antiqua" w:eastAsia="Book Antiqua" w:hAnsi="Book Antiqua" w:cs="Book Antiqua"/>
          <w:color w:val="000000" w:themeColor="text1"/>
        </w:rPr>
        <w:t xml:space="preserve">, Fuchimoto S, Ohsaki T, Sakata T, Ohtsuka S, Takakura N. Long-term effects of jejunal pouch added to Roux-en-Y reconstruction after total gastrectomy.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2001; </w:t>
      </w:r>
      <w:r w:rsidRPr="00D35DBC">
        <w:rPr>
          <w:rFonts w:ascii="Book Antiqua" w:eastAsia="Book Antiqua" w:hAnsi="Book Antiqua" w:cs="Book Antiqua"/>
          <w:b/>
          <w:bCs/>
          <w:color w:val="000000" w:themeColor="text1"/>
        </w:rPr>
        <w:t>4</w:t>
      </w:r>
      <w:r w:rsidRPr="00D35DBC">
        <w:rPr>
          <w:rFonts w:ascii="Book Antiqua" w:eastAsia="Book Antiqua" w:hAnsi="Book Antiqua" w:cs="Book Antiqua"/>
          <w:color w:val="000000" w:themeColor="text1"/>
        </w:rPr>
        <w:t>: 156-161 [PMID: 11760082 DOI: 10.1007/pl00011739]</w:t>
      </w:r>
    </w:p>
    <w:p w14:paraId="41E9608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29 </w:t>
      </w:r>
      <w:r w:rsidRPr="00D35DBC">
        <w:rPr>
          <w:rFonts w:ascii="Book Antiqua" w:eastAsia="Book Antiqua" w:hAnsi="Book Antiqua" w:cs="Book Antiqua"/>
          <w:b/>
          <w:bCs/>
          <w:color w:val="000000" w:themeColor="text1"/>
        </w:rPr>
        <w:t>Namikawa T</w:t>
      </w:r>
      <w:r w:rsidRPr="00D35DBC">
        <w:rPr>
          <w:rFonts w:ascii="Book Antiqua" w:eastAsia="Book Antiqua" w:hAnsi="Book Antiqua" w:cs="Book Antiqua"/>
          <w:color w:val="000000" w:themeColor="text1"/>
        </w:rPr>
        <w:t xml:space="preserve">, Oki T, Kitagawa H, Okabayashi T, Kobayashi M, Hanazaki K. Impact of jejunal pouch interposition reconstruction after proximal gastrectomy for early gastric cancer on quality of life: short- and long-term consequences. </w:t>
      </w:r>
      <w:r w:rsidRPr="00D35DBC">
        <w:rPr>
          <w:rFonts w:ascii="Book Antiqua" w:eastAsia="Book Antiqua" w:hAnsi="Book Antiqua" w:cs="Book Antiqua"/>
          <w:i/>
          <w:iCs/>
          <w:color w:val="000000" w:themeColor="text1"/>
        </w:rPr>
        <w:t>Am J Surg</w:t>
      </w:r>
      <w:r w:rsidRPr="00D35DBC">
        <w:rPr>
          <w:rFonts w:ascii="Book Antiqua" w:eastAsia="Book Antiqua" w:hAnsi="Book Antiqua" w:cs="Book Antiqua"/>
          <w:color w:val="000000" w:themeColor="text1"/>
        </w:rPr>
        <w:t xml:space="preserve"> 2012; </w:t>
      </w:r>
      <w:r w:rsidRPr="00D35DBC">
        <w:rPr>
          <w:rFonts w:ascii="Book Antiqua" w:eastAsia="Book Antiqua" w:hAnsi="Book Antiqua" w:cs="Book Antiqua"/>
          <w:b/>
          <w:bCs/>
          <w:color w:val="000000" w:themeColor="text1"/>
        </w:rPr>
        <w:t>204</w:t>
      </w:r>
      <w:r w:rsidRPr="00D35DBC">
        <w:rPr>
          <w:rFonts w:ascii="Book Antiqua" w:eastAsia="Book Antiqua" w:hAnsi="Book Antiqua" w:cs="Book Antiqua"/>
          <w:color w:val="000000" w:themeColor="text1"/>
        </w:rPr>
        <w:t>: 203-209 [PMID: 22813641 DOI: 10.1016/j.amjsurg.2011.09.035]</w:t>
      </w:r>
    </w:p>
    <w:p w14:paraId="3128B1D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30 </w:t>
      </w:r>
      <w:r w:rsidRPr="00D35DBC">
        <w:rPr>
          <w:rFonts w:ascii="Book Antiqua" w:eastAsia="Book Antiqua" w:hAnsi="Book Antiqua" w:cs="Book Antiqua"/>
          <w:b/>
          <w:bCs/>
          <w:color w:val="000000" w:themeColor="text1"/>
        </w:rPr>
        <w:t>Pu YW</w:t>
      </w:r>
      <w:r w:rsidRPr="00D35DBC">
        <w:rPr>
          <w:rFonts w:ascii="Book Antiqua" w:eastAsia="Book Antiqua" w:hAnsi="Book Antiqua" w:cs="Book Antiqua"/>
          <w:color w:val="000000" w:themeColor="text1"/>
        </w:rPr>
        <w:t xml:space="preserve">, Gong W, Wu YY, Chen Q, He TF, Xing CG. Proximal gastrectomy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total gastrectomy for proximal gastric carcinoma. A meta-analysis on postoperative complications, 5-year survival, and recurrence rate. </w:t>
      </w:r>
      <w:r w:rsidRPr="00D35DBC">
        <w:rPr>
          <w:rFonts w:ascii="Book Antiqua" w:eastAsia="Book Antiqua" w:hAnsi="Book Antiqua" w:cs="Book Antiqua"/>
          <w:i/>
          <w:iCs/>
          <w:color w:val="000000" w:themeColor="text1"/>
        </w:rPr>
        <w:t>Saudi Med J</w:t>
      </w:r>
      <w:r w:rsidRPr="00D35DBC">
        <w:rPr>
          <w:rFonts w:ascii="Book Antiqua" w:eastAsia="Book Antiqua" w:hAnsi="Book Antiqua" w:cs="Book Antiqua"/>
          <w:color w:val="000000" w:themeColor="text1"/>
        </w:rPr>
        <w:t xml:space="preserve"> 2013; </w:t>
      </w:r>
      <w:r w:rsidRPr="00D35DBC">
        <w:rPr>
          <w:rFonts w:ascii="Book Antiqua" w:eastAsia="Book Antiqua" w:hAnsi="Book Antiqua" w:cs="Book Antiqua"/>
          <w:b/>
          <w:bCs/>
          <w:color w:val="000000" w:themeColor="text1"/>
        </w:rPr>
        <w:t>34</w:t>
      </w:r>
      <w:r w:rsidRPr="00D35DBC">
        <w:rPr>
          <w:rFonts w:ascii="Book Antiqua" w:eastAsia="Book Antiqua" w:hAnsi="Book Antiqua" w:cs="Book Antiqua"/>
          <w:color w:val="000000" w:themeColor="text1"/>
        </w:rPr>
        <w:t>: 1223-1228 [PMID: 24343461]</w:t>
      </w:r>
    </w:p>
    <w:p w14:paraId="013AA786"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31 </w:t>
      </w:r>
      <w:r w:rsidRPr="00D35DBC">
        <w:rPr>
          <w:rFonts w:ascii="Book Antiqua" w:eastAsia="Book Antiqua" w:hAnsi="Book Antiqua" w:cs="Book Antiqua"/>
          <w:b/>
          <w:bCs/>
          <w:color w:val="000000" w:themeColor="text1"/>
        </w:rPr>
        <w:t>Huang C</w:t>
      </w:r>
      <w:r w:rsidRPr="00D35DBC">
        <w:rPr>
          <w:rFonts w:ascii="Book Antiqua" w:eastAsia="Book Antiqua" w:hAnsi="Book Antiqua" w:cs="Book Antiqua"/>
          <w:color w:val="000000" w:themeColor="text1"/>
        </w:rPr>
        <w:t xml:space="preserve">, Yu F, Zhao G, Xia X. Postoperative quality of life after laparoscopy-assisted pylorus-preserving gastrectomy compared with laparoscopy-assisted distal gastrectomy for early gastric cancer. </w:t>
      </w:r>
      <w:r w:rsidRPr="00D35DBC">
        <w:rPr>
          <w:rFonts w:ascii="Book Antiqua" w:eastAsia="Book Antiqua" w:hAnsi="Book Antiqua" w:cs="Book Antiqua"/>
          <w:i/>
          <w:iCs/>
          <w:color w:val="000000" w:themeColor="text1"/>
        </w:rPr>
        <w:t>J Gastroenterol Hepatol</w:t>
      </w:r>
      <w:r w:rsidRPr="00D35DBC">
        <w:rPr>
          <w:rFonts w:ascii="Book Antiqua" w:eastAsia="Book Antiqua" w:hAnsi="Book Antiqua" w:cs="Book Antiqua"/>
          <w:color w:val="000000" w:themeColor="text1"/>
        </w:rPr>
        <w:t xml:space="preserve"> 2020; </w:t>
      </w:r>
      <w:r w:rsidRPr="00D35DBC">
        <w:rPr>
          <w:rFonts w:ascii="Book Antiqua" w:eastAsia="Book Antiqua" w:hAnsi="Book Antiqua" w:cs="Book Antiqua"/>
          <w:b/>
          <w:bCs/>
          <w:color w:val="000000" w:themeColor="text1"/>
        </w:rPr>
        <w:t>35</w:t>
      </w:r>
      <w:r w:rsidRPr="00D35DBC">
        <w:rPr>
          <w:rFonts w:ascii="Book Antiqua" w:eastAsia="Book Antiqua" w:hAnsi="Book Antiqua" w:cs="Book Antiqua"/>
          <w:color w:val="000000" w:themeColor="text1"/>
        </w:rPr>
        <w:t>: 1712-1719 [PMID: 31945189 DOI: 10.1111/jgh.14985]</w:t>
      </w:r>
    </w:p>
    <w:p w14:paraId="4239782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32 </w:t>
      </w:r>
      <w:r w:rsidRPr="00D35DBC">
        <w:rPr>
          <w:rFonts w:ascii="Book Antiqua" w:eastAsia="Book Antiqua" w:hAnsi="Book Antiqua" w:cs="Book Antiqua"/>
          <w:b/>
          <w:bCs/>
          <w:color w:val="000000" w:themeColor="text1"/>
        </w:rPr>
        <w:t>Isozaki H</w:t>
      </w:r>
      <w:r w:rsidRPr="00D35DBC">
        <w:rPr>
          <w:rFonts w:ascii="Book Antiqua" w:eastAsia="Book Antiqua" w:hAnsi="Book Antiqua" w:cs="Book Antiqua"/>
          <w:color w:val="000000" w:themeColor="text1"/>
        </w:rPr>
        <w:t xml:space="preserve">, Okajima K, Momura E, Ichinona T, Fujii K, Izumi N, Takeda Y. Postoperative evaluation of pylorus-preserving gastrectomy for early gastric cancer. </w:t>
      </w:r>
      <w:r w:rsidRPr="00D35DBC">
        <w:rPr>
          <w:rFonts w:ascii="Book Antiqua" w:eastAsia="Book Antiqua" w:hAnsi="Book Antiqua" w:cs="Book Antiqua"/>
          <w:i/>
          <w:iCs/>
          <w:color w:val="000000" w:themeColor="text1"/>
        </w:rPr>
        <w:t>Br J Surg</w:t>
      </w:r>
      <w:r w:rsidRPr="00D35DBC">
        <w:rPr>
          <w:rFonts w:ascii="Book Antiqua" w:eastAsia="Book Antiqua" w:hAnsi="Book Antiqua" w:cs="Book Antiqua"/>
          <w:color w:val="000000" w:themeColor="text1"/>
        </w:rPr>
        <w:t xml:space="preserve"> 1996; </w:t>
      </w:r>
      <w:r w:rsidRPr="00D35DBC">
        <w:rPr>
          <w:rFonts w:ascii="Book Antiqua" w:eastAsia="Book Antiqua" w:hAnsi="Book Antiqua" w:cs="Book Antiqua"/>
          <w:b/>
          <w:bCs/>
          <w:color w:val="000000" w:themeColor="text1"/>
        </w:rPr>
        <w:t>83</w:t>
      </w:r>
      <w:r w:rsidRPr="00D35DBC">
        <w:rPr>
          <w:rFonts w:ascii="Book Antiqua" w:eastAsia="Book Antiqua" w:hAnsi="Book Antiqua" w:cs="Book Antiqua"/>
          <w:color w:val="000000" w:themeColor="text1"/>
        </w:rPr>
        <w:t>: 266-269 [PMID: 8689185]</w:t>
      </w:r>
    </w:p>
    <w:p w14:paraId="31C42E8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33 </w:t>
      </w:r>
      <w:r w:rsidRPr="00D35DBC">
        <w:rPr>
          <w:rFonts w:ascii="Book Antiqua" w:eastAsia="Book Antiqua" w:hAnsi="Book Antiqua" w:cs="Book Antiqua"/>
          <w:b/>
          <w:bCs/>
          <w:color w:val="000000" w:themeColor="text1"/>
        </w:rPr>
        <w:t>Xiao XM</w:t>
      </w:r>
      <w:r w:rsidRPr="00D35DBC">
        <w:rPr>
          <w:rFonts w:ascii="Book Antiqua" w:eastAsia="Book Antiqua" w:hAnsi="Book Antiqua" w:cs="Book Antiqua"/>
          <w:color w:val="000000" w:themeColor="text1"/>
        </w:rPr>
        <w:t xml:space="preserve">, Gaol C, Yin W, Yu WH, Qi F, Liu T. Pylorus-Preserving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Distal Subtotal Gastrectomy for Surgical Treatment of Early Gastric Cancer: A Meta-Analysis. </w:t>
      </w:r>
      <w:r w:rsidRPr="00D35DBC">
        <w:rPr>
          <w:rFonts w:ascii="Book Antiqua" w:eastAsia="Book Antiqua" w:hAnsi="Book Antiqua" w:cs="Book Antiqua"/>
          <w:i/>
          <w:iCs/>
          <w:color w:val="000000" w:themeColor="text1"/>
        </w:rPr>
        <w:t>Hepatogastroenterology</w:t>
      </w:r>
      <w:r w:rsidRPr="00D35DBC">
        <w:rPr>
          <w:rFonts w:ascii="Book Antiqua" w:eastAsia="Book Antiqua" w:hAnsi="Book Antiqua" w:cs="Book Antiqua"/>
          <w:color w:val="000000" w:themeColor="text1"/>
        </w:rPr>
        <w:t xml:space="preserve"> 2014; </w:t>
      </w:r>
      <w:r w:rsidRPr="00D35DBC">
        <w:rPr>
          <w:rFonts w:ascii="Book Antiqua" w:eastAsia="Book Antiqua" w:hAnsi="Book Antiqua" w:cs="Book Antiqua"/>
          <w:b/>
          <w:bCs/>
          <w:color w:val="000000" w:themeColor="text1"/>
        </w:rPr>
        <w:t>61</w:t>
      </w:r>
      <w:r w:rsidRPr="00D35DBC">
        <w:rPr>
          <w:rFonts w:ascii="Book Antiqua" w:eastAsia="Book Antiqua" w:hAnsi="Book Antiqua" w:cs="Book Antiqua"/>
          <w:color w:val="000000" w:themeColor="text1"/>
        </w:rPr>
        <w:t>: 870-879 [PMID: 26176089]</w:t>
      </w:r>
    </w:p>
    <w:p w14:paraId="4E3A416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34 </w:t>
      </w:r>
      <w:r w:rsidRPr="00D35DBC">
        <w:rPr>
          <w:rFonts w:ascii="Book Antiqua" w:eastAsia="Book Antiqua" w:hAnsi="Book Antiqua" w:cs="Book Antiqua"/>
          <w:b/>
          <w:bCs/>
          <w:color w:val="000000" w:themeColor="text1"/>
        </w:rPr>
        <w:t>Du N</w:t>
      </w:r>
      <w:r w:rsidRPr="00D35DBC">
        <w:rPr>
          <w:rFonts w:ascii="Book Antiqua" w:eastAsia="Book Antiqua" w:hAnsi="Book Antiqua" w:cs="Book Antiqua"/>
          <w:color w:val="000000" w:themeColor="text1"/>
        </w:rPr>
        <w:t xml:space="preserve">, Chen M, Shen Z, Li S, Chen P, Khadaroo PA, Mao D, Gu L. Comparison of Quality of Life and Nutritional Status of Between Roux-en-Y and Billroth-I Reconstruction After Distal Gastrectomy: A Systematic Review and Meta-Analysis. </w:t>
      </w:r>
      <w:r w:rsidRPr="00D35DBC">
        <w:rPr>
          <w:rFonts w:ascii="Book Antiqua" w:eastAsia="Book Antiqua" w:hAnsi="Book Antiqua" w:cs="Book Antiqua"/>
          <w:i/>
          <w:iCs/>
          <w:color w:val="000000" w:themeColor="text1"/>
        </w:rPr>
        <w:t>Nutr Cancer</w:t>
      </w:r>
      <w:r w:rsidRPr="00D35DBC">
        <w:rPr>
          <w:rFonts w:ascii="Book Antiqua" w:eastAsia="Book Antiqua" w:hAnsi="Book Antiqua" w:cs="Book Antiqua"/>
          <w:color w:val="000000" w:themeColor="text1"/>
        </w:rPr>
        <w:t xml:space="preserve"> 2020; </w:t>
      </w:r>
      <w:r w:rsidRPr="00D35DBC">
        <w:rPr>
          <w:rFonts w:ascii="Book Antiqua" w:eastAsia="Book Antiqua" w:hAnsi="Book Antiqua" w:cs="Book Antiqua"/>
          <w:b/>
          <w:bCs/>
          <w:color w:val="000000" w:themeColor="text1"/>
        </w:rPr>
        <w:t>72</w:t>
      </w:r>
      <w:r w:rsidRPr="00D35DBC">
        <w:rPr>
          <w:rFonts w:ascii="Book Antiqua" w:eastAsia="Book Antiqua" w:hAnsi="Book Antiqua" w:cs="Book Antiqua"/>
          <w:color w:val="000000" w:themeColor="text1"/>
        </w:rPr>
        <w:t>: 849-857 [PMID: 31460799 DOI: 10.1080/01635581.2019.1656262]</w:t>
      </w:r>
    </w:p>
    <w:p w14:paraId="2BEC852E" w14:textId="0DC496ED"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35 </w:t>
      </w:r>
      <w:r w:rsidRPr="00D35DBC">
        <w:rPr>
          <w:rFonts w:ascii="Book Antiqua" w:eastAsia="Book Antiqua" w:hAnsi="Book Antiqua" w:cs="Book Antiqua"/>
          <w:b/>
          <w:bCs/>
          <w:color w:val="000000" w:themeColor="text1"/>
        </w:rPr>
        <w:t>Komatsu S</w:t>
      </w:r>
      <w:r w:rsidRPr="00D35DBC">
        <w:rPr>
          <w:rFonts w:ascii="Book Antiqua" w:eastAsia="Book Antiqua" w:hAnsi="Book Antiqua" w:cs="Book Antiqua"/>
          <w:color w:val="000000" w:themeColor="text1"/>
        </w:rPr>
        <w:t xml:space="preserve">, Ichikawa D, Kubota T, Okamoto K, Shiozaki A, Fujiwara H, Konishi H, Morimura R, Murayama Y, Kuriu Y, Ikoma H, Nakanishi M, Sakakura C, Otsuji E. Clinical outcomes and quality of life according to types of reconstruction following laparoscopy-assisted distal gastrectomy for gastric cancer. </w:t>
      </w:r>
      <w:r w:rsidRPr="00D35DBC">
        <w:rPr>
          <w:rFonts w:ascii="Book Antiqua" w:eastAsia="Book Antiqua" w:hAnsi="Book Antiqua" w:cs="Book Antiqua"/>
          <w:i/>
          <w:iCs/>
          <w:color w:val="000000" w:themeColor="text1"/>
        </w:rPr>
        <w:t>Surg Laparosc Endosc Percutan Tech</w:t>
      </w:r>
      <w:r w:rsidRPr="00D35DBC">
        <w:rPr>
          <w:rFonts w:ascii="Book Antiqua" w:eastAsia="Book Antiqua" w:hAnsi="Book Antiqua" w:cs="Book Antiqua"/>
          <w:color w:val="000000" w:themeColor="text1"/>
        </w:rPr>
        <w:t xml:space="preserve"> 2015; </w:t>
      </w:r>
      <w:r w:rsidRPr="00D35DBC">
        <w:rPr>
          <w:rFonts w:ascii="Book Antiqua" w:eastAsia="Book Antiqua" w:hAnsi="Book Antiqua" w:cs="Book Antiqua"/>
          <w:b/>
          <w:bCs/>
          <w:color w:val="000000" w:themeColor="text1"/>
        </w:rPr>
        <w:t>25</w:t>
      </w:r>
      <w:r w:rsidRPr="00D35DBC">
        <w:rPr>
          <w:rFonts w:ascii="Book Antiqua" w:eastAsia="Book Antiqua" w:hAnsi="Book Antiqua" w:cs="Book Antiqua"/>
          <w:color w:val="000000" w:themeColor="text1"/>
        </w:rPr>
        <w:t>: 69-73 [PMID: 24743669 DOI: 10.1097/</w:t>
      </w:r>
      <w:r w:rsidR="003F71C7" w:rsidRPr="00D35DBC">
        <w:rPr>
          <w:rFonts w:ascii="Book Antiqua" w:eastAsia="Book Antiqua" w:hAnsi="Book Antiqua" w:cs="Book Antiqua"/>
          <w:color w:val="000000" w:themeColor="text1"/>
        </w:rPr>
        <w:t>SLE.</w:t>
      </w:r>
      <w:r w:rsidRPr="00D35DBC">
        <w:rPr>
          <w:rFonts w:ascii="Book Antiqua" w:eastAsia="Book Antiqua" w:hAnsi="Book Antiqua" w:cs="Book Antiqua"/>
          <w:color w:val="000000" w:themeColor="text1"/>
        </w:rPr>
        <w:t>0000000000000021]</w:t>
      </w:r>
    </w:p>
    <w:p w14:paraId="2BBE115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36 </w:t>
      </w:r>
      <w:r w:rsidRPr="00D35DBC">
        <w:rPr>
          <w:rFonts w:ascii="Book Antiqua" w:eastAsia="Book Antiqua" w:hAnsi="Book Antiqua" w:cs="Book Antiqua"/>
          <w:b/>
          <w:bCs/>
          <w:color w:val="000000" w:themeColor="text1"/>
        </w:rPr>
        <w:t>Liu XF</w:t>
      </w:r>
      <w:r w:rsidRPr="00D35DBC">
        <w:rPr>
          <w:rFonts w:ascii="Book Antiqua" w:eastAsia="Book Antiqua" w:hAnsi="Book Antiqua" w:cs="Book Antiqua"/>
          <w:color w:val="000000" w:themeColor="text1"/>
        </w:rPr>
        <w:t xml:space="preserve">, Gao ZM, Wang RY, Wang PL, Li K, Gao S. Comparison of Billroth I, Billroth II, and Roux-en-Y reconstructions after distal gastrectomy according to functional recovery: a meta-analysis. </w:t>
      </w:r>
      <w:r w:rsidRPr="00D35DBC">
        <w:rPr>
          <w:rFonts w:ascii="Book Antiqua" w:eastAsia="Book Antiqua" w:hAnsi="Book Antiqua" w:cs="Book Antiqua"/>
          <w:i/>
          <w:iCs/>
          <w:color w:val="000000" w:themeColor="text1"/>
        </w:rPr>
        <w:t>Eur Rev Med Pharmacol Sci</w:t>
      </w:r>
      <w:r w:rsidRPr="00D35DBC">
        <w:rPr>
          <w:rFonts w:ascii="Book Antiqua" w:eastAsia="Book Antiqua" w:hAnsi="Book Antiqua" w:cs="Book Antiqua"/>
          <w:color w:val="000000" w:themeColor="text1"/>
        </w:rPr>
        <w:t xml:space="preserve"> 2019; </w:t>
      </w:r>
      <w:r w:rsidRPr="00D35DBC">
        <w:rPr>
          <w:rFonts w:ascii="Book Antiqua" w:eastAsia="Book Antiqua" w:hAnsi="Book Antiqua" w:cs="Book Antiqua"/>
          <w:b/>
          <w:bCs/>
          <w:color w:val="000000" w:themeColor="text1"/>
        </w:rPr>
        <w:t>23</w:t>
      </w:r>
      <w:r w:rsidRPr="00D35DBC">
        <w:rPr>
          <w:rFonts w:ascii="Book Antiqua" w:eastAsia="Book Antiqua" w:hAnsi="Book Antiqua" w:cs="Book Antiqua"/>
          <w:color w:val="000000" w:themeColor="text1"/>
        </w:rPr>
        <w:t>: 7532-7542 [PMID: 31539143 DOI: 10.26355/eurrev_201909_18869]</w:t>
      </w:r>
    </w:p>
    <w:p w14:paraId="35AC62C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37 </w:t>
      </w:r>
      <w:r w:rsidRPr="00D35DBC">
        <w:rPr>
          <w:rFonts w:ascii="Book Antiqua" w:eastAsia="Book Antiqua" w:hAnsi="Book Antiqua" w:cs="Book Antiqua"/>
          <w:b/>
          <w:bCs/>
          <w:color w:val="000000" w:themeColor="text1"/>
        </w:rPr>
        <w:t>Nakamura M</w:t>
      </w:r>
      <w:r w:rsidRPr="00D35DBC">
        <w:rPr>
          <w:rFonts w:ascii="Book Antiqua" w:eastAsia="Book Antiqua" w:hAnsi="Book Antiqua" w:cs="Book Antiqua"/>
          <w:color w:val="000000" w:themeColor="text1"/>
        </w:rPr>
        <w:t xml:space="preserve">, Nakamori M, Ojima T, Iwahashi M, Horiuchi T, Kobayashi Y, Yamade N, Shimada K, Oka M, Yamaue H. Randomized clinical trial comparing long-term quality of life for Billroth I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Roux-en-Y reconstruction after distal gastrectomy for gastric cancer. </w:t>
      </w:r>
      <w:r w:rsidRPr="00D35DBC">
        <w:rPr>
          <w:rFonts w:ascii="Book Antiqua" w:eastAsia="Book Antiqua" w:hAnsi="Book Antiqua" w:cs="Book Antiqua"/>
          <w:i/>
          <w:iCs/>
          <w:color w:val="000000" w:themeColor="text1"/>
        </w:rPr>
        <w:t>Br J Surg</w:t>
      </w:r>
      <w:r w:rsidRPr="00D35DBC">
        <w:rPr>
          <w:rFonts w:ascii="Book Antiqua" w:eastAsia="Book Antiqua" w:hAnsi="Book Antiqua" w:cs="Book Antiqua"/>
          <w:color w:val="000000" w:themeColor="text1"/>
        </w:rPr>
        <w:t xml:space="preserve"> 2016; </w:t>
      </w:r>
      <w:r w:rsidRPr="00D35DBC">
        <w:rPr>
          <w:rFonts w:ascii="Book Antiqua" w:eastAsia="Book Antiqua" w:hAnsi="Book Antiqua" w:cs="Book Antiqua"/>
          <w:b/>
          <w:bCs/>
          <w:color w:val="000000" w:themeColor="text1"/>
        </w:rPr>
        <w:t>103</w:t>
      </w:r>
      <w:r w:rsidRPr="00D35DBC">
        <w:rPr>
          <w:rFonts w:ascii="Book Antiqua" w:eastAsia="Book Antiqua" w:hAnsi="Book Antiqua" w:cs="Book Antiqua"/>
          <w:color w:val="000000" w:themeColor="text1"/>
        </w:rPr>
        <w:t>: 337-347 [PMID: 26840944 DOI: 10.1002/bjs.10060]</w:t>
      </w:r>
    </w:p>
    <w:p w14:paraId="3156C8F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38 </w:t>
      </w:r>
      <w:r w:rsidRPr="00D35DBC">
        <w:rPr>
          <w:rFonts w:ascii="Book Antiqua" w:eastAsia="Book Antiqua" w:hAnsi="Book Antiqua" w:cs="Book Antiqua"/>
          <w:b/>
          <w:bCs/>
          <w:color w:val="000000" w:themeColor="text1"/>
        </w:rPr>
        <w:t>Nunobe S</w:t>
      </w:r>
      <w:r w:rsidRPr="00D35DBC">
        <w:rPr>
          <w:rFonts w:ascii="Book Antiqua" w:eastAsia="Book Antiqua" w:hAnsi="Book Antiqua" w:cs="Book Antiqua"/>
          <w:color w:val="000000" w:themeColor="text1"/>
        </w:rPr>
        <w:t xml:space="preserve">, Okaro A, Sasako M, Saka M, Fukagawa T, Katai H, Sano T. Billroth 1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Roux-en-Y reconstructions: a quality-of-life survey at 5 years. </w:t>
      </w:r>
      <w:r w:rsidRPr="00D35DBC">
        <w:rPr>
          <w:rFonts w:ascii="Book Antiqua" w:eastAsia="Book Antiqua" w:hAnsi="Book Antiqua" w:cs="Book Antiqua"/>
          <w:i/>
          <w:iCs/>
          <w:color w:val="000000" w:themeColor="text1"/>
        </w:rPr>
        <w:t>Int J Clin Oncol</w:t>
      </w:r>
      <w:r w:rsidRPr="00D35DBC">
        <w:rPr>
          <w:rFonts w:ascii="Book Antiqua" w:eastAsia="Book Antiqua" w:hAnsi="Book Antiqua" w:cs="Book Antiqua"/>
          <w:color w:val="000000" w:themeColor="text1"/>
        </w:rPr>
        <w:t xml:space="preserve"> 2007; </w:t>
      </w:r>
      <w:r w:rsidRPr="00D35DBC">
        <w:rPr>
          <w:rFonts w:ascii="Book Antiqua" w:eastAsia="Book Antiqua" w:hAnsi="Book Antiqua" w:cs="Book Antiqua"/>
          <w:b/>
          <w:bCs/>
          <w:color w:val="000000" w:themeColor="text1"/>
        </w:rPr>
        <w:t>12</w:t>
      </w:r>
      <w:r w:rsidRPr="00D35DBC">
        <w:rPr>
          <w:rFonts w:ascii="Book Antiqua" w:eastAsia="Book Antiqua" w:hAnsi="Book Antiqua" w:cs="Book Antiqua"/>
          <w:color w:val="000000" w:themeColor="text1"/>
        </w:rPr>
        <w:t>: 433-439 [PMID: 18071862 DOI: 10.1007/s10147-007-0706-6]</w:t>
      </w:r>
    </w:p>
    <w:p w14:paraId="69683638"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39 </w:t>
      </w:r>
      <w:r w:rsidRPr="00D35DBC">
        <w:rPr>
          <w:rFonts w:ascii="Book Antiqua" w:eastAsia="Book Antiqua" w:hAnsi="Book Antiqua" w:cs="Book Antiqua"/>
          <w:b/>
          <w:bCs/>
          <w:color w:val="000000" w:themeColor="text1"/>
        </w:rPr>
        <w:t>Takiguchi S</w:t>
      </w:r>
      <w:r w:rsidRPr="00D35DBC">
        <w:rPr>
          <w:rFonts w:ascii="Book Antiqua" w:eastAsia="Book Antiqua" w:hAnsi="Book Antiqua" w:cs="Book Antiqua"/>
          <w:color w:val="000000" w:themeColor="text1"/>
        </w:rPr>
        <w:t xml:space="preserve">, Yamamoto K, Hirao M, Imamura H, Fujita J, Yano M, Kobayashi K, Kimura Y, Kurokawa Y, Mori M, Doki Y; Osaka University Clinical Research Group for Gastroenterological Study. A comparison of postoperative quality of life and dysfunction after Billroth I and Roux-en-Y reconstruction following distal gastrectomy for gastric cancer: results from a multi-institutional RCT.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2012; </w:t>
      </w:r>
      <w:r w:rsidRPr="00D35DBC">
        <w:rPr>
          <w:rFonts w:ascii="Book Antiqua" w:eastAsia="Book Antiqua" w:hAnsi="Book Antiqua" w:cs="Book Antiqua"/>
          <w:b/>
          <w:bCs/>
          <w:color w:val="000000" w:themeColor="text1"/>
        </w:rPr>
        <w:t>15</w:t>
      </w:r>
      <w:r w:rsidRPr="00D35DBC">
        <w:rPr>
          <w:rFonts w:ascii="Book Antiqua" w:eastAsia="Book Antiqua" w:hAnsi="Book Antiqua" w:cs="Book Antiqua"/>
          <w:color w:val="000000" w:themeColor="text1"/>
        </w:rPr>
        <w:t>: 198-205 [PMID: 21993852 DOI: 10.1007/s10120-011-0098-1]</w:t>
      </w:r>
    </w:p>
    <w:p w14:paraId="5DF4ECAA" w14:textId="011F0C1C"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40 </w:t>
      </w:r>
      <w:r w:rsidRPr="00D35DBC">
        <w:rPr>
          <w:rFonts w:ascii="Book Antiqua" w:eastAsia="Book Antiqua" w:hAnsi="Book Antiqua" w:cs="Book Antiqua"/>
          <w:b/>
          <w:bCs/>
          <w:color w:val="000000" w:themeColor="text1"/>
        </w:rPr>
        <w:t>Toyomasu Y</w:t>
      </w:r>
      <w:r w:rsidRPr="00D35DBC">
        <w:rPr>
          <w:rFonts w:ascii="Book Antiqua" w:eastAsia="Book Antiqua" w:hAnsi="Book Antiqua" w:cs="Book Antiqua"/>
          <w:color w:val="000000" w:themeColor="text1"/>
        </w:rPr>
        <w:t xml:space="preserve">, Ogata K, Suzuki M, Yanoma T, Kimura A, Kogure N, Ohno T, Kamiyama Y, Mochiki E, Kuwano H. Comparison of the Physiological Effect of Billroth-I and Roux-en-Y Reconstruction Following Laparoscopic Distal Gastrectomy. </w:t>
      </w:r>
      <w:r w:rsidRPr="00D35DBC">
        <w:rPr>
          <w:rFonts w:ascii="Book Antiqua" w:eastAsia="Book Antiqua" w:hAnsi="Book Antiqua" w:cs="Book Antiqua"/>
          <w:i/>
          <w:iCs/>
          <w:color w:val="000000" w:themeColor="text1"/>
        </w:rPr>
        <w:t>Surg Laparosc Endosc Percutan Tech</w:t>
      </w:r>
      <w:r w:rsidRPr="00D35DBC">
        <w:rPr>
          <w:rFonts w:ascii="Book Antiqua" w:eastAsia="Book Antiqua" w:hAnsi="Book Antiqua" w:cs="Book Antiqua"/>
          <w:color w:val="000000" w:themeColor="text1"/>
        </w:rPr>
        <w:t xml:space="preserve"> 2018; </w:t>
      </w:r>
      <w:r w:rsidRPr="00D35DBC">
        <w:rPr>
          <w:rFonts w:ascii="Book Antiqua" w:eastAsia="Book Antiqua" w:hAnsi="Book Antiqua" w:cs="Book Antiqua"/>
          <w:b/>
          <w:bCs/>
          <w:color w:val="000000" w:themeColor="text1"/>
        </w:rPr>
        <w:t>28</w:t>
      </w:r>
      <w:r w:rsidRPr="00D35DBC">
        <w:rPr>
          <w:rFonts w:ascii="Book Antiqua" w:eastAsia="Book Antiqua" w:hAnsi="Book Antiqua" w:cs="Book Antiqua"/>
          <w:color w:val="000000" w:themeColor="text1"/>
        </w:rPr>
        <w:t>: 328-333 [PMID: 30180143 DOI: 10.1097/</w:t>
      </w:r>
      <w:r w:rsidR="003F71C7" w:rsidRPr="00D35DBC">
        <w:rPr>
          <w:rFonts w:ascii="Book Antiqua" w:eastAsia="Book Antiqua" w:hAnsi="Book Antiqua" w:cs="Book Antiqua"/>
          <w:color w:val="000000" w:themeColor="text1"/>
        </w:rPr>
        <w:t>SLE.</w:t>
      </w:r>
      <w:r w:rsidRPr="00D35DBC">
        <w:rPr>
          <w:rFonts w:ascii="Book Antiqua" w:eastAsia="Book Antiqua" w:hAnsi="Book Antiqua" w:cs="Book Antiqua"/>
          <w:color w:val="000000" w:themeColor="text1"/>
        </w:rPr>
        <w:t>0000000000000575]</w:t>
      </w:r>
    </w:p>
    <w:p w14:paraId="18282C4C"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41 </w:t>
      </w:r>
      <w:r w:rsidRPr="00D35DBC">
        <w:rPr>
          <w:rFonts w:ascii="Book Antiqua" w:eastAsia="Book Antiqua" w:hAnsi="Book Antiqua" w:cs="Book Antiqua"/>
          <w:b/>
          <w:bCs/>
          <w:color w:val="000000" w:themeColor="text1"/>
        </w:rPr>
        <w:t>Yang K</w:t>
      </w:r>
      <w:r w:rsidRPr="00D35DBC">
        <w:rPr>
          <w:rFonts w:ascii="Book Antiqua" w:eastAsia="Book Antiqua" w:hAnsi="Book Antiqua" w:cs="Book Antiqua"/>
          <w:color w:val="000000" w:themeColor="text1"/>
        </w:rPr>
        <w:t xml:space="preserve">, Zhang WH, Liu K, Chen XZ, Zhou ZG, Hu JK. Comparison of quality of life between Billroth-І and Roux-en-Y anastomosis after distal gastrectomy for gastric cancer: </w:t>
      </w:r>
      <w:r w:rsidRPr="00D35DBC">
        <w:rPr>
          <w:rFonts w:ascii="Book Antiqua" w:eastAsia="Book Antiqua" w:hAnsi="Book Antiqua" w:cs="Book Antiqua"/>
          <w:color w:val="000000" w:themeColor="text1"/>
        </w:rPr>
        <w:lastRenderedPageBreak/>
        <w:t xml:space="preserve">A randomized controlled trial. </w:t>
      </w:r>
      <w:r w:rsidRPr="00D35DBC">
        <w:rPr>
          <w:rFonts w:ascii="Book Antiqua" w:eastAsia="Book Antiqua" w:hAnsi="Book Antiqua" w:cs="Book Antiqua"/>
          <w:i/>
          <w:iCs/>
          <w:color w:val="000000" w:themeColor="text1"/>
        </w:rPr>
        <w:t>Sci Rep</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7</w:t>
      </w:r>
      <w:r w:rsidRPr="00D35DBC">
        <w:rPr>
          <w:rFonts w:ascii="Book Antiqua" w:eastAsia="Book Antiqua" w:hAnsi="Book Antiqua" w:cs="Book Antiqua"/>
          <w:color w:val="000000" w:themeColor="text1"/>
        </w:rPr>
        <w:t>: 11245 [PMID: 28900096 DOI: 10.1038/s41598-017-09676-2]</w:t>
      </w:r>
    </w:p>
    <w:p w14:paraId="583820B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42 </w:t>
      </w:r>
      <w:r w:rsidRPr="00D35DBC">
        <w:rPr>
          <w:rFonts w:ascii="Book Antiqua" w:eastAsia="Book Antiqua" w:hAnsi="Book Antiqua" w:cs="Book Antiqua"/>
          <w:b/>
          <w:bCs/>
          <w:color w:val="000000" w:themeColor="text1"/>
        </w:rPr>
        <w:t>Jiang X</w:t>
      </w:r>
      <w:r w:rsidRPr="00D35DBC">
        <w:rPr>
          <w:rFonts w:ascii="Book Antiqua" w:eastAsia="Book Antiqua" w:hAnsi="Book Antiqua" w:cs="Book Antiqua"/>
          <w:color w:val="000000" w:themeColor="text1"/>
        </w:rPr>
        <w:t xml:space="preserve">, Hiki N, Nunobe S, Nohara K, Kumagai K, Sano T, Yamaguchi T. Laparoscopy-assisted subtotal gastrectomy with very small remnant stomach: a novel surgical procedure for selected early gastric cancer in the upper stomach.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2011; </w:t>
      </w:r>
      <w:r w:rsidRPr="00D35DBC">
        <w:rPr>
          <w:rFonts w:ascii="Book Antiqua" w:eastAsia="Book Antiqua" w:hAnsi="Book Antiqua" w:cs="Book Antiqua"/>
          <w:b/>
          <w:bCs/>
          <w:color w:val="000000" w:themeColor="text1"/>
        </w:rPr>
        <w:t>14</w:t>
      </w:r>
      <w:r w:rsidRPr="00D35DBC">
        <w:rPr>
          <w:rFonts w:ascii="Book Antiqua" w:eastAsia="Book Antiqua" w:hAnsi="Book Antiqua" w:cs="Book Antiqua"/>
          <w:color w:val="000000" w:themeColor="text1"/>
        </w:rPr>
        <w:t>: 194-199 [PMID: 21347820 DOI: 10.1007/s10120-011-0023-7]</w:t>
      </w:r>
    </w:p>
    <w:p w14:paraId="7C4C2D2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43 </w:t>
      </w:r>
      <w:r w:rsidRPr="00D35DBC">
        <w:rPr>
          <w:rFonts w:ascii="Book Antiqua" w:eastAsia="Book Antiqua" w:hAnsi="Book Antiqua" w:cs="Book Antiqua"/>
          <w:b/>
          <w:bCs/>
          <w:color w:val="000000" w:themeColor="text1"/>
        </w:rPr>
        <w:t>Kosuga T</w:t>
      </w:r>
      <w:r w:rsidRPr="00D35DBC">
        <w:rPr>
          <w:rFonts w:ascii="Book Antiqua" w:eastAsia="Book Antiqua" w:hAnsi="Book Antiqua" w:cs="Book Antiqua"/>
          <w:color w:val="000000" w:themeColor="text1"/>
        </w:rPr>
        <w:t xml:space="preserve">, Hiki N, Nunobe S, Noma H, Honda M, Tanimura S, Sano T, Yamaguchi T. Feasibility and nutritional impact of laparoscopy-assisted subtotal gastrectomy for early gastric cancer in the upper stomach. </w:t>
      </w:r>
      <w:r w:rsidRPr="00D35DBC">
        <w:rPr>
          <w:rFonts w:ascii="Book Antiqua" w:eastAsia="Book Antiqua" w:hAnsi="Book Antiqua" w:cs="Book Antiqua"/>
          <w:i/>
          <w:iCs/>
          <w:color w:val="000000" w:themeColor="text1"/>
        </w:rPr>
        <w:t>Ann Surg Oncol</w:t>
      </w:r>
      <w:r w:rsidRPr="00D35DBC">
        <w:rPr>
          <w:rFonts w:ascii="Book Antiqua" w:eastAsia="Book Antiqua" w:hAnsi="Book Antiqua" w:cs="Book Antiqua"/>
          <w:color w:val="000000" w:themeColor="text1"/>
        </w:rPr>
        <w:t xml:space="preserve"> 2014; </w:t>
      </w:r>
      <w:r w:rsidRPr="00D35DBC">
        <w:rPr>
          <w:rFonts w:ascii="Book Antiqua" w:eastAsia="Book Antiqua" w:hAnsi="Book Antiqua" w:cs="Book Antiqua"/>
          <w:b/>
          <w:bCs/>
          <w:color w:val="000000" w:themeColor="text1"/>
        </w:rPr>
        <w:t>21</w:t>
      </w:r>
      <w:r w:rsidRPr="00D35DBC">
        <w:rPr>
          <w:rFonts w:ascii="Book Antiqua" w:eastAsia="Book Antiqua" w:hAnsi="Book Antiqua" w:cs="Book Antiqua"/>
          <w:color w:val="000000" w:themeColor="text1"/>
        </w:rPr>
        <w:t>: 2028-2035 [PMID: 24558062 DOI: 10.1245/s10434-014-3520-1]</w:t>
      </w:r>
    </w:p>
    <w:p w14:paraId="116C0F4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44 </w:t>
      </w:r>
      <w:r w:rsidRPr="00D35DBC">
        <w:rPr>
          <w:rFonts w:ascii="Book Antiqua" w:eastAsia="Book Antiqua" w:hAnsi="Book Antiqua" w:cs="Book Antiqua"/>
          <w:b/>
          <w:bCs/>
          <w:color w:val="000000" w:themeColor="text1"/>
        </w:rPr>
        <w:t>Kawamura M</w:t>
      </w:r>
      <w:r w:rsidRPr="00D35DBC">
        <w:rPr>
          <w:rFonts w:ascii="Book Antiqua" w:eastAsia="Book Antiqua" w:hAnsi="Book Antiqua" w:cs="Book Antiqua"/>
          <w:color w:val="000000" w:themeColor="text1"/>
        </w:rPr>
        <w:t xml:space="preserve">, Nakada K, Konishi H, Iwasaki T, Murakami K, Mitsumori N, Hanyu N, Omura N, Yanaga K. Assessment of motor function of the remnant stomach by ¹³C breath test with special reference to gastric local resection. </w:t>
      </w:r>
      <w:r w:rsidRPr="00D35DBC">
        <w:rPr>
          <w:rFonts w:ascii="Book Antiqua" w:eastAsia="Book Antiqua" w:hAnsi="Book Antiqua" w:cs="Book Antiqua"/>
          <w:i/>
          <w:iCs/>
          <w:color w:val="000000" w:themeColor="text1"/>
        </w:rPr>
        <w:t>World J Surg</w:t>
      </w:r>
      <w:r w:rsidRPr="00D35DBC">
        <w:rPr>
          <w:rFonts w:ascii="Book Antiqua" w:eastAsia="Book Antiqua" w:hAnsi="Book Antiqua" w:cs="Book Antiqua"/>
          <w:color w:val="000000" w:themeColor="text1"/>
        </w:rPr>
        <w:t xml:space="preserve"> 2014; </w:t>
      </w:r>
      <w:r w:rsidRPr="00D35DBC">
        <w:rPr>
          <w:rFonts w:ascii="Book Antiqua" w:eastAsia="Book Antiqua" w:hAnsi="Book Antiqua" w:cs="Book Antiqua"/>
          <w:b/>
          <w:bCs/>
          <w:color w:val="000000" w:themeColor="text1"/>
        </w:rPr>
        <w:t>38</w:t>
      </w:r>
      <w:r w:rsidRPr="00D35DBC">
        <w:rPr>
          <w:rFonts w:ascii="Book Antiqua" w:eastAsia="Book Antiqua" w:hAnsi="Book Antiqua" w:cs="Book Antiqua"/>
          <w:color w:val="000000" w:themeColor="text1"/>
        </w:rPr>
        <w:t>: 2898-2903 [PMID: 24934641 DOI: 10.1007/s00268-014-2660-6]</w:t>
      </w:r>
    </w:p>
    <w:p w14:paraId="7991D00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45 </w:t>
      </w:r>
      <w:r w:rsidRPr="00D35DBC">
        <w:rPr>
          <w:rFonts w:ascii="Book Antiqua" w:eastAsia="Book Antiqua" w:hAnsi="Book Antiqua" w:cs="Book Antiqua"/>
          <w:b/>
          <w:bCs/>
          <w:color w:val="000000" w:themeColor="text1"/>
        </w:rPr>
        <w:t>Okubo K</w:t>
      </w:r>
      <w:r w:rsidRPr="00D35DBC">
        <w:rPr>
          <w:rFonts w:ascii="Book Antiqua" w:eastAsia="Book Antiqua" w:hAnsi="Book Antiqua" w:cs="Book Antiqua"/>
          <w:color w:val="000000" w:themeColor="text1"/>
        </w:rPr>
        <w:t xml:space="preserve">, Arigami T, Matsushita D, Sasaki K, Kijima T, Noda M, Uenosono Y, Yanagita S, Ishigami S, Maemura K, Natsugoe S. Evaluation of postoperative quality of life by PGSAS-45 following local gastrectomy based on the sentinel lymph node concept in early gastric cancer.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2020; </w:t>
      </w:r>
      <w:r w:rsidRPr="00D35DBC">
        <w:rPr>
          <w:rFonts w:ascii="Book Antiqua" w:eastAsia="Book Antiqua" w:hAnsi="Book Antiqua" w:cs="Book Antiqua"/>
          <w:b/>
          <w:bCs/>
          <w:color w:val="000000" w:themeColor="text1"/>
        </w:rPr>
        <w:t>23</w:t>
      </w:r>
      <w:r w:rsidRPr="00D35DBC">
        <w:rPr>
          <w:rFonts w:ascii="Book Antiqua" w:eastAsia="Book Antiqua" w:hAnsi="Book Antiqua" w:cs="Book Antiqua"/>
          <w:color w:val="000000" w:themeColor="text1"/>
        </w:rPr>
        <w:t>: 746-753 [PMID: 32086650 DOI: 10.1007/s10120-020-01047-7]</w:t>
      </w:r>
    </w:p>
    <w:p w14:paraId="69E5BAA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46 </w:t>
      </w:r>
      <w:r w:rsidRPr="00D35DBC">
        <w:rPr>
          <w:rFonts w:ascii="Book Antiqua" w:eastAsia="Book Antiqua" w:hAnsi="Book Antiqua" w:cs="Book Antiqua"/>
          <w:b/>
          <w:bCs/>
          <w:color w:val="000000" w:themeColor="text1"/>
        </w:rPr>
        <w:t>Kinami S</w:t>
      </w:r>
      <w:r w:rsidRPr="00D35DBC">
        <w:rPr>
          <w:rFonts w:ascii="Book Antiqua" w:eastAsia="Book Antiqua" w:hAnsi="Book Antiqua" w:cs="Book Antiqua"/>
          <w:color w:val="000000" w:themeColor="text1"/>
        </w:rPr>
        <w:t xml:space="preserve">, Kosaka T. Laparoscopic sentinel node navigation surgery for early gastric cancer. </w:t>
      </w:r>
      <w:r w:rsidRPr="00D35DBC">
        <w:rPr>
          <w:rFonts w:ascii="Book Antiqua" w:eastAsia="Book Antiqua" w:hAnsi="Book Antiqua" w:cs="Book Antiqua"/>
          <w:i/>
          <w:iCs/>
          <w:color w:val="000000" w:themeColor="text1"/>
        </w:rPr>
        <w:t>Transl Gastroenterol Hepatol</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w:t>
      </w:r>
      <w:r w:rsidRPr="00D35DBC">
        <w:rPr>
          <w:rFonts w:ascii="Book Antiqua" w:eastAsia="Book Antiqua" w:hAnsi="Book Antiqua" w:cs="Book Antiqua"/>
          <w:color w:val="000000" w:themeColor="text1"/>
        </w:rPr>
        <w:t>: 42 [PMID: 28616598 DOI: 10.21037/tgh.2017.05.02]</w:t>
      </w:r>
    </w:p>
    <w:p w14:paraId="2D37C36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47 </w:t>
      </w:r>
      <w:r w:rsidRPr="00D35DBC">
        <w:rPr>
          <w:rFonts w:ascii="Book Antiqua" w:eastAsia="Book Antiqua" w:hAnsi="Book Antiqua" w:cs="Book Antiqua"/>
          <w:b/>
          <w:bCs/>
          <w:color w:val="000000" w:themeColor="text1"/>
        </w:rPr>
        <w:t>Nishizawa T</w:t>
      </w:r>
      <w:r w:rsidRPr="00D35DBC">
        <w:rPr>
          <w:rFonts w:ascii="Book Antiqua" w:eastAsia="Book Antiqua" w:hAnsi="Book Antiqua" w:cs="Book Antiqua"/>
          <w:color w:val="000000" w:themeColor="text1"/>
        </w:rPr>
        <w:t xml:space="preserve">, Yahagi N. Long-Term Outcomes of Using Endoscopic Submucosal Dissection to Treat Early Gastric Cancer. </w:t>
      </w:r>
      <w:r w:rsidRPr="00D35DBC">
        <w:rPr>
          <w:rFonts w:ascii="Book Antiqua" w:eastAsia="Book Antiqua" w:hAnsi="Book Antiqua" w:cs="Book Antiqua"/>
          <w:i/>
          <w:iCs/>
          <w:color w:val="000000" w:themeColor="text1"/>
        </w:rPr>
        <w:t>Gut Liver</w:t>
      </w:r>
      <w:r w:rsidRPr="00D35DBC">
        <w:rPr>
          <w:rFonts w:ascii="Book Antiqua" w:eastAsia="Book Antiqua" w:hAnsi="Book Antiqua" w:cs="Book Antiqua"/>
          <w:color w:val="000000" w:themeColor="text1"/>
        </w:rPr>
        <w:t xml:space="preserve"> 2018; </w:t>
      </w:r>
      <w:r w:rsidRPr="00D35DBC">
        <w:rPr>
          <w:rFonts w:ascii="Book Antiqua" w:eastAsia="Book Antiqua" w:hAnsi="Book Antiqua" w:cs="Book Antiqua"/>
          <w:b/>
          <w:bCs/>
          <w:color w:val="000000" w:themeColor="text1"/>
        </w:rPr>
        <w:t>12</w:t>
      </w:r>
      <w:r w:rsidRPr="00D35DBC">
        <w:rPr>
          <w:rFonts w:ascii="Book Antiqua" w:eastAsia="Book Antiqua" w:hAnsi="Book Antiqua" w:cs="Book Antiqua"/>
          <w:color w:val="000000" w:themeColor="text1"/>
        </w:rPr>
        <w:t>: 119-124 [PMID: 28673068 DOI: 10.5009/gnl17095]</w:t>
      </w:r>
    </w:p>
    <w:p w14:paraId="4F4F717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48 </w:t>
      </w:r>
      <w:r w:rsidRPr="00D35DBC">
        <w:rPr>
          <w:rFonts w:ascii="Book Antiqua" w:eastAsia="Book Antiqua" w:hAnsi="Book Antiqua" w:cs="Book Antiqua"/>
          <w:b/>
          <w:bCs/>
          <w:color w:val="000000" w:themeColor="text1"/>
        </w:rPr>
        <w:t>Liu Q</w:t>
      </w:r>
      <w:r w:rsidRPr="00D35DBC">
        <w:rPr>
          <w:rFonts w:ascii="Book Antiqua" w:eastAsia="Book Antiqua" w:hAnsi="Book Antiqua" w:cs="Book Antiqua"/>
          <w:color w:val="000000" w:themeColor="text1"/>
        </w:rPr>
        <w:t xml:space="preserve">, Ding L, Qiu X, Meng F. Updated evaluation of endoscopic submucosal dissection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surgery for early gastric cancer: A systematic review and meta-analysis. </w:t>
      </w:r>
      <w:r w:rsidRPr="00D35DBC">
        <w:rPr>
          <w:rFonts w:ascii="Book Antiqua" w:eastAsia="Book Antiqua" w:hAnsi="Book Antiqua" w:cs="Book Antiqua"/>
          <w:i/>
          <w:iCs/>
          <w:color w:val="000000" w:themeColor="text1"/>
        </w:rPr>
        <w:t>Int J Surg</w:t>
      </w:r>
      <w:r w:rsidRPr="00D35DBC">
        <w:rPr>
          <w:rFonts w:ascii="Book Antiqua" w:eastAsia="Book Antiqua" w:hAnsi="Book Antiqua" w:cs="Book Antiqua"/>
          <w:color w:val="000000" w:themeColor="text1"/>
        </w:rPr>
        <w:t xml:space="preserve"> 2020; </w:t>
      </w:r>
      <w:r w:rsidRPr="00D35DBC">
        <w:rPr>
          <w:rFonts w:ascii="Book Antiqua" w:eastAsia="Book Antiqua" w:hAnsi="Book Antiqua" w:cs="Book Antiqua"/>
          <w:b/>
          <w:bCs/>
          <w:color w:val="000000" w:themeColor="text1"/>
        </w:rPr>
        <w:t>73</w:t>
      </w:r>
      <w:r w:rsidRPr="00D35DBC">
        <w:rPr>
          <w:rFonts w:ascii="Book Antiqua" w:eastAsia="Book Antiqua" w:hAnsi="Book Antiqua" w:cs="Book Antiqua"/>
          <w:color w:val="000000" w:themeColor="text1"/>
        </w:rPr>
        <w:t>: 28-41 [PMID: 31783166 DOI: 10.1016/j.ijsu.2019.11.027]</w:t>
      </w:r>
    </w:p>
    <w:bookmarkEnd w:id="5"/>
    <w:bookmarkEnd w:id="6"/>
    <w:p w14:paraId="35C0235E" w14:textId="77777777" w:rsidR="00A77B3E" w:rsidRPr="00D35DBC" w:rsidRDefault="00A77B3E" w:rsidP="00D35DBC">
      <w:pPr>
        <w:adjustRightInd w:val="0"/>
        <w:snapToGrid w:val="0"/>
        <w:spacing w:line="360" w:lineRule="auto"/>
        <w:jc w:val="both"/>
        <w:rPr>
          <w:rFonts w:ascii="Book Antiqua" w:hAnsi="Book Antiqua"/>
          <w:color w:val="000000" w:themeColor="text1"/>
        </w:rPr>
        <w:sectPr w:rsidR="00A77B3E" w:rsidRPr="00D35DBC">
          <w:pgSz w:w="12240" w:h="15840"/>
          <w:pgMar w:top="1440" w:right="1440" w:bottom="1440" w:left="1440" w:header="720" w:footer="720" w:gutter="0"/>
          <w:cols w:space="720"/>
          <w:docGrid w:linePitch="360"/>
        </w:sectPr>
      </w:pPr>
    </w:p>
    <w:p w14:paraId="58893127"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lastRenderedPageBreak/>
        <w:t>Footnotes</w:t>
      </w:r>
    </w:p>
    <w:p w14:paraId="16D4371D" w14:textId="13BFAF3C" w:rsidR="008D0BA6" w:rsidRDefault="008D0BA6" w:rsidP="00D35DBC">
      <w:pPr>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b/>
          <w:bCs/>
          <w:color w:val="000000"/>
        </w:rPr>
        <w:t xml:space="preserve">Institutional review board statement: </w:t>
      </w:r>
      <w:r w:rsidR="003F71C7" w:rsidRPr="00D35DBC">
        <w:rPr>
          <w:rFonts w:ascii="Book Antiqua" w:eastAsia="Book Antiqua" w:hAnsi="Book Antiqua" w:cs="Book Antiqua"/>
          <w:color w:val="000000" w:themeColor="text1"/>
        </w:rPr>
        <w:t>This study was approved by the local ethics committees of each participating institution and was in accordance with the ethical standards of the responsible committee on human experimentation and with the Helsinki Declaration of 1964 and later versions.</w:t>
      </w:r>
    </w:p>
    <w:p w14:paraId="3BB23B48" w14:textId="77777777" w:rsidR="003F71C7" w:rsidRPr="00D35DBC" w:rsidRDefault="003F71C7" w:rsidP="00D35DBC">
      <w:pPr>
        <w:spacing w:line="360" w:lineRule="auto"/>
        <w:jc w:val="both"/>
        <w:rPr>
          <w:rFonts w:ascii="Book Antiqua" w:hAnsi="Book Antiqua"/>
        </w:rPr>
      </w:pPr>
    </w:p>
    <w:p w14:paraId="665301B0"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bCs/>
          <w:color w:val="000000"/>
        </w:rPr>
        <w:t xml:space="preserve">Informed consent statement: </w:t>
      </w:r>
      <w:r w:rsidRPr="00D35DBC">
        <w:rPr>
          <w:rFonts w:ascii="Book Antiqua" w:eastAsia="Book Antiqua" w:hAnsi="Book Antiqua" w:cs="Book Antiqua"/>
          <w:color w:val="000000"/>
        </w:rPr>
        <w:t>Written informed consent was obtained from all enrolled patients.</w:t>
      </w:r>
    </w:p>
    <w:p w14:paraId="1974B8F2" w14:textId="77777777" w:rsidR="008D0BA6" w:rsidRPr="00D35DBC" w:rsidRDefault="008D0BA6" w:rsidP="00D35DBC">
      <w:pPr>
        <w:spacing w:line="360" w:lineRule="auto"/>
        <w:jc w:val="both"/>
        <w:rPr>
          <w:rFonts w:ascii="Book Antiqua" w:hAnsi="Book Antiqua"/>
        </w:rPr>
      </w:pPr>
    </w:p>
    <w:p w14:paraId="2DE7E6FE"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bCs/>
          <w:color w:val="000000"/>
        </w:rPr>
        <w:t xml:space="preserve">Conflict-of-interest statement: </w:t>
      </w:r>
      <w:r w:rsidRPr="00D35DBC">
        <w:rPr>
          <w:rFonts w:ascii="Book Antiqua" w:eastAsia="Book Antiqua" w:hAnsi="Book Antiqua" w:cs="Book Antiqua"/>
          <w:color w:val="000000"/>
        </w:rPr>
        <w:t>The authors declare no conflicts of interests related to the publication of this study.</w:t>
      </w:r>
    </w:p>
    <w:p w14:paraId="34957843" w14:textId="77777777" w:rsidR="008D0BA6" w:rsidRPr="00D35DBC" w:rsidRDefault="008D0BA6" w:rsidP="00D35DBC">
      <w:pPr>
        <w:spacing w:line="360" w:lineRule="auto"/>
        <w:jc w:val="both"/>
        <w:rPr>
          <w:rFonts w:ascii="Book Antiqua" w:hAnsi="Book Antiqua"/>
        </w:rPr>
      </w:pPr>
    </w:p>
    <w:p w14:paraId="653381F2"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bCs/>
          <w:color w:val="000000"/>
        </w:rPr>
        <w:t xml:space="preserve">Data sharing statement: </w:t>
      </w:r>
      <w:r w:rsidRPr="00D35DBC">
        <w:rPr>
          <w:rFonts w:ascii="Book Antiqua" w:eastAsia="Book Antiqua" w:hAnsi="Book Antiqua" w:cs="Book Antiqua"/>
          <w:color w:val="000000"/>
        </w:rPr>
        <w:t>No additional data was available.</w:t>
      </w:r>
    </w:p>
    <w:p w14:paraId="040D186E" w14:textId="77777777" w:rsidR="008D0BA6" w:rsidRPr="00D35DBC" w:rsidRDefault="008D0BA6" w:rsidP="00D35DBC">
      <w:pPr>
        <w:spacing w:line="360" w:lineRule="auto"/>
        <w:jc w:val="both"/>
        <w:rPr>
          <w:rFonts w:ascii="Book Antiqua" w:hAnsi="Book Antiqua"/>
        </w:rPr>
      </w:pPr>
    </w:p>
    <w:p w14:paraId="148DF350" w14:textId="77777777" w:rsidR="003F71C7" w:rsidRDefault="008D0BA6" w:rsidP="003F71C7">
      <w:pPr>
        <w:adjustRightInd w:val="0"/>
        <w:snapToGrid w:val="0"/>
        <w:spacing w:line="360" w:lineRule="auto"/>
        <w:jc w:val="both"/>
        <w:rPr>
          <w:rFonts w:ascii="Book Antiqua" w:hAnsi="Book Antiqua"/>
        </w:rPr>
      </w:pPr>
      <w:r w:rsidRPr="00D35DBC">
        <w:rPr>
          <w:rFonts w:ascii="Book Antiqua" w:eastAsia="Book Antiqua" w:hAnsi="Book Antiqua" w:cs="Book Antiqua"/>
          <w:b/>
          <w:bCs/>
          <w:color w:val="000000"/>
        </w:rPr>
        <w:t xml:space="preserve">STROBE statement: </w:t>
      </w:r>
      <w:r w:rsidR="003F71C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910B81E" w14:textId="77777777" w:rsidR="008D0BA6" w:rsidRPr="00D35DBC" w:rsidRDefault="008D0BA6" w:rsidP="00D35DBC">
      <w:pPr>
        <w:spacing w:line="360" w:lineRule="auto"/>
        <w:jc w:val="both"/>
        <w:rPr>
          <w:rFonts w:ascii="Book Antiqua" w:hAnsi="Book Antiqua"/>
        </w:rPr>
      </w:pPr>
    </w:p>
    <w:p w14:paraId="6173F9AA"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bCs/>
          <w:color w:val="000000"/>
        </w:rPr>
        <w:t xml:space="preserve">Open-Access: </w:t>
      </w:r>
      <w:r w:rsidRPr="00D35DB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3DD363" w14:textId="77777777" w:rsidR="008D0BA6" w:rsidRPr="00D35DBC" w:rsidRDefault="008D0BA6" w:rsidP="00D35DBC">
      <w:pPr>
        <w:spacing w:line="360" w:lineRule="auto"/>
        <w:jc w:val="both"/>
        <w:rPr>
          <w:rFonts w:ascii="Book Antiqua" w:hAnsi="Book Antiqua"/>
        </w:rPr>
      </w:pPr>
    </w:p>
    <w:p w14:paraId="13E354A2" w14:textId="543CE077" w:rsidR="008D0BA6" w:rsidRDefault="008D0BA6" w:rsidP="00D35DBC">
      <w:pPr>
        <w:spacing w:line="360" w:lineRule="auto"/>
        <w:jc w:val="both"/>
        <w:rPr>
          <w:rFonts w:ascii="Book Antiqua" w:eastAsia="Book Antiqua" w:hAnsi="Book Antiqua" w:cs="Book Antiqua"/>
          <w:color w:val="000000"/>
        </w:rPr>
      </w:pPr>
      <w:r w:rsidRPr="00D35DBC">
        <w:rPr>
          <w:rFonts w:ascii="Book Antiqua" w:eastAsia="Book Antiqua" w:hAnsi="Book Antiqua" w:cs="Book Antiqua"/>
          <w:b/>
          <w:color w:val="000000"/>
        </w:rPr>
        <w:t xml:space="preserve">Manuscript source: </w:t>
      </w:r>
      <w:r w:rsidRPr="00D35DBC">
        <w:rPr>
          <w:rFonts w:ascii="Book Antiqua" w:eastAsia="Book Antiqua" w:hAnsi="Book Antiqua" w:cs="Book Antiqua"/>
          <w:color w:val="000000"/>
        </w:rPr>
        <w:t>Invited manuscript</w:t>
      </w:r>
    </w:p>
    <w:p w14:paraId="3E7C18BC" w14:textId="77777777" w:rsidR="003F71C7" w:rsidRPr="00D35DBC" w:rsidRDefault="003F71C7" w:rsidP="00D35DBC">
      <w:pPr>
        <w:spacing w:line="360" w:lineRule="auto"/>
        <w:jc w:val="both"/>
        <w:rPr>
          <w:rFonts w:ascii="Book Antiqua" w:hAnsi="Book Antiqua"/>
        </w:rPr>
      </w:pPr>
    </w:p>
    <w:p w14:paraId="13329243" w14:textId="0CAC0054"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lastRenderedPageBreak/>
        <w:t xml:space="preserve">Corresponding Author's Membership in Professional Societies: </w:t>
      </w:r>
      <w:r w:rsidRPr="00D35DBC">
        <w:rPr>
          <w:rFonts w:ascii="Book Antiqua" w:eastAsia="Book Antiqua" w:hAnsi="Book Antiqua" w:cs="Book Antiqua"/>
          <w:color w:val="000000"/>
        </w:rPr>
        <w:t xml:space="preserve">Japan Surgical Society, </w:t>
      </w:r>
      <w:r w:rsidR="003F71C7">
        <w:rPr>
          <w:rFonts w:ascii="Book Antiqua" w:eastAsia="Book Antiqua" w:hAnsi="Book Antiqua" w:cs="Book Antiqua"/>
          <w:color w:val="000000"/>
        </w:rPr>
        <w:t xml:space="preserve">No. </w:t>
      </w:r>
      <w:r w:rsidRPr="00D35DBC">
        <w:rPr>
          <w:rFonts w:ascii="Book Antiqua" w:eastAsia="Book Antiqua" w:hAnsi="Book Antiqua" w:cs="Book Antiqua"/>
          <w:color w:val="000000"/>
        </w:rPr>
        <w:t xml:space="preserve">0248522; The Japanese Society of Gastroenterological Surgery, </w:t>
      </w:r>
      <w:r w:rsidR="003F71C7">
        <w:rPr>
          <w:rFonts w:ascii="Book Antiqua" w:eastAsia="Book Antiqua" w:hAnsi="Book Antiqua" w:cs="Book Antiqua"/>
          <w:color w:val="000000"/>
        </w:rPr>
        <w:t xml:space="preserve">No. </w:t>
      </w:r>
      <w:r w:rsidRPr="00D35DBC">
        <w:rPr>
          <w:rFonts w:ascii="Book Antiqua" w:eastAsia="Book Antiqua" w:hAnsi="Book Antiqua" w:cs="Book Antiqua"/>
          <w:color w:val="000000"/>
        </w:rPr>
        <w:t xml:space="preserve">G0136608; </w:t>
      </w:r>
      <w:r w:rsidR="00EE599C" w:rsidRPr="00D35DBC">
        <w:rPr>
          <w:rFonts w:ascii="Book Antiqua" w:eastAsia="Book Antiqua" w:hAnsi="Book Antiqua" w:cs="Book Antiqua"/>
          <w:color w:val="000000"/>
        </w:rPr>
        <w:t xml:space="preserve">and </w:t>
      </w:r>
      <w:r w:rsidRPr="00D35DBC">
        <w:rPr>
          <w:rFonts w:ascii="Book Antiqua" w:eastAsia="Book Antiqua" w:hAnsi="Book Antiqua" w:cs="Book Antiqua"/>
          <w:color w:val="000000"/>
        </w:rPr>
        <w:t xml:space="preserve">The Japanese Society of Gastroenterology, </w:t>
      </w:r>
      <w:r w:rsidR="003F71C7">
        <w:rPr>
          <w:rFonts w:ascii="Book Antiqua" w:eastAsia="Book Antiqua" w:hAnsi="Book Antiqua" w:cs="Book Antiqua"/>
          <w:color w:val="000000"/>
        </w:rPr>
        <w:t xml:space="preserve">No. </w:t>
      </w:r>
      <w:r w:rsidRPr="00D35DBC">
        <w:rPr>
          <w:rFonts w:ascii="Book Antiqua" w:eastAsia="Book Antiqua" w:hAnsi="Book Antiqua" w:cs="Book Antiqua"/>
          <w:color w:val="000000"/>
        </w:rPr>
        <w:t>16095.</w:t>
      </w:r>
    </w:p>
    <w:p w14:paraId="1621CBCA" w14:textId="77777777" w:rsidR="008D0BA6" w:rsidRPr="00D35DBC" w:rsidRDefault="008D0BA6" w:rsidP="00D35DBC">
      <w:pPr>
        <w:spacing w:line="360" w:lineRule="auto"/>
        <w:jc w:val="both"/>
        <w:rPr>
          <w:rFonts w:ascii="Book Antiqua" w:hAnsi="Book Antiqua"/>
        </w:rPr>
      </w:pPr>
    </w:p>
    <w:p w14:paraId="2993C7BF"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Peer-review started: </w:t>
      </w:r>
      <w:r w:rsidRPr="00D35DBC">
        <w:rPr>
          <w:rFonts w:ascii="Book Antiqua" w:eastAsia="Book Antiqua" w:hAnsi="Book Antiqua" w:cs="Book Antiqua"/>
          <w:color w:val="000000"/>
        </w:rPr>
        <w:t>January 19, 2021</w:t>
      </w:r>
    </w:p>
    <w:p w14:paraId="2562A92E"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First decision: </w:t>
      </w:r>
      <w:r w:rsidRPr="00D35DBC">
        <w:rPr>
          <w:rFonts w:ascii="Book Antiqua" w:eastAsia="Book Antiqua" w:hAnsi="Book Antiqua" w:cs="Book Antiqua"/>
          <w:color w:val="000000"/>
        </w:rPr>
        <w:t>February 14, 2021</w:t>
      </w:r>
    </w:p>
    <w:p w14:paraId="5501056E" w14:textId="7937EB65"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Article in press: </w:t>
      </w:r>
      <w:r w:rsidR="00E3008F" w:rsidRPr="00BC012B">
        <w:rPr>
          <w:rFonts w:ascii="Book Antiqua" w:eastAsia="Book Antiqua" w:hAnsi="Book Antiqua" w:cs="Book Antiqua"/>
          <w:color w:val="000000" w:themeColor="text1"/>
        </w:rPr>
        <w:t>April 22, 2021</w:t>
      </w:r>
    </w:p>
    <w:p w14:paraId="233A1DE3" w14:textId="77777777" w:rsidR="008D0BA6" w:rsidRPr="00D35DBC" w:rsidRDefault="008D0BA6" w:rsidP="00D35DBC">
      <w:pPr>
        <w:spacing w:line="360" w:lineRule="auto"/>
        <w:jc w:val="both"/>
        <w:rPr>
          <w:rFonts w:ascii="Book Antiqua" w:hAnsi="Book Antiqua"/>
        </w:rPr>
      </w:pPr>
    </w:p>
    <w:p w14:paraId="0799478A" w14:textId="48EF3DFF"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Specialty type: </w:t>
      </w:r>
      <w:r w:rsidRPr="00D35DBC">
        <w:rPr>
          <w:rFonts w:ascii="Book Antiqua" w:eastAsia="Book Antiqua" w:hAnsi="Book Antiqua" w:cs="Book Antiqua"/>
          <w:color w:val="000000"/>
        </w:rPr>
        <w:t xml:space="preserve">Gastroenterology and </w:t>
      </w:r>
      <w:r w:rsidR="00ED3144" w:rsidRPr="00D35DBC">
        <w:rPr>
          <w:rFonts w:ascii="Book Antiqua" w:eastAsia="Book Antiqua" w:hAnsi="Book Antiqua" w:cs="Book Antiqua"/>
          <w:color w:val="000000"/>
        </w:rPr>
        <w:t>h</w:t>
      </w:r>
      <w:r w:rsidRPr="00D35DBC">
        <w:rPr>
          <w:rFonts w:ascii="Book Antiqua" w:eastAsia="Book Antiqua" w:hAnsi="Book Antiqua" w:cs="Book Antiqua"/>
          <w:color w:val="000000"/>
        </w:rPr>
        <w:t>epatology</w:t>
      </w:r>
    </w:p>
    <w:p w14:paraId="1E5A23D8"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Country/Territory of origin: </w:t>
      </w:r>
      <w:r w:rsidRPr="00D35DBC">
        <w:rPr>
          <w:rFonts w:ascii="Book Antiqua" w:eastAsia="Book Antiqua" w:hAnsi="Book Antiqua" w:cs="Book Antiqua"/>
          <w:color w:val="000000"/>
        </w:rPr>
        <w:t>Japan</w:t>
      </w:r>
    </w:p>
    <w:p w14:paraId="031DDD7B"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Peer-review report’s scientific quality classification</w:t>
      </w:r>
    </w:p>
    <w:p w14:paraId="2BC65A27"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A (Excellent): 0</w:t>
      </w:r>
    </w:p>
    <w:p w14:paraId="737D52EC"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B (Very good): 0</w:t>
      </w:r>
    </w:p>
    <w:p w14:paraId="29E326E4" w14:textId="0C892F48"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C (Good): C</w:t>
      </w:r>
      <w:r w:rsidR="00EE599C" w:rsidRPr="00D35DBC">
        <w:rPr>
          <w:rFonts w:ascii="Book Antiqua" w:eastAsia="Book Antiqua" w:hAnsi="Book Antiqua" w:cs="Book Antiqua"/>
          <w:color w:val="000000"/>
        </w:rPr>
        <w:t>, C</w:t>
      </w:r>
    </w:p>
    <w:p w14:paraId="0A57B5C0"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D (Fair): 0</w:t>
      </w:r>
    </w:p>
    <w:p w14:paraId="61E42DB6"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E (Poor): 0</w:t>
      </w:r>
    </w:p>
    <w:p w14:paraId="09BA8A58" w14:textId="77777777" w:rsidR="008D0BA6" w:rsidRPr="00D35DBC" w:rsidRDefault="008D0BA6" w:rsidP="00D35DBC">
      <w:pPr>
        <w:spacing w:line="360" w:lineRule="auto"/>
        <w:jc w:val="both"/>
        <w:rPr>
          <w:rFonts w:ascii="Book Antiqua" w:hAnsi="Book Antiqua"/>
        </w:rPr>
      </w:pPr>
    </w:p>
    <w:p w14:paraId="1978AACA" w14:textId="0B1B40A6" w:rsidR="008D0BA6" w:rsidRDefault="008D0BA6" w:rsidP="00D35DBC">
      <w:pPr>
        <w:spacing w:line="360" w:lineRule="auto"/>
        <w:jc w:val="both"/>
        <w:rPr>
          <w:rFonts w:ascii="Book Antiqua" w:eastAsia="Book Antiqua" w:hAnsi="Book Antiqua" w:cs="Book Antiqua"/>
          <w:b/>
          <w:color w:val="000000"/>
        </w:rPr>
      </w:pPr>
      <w:r w:rsidRPr="00D35DBC">
        <w:rPr>
          <w:rFonts w:ascii="Book Antiqua" w:eastAsia="Book Antiqua" w:hAnsi="Book Antiqua" w:cs="Book Antiqua"/>
          <w:b/>
          <w:color w:val="000000"/>
        </w:rPr>
        <w:t xml:space="preserve">P-Reviewer: </w:t>
      </w:r>
      <w:r w:rsidRPr="00D35DBC">
        <w:rPr>
          <w:rFonts w:ascii="Book Antiqua" w:eastAsia="Book Antiqua" w:hAnsi="Book Antiqua" w:cs="Book Antiqua"/>
          <w:color w:val="000000"/>
        </w:rPr>
        <w:t>Shi Y</w:t>
      </w:r>
      <w:r w:rsidRPr="00D35DBC">
        <w:rPr>
          <w:rFonts w:ascii="Book Antiqua" w:eastAsia="Book Antiqua" w:hAnsi="Book Antiqua" w:cs="Book Antiqua"/>
          <w:b/>
          <w:color w:val="000000"/>
        </w:rPr>
        <w:t xml:space="preserve"> S-Editor: </w:t>
      </w:r>
      <w:r w:rsidRPr="00D35DBC">
        <w:rPr>
          <w:rFonts w:ascii="Book Antiqua" w:eastAsia="Book Antiqua" w:hAnsi="Book Antiqua" w:cs="Book Antiqua"/>
          <w:color w:val="000000"/>
        </w:rPr>
        <w:t>Liu M</w:t>
      </w:r>
      <w:r w:rsidRPr="00D35DBC">
        <w:rPr>
          <w:rFonts w:ascii="Book Antiqua" w:eastAsia="Book Antiqua" w:hAnsi="Book Antiqua" w:cs="Book Antiqua"/>
          <w:b/>
          <w:color w:val="000000"/>
        </w:rPr>
        <w:t xml:space="preserve"> L-Editor: </w:t>
      </w:r>
      <w:r w:rsidR="00E3008F" w:rsidRPr="00E3008F">
        <w:rPr>
          <w:rFonts w:ascii="Book Antiqua" w:eastAsia="Book Antiqua" w:hAnsi="Book Antiqua" w:cs="Book Antiqua"/>
          <w:bCs/>
          <w:color w:val="000000"/>
        </w:rPr>
        <w:t>A</w:t>
      </w:r>
      <w:r w:rsidRPr="00D35DBC">
        <w:rPr>
          <w:rFonts w:ascii="Book Antiqua" w:eastAsia="Book Antiqua" w:hAnsi="Book Antiqua" w:cs="Book Antiqua"/>
          <w:b/>
          <w:color w:val="000000"/>
        </w:rPr>
        <w:t xml:space="preserve"> P-Editor: </w:t>
      </w:r>
      <w:r w:rsidR="00E3008F" w:rsidRPr="00E3008F">
        <w:rPr>
          <w:rFonts w:ascii="Book Antiqua" w:eastAsia="Book Antiqua" w:hAnsi="Book Antiqua" w:cs="Book Antiqua"/>
          <w:bCs/>
          <w:color w:val="000000"/>
        </w:rPr>
        <w:t>Li JH</w:t>
      </w:r>
    </w:p>
    <w:p w14:paraId="67854DCD" w14:textId="77777777" w:rsidR="00E3008F" w:rsidRDefault="00E3008F" w:rsidP="00D35DBC">
      <w:pPr>
        <w:spacing w:line="360" w:lineRule="auto"/>
        <w:jc w:val="both"/>
        <w:rPr>
          <w:rFonts w:ascii="Book Antiqua" w:eastAsia="Book Antiqua" w:hAnsi="Book Antiqua" w:cs="Book Antiqua"/>
          <w:b/>
          <w:color w:val="000000"/>
        </w:rPr>
      </w:pPr>
    </w:p>
    <w:p w14:paraId="545A02AC" w14:textId="487FBD13" w:rsidR="00E3008F" w:rsidRPr="00D35DBC" w:rsidRDefault="00E3008F" w:rsidP="00D35DBC">
      <w:pPr>
        <w:spacing w:line="360" w:lineRule="auto"/>
        <w:jc w:val="both"/>
        <w:rPr>
          <w:rFonts w:ascii="Book Antiqua" w:hAnsi="Book Antiqua"/>
        </w:rPr>
        <w:sectPr w:rsidR="00E3008F" w:rsidRPr="00D35DBC">
          <w:pgSz w:w="12240" w:h="15840"/>
          <w:pgMar w:top="1440" w:right="1440" w:bottom="1440" w:left="1440" w:header="720" w:footer="720" w:gutter="0"/>
          <w:cols w:space="720"/>
          <w:docGrid w:linePitch="360"/>
        </w:sectPr>
      </w:pPr>
    </w:p>
    <w:p w14:paraId="1C255CE0"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lastRenderedPageBreak/>
        <w:t>Figure Legends</w:t>
      </w:r>
    </w:p>
    <w:p w14:paraId="205A2DE1" w14:textId="56BA848C" w:rsidR="00E549F5" w:rsidRPr="00D35DBC" w:rsidRDefault="009D1D46" w:rsidP="00D35DBC">
      <w:pPr>
        <w:adjustRightInd w:val="0"/>
        <w:snapToGrid w:val="0"/>
        <w:spacing w:line="360" w:lineRule="auto"/>
        <w:jc w:val="both"/>
        <w:rPr>
          <w:rFonts w:ascii="Book Antiqua" w:hAnsi="Book Antiqua"/>
          <w:color w:val="000000" w:themeColor="text1"/>
        </w:rPr>
      </w:pPr>
      <w:r w:rsidRPr="00D35DBC">
        <w:rPr>
          <w:rFonts w:ascii="Book Antiqua" w:hAnsi="Book Antiqua"/>
          <w:noProof/>
          <w:color w:val="000000" w:themeColor="text1"/>
          <w:lang w:eastAsia="ja-JP"/>
        </w:rPr>
        <w:drawing>
          <wp:inline distT="0" distB="0" distL="0" distR="0" wp14:anchorId="18E4ED0D" wp14:editId="778D5B47">
            <wp:extent cx="3931319" cy="31400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189" cy="3144764"/>
                    </a:xfrm>
                    <a:prstGeom prst="rect">
                      <a:avLst/>
                    </a:prstGeom>
                    <a:noFill/>
                  </pic:spPr>
                </pic:pic>
              </a:graphicData>
            </a:graphic>
          </wp:inline>
        </w:drawing>
      </w:r>
    </w:p>
    <w:p w14:paraId="1B52CE62" w14:textId="541516DA" w:rsidR="009D1D46" w:rsidRPr="00D35DBC" w:rsidRDefault="00C1648E" w:rsidP="00D35DBC">
      <w:pPr>
        <w:adjustRightInd w:val="0"/>
        <w:snapToGrid w:val="0"/>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b/>
          <w:bCs/>
          <w:color w:val="000000" w:themeColor="text1"/>
        </w:rPr>
        <w:t>Fig</w:t>
      </w:r>
      <w:r w:rsidR="009D1D46" w:rsidRPr="00D35DBC">
        <w:rPr>
          <w:rFonts w:ascii="Book Antiqua" w:eastAsia="Book Antiqua" w:hAnsi="Book Antiqua" w:cs="Book Antiqua"/>
          <w:b/>
          <w:bCs/>
          <w:color w:val="000000" w:themeColor="text1"/>
        </w:rPr>
        <w:t>ure</w:t>
      </w:r>
      <w:r w:rsidRPr="00D35DBC">
        <w:rPr>
          <w:rFonts w:ascii="Book Antiqua" w:eastAsia="Book Antiqua" w:hAnsi="Book Antiqua" w:cs="Book Antiqua"/>
          <w:b/>
          <w:bCs/>
          <w:color w:val="000000" w:themeColor="text1"/>
        </w:rPr>
        <w:t xml:space="preserve"> 1</w:t>
      </w:r>
      <w:r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b/>
          <w:color w:val="000000" w:themeColor="text1"/>
        </w:rPr>
        <w:t xml:space="preserve">CONSORT flowchart of the </w:t>
      </w:r>
      <w:r w:rsidR="009D1D46" w:rsidRPr="00D35DBC">
        <w:rPr>
          <w:rFonts w:ascii="Book Antiqua" w:eastAsia="Book Antiqua" w:hAnsi="Book Antiqua" w:cs="Book Antiqua"/>
          <w:b/>
          <w:color w:val="000000" w:themeColor="text1"/>
        </w:rPr>
        <w:t>Postgastrectomy Syndrome Assessment Scale</w:t>
      </w:r>
      <w:r w:rsidRPr="00D35DBC">
        <w:rPr>
          <w:rFonts w:ascii="Book Antiqua" w:eastAsia="Book Antiqua" w:hAnsi="Book Antiqua" w:cs="Book Antiqua"/>
          <w:b/>
          <w:color w:val="000000" w:themeColor="text1"/>
        </w:rPr>
        <w:t xml:space="preserve"> study</w:t>
      </w:r>
      <w:r w:rsidR="00202558" w:rsidRPr="00D35DBC">
        <w:rPr>
          <w:rFonts w:ascii="Book Antiqua" w:eastAsia="Book Antiqua" w:hAnsi="Book Antiqua" w:cs="Book Antiqua"/>
          <w:b/>
          <w:color w:val="000000" w:themeColor="text1"/>
        </w:rPr>
        <w:t>.</w:t>
      </w:r>
      <w:r w:rsidR="00202558" w:rsidRPr="00D35DBC">
        <w:rPr>
          <w:rFonts w:ascii="Book Antiqua" w:eastAsia="Book Antiqua" w:hAnsi="Book Antiqua" w:cs="Book Antiqua"/>
          <w:color w:val="000000" w:themeColor="text1"/>
        </w:rPr>
        <w:t xml:space="preserve"> TGRY: Total gastrectomy with Roux-en-Y reconstruction; PG: Proximal gastrectomy; DGRY: Distal gastrectomy with Roux-en-Y reconstruction; DGBI: Distal gastrectomy with Billroth I reconstruction; PPG: Pylorus preserving gastrectomy; LR: Local resection of the stomach.</w:t>
      </w:r>
    </w:p>
    <w:p w14:paraId="6B66BF4F" w14:textId="77777777" w:rsidR="009D1D46" w:rsidRPr="00D35DBC" w:rsidRDefault="009D1D46" w:rsidP="00D35DBC">
      <w:pPr>
        <w:adjustRightInd w:val="0"/>
        <w:snapToGrid w:val="0"/>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color w:val="000000" w:themeColor="text1"/>
        </w:rPr>
        <w:br w:type="page"/>
      </w:r>
    </w:p>
    <w:p w14:paraId="144EF093" w14:textId="25672A37" w:rsidR="00A77B3E" w:rsidRPr="00D35DBC" w:rsidRDefault="009D1D46" w:rsidP="00D35DBC">
      <w:pPr>
        <w:adjustRightInd w:val="0"/>
        <w:snapToGrid w:val="0"/>
        <w:spacing w:line="360" w:lineRule="auto"/>
        <w:jc w:val="both"/>
        <w:rPr>
          <w:rFonts w:ascii="Book Antiqua" w:hAnsi="Book Antiqua"/>
          <w:color w:val="000000" w:themeColor="text1"/>
        </w:rPr>
      </w:pPr>
      <w:r w:rsidRPr="00D35DBC">
        <w:rPr>
          <w:rFonts w:ascii="Book Antiqua" w:hAnsi="Book Antiqua"/>
          <w:noProof/>
          <w:color w:val="000000" w:themeColor="text1"/>
          <w:lang w:eastAsia="ja-JP"/>
        </w:rPr>
        <w:lastRenderedPageBreak/>
        <w:drawing>
          <wp:inline distT="0" distB="0" distL="0" distR="0" wp14:anchorId="20FECD4C" wp14:editId="64364173">
            <wp:extent cx="4260215" cy="3029581"/>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1522" cy="3037622"/>
                    </a:xfrm>
                    <a:prstGeom prst="rect">
                      <a:avLst/>
                    </a:prstGeom>
                    <a:noFill/>
                  </pic:spPr>
                </pic:pic>
              </a:graphicData>
            </a:graphic>
          </wp:inline>
        </w:drawing>
      </w:r>
    </w:p>
    <w:p w14:paraId="52C43DF2" w14:textId="5EC20199" w:rsidR="00C1648E" w:rsidRPr="00D35DBC" w:rsidRDefault="00C1648E" w:rsidP="00D35DBC">
      <w:pPr>
        <w:adjustRightInd w:val="0"/>
        <w:snapToGrid w:val="0"/>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b/>
          <w:bCs/>
          <w:color w:val="000000" w:themeColor="text1"/>
        </w:rPr>
        <w:t>Fig</w:t>
      </w:r>
      <w:r w:rsidR="008D0BA6" w:rsidRPr="00D35DBC">
        <w:rPr>
          <w:rFonts w:ascii="Book Antiqua" w:eastAsia="Book Antiqua" w:hAnsi="Book Antiqua" w:cs="Book Antiqua"/>
          <w:b/>
          <w:bCs/>
          <w:color w:val="000000" w:themeColor="text1"/>
        </w:rPr>
        <w:t>ure</w:t>
      </w:r>
      <w:r w:rsidRPr="00D35DBC">
        <w:rPr>
          <w:rFonts w:ascii="Book Antiqua" w:eastAsia="Book Antiqua" w:hAnsi="Book Antiqua" w:cs="Book Antiqua"/>
          <w:b/>
          <w:bCs/>
          <w:color w:val="000000" w:themeColor="text1"/>
        </w:rPr>
        <w:t xml:space="preserve"> 2</w:t>
      </w:r>
      <w:r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b/>
          <w:color w:val="000000" w:themeColor="text1"/>
        </w:rPr>
        <w:t xml:space="preserve">General </w:t>
      </w:r>
      <w:r w:rsidR="009D1D46" w:rsidRPr="00D35DBC">
        <w:rPr>
          <w:rFonts w:ascii="Book Antiqua" w:eastAsia="Book Antiqua" w:hAnsi="Book Antiqua" w:cs="Book Antiqua"/>
          <w:b/>
          <w:color w:val="000000" w:themeColor="text1"/>
        </w:rPr>
        <w:t>quality of life</w:t>
      </w:r>
      <w:r w:rsidRPr="00D35DBC">
        <w:rPr>
          <w:rFonts w:ascii="Book Antiqua" w:eastAsia="Book Antiqua" w:hAnsi="Book Antiqua" w:cs="Book Antiqua"/>
          <w:b/>
          <w:color w:val="000000" w:themeColor="text1"/>
        </w:rPr>
        <w:t xml:space="preserve"> scores after the six main gastrectomy procedures</w:t>
      </w:r>
      <w:r w:rsidR="00202558" w:rsidRPr="00D35DBC">
        <w:rPr>
          <w:rFonts w:ascii="Book Antiqua" w:eastAsia="Book Antiqua" w:hAnsi="Book Antiqua" w:cs="Book Antiqua"/>
          <w:b/>
          <w:color w:val="000000" w:themeColor="text1"/>
        </w:rPr>
        <w:t>.</w:t>
      </w:r>
      <w:r w:rsidR="00202558" w:rsidRPr="00D35DBC">
        <w:rPr>
          <w:rFonts w:ascii="Book Antiqua" w:eastAsia="Book Antiqua" w:hAnsi="Book Antiqua" w:cs="Book Antiqua"/>
          <w:color w:val="000000" w:themeColor="text1"/>
        </w:rPr>
        <w:t xml:space="preserve"> TGRY: Total gastrectomy with Roux-en-Y reconstruction; PG: Proximal gastrectomy; DGRY: Distal gastrectomy with Roux-en-Y reconstruction; DGBI: Distal gastrectomy with Billroth I reconstruction; PPG: Pylorus preserving gastrectomy; LR: Local resection of the stomach.</w:t>
      </w:r>
    </w:p>
    <w:p w14:paraId="2EF2D3E5" w14:textId="0A889403" w:rsidR="00C1648E" w:rsidRPr="00D35DBC" w:rsidRDefault="00C1648E" w:rsidP="00D35DBC">
      <w:pPr>
        <w:adjustRightInd w:val="0"/>
        <w:snapToGrid w:val="0"/>
        <w:spacing w:line="360" w:lineRule="auto"/>
        <w:jc w:val="both"/>
        <w:rPr>
          <w:rFonts w:ascii="Book Antiqua" w:eastAsia="MS PGothic" w:hAnsi="Book Antiqua" w:cs="MS PGothic"/>
          <w:color w:val="000000" w:themeColor="text1"/>
        </w:rPr>
        <w:sectPr w:rsidR="00C1648E" w:rsidRPr="00D35DBC">
          <w:pgSz w:w="12240" w:h="15840"/>
          <w:pgMar w:top="1440" w:right="1440" w:bottom="1440" w:left="1440" w:header="720" w:footer="720" w:gutter="0"/>
          <w:cols w:space="720"/>
          <w:docGrid w:linePitch="360"/>
        </w:sectPr>
      </w:pPr>
    </w:p>
    <w:p w14:paraId="162C59D3" w14:textId="40A1EC09" w:rsidR="00C1648E" w:rsidRPr="00D35DBC" w:rsidRDefault="00C1648E" w:rsidP="00D35DBC">
      <w:pPr>
        <w:adjustRightInd w:val="0"/>
        <w:snapToGrid w:val="0"/>
        <w:spacing w:line="360" w:lineRule="auto"/>
        <w:jc w:val="both"/>
        <w:rPr>
          <w:rFonts w:ascii="Book Antiqua" w:eastAsia="MS PGothic" w:hAnsi="Book Antiqua" w:cs="MS PGothic"/>
          <w:b/>
          <w:bCs/>
          <w:color w:val="000000" w:themeColor="text1"/>
        </w:rPr>
      </w:pPr>
      <w:r w:rsidRPr="00D35DBC">
        <w:rPr>
          <w:rFonts w:ascii="Book Antiqua" w:eastAsia="MS PGothic" w:hAnsi="Book Antiqua" w:cs="MS PGothic"/>
          <w:b/>
          <w:bCs/>
          <w:color w:val="000000" w:themeColor="text1"/>
        </w:rPr>
        <w:lastRenderedPageBreak/>
        <w:t xml:space="preserve">Table 1 Structure of </w:t>
      </w:r>
      <w:r w:rsidR="005C1412" w:rsidRPr="00D35DBC">
        <w:rPr>
          <w:rFonts w:ascii="Book Antiqua" w:eastAsia="MS PGothic" w:hAnsi="Book Antiqua" w:cs="MS PGothic"/>
          <w:b/>
          <w:bCs/>
          <w:color w:val="000000" w:themeColor="text1"/>
        </w:rPr>
        <w:t>Postgastrectomy Syndrome Assessment Scale-45</w:t>
      </w:r>
    </w:p>
    <w:tbl>
      <w:tblPr>
        <w:tblW w:w="12607" w:type="dxa"/>
        <w:tblInd w:w="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37"/>
        <w:gridCol w:w="2020"/>
        <w:gridCol w:w="540"/>
        <w:gridCol w:w="4840"/>
        <w:gridCol w:w="1843"/>
        <w:gridCol w:w="2027"/>
      </w:tblGrid>
      <w:tr w:rsidR="00581C8A" w:rsidRPr="00D35DBC" w14:paraId="61CE29D9" w14:textId="77777777" w:rsidTr="00906510">
        <w:trPr>
          <w:trHeight w:val="550"/>
        </w:trPr>
        <w:tc>
          <w:tcPr>
            <w:tcW w:w="1337" w:type="dxa"/>
            <w:tcBorders>
              <w:top w:val="single" w:sz="4" w:space="0" w:color="auto"/>
              <w:bottom w:val="single" w:sz="4" w:space="0" w:color="auto"/>
            </w:tcBorders>
            <w:noWrap/>
            <w:vAlign w:val="bottom"/>
            <w:hideMark/>
          </w:tcPr>
          <w:p w14:paraId="3E7EA6D4"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Domains</w:t>
            </w:r>
          </w:p>
        </w:tc>
        <w:tc>
          <w:tcPr>
            <w:tcW w:w="2020" w:type="dxa"/>
            <w:tcBorders>
              <w:top w:val="single" w:sz="4" w:space="0" w:color="auto"/>
              <w:bottom w:val="single" w:sz="4" w:space="0" w:color="auto"/>
            </w:tcBorders>
            <w:noWrap/>
            <w:vAlign w:val="bottom"/>
            <w:hideMark/>
          </w:tcPr>
          <w:p w14:paraId="1BD2EF2E"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Subdomains</w:t>
            </w:r>
          </w:p>
        </w:tc>
        <w:tc>
          <w:tcPr>
            <w:tcW w:w="540" w:type="dxa"/>
            <w:tcBorders>
              <w:top w:val="single" w:sz="4" w:space="0" w:color="auto"/>
              <w:bottom w:val="single" w:sz="4" w:space="0" w:color="auto"/>
            </w:tcBorders>
            <w:noWrap/>
            <w:vAlign w:val="bottom"/>
            <w:hideMark/>
          </w:tcPr>
          <w:p w14:paraId="062E7B3A" w14:textId="3FB19206"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p>
        </w:tc>
        <w:tc>
          <w:tcPr>
            <w:tcW w:w="4840" w:type="dxa"/>
            <w:tcBorders>
              <w:top w:val="single" w:sz="4" w:space="0" w:color="auto"/>
              <w:bottom w:val="single" w:sz="4" w:space="0" w:color="auto"/>
            </w:tcBorders>
            <w:noWrap/>
            <w:vAlign w:val="bottom"/>
            <w:hideMark/>
          </w:tcPr>
          <w:p w14:paraId="403A066F"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Items</w:t>
            </w:r>
          </w:p>
        </w:tc>
        <w:tc>
          <w:tcPr>
            <w:tcW w:w="1843" w:type="dxa"/>
            <w:tcBorders>
              <w:top w:val="single" w:sz="4" w:space="0" w:color="auto"/>
              <w:bottom w:val="single" w:sz="4" w:space="0" w:color="auto"/>
            </w:tcBorders>
            <w:noWrap/>
            <w:vAlign w:val="bottom"/>
            <w:hideMark/>
          </w:tcPr>
          <w:p w14:paraId="0D15AA2B" w14:textId="1A3BD69C"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p>
        </w:tc>
        <w:tc>
          <w:tcPr>
            <w:tcW w:w="2027" w:type="dxa"/>
            <w:tcBorders>
              <w:top w:val="single" w:sz="4" w:space="0" w:color="auto"/>
              <w:bottom w:val="single" w:sz="4" w:space="0" w:color="auto"/>
            </w:tcBorders>
            <w:noWrap/>
            <w:vAlign w:val="bottom"/>
            <w:hideMark/>
          </w:tcPr>
          <w:p w14:paraId="132DDEEF"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Subscales</w:t>
            </w:r>
          </w:p>
        </w:tc>
      </w:tr>
      <w:tr w:rsidR="00581C8A" w:rsidRPr="00D35DBC" w14:paraId="38095B42" w14:textId="77777777" w:rsidTr="00906510">
        <w:trPr>
          <w:trHeight w:val="300"/>
        </w:trPr>
        <w:tc>
          <w:tcPr>
            <w:tcW w:w="1337" w:type="dxa"/>
            <w:vMerge w:val="restart"/>
            <w:tcBorders>
              <w:top w:val="single" w:sz="4" w:space="0" w:color="auto"/>
            </w:tcBorders>
            <w:noWrap/>
            <w:vAlign w:val="center"/>
            <w:hideMark/>
          </w:tcPr>
          <w:p w14:paraId="3D285E6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QOL</w:t>
            </w:r>
          </w:p>
        </w:tc>
        <w:tc>
          <w:tcPr>
            <w:tcW w:w="2020" w:type="dxa"/>
            <w:vMerge w:val="restart"/>
            <w:tcBorders>
              <w:top w:val="single" w:sz="4" w:space="0" w:color="auto"/>
            </w:tcBorders>
            <w:vAlign w:val="center"/>
            <w:hideMark/>
          </w:tcPr>
          <w:p w14:paraId="50BB20F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SF-8 (QOL)</w:t>
            </w:r>
          </w:p>
        </w:tc>
        <w:tc>
          <w:tcPr>
            <w:tcW w:w="540" w:type="dxa"/>
            <w:tcBorders>
              <w:top w:val="single" w:sz="4" w:space="0" w:color="auto"/>
            </w:tcBorders>
            <w:noWrap/>
            <w:vAlign w:val="bottom"/>
            <w:hideMark/>
          </w:tcPr>
          <w:p w14:paraId="35ED55E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w:t>
            </w:r>
          </w:p>
        </w:tc>
        <w:tc>
          <w:tcPr>
            <w:tcW w:w="4840" w:type="dxa"/>
            <w:tcBorders>
              <w:top w:val="single" w:sz="4" w:space="0" w:color="auto"/>
            </w:tcBorders>
            <w:noWrap/>
            <w:vAlign w:val="bottom"/>
            <w:hideMark/>
          </w:tcPr>
          <w:p w14:paraId="6D04C658" w14:textId="4F60642E"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Physical functioning</w:t>
            </w:r>
          </w:p>
        </w:tc>
        <w:tc>
          <w:tcPr>
            <w:tcW w:w="1843" w:type="dxa"/>
            <w:tcBorders>
              <w:top w:val="single" w:sz="4" w:space="0" w:color="auto"/>
            </w:tcBorders>
            <w:noWrap/>
            <w:vAlign w:val="bottom"/>
            <w:hideMark/>
          </w:tcPr>
          <w:p w14:paraId="6B3A18D9" w14:textId="78B68B9E" w:rsidR="00C1648E" w:rsidRPr="00D35DBC" w:rsidRDefault="009D1D46"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w:t>
            </w:r>
            <w:r w:rsidR="00C1648E" w:rsidRPr="00D35DBC">
              <w:rPr>
                <w:rFonts w:ascii="Book Antiqua" w:eastAsia="MS PGothic" w:hAnsi="Book Antiqua"/>
                <w:color w:val="000000" w:themeColor="text1"/>
              </w:rPr>
              <w:t>ive or six-point Likert scale</w:t>
            </w:r>
          </w:p>
        </w:tc>
        <w:tc>
          <w:tcPr>
            <w:tcW w:w="2027" w:type="dxa"/>
            <w:tcBorders>
              <w:top w:val="single" w:sz="4" w:space="0" w:color="auto"/>
            </w:tcBorders>
            <w:noWrap/>
            <w:vAlign w:val="bottom"/>
            <w:hideMark/>
          </w:tcPr>
          <w:p w14:paraId="2ED838D7" w14:textId="13C4018A"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u w:val="single"/>
              </w:rPr>
              <w:t>Physical component summary</w:t>
            </w:r>
            <w:r w:rsidRPr="00D35DBC">
              <w:rPr>
                <w:rFonts w:ascii="Book Antiqua" w:eastAsia="MS PGothic" w:hAnsi="Book Antiqua"/>
                <w:color w:val="000000" w:themeColor="text1"/>
              </w:rPr>
              <w:t xml:space="preserve"> (item 1-8)</w:t>
            </w:r>
          </w:p>
        </w:tc>
      </w:tr>
      <w:tr w:rsidR="00581C8A" w:rsidRPr="00D35DBC" w14:paraId="0BB07118" w14:textId="77777777" w:rsidTr="00906510">
        <w:trPr>
          <w:trHeight w:val="300"/>
        </w:trPr>
        <w:tc>
          <w:tcPr>
            <w:tcW w:w="0" w:type="auto"/>
            <w:vMerge/>
            <w:vAlign w:val="center"/>
            <w:hideMark/>
          </w:tcPr>
          <w:p w14:paraId="59FED3E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2015535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D29F59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w:t>
            </w:r>
          </w:p>
        </w:tc>
        <w:tc>
          <w:tcPr>
            <w:tcW w:w="4840" w:type="dxa"/>
            <w:noWrap/>
            <w:vAlign w:val="bottom"/>
            <w:hideMark/>
          </w:tcPr>
          <w:p w14:paraId="7DBF46F1" w14:textId="3FF02369"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Role physical</w:t>
            </w:r>
          </w:p>
        </w:tc>
        <w:tc>
          <w:tcPr>
            <w:tcW w:w="1843" w:type="dxa"/>
            <w:noWrap/>
            <w:vAlign w:val="bottom"/>
            <w:hideMark/>
          </w:tcPr>
          <w:p w14:paraId="2E118875" w14:textId="04A4DDC4"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71ACC28C" w14:textId="617BD7B5"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u w:val="single"/>
              </w:rPr>
              <w:t>Mental component summary</w:t>
            </w:r>
            <w:r w:rsidRPr="00D35DBC">
              <w:rPr>
                <w:rFonts w:ascii="Book Antiqua" w:eastAsia="MS PGothic" w:hAnsi="Book Antiqua"/>
                <w:color w:val="000000" w:themeColor="text1"/>
              </w:rPr>
              <w:t xml:space="preserve"> (item 1-8)</w:t>
            </w:r>
          </w:p>
        </w:tc>
      </w:tr>
      <w:tr w:rsidR="00581C8A" w:rsidRPr="00D35DBC" w14:paraId="47774B0C" w14:textId="77777777" w:rsidTr="00906510">
        <w:trPr>
          <w:trHeight w:val="300"/>
        </w:trPr>
        <w:tc>
          <w:tcPr>
            <w:tcW w:w="0" w:type="auto"/>
            <w:vMerge/>
            <w:vAlign w:val="center"/>
            <w:hideMark/>
          </w:tcPr>
          <w:p w14:paraId="0AEF5F7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1C2F19F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6043DF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w:t>
            </w:r>
          </w:p>
        </w:tc>
        <w:tc>
          <w:tcPr>
            <w:tcW w:w="4840" w:type="dxa"/>
            <w:noWrap/>
            <w:vAlign w:val="bottom"/>
            <w:hideMark/>
          </w:tcPr>
          <w:p w14:paraId="7BC95A9B" w14:textId="7A8B3FCB"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Bodily pain</w:t>
            </w:r>
          </w:p>
        </w:tc>
        <w:tc>
          <w:tcPr>
            <w:tcW w:w="1843" w:type="dxa"/>
            <w:noWrap/>
            <w:vAlign w:val="bottom"/>
            <w:hideMark/>
          </w:tcPr>
          <w:p w14:paraId="76A5E983" w14:textId="43DC596E"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55FC3482" w14:textId="775FB7C2"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21863859" w14:textId="77777777" w:rsidTr="00906510">
        <w:trPr>
          <w:trHeight w:val="300"/>
        </w:trPr>
        <w:tc>
          <w:tcPr>
            <w:tcW w:w="0" w:type="auto"/>
            <w:vMerge/>
            <w:vAlign w:val="center"/>
            <w:hideMark/>
          </w:tcPr>
          <w:p w14:paraId="4686F3C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42442DF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CA4D19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w:t>
            </w:r>
          </w:p>
        </w:tc>
        <w:tc>
          <w:tcPr>
            <w:tcW w:w="4840" w:type="dxa"/>
            <w:noWrap/>
            <w:vAlign w:val="bottom"/>
            <w:hideMark/>
          </w:tcPr>
          <w:p w14:paraId="6A09A522" w14:textId="4B1B47FB"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General health</w:t>
            </w:r>
          </w:p>
        </w:tc>
        <w:tc>
          <w:tcPr>
            <w:tcW w:w="1843" w:type="dxa"/>
            <w:noWrap/>
            <w:vAlign w:val="bottom"/>
            <w:hideMark/>
          </w:tcPr>
          <w:p w14:paraId="0F10FF4B" w14:textId="2E1995C6"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1A1E8FFA" w14:textId="26938FFE"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2815E1E2" w14:textId="77777777" w:rsidTr="00906510">
        <w:trPr>
          <w:trHeight w:val="300"/>
        </w:trPr>
        <w:tc>
          <w:tcPr>
            <w:tcW w:w="0" w:type="auto"/>
            <w:vMerge/>
            <w:vAlign w:val="center"/>
            <w:hideMark/>
          </w:tcPr>
          <w:p w14:paraId="352C6F9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04C1FC1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20F0474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5</w:t>
            </w:r>
          </w:p>
        </w:tc>
        <w:tc>
          <w:tcPr>
            <w:tcW w:w="4840" w:type="dxa"/>
            <w:noWrap/>
            <w:vAlign w:val="bottom"/>
            <w:hideMark/>
          </w:tcPr>
          <w:p w14:paraId="3CEB81F4" w14:textId="70A53E20"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Vitality</w:t>
            </w:r>
          </w:p>
        </w:tc>
        <w:tc>
          <w:tcPr>
            <w:tcW w:w="1843" w:type="dxa"/>
            <w:noWrap/>
            <w:vAlign w:val="bottom"/>
            <w:hideMark/>
          </w:tcPr>
          <w:p w14:paraId="31E53D97" w14:textId="0607CC8F"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42789C6D" w14:textId="743F2FC9"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2FFD3EDF" w14:textId="77777777" w:rsidTr="00906510">
        <w:trPr>
          <w:trHeight w:val="300"/>
        </w:trPr>
        <w:tc>
          <w:tcPr>
            <w:tcW w:w="0" w:type="auto"/>
            <w:vMerge/>
            <w:vAlign w:val="center"/>
            <w:hideMark/>
          </w:tcPr>
          <w:p w14:paraId="6A875E3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6371A6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AFCF63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6</w:t>
            </w:r>
          </w:p>
        </w:tc>
        <w:tc>
          <w:tcPr>
            <w:tcW w:w="4840" w:type="dxa"/>
            <w:noWrap/>
            <w:vAlign w:val="bottom"/>
            <w:hideMark/>
          </w:tcPr>
          <w:p w14:paraId="057EDEDF" w14:textId="0E4D3894"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Social functioning</w:t>
            </w:r>
          </w:p>
        </w:tc>
        <w:tc>
          <w:tcPr>
            <w:tcW w:w="1843" w:type="dxa"/>
            <w:noWrap/>
            <w:vAlign w:val="bottom"/>
            <w:hideMark/>
          </w:tcPr>
          <w:p w14:paraId="6F38D5B8" w14:textId="371927CF"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726BE356" w14:textId="5B18F85B"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0830D316" w14:textId="77777777" w:rsidTr="00906510">
        <w:trPr>
          <w:trHeight w:val="300"/>
        </w:trPr>
        <w:tc>
          <w:tcPr>
            <w:tcW w:w="0" w:type="auto"/>
            <w:vMerge/>
            <w:vAlign w:val="center"/>
            <w:hideMark/>
          </w:tcPr>
          <w:p w14:paraId="2161C8C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F5F627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9522F1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7</w:t>
            </w:r>
          </w:p>
        </w:tc>
        <w:tc>
          <w:tcPr>
            <w:tcW w:w="4840" w:type="dxa"/>
            <w:noWrap/>
            <w:vAlign w:val="bottom"/>
            <w:hideMark/>
          </w:tcPr>
          <w:p w14:paraId="70E5BC2E" w14:textId="2C73AAEB"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Ro</w:t>
            </w:r>
            <w:r w:rsidR="00A37194" w:rsidRPr="00D35DBC">
              <w:rPr>
                <w:rFonts w:ascii="Book Antiqua" w:eastAsia="MS PGothic" w:hAnsi="Book Antiqua"/>
                <w:color w:val="000000" w:themeColor="text1"/>
                <w:u w:val="single"/>
              </w:rPr>
              <w:t>le emotional</w:t>
            </w:r>
          </w:p>
        </w:tc>
        <w:tc>
          <w:tcPr>
            <w:tcW w:w="1843" w:type="dxa"/>
            <w:noWrap/>
            <w:vAlign w:val="bottom"/>
            <w:hideMark/>
          </w:tcPr>
          <w:p w14:paraId="38711258" w14:textId="67FC91D3"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64D98785" w14:textId="5F73328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480B2AC4" w14:textId="77777777" w:rsidTr="00906510">
        <w:trPr>
          <w:trHeight w:val="300"/>
        </w:trPr>
        <w:tc>
          <w:tcPr>
            <w:tcW w:w="0" w:type="auto"/>
            <w:vMerge/>
            <w:vAlign w:val="center"/>
            <w:hideMark/>
          </w:tcPr>
          <w:p w14:paraId="541E975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4A0756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AC44B2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8</w:t>
            </w:r>
          </w:p>
        </w:tc>
        <w:tc>
          <w:tcPr>
            <w:tcW w:w="4840" w:type="dxa"/>
            <w:noWrap/>
            <w:vAlign w:val="bottom"/>
            <w:hideMark/>
          </w:tcPr>
          <w:p w14:paraId="2784F2FD" w14:textId="3ABD85D5" w:rsidR="00C1648E" w:rsidRPr="00D35DBC" w:rsidRDefault="00A37194"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Mental health</w:t>
            </w:r>
          </w:p>
        </w:tc>
        <w:tc>
          <w:tcPr>
            <w:tcW w:w="1843" w:type="dxa"/>
            <w:noWrap/>
            <w:vAlign w:val="bottom"/>
            <w:hideMark/>
          </w:tcPr>
          <w:p w14:paraId="326A8E21" w14:textId="61664DF1"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3CDB66FF" w14:textId="2CC8FBC8"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14ECF22D" w14:textId="77777777" w:rsidTr="00906510">
        <w:trPr>
          <w:trHeight w:val="300"/>
        </w:trPr>
        <w:tc>
          <w:tcPr>
            <w:tcW w:w="1337" w:type="dxa"/>
            <w:vMerge w:val="restart"/>
            <w:noWrap/>
            <w:vAlign w:val="center"/>
            <w:hideMark/>
          </w:tcPr>
          <w:p w14:paraId="6F746AC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Symptoms</w:t>
            </w:r>
          </w:p>
        </w:tc>
        <w:tc>
          <w:tcPr>
            <w:tcW w:w="2020" w:type="dxa"/>
            <w:vMerge w:val="restart"/>
            <w:vAlign w:val="center"/>
            <w:hideMark/>
          </w:tcPr>
          <w:p w14:paraId="603162B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GSRS (Symptoms)</w:t>
            </w:r>
          </w:p>
        </w:tc>
        <w:tc>
          <w:tcPr>
            <w:tcW w:w="540" w:type="dxa"/>
            <w:noWrap/>
            <w:vAlign w:val="bottom"/>
            <w:hideMark/>
          </w:tcPr>
          <w:p w14:paraId="61A5854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9</w:t>
            </w:r>
          </w:p>
        </w:tc>
        <w:tc>
          <w:tcPr>
            <w:tcW w:w="4840" w:type="dxa"/>
            <w:noWrap/>
            <w:vAlign w:val="bottom"/>
            <w:hideMark/>
          </w:tcPr>
          <w:p w14:paraId="25F81EB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Abdominal pains</w:t>
            </w:r>
          </w:p>
        </w:tc>
        <w:tc>
          <w:tcPr>
            <w:tcW w:w="1843" w:type="dxa"/>
            <w:noWrap/>
            <w:vAlign w:val="bottom"/>
            <w:hideMark/>
          </w:tcPr>
          <w:p w14:paraId="3ABE0A7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seven-point Likert scale</w:t>
            </w:r>
          </w:p>
        </w:tc>
        <w:tc>
          <w:tcPr>
            <w:tcW w:w="2027" w:type="dxa"/>
            <w:noWrap/>
            <w:vAlign w:val="bottom"/>
            <w:hideMark/>
          </w:tcPr>
          <w:p w14:paraId="27A58BB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Esophageal reflux subscale (item 10, 11, 13, 24)</w:t>
            </w:r>
          </w:p>
        </w:tc>
      </w:tr>
      <w:tr w:rsidR="00581C8A" w:rsidRPr="00D35DBC" w14:paraId="79C829D3" w14:textId="77777777" w:rsidTr="00906510">
        <w:trPr>
          <w:trHeight w:val="300"/>
        </w:trPr>
        <w:tc>
          <w:tcPr>
            <w:tcW w:w="0" w:type="auto"/>
            <w:vMerge/>
            <w:vAlign w:val="center"/>
            <w:hideMark/>
          </w:tcPr>
          <w:p w14:paraId="611358E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E46645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2D854AC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10</w:t>
            </w:r>
          </w:p>
        </w:tc>
        <w:tc>
          <w:tcPr>
            <w:tcW w:w="4840" w:type="dxa"/>
            <w:noWrap/>
            <w:vAlign w:val="bottom"/>
            <w:hideMark/>
          </w:tcPr>
          <w:p w14:paraId="6D93A6D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Heartburn</w:t>
            </w:r>
          </w:p>
        </w:tc>
        <w:tc>
          <w:tcPr>
            <w:tcW w:w="1843" w:type="dxa"/>
            <w:noWrap/>
            <w:vAlign w:val="bottom"/>
            <w:hideMark/>
          </w:tcPr>
          <w:p w14:paraId="54735B9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except item 29 and 32</w:t>
            </w:r>
          </w:p>
        </w:tc>
        <w:tc>
          <w:tcPr>
            <w:tcW w:w="2027" w:type="dxa"/>
            <w:noWrap/>
            <w:vAlign w:val="bottom"/>
            <w:hideMark/>
          </w:tcPr>
          <w:p w14:paraId="688CB9F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Abdominal pain subscale (item 9, 12, 28)</w:t>
            </w:r>
          </w:p>
        </w:tc>
      </w:tr>
      <w:tr w:rsidR="00581C8A" w:rsidRPr="00D35DBC" w14:paraId="029C88B3" w14:textId="77777777" w:rsidTr="00906510">
        <w:trPr>
          <w:trHeight w:val="300"/>
        </w:trPr>
        <w:tc>
          <w:tcPr>
            <w:tcW w:w="0" w:type="auto"/>
            <w:vMerge/>
            <w:vAlign w:val="center"/>
            <w:hideMark/>
          </w:tcPr>
          <w:p w14:paraId="0EF97AB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13E58A1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7EF2C0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11</w:t>
            </w:r>
          </w:p>
        </w:tc>
        <w:tc>
          <w:tcPr>
            <w:tcW w:w="4840" w:type="dxa"/>
            <w:noWrap/>
            <w:vAlign w:val="bottom"/>
            <w:hideMark/>
          </w:tcPr>
          <w:p w14:paraId="5D79180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Acid regurgitation</w:t>
            </w:r>
          </w:p>
        </w:tc>
        <w:tc>
          <w:tcPr>
            <w:tcW w:w="1843" w:type="dxa"/>
            <w:noWrap/>
            <w:vAlign w:val="bottom"/>
            <w:hideMark/>
          </w:tcPr>
          <w:p w14:paraId="099BBEAE" w14:textId="356FEA58"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36EECF8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Meal-related distress subscale (item 25-27)</w:t>
            </w:r>
          </w:p>
        </w:tc>
      </w:tr>
      <w:tr w:rsidR="00581C8A" w:rsidRPr="00D35DBC" w14:paraId="6F10CB99" w14:textId="77777777" w:rsidTr="00906510">
        <w:trPr>
          <w:trHeight w:val="300"/>
        </w:trPr>
        <w:tc>
          <w:tcPr>
            <w:tcW w:w="0" w:type="auto"/>
            <w:vMerge/>
            <w:vAlign w:val="center"/>
            <w:hideMark/>
          </w:tcPr>
          <w:p w14:paraId="4A34EAE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B24A2B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7784496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12</w:t>
            </w:r>
          </w:p>
        </w:tc>
        <w:tc>
          <w:tcPr>
            <w:tcW w:w="4840" w:type="dxa"/>
            <w:noWrap/>
            <w:vAlign w:val="bottom"/>
            <w:hideMark/>
          </w:tcPr>
          <w:p w14:paraId="29011AB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Sucking sensations in the epigastrium</w:t>
            </w:r>
          </w:p>
        </w:tc>
        <w:tc>
          <w:tcPr>
            <w:tcW w:w="1843" w:type="dxa"/>
            <w:noWrap/>
            <w:vAlign w:val="bottom"/>
            <w:hideMark/>
          </w:tcPr>
          <w:p w14:paraId="2A6987D0" w14:textId="217DFEC6"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2D8C010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Indigestion subscale (item 14-17)</w:t>
            </w:r>
          </w:p>
        </w:tc>
      </w:tr>
      <w:tr w:rsidR="00581C8A" w:rsidRPr="00D35DBC" w14:paraId="7203D003" w14:textId="77777777" w:rsidTr="00906510">
        <w:trPr>
          <w:trHeight w:val="300"/>
        </w:trPr>
        <w:tc>
          <w:tcPr>
            <w:tcW w:w="0" w:type="auto"/>
            <w:vMerge/>
            <w:vAlign w:val="center"/>
            <w:hideMark/>
          </w:tcPr>
          <w:p w14:paraId="725FAD2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B82CC0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3DAAD3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13</w:t>
            </w:r>
          </w:p>
        </w:tc>
        <w:tc>
          <w:tcPr>
            <w:tcW w:w="4840" w:type="dxa"/>
            <w:noWrap/>
            <w:vAlign w:val="bottom"/>
            <w:hideMark/>
          </w:tcPr>
          <w:p w14:paraId="3734146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Nausea and vomiting</w:t>
            </w:r>
          </w:p>
        </w:tc>
        <w:tc>
          <w:tcPr>
            <w:tcW w:w="1843" w:type="dxa"/>
            <w:noWrap/>
            <w:vAlign w:val="bottom"/>
            <w:hideMark/>
          </w:tcPr>
          <w:p w14:paraId="63FFDC87" w14:textId="79A3AC5F"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69BC25D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Diarrhea subscale (item 19, 20, 22)</w:t>
            </w:r>
          </w:p>
        </w:tc>
      </w:tr>
      <w:tr w:rsidR="00581C8A" w:rsidRPr="00D35DBC" w14:paraId="3CE3B31B" w14:textId="77777777" w:rsidTr="00906510">
        <w:trPr>
          <w:trHeight w:val="300"/>
        </w:trPr>
        <w:tc>
          <w:tcPr>
            <w:tcW w:w="0" w:type="auto"/>
            <w:vMerge/>
            <w:vAlign w:val="center"/>
            <w:hideMark/>
          </w:tcPr>
          <w:p w14:paraId="1750046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73C6442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83075D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14</w:t>
            </w:r>
          </w:p>
        </w:tc>
        <w:tc>
          <w:tcPr>
            <w:tcW w:w="4840" w:type="dxa"/>
            <w:noWrap/>
            <w:vAlign w:val="bottom"/>
            <w:hideMark/>
          </w:tcPr>
          <w:p w14:paraId="16266B0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Borborygmus</w:t>
            </w:r>
          </w:p>
        </w:tc>
        <w:tc>
          <w:tcPr>
            <w:tcW w:w="1843" w:type="dxa"/>
            <w:noWrap/>
            <w:vAlign w:val="bottom"/>
            <w:hideMark/>
          </w:tcPr>
          <w:p w14:paraId="5AE52A9C" w14:textId="1718AC6E"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24A0838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Constipation subscale (item 18, 21, 23)</w:t>
            </w:r>
          </w:p>
        </w:tc>
      </w:tr>
      <w:tr w:rsidR="00581C8A" w:rsidRPr="00D35DBC" w14:paraId="78AEFBCE" w14:textId="77777777" w:rsidTr="00906510">
        <w:trPr>
          <w:trHeight w:val="300"/>
        </w:trPr>
        <w:tc>
          <w:tcPr>
            <w:tcW w:w="0" w:type="auto"/>
            <w:vMerge/>
            <w:vAlign w:val="center"/>
            <w:hideMark/>
          </w:tcPr>
          <w:p w14:paraId="065AE87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894753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2261BF5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15</w:t>
            </w:r>
          </w:p>
        </w:tc>
        <w:tc>
          <w:tcPr>
            <w:tcW w:w="4840" w:type="dxa"/>
            <w:noWrap/>
            <w:vAlign w:val="bottom"/>
            <w:hideMark/>
          </w:tcPr>
          <w:p w14:paraId="1AF5FF7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Abdominal distension</w:t>
            </w:r>
          </w:p>
        </w:tc>
        <w:tc>
          <w:tcPr>
            <w:tcW w:w="1843" w:type="dxa"/>
            <w:noWrap/>
            <w:vAlign w:val="bottom"/>
            <w:hideMark/>
          </w:tcPr>
          <w:p w14:paraId="6A572F8E" w14:textId="289BAB70"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2DC84FE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Dumping subscale (item 30, 31, 33)</w:t>
            </w:r>
          </w:p>
        </w:tc>
      </w:tr>
      <w:tr w:rsidR="00581C8A" w:rsidRPr="00D35DBC" w14:paraId="05E2FC27" w14:textId="77777777" w:rsidTr="00906510">
        <w:trPr>
          <w:trHeight w:val="300"/>
        </w:trPr>
        <w:tc>
          <w:tcPr>
            <w:tcW w:w="0" w:type="auto"/>
            <w:vMerge/>
            <w:vAlign w:val="center"/>
            <w:hideMark/>
          </w:tcPr>
          <w:p w14:paraId="6BFEFD5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049642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A93B73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16</w:t>
            </w:r>
          </w:p>
        </w:tc>
        <w:tc>
          <w:tcPr>
            <w:tcW w:w="4840" w:type="dxa"/>
            <w:noWrap/>
            <w:vAlign w:val="bottom"/>
            <w:hideMark/>
          </w:tcPr>
          <w:p w14:paraId="5FE7547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nausea and vomiting</w:t>
            </w:r>
          </w:p>
        </w:tc>
        <w:tc>
          <w:tcPr>
            <w:tcW w:w="1843" w:type="dxa"/>
            <w:noWrap/>
            <w:vAlign w:val="bottom"/>
            <w:hideMark/>
          </w:tcPr>
          <w:p w14:paraId="489F9977" w14:textId="770CB95B"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2DCF5455" w14:textId="3E2FD7D0"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2475653F" w14:textId="77777777" w:rsidTr="00906510">
        <w:trPr>
          <w:trHeight w:val="300"/>
        </w:trPr>
        <w:tc>
          <w:tcPr>
            <w:tcW w:w="0" w:type="auto"/>
            <w:vMerge/>
            <w:vAlign w:val="center"/>
            <w:hideMark/>
          </w:tcPr>
          <w:p w14:paraId="6FF00B4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6ED9BF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484AE8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17</w:t>
            </w:r>
          </w:p>
        </w:tc>
        <w:tc>
          <w:tcPr>
            <w:tcW w:w="4840" w:type="dxa"/>
            <w:noWrap/>
            <w:vAlign w:val="bottom"/>
            <w:hideMark/>
          </w:tcPr>
          <w:p w14:paraId="3128C83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Increased flatus</w:t>
            </w:r>
          </w:p>
        </w:tc>
        <w:tc>
          <w:tcPr>
            <w:tcW w:w="1843" w:type="dxa"/>
            <w:noWrap/>
            <w:vAlign w:val="bottom"/>
            <w:hideMark/>
          </w:tcPr>
          <w:p w14:paraId="0496996A" w14:textId="4C7714DD"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2088356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Total symptom scale (above seven subscales)</w:t>
            </w:r>
          </w:p>
        </w:tc>
      </w:tr>
      <w:tr w:rsidR="00581C8A" w:rsidRPr="00D35DBC" w14:paraId="77FF32E1" w14:textId="77777777" w:rsidTr="00906510">
        <w:trPr>
          <w:trHeight w:val="300"/>
        </w:trPr>
        <w:tc>
          <w:tcPr>
            <w:tcW w:w="0" w:type="auto"/>
            <w:vMerge/>
            <w:vAlign w:val="center"/>
            <w:hideMark/>
          </w:tcPr>
          <w:p w14:paraId="46B9D78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28E7EB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F9FBAB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18</w:t>
            </w:r>
          </w:p>
        </w:tc>
        <w:tc>
          <w:tcPr>
            <w:tcW w:w="4840" w:type="dxa"/>
            <w:noWrap/>
            <w:vAlign w:val="bottom"/>
            <w:hideMark/>
          </w:tcPr>
          <w:p w14:paraId="7DCB244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Decreased passage of stools</w:t>
            </w:r>
          </w:p>
        </w:tc>
        <w:tc>
          <w:tcPr>
            <w:tcW w:w="1843" w:type="dxa"/>
            <w:noWrap/>
            <w:vAlign w:val="bottom"/>
            <w:hideMark/>
          </w:tcPr>
          <w:p w14:paraId="753C5052" w14:textId="0F683502"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25E25C64" w14:textId="2BC65596"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301A996F" w14:textId="77777777" w:rsidTr="00906510">
        <w:trPr>
          <w:trHeight w:val="300"/>
        </w:trPr>
        <w:tc>
          <w:tcPr>
            <w:tcW w:w="0" w:type="auto"/>
            <w:vMerge/>
            <w:vAlign w:val="center"/>
            <w:hideMark/>
          </w:tcPr>
          <w:p w14:paraId="144FD7A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611DE1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681F4D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19</w:t>
            </w:r>
          </w:p>
        </w:tc>
        <w:tc>
          <w:tcPr>
            <w:tcW w:w="4840" w:type="dxa"/>
            <w:noWrap/>
            <w:vAlign w:val="bottom"/>
            <w:hideMark/>
          </w:tcPr>
          <w:p w14:paraId="4299D54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Increased passage of stools</w:t>
            </w:r>
          </w:p>
        </w:tc>
        <w:tc>
          <w:tcPr>
            <w:tcW w:w="1843" w:type="dxa"/>
            <w:noWrap/>
            <w:vAlign w:val="bottom"/>
            <w:hideMark/>
          </w:tcPr>
          <w:p w14:paraId="22991A4F" w14:textId="72CE1662"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6692FDAC" w14:textId="673DA4F6"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7B2848AE" w14:textId="77777777" w:rsidTr="00906510">
        <w:trPr>
          <w:trHeight w:val="300"/>
        </w:trPr>
        <w:tc>
          <w:tcPr>
            <w:tcW w:w="0" w:type="auto"/>
            <w:vMerge/>
            <w:vAlign w:val="center"/>
            <w:hideMark/>
          </w:tcPr>
          <w:p w14:paraId="077D0B0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31C948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A7B1DD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20</w:t>
            </w:r>
          </w:p>
        </w:tc>
        <w:tc>
          <w:tcPr>
            <w:tcW w:w="4840" w:type="dxa"/>
            <w:noWrap/>
            <w:vAlign w:val="bottom"/>
            <w:hideMark/>
          </w:tcPr>
          <w:p w14:paraId="4033B0C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Loose stools</w:t>
            </w:r>
          </w:p>
        </w:tc>
        <w:tc>
          <w:tcPr>
            <w:tcW w:w="1843" w:type="dxa"/>
            <w:noWrap/>
            <w:vAlign w:val="bottom"/>
            <w:hideMark/>
          </w:tcPr>
          <w:p w14:paraId="1A123BBB" w14:textId="42EE58D8"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488A428F" w14:textId="4CD32A63"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29F993CB" w14:textId="77777777" w:rsidTr="00906510">
        <w:trPr>
          <w:trHeight w:val="300"/>
        </w:trPr>
        <w:tc>
          <w:tcPr>
            <w:tcW w:w="0" w:type="auto"/>
            <w:vMerge/>
            <w:vAlign w:val="center"/>
            <w:hideMark/>
          </w:tcPr>
          <w:p w14:paraId="5379282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A06649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24CE6F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21</w:t>
            </w:r>
          </w:p>
        </w:tc>
        <w:tc>
          <w:tcPr>
            <w:tcW w:w="4840" w:type="dxa"/>
            <w:noWrap/>
            <w:vAlign w:val="bottom"/>
            <w:hideMark/>
          </w:tcPr>
          <w:p w14:paraId="2B44845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Hard stools</w:t>
            </w:r>
          </w:p>
        </w:tc>
        <w:tc>
          <w:tcPr>
            <w:tcW w:w="1843" w:type="dxa"/>
            <w:noWrap/>
            <w:vAlign w:val="bottom"/>
            <w:hideMark/>
          </w:tcPr>
          <w:p w14:paraId="7E95E0CF" w14:textId="5C0E0296"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56DE51EB" w14:textId="2086208B"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7BFCBBB0" w14:textId="77777777" w:rsidTr="00906510">
        <w:trPr>
          <w:trHeight w:val="300"/>
        </w:trPr>
        <w:tc>
          <w:tcPr>
            <w:tcW w:w="0" w:type="auto"/>
            <w:vMerge/>
            <w:vAlign w:val="center"/>
            <w:hideMark/>
          </w:tcPr>
          <w:p w14:paraId="66A78A0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4467A3C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7031D0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22</w:t>
            </w:r>
          </w:p>
        </w:tc>
        <w:tc>
          <w:tcPr>
            <w:tcW w:w="4840" w:type="dxa"/>
            <w:noWrap/>
            <w:vAlign w:val="bottom"/>
            <w:hideMark/>
          </w:tcPr>
          <w:p w14:paraId="2D7E5D0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Urgent need for defecation</w:t>
            </w:r>
          </w:p>
        </w:tc>
        <w:tc>
          <w:tcPr>
            <w:tcW w:w="1843" w:type="dxa"/>
            <w:noWrap/>
            <w:vAlign w:val="bottom"/>
            <w:hideMark/>
          </w:tcPr>
          <w:p w14:paraId="63C4BA0D" w14:textId="549B2520"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0D226802" w14:textId="5EEC120B"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46A11A6B" w14:textId="77777777" w:rsidTr="00906510">
        <w:trPr>
          <w:trHeight w:val="300"/>
        </w:trPr>
        <w:tc>
          <w:tcPr>
            <w:tcW w:w="0" w:type="auto"/>
            <w:vMerge/>
            <w:vAlign w:val="center"/>
            <w:hideMark/>
          </w:tcPr>
          <w:p w14:paraId="29B93A2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41F90E0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A9C52A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23</w:t>
            </w:r>
          </w:p>
        </w:tc>
        <w:tc>
          <w:tcPr>
            <w:tcW w:w="4840" w:type="dxa"/>
            <w:noWrap/>
            <w:vAlign w:val="bottom"/>
            <w:hideMark/>
          </w:tcPr>
          <w:p w14:paraId="2A1A986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Feeling of incomplete evacuation</w:t>
            </w:r>
          </w:p>
        </w:tc>
        <w:tc>
          <w:tcPr>
            <w:tcW w:w="1843" w:type="dxa"/>
            <w:noWrap/>
            <w:vAlign w:val="bottom"/>
            <w:hideMark/>
          </w:tcPr>
          <w:p w14:paraId="595627F9" w14:textId="217D0C89"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594852E6" w14:textId="5556A3C2"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6C4FCFB0" w14:textId="77777777" w:rsidTr="00906510">
        <w:trPr>
          <w:trHeight w:val="300"/>
        </w:trPr>
        <w:tc>
          <w:tcPr>
            <w:tcW w:w="0" w:type="auto"/>
            <w:vMerge/>
            <w:vAlign w:val="center"/>
            <w:hideMark/>
          </w:tcPr>
          <w:p w14:paraId="2D7F650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0" w:type="dxa"/>
            <w:vMerge w:val="restart"/>
            <w:noWrap/>
            <w:vAlign w:val="center"/>
            <w:hideMark/>
          </w:tcPr>
          <w:p w14:paraId="0B543F9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PGSAS (Symptoms)</w:t>
            </w:r>
          </w:p>
        </w:tc>
        <w:tc>
          <w:tcPr>
            <w:tcW w:w="540" w:type="dxa"/>
            <w:noWrap/>
            <w:vAlign w:val="bottom"/>
            <w:hideMark/>
          </w:tcPr>
          <w:p w14:paraId="3A1899F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24</w:t>
            </w:r>
          </w:p>
        </w:tc>
        <w:tc>
          <w:tcPr>
            <w:tcW w:w="4840" w:type="dxa"/>
            <w:noWrap/>
            <w:vAlign w:val="bottom"/>
            <w:hideMark/>
          </w:tcPr>
          <w:p w14:paraId="5CD65F5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Bile regurgitation</w:t>
            </w:r>
          </w:p>
        </w:tc>
        <w:tc>
          <w:tcPr>
            <w:tcW w:w="1843" w:type="dxa"/>
            <w:noWrap/>
            <w:vAlign w:val="bottom"/>
            <w:hideMark/>
          </w:tcPr>
          <w:p w14:paraId="271517BA" w14:textId="77D527F5"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6F3C0319" w14:textId="476AE414"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2B34DA39" w14:textId="77777777" w:rsidTr="00906510">
        <w:trPr>
          <w:trHeight w:val="300"/>
        </w:trPr>
        <w:tc>
          <w:tcPr>
            <w:tcW w:w="0" w:type="auto"/>
            <w:vMerge/>
            <w:vAlign w:val="center"/>
            <w:hideMark/>
          </w:tcPr>
          <w:p w14:paraId="4CDF8BA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6FD2AC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295E2AF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25</w:t>
            </w:r>
          </w:p>
        </w:tc>
        <w:tc>
          <w:tcPr>
            <w:tcW w:w="4840" w:type="dxa"/>
            <w:noWrap/>
            <w:vAlign w:val="bottom"/>
            <w:hideMark/>
          </w:tcPr>
          <w:p w14:paraId="1CA250E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Sense of foods sticking</w:t>
            </w:r>
          </w:p>
        </w:tc>
        <w:tc>
          <w:tcPr>
            <w:tcW w:w="1843" w:type="dxa"/>
            <w:noWrap/>
            <w:vAlign w:val="bottom"/>
            <w:hideMark/>
          </w:tcPr>
          <w:p w14:paraId="1A071A65" w14:textId="6ABCB9B1"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1D8C520F" w14:textId="652CA0C0"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3C01ECC8" w14:textId="77777777" w:rsidTr="00906510">
        <w:trPr>
          <w:trHeight w:val="300"/>
        </w:trPr>
        <w:tc>
          <w:tcPr>
            <w:tcW w:w="0" w:type="auto"/>
            <w:vMerge/>
            <w:vAlign w:val="center"/>
            <w:hideMark/>
          </w:tcPr>
          <w:p w14:paraId="25A48F3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516973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3EB3938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26</w:t>
            </w:r>
          </w:p>
        </w:tc>
        <w:tc>
          <w:tcPr>
            <w:tcW w:w="4840" w:type="dxa"/>
            <w:noWrap/>
            <w:vAlign w:val="bottom"/>
            <w:hideMark/>
          </w:tcPr>
          <w:p w14:paraId="0A2ED87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Postprandial fullness</w:t>
            </w:r>
          </w:p>
        </w:tc>
        <w:tc>
          <w:tcPr>
            <w:tcW w:w="1843" w:type="dxa"/>
            <w:noWrap/>
            <w:vAlign w:val="bottom"/>
            <w:hideMark/>
          </w:tcPr>
          <w:p w14:paraId="423318D5" w14:textId="7C1FE3B3"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3D4C87C9" w14:textId="6E6F5731"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407515E1" w14:textId="77777777" w:rsidTr="00906510">
        <w:trPr>
          <w:trHeight w:val="300"/>
        </w:trPr>
        <w:tc>
          <w:tcPr>
            <w:tcW w:w="0" w:type="auto"/>
            <w:vMerge/>
            <w:vAlign w:val="center"/>
            <w:hideMark/>
          </w:tcPr>
          <w:p w14:paraId="30E5886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70AF9A4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BBEB07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27</w:t>
            </w:r>
          </w:p>
        </w:tc>
        <w:tc>
          <w:tcPr>
            <w:tcW w:w="4840" w:type="dxa"/>
            <w:noWrap/>
            <w:vAlign w:val="bottom"/>
            <w:hideMark/>
          </w:tcPr>
          <w:p w14:paraId="7D83DBA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Early satiation</w:t>
            </w:r>
          </w:p>
        </w:tc>
        <w:tc>
          <w:tcPr>
            <w:tcW w:w="1843" w:type="dxa"/>
            <w:noWrap/>
            <w:vAlign w:val="bottom"/>
            <w:hideMark/>
          </w:tcPr>
          <w:p w14:paraId="468E987E" w14:textId="4070D4BB"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677CF94E" w14:textId="439DF35C"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6155AACC" w14:textId="77777777" w:rsidTr="00906510">
        <w:trPr>
          <w:trHeight w:val="300"/>
        </w:trPr>
        <w:tc>
          <w:tcPr>
            <w:tcW w:w="0" w:type="auto"/>
            <w:vMerge/>
            <w:vAlign w:val="center"/>
            <w:hideMark/>
          </w:tcPr>
          <w:p w14:paraId="66D52BD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1AFF751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53B4CE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28</w:t>
            </w:r>
          </w:p>
        </w:tc>
        <w:tc>
          <w:tcPr>
            <w:tcW w:w="4840" w:type="dxa"/>
            <w:noWrap/>
            <w:vAlign w:val="bottom"/>
            <w:hideMark/>
          </w:tcPr>
          <w:p w14:paraId="5F02A63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Lower abdominal pains</w:t>
            </w:r>
          </w:p>
        </w:tc>
        <w:tc>
          <w:tcPr>
            <w:tcW w:w="1843" w:type="dxa"/>
            <w:noWrap/>
            <w:vAlign w:val="bottom"/>
            <w:hideMark/>
          </w:tcPr>
          <w:p w14:paraId="03B06E52" w14:textId="1D8DD9B4"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2284F271" w14:textId="65E59A9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01D88C2E" w14:textId="77777777" w:rsidTr="00906510">
        <w:trPr>
          <w:trHeight w:val="300"/>
        </w:trPr>
        <w:tc>
          <w:tcPr>
            <w:tcW w:w="0" w:type="auto"/>
            <w:vMerge/>
            <w:vAlign w:val="center"/>
            <w:hideMark/>
          </w:tcPr>
          <w:p w14:paraId="2E86347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D97A9B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E56042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29</w:t>
            </w:r>
          </w:p>
        </w:tc>
        <w:tc>
          <w:tcPr>
            <w:tcW w:w="4840" w:type="dxa"/>
            <w:noWrap/>
            <w:vAlign w:val="bottom"/>
            <w:hideMark/>
          </w:tcPr>
          <w:p w14:paraId="74EA3AF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Number and type of early dumping symptoms</w:t>
            </w:r>
          </w:p>
        </w:tc>
        <w:tc>
          <w:tcPr>
            <w:tcW w:w="1843" w:type="dxa"/>
            <w:noWrap/>
            <w:vAlign w:val="bottom"/>
            <w:hideMark/>
          </w:tcPr>
          <w:p w14:paraId="58E5C843" w14:textId="346888A5"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02408FC8" w14:textId="294EEA19"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21D15ABC" w14:textId="77777777" w:rsidTr="00906510">
        <w:trPr>
          <w:trHeight w:val="300"/>
        </w:trPr>
        <w:tc>
          <w:tcPr>
            <w:tcW w:w="0" w:type="auto"/>
            <w:vMerge/>
            <w:vAlign w:val="center"/>
            <w:hideMark/>
          </w:tcPr>
          <w:p w14:paraId="6B866DB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1F2D093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DC7EE5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30</w:t>
            </w:r>
          </w:p>
        </w:tc>
        <w:tc>
          <w:tcPr>
            <w:tcW w:w="4840" w:type="dxa"/>
            <w:noWrap/>
            <w:vAlign w:val="bottom"/>
            <w:hideMark/>
          </w:tcPr>
          <w:p w14:paraId="1A0EFAD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Early dumping general symptoms</w:t>
            </w:r>
          </w:p>
        </w:tc>
        <w:tc>
          <w:tcPr>
            <w:tcW w:w="1843" w:type="dxa"/>
            <w:noWrap/>
            <w:vAlign w:val="bottom"/>
            <w:hideMark/>
          </w:tcPr>
          <w:p w14:paraId="4BB8BF6D" w14:textId="537797D9"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0994857A" w14:textId="2E0946B6"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58D2E935" w14:textId="77777777" w:rsidTr="00906510">
        <w:trPr>
          <w:trHeight w:val="300"/>
        </w:trPr>
        <w:tc>
          <w:tcPr>
            <w:tcW w:w="0" w:type="auto"/>
            <w:vMerge/>
            <w:vAlign w:val="center"/>
            <w:hideMark/>
          </w:tcPr>
          <w:p w14:paraId="7792A7B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03964B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4D9616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31</w:t>
            </w:r>
          </w:p>
        </w:tc>
        <w:tc>
          <w:tcPr>
            <w:tcW w:w="4840" w:type="dxa"/>
            <w:noWrap/>
            <w:vAlign w:val="bottom"/>
            <w:hideMark/>
          </w:tcPr>
          <w:p w14:paraId="62796FB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Early dumping abdominal symptoms</w:t>
            </w:r>
          </w:p>
        </w:tc>
        <w:tc>
          <w:tcPr>
            <w:tcW w:w="1843" w:type="dxa"/>
            <w:noWrap/>
            <w:vAlign w:val="bottom"/>
            <w:hideMark/>
          </w:tcPr>
          <w:p w14:paraId="67C0E45A" w14:textId="34EA76A8"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6E053519" w14:textId="21D6C9E6"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420E6E3C" w14:textId="77777777" w:rsidTr="00906510">
        <w:trPr>
          <w:trHeight w:val="300"/>
        </w:trPr>
        <w:tc>
          <w:tcPr>
            <w:tcW w:w="0" w:type="auto"/>
            <w:vMerge/>
            <w:vAlign w:val="center"/>
            <w:hideMark/>
          </w:tcPr>
          <w:p w14:paraId="2E496A1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17824B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926307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32</w:t>
            </w:r>
          </w:p>
        </w:tc>
        <w:tc>
          <w:tcPr>
            <w:tcW w:w="4840" w:type="dxa"/>
            <w:noWrap/>
            <w:vAlign w:val="bottom"/>
            <w:hideMark/>
          </w:tcPr>
          <w:p w14:paraId="191E1BD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Number and type of late dumping symptoms</w:t>
            </w:r>
          </w:p>
        </w:tc>
        <w:tc>
          <w:tcPr>
            <w:tcW w:w="1843" w:type="dxa"/>
            <w:noWrap/>
            <w:vAlign w:val="bottom"/>
            <w:hideMark/>
          </w:tcPr>
          <w:p w14:paraId="331F2CC6" w14:textId="480C3F3E"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4E0572B5" w14:textId="18E2FA54"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7C8C2BF4" w14:textId="77777777" w:rsidTr="00906510">
        <w:trPr>
          <w:trHeight w:val="300"/>
        </w:trPr>
        <w:tc>
          <w:tcPr>
            <w:tcW w:w="0" w:type="auto"/>
            <w:vMerge/>
            <w:vAlign w:val="center"/>
            <w:hideMark/>
          </w:tcPr>
          <w:p w14:paraId="3EA7BD8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441EB3B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8E06A5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33</w:t>
            </w:r>
          </w:p>
        </w:tc>
        <w:tc>
          <w:tcPr>
            <w:tcW w:w="4840" w:type="dxa"/>
            <w:noWrap/>
            <w:vAlign w:val="bottom"/>
            <w:hideMark/>
          </w:tcPr>
          <w:p w14:paraId="045D3C3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Late dumping symptoms</w:t>
            </w:r>
          </w:p>
        </w:tc>
        <w:tc>
          <w:tcPr>
            <w:tcW w:w="1843" w:type="dxa"/>
            <w:noWrap/>
            <w:vAlign w:val="bottom"/>
            <w:hideMark/>
          </w:tcPr>
          <w:p w14:paraId="07DAE571" w14:textId="56AA22F5"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73A0D805" w14:textId="580C04EB"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3363AB95" w14:textId="77777777" w:rsidTr="00906510">
        <w:trPr>
          <w:trHeight w:val="300"/>
        </w:trPr>
        <w:tc>
          <w:tcPr>
            <w:tcW w:w="1337" w:type="dxa"/>
            <w:vMerge w:val="restart"/>
            <w:vAlign w:val="center"/>
            <w:hideMark/>
          </w:tcPr>
          <w:p w14:paraId="287F1E7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Living status</w:t>
            </w:r>
          </w:p>
        </w:tc>
        <w:tc>
          <w:tcPr>
            <w:tcW w:w="2020" w:type="dxa"/>
            <w:vMerge w:val="restart"/>
            <w:noWrap/>
            <w:vAlign w:val="center"/>
            <w:hideMark/>
          </w:tcPr>
          <w:p w14:paraId="2FC0613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Meals (amount) 1</w:t>
            </w:r>
          </w:p>
        </w:tc>
        <w:tc>
          <w:tcPr>
            <w:tcW w:w="540" w:type="dxa"/>
            <w:noWrap/>
            <w:vAlign w:val="bottom"/>
            <w:hideMark/>
          </w:tcPr>
          <w:p w14:paraId="025E7EB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34</w:t>
            </w:r>
          </w:p>
        </w:tc>
        <w:tc>
          <w:tcPr>
            <w:tcW w:w="4840" w:type="dxa"/>
            <w:noWrap/>
            <w:vAlign w:val="bottom"/>
            <w:hideMark/>
          </w:tcPr>
          <w:p w14:paraId="7E2FA5AA" w14:textId="670F2D04"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Ingested amount of food per meal</w:t>
            </w:r>
          </w:p>
        </w:tc>
        <w:tc>
          <w:tcPr>
            <w:tcW w:w="1843" w:type="dxa"/>
            <w:noWrap/>
            <w:vAlign w:val="bottom"/>
            <w:hideMark/>
          </w:tcPr>
          <w:p w14:paraId="04F368A5" w14:textId="60258522"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09022C2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w:t>
            </w:r>
          </w:p>
        </w:tc>
      </w:tr>
      <w:tr w:rsidR="00581C8A" w:rsidRPr="00D35DBC" w14:paraId="2FB455CA" w14:textId="77777777" w:rsidTr="00906510">
        <w:trPr>
          <w:trHeight w:val="300"/>
        </w:trPr>
        <w:tc>
          <w:tcPr>
            <w:tcW w:w="0" w:type="auto"/>
            <w:vMerge/>
            <w:vAlign w:val="center"/>
            <w:hideMark/>
          </w:tcPr>
          <w:p w14:paraId="11BA327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2F2E058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397A64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35</w:t>
            </w:r>
          </w:p>
        </w:tc>
        <w:tc>
          <w:tcPr>
            <w:tcW w:w="4840" w:type="dxa"/>
            <w:noWrap/>
            <w:vAlign w:val="bottom"/>
            <w:hideMark/>
          </w:tcPr>
          <w:p w14:paraId="3BD394AA" w14:textId="4C3EF2BB"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Ingested amount of food per day</w:t>
            </w:r>
          </w:p>
        </w:tc>
        <w:tc>
          <w:tcPr>
            <w:tcW w:w="1843" w:type="dxa"/>
            <w:noWrap/>
            <w:vAlign w:val="bottom"/>
            <w:hideMark/>
          </w:tcPr>
          <w:p w14:paraId="3EFB1C8B" w14:textId="1A715A6C"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4282D1B8" w14:textId="09A69863"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0AB969C3" w14:textId="77777777" w:rsidTr="00906510">
        <w:trPr>
          <w:trHeight w:val="300"/>
        </w:trPr>
        <w:tc>
          <w:tcPr>
            <w:tcW w:w="0" w:type="auto"/>
            <w:vMerge/>
            <w:vAlign w:val="center"/>
            <w:hideMark/>
          </w:tcPr>
          <w:p w14:paraId="344BE6F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EE8A7F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E80697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36</w:t>
            </w:r>
          </w:p>
        </w:tc>
        <w:tc>
          <w:tcPr>
            <w:tcW w:w="4840" w:type="dxa"/>
            <w:noWrap/>
            <w:vAlign w:val="bottom"/>
            <w:hideMark/>
          </w:tcPr>
          <w:p w14:paraId="3F5B306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Frequency of main meals</w:t>
            </w:r>
          </w:p>
        </w:tc>
        <w:tc>
          <w:tcPr>
            <w:tcW w:w="1843" w:type="dxa"/>
            <w:noWrap/>
            <w:vAlign w:val="bottom"/>
            <w:hideMark/>
          </w:tcPr>
          <w:p w14:paraId="285BE8E2" w14:textId="5730B573"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6901F24D" w14:textId="02ADF26B"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01B58001" w14:textId="77777777" w:rsidTr="00906510">
        <w:trPr>
          <w:trHeight w:val="300"/>
        </w:trPr>
        <w:tc>
          <w:tcPr>
            <w:tcW w:w="0" w:type="auto"/>
            <w:vMerge/>
            <w:vAlign w:val="center"/>
            <w:hideMark/>
          </w:tcPr>
          <w:p w14:paraId="061B260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A8D7E6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1371C4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37</w:t>
            </w:r>
          </w:p>
        </w:tc>
        <w:tc>
          <w:tcPr>
            <w:tcW w:w="4840" w:type="dxa"/>
            <w:noWrap/>
            <w:vAlign w:val="bottom"/>
            <w:hideMark/>
          </w:tcPr>
          <w:p w14:paraId="3A45522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Frequency of additional meals</w:t>
            </w:r>
          </w:p>
        </w:tc>
        <w:tc>
          <w:tcPr>
            <w:tcW w:w="1843" w:type="dxa"/>
            <w:noWrap/>
            <w:vAlign w:val="bottom"/>
            <w:hideMark/>
          </w:tcPr>
          <w:p w14:paraId="106D3AAD" w14:textId="6639AD1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4970A6A2" w14:textId="4DB22A5E"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5A823084" w14:textId="77777777" w:rsidTr="00906510">
        <w:trPr>
          <w:trHeight w:val="300"/>
        </w:trPr>
        <w:tc>
          <w:tcPr>
            <w:tcW w:w="0" w:type="auto"/>
            <w:vMerge/>
            <w:vAlign w:val="center"/>
            <w:hideMark/>
          </w:tcPr>
          <w:p w14:paraId="2AFC501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0" w:type="dxa"/>
            <w:vMerge w:val="restart"/>
            <w:noWrap/>
            <w:vAlign w:val="center"/>
            <w:hideMark/>
          </w:tcPr>
          <w:p w14:paraId="2C99AF9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Meals (quality)</w:t>
            </w:r>
          </w:p>
        </w:tc>
        <w:tc>
          <w:tcPr>
            <w:tcW w:w="540" w:type="dxa"/>
            <w:noWrap/>
            <w:vAlign w:val="bottom"/>
            <w:hideMark/>
          </w:tcPr>
          <w:p w14:paraId="1EF222E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38</w:t>
            </w:r>
          </w:p>
        </w:tc>
        <w:tc>
          <w:tcPr>
            <w:tcW w:w="4840" w:type="dxa"/>
            <w:noWrap/>
            <w:vAlign w:val="bottom"/>
            <w:hideMark/>
          </w:tcPr>
          <w:p w14:paraId="4A31B2BD" w14:textId="011F78EE"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Appetite</w:t>
            </w:r>
          </w:p>
        </w:tc>
        <w:tc>
          <w:tcPr>
            <w:tcW w:w="1843" w:type="dxa"/>
            <w:noWrap/>
            <w:vAlign w:val="bottom"/>
            <w:hideMark/>
          </w:tcPr>
          <w:p w14:paraId="6FA2C6B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five-point Likert scale</w:t>
            </w:r>
          </w:p>
        </w:tc>
        <w:tc>
          <w:tcPr>
            <w:tcW w:w="2027" w:type="dxa"/>
            <w:noWrap/>
            <w:vAlign w:val="bottom"/>
            <w:hideMark/>
          </w:tcPr>
          <w:p w14:paraId="52AD3975" w14:textId="25F2C893"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u w:val="single"/>
              </w:rPr>
              <w:t>Quality of ingestion subscale</w:t>
            </w:r>
            <w:r w:rsidRPr="00D35DBC">
              <w:rPr>
                <w:rFonts w:ascii="Book Antiqua" w:eastAsia="MS PGothic" w:hAnsi="Book Antiqua"/>
                <w:color w:val="000000" w:themeColor="text1"/>
              </w:rPr>
              <w:t xml:space="preserve"> (item 38-40)</w:t>
            </w:r>
          </w:p>
        </w:tc>
      </w:tr>
      <w:tr w:rsidR="00581C8A" w:rsidRPr="00D35DBC" w14:paraId="22A99FD4" w14:textId="77777777" w:rsidTr="00906510">
        <w:trPr>
          <w:trHeight w:val="300"/>
        </w:trPr>
        <w:tc>
          <w:tcPr>
            <w:tcW w:w="0" w:type="auto"/>
            <w:vMerge/>
            <w:vAlign w:val="center"/>
            <w:hideMark/>
          </w:tcPr>
          <w:p w14:paraId="4F8C313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047D43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EA5B47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39</w:t>
            </w:r>
          </w:p>
        </w:tc>
        <w:tc>
          <w:tcPr>
            <w:tcW w:w="4840" w:type="dxa"/>
            <w:noWrap/>
            <w:vAlign w:val="bottom"/>
            <w:hideMark/>
          </w:tcPr>
          <w:p w14:paraId="66087186" w14:textId="2F6EE95A"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Hunger feeling</w:t>
            </w:r>
          </w:p>
        </w:tc>
        <w:tc>
          <w:tcPr>
            <w:tcW w:w="1843" w:type="dxa"/>
            <w:noWrap/>
            <w:vAlign w:val="bottom"/>
            <w:hideMark/>
          </w:tcPr>
          <w:p w14:paraId="6CF8021C" w14:textId="47102EEA"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0175E39D" w14:textId="52E4ADE2"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080BF636" w14:textId="77777777" w:rsidTr="00906510">
        <w:trPr>
          <w:trHeight w:val="300"/>
        </w:trPr>
        <w:tc>
          <w:tcPr>
            <w:tcW w:w="0" w:type="auto"/>
            <w:vMerge/>
            <w:vAlign w:val="center"/>
            <w:hideMark/>
          </w:tcPr>
          <w:p w14:paraId="60655EC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2BF2110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084577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40</w:t>
            </w:r>
          </w:p>
        </w:tc>
        <w:tc>
          <w:tcPr>
            <w:tcW w:w="4840" w:type="dxa"/>
            <w:noWrap/>
            <w:vAlign w:val="bottom"/>
            <w:hideMark/>
          </w:tcPr>
          <w:p w14:paraId="701D52B7" w14:textId="4CFADF96"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Satiety feeling</w:t>
            </w:r>
          </w:p>
        </w:tc>
        <w:tc>
          <w:tcPr>
            <w:tcW w:w="1843" w:type="dxa"/>
            <w:noWrap/>
            <w:vAlign w:val="bottom"/>
            <w:hideMark/>
          </w:tcPr>
          <w:p w14:paraId="2FFB1D6F" w14:textId="29EFA001"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4FA5005E" w14:textId="68DA053A"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0B8F00C8" w14:textId="77777777" w:rsidTr="00906510">
        <w:trPr>
          <w:trHeight w:val="300"/>
        </w:trPr>
        <w:tc>
          <w:tcPr>
            <w:tcW w:w="0" w:type="auto"/>
            <w:vMerge/>
            <w:vAlign w:val="center"/>
            <w:hideMark/>
          </w:tcPr>
          <w:p w14:paraId="4DF123D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0" w:type="dxa"/>
            <w:noWrap/>
            <w:vAlign w:val="center"/>
            <w:hideMark/>
          </w:tcPr>
          <w:p w14:paraId="36F9187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Meals (amount) 2</w:t>
            </w:r>
          </w:p>
        </w:tc>
        <w:tc>
          <w:tcPr>
            <w:tcW w:w="540" w:type="dxa"/>
            <w:noWrap/>
            <w:vAlign w:val="bottom"/>
            <w:hideMark/>
          </w:tcPr>
          <w:p w14:paraId="0D2B946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41</w:t>
            </w:r>
          </w:p>
        </w:tc>
        <w:tc>
          <w:tcPr>
            <w:tcW w:w="4840" w:type="dxa"/>
            <w:noWrap/>
            <w:vAlign w:val="bottom"/>
            <w:hideMark/>
          </w:tcPr>
          <w:p w14:paraId="5BE7DAE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Necessity for additional meals</w:t>
            </w:r>
          </w:p>
        </w:tc>
        <w:tc>
          <w:tcPr>
            <w:tcW w:w="1843" w:type="dxa"/>
            <w:noWrap/>
            <w:vAlign w:val="bottom"/>
            <w:hideMark/>
          </w:tcPr>
          <w:p w14:paraId="68C49F76" w14:textId="0F076B20"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5A2654C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w:t>
            </w:r>
          </w:p>
        </w:tc>
      </w:tr>
      <w:tr w:rsidR="00581C8A" w:rsidRPr="00D35DBC" w14:paraId="30D6B6CB" w14:textId="77777777" w:rsidTr="00906510">
        <w:trPr>
          <w:trHeight w:val="300"/>
        </w:trPr>
        <w:tc>
          <w:tcPr>
            <w:tcW w:w="0" w:type="auto"/>
            <w:vMerge/>
            <w:vAlign w:val="center"/>
            <w:hideMark/>
          </w:tcPr>
          <w:p w14:paraId="081DABC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0" w:type="dxa"/>
            <w:noWrap/>
            <w:vAlign w:val="bottom"/>
            <w:hideMark/>
          </w:tcPr>
          <w:p w14:paraId="755306A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Social activity</w:t>
            </w:r>
          </w:p>
        </w:tc>
        <w:tc>
          <w:tcPr>
            <w:tcW w:w="540" w:type="dxa"/>
            <w:noWrap/>
            <w:vAlign w:val="bottom"/>
            <w:hideMark/>
          </w:tcPr>
          <w:p w14:paraId="0D33BC1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42</w:t>
            </w:r>
          </w:p>
        </w:tc>
        <w:tc>
          <w:tcPr>
            <w:tcW w:w="4840" w:type="dxa"/>
            <w:noWrap/>
            <w:vAlign w:val="bottom"/>
            <w:hideMark/>
          </w:tcPr>
          <w:p w14:paraId="14C4974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Ability for working</w:t>
            </w:r>
          </w:p>
        </w:tc>
        <w:tc>
          <w:tcPr>
            <w:tcW w:w="1843" w:type="dxa"/>
            <w:noWrap/>
            <w:vAlign w:val="bottom"/>
            <w:hideMark/>
          </w:tcPr>
          <w:p w14:paraId="54EB4F9C" w14:textId="2AA55111"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6259F9F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w:t>
            </w:r>
          </w:p>
        </w:tc>
      </w:tr>
      <w:tr w:rsidR="00581C8A" w:rsidRPr="00D35DBC" w14:paraId="64C7AE66" w14:textId="77777777" w:rsidTr="00906510">
        <w:trPr>
          <w:trHeight w:val="300"/>
        </w:trPr>
        <w:tc>
          <w:tcPr>
            <w:tcW w:w="1337" w:type="dxa"/>
            <w:vMerge w:val="restart"/>
            <w:noWrap/>
            <w:vAlign w:val="center"/>
            <w:hideMark/>
          </w:tcPr>
          <w:p w14:paraId="382F699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QOL</w:t>
            </w:r>
          </w:p>
        </w:tc>
        <w:tc>
          <w:tcPr>
            <w:tcW w:w="2020" w:type="dxa"/>
            <w:vMerge w:val="restart"/>
            <w:vAlign w:val="center"/>
            <w:hideMark/>
          </w:tcPr>
          <w:p w14:paraId="0DF238D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(QOL)</w:t>
            </w:r>
          </w:p>
        </w:tc>
        <w:tc>
          <w:tcPr>
            <w:tcW w:w="540" w:type="dxa"/>
            <w:noWrap/>
            <w:vAlign w:val="bottom"/>
            <w:hideMark/>
          </w:tcPr>
          <w:p w14:paraId="207A92E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43</w:t>
            </w:r>
          </w:p>
        </w:tc>
        <w:tc>
          <w:tcPr>
            <w:tcW w:w="4840" w:type="dxa"/>
            <w:noWrap/>
            <w:vAlign w:val="bottom"/>
            <w:hideMark/>
          </w:tcPr>
          <w:p w14:paraId="19626DC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with symptoms</w:t>
            </w:r>
          </w:p>
        </w:tc>
        <w:tc>
          <w:tcPr>
            <w:tcW w:w="1843" w:type="dxa"/>
            <w:noWrap/>
            <w:vAlign w:val="bottom"/>
            <w:hideMark/>
          </w:tcPr>
          <w:p w14:paraId="701943AD" w14:textId="2323B39F"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1446376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for daily life subscale (item 43-45)</w:t>
            </w:r>
          </w:p>
        </w:tc>
      </w:tr>
      <w:tr w:rsidR="00581C8A" w:rsidRPr="00D35DBC" w14:paraId="72682B0B" w14:textId="77777777" w:rsidTr="00906510">
        <w:trPr>
          <w:trHeight w:val="300"/>
        </w:trPr>
        <w:tc>
          <w:tcPr>
            <w:tcW w:w="0" w:type="auto"/>
            <w:vMerge/>
            <w:vAlign w:val="center"/>
            <w:hideMark/>
          </w:tcPr>
          <w:p w14:paraId="5B7A6C4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0299995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99D8B5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44</w:t>
            </w:r>
          </w:p>
        </w:tc>
        <w:tc>
          <w:tcPr>
            <w:tcW w:w="4840" w:type="dxa"/>
            <w:noWrap/>
            <w:vAlign w:val="bottom"/>
            <w:hideMark/>
          </w:tcPr>
          <w:p w14:paraId="0BF8049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at the meal</w:t>
            </w:r>
          </w:p>
        </w:tc>
        <w:tc>
          <w:tcPr>
            <w:tcW w:w="1843" w:type="dxa"/>
            <w:noWrap/>
            <w:vAlign w:val="bottom"/>
            <w:hideMark/>
          </w:tcPr>
          <w:p w14:paraId="44D5003A" w14:textId="2BAEA850"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3A769613" w14:textId="667BDED3"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r w:rsidR="00581C8A" w:rsidRPr="00D35DBC" w14:paraId="7F449F0D" w14:textId="77777777" w:rsidTr="00906510">
        <w:trPr>
          <w:trHeight w:val="300"/>
        </w:trPr>
        <w:tc>
          <w:tcPr>
            <w:tcW w:w="0" w:type="auto"/>
            <w:vMerge/>
            <w:vAlign w:val="center"/>
            <w:hideMark/>
          </w:tcPr>
          <w:p w14:paraId="2148448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C79A88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2428FA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45</w:t>
            </w:r>
          </w:p>
        </w:tc>
        <w:tc>
          <w:tcPr>
            <w:tcW w:w="4840" w:type="dxa"/>
            <w:noWrap/>
            <w:vAlign w:val="bottom"/>
            <w:hideMark/>
          </w:tcPr>
          <w:p w14:paraId="1E8D6FB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at working</w:t>
            </w:r>
          </w:p>
        </w:tc>
        <w:tc>
          <w:tcPr>
            <w:tcW w:w="1843" w:type="dxa"/>
            <w:noWrap/>
            <w:vAlign w:val="bottom"/>
            <w:hideMark/>
          </w:tcPr>
          <w:p w14:paraId="33032029" w14:textId="392035B8"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7" w:type="dxa"/>
            <w:noWrap/>
            <w:vAlign w:val="bottom"/>
            <w:hideMark/>
          </w:tcPr>
          <w:p w14:paraId="19F5A195" w14:textId="23B9B15B"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r>
    </w:tbl>
    <w:p w14:paraId="01A8FF5E" w14:textId="0DEC0457" w:rsidR="00C1648E" w:rsidRPr="00D35DBC" w:rsidRDefault="00906510" w:rsidP="00D35DBC">
      <w:pPr>
        <w:adjustRightInd w:val="0"/>
        <w:snapToGrid w:val="0"/>
        <w:spacing w:line="360" w:lineRule="auto"/>
        <w:jc w:val="both"/>
        <w:rPr>
          <w:rFonts w:ascii="Book Antiqua" w:eastAsia="PMingLiU" w:hAnsi="Book Antiqua" w:cs="Arial"/>
          <w:color w:val="000000" w:themeColor="text1"/>
        </w:rPr>
      </w:pPr>
      <w:r w:rsidRPr="00D35DBC">
        <w:rPr>
          <w:rFonts w:ascii="Book Antiqua" w:eastAsia="MS PGothic" w:hAnsi="Book Antiqua"/>
          <w:color w:val="000000" w:themeColor="text1"/>
        </w:rPr>
        <w:lastRenderedPageBreak/>
        <w:t xml:space="preserve">In items or subscales with underline, higher score indicates better condition; In items or subscales without underline, higher score indicates worse condition. Each subscale is calculated as the mean of composed items or subscales except physical component summary and mental component summary of </w:t>
      </w:r>
      <w:r w:rsidR="009B27C1" w:rsidRPr="00D35DBC">
        <w:rPr>
          <w:rFonts w:ascii="Book Antiqua" w:eastAsia="Book Antiqua" w:hAnsi="Book Antiqua" w:cs="Book Antiqua"/>
          <w:color w:val="000000" w:themeColor="text1"/>
        </w:rPr>
        <w:t xml:space="preserve">8-item short-form generic health-related </w:t>
      </w:r>
      <w:r w:rsidR="009B27C1">
        <w:rPr>
          <w:rFonts w:ascii="Book Antiqua" w:eastAsia="MS PGothic" w:hAnsi="Book Antiqua"/>
          <w:color w:val="000000" w:themeColor="text1"/>
        </w:rPr>
        <w:t>q</w:t>
      </w:r>
      <w:r w:rsidR="009B27C1" w:rsidRPr="00D35DBC">
        <w:rPr>
          <w:rFonts w:ascii="Book Antiqua" w:eastAsia="Book Antiqua" w:hAnsi="Book Antiqua" w:cs="Book Antiqua"/>
          <w:color w:val="000000" w:themeColor="text1"/>
        </w:rPr>
        <w:t>uality of life questionnaire</w:t>
      </w:r>
      <w:r w:rsidRPr="00D35DBC">
        <w:rPr>
          <w:rFonts w:ascii="Book Antiqua" w:eastAsia="MS PGothic" w:hAnsi="Book Antiqua"/>
          <w:color w:val="000000" w:themeColor="text1"/>
        </w:rPr>
        <w:t>. Item 29 and 32 don't have score. Then, they were analyzed separately.</w:t>
      </w:r>
      <w:r w:rsidRPr="00D35DBC">
        <w:rPr>
          <w:rFonts w:ascii="Book Antiqua" w:eastAsia="MS PGothic" w:hAnsi="Book Antiqua"/>
          <w:color w:val="000000" w:themeColor="text1"/>
          <w:lang w:eastAsia="ja-JP"/>
        </w:rPr>
        <w:t xml:space="preserve"> GSRS: Gastrointestinal Symptom Rating Scale items; PGSAS: Postgastrectomy Syndrome Assessment Scale items</w:t>
      </w:r>
      <w:r w:rsidRPr="00D35DBC">
        <w:rPr>
          <w:rFonts w:ascii="Book Antiqua" w:hAnsi="Book Antiqua"/>
          <w:color w:val="000000" w:themeColor="text1"/>
          <w:lang w:eastAsia="zh-CN"/>
        </w:rPr>
        <w:t xml:space="preserve">; </w:t>
      </w:r>
      <w:r w:rsidRPr="00D35DBC">
        <w:rPr>
          <w:rFonts w:ascii="Book Antiqua" w:eastAsia="MS PGothic" w:hAnsi="Book Antiqua"/>
          <w:color w:val="000000" w:themeColor="text1"/>
        </w:rPr>
        <w:t>QOL: Q</w:t>
      </w:r>
      <w:r w:rsidRPr="00D35DBC">
        <w:rPr>
          <w:rFonts w:ascii="Book Antiqua" w:eastAsia="Book Antiqua" w:hAnsi="Book Antiqua" w:cs="Book Antiqua"/>
          <w:color w:val="000000" w:themeColor="text1"/>
        </w:rPr>
        <w:t>uality of life; SF-8: 8-item short-form generic health-related QOL questionnaire.</w:t>
      </w:r>
    </w:p>
    <w:p w14:paraId="4B5967D4"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br w:type="page"/>
      </w:r>
    </w:p>
    <w:p w14:paraId="1E0288F6" w14:textId="103ECDFC"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lastRenderedPageBreak/>
        <w:t>Table 2</w:t>
      </w:r>
      <w:r w:rsidR="00906510" w:rsidRPr="00D35DBC">
        <w:rPr>
          <w:rFonts w:ascii="Book Antiqua" w:eastAsia="MS PGothic" w:hAnsi="Book Antiqua"/>
          <w:b/>
          <w:bCs/>
          <w:color w:val="000000" w:themeColor="text1"/>
        </w:rPr>
        <w:t xml:space="preserve"> </w:t>
      </w:r>
      <w:r w:rsidRPr="00D35DBC">
        <w:rPr>
          <w:rFonts w:ascii="Book Antiqua" w:eastAsia="MS PGothic" w:hAnsi="Book Antiqua"/>
          <w:b/>
          <w:bCs/>
          <w:color w:val="000000" w:themeColor="text1"/>
        </w:rPr>
        <w:t>Patients' background</w:t>
      </w:r>
    </w:p>
    <w:tbl>
      <w:tblPr>
        <w:tblW w:w="13325" w:type="dxa"/>
        <w:tblInd w:w="-147" w:type="dxa"/>
        <w:tblBorders>
          <w:top w:val="single" w:sz="4" w:space="0" w:color="auto"/>
          <w:bottom w:val="single" w:sz="4" w:space="0" w:color="auto"/>
        </w:tblBorders>
        <w:tblLayout w:type="fixed"/>
        <w:tblLook w:val="04A0" w:firstRow="1" w:lastRow="0" w:firstColumn="1" w:lastColumn="0" w:noHBand="0" w:noVBand="1"/>
      </w:tblPr>
      <w:tblGrid>
        <w:gridCol w:w="1702"/>
        <w:gridCol w:w="1417"/>
        <w:gridCol w:w="1418"/>
        <w:gridCol w:w="1701"/>
        <w:gridCol w:w="1559"/>
        <w:gridCol w:w="1417"/>
        <w:gridCol w:w="1418"/>
        <w:gridCol w:w="1417"/>
        <w:gridCol w:w="1276"/>
      </w:tblGrid>
      <w:tr w:rsidR="00581C8A" w:rsidRPr="00D35DBC" w14:paraId="6B7E7143" w14:textId="77777777" w:rsidTr="0048396D">
        <w:tc>
          <w:tcPr>
            <w:tcW w:w="1702" w:type="dxa"/>
            <w:tcBorders>
              <w:top w:val="single" w:sz="4" w:space="0" w:color="auto"/>
              <w:bottom w:val="single" w:sz="4" w:space="0" w:color="auto"/>
            </w:tcBorders>
            <w:vAlign w:val="center"/>
            <w:hideMark/>
          </w:tcPr>
          <w:p w14:paraId="624D19F6"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Types of gastrectomy</w:t>
            </w:r>
          </w:p>
        </w:tc>
        <w:tc>
          <w:tcPr>
            <w:tcW w:w="1417" w:type="dxa"/>
            <w:tcBorders>
              <w:top w:val="single" w:sz="4" w:space="0" w:color="auto"/>
              <w:bottom w:val="single" w:sz="4" w:space="0" w:color="auto"/>
            </w:tcBorders>
            <w:vAlign w:val="center"/>
            <w:hideMark/>
          </w:tcPr>
          <w:p w14:paraId="42E9CEFB"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TGRY</w:t>
            </w:r>
          </w:p>
          <w:p w14:paraId="1EB63A25"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393)</w:t>
            </w:r>
          </w:p>
        </w:tc>
        <w:tc>
          <w:tcPr>
            <w:tcW w:w="1418" w:type="dxa"/>
            <w:tcBorders>
              <w:top w:val="single" w:sz="4" w:space="0" w:color="auto"/>
              <w:bottom w:val="single" w:sz="4" w:space="0" w:color="auto"/>
            </w:tcBorders>
            <w:vAlign w:val="center"/>
            <w:hideMark/>
          </w:tcPr>
          <w:p w14:paraId="4FE15171"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PG</w:t>
            </w:r>
          </w:p>
          <w:p w14:paraId="11FE3824"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193)</w:t>
            </w:r>
          </w:p>
        </w:tc>
        <w:tc>
          <w:tcPr>
            <w:tcW w:w="1701" w:type="dxa"/>
            <w:tcBorders>
              <w:top w:val="single" w:sz="4" w:space="0" w:color="auto"/>
              <w:bottom w:val="single" w:sz="4" w:space="0" w:color="auto"/>
            </w:tcBorders>
            <w:vAlign w:val="center"/>
            <w:hideMark/>
          </w:tcPr>
          <w:p w14:paraId="60BC799E"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DGRY</w:t>
            </w:r>
          </w:p>
          <w:p w14:paraId="3992999C"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475)</w:t>
            </w:r>
          </w:p>
        </w:tc>
        <w:tc>
          <w:tcPr>
            <w:tcW w:w="1559" w:type="dxa"/>
            <w:tcBorders>
              <w:top w:val="single" w:sz="4" w:space="0" w:color="auto"/>
              <w:bottom w:val="single" w:sz="4" w:space="0" w:color="auto"/>
            </w:tcBorders>
            <w:vAlign w:val="center"/>
            <w:hideMark/>
          </w:tcPr>
          <w:p w14:paraId="481BCF23"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DGBI</w:t>
            </w:r>
          </w:p>
          <w:p w14:paraId="6DE646E8"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909)</w:t>
            </w:r>
          </w:p>
        </w:tc>
        <w:tc>
          <w:tcPr>
            <w:tcW w:w="1417" w:type="dxa"/>
            <w:tcBorders>
              <w:top w:val="single" w:sz="4" w:space="0" w:color="auto"/>
              <w:bottom w:val="single" w:sz="4" w:space="0" w:color="auto"/>
            </w:tcBorders>
            <w:vAlign w:val="center"/>
            <w:hideMark/>
          </w:tcPr>
          <w:p w14:paraId="363B2047"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PPG</w:t>
            </w:r>
          </w:p>
          <w:p w14:paraId="15521026"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313)</w:t>
            </w:r>
          </w:p>
        </w:tc>
        <w:tc>
          <w:tcPr>
            <w:tcW w:w="1418" w:type="dxa"/>
            <w:tcBorders>
              <w:top w:val="single" w:sz="4" w:space="0" w:color="auto"/>
              <w:bottom w:val="single" w:sz="4" w:space="0" w:color="auto"/>
            </w:tcBorders>
            <w:vAlign w:val="center"/>
            <w:hideMark/>
          </w:tcPr>
          <w:p w14:paraId="084238CE"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LR</w:t>
            </w:r>
          </w:p>
          <w:p w14:paraId="6F89F6BF"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85)</w:t>
            </w:r>
          </w:p>
        </w:tc>
        <w:tc>
          <w:tcPr>
            <w:tcW w:w="1417" w:type="dxa"/>
            <w:tcBorders>
              <w:top w:val="single" w:sz="4" w:space="0" w:color="auto"/>
              <w:bottom w:val="single" w:sz="4" w:space="0" w:color="auto"/>
            </w:tcBorders>
            <w:vAlign w:val="center"/>
            <w:hideMark/>
          </w:tcPr>
          <w:p w14:paraId="1ACBFB45"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Overall</w:t>
            </w:r>
          </w:p>
          <w:p w14:paraId="1E733F8A"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2368)</w:t>
            </w:r>
          </w:p>
        </w:tc>
        <w:tc>
          <w:tcPr>
            <w:tcW w:w="1276" w:type="dxa"/>
            <w:tcBorders>
              <w:top w:val="single" w:sz="4" w:space="0" w:color="auto"/>
              <w:bottom w:val="single" w:sz="4" w:space="0" w:color="auto"/>
            </w:tcBorders>
            <w:vAlign w:val="center"/>
            <w:hideMark/>
          </w:tcPr>
          <w:p w14:paraId="465950D2" w14:textId="70A64E2F"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i/>
                <w:iCs/>
                <w:color w:val="000000" w:themeColor="text1"/>
              </w:rPr>
              <w:t>P</w:t>
            </w:r>
            <w:r w:rsidR="009B27C1">
              <w:rPr>
                <w:rFonts w:ascii="Book Antiqua" w:hAnsi="Book Antiqua"/>
                <w:b/>
                <w:bCs/>
                <w:color w:val="000000" w:themeColor="text1"/>
              </w:rPr>
              <w:t xml:space="preserve"> </w:t>
            </w:r>
            <w:r w:rsidRPr="00D35DBC">
              <w:rPr>
                <w:rFonts w:ascii="Book Antiqua" w:hAnsi="Book Antiqua"/>
                <w:b/>
                <w:bCs/>
                <w:color w:val="000000" w:themeColor="text1"/>
              </w:rPr>
              <w:t>value</w:t>
            </w:r>
          </w:p>
        </w:tc>
      </w:tr>
      <w:tr w:rsidR="00581C8A" w:rsidRPr="00D35DBC" w14:paraId="7ECAC588" w14:textId="77777777" w:rsidTr="0048396D">
        <w:tc>
          <w:tcPr>
            <w:tcW w:w="1702" w:type="dxa"/>
            <w:tcBorders>
              <w:top w:val="single" w:sz="4" w:space="0" w:color="auto"/>
            </w:tcBorders>
            <w:vAlign w:val="center"/>
            <w:hideMark/>
          </w:tcPr>
          <w:p w14:paraId="6CCC0389" w14:textId="49729270"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Age (yr; mean ± SD)</w:t>
            </w:r>
          </w:p>
        </w:tc>
        <w:tc>
          <w:tcPr>
            <w:tcW w:w="1417" w:type="dxa"/>
            <w:tcBorders>
              <w:top w:val="single" w:sz="4" w:space="0" w:color="auto"/>
            </w:tcBorders>
            <w:vAlign w:val="center"/>
            <w:hideMark/>
          </w:tcPr>
          <w:p w14:paraId="69B083B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63.4 ± 9.2</w:t>
            </w:r>
            <w:r w:rsidRPr="00D35DBC">
              <w:rPr>
                <w:rFonts w:ascii="Book Antiqua" w:hAnsi="Book Antiqua"/>
                <w:color w:val="000000" w:themeColor="text1"/>
                <w:vertAlign w:val="superscript"/>
              </w:rPr>
              <w:t>a</w:t>
            </w:r>
          </w:p>
        </w:tc>
        <w:tc>
          <w:tcPr>
            <w:tcW w:w="1418" w:type="dxa"/>
            <w:tcBorders>
              <w:top w:val="single" w:sz="4" w:space="0" w:color="auto"/>
            </w:tcBorders>
            <w:vAlign w:val="center"/>
            <w:hideMark/>
          </w:tcPr>
          <w:p w14:paraId="33B937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63.7 ± 7.7</w:t>
            </w:r>
          </w:p>
        </w:tc>
        <w:tc>
          <w:tcPr>
            <w:tcW w:w="1701" w:type="dxa"/>
            <w:tcBorders>
              <w:top w:val="single" w:sz="4" w:space="0" w:color="auto"/>
            </w:tcBorders>
            <w:vAlign w:val="center"/>
            <w:hideMark/>
          </w:tcPr>
          <w:p w14:paraId="638A830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62.0 ± 9.1</w:t>
            </w:r>
          </w:p>
        </w:tc>
        <w:tc>
          <w:tcPr>
            <w:tcW w:w="1559" w:type="dxa"/>
            <w:tcBorders>
              <w:top w:val="single" w:sz="4" w:space="0" w:color="auto"/>
            </w:tcBorders>
            <w:vAlign w:val="center"/>
            <w:hideMark/>
          </w:tcPr>
          <w:p w14:paraId="53D23E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61.6 ± 9.1</w:t>
            </w:r>
          </w:p>
        </w:tc>
        <w:tc>
          <w:tcPr>
            <w:tcW w:w="1417" w:type="dxa"/>
            <w:tcBorders>
              <w:top w:val="single" w:sz="4" w:space="0" w:color="auto"/>
            </w:tcBorders>
            <w:vAlign w:val="center"/>
            <w:hideMark/>
          </w:tcPr>
          <w:p w14:paraId="43B65CD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61.5 ± 8.7</w:t>
            </w:r>
          </w:p>
        </w:tc>
        <w:tc>
          <w:tcPr>
            <w:tcW w:w="1418" w:type="dxa"/>
            <w:tcBorders>
              <w:top w:val="single" w:sz="4" w:space="0" w:color="auto"/>
            </w:tcBorders>
            <w:vAlign w:val="center"/>
            <w:hideMark/>
          </w:tcPr>
          <w:p w14:paraId="4615B2F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60.8 ± 9.8</w:t>
            </w:r>
          </w:p>
        </w:tc>
        <w:tc>
          <w:tcPr>
            <w:tcW w:w="1417" w:type="dxa"/>
            <w:tcBorders>
              <w:top w:val="single" w:sz="4" w:space="0" w:color="auto"/>
            </w:tcBorders>
            <w:vAlign w:val="center"/>
            <w:hideMark/>
          </w:tcPr>
          <w:p w14:paraId="497EE93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62.1 ± 9.1</w:t>
            </w:r>
          </w:p>
        </w:tc>
        <w:tc>
          <w:tcPr>
            <w:tcW w:w="1276" w:type="dxa"/>
            <w:tcBorders>
              <w:top w:val="single" w:sz="4" w:space="0" w:color="auto"/>
            </w:tcBorders>
            <w:vAlign w:val="center"/>
          </w:tcPr>
          <w:p w14:paraId="24C6EEFA"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r>
      <w:tr w:rsidR="00581C8A" w:rsidRPr="00D35DBC" w14:paraId="69CD1BF8" w14:textId="77777777" w:rsidTr="0048396D">
        <w:tc>
          <w:tcPr>
            <w:tcW w:w="1702" w:type="dxa"/>
            <w:vAlign w:val="center"/>
            <w:hideMark/>
          </w:tcPr>
          <w:p w14:paraId="4408F502" w14:textId="6DF2325D"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 xml:space="preserve">Sex: </w:t>
            </w:r>
            <w:r w:rsidR="009B27C1" w:rsidRPr="00D35DBC">
              <w:rPr>
                <w:rFonts w:ascii="Book Antiqua" w:hAnsi="Book Antiqua"/>
                <w:color w:val="000000" w:themeColor="text1"/>
              </w:rPr>
              <w:t>M</w:t>
            </w:r>
            <w:r w:rsidRPr="00D35DBC">
              <w:rPr>
                <w:rFonts w:ascii="Book Antiqua" w:hAnsi="Book Antiqua"/>
                <w:color w:val="000000" w:themeColor="text1"/>
              </w:rPr>
              <w:t>ale/</w:t>
            </w:r>
            <w:r w:rsidR="00906510" w:rsidRPr="00D35DBC">
              <w:rPr>
                <w:rFonts w:ascii="Book Antiqua" w:hAnsi="Book Antiqua"/>
                <w:color w:val="000000" w:themeColor="text1"/>
              </w:rPr>
              <w:t>f</w:t>
            </w:r>
            <w:r w:rsidRPr="00D35DBC">
              <w:rPr>
                <w:rFonts w:ascii="Book Antiqua" w:hAnsi="Book Antiqua"/>
                <w:color w:val="000000" w:themeColor="text1"/>
              </w:rPr>
              <w:t>emale</w:t>
            </w:r>
            <w:r w:rsidR="009B27C1">
              <w:rPr>
                <w:rFonts w:ascii="Book Antiqua" w:hAnsi="Book Antiqua"/>
                <w:color w:val="000000" w:themeColor="text1"/>
              </w:rPr>
              <w:t>,</w:t>
            </w:r>
            <w:r w:rsidRPr="00D35DBC">
              <w:rPr>
                <w:rFonts w:ascii="Book Antiqua" w:hAnsi="Book Antiqua"/>
                <w:color w:val="000000" w:themeColor="text1"/>
              </w:rPr>
              <w:t xml:space="preserve"> </w:t>
            </w:r>
            <w:r w:rsidRPr="00D35DBC">
              <w:rPr>
                <w:rFonts w:ascii="Book Antiqua" w:hAnsi="Book Antiqua"/>
                <w:i/>
                <w:iCs/>
                <w:color w:val="000000" w:themeColor="text1"/>
              </w:rPr>
              <w:t>n</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Male, %</w:t>
            </w:r>
            <w:r w:rsidR="00906510" w:rsidRPr="00D35DBC">
              <w:rPr>
                <w:rFonts w:ascii="Book Antiqua" w:hAnsi="Book Antiqua"/>
                <w:color w:val="000000" w:themeColor="text1"/>
              </w:rPr>
              <w:t>)</w:t>
            </w:r>
          </w:p>
        </w:tc>
        <w:tc>
          <w:tcPr>
            <w:tcW w:w="1417" w:type="dxa"/>
            <w:vAlign w:val="center"/>
            <w:hideMark/>
          </w:tcPr>
          <w:p w14:paraId="26AC1848" w14:textId="54FA2BAF"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 xml:space="preserve">276/113 </w:t>
            </w:r>
            <w:r w:rsidR="00906510" w:rsidRPr="00D35DBC">
              <w:rPr>
                <w:rFonts w:ascii="Book Antiqua" w:hAnsi="Book Antiqua"/>
                <w:color w:val="000000" w:themeColor="text1"/>
              </w:rPr>
              <w:t>(</w:t>
            </w:r>
            <w:r w:rsidRPr="00D35DBC">
              <w:rPr>
                <w:rFonts w:ascii="Book Antiqua" w:hAnsi="Book Antiqua"/>
                <w:color w:val="000000" w:themeColor="text1"/>
              </w:rPr>
              <w:t>71</w:t>
            </w:r>
            <w:r w:rsidR="00906510" w:rsidRPr="00D35DBC">
              <w:rPr>
                <w:rFonts w:ascii="Book Antiqua" w:hAnsi="Book Antiqua"/>
                <w:color w:val="000000" w:themeColor="text1"/>
              </w:rPr>
              <w:t>)</w:t>
            </w:r>
          </w:p>
        </w:tc>
        <w:tc>
          <w:tcPr>
            <w:tcW w:w="1418" w:type="dxa"/>
            <w:vAlign w:val="center"/>
            <w:hideMark/>
          </w:tcPr>
          <w:p w14:paraId="332C51BB" w14:textId="43EC8273"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139/53 </w:t>
            </w:r>
            <w:r w:rsidR="00906510" w:rsidRPr="00D35DBC">
              <w:rPr>
                <w:rFonts w:ascii="Book Antiqua" w:hAnsi="Book Antiqua"/>
                <w:color w:val="000000" w:themeColor="text1"/>
              </w:rPr>
              <w:t>(</w:t>
            </w:r>
            <w:r w:rsidRPr="00D35DBC">
              <w:rPr>
                <w:rFonts w:ascii="Book Antiqua" w:hAnsi="Book Antiqua"/>
                <w:color w:val="000000" w:themeColor="text1"/>
              </w:rPr>
              <w:t>72</w:t>
            </w:r>
            <w:r w:rsidR="00906510" w:rsidRPr="00D35DBC">
              <w:rPr>
                <w:rFonts w:ascii="Book Antiqua" w:hAnsi="Book Antiqua"/>
                <w:color w:val="000000" w:themeColor="text1"/>
              </w:rPr>
              <w:t>)</w:t>
            </w:r>
          </w:p>
        </w:tc>
        <w:tc>
          <w:tcPr>
            <w:tcW w:w="1701" w:type="dxa"/>
            <w:vAlign w:val="center"/>
            <w:hideMark/>
          </w:tcPr>
          <w:p w14:paraId="46484907" w14:textId="582D30FA"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318/154 </w:t>
            </w:r>
            <w:r w:rsidR="00906510" w:rsidRPr="00D35DBC">
              <w:rPr>
                <w:rFonts w:ascii="Book Antiqua" w:hAnsi="Book Antiqua"/>
                <w:color w:val="000000" w:themeColor="text1"/>
              </w:rPr>
              <w:t>(</w:t>
            </w:r>
            <w:r w:rsidRPr="00D35DBC">
              <w:rPr>
                <w:rFonts w:ascii="Book Antiqua" w:hAnsi="Book Antiqua"/>
                <w:color w:val="000000" w:themeColor="text1"/>
              </w:rPr>
              <w:t>67</w:t>
            </w:r>
            <w:r w:rsidR="00906510" w:rsidRPr="00D35DBC">
              <w:rPr>
                <w:rFonts w:ascii="Book Antiqua" w:hAnsi="Book Antiqua"/>
                <w:color w:val="000000" w:themeColor="text1"/>
              </w:rPr>
              <w:t>)</w:t>
            </w:r>
          </w:p>
        </w:tc>
        <w:tc>
          <w:tcPr>
            <w:tcW w:w="1559" w:type="dxa"/>
            <w:vAlign w:val="center"/>
            <w:hideMark/>
          </w:tcPr>
          <w:p w14:paraId="5E266011" w14:textId="6E99CF7F"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594/311 </w:t>
            </w:r>
            <w:r w:rsidR="00906510" w:rsidRPr="00D35DBC">
              <w:rPr>
                <w:rFonts w:ascii="Book Antiqua" w:hAnsi="Book Antiqua"/>
                <w:color w:val="000000" w:themeColor="text1"/>
              </w:rPr>
              <w:t>(</w:t>
            </w:r>
            <w:r w:rsidRPr="00D35DBC">
              <w:rPr>
                <w:rFonts w:ascii="Book Antiqua" w:hAnsi="Book Antiqua"/>
                <w:color w:val="000000" w:themeColor="text1"/>
              </w:rPr>
              <w:t>66</w:t>
            </w:r>
            <w:r w:rsidR="00906510" w:rsidRPr="00D35DBC">
              <w:rPr>
                <w:rFonts w:ascii="Book Antiqua" w:hAnsi="Book Antiqua"/>
                <w:color w:val="000000" w:themeColor="text1"/>
              </w:rPr>
              <w:t>)</w:t>
            </w:r>
          </w:p>
        </w:tc>
        <w:tc>
          <w:tcPr>
            <w:tcW w:w="1417" w:type="dxa"/>
            <w:vAlign w:val="center"/>
            <w:hideMark/>
          </w:tcPr>
          <w:p w14:paraId="014053CE" w14:textId="160BD0FB"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183/126</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59</w:t>
            </w:r>
            <w:r w:rsidR="00906510" w:rsidRPr="00D35DBC">
              <w:rPr>
                <w:rFonts w:ascii="Book Antiqua" w:hAnsi="Book Antiqua"/>
                <w:color w:val="000000" w:themeColor="text1"/>
              </w:rPr>
              <w:t>)</w:t>
            </w:r>
          </w:p>
        </w:tc>
        <w:tc>
          <w:tcPr>
            <w:tcW w:w="1418" w:type="dxa"/>
            <w:vAlign w:val="center"/>
            <w:hideMark/>
          </w:tcPr>
          <w:p w14:paraId="1BDBC155" w14:textId="61590700"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48/37 </w:t>
            </w:r>
            <w:r w:rsidR="00906510" w:rsidRPr="00D35DBC">
              <w:rPr>
                <w:rFonts w:ascii="Book Antiqua" w:hAnsi="Book Antiqua"/>
                <w:color w:val="000000" w:themeColor="text1"/>
              </w:rPr>
              <w:t>(</w:t>
            </w:r>
            <w:r w:rsidRPr="00D35DBC">
              <w:rPr>
                <w:rFonts w:ascii="Book Antiqua" w:hAnsi="Book Antiqua"/>
                <w:color w:val="000000" w:themeColor="text1"/>
              </w:rPr>
              <w:t>56</w:t>
            </w:r>
            <w:r w:rsidR="00906510" w:rsidRPr="00D35DBC">
              <w:rPr>
                <w:rFonts w:ascii="Book Antiqua" w:hAnsi="Book Antiqua"/>
                <w:color w:val="000000" w:themeColor="text1"/>
              </w:rPr>
              <w:t>)</w:t>
            </w:r>
          </w:p>
        </w:tc>
        <w:tc>
          <w:tcPr>
            <w:tcW w:w="1417" w:type="dxa"/>
            <w:vAlign w:val="center"/>
            <w:hideMark/>
          </w:tcPr>
          <w:p w14:paraId="589495E5" w14:textId="3AB4AB8B"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1558/794 </w:t>
            </w:r>
            <w:r w:rsidR="00906510" w:rsidRPr="00D35DBC">
              <w:rPr>
                <w:rFonts w:ascii="Book Antiqua" w:hAnsi="Book Antiqua"/>
                <w:color w:val="000000" w:themeColor="text1"/>
              </w:rPr>
              <w:t>(</w:t>
            </w:r>
            <w:r w:rsidRPr="00D35DBC">
              <w:rPr>
                <w:rFonts w:ascii="Book Antiqua" w:hAnsi="Book Antiqua"/>
                <w:color w:val="000000" w:themeColor="text1"/>
              </w:rPr>
              <w:t>66</w:t>
            </w:r>
            <w:r w:rsidR="00906510" w:rsidRPr="00D35DBC">
              <w:rPr>
                <w:rFonts w:ascii="Book Antiqua" w:hAnsi="Book Antiqua"/>
                <w:color w:val="000000" w:themeColor="text1"/>
              </w:rPr>
              <w:t>)</w:t>
            </w:r>
          </w:p>
        </w:tc>
        <w:tc>
          <w:tcPr>
            <w:tcW w:w="1276" w:type="dxa"/>
            <w:vAlign w:val="center"/>
            <w:hideMark/>
          </w:tcPr>
          <w:p w14:paraId="57476A7D" w14:textId="153CAE24"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0.003</w:t>
            </w:r>
            <w:r w:rsidR="009B27C1">
              <w:rPr>
                <w:rFonts w:ascii="Book Antiqua" w:hAnsi="Book Antiqua"/>
                <w:color w:val="000000" w:themeColor="text1"/>
                <w:vertAlign w:val="superscript"/>
              </w:rPr>
              <w:t>1</w:t>
            </w:r>
          </w:p>
        </w:tc>
      </w:tr>
      <w:tr w:rsidR="00581C8A" w:rsidRPr="00D35DBC" w14:paraId="25E8F3C6" w14:textId="77777777" w:rsidTr="0048396D">
        <w:tc>
          <w:tcPr>
            <w:tcW w:w="1702" w:type="dxa"/>
            <w:vAlign w:val="center"/>
            <w:hideMark/>
          </w:tcPr>
          <w:p w14:paraId="7CB6DBC5" w14:textId="5295347E"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Postoperative period (mo; mean ± SD)</w:t>
            </w:r>
          </w:p>
        </w:tc>
        <w:tc>
          <w:tcPr>
            <w:tcW w:w="1417" w:type="dxa"/>
            <w:vAlign w:val="center"/>
            <w:hideMark/>
          </w:tcPr>
          <w:p w14:paraId="0E1A1D3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35.0 ± 24.6</w:t>
            </w:r>
          </w:p>
        </w:tc>
        <w:tc>
          <w:tcPr>
            <w:tcW w:w="1418" w:type="dxa"/>
            <w:vAlign w:val="center"/>
            <w:hideMark/>
          </w:tcPr>
          <w:p w14:paraId="1AE06CA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40.5 ± 28.1</w:t>
            </w:r>
          </w:p>
        </w:tc>
        <w:tc>
          <w:tcPr>
            <w:tcW w:w="1701" w:type="dxa"/>
            <w:vAlign w:val="center"/>
            <w:hideMark/>
          </w:tcPr>
          <w:p w14:paraId="2EB40A3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31.7 ± 18.0</w:t>
            </w:r>
            <w:r w:rsidRPr="00D35DBC">
              <w:rPr>
                <w:rFonts w:ascii="Book Antiqua" w:hAnsi="Book Antiqua"/>
                <w:color w:val="000000" w:themeColor="text1"/>
                <w:vertAlign w:val="superscript"/>
              </w:rPr>
              <w:t>a</w:t>
            </w:r>
          </w:p>
        </w:tc>
        <w:tc>
          <w:tcPr>
            <w:tcW w:w="1559" w:type="dxa"/>
            <w:vAlign w:val="center"/>
            <w:hideMark/>
          </w:tcPr>
          <w:p w14:paraId="4BF7F25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40.7 ± 30.7</w:t>
            </w:r>
            <w:r w:rsidRPr="00D35DBC">
              <w:rPr>
                <w:rFonts w:ascii="Book Antiqua" w:hAnsi="Book Antiqua"/>
                <w:color w:val="000000" w:themeColor="text1"/>
                <w:vertAlign w:val="superscript"/>
              </w:rPr>
              <w:t>a</w:t>
            </w:r>
          </w:p>
        </w:tc>
        <w:tc>
          <w:tcPr>
            <w:tcW w:w="1417" w:type="dxa"/>
            <w:vAlign w:val="center"/>
            <w:hideMark/>
          </w:tcPr>
          <w:p w14:paraId="021997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38.4 ± 27.7</w:t>
            </w:r>
          </w:p>
        </w:tc>
        <w:tc>
          <w:tcPr>
            <w:tcW w:w="1418" w:type="dxa"/>
            <w:vAlign w:val="center"/>
            <w:hideMark/>
          </w:tcPr>
          <w:p w14:paraId="2ACB63D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42.9 ± 34.2</w:t>
            </w:r>
          </w:p>
        </w:tc>
        <w:tc>
          <w:tcPr>
            <w:tcW w:w="1417" w:type="dxa"/>
            <w:vAlign w:val="center"/>
            <w:hideMark/>
          </w:tcPr>
          <w:p w14:paraId="57C0F0F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37.7 ± 27.4</w:t>
            </w:r>
          </w:p>
        </w:tc>
        <w:tc>
          <w:tcPr>
            <w:tcW w:w="1276" w:type="dxa"/>
            <w:vAlign w:val="center"/>
          </w:tcPr>
          <w:p w14:paraId="1FE817E2"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r>
      <w:tr w:rsidR="00581C8A" w:rsidRPr="00D35DBC" w14:paraId="4A8688EC" w14:textId="77777777" w:rsidTr="0048396D">
        <w:tc>
          <w:tcPr>
            <w:tcW w:w="1702" w:type="dxa"/>
            <w:vAlign w:val="center"/>
            <w:hideMark/>
          </w:tcPr>
          <w:p w14:paraId="74DCAF05" w14:textId="0B9A81A4"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 xml:space="preserve">Approach: </w:t>
            </w:r>
            <w:r w:rsidR="00906510" w:rsidRPr="00D35DBC">
              <w:rPr>
                <w:rFonts w:ascii="Book Antiqua" w:hAnsi="Book Antiqua"/>
                <w:color w:val="000000" w:themeColor="text1"/>
              </w:rPr>
              <w:t>l</w:t>
            </w:r>
            <w:r w:rsidRPr="00D35DBC">
              <w:rPr>
                <w:rFonts w:ascii="Book Antiqua" w:hAnsi="Book Antiqua"/>
                <w:color w:val="000000" w:themeColor="text1"/>
              </w:rPr>
              <w:t>aparoscopic/</w:t>
            </w:r>
            <w:r w:rsidR="00906510" w:rsidRPr="00D35DBC">
              <w:rPr>
                <w:rFonts w:ascii="Book Antiqua" w:hAnsi="Book Antiqua"/>
                <w:color w:val="000000" w:themeColor="text1"/>
              </w:rPr>
              <w:t>o</w:t>
            </w:r>
            <w:r w:rsidRPr="00D35DBC">
              <w:rPr>
                <w:rFonts w:ascii="Book Antiqua" w:hAnsi="Book Antiqua"/>
                <w:color w:val="000000" w:themeColor="text1"/>
              </w:rPr>
              <w:t>pen</w:t>
            </w:r>
            <w:r w:rsidR="009B27C1">
              <w:rPr>
                <w:rFonts w:ascii="Book Antiqua" w:hAnsi="Book Antiqua"/>
                <w:color w:val="000000" w:themeColor="text1"/>
              </w:rPr>
              <w:t>,</w:t>
            </w:r>
            <w:r w:rsidRPr="00D35DBC">
              <w:rPr>
                <w:rFonts w:ascii="Book Antiqua" w:hAnsi="Book Antiqua"/>
                <w:color w:val="000000" w:themeColor="text1"/>
              </w:rPr>
              <w:t xml:space="preserve"> </w:t>
            </w:r>
            <w:r w:rsidRPr="00D35DBC">
              <w:rPr>
                <w:rFonts w:ascii="Book Antiqua" w:hAnsi="Book Antiqua"/>
                <w:i/>
                <w:iCs/>
                <w:color w:val="000000" w:themeColor="text1"/>
              </w:rPr>
              <w:t>n</w:t>
            </w:r>
            <w:r w:rsidRPr="00D35DBC">
              <w:rPr>
                <w:rFonts w:ascii="Book Antiqua" w:hAnsi="Book Antiqua"/>
                <w:color w:val="000000" w:themeColor="text1"/>
              </w:rPr>
              <w:t xml:space="preserve"> </w:t>
            </w:r>
            <w:r w:rsidR="00906510" w:rsidRPr="00D35DBC">
              <w:rPr>
                <w:rFonts w:ascii="Book Antiqua" w:hAnsi="Book Antiqua"/>
                <w:color w:val="000000" w:themeColor="text1"/>
              </w:rPr>
              <w:t>(l</w:t>
            </w:r>
            <w:r w:rsidRPr="00D35DBC">
              <w:rPr>
                <w:rFonts w:ascii="Book Antiqua" w:hAnsi="Book Antiqua"/>
                <w:color w:val="000000" w:themeColor="text1"/>
              </w:rPr>
              <w:t>aparoscopic, %</w:t>
            </w:r>
            <w:r w:rsidR="00906510" w:rsidRPr="00D35DBC">
              <w:rPr>
                <w:rFonts w:ascii="Book Antiqua" w:hAnsi="Book Antiqua"/>
                <w:color w:val="000000" w:themeColor="text1"/>
              </w:rPr>
              <w:t>)</w:t>
            </w:r>
          </w:p>
        </w:tc>
        <w:tc>
          <w:tcPr>
            <w:tcW w:w="1417" w:type="dxa"/>
            <w:vAlign w:val="center"/>
            <w:hideMark/>
          </w:tcPr>
          <w:p w14:paraId="51334694" w14:textId="217BBE7F"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97</w:t>
            </w:r>
            <w:r w:rsidRPr="00D35DBC">
              <w:rPr>
                <w:rFonts w:ascii="Book Antiqua" w:hAnsi="Book Antiqua"/>
                <w:color w:val="000000" w:themeColor="text1"/>
                <w:vertAlign w:val="superscript"/>
              </w:rPr>
              <w:t>b</w:t>
            </w:r>
            <w:r w:rsidRPr="00D35DBC">
              <w:rPr>
                <w:rFonts w:ascii="Book Antiqua" w:hAnsi="Book Antiqua"/>
                <w:color w:val="000000" w:themeColor="text1"/>
              </w:rPr>
              <w:t>/293</w:t>
            </w:r>
            <w:r w:rsidRPr="00D35DBC">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25</w:t>
            </w:r>
            <w:r w:rsidR="00906510" w:rsidRPr="00D35DBC">
              <w:rPr>
                <w:rFonts w:ascii="Book Antiqua" w:hAnsi="Book Antiqua"/>
                <w:color w:val="000000" w:themeColor="text1"/>
              </w:rPr>
              <w:t>)</w:t>
            </w:r>
          </w:p>
        </w:tc>
        <w:tc>
          <w:tcPr>
            <w:tcW w:w="1418" w:type="dxa"/>
            <w:vAlign w:val="center"/>
            <w:hideMark/>
          </w:tcPr>
          <w:p w14:paraId="37278E08" w14:textId="1287B170"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33</w:t>
            </w:r>
            <w:r w:rsidR="009B27C1">
              <w:rPr>
                <w:rFonts w:ascii="Book Antiqua" w:hAnsi="Book Antiqua"/>
                <w:color w:val="000000" w:themeColor="text1"/>
                <w:vertAlign w:val="superscript"/>
              </w:rPr>
              <w:t>b</w:t>
            </w:r>
            <w:r w:rsidRPr="00D35DBC">
              <w:rPr>
                <w:rFonts w:ascii="Book Antiqua" w:hAnsi="Book Antiqua"/>
                <w:color w:val="000000" w:themeColor="text1"/>
              </w:rPr>
              <w:t>/159</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17</w:t>
            </w:r>
            <w:r w:rsidR="00906510" w:rsidRPr="00D35DBC">
              <w:rPr>
                <w:rFonts w:ascii="Book Antiqua" w:hAnsi="Book Antiqua"/>
                <w:color w:val="000000" w:themeColor="text1"/>
              </w:rPr>
              <w:t>)</w:t>
            </w:r>
          </w:p>
        </w:tc>
        <w:tc>
          <w:tcPr>
            <w:tcW w:w="1701" w:type="dxa"/>
            <w:vAlign w:val="center"/>
            <w:hideMark/>
          </w:tcPr>
          <w:p w14:paraId="0380A2D3" w14:textId="5A120DDB"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152/320 </w:t>
            </w:r>
            <w:r w:rsidR="00906510" w:rsidRPr="00D35DBC">
              <w:rPr>
                <w:rFonts w:ascii="Book Antiqua" w:hAnsi="Book Antiqua"/>
                <w:color w:val="000000" w:themeColor="text1"/>
              </w:rPr>
              <w:t>(</w:t>
            </w:r>
            <w:r w:rsidRPr="00D35DBC">
              <w:rPr>
                <w:rFonts w:ascii="Book Antiqua" w:hAnsi="Book Antiqua"/>
                <w:color w:val="000000" w:themeColor="text1"/>
              </w:rPr>
              <w:t>32</w:t>
            </w:r>
            <w:r w:rsidR="00906510" w:rsidRPr="00D35DBC">
              <w:rPr>
                <w:rFonts w:ascii="Book Antiqua" w:hAnsi="Book Antiqua"/>
                <w:color w:val="000000" w:themeColor="text1"/>
              </w:rPr>
              <w:t>)</w:t>
            </w:r>
          </w:p>
        </w:tc>
        <w:tc>
          <w:tcPr>
            <w:tcW w:w="1559" w:type="dxa"/>
            <w:vAlign w:val="center"/>
            <w:hideMark/>
          </w:tcPr>
          <w:p w14:paraId="78F32AED" w14:textId="6D8E7BA3"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415</w:t>
            </w:r>
            <w:r w:rsidR="009B27C1">
              <w:rPr>
                <w:rFonts w:ascii="Book Antiqua" w:hAnsi="Book Antiqua"/>
                <w:color w:val="000000" w:themeColor="text1"/>
                <w:vertAlign w:val="superscript"/>
              </w:rPr>
              <w:t>b</w:t>
            </w:r>
            <w:r w:rsidRPr="00D35DBC">
              <w:rPr>
                <w:rFonts w:ascii="Book Antiqua" w:hAnsi="Book Antiqua"/>
                <w:color w:val="000000" w:themeColor="text1"/>
              </w:rPr>
              <w:t>/489</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46</w:t>
            </w:r>
            <w:r w:rsidR="00906510" w:rsidRPr="00D35DBC">
              <w:rPr>
                <w:rFonts w:ascii="Book Antiqua" w:hAnsi="Book Antiqua"/>
                <w:color w:val="000000" w:themeColor="text1"/>
              </w:rPr>
              <w:t>)</w:t>
            </w:r>
          </w:p>
        </w:tc>
        <w:tc>
          <w:tcPr>
            <w:tcW w:w="1417" w:type="dxa"/>
            <w:vAlign w:val="center"/>
            <w:hideMark/>
          </w:tcPr>
          <w:p w14:paraId="23C2C1BB" w14:textId="7871EFAF"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136/173 </w:t>
            </w:r>
            <w:r w:rsidR="00906510" w:rsidRPr="00D35DBC">
              <w:rPr>
                <w:rFonts w:ascii="Book Antiqua" w:hAnsi="Book Antiqua"/>
                <w:color w:val="000000" w:themeColor="text1"/>
              </w:rPr>
              <w:t>(</w:t>
            </w:r>
            <w:r w:rsidRPr="00D35DBC">
              <w:rPr>
                <w:rFonts w:ascii="Book Antiqua" w:hAnsi="Book Antiqua"/>
                <w:color w:val="000000" w:themeColor="text1"/>
              </w:rPr>
              <w:t>44</w:t>
            </w:r>
            <w:r w:rsidR="00906510" w:rsidRPr="00D35DBC">
              <w:rPr>
                <w:rFonts w:ascii="Book Antiqua" w:hAnsi="Book Antiqua"/>
                <w:color w:val="000000" w:themeColor="text1"/>
              </w:rPr>
              <w:t>)</w:t>
            </w:r>
          </w:p>
        </w:tc>
        <w:tc>
          <w:tcPr>
            <w:tcW w:w="1418" w:type="dxa"/>
            <w:vAlign w:val="center"/>
            <w:hideMark/>
          </w:tcPr>
          <w:p w14:paraId="018EF1B0" w14:textId="14BB4EF1"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52</w:t>
            </w:r>
            <w:r w:rsidR="009B27C1">
              <w:rPr>
                <w:rFonts w:ascii="Book Antiqua" w:hAnsi="Book Antiqua"/>
                <w:color w:val="000000" w:themeColor="text1"/>
                <w:vertAlign w:val="superscript"/>
              </w:rPr>
              <w:t>b</w:t>
            </w:r>
            <w:r w:rsidRPr="00D35DBC">
              <w:rPr>
                <w:rFonts w:ascii="Book Antiqua" w:hAnsi="Book Antiqua"/>
                <w:color w:val="000000" w:themeColor="text1"/>
              </w:rPr>
              <w:t>/33</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61</w:t>
            </w:r>
            <w:r w:rsidR="00906510" w:rsidRPr="00D35DBC">
              <w:rPr>
                <w:rFonts w:ascii="Book Antiqua" w:hAnsi="Book Antiqua"/>
                <w:color w:val="000000" w:themeColor="text1"/>
              </w:rPr>
              <w:t>)</w:t>
            </w:r>
          </w:p>
        </w:tc>
        <w:tc>
          <w:tcPr>
            <w:tcW w:w="1417" w:type="dxa"/>
            <w:vAlign w:val="center"/>
            <w:hideMark/>
          </w:tcPr>
          <w:p w14:paraId="63DA9CBD" w14:textId="4BD5569F"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885/1467 </w:t>
            </w:r>
            <w:r w:rsidR="00906510" w:rsidRPr="00D35DBC">
              <w:rPr>
                <w:rFonts w:ascii="Book Antiqua" w:hAnsi="Book Antiqua"/>
                <w:color w:val="000000" w:themeColor="text1"/>
              </w:rPr>
              <w:t>(</w:t>
            </w:r>
            <w:r w:rsidRPr="00D35DBC">
              <w:rPr>
                <w:rFonts w:ascii="Book Antiqua" w:hAnsi="Book Antiqua"/>
                <w:color w:val="000000" w:themeColor="text1"/>
              </w:rPr>
              <w:t>38</w:t>
            </w:r>
            <w:r w:rsidR="00906510" w:rsidRPr="00D35DBC">
              <w:rPr>
                <w:rFonts w:ascii="Book Antiqua" w:hAnsi="Book Antiqua"/>
                <w:color w:val="000000" w:themeColor="text1"/>
              </w:rPr>
              <w:t>)</w:t>
            </w:r>
          </w:p>
        </w:tc>
        <w:tc>
          <w:tcPr>
            <w:tcW w:w="1276" w:type="dxa"/>
            <w:vAlign w:val="bottom"/>
            <w:hideMark/>
          </w:tcPr>
          <w:p w14:paraId="54BBFA84" w14:textId="13042934"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&lt;</w:t>
            </w:r>
            <w:r w:rsidR="00906510" w:rsidRPr="00D35DBC">
              <w:rPr>
                <w:rFonts w:ascii="Book Antiqua" w:hAnsi="Book Antiqua"/>
                <w:color w:val="000000" w:themeColor="text1"/>
              </w:rPr>
              <w:t xml:space="preserve"> </w:t>
            </w:r>
            <w:r w:rsidRPr="00D35DBC">
              <w:rPr>
                <w:rFonts w:ascii="Book Antiqua" w:hAnsi="Book Antiqua"/>
                <w:color w:val="000000" w:themeColor="text1"/>
              </w:rPr>
              <w:t>0.0001</w:t>
            </w:r>
            <w:r w:rsidR="009B27C1">
              <w:rPr>
                <w:rFonts w:ascii="Book Antiqua" w:hAnsi="Book Antiqua"/>
                <w:color w:val="000000" w:themeColor="text1"/>
                <w:vertAlign w:val="superscript"/>
              </w:rPr>
              <w:t>1</w:t>
            </w:r>
          </w:p>
        </w:tc>
      </w:tr>
      <w:tr w:rsidR="00581C8A" w:rsidRPr="00D35DBC" w14:paraId="585A54A9" w14:textId="77777777" w:rsidTr="0048396D">
        <w:tc>
          <w:tcPr>
            <w:tcW w:w="1702" w:type="dxa"/>
            <w:vAlign w:val="center"/>
            <w:hideMark/>
          </w:tcPr>
          <w:p w14:paraId="263F9FF3" w14:textId="16F4804A"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Celiac branch of vagus </w:t>
            </w:r>
            <w:r w:rsidR="00906510" w:rsidRPr="00D35DBC">
              <w:rPr>
                <w:rFonts w:ascii="Book Antiqua" w:hAnsi="Book Antiqua"/>
                <w:color w:val="000000" w:themeColor="text1"/>
              </w:rPr>
              <w:t>s</w:t>
            </w:r>
            <w:r w:rsidRPr="00D35DBC">
              <w:rPr>
                <w:rFonts w:ascii="Book Antiqua" w:hAnsi="Book Antiqua"/>
                <w:color w:val="000000" w:themeColor="text1"/>
              </w:rPr>
              <w:t>aving/</w:t>
            </w:r>
            <w:r w:rsidR="00906510" w:rsidRPr="00D35DBC">
              <w:rPr>
                <w:rFonts w:ascii="Book Antiqua" w:hAnsi="Book Antiqua"/>
                <w:color w:val="000000" w:themeColor="text1"/>
              </w:rPr>
              <w:t>c</w:t>
            </w:r>
            <w:r w:rsidRPr="00D35DBC">
              <w:rPr>
                <w:rFonts w:ascii="Book Antiqua" w:hAnsi="Book Antiqua"/>
                <w:color w:val="000000" w:themeColor="text1"/>
              </w:rPr>
              <w:t>ut</w:t>
            </w:r>
            <w:r w:rsidR="009B27C1">
              <w:rPr>
                <w:rFonts w:ascii="Book Antiqua" w:hAnsi="Book Antiqua"/>
                <w:color w:val="000000" w:themeColor="text1"/>
              </w:rPr>
              <w:t xml:space="preserve">, </w:t>
            </w:r>
            <w:r w:rsidRPr="00D35DBC">
              <w:rPr>
                <w:rFonts w:ascii="Book Antiqua" w:hAnsi="Book Antiqua"/>
                <w:i/>
                <w:iCs/>
                <w:color w:val="000000" w:themeColor="text1"/>
              </w:rPr>
              <w:t>n</w:t>
            </w:r>
            <w:r w:rsidRPr="00D35DBC">
              <w:rPr>
                <w:rFonts w:ascii="Book Antiqua" w:hAnsi="Book Antiqua"/>
                <w:color w:val="000000" w:themeColor="text1"/>
              </w:rPr>
              <w:t xml:space="preserve"> </w:t>
            </w:r>
            <w:r w:rsidR="00906510" w:rsidRPr="00D35DBC">
              <w:rPr>
                <w:rFonts w:ascii="Book Antiqua" w:hAnsi="Book Antiqua"/>
                <w:color w:val="000000" w:themeColor="text1"/>
              </w:rPr>
              <w:t>(s</w:t>
            </w:r>
            <w:r w:rsidRPr="00D35DBC">
              <w:rPr>
                <w:rFonts w:ascii="Book Antiqua" w:hAnsi="Book Antiqua"/>
                <w:color w:val="000000" w:themeColor="text1"/>
              </w:rPr>
              <w:t>aving, %</w:t>
            </w:r>
            <w:r w:rsidR="00906510" w:rsidRPr="00D35DBC">
              <w:rPr>
                <w:rFonts w:ascii="Book Antiqua" w:hAnsi="Book Antiqua"/>
                <w:color w:val="000000" w:themeColor="text1"/>
              </w:rPr>
              <w:t>)</w:t>
            </w:r>
          </w:p>
        </w:tc>
        <w:tc>
          <w:tcPr>
            <w:tcW w:w="1417" w:type="dxa"/>
            <w:vAlign w:val="center"/>
            <w:hideMark/>
          </w:tcPr>
          <w:p w14:paraId="71E7FB6D" w14:textId="49DABB2E"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w:t>
            </w:r>
            <w:r w:rsidR="009B27C1">
              <w:rPr>
                <w:rFonts w:ascii="Book Antiqua" w:hAnsi="Book Antiqua"/>
                <w:color w:val="000000" w:themeColor="text1"/>
                <w:vertAlign w:val="superscript"/>
              </w:rPr>
              <w:t>b</w:t>
            </w:r>
            <w:r w:rsidRPr="00D35DBC">
              <w:rPr>
                <w:rFonts w:ascii="Book Antiqua" w:hAnsi="Book Antiqua"/>
                <w:color w:val="000000" w:themeColor="text1"/>
              </w:rPr>
              <w:t>/371</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3</w:t>
            </w:r>
            <w:r w:rsidR="00906510" w:rsidRPr="00D35DBC">
              <w:rPr>
                <w:rFonts w:ascii="Book Antiqua" w:hAnsi="Book Antiqua"/>
                <w:color w:val="000000" w:themeColor="text1"/>
              </w:rPr>
              <w:t>)</w:t>
            </w:r>
          </w:p>
        </w:tc>
        <w:tc>
          <w:tcPr>
            <w:tcW w:w="1418" w:type="dxa"/>
            <w:vAlign w:val="center"/>
            <w:hideMark/>
          </w:tcPr>
          <w:p w14:paraId="6BA56FBE" w14:textId="41CFB179"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83</w:t>
            </w:r>
            <w:r w:rsidR="009B27C1">
              <w:rPr>
                <w:rFonts w:ascii="Book Antiqua" w:hAnsi="Book Antiqua"/>
                <w:color w:val="000000" w:themeColor="text1"/>
                <w:vertAlign w:val="superscript"/>
              </w:rPr>
              <w:t>b</w:t>
            </w:r>
            <w:r w:rsidRPr="00D35DBC">
              <w:rPr>
                <w:rFonts w:ascii="Book Antiqua" w:hAnsi="Book Antiqua"/>
                <w:color w:val="000000" w:themeColor="text1"/>
              </w:rPr>
              <w:t>/105</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44</w:t>
            </w:r>
            <w:r w:rsidR="00906510" w:rsidRPr="00D35DBC">
              <w:rPr>
                <w:rFonts w:ascii="Book Antiqua" w:hAnsi="Book Antiqua"/>
                <w:color w:val="000000" w:themeColor="text1"/>
              </w:rPr>
              <w:t>)</w:t>
            </w:r>
          </w:p>
        </w:tc>
        <w:tc>
          <w:tcPr>
            <w:tcW w:w="1701" w:type="dxa"/>
            <w:vAlign w:val="center"/>
            <w:hideMark/>
          </w:tcPr>
          <w:p w14:paraId="44BCC2A3" w14:textId="086D5635"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28</w:t>
            </w:r>
            <w:r w:rsidR="009B27C1">
              <w:rPr>
                <w:rFonts w:ascii="Book Antiqua" w:hAnsi="Book Antiqua"/>
                <w:color w:val="000000" w:themeColor="text1"/>
                <w:vertAlign w:val="superscript"/>
              </w:rPr>
              <w:t>b</w:t>
            </w:r>
            <w:r w:rsidRPr="00D35DBC">
              <w:rPr>
                <w:rFonts w:ascii="Book Antiqua" w:hAnsi="Book Antiqua"/>
                <w:color w:val="000000" w:themeColor="text1"/>
              </w:rPr>
              <w:t>/442</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6</w:t>
            </w:r>
            <w:r w:rsidR="00906510" w:rsidRPr="00D35DBC">
              <w:rPr>
                <w:rFonts w:ascii="Book Antiqua" w:hAnsi="Book Antiqua"/>
                <w:color w:val="000000" w:themeColor="text1"/>
              </w:rPr>
              <w:t>)</w:t>
            </w:r>
          </w:p>
        </w:tc>
        <w:tc>
          <w:tcPr>
            <w:tcW w:w="1559" w:type="dxa"/>
            <w:vAlign w:val="center"/>
            <w:hideMark/>
          </w:tcPr>
          <w:p w14:paraId="1883AF60" w14:textId="25641988"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133</w:t>
            </w:r>
            <w:r w:rsidR="009B27C1">
              <w:rPr>
                <w:rFonts w:ascii="Book Antiqua" w:hAnsi="Book Antiqua"/>
                <w:color w:val="000000" w:themeColor="text1"/>
                <w:vertAlign w:val="superscript"/>
              </w:rPr>
              <w:t>b</w:t>
            </w:r>
            <w:r w:rsidRPr="00D35DBC">
              <w:rPr>
                <w:rFonts w:ascii="Book Antiqua" w:hAnsi="Book Antiqua"/>
                <w:color w:val="000000" w:themeColor="text1"/>
              </w:rPr>
              <w:t>/754</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15</w:t>
            </w:r>
            <w:r w:rsidR="00906510" w:rsidRPr="00D35DBC">
              <w:rPr>
                <w:rFonts w:ascii="Book Antiqua" w:hAnsi="Book Antiqua"/>
                <w:color w:val="000000" w:themeColor="text1"/>
              </w:rPr>
              <w:t>)</w:t>
            </w:r>
          </w:p>
        </w:tc>
        <w:tc>
          <w:tcPr>
            <w:tcW w:w="1417" w:type="dxa"/>
            <w:vAlign w:val="center"/>
            <w:hideMark/>
          </w:tcPr>
          <w:p w14:paraId="0EEBA648" w14:textId="6655032B"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213</w:t>
            </w:r>
            <w:r w:rsidR="009B27C1">
              <w:rPr>
                <w:rFonts w:ascii="Book Antiqua" w:hAnsi="Book Antiqua"/>
                <w:color w:val="000000" w:themeColor="text1"/>
                <w:vertAlign w:val="superscript"/>
              </w:rPr>
              <w:t>b</w:t>
            </w:r>
            <w:r w:rsidRPr="00D35DBC">
              <w:rPr>
                <w:rFonts w:ascii="Book Antiqua" w:hAnsi="Book Antiqua"/>
                <w:color w:val="000000" w:themeColor="text1"/>
              </w:rPr>
              <w:t>/87</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71</w:t>
            </w:r>
            <w:r w:rsidR="00906510" w:rsidRPr="00D35DBC">
              <w:rPr>
                <w:rFonts w:ascii="Book Antiqua" w:hAnsi="Book Antiqua"/>
                <w:color w:val="000000" w:themeColor="text1"/>
              </w:rPr>
              <w:t>)</w:t>
            </w:r>
          </w:p>
        </w:tc>
        <w:tc>
          <w:tcPr>
            <w:tcW w:w="1418" w:type="dxa"/>
            <w:vAlign w:val="center"/>
            <w:hideMark/>
          </w:tcPr>
          <w:p w14:paraId="0156D8AC" w14:textId="09541258"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84</w:t>
            </w:r>
            <w:r w:rsidR="009B27C1">
              <w:rPr>
                <w:rFonts w:ascii="Book Antiqua" w:hAnsi="Book Antiqua"/>
                <w:color w:val="000000" w:themeColor="text1"/>
                <w:vertAlign w:val="superscript"/>
              </w:rPr>
              <w:t>b</w:t>
            </w:r>
            <w:r w:rsidRPr="00D35DBC">
              <w:rPr>
                <w:rFonts w:ascii="Book Antiqua" w:hAnsi="Book Antiqua"/>
                <w:color w:val="000000" w:themeColor="text1"/>
              </w:rPr>
              <w:t>/0</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100</w:t>
            </w:r>
            <w:r w:rsidR="00906510" w:rsidRPr="00D35DBC">
              <w:rPr>
                <w:rFonts w:ascii="Book Antiqua" w:hAnsi="Book Antiqua"/>
                <w:color w:val="000000" w:themeColor="text1"/>
              </w:rPr>
              <w:t>)</w:t>
            </w:r>
          </w:p>
        </w:tc>
        <w:tc>
          <w:tcPr>
            <w:tcW w:w="1417" w:type="dxa"/>
            <w:vAlign w:val="center"/>
            <w:hideMark/>
          </w:tcPr>
          <w:p w14:paraId="7BC30104" w14:textId="3D7F3652"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553/1759 </w:t>
            </w:r>
            <w:r w:rsidR="00906510" w:rsidRPr="00D35DBC">
              <w:rPr>
                <w:rFonts w:ascii="Book Antiqua" w:hAnsi="Book Antiqua"/>
                <w:color w:val="000000" w:themeColor="text1"/>
              </w:rPr>
              <w:t>(</w:t>
            </w:r>
            <w:r w:rsidRPr="00D35DBC">
              <w:rPr>
                <w:rFonts w:ascii="Book Antiqua" w:hAnsi="Book Antiqua"/>
                <w:color w:val="000000" w:themeColor="text1"/>
              </w:rPr>
              <w:t>24</w:t>
            </w:r>
            <w:r w:rsidR="00906510" w:rsidRPr="00D35DBC">
              <w:rPr>
                <w:rFonts w:ascii="Book Antiqua" w:hAnsi="Book Antiqua"/>
                <w:color w:val="000000" w:themeColor="text1"/>
              </w:rPr>
              <w:t>)</w:t>
            </w:r>
          </w:p>
        </w:tc>
        <w:tc>
          <w:tcPr>
            <w:tcW w:w="1276" w:type="dxa"/>
            <w:vAlign w:val="center"/>
            <w:hideMark/>
          </w:tcPr>
          <w:p w14:paraId="030B020D" w14:textId="437C5666"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&lt;</w:t>
            </w:r>
            <w:r w:rsidR="00906510" w:rsidRPr="00D35DBC">
              <w:rPr>
                <w:rFonts w:ascii="Book Antiqua" w:hAnsi="Book Antiqua"/>
                <w:color w:val="000000" w:themeColor="text1"/>
              </w:rPr>
              <w:t xml:space="preserve"> </w:t>
            </w:r>
            <w:r w:rsidRPr="00D35DBC">
              <w:rPr>
                <w:rFonts w:ascii="Book Antiqua" w:hAnsi="Book Antiqua"/>
                <w:color w:val="000000" w:themeColor="text1"/>
              </w:rPr>
              <w:t>0.0001</w:t>
            </w:r>
            <w:r w:rsidR="009B27C1">
              <w:rPr>
                <w:rFonts w:ascii="Book Antiqua" w:hAnsi="Book Antiqua"/>
                <w:color w:val="000000" w:themeColor="text1"/>
                <w:vertAlign w:val="superscript"/>
              </w:rPr>
              <w:t>1</w:t>
            </w:r>
          </w:p>
        </w:tc>
      </w:tr>
    </w:tbl>
    <w:p w14:paraId="7DA236DF" w14:textId="77777777" w:rsidR="00F24082" w:rsidRDefault="009B27C1" w:rsidP="00D35DBC">
      <w:pPr>
        <w:adjustRightInd w:val="0"/>
        <w:snapToGrid w:val="0"/>
        <w:spacing w:line="360" w:lineRule="auto"/>
        <w:jc w:val="both"/>
        <w:rPr>
          <w:rFonts w:ascii="Book Antiqua" w:hAnsi="Book Antiqua"/>
          <w:color w:val="000000" w:themeColor="text1"/>
        </w:rPr>
      </w:pPr>
      <w:r>
        <w:rPr>
          <w:rFonts w:ascii="Book Antiqua" w:hAnsi="Book Antiqua"/>
          <w:color w:val="000000" w:themeColor="text1"/>
          <w:vertAlign w:val="superscript"/>
        </w:rPr>
        <w:t>1</w:t>
      </w:r>
      <w:r w:rsidRPr="00D35DBC">
        <w:rPr>
          <w:rFonts w:ascii="Book Antiqua" w:hAnsi="Book Antiqua"/>
          <w:color w:val="000000" w:themeColor="text1"/>
        </w:rPr>
        <w:t>Chi-square test.</w:t>
      </w:r>
      <w:r w:rsidR="00C1648E" w:rsidRPr="00D35DBC">
        <w:rPr>
          <w:rFonts w:ascii="Book Antiqua" w:hAnsi="Book Antiqua"/>
          <w:color w:val="000000" w:themeColor="text1"/>
        </w:rPr>
        <w:t xml:space="preserve"> </w:t>
      </w:r>
    </w:p>
    <w:p w14:paraId="7BC936BD" w14:textId="77777777" w:rsidR="00F24082" w:rsidRDefault="00C1648E" w:rsidP="00D35DBC">
      <w:pPr>
        <w:adjustRightInd w:val="0"/>
        <w:snapToGrid w:val="0"/>
        <w:spacing w:line="360" w:lineRule="auto"/>
        <w:jc w:val="both"/>
        <w:rPr>
          <w:rFonts w:ascii="Book Antiqua" w:hAnsi="Book Antiqua"/>
          <w:color w:val="000000" w:themeColor="text1"/>
          <w:lang w:eastAsia="zh-CN"/>
        </w:rPr>
      </w:pPr>
      <w:r w:rsidRPr="00D35DBC">
        <w:rPr>
          <w:rFonts w:ascii="Book Antiqua" w:hAnsi="Book Antiqua"/>
          <w:color w:val="000000" w:themeColor="text1"/>
          <w:vertAlign w:val="superscript"/>
        </w:rPr>
        <w:lastRenderedPageBreak/>
        <w:t>a</w:t>
      </w:r>
      <w:r w:rsidR="005153C2" w:rsidRPr="00D35DBC">
        <w:rPr>
          <w:rFonts w:ascii="Book Antiqua" w:hAnsi="Book Antiqua"/>
          <w:i/>
          <w:color w:val="000000" w:themeColor="text1"/>
        </w:rPr>
        <w:t>P</w:t>
      </w:r>
      <w:r w:rsidR="00906510" w:rsidRPr="00D35DBC">
        <w:rPr>
          <w:rFonts w:ascii="Book Antiqua" w:hAnsi="Book Antiqua"/>
          <w:i/>
          <w:color w:val="000000" w:themeColor="text1"/>
        </w:rPr>
        <w:t xml:space="preserve"> </w:t>
      </w:r>
      <w:r w:rsidRPr="00D35DBC">
        <w:rPr>
          <w:rFonts w:ascii="Book Antiqua" w:hAnsi="Book Antiqua"/>
          <w:color w:val="000000" w:themeColor="text1"/>
        </w:rPr>
        <w:t>&lt;</w:t>
      </w:r>
      <w:r w:rsidR="00906510" w:rsidRPr="00D35DBC">
        <w:rPr>
          <w:rFonts w:ascii="Book Antiqua" w:hAnsi="Book Antiqua"/>
          <w:color w:val="000000" w:themeColor="text1"/>
        </w:rPr>
        <w:t xml:space="preserve"> </w:t>
      </w:r>
      <w:r w:rsidRPr="00D35DBC">
        <w:rPr>
          <w:rFonts w:ascii="Book Antiqua" w:hAnsi="Book Antiqua"/>
          <w:color w:val="000000" w:themeColor="text1"/>
        </w:rPr>
        <w:t xml:space="preserve">0.05 </w:t>
      </w:r>
      <w:r w:rsidRPr="00D35DBC">
        <w:rPr>
          <w:rFonts w:ascii="Book Antiqua" w:hAnsi="Book Antiqua"/>
          <w:i/>
          <w:iCs/>
          <w:color w:val="000000" w:themeColor="text1"/>
        </w:rPr>
        <w:t>vs</w:t>
      </w:r>
      <w:r w:rsidRPr="00D35DBC">
        <w:rPr>
          <w:rFonts w:ascii="Book Antiqua" w:hAnsi="Book Antiqua"/>
          <w:color w:val="000000" w:themeColor="text1"/>
        </w:rPr>
        <w:t xml:space="preserve"> overall mean (ANOM)</w:t>
      </w:r>
      <w:r w:rsidR="00F24082">
        <w:rPr>
          <w:rFonts w:ascii="Book Antiqua" w:hAnsi="Book Antiqua"/>
          <w:color w:val="000000" w:themeColor="text1"/>
          <w:lang w:eastAsia="zh-CN"/>
        </w:rPr>
        <w:t>.</w:t>
      </w:r>
    </w:p>
    <w:p w14:paraId="252A4988" w14:textId="77777777" w:rsidR="00F24082" w:rsidRDefault="009B27C1" w:rsidP="00D35DBC">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vertAlign w:val="superscript"/>
        </w:rPr>
        <w:t>b</w:t>
      </w:r>
      <w:r w:rsidR="005153C2" w:rsidRPr="00D35DBC">
        <w:rPr>
          <w:rFonts w:ascii="Book Antiqua" w:hAnsi="Book Antiqua"/>
          <w:i/>
          <w:color w:val="000000" w:themeColor="text1"/>
        </w:rPr>
        <w:t>P</w:t>
      </w:r>
      <w:r w:rsidR="00906510" w:rsidRPr="00D35DBC">
        <w:rPr>
          <w:rFonts w:ascii="Book Antiqua" w:hAnsi="Book Antiqua"/>
          <w:i/>
          <w:color w:val="000000" w:themeColor="text1"/>
        </w:rPr>
        <w:t xml:space="preserve"> </w:t>
      </w:r>
      <w:r w:rsidR="00C1648E" w:rsidRPr="00D35DBC">
        <w:rPr>
          <w:rFonts w:ascii="Book Antiqua" w:hAnsi="Book Antiqua"/>
          <w:color w:val="000000" w:themeColor="text1"/>
        </w:rPr>
        <w:t>&lt;</w:t>
      </w:r>
      <w:r w:rsidR="00906510" w:rsidRPr="00D35DBC">
        <w:rPr>
          <w:rFonts w:ascii="Book Antiqua" w:hAnsi="Book Antiqua"/>
          <w:color w:val="000000" w:themeColor="text1"/>
        </w:rPr>
        <w:t xml:space="preserve"> </w:t>
      </w:r>
      <w:r w:rsidR="00C1648E" w:rsidRPr="00D35DBC">
        <w:rPr>
          <w:rFonts w:ascii="Book Antiqua" w:hAnsi="Book Antiqua"/>
          <w:color w:val="000000" w:themeColor="text1"/>
        </w:rPr>
        <w:t xml:space="preserve">0.05 </w:t>
      </w:r>
      <w:r w:rsidR="00C1648E" w:rsidRPr="00D35DBC">
        <w:rPr>
          <w:rFonts w:ascii="Book Antiqua" w:hAnsi="Book Antiqua"/>
          <w:i/>
          <w:iCs/>
          <w:color w:val="000000" w:themeColor="text1"/>
        </w:rPr>
        <w:t>vs</w:t>
      </w:r>
      <w:r w:rsidR="00C1648E" w:rsidRPr="00D35DBC">
        <w:rPr>
          <w:rFonts w:ascii="Book Antiqua" w:hAnsi="Book Antiqua"/>
          <w:color w:val="000000" w:themeColor="text1"/>
        </w:rPr>
        <w:t xml:space="preserve"> expected value (residual analysis)</w:t>
      </w:r>
      <w:r>
        <w:rPr>
          <w:rFonts w:ascii="Book Antiqua" w:hAnsi="Book Antiqua"/>
          <w:color w:val="000000" w:themeColor="text1"/>
          <w:lang w:eastAsia="zh-CN"/>
        </w:rPr>
        <w:t>.</w:t>
      </w:r>
      <w:r w:rsidR="00906510" w:rsidRPr="00D35DBC">
        <w:rPr>
          <w:rFonts w:ascii="Book Antiqua" w:hAnsi="Book Antiqua"/>
          <w:color w:val="000000" w:themeColor="text1"/>
          <w:lang w:eastAsia="zh-CN"/>
        </w:rPr>
        <w:t xml:space="preserve"> </w:t>
      </w:r>
    </w:p>
    <w:p w14:paraId="41B58BB9" w14:textId="7145FDE6"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TGRY: Total gastrectomy with Roux-en-Y reconstruction; PG: Proximal gastrectomy; DGRY: Distal gastrectomy with Roux-en-Y reconstruction;</w:t>
      </w:r>
      <w:r w:rsidR="005153C2" w:rsidRPr="00D35DBC">
        <w:rPr>
          <w:rFonts w:ascii="Book Antiqua" w:hAnsi="Book Antiqua"/>
          <w:color w:val="000000" w:themeColor="text1"/>
        </w:rPr>
        <w:t xml:space="preserve"> </w:t>
      </w:r>
      <w:r w:rsidRPr="00D35DBC">
        <w:rPr>
          <w:rFonts w:ascii="Book Antiqua" w:hAnsi="Book Antiqua"/>
          <w:color w:val="000000" w:themeColor="text1"/>
        </w:rPr>
        <w:t>DGBI: Distal gastrectomy with Billroth I reconstruction; PPG: Pylorus preserving gastrectomy; LR: Local resection of the stomach</w:t>
      </w:r>
      <w:r w:rsidR="00906510" w:rsidRPr="00D35DBC">
        <w:rPr>
          <w:rFonts w:ascii="Book Antiqua" w:hAnsi="Book Antiqua"/>
          <w:color w:val="000000" w:themeColor="text1"/>
        </w:rPr>
        <w:t>;</w:t>
      </w:r>
      <w:r w:rsidR="00906510" w:rsidRPr="00D35DBC">
        <w:rPr>
          <w:rFonts w:ascii="Book Antiqua" w:eastAsia="Book Antiqua" w:hAnsi="Book Antiqua" w:cs="Book Antiqua"/>
          <w:color w:val="000000" w:themeColor="text1"/>
        </w:rPr>
        <w:t xml:space="preserve"> SF-8: 8-item short-form generic health-related QOL questionnaire</w:t>
      </w:r>
    </w:p>
    <w:p w14:paraId="6CBE04B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br w:type="page"/>
      </w:r>
    </w:p>
    <w:p w14:paraId="1061F3C3" w14:textId="4BC33010"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lastRenderedPageBreak/>
        <w:t xml:space="preserve">Table 3 Comparison of main outcome measures of </w:t>
      </w:r>
      <w:r w:rsidR="009F14E7" w:rsidRPr="00D35DBC">
        <w:rPr>
          <w:rFonts w:ascii="Book Antiqua" w:eastAsia="MS PGothic" w:hAnsi="Book Antiqua"/>
          <w:b/>
          <w:bCs/>
          <w:color w:val="000000" w:themeColor="text1"/>
        </w:rPr>
        <w:t>Postgastrectomy Syndrome Assessment Scale-45</w:t>
      </w:r>
      <w:r w:rsidRPr="00D35DBC">
        <w:rPr>
          <w:rFonts w:ascii="Book Antiqua" w:eastAsia="MS PGothic" w:hAnsi="Book Antiqua"/>
          <w:b/>
          <w:bCs/>
          <w:color w:val="000000" w:themeColor="text1"/>
        </w:rPr>
        <w:t xml:space="preserve"> among six types of gastrectomy using ANOM</w:t>
      </w:r>
    </w:p>
    <w:tbl>
      <w:tblPr>
        <w:tblW w:w="0" w:type="auto"/>
        <w:tblBorders>
          <w:top w:val="single" w:sz="4" w:space="0" w:color="auto"/>
          <w:bottom w:val="single" w:sz="4" w:space="0" w:color="auto"/>
        </w:tblBorders>
        <w:tblLook w:val="04A0" w:firstRow="1" w:lastRow="0" w:firstColumn="1" w:lastColumn="0" w:noHBand="0" w:noVBand="1"/>
      </w:tblPr>
      <w:tblGrid>
        <w:gridCol w:w="1457"/>
        <w:gridCol w:w="2673"/>
        <w:gridCol w:w="1270"/>
        <w:gridCol w:w="1228"/>
        <w:gridCol w:w="1204"/>
        <w:gridCol w:w="1107"/>
        <w:gridCol w:w="1154"/>
        <w:gridCol w:w="1154"/>
        <w:gridCol w:w="1119"/>
        <w:gridCol w:w="594"/>
      </w:tblGrid>
      <w:tr w:rsidR="00581C8A" w:rsidRPr="00D35DBC" w14:paraId="38DBB5DD" w14:textId="77777777" w:rsidTr="0048396D">
        <w:tc>
          <w:tcPr>
            <w:tcW w:w="0" w:type="auto"/>
            <w:tcBorders>
              <w:top w:val="single" w:sz="4" w:space="0" w:color="auto"/>
              <w:bottom w:val="single" w:sz="4" w:space="0" w:color="auto"/>
            </w:tcBorders>
            <w:vAlign w:val="center"/>
          </w:tcPr>
          <w:p w14:paraId="18D131BF"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vAlign w:val="center"/>
            <w:hideMark/>
          </w:tcPr>
          <w:p w14:paraId="2C6E1ED1"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Types of gastrectomy</w:t>
            </w:r>
          </w:p>
        </w:tc>
        <w:tc>
          <w:tcPr>
            <w:tcW w:w="0" w:type="auto"/>
            <w:tcBorders>
              <w:top w:val="single" w:sz="4" w:space="0" w:color="auto"/>
              <w:bottom w:val="single" w:sz="4" w:space="0" w:color="auto"/>
            </w:tcBorders>
            <w:vAlign w:val="center"/>
            <w:hideMark/>
          </w:tcPr>
          <w:p w14:paraId="17A0F4C5"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r w:rsidRPr="00D35DBC">
              <w:rPr>
                <w:rFonts w:ascii="Book Antiqua" w:hAnsi="Book Antiqua"/>
                <w:b/>
                <w:bCs/>
                <w:color w:val="000000" w:themeColor="text1"/>
              </w:rPr>
              <w:t>TGRY</w:t>
            </w:r>
          </w:p>
          <w:p w14:paraId="14DAEFED" w14:textId="254A32B2"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i/>
                <w:i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393)</w:t>
            </w:r>
          </w:p>
        </w:tc>
        <w:tc>
          <w:tcPr>
            <w:tcW w:w="0" w:type="auto"/>
            <w:tcBorders>
              <w:top w:val="single" w:sz="4" w:space="0" w:color="auto"/>
              <w:bottom w:val="single" w:sz="4" w:space="0" w:color="auto"/>
            </w:tcBorders>
            <w:vAlign w:val="center"/>
            <w:hideMark/>
          </w:tcPr>
          <w:p w14:paraId="2E332014"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PG</w:t>
            </w:r>
          </w:p>
          <w:p w14:paraId="7A6275F4" w14:textId="2F2CBD56"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193)</w:t>
            </w:r>
          </w:p>
        </w:tc>
        <w:tc>
          <w:tcPr>
            <w:tcW w:w="0" w:type="auto"/>
            <w:tcBorders>
              <w:top w:val="single" w:sz="4" w:space="0" w:color="auto"/>
              <w:bottom w:val="single" w:sz="4" w:space="0" w:color="auto"/>
            </w:tcBorders>
            <w:vAlign w:val="center"/>
            <w:hideMark/>
          </w:tcPr>
          <w:p w14:paraId="2E5417EA"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DGRY</w:t>
            </w:r>
          </w:p>
          <w:p w14:paraId="6B2632AA" w14:textId="4370B080"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475)</w:t>
            </w:r>
          </w:p>
        </w:tc>
        <w:tc>
          <w:tcPr>
            <w:tcW w:w="0" w:type="auto"/>
            <w:tcBorders>
              <w:top w:val="single" w:sz="4" w:space="0" w:color="auto"/>
              <w:bottom w:val="single" w:sz="4" w:space="0" w:color="auto"/>
            </w:tcBorders>
            <w:vAlign w:val="center"/>
            <w:hideMark/>
          </w:tcPr>
          <w:p w14:paraId="3372889D"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DGBI</w:t>
            </w:r>
          </w:p>
          <w:p w14:paraId="4BEFB564" w14:textId="29AAD20F"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909)</w:t>
            </w:r>
          </w:p>
        </w:tc>
        <w:tc>
          <w:tcPr>
            <w:tcW w:w="0" w:type="auto"/>
            <w:tcBorders>
              <w:top w:val="single" w:sz="4" w:space="0" w:color="auto"/>
              <w:bottom w:val="single" w:sz="4" w:space="0" w:color="auto"/>
            </w:tcBorders>
            <w:vAlign w:val="center"/>
            <w:hideMark/>
          </w:tcPr>
          <w:p w14:paraId="460EACAC"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PPG</w:t>
            </w:r>
          </w:p>
          <w:p w14:paraId="3C03192D" w14:textId="2CE37D0B"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313)</w:t>
            </w:r>
          </w:p>
        </w:tc>
        <w:tc>
          <w:tcPr>
            <w:tcW w:w="0" w:type="auto"/>
            <w:tcBorders>
              <w:top w:val="single" w:sz="4" w:space="0" w:color="auto"/>
              <w:bottom w:val="single" w:sz="4" w:space="0" w:color="auto"/>
            </w:tcBorders>
            <w:vAlign w:val="center"/>
            <w:hideMark/>
          </w:tcPr>
          <w:p w14:paraId="5DE9B341"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LR</w:t>
            </w:r>
          </w:p>
          <w:p w14:paraId="698EB1A2" w14:textId="08348DD2"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i/>
                <w:i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85)</w:t>
            </w:r>
          </w:p>
        </w:tc>
        <w:tc>
          <w:tcPr>
            <w:tcW w:w="1119" w:type="dxa"/>
            <w:tcBorders>
              <w:top w:val="single" w:sz="4" w:space="0" w:color="auto"/>
              <w:bottom w:val="single" w:sz="4" w:space="0" w:color="auto"/>
            </w:tcBorders>
            <w:vAlign w:val="center"/>
            <w:hideMark/>
          </w:tcPr>
          <w:p w14:paraId="224178B5"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Overall</w:t>
            </w:r>
          </w:p>
          <w:p w14:paraId="44C07DF6" w14:textId="766FA1D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i/>
                <w:i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2368)</w:t>
            </w:r>
          </w:p>
        </w:tc>
        <w:tc>
          <w:tcPr>
            <w:tcW w:w="594" w:type="dxa"/>
            <w:tcBorders>
              <w:top w:val="single" w:sz="4" w:space="0" w:color="auto"/>
              <w:bottom w:val="single" w:sz="4" w:space="0" w:color="auto"/>
            </w:tcBorders>
            <w:vAlign w:val="center"/>
          </w:tcPr>
          <w:p w14:paraId="27AD27C7"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p>
        </w:tc>
      </w:tr>
      <w:tr w:rsidR="00581C8A" w:rsidRPr="00D35DBC" w14:paraId="5C224879" w14:textId="77777777" w:rsidTr="0048396D">
        <w:tc>
          <w:tcPr>
            <w:tcW w:w="0" w:type="auto"/>
            <w:tcBorders>
              <w:top w:val="single" w:sz="4" w:space="0" w:color="auto"/>
            </w:tcBorders>
            <w:vAlign w:val="center"/>
            <w:hideMark/>
          </w:tcPr>
          <w:p w14:paraId="5FDCBE7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Domain</w:t>
            </w:r>
          </w:p>
        </w:tc>
        <w:tc>
          <w:tcPr>
            <w:tcW w:w="0" w:type="auto"/>
            <w:tcBorders>
              <w:top w:val="single" w:sz="4" w:space="0" w:color="auto"/>
            </w:tcBorders>
            <w:vAlign w:val="center"/>
            <w:hideMark/>
          </w:tcPr>
          <w:p w14:paraId="3282E91E"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Main outcome measures</w:t>
            </w:r>
          </w:p>
        </w:tc>
        <w:tc>
          <w:tcPr>
            <w:tcW w:w="0" w:type="auto"/>
            <w:tcBorders>
              <w:top w:val="single" w:sz="4" w:space="0" w:color="auto"/>
            </w:tcBorders>
            <w:vAlign w:val="center"/>
            <w:hideMark/>
          </w:tcPr>
          <w:p w14:paraId="6335E53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 mean ± SD </w:t>
            </w:r>
          </w:p>
        </w:tc>
        <w:tc>
          <w:tcPr>
            <w:tcW w:w="0" w:type="auto"/>
            <w:tcBorders>
              <w:top w:val="single" w:sz="4" w:space="0" w:color="auto"/>
            </w:tcBorders>
            <w:vAlign w:val="center"/>
            <w:hideMark/>
          </w:tcPr>
          <w:p w14:paraId="25A817A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0" w:type="auto"/>
            <w:tcBorders>
              <w:top w:val="single" w:sz="4" w:space="0" w:color="auto"/>
            </w:tcBorders>
            <w:vAlign w:val="center"/>
            <w:hideMark/>
          </w:tcPr>
          <w:p w14:paraId="3C9F0D0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0" w:type="auto"/>
            <w:tcBorders>
              <w:top w:val="single" w:sz="4" w:space="0" w:color="auto"/>
            </w:tcBorders>
            <w:vAlign w:val="center"/>
            <w:hideMark/>
          </w:tcPr>
          <w:p w14:paraId="3CC365F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0" w:type="auto"/>
            <w:tcBorders>
              <w:top w:val="single" w:sz="4" w:space="0" w:color="auto"/>
            </w:tcBorders>
            <w:vAlign w:val="center"/>
            <w:hideMark/>
          </w:tcPr>
          <w:p w14:paraId="2F2C67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0" w:type="auto"/>
            <w:tcBorders>
              <w:top w:val="single" w:sz="4" w:space="0" w:color="auto"/>
            </w:tcBorders>
            <w:vAlign w:val="center"/>
            <w:hideMark/>
          </w:tcPr>
          <w:p w14:paraId="5585329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1119" w:type="dxa"/>
            <w:tcBorders>
              <w:top w:val="single" w:sz="4" w:space="0" w:color="auto"/>
            </w:tcBorders>
            <w:vAlign w:val="center"/>
            <w:hideMark/>
          </w:tcPr>
          <w:p w14:paraId="71F1ED3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594" w:type="dxa"/>
            <w:tcBorders>
              <w:top w:val="single" w:sz="4" w:space="0" w:color="auto"/>
            </w:tcBorders>
            <w:vAlign w:val="center"/>
            <w:hideMark/>
          </w:tcPr>
          <w:p w14:paraId="69256F0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N</w:t>
            </w:r>
          </w:p>
        </w:tc>
      </w:tr>
      <w:tr w:rsidR="00581C8A" w:rsidRPr="00D35DBC" w14:paraId="4063E20D" w14:textId="77777777" w:rsidTr="0048396D">
        <w:tc>
          <w:tcPr>
            <w:tcW w:w="0" w:type="auto"/>
            <w:vAlign w:val="center"/>
            <w:hideMark/>
          </w:tcPr>
          <w:p w14:paraId="2A43226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Symptoms</w:t>
            </w:r>
          </w:p>
        </w:tc>
        <w:tc>
          <w:tcPr>
            <w:tcW w:w="0" w:type="auto"/>
            <w:vAlign w:val="center"/>
            <w:hideMark/>
          </w:tcPr>
          <w:p w14:paraId="6C8A7D3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Esophageal reflux SS</w:t>
            </w:r>
          </w:p>
        </w:tc>
        <w:tc>
          <w:tcPr>
            <w:tcW w:w="0" w:type="auto"/>
            <w:vAlign w:val="center"/>
            <w:hideMark/>
          </w:tcPr>
          <w:p w14:paraId="17F3682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r w:rsidRPr="00D35DBC">
              <w:rPr>
                <w:rFonts w:ascii="Book Antiqua" w:hAnsi="Book Antiqua"/>
                <w:color w:val="000000" w:themeColor="text1"/>
                <w:vertAlign w:val="superscript"/>
              </w:rPr>
              <w:t>b</w:t>
            </w:r>
          </w:p>
        </w:tc>
        <w:tc>
          <w:tcPr>
            <w:tcW w:w="0" w:type="auto"/>
            <w:vAlign w:val="center"/>
            <w:hideMark/>
          </w:tcPr>
          <w:p w14:paraId="6FEE5AE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r w:rsidRPr="00D35DBC">
              <w:rPr>
                <w:rFonts w:ascii="Book Antiqua" w:hAnsi="Book Antiqua"/>
                <w:color w:val="000000" w:themeColor="text1"/>
                <w:vertAlign w:val="superscript"/>
              </w:rPr>
              <w:t>b</w:t>
            </w:r>
          </w:p>
        </w:tc>
        <w:tc>
          <w:tcPr>
            <w:tcW w:w="0" w:type="auto"/>
            <w:vAlign w:val="center"/>
            <w:hideMark/>
          </w:tcPr>
          <w:p w14:paraId="26215FF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0.7</w:t>
            </w:r>
            <w:r w:rsidRPr="00D35DBC">
              <w:rPr>
                <w:rFonts w:ascii="Book Antiqua" w:hAnsi="Book Antiqua"/>
                <w:color w:val="000000" w:themeColor="text1"/>
                <w:vertAlign w:val="superscript"/>
              </w:rPr>
              <w:t>a</w:t>
            </w:r>
          </w:p>
        </w:tc>
        <w:tc>
          <w:tcPr>
            <w:tcW w:w="0" w:type="auto"/>
            <w:vAlign w:val="center"/>
            <w:hideMark/>
          </w:tcPr>
          <w:p w14:paraId="696BC59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0.8</w:t>
            </w:r>
          </w:p>
        </w:tc>
        <w:tc>
          <w:tcPr>
            <w:tcW w:w="0" w:type="auto"/>
            <w:vAlign w:val="center"/>
            <w:hideMark/>
          </w:tcPr>
          <w:p w14:paraId="6687646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0.8</w:t>
            </w:r>
          </w:p>
        </w:tc>
        <w:tc>
          <w:tcPr>
            <w:tcW w:w="0" w:type="auto"/>
            <w:vAlign w:val="center"/>
            <w:hideMark/>
          </w:tcPr>
          <w:p w14:paraId="7322BE1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1.4 ± 0.5</w:t>
            </w:r>
            <w:r w:rsidRPr="00D35DBC">
              <w:rPr>
                <w:rFonts w:ascii="Book Antiqua" w:hAnsi="Book Antiqua"/>
                <w:color w:val="000000" w:themeColor="text1"/>
                <w:vertAlign w:val="superscript"/>
              </w:rPr>
              <w:t>a</w:t>
            </w:r>
          </w:p>
        </w:tc>
        <w:tc>
          <w:tcPr>
            <w:tcW w:w="1119" w:type="dxa"/>
            <w:vAlign w:val="center"/>
            <w:hideMark/>
          </w:tcPr>
          <w:p w14:paraId="16E47FC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0.9</w:t>
            </w:r>
          </w:p>
        </w:tc>
        <w:tc>
          <w:tcPr>
            <w:tcW w:w="594" w:type="dxa"/>
            <w:vAlign w:val="center"/>
            <w:hideMark/>
          </w:tcPr>
          <w:p w14:paraId="5706F14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r>
      <w:tr w:rsidR="00581C8A" w:rsidRPr="00D35DBC" w14:paraId="306B11B2" w14:textId="77777777" w:rsidTr="0048396D">
        <w:tc>
          <w:tcPr>
            <w:tcW w:w="0" w:type="auto"/>
            <w:vAlign w:val="center"/>
          </w:tcPr>
          <w:p w14:paraId="52E3E6B6"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C16B3B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Abdominal pain SS</w:t>
            </w:r>
          </w:p>
        </w:tc>
        <w:tc>
          <w:tcPr>
            <w:tcW w:w="0" w:type="auto"/>
            <w:vAlign w:val="center"/>
            <w:hideMark/>
          </w:tcPr>
          <w:p w14:paraId="5DF9B7B7"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1.8 ± 0.8</w:t>
            </w:r>
          </w:p>
        </w:tc>
        <w:tc>
          <w:tcPr>
            <w:tcW w:w="0" w:type="auto"/>
            <w:vAlign w:val="center"/>
            <w:hideMark/>
          </w:tcPr>
          <w:p w14:paraId="5009DCD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0.7</w:t>
            </w:r>
          </w:p>
        </w:tc>
        <w:tc>
          <w:tcPr>
            <w:tcW w:w="0" w:type="auto"/>
            <w:vAlign w:val="center"/>
            <w:hideMark/>
          </w:tcPr>
          <w:p w14:paraId="2569290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0.8</w:t>
            </w:r>
          </w:p>
        </w:tc>
        <w:tc>
          <w:tcPr>
            <w:tcW w:w="0" w:type="auto"/>
            <w:vAlign w:val="center"/>
            <w:hideMark/>
          </w:tcPr>
          <w:p w14:paraId="4E56AE2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0.7</w:t>
            </w:r>
          </w:p>
        </w:tc>
        <w:tc>
          <w:tcPr>
            <w:tcW w:w="0" w:type="auto"/>
            <w:vAlign w:val="center"/>
            <w:hideMark/>
          </w:tcPr>
          <w:p w14:paraId="6E630C9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1.6 ± 0.7</w:t>
            </w:r>
          </w:p>
        </w:tc>
        <w:tc>
          <w:tcPr>
            <w:tcW w:w="0" w:type="auto"/>
            <w:vAlign w:val="center"/>
            <w:hideMark/>
          </w:tcPr>
          <w:p w14:paraId="68E7E11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0.6</w:t>
            </w:r>
          </w:p>
        </w:tc>
        <w:tc>
          <w:tcPr>
            <w:tcW w:w="1119" w:type="dxa"/>
            <w:vAlign w:val="center"/>
            <w:hideMark/>
          </w:tcPr>
          <w:p w14:paraId="22B210B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0.8</w:t>
            </w:r>
          </w:p>
        </w:tc>
        <w:tc>
          <w:tcPr>
            <w:tcW w:w="594" w:type="dxa"/>
            <w:vAlign w:val="center"/>
            <w:hideMark/>
          </w:tcPr>
          <w:p w14:paraId="2438C1A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r>
      <w:tr w:rsidR="00581C8A" w:rsidRPr="00D35DBC" w14:paraId="7201B4BC" w14:textId="77777777" w:rsidTr="0048396D">
        <w:tc>
          <w:tcPr>
            <w:tcW w:w="0" w:type="auto"/>
            <w:vAlign w:val="center"/>
          </w:tcPr>
          <w:p w14:paraId="1692993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10C3AE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Meal-related distress SS</w:t>
            </w:r>
          </w:p>
        </w:tc>
        <w:tc>
          <w:tcPr>
            <w:tcW w:w="0" w:type="auto"/>
            <w:vAlign w:val="center"/>
            <w:hideMark/>
          </w:tcPr>
          <w:p w14:paraId="1D3D8A8A"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2.6 ± 1.1</w:t>
            </w:r>
            <w:r w:rsidRPr="00D35DBC">
              <w:rPr>
                <w:rFonts w:ascii="Book Antiqua" w:hAnsi="Book Antiqua"/>
                <w:color w:val="000000" w:themeColor="text1"/>
                <w:vertAlign w:val="superscript"/>
              </w:rPr>
              <w:t>b</w:t>
            </w:r>
          </w:p>
        </w:tc>
        <w:tc>
          <w:tcPr>
            <w:tcW w:w="0" w:type="auto"/>
            <w:vAlign w:val="center"/>
            <w:hideMark/>
          </w:tcPr>
          <w:p w14:paraId="5CF88DF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2.6 ± 1.1</w:t>
            </w:r>
            <w:r w:rsidRPr="00D35DBC">
              <w:rPr>
                <w:rFonts w:ascii="Book Antiqua" w:hAnsi="Book Antiqua"/>
                <w:color w:val="000000" w:themeColor="text1"/>
                <w:vertAlign w:val="superscript"/>
              </w:rPr>
              <w:t>b</w:t>
            </w:r>
          </w:p>
        </w:tc>
        <w:tc>
          <w:tcPr>
            <w:tcW w:w="0" w:type="auto"/>
            <w:vAlign w:val="center"/>
            <w:hideMark/>
          </w:tcPr>
          <w:p w14:paraId="466A777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0.9</w:t>
            </w:r>
            <w:r w:rsidRPr="00D35DBC">
              <w:rPr>
                <w:rFonts w:ascii="Book Antiqua" w:hAnsi="Book Antiqua"/>
                <w:color w:val="000000" w:themeColor="text1"/>
                <w:vertAlign w:val="superscript"/>
              </w:rPr>
              <w:t>a</w:t>
            </w:r>
          </w:p>
        </w:tc>
        <w:tc>
          <w:tcPr>
            <w:tcW w:w="0" w:type="auto"/>
            <w:vAlign w:val="center"/>
            <w:hideMark/>
          </w:tcPr>
          <w:p w14:paraId="7D77234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0.9</w:t>
            </w:r>
            <w:r w:rsidRPr="00D35DBC">
              <w:rPr>
                <w:rFonts w:ascii="Book Antiqua" w:hAnsi="Book Antiqua"/>
                <w:color w:val="000000" w:themeColor="text1"/>
                <w:vertAlign w:val="superscript"/>
              </w:rPr>
              <w:t>a</w:t>
            </w:r>
          </w:p>
        </w:tc>
        <w:tc>
          <w:tcPr>
            <w:tcW w:w="0" w:type="auto"/>
            <w:vAlign w:val="center"/>
            <w:hideMark/>
          </w:tcPr>
          <w:p w14:paraId="5E90E9A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0.9</w:t>
            </w:r>
          </w:p>
        </w:tc>
        <w:tc>
          <w:tcPr>
            <w:tcW w:w="0" w:type="auto"/>
            <w:vAlign w:val="center"/>
            <w:hideMark/>
          </w:tcPr>
          <w:p w14:paraId="785F9E2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0.6</w:t>
            </w:r>
            <w:r w:rsidRPr="00D35DBC">
              <w:rPr>
                <w:rFonts w:ascii="Book Antiqua" w:hAnsi="Book Antiqua"/>
                <w:color w:val="000000" w:themeColor="text1"/>
                <w:vertAlign w:val="superscript"/>
              </w:rPr>
              <w:t>a</w:t>
            </w:r>
          </w:p>
        </w:tc>
        <w:tc>
          <w:tcPr>
            <w:tcW w:w="1119" w:type="dxa"/>
            <w:vAlign w:val="center"/>
            <w:hideMark/>
          </w:tcPr>
          <w:p w14:paraId="07422D4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1.0</w:t>
            </w:r>
          </w:p>
        </w:tc>
        <w:tc>
          <w:tcPr>
            <w:tcW w:w="594" w:type="dxa"/>
            <w:vAlign w:val="center"/>
            <w:hideMark/>
          </w:tcPr>
          <w:p w14:paraId="10CF0BB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r>
      <w:tr w:rsidR="00581C8A" w:rsidRPr="00D35DBC" w14:paraId="6B58B174" w14:textId="77777777" w:rsidTr="0048396D">
        <w:tc>
          <w:tcPr>
            <w:tcW w:w="0" w:type="auto"/>
            <w:vAlign w:val="center"/>
          </w:tcPr>
          <w:p w14:paraId="467F8C2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263097C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Indigestion SS</w:t>
            </w:r>
          </w:p>
        </w:tc>
        <w:tc>
          <w:tcPr>
            <w:tcW w:w="0" w:type="auto"/>
            <w:vAlign w:val="center"/>
            <w:hideMark/>
          </w:tcPr>
          <w:p w14:paraId="313A6396"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2.3 ± 0.9</w:t>
            </w:r>
            <w:r w:rsidRPr="00D35DBC">
              <w:rPr>
                <w:rFonts w:ascii="Book Antiqua" w:hAnsi="Book Antiqua"/>
                <w:color w:val="000000" w:themeColor="text1"/>
                <w:vertAlign w:val="superscript"/>
              </w:rPr>
              <w:t>b</w:t>
            </w:r>
          </w:p>
        </w:tc>
        <w:tc>
          <w:tcPr>
            <w:tcW w:w="0" w:type="auto"/>
            <w:vAlign w:val="center"/>
            <w:hideMark/>
          </w:tcPr>
          <w:p w14:paraId="280B4C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0.8</w:t>
            </w:r>
          </w:p>
        </w:tc>
        <w:tc>
          <w:tcPr>
            <w:tcW w:w="0" w:type="auto"/>
            <w:vAlign w:val="center"/>
            <w:hideMark/>
          </w:tcPr>
          <w:p w14:paraId="54784BF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0.8</w:t>
            </w:r>
          </w:p>
        </w:tc>
        <w:tc>
          <w:tcPr>
            <w:tcW w:w="0" w:type="auto"/>
            <w:vAlign w:val="center"/>
            <w:hideMark/>
          </w:tcPr>
          <w:p w14:paraId="26086A4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0.8</w:t>
            </w:r>
            <w:r w:rsidRPr="00D35DBC">
              <w:rPr>
                <w:rFonts w:ascii="Book Antiqua" w:hAnsi="Book Antiqua"/>
                <w:color w:val="000000" w:themeColor="text1"/>
                <w:vertAlign w:val="superscript"/>
              </w:rPr>
              <w:t>a</w:t>
            </w:r>
          </w:p>
        </w:tc>
        <w:tc>
          <w:tcPr>
            <w:tcW w:w="0" w:type="auto"/>
            <w:vAlign w:val="center"/>
            <w:hideMark/>
          </w:tcPr>
          <w:p w14:paraId="2BE2DEB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0" w:type="auto"/>
            <w:vAlign w:val="center"/>
            <w:hideMark/>
          </w:tcPr>
          <w:p w14:paraId="39861A8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0.6</w:t>
            </w:r>
            <w:r w:rsidRPr="00D35DBC">
              <w:rPr>
                <w:rFonts w:ascii="Book Antiqua" w:hAnsi="Book Antiqua"/>
                <w:color w:val="000000" w:themeColor="text1"/>
                <w:vertAlign w:val="superscript"/>
              </w:rPr>
              <w:t>a</w:t>
            </w:r>
          </w:p>
        </w:tc>
        <w:tc>
          <w:tcPr>
            <w:tcW w:w="1119" w:type="dxa"/>
            <w:vAlign w:val="center"/>
            <w:hideMark/>
          </w:tcPr>
          <w:p w14:paraId="68B4419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594" w:type="dxa"/>
            <w:vAlign w:val="center"/>
            <w:hideMark/>
          </w:tcPr>
          <w:p w14:paraId="6644756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7B3A273D" w14:textId="77777777" w:rsidTr="0048396D">
        <w:tc>
          <w:tcPr>
            <w:tcW w:w="0" w:type="auto"/>
            <w:vAlign w:val="center"/>
          </w:tcPr>
          <w:p w14:paraId="449CA27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48112AF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Diarrhea SS</w:t>
            </w:r>
          </w:p>
        </w:tc>
        <w:tc>
          <w:tcPr>
            <w:tcW w:w="0" w:type="auto"/>
            <w:vAlign w:val="center"/>
            <w:hideMark/>
          </w:tcPr>
          <w:p w14:paraId="55A9EBA5"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2.3 ± 1.2</w:t>
            </w:r>
            <w:r w:rsidRPr="00D35DBC">
              <w:rPr>
                <w:rFonts w:ascii="Book Antiqua" w:hAnsi="Book Antiqua"/>
                <w:color w:val="000000" w:themeColor="text1"/>
                <w:vertAlign w:val="superscript"/>
              </w:rPr>
              <w:t>b</w:t>
            </w:r>
          </w:p>
        </w:tc>
        <w:tc>
          <w:tcPr>
            <w:tcW w:w="0" w:type="auto"/>
            <w:vAlign w:val="center"/>
            <w:hideMark/>
          </w:tcPr>
          <w:p w14:paraId="72C1EF5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0" w:type="auto"/>
            <w:vAlign w:val="center"/>
            <w:hideMark/>
          </w:tcPr>
          <w:p w14:paraId="15077A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1.1</w:t>
            </w:r>
          </w:p>
        </w:tc>
        <w:tc>
          <w:tcPr>
            <w:tcW w:w="0" w:type="auto"/>
            <w:vAlign w:val="center"/>
            <w:hideMark/>
          </w:tcPr>
          <w:p w14:paraId="5AEACCE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1.1</w:t>
            </w:r>
          </w:p>
        </w:tc>
        <w:tc>
          <w:tcPr>
            <w:tcW w:w="0" w:type="auto"/>
            <w:vAlign w:val="center"/>
            <w:hideMark/>
          </w:tcPr>
          <w:p w14:paraId="7CC4D02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1.0</w:t>
            </w:r>
            <w:r w:rsidRPr="00D35DBC">
              <w:rPr>
                <w:rFonts w:ascii="Book Antiqua" w:hAnsi="Book Antiqua"/>
                <w:color w:val="000000" w:themeColor="text1"/>
                <w:vertAlign w:val="superscript"/>
              </w:rPr>
              <w:t>a</w:t>
            </w:r>
          </w:p>
        </w:tc>
        <w:tc>
          <w:tcPr>
            <w:tcW w:w="0" w:type="auto"/>
            <w:vAlign w:val="center"/>
            <w:hideMark/>
          </w:tcPr>
          <w:p w14:paraId="2573490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0.8</w:t>
            </w:r>
            <w:r w:rsidRPr="00D35DBC">
              <w:rPr>
                <w:rFonts w:ascii="Book Antiqua" w:hAnsi="Book Antiqua"/>
                <w:color w:val="000000" w:themeColor="text1"/>
                <w:vertAlign w:val="superscript"/>
              </w:rPr>
              <w:t>a</w:t>
            </w:r>
          </w:p>
        </w:tc>
        <w:tc>
          <w:tcPr>
            <w:tcW w:w="1119" w:type="dxa"/>
            <w:vAlign w:val="center"/>
            <w:hideMark/>
          </w:tcPr>
          <w:p w14:paraId="52C4928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1.1</w:t>
            </w:r>
          </w:p>
        </w:tc>
        <w:tc>
          <w:tcPr>
            <w:tcW w:w="594" w:type="dxa"/>
            <w:vAlign w:val="center"/>
            <w:hideMark/>
          </w:tcPr>
          <w:p w14:paraId="5A36968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305AF958" w14:textId="77777777" w:rsidTr="0048396D">
        <w:tc>
          <w:tcPr>
            <w:tcW w:w="0" w:type="auto"/>
            <w:vAlign w:val="center"/>
          </w:tcPr>
          <w:p w14:paraId="010039B6"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0B2B9F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Constipation SS</w:t>
            </w:r>
          </w:p>
        </w:tc>
        <w:tc>
          <w:tcPr>
            <w:tcW w:w="0" w:type="auto"/>
            <w:vAlign w:val="center"/>
            <w:hideMark/>
          </w:tcPr>
          <w:p w14:paraId="6395BB3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2.1 ± 0.9</w:t>
            </w:r>
          </w:p>
        </w:tc>
        <w:tc>
          <w:tcPr>
            <w:tcW w:w="0" w:type="auto"/>
            <w:vAlign w:val="center"/>
            <w:hideMark/>
          </w:tcPr>
          <w:p w14:paraId="023CC51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2.3 ± 1.1</w:t>
            </w:r>
          </w:p>
        </w:tc>
        <w:tc>
          <w:tcPr>
            <w:tcW w:w="0" w:type="auto"/>
            <w:vAlign w:val="center"/>
            <w:hideMark/>
          </w:tcPr>
          <w:p w14:paraId="7062289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1.0</w:t>
            </w:r>
          </w:p>
        </w:tc>
        <w:tc>
          <w:tcPr>
            <w:tcW w:w="0" w:type="auto"/>
            <w:vAlign w:val="center"/>
            <w:hideMark/>
          </w:tcPr>
          <w:p w14:paraId="00BB56B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1.0</w:t>
            </w:r>
          </w:p>
        </w:tc>
        <w:tc>
          <w:tcPr>
            <w:tcW w:w="0" w:type="auto"/>
            <w:vAlign w:val="center"/>
            <w:hideMark/>
          </w:tcPr>
          <w:p w14:paraId="2DFB583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1.1</w:t>
            </w:r>
          </w:p>
        </w:tc>
        <w:tc>
          <w:tcPr>
            <w:tcW w:w="0" w:type="auto"/>
            <w:vAlign w:val="center"/>
            <w:hideMark/>
          </w:tcPr>
          <w:p w14:paraId="1E7421B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0.9</w:t>
            </w:r>
            <w:r w:rsidRPr="00D35DBC">
              <w:rPr>
                <w:rFonts w:ascii="Book Antiqua" w:hAnsi="Book Antiqua"/>
                <w:color w:val="000000" w:themeColor="text1"/>
                <w:vertAlign w:val="superscript"/>
              </w:rPr>
              <w:t>a</w:t>
            </w:r>
          </w:p>
        </w:tc>
        <w:tc>
          <w:tcPr>
            <w:tcW w:w="1119" w:type="dxa"/>
            <w:vAlign w:val="center"/>
            <w:hideMark/>
          </w:tcPr>
          <w:p w14:paraId="683EC98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1.0</w:t>
            </w:r>
          </w:p>
        </w:tc>
        <w:tc>
          <w:tcPr>
            <w:tcW w:w="594" w:type="dxa"/>
            <w:vAlign w:val="center"/>
            <w:hideMark/>
          </w:tcPr>
          <w:p w14:paraId="4BC71AC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r>
      <w:tr w:rsidR="00581C8A" w:rsidRPr="00D35DBC" w14:paraId="70AEDD7C" w14:textId="77777777" w:rsidTr="0048396D">
        <w:tc>
          <w:tcPr>
            <w:tcW w:w="0" w:type="auto"/>
            <w:vAlign w:val="center"/>
          </w:tcPr>
          <w:p w14:paraId="2D1C6F86"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6EF374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Dumping SS</w:t>
            </w:r>
          </w:p>
        </w:tc>
        <w:tc>
          <w:tcPr>
            <w:tcW w:w="0" w:type="auto"/>
            <w:vAlign w:val="center"/>
            <w:hideMark/>
          </w:tcPr>
          <w:p w14:paraId="12278EB6"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2.2 ± 1.1</w:t>
            </w:r>
            <w:r w:rsidRPr="00D35DBC">
              <w:rPr>
                <w:rFonts w:ascii="Book Antiqua" w:hAnsi="Book Antiqua"/>
                <w:color w:val="000000" w:themeColor="text1"/>
                <w:vertAlign w:val="superscript"/>
              </w:rPr>
              <w:t>b</w:t>
            </w:r>
          </w:p>
        </w:tc>
        <w:tc>
          <w:tcPr>
            <w:tcW w:w="0" w:type="auto"/>
            <w:vAlign w:val="center"/>
            <w:hideMark/>
          </w:tcPr>
          <w:p w14:paraId="129A84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0" w:type="auto"/>
            <w:vAlign w:val="center"/>
            <w:hideMark/>
          </w:tcPr>
          <w:p w14:paraId="4CD17F6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0" w:type="auto"/>
            <w:vAlign w:val="center"/>
            <w:hideMark/>
          </w:tcPr>
          <w:p w14:paraId="1C120DB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0" w:type="auto"/>
            <w:vAlign w:val="center"/>
            <w:hideMark/>
          </w:tcPr>
          <w:p w14:paraId="7BA57AF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r w:rsidRPr="00D35DBC">
              <w:rPr>
                <w:rFonts w:ascii="Book Antiqua" w:hAnsi="Book Antiqua"/>
                <w:color w:val="000000" w:themeColor="text1"/>
                <w:vertAlign w:val="superscript"/>
              </w:rPr>
              <w:t>a</w:t>
            </w:r>
          </w:p>
        </w:tc>
        <w:tc>
          <w:tcPr>
            <w:tcW w:w="0" w:type="auto"/>
            <w:vAlign w:val="center"/>
            <w:hideMark/>
          </w:tcPr>
          <w:p w14:paraId="166AA91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1.3 ± 0.4</w:t>
            </w:r>
            <w:r w:rsidRPr="00D35DBC">
              <w:rPr>
                <w:rFonts w:ascii="Book Antiqua" w:hAnsi="Book Antiqua"/>
                <w:color w:val="000000" w:themeColor="text1"/>
                <w:vertAlign w:val="superscript"/>
              </w:rPr>
              <w:t>a</w:t>
            </w:r>
          </w:p>
        </w:tc>
        <w:tc>
          <w:tcPr>
            <w:tcW w:w="1119" w:type="dxa"/>
            <w:vAlign w:val="center"/>
            <w:hideMark/>
          </w:tcPr>
          <w:p w14:paraId="14E50DD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594" w:type="dxa"/>
            <w:vAlign w:val="center"/>
            <w:hideMark/>
          </w:tcPr>
          <w:p w14:paraId="325136C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7DE04054" w14:textId="77777777" w:rsidTr="0048396D">
        <w:tc>
          <w:tcPr>
            <w:tcW w:w="0" w:type="auto"/>
            <w:vAlign w:val="center"/>
            <w:hideMark/>
          </w:tcPr>
          <w:p w14:paraId="7F73C78B" w14:textId="25D5BDE9"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7BB161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Total symptom score</w:t>
            </w:r>
          </w:p>
        </w:tc>
        <w:tc>
          <w:tcPr>
            <w:tcW w:w="0" w:type="auto"/>
            <w:vAlign w:val="center"/>
            <w:hideMark/>
          </w:tcPr>
          <w:p w14:paraId="7F4BF85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0.7</w:t>
            </w:r>
            <w:r w:rsidRPr="00D35DBC">
              <w:rPr>
                <w:rFonts w:ascii="Book Antiqua" w:hAnsi="Book Antiqua"/>
                <w:color w:val="000000" w:themeColor="text1"/>
                <w:vertAlign w:val="superscript"/>
              </w:rPr>
              <w:t>b</w:t>
            </w:r>
          </w:p>
        </w:tc>
        <w:tc>
          <w:tcPr>
            <w:tcW w:w="0" w:type="auto"/>
            <w:vAlign w:val="center"/>
            <w:hideMark/>
          </w:tcPr>
          <w:p w14:paraId="2082854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0.7</w:t>
            </w:r>
          </w:p>
        </w:tc>
        <w:tc>
          <w:tcPr>
            <w:tcW w:w="0" w:type="auto"/>
            <w:vAlign w:val="center"/>
            <w:hideMark/>
          </w:tcPr>
          <w:p w14:paraId="4A40022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0.7</w:t>
            </w:r>
          </w:p>
        </w:tc>
        <w:tc>
          <w:tcPr>
            <w:tcW w:w="0" w:type="auto"/>
            <w:vAlign w:val="center"/>
            <w:hideMark/>
          </w:tcPr>
          <w:p w14:paraId="14A0958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0.7</w:t>
            </w:r>
          </w:p>
        </w:tc>
        <w:tc>
          <w:tcPr>
            <w:tcW w:w="0" w:type="auto"/>
            <w:vAlign w:val="center"/>
            <w:hideMark/>
          </w:tcPr>
          <w:p w14:paraId="6F95F8D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0.7</w:t>
            </w:r>
          </w:p>
        </w:tc>
        <w:tc>
          <w:tcPr>
            <w:tcW w:w="0" w:type="auto"/>
            <w:vAlign w:val="center"/>
            <w:hideMark/>
          </w:tcPr>
          <w:p w14:paraId="6778604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0.4</w:t>
            </w:r>
            <w:r w:rsidRPr="00D35DBC">
              <w:rPr>
                <w:rFonts w:ascii="Book Antiqua" w:hAnsi="Book Antiqua"/>
                <w:color w:val="000000" w:themeColor="text1"/>
                <w:vertAlign w:val="superscript"/>
              </w:rPr>
              <w:t>a</w:t>
            </w:r>
          </w:p>
        </w:tc>
        <w:tc>
          <w:tcPr>
            <w:tcW w:w="1119" w:type="dxa"/>
            <w:vAlign w:val="center"/>
            <w:hideMark/>
          </w:tcPr>
          <w:p w14:paraId="1011FCD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0.7</w:t>
            </w:r>
          </w:p>
        </w:tc>
        <w:tc>
          <w:tcPr>
            <w:tcW w:w="594" w:type="dxa"/>
            <w:vAlign w:val="center"/>
            <w:hideMark/>
          </w:tcPr>
          <w:p w14:paraId="1D1D089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r>
      <w:tr w:rsidR="00581C8A" w:rsidRPr="00D35DBC" w14:paraId="62D5458E" w14:textId="77777777" w:rsidTr="0048396D">
        <w:tc>
          <w:tcPr>
            <w:tcW w:w="0" w:type="auto"/>
            <w:vAlign w:val="center"/>
            <w:hideMark/>
          </w:tcPr>
          <w:p w14:paraId="1F10D9C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Living status</w:t>
            </w:r>
          </w:p>
        </w:tc>
        <w:tc>
          <w:tcPr>
            <w:tcW w:w="0" w:type="auto"/>
            <w:vAlign w:val="center"/>
            <w:hideMark/>
          </w:tcPr>
          <w:p w14:paraId="647FFD36" w14:textId="77777777" w:rsidR="00C1648E" w:rsidRPr="00D35DBC" w:rsidRDefault="00C1648E" w:rsidP="00D35DBC">
            <w:pPr>
              <w:adjustRightInd w:val="0"/>
              <w:snapToGrid w:val="0"/>
              <w:spacing w:line="360" w:lineRule="auto"/>
              <w:jc w:val="both"/>
              <w:rPr>
                <w:rFonts w:ascii="Book Antiqua" w:hAnsi="Book Antiqua"/>
                <w:color w:val="000000" w:themeColor="text1"/>
                <w:u w:val="single"/>
              </w:rPr>
            </w:pPr>
            <w:r w:rsidRPr="00D35DBC">
              <w:rPr>
                <w:rFonts w:ascii="Book Antiqua" w:hAnsi="Book Antiqua"/>
                <w:color w:val="000000" w:themeColor="text1"/>
                <w:u w:val="single"/>
              </w:rPr>
              <w:t>Change in BW</w:t>
            </w:r>
          </w:p>
        </w:tc>
        <w:tc>
          <w:tcPr>
            <w:tcW w:w="0" w:type="auto"/>
            <w:vAlign w:val="center"/>
            <w:hideMark/>
          </w:tcPr>
          <w:p w14:paraId="1D21F0D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-13.8% ± 7.9%</w:t>
            </w:r>
            <w:r w:rsidRPr="00D35DBC">
              <w:rPr>
                <w:rFonts w:ascii="Book Antiqua" w:hAnsi="Book Antiqua"/>
                <w:color w:val="000000" w:themeColor="text1"/>
                <w:vertAlign w:val="superscript"/>
              </w:rPr>
              <w:t>b</w:t>
            </w:r>
          </w:p>
        </w:tc>
        <w:tc>
          <w:tcPr>
            <w:tcW w:w="0" w:type="auto"/>
            <w:vAlign w:val="center"/>
            <w:hideMark/>
          </w:tcPr>
          <w:p w14:paraId="3A22058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-10.9% ± 8.2%</w:t>
            </w:r>
            <w:r w:rsidRPr="00D35DBC">
              <w:rPr>
                <w:rFonts w:ascii="Book Antiqua" w:hAnsi="Book Antiqua"/>
                <w:color w:val="000000" w:themeColor="text1"/>
                <w:vertAlign w:val="superscript"/>
              </w:rPr>
              <w:t>b</w:t>
            </w:r>
          </w:p>
        </w:tc>
        <w:tc>
          <w:tcPr>
            <w:tcW w:w="0" w:type="auto"/>
            <w:vAlign w:val="center"/>
            <w:hideMark/>
          </w:tcPr>
          <w:p w14:paraId="463A210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-8.4% ± 6.6%</w:t>
            </w:r>
          </w:p>
        </w:tc>
        <w:tc>
          <w:tcPr>
            <w:tcW w:w="0" w:type="auto"/>
            <w:vAlign w:val="center"/>
            <w:hideMark/>
          </w:tcPr>
          <w:p w14:paraId="3F12948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-7.9% ± 8.1</w:t>
            </w:r>
            <w:r w:rsidRPr="00D35DBC">
              <w:rPr>
                <w:rFonts w:ascii="Book Antiqua" w:hAnsi="Book Antiqua"/>
                <w:color w:val="000000" w:themeColor="text1"/>
                <w:vertAlign w:val="superscript"/>
              </w:rPr>
              <w:t>a</w:t>
            </w:r>
          </w:p>
        </w:tc>
        <w:tc>
          <w:tcPr>
            <w:tcW w:w="0" w:type="auto"/>
            <w:vAlign w:val="center"/>
            <w:hideMark/>
          </w:tcPr>
          <w:p w14:paraId="46D846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-6.9% ± 7.0%</w:t>
            </w:r>
            <w:r w:rsidRPr="00D35DBC">
              <w:rPr>
                <w:rFonts w:ascii="Book Antiqua" w:hAnsi="Book Antiqua"/>
                <w:color w:val="000000" w:themeColor="text1"/>
                <w:vertAlign w:val="superscript"/>
              </w:rPr>
              <w:t>a</w:t>
            </w:r>
          </w:p>
        </w:tc>
        <w:tc>
          <w:tcPr>
            <w:tcW w:w="0" w:type="auto"/>
            <w:vAlign w:val="center"/>
            <w:hideMark/>
          </w:tcPr>
          <w:p w14:paraId="7217445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-1.6% ± 5.7%</w:t>
            </w:r>
            <w:r w:rsidRPr="00D35DBC">
              <w:rPr>
                <w:rFonts w:ascii="Book Antiqua" w:hAnsi="Book Antiqua"/>
                <w:color w:val="000000" w:themeColor="text1"/>
                <w:vertAlign w:val="superscript"/>
              </w:rPr>
              <w:t>a</w:t>
            </w:r>
          </w:p>
        </w:tc>
        <w:tc>
          <w:tcPr>
            <w:tcW w:w="1119" w:type="dxa"/>
            <w:vAlign w:val="center"/>
            <w:hideMark/>
          </w:tcPr>
          <w:p w14:paraId="01A5DBD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-8.9% ± 8.0%</w:t>
            </w:r>
          </w:p>
        </w:tc>
        <w:tc>
          <w:tcPr>
            <w:tcW w:w="594" w:type="dxa"/>
            <w:vAlign w:val="center"/>
            <w:hideMark/>
          </w:tcPr>
          <w:p w14:paraId="52F02C0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r>
      <w:tr w:rsidR="00581C8A" w:rsidRPr="00D35DBC" w14:paraId="67778E90" w14:textId="77777777" w:rsidTr="0048396D">
        <w:tc>
          <w:tcPr>
            <w:tcW w:w="0" w:type="auto"/>
            <w:vAlign w:val="center"/>
          </w:tcPr>
          <w:p w14:paraId="2ADA556B"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50BB4E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hAnsi="Book Antiqua"/>
                <w:color w:val="000000" w:themeColor="text1"/>
                <w:u w:val="single"/>
              </w:rPr>
              <w:t>Ingestion amount of food per meal</w:t>
            </w:r>
          </w:p>
        </w:tc>
        <w:tc>
          <w:tcPr>
            <w:tcW w:w="0" w:type="auto"/>
            <w:vAlign w:val="center"/>
            <w:hideMark/>
          </w:tcPr>
          <w:p w14:paraId="7D26C864"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6.4 ± 1.9</w:t>
            </w:r>
            <w:r w:rsidRPr="00D35DBC">
              <w:rPr>
                <w:rFonts w:ascii="Book Antiqua" w:hAnsi="Book Antiqua"/>
                <w:color w:val="000000" w:themeColor="text1"/>
                <w:vertAlign w:val="superscript"/>
              </w:rPr>
              <w:t>b</w:t>
            </w:r>
          </w:p>
        </w:tc>
        <w:tc>
          <w:tcPr>
            <w:tcW w:w="0" w:type="auto"/>
            <w:vAlign w:val="center"/>
            <w:hideMark/>
          </w:tcPr>
          <w:p w14:paraId="53E2AE6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6.5 ± 1.9</w:t>
            </w:r>
            <w:r w:rsidRPr="00D35DBC">
              <w:rPr>
                <w:rFonts w:ascii="Book Antiqua" w:hAnsi="Book Antiqua"/>
                <w:color w:val="000000" w:themeColor="text1"/>
                <w:vertAlign w:val="superscript"/>
              </w:rPr>
              <w:t>b</w:t>
            </w:r>
          </w:p>
        </w:tc>
        <w:tc>
          <w:tcPr>
            <w:tcW w:w="0" w:type="auto"/>
            <w:vAlign w:val="center"/>
            <w:hideMark/>
          </w:tcPr>
          <w:p w14:paraId="3A4A361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7.2 ± 2.0</w:t>
            </w:r>
          </w:p>
        </w:tc>
        <w:tc>
          <w:tcPr>
            <w:tcW w:w="0" w:type="auto"/>
            <w:vAlign w:val="center"/>
            <w:hideMark/>
          </w:tcPr>
          <w:p w14:paraId="4C099D1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7.1 ± 2.0</w:t>
            </w:r>
          </w:p>
        </w:tc>
        <w:tc>
          <w:tcPr>
            <w:tcW w:w="0" w:type="auto"/>
            <w:vAlign w:val="center"/>
            <w:hideMark/>
          </w:tcPr>
          <w:p w14:paraId="27DC76E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7.0 ± 1.9</w:t>
            </w:r>
          </w:p>
        </w:tc>
        <w:tc>
          <w:tcPr>
            <w:tcW w:w="0" w:type="auto"/>
            <w:vAlign w:val="center"/>
            <w:hideMark/>
          </w:tcPr>
          <w:p w14:paraId="4FCAB6A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9.0 ± 1.8</w:t>
            </w:r>
            <w:r w:rsidRPr="00D35DBC">
              <w:rPr>
                <w:rFonts w:ascii="Book Antiqua" w:hAnsi="Book Antiqua"/>
                <w:color w:val="000000" w:themeColor="text1"/>
                <w:vertAlign w:val="superscript"/>
              </w:rPr>
              <w:t>a</w:t>
            </w:r>
          </w:p>
        </w:tc>
        <w:tc>
          <w:tcPr>
            <w:tcW w:w="1119" w:type="dxa"/>
            <w:vAlign w:val="center"/>
            <w:hideMark/>
          </w:tcPr>
          <w:p w14:paraId="2ECD7DE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7.0 ± 2.0</w:t>
            </w:r>
          </w:p>
        </w:tc>
        <w:tc>
          <w:tcPr>
            <w:tcW w:w="594" w:type="dxa"/>
            <w:vAlign w:val="center"/>
            <w:hideMark/>
          </w:tcPr>
          <w:p w14:paraId="1C64F0D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4B422596" w14:textId="77777777" w:rsidTr="0048396D">
        <w:tc>
          <w:tcPr>
            <w:tcW w:w="0" w:type="auto"/>
            <w:vAlign w:val="center"/>
          </w:tcPr>
          <w:p w14:paraId="70A52830"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B03BFA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Necessity for additional meals</w:t>
            </w:r>
          </w:p>
        </w:tc>
        <w:tc>
          <w:tcPr>
            <w:tcW w:w="0" w:type="auto"/>
            <w:vAlign w:val="center"/>
            <w:hideMark/>
          </w:tcPr>
          <w:p w14:paraId="29DB8FF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2.4 ± 0.8</w:t>
            </w:r>
            <w:r w:rsidRPr="00D35DBC">
              <w:rPr>
                <w:rFonts w:ascii="Book Antiqua" w:hAnsi="Book Antiqua"/>
                <w:color w:val="000000" w:themeColor="text1"/>
                <w:vertAlign w:val="superscript"/>
              </w:rPr>
              <w:t>b</w:t>
            </w:r>
          </w:p>
        </w:tc>
        <w:tc>
          <w:tcPr>
            <w:tcW w:w="0" w:type="auto"/>
            <w:vAlign w:val="center"/>
            <w:hideMark/>
          </w:tcPr>
          <w:p w14:paraId="672F59C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0.8</w:t>
            </w:r>
          </w:p>
        </w:tc>
        <w:tc>
          <w:tcPr>
            <w:tcW w:w="0" w:type="auto"/>
            <w:vAlign w:val="center"/>
            <w:hideMark/>
          </w:tcPr>
          <w:p w14:paraId="1E9375E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p>
        </w:tc>
        <w:tc>
          <w:tcPr>
            <w:tcW w:w="0" w:type="auto"/>
            <w:vAlign w:val="center"/>
            <w:hideMark/>
          </w:tcPr>
          <w:p w14:paraId="1A1F775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r w:rsidRPr="00D35DBC">
              <w:rPr>
                <w:rFonts w:ascii="Book Antiqua" w:hAnsi="Book Antiqua"/>
                <w:color w:val="000000" w:themeColor="text1"/>
                <w:vertAlign w:val="superscript"/>
              </w:rPr>
              <w:t>a</w:t>
            </w:r>
          </w:p>
        </w:tc>
        <w:tc>
          <w:tcPr>
            <w:tcW w:w="0" w:type="auto"/>
            <w:vAlign w:val="center"/>
            <w:hideMark/>
          </w:tcPr>
          <w:p w14:paraId="443101B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0.8</w:t>
            </w:r>
            <w:r w:rsidRPr="00D35DBC">
              <w:rPr>
                <w:rFonts w:ascii="Book Antiqua" w:hAnsi="Book Antiqua"/>
                <w:color w:val="000000" w:themeColor="text1"/>
                <w:vertAlign w:val="superscript"/>
              </w:rPr>
              <w:t>a</w:t>
            </w:r>
          </w:p>
        </w:tc>
        <w:tc>
          <w:tcPr>
            <w:tcW w:w="0" w:type="auto"/>
            <w:vAlign w:val="center"/>
            <w:hideMark/>
          </w:tcPr>
          <w:p w14:paraId="271BB88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1.4 ± 0.6</w:t>
            </w:r>
            <w:r w:rsidRPr="00D35DBC">
              <w:rPr>
                <w:rFonts w:ascii="Book Antiqua" w:hAnsi="Book Antiqua"/>
                <w:color w:val="000000" w:themeColor="text1"/>
                <w:vertAlign w:val="superscript"/>
              </w:rPr>
              <w:t>a</w:t>
            </w:r>
          </w:p>
        </w:tc>
        <w:tc>
          <w:tcPr>
            <w:tcW w:w="1119" w:type="dxa"/>
            <w:vAlign w:val="center"/>
            <w:hideMark/>
          </w:tcPr>
          <w:p w14:paraId="6D82CDD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p>
        </w:tc>
        <w:tc>
          <w:tcPr>
            <w:tcW w:w="594" w:type="dxa"/>
            <w:vAlign w:val="center"/>
            <w:hideMark/>
          </w:tcPr>
          <w:p w14:paraId="4E20615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r>
      <w:tr w:rsidR="00581C8A" w:rsidRPr="00D35DBC" w14:paraId="29C436FC" w14:textId="77777777" w:rsidTr="0048396D">
        <w:tc>
          <w:tcPr>
            <w:tcW w:w="0" w:type="auto"/>
            <w:vAlign w:val="center"/>
          </w:tcPr>
          <w:p w14:paraId="43A8B812"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AAA567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hAnsi="Book Antiqua"/>
                <w:color w:val="000000" w:themeColor="text1"/>
                <w:u w:val="single"/>
              </w:rPr>
              <w:t>Quality of ingestion SS</w:t>
            </w:r>
          </w:p>
        </w:tc>
        <w:tc>
          <w:tcPr>
            <w:tcW w:w="0" w:type="auto"/>
            <w:vAlign w:val="center"/>
            <w:hideMark/>
          </w:tcPr>
          <w:p w14:paraId="33C306F7"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3.8 ± 1.0</w:t>
            </w:r>
          </w:p>
        </w:tc>
        <w:tc>
          <w:tcPr>
            <w:tcW w:w="0" w:type="auto"/>
            <w:vAlign w:val="center"/>
            <w:hideMark/>
          </w:tcPr>
          <w:p w14:paraId="5BEF0A5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3.6 ± 1.0</w:t>
            </w:r>
            <w:r w:rsidRPr="00D35DBC">
              <w:rPr>
                <w:rFonts w:ascii="Book Antiqua" w:hAnsi="Book Antiqua"/>
                <w:color w:val="000000" w:themeColor="text1"/>
                <w:vertAlign w:val="superscript"/>
              </w:rPr>
              <w:t>b</w:t>
            </w:r>
          </w:p>
        </w:tc>
        <w:tc>
          <w:tcPr>
            <w:tcW w:w="0" w:type="auto"/>
            <w:vAlign w:val="center"/>
            <w:hideMark/>
          </w:tcPr>
          <w:p w14:paraId="7C6DB3C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 ± 0.9</w:t>
            </w:r>
          </w:p>
        </w:tc>
        <w:tc>
          <w:tcPr>
            <w:tcW w:w="0" w:type="auto"/>
            <w:vAlign w:val="center"/>
            <w:hideMark/>
          </w:tcPr>
          <w:p w14:paraId="1796CE4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 ± 0.9</w:t>
            </w:r>
          </w:p>
        </w:tc>
        <w:tc>
          <w:tcPr>
            <w:tcW w:w="0" w:type="auto"/>
            <w:vAlign w:val="center"/>
            <w:hideMark/>
          </w:tcPr>
          <w:p w14:paraId="0F73824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 ± 0.9</w:t>
            </w:r>
          </w:p>
        </w:tc>
        <w:tc>
          <w:tcPr>
            <w:tcW w:w="0" w:type="auto"/>
            <w:vAlign w:val="center"/>
            <w:hideMark/>
          </w:tcPr>
          <w:p w14:paraId="5D59E8D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4.0 ± 0.8</w:t>
            </w:r>
            <w:r w:rsidRPr="00D35DBC">
              <w:rPr>
                <w:rFonts w:ascii="Book Antiqua" w:hAnsi="Book Antiqua"/>
                <w:color w:val="000000" w:themeColor="text1"/>
                <w:vertAlign w:val="superscript"/>
              </w:rPr>
              <w:t>a</w:t>
            </w:r>
          </w:p>
        </w:tc>
        <w:tc>
          <w:tcPr>
            <w:tcW w:w="1119" w:type="dxa"/>
            <w:vAlign w:val="center"/>
            <w:hideMark/>
          </w:tcPr>
          <w:p w14:paraId="5D471E8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 ± 0.9</w:t>
            </w:r>
          </w:p>
        </w:tc>
        <w:tc>
          <w:tcPr>
            <w:tcW w:w="594" w:type="dxa"/>
            <w:vAlign w:val="center"/>
            <w:hideMark/>
          </w:tcPr>
          <w:p w14:paraId="0C6C173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r>
      <w:tr w:rsidR="00581C8A" w:rsidRPr="00D35DBC" w14:paraId="1D165429" w14:textId="77777777" w:rsidTr="0048396D">
        <w:tc>
          <w:tcPr>
            <w:tcW w:w="0" w:type="auto"/>
            <w:vAlign w:val="center"/>
            <w:hideMark/>
          </w:tcPr>
          <w:p w14:paraId="677E2162" w14:textId="13E362EC"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6CD3A38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Ability for working</w:t>
            </w:r>
          </w:p>
        </w:tc>
        <w:tc>
          <w:tcPr>
            <w:tcW w:w="0" w:type="auto"/>
            <w:vAlign w:val="center"/>
            <w:hideMark/>
          </w:tcPr>
          <w:p w14:paraId="0E34BC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r w:rsidRPr="00D35DBC">
              <w:rPr>
                <w:rFonts w:ascii="Book Antiqua" w:hAnsi="Book Antiqua"/>
                <w:color w:val="000000" w:themeColor="text1"/>
                <w:vertAlign w:val="superscript"/>
              </w:rPr>
              <w:t>b</w:t>
            </w:r>
          </w:p>
        </w:tc>
        <w:tc>
          <w:tcPr>
            <w:tcW w:w="0" w:type="auto"/>
            <w:vAlign w:val="center"/>
            <w:hideMark/>
          </w:tcPr>
          <w:p w14:paraId="1832065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0" w:type="auto"/>
            <w:vAlign w:val="center"/>
            <w:hideMark/>
          </w:tcPr>
          <w:p w14:paraId="5229723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1B0FC6E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r w:rsidRPr="00D35DBC">
              <w:rPr>
                <w:rFonts w:ascii="Book Antiqua" w:hAnsi="Book Antiqua"/>
                <w:color w:val="000000" w:themeColor="text1"/>
                <w:vertAlign w:val="superscript"/>
              </w:rPr>
              <w:t>a</w:t>
            </w:r>
          </w:p>
        </w:tc>
        <w:tc>
          <w:tcPr>
            <w:tcW w:w="0" w:type="auto"/>
            <w:vAlign w:val="center"/>
            <w:hideMark/>
          </w:tcPr>
          <w:p w14:paraId="474E6FB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2720E3F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1.4 ± 0.6</w:t>
            </w:r>
            <w:r w:rsidRPr="00D35DBC">
              <w:rPr>
                <w:rFonts w:ascii="Book Antiqua" w:hAnsi="Book Antiqua"/>
                <w:color w:val="000000" w:themeColor="text1"/>
                <w:vertAlign w:val="superscript"/>
              </w:rPr>
              <w:t>a</w:t>
            </w:r>
          </w:p>
        </w:tc>
        <w:tc>
          <w:tcPr>
            <w:tcW w:w="1119" w:type="dxa"/>
            <w:vAlign w:val="center"/>
            <w:hideMark/>
          </w:tcPr>
          <w:p w14:paraId="33D5AFA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594" w:type="dxa"/>
            <w:vAlign w:val="center"/>
            <w:hideMark/>
          </w:tcPr>
          <w:p w14:paraId="27C0735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07FB6977" w14:textId="77777777" w:rsidTr="0048396D">
        <w:tc>
          <w:tcPr>
            <w:tcW w:w="0" w:type="auto"/>
            <w:vAlign w:val="center"/>
            <w:hideMark/>
          </w:tcPr>
          <w:p w14:paraId="7CA7642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QOL</w:t>
            </w:r>
          </w:p>
        </w:tc>
        <w:tc>
          <w:tcPr>
            <w:tcW w:w="0" w:type="auto"/>
            <w:vAlign w:val="center"/>
            <w:hideMark/>
          </w:tcPr>
          <w:p w14:paraId="3CBA6CB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Dissatisfaction with symptoms</w:t>
            </w:r>
          </w:p>
        </w:tc>
        <w:tc>
          <w:tcPr>
            <w:tcW w:w="0" w:type="auto"/>
            <w:vAlign w:val="center"/>
            <w:hideMark/>
          </w:tcPr>
          <w:p w14:paraId="56EA3B3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1.0</w:t>
            </w:r>
            <w:r w:rsidRPr="00D35DBC">
              <w:rPr>
                <w:rFonts w:ascii="Book Antiqua" w:hAnsi="Book Antiqua"/>
                <w:color w:val="000000" w:themeColor="text1"/>
                <w:vertAlign w:val="superscript"/>
              </w:rPr>
              <w:t>b</w:t>
            </w:r>
          </w:p>
        </w:tc>
        <w:tc>
          <w:tcPr>
            <w:tcW w:w="0" w:type="auto"/>
            <w:vAlign w:val="center"/>
            <w:hideMark/>
          </w:tcPr>
          <w:p w14:paraId="72EF96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0" w:type="auto"/>
            <w:vAlign w:val="center"/>
            <w:hideMark/>
          </w:tcPr>
          <w:p w14:paraId="6C65436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03D80BB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1245DC4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1D2021C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 ± 0.4</w:t>
            </w:r>
            <w:r w:rsidRPr="00D35DBC">
              <w:rPr>
                <w:rFonts w:ascii="Book Antiqua" w:hAnsi="Book Antiqua"/>
                <w:color w:val="000000" w:themeColor="text1"/>
                <w:vertAlign w:val="superscript"/>
              </w:rPr>
              <w:t>a</w:t>
            </w:r>
          </w:p>
        </w:tc>
        <w:tc>
          <w:tcPr>
            <w:tcW w:w="1119" w:type="dxa"/>
            <w:vAlign w:val="center"/>
            <w:hideMark/>
          </w:tcPr>
          <w:p w14:paraId="74BC998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594" w:type="dxa"/>
            <w:vAlign w:val="center"/>
            <w:hideMark/>
          </w:tcPr>
          <w:p w14:paraId="025B69E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r>
      <w:tr w:rsidR="00581C8A" w:rsidRPr="00D35DBC" w14:paraId="10F07663" w14:textId="77777777" w:rsidTr="0048396D">
        <w:tc>
          <w:tcPr>
            <w:tcW w:w="0" w:type="auto"/>
            <w:vAlign w:val="center"/>
          </w:tcPr>
          <w:p w14:paraId="5309AED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584FF7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at the meal</w:t>
            </w:r>
          </w:p>
        </w:tc>
        <w:tc>
          <w:tcPr>
            <w:tcW w:w="0" w:type="auto"/>
            <w:vAlign w:val="center"/>
            <w:hideMark/>
          </w:tcPr>
          <w:p w14:paraId="4A49E1A2"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2.8 ± 1.1</w:t>
            </w:r>
            <w:r w:rsidRPr="00D35DBC">
              <w:rPr>
                <w:rFonts w:ascii="Book Antiqua" w:hAnsi="Book Antiqua"/>
                <w:color w:val="000000" w:themeColor="text1"/>
                <w:vertAlign w:val="superscript"/>
              </w:rPr>
              <w:t>b</w:t>
            </w:r>
          </w:p>
        </w:tc>
        <w:tc>
          <w:tcPr>
            <w:tcW w:w="0" w:type="auto"/>
            <w:vAlign w:val="center"/>
            <w:hideMark/>
          </w:tcPr>
          <w:p w14:paraId="0F61D66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2.7 ± 1.1</w:t>
            </w:r>
            <w:r w:rsidRPr="00D35DBC">
              <w:rPr>
                <w:rFonts w:ascii="Book Antiqua" w:hAnsi="Book Antiqua"/>
                <w:color w:val="000000" w:themeColor="text1"/>
                <w:vertAlign w:val="superscript"/>
              </w:rPr>
              <w:t>b</w:t>
            </w:r>
          </w:p>
        </w:tc>
        <w:tc>
          <w:tcPr>
            <w:tcW w:w="0" w:type="auto"/>
            <w:vAlign w:val="center"/>
            <w:hideMark/>
          </w:tcPr>
          <w:p w14:paraId="376BCD8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1.1</w:t>
            </w:r>
            <w:r w:rsidRPr="00D35DBC">
              <w:rPr>
                <w:rFonts w:ascii="Book Antiqua" w:hAnsi="Book Antiqua"/>
                <w:color w:val="000000" w:themeColor="text1"/>
                <w:vertAlign w:val="superscript"/>
              </w:rPr>
              <w:t>a</w:t>
            </w:r>
          </w:p>
        </w:tc>
        <w:tc>
          <w:tcPr>
            <w:tcW w:w="0" w:type="auto"/>
            <w:vAlign w:val="center"/>
            <w:hideMark/>
          </w:tcPr>
          <w:p w14:paraId="3DB82A7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1.1</w:t>
            </w:r>
            <w:r w:rsidRPr="00D35DBC">
              <w:rPr>
                <w:rFonts w:ascii="Book Antiqua" w:hAnsi="Book Antiqua"/>
                <w:color w:val="000000" w:themeColor="text1"/>
                <w:vertAlign w:val="superscript"/>
              </w:rPr>
              <w:t>a</w:t>
            </w:r>
          </w:p>
        </w:tc>
        <w:tc>
          <w:tcPr>
            <w:tcW w:w="0" w:type="auto"/>
            <w:vAlign w:val="center"/>
            <w:hideMark/>
          </w:tcPr>
          <w:p w14:paraId="5D41746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1.1</w:t>
            </w:r>
          </w:p>
        </w:tc>
        <w:tc>
          <w:tcPr>
            <w:tcW w:w="0" w:type="auto"/>
            <w:vAlign w:val="center"/>
            <w:hideMark/>
          </w:tcPr>
          <w:p w14:paraId="331AE86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1.3 ± 0.6</w:t>
            </w:r>
            <w:r w:rsidRPr="00D35DBC">
              <w:rPr>
                <w:rFonts w:ascii="Book Antiqua" w:hAnsi="Book Antiqua"/>
                <w:color w:val="000000" w:themeColor="text1"/>
                <w:vertAlign w:val="superscript"/>
              </w:rPr>
              <w:t>a</w:t>
            </w:r>
          </w:p>
        </w:tc>
        <w:tc>
          <w:tcPr>
            <w:tcW w:w="1119" w:type="dxa"/>
            <w:vAlign w:val="center"/>
            <w:hideMark/>
          </w:tcPr>
          <w:p w14:paraId="2A52D3F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2.3 ± 1.1</w:t>
            </w:r>
          </w:p>
        </w:tc>
        <w:tc>
          <w:tcPr>
            <w:tcW w:w="594" w:type="dxa"/>
            <w:vAlign w:val="center"/>
            <w:hideMark/>
          </w:tcPr>
          <w:p w14:paraId="4699AF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r>
      <w:tr w:rsidR="00581C8A" w:rsidRPr="00D35DBC" w14:paraId="61E71134" w14:textId="77777777" w:rsidTr="0048396D">
        <w:tc>
          <w:tcPr>
            <w:tcW w:w="0" w:type="auto"/>
            <w:vAlign w:val="center"/>
          </w:tcPr>
          <w:p w14:paraId="73FA7659"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6A9B31F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at working</w:t>
            </w:r>
          </w:p>
        </w:tc>
        <w:tc>
          <w:tcPr>
            <w:tcW w:w="0" w:type="auto"/>
            <w:vAlign w:val="center"/>
            <w:hideMark/>
          </w:tcPr>
          <w:p w14:paraId="5ED981E9"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2.1 ± 1.1</w:t>
            </w:r>
            <w:r w:rsidRPr="00D35DBC">
              <w:rPr>
                <w:rFonts w:ascii="Book Antiqua" w:hAnsi="Book Antiqua"/>
                <w:color w:val="000000" w:themeColor="text1"/>
                <w:vertAlign w:val="superscript"/>
              </w:rPr>
              <w:t>b</w:t>
            </w:r>
          </w:p>
        </w:tc>
        <w:tc>
          <w:tcPr>
            <w:tcW w:w="0" w:type="auto"/>
            <w:vAlign w:val="center"/>
            <w:hideMark/>
          </w:tcPr>
          <w:p w14:paraId="5959C10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1.1</w:t>
            </w:r>
            <w:r w:rsidRPr="00D35DBC">
              <w:rPr>
                <w:rFonts w:ascii="Book Antiqua" w:hAnsi="Book Antiqua"/>
                <w:color w:val="000000" w:themeColor="text1"/>
                <w:vertAlign w:val="superscript"/>
              </w:rPr>
              <w:t>b</w:t>
            </w:r>
          </w:p>
        </w:tc>
        <w:tc>
          <w:tcPr>
            <w:tcW w:w="0" w:type="auto"/>
            <w:vAlign w:val="center"/>
            <w:hideMark/>
          </w:tcPr>
          <w:p w14:paraId="634F0D4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1.0</w:t>
            </w:r>
          </w:p>
        </w:tc>
        <w:tc>
          <w:tcPr>
            <w:tcW w:w="0" w:type="auto"/>
            <w:vAlign w:val="center"/>
            <w:hideMark/>
          </w:tcPr>
          <w:p w14:paraId="6ABD07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0.9</w:t>
            </w:r>
            <w:r w:rsidRPr="00D35DBC">
              <w:rPr>
                <w:rFonts w:ascii="Book Antiqua" w:hAnsi="Book Antiqua"/>
                <w:color w:val="000000" w:themeColor="text1"/>
                <w:vertAlign w:val="superscript"/>
              </w:rPr>
              <w:t>a</w:t>
            </w:r>
          </w:p>
        </w:tc>
        <w:tc>
          <w:tcPr>
            <w:tcW w:w="0" w:type="auto"/>
            <w:vAlign w:val="center"/>
            <w:hideMark/>
          </w:tcPr>
          <w:p w14:paraId="70CA286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0.9</w:t>
            </w:r>
          </w:p>
        </w:tc>
        <w:tc>
          <w:tcPr>
            <w:tcW w:w="0" w:type="auto"/>
            <w:vAlign w:val="center"/>
            <w:hideMark/>
          </w:tcPr>
          <w:p w14:paraId="167C37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 ± 0.4</w:t>
            </w:r>
            <w:r w:rsidRPr="00D35DBC">
              <w:rPr>
                <w:rFonts w:ascii="Book Antiqua" w:hAnsi="Book Antiqua"/>
                <w:color w:val="000000" w:themeColor="text1"/>
                <w:vertAlign w:val="superscript"/>
              </w:rPr>
              <w:t>a</w:t>
            </w:r>
          </w:p>
        </w:tc>
        <w:tc>
          <w:tcPr>
            <w:tcW w:w="1119" w:type="dxa"/>
            <w:vAlign w:val="center"/>
            <w:hideMark/>
          </w:tcPr>
          <w:p w14:paraId="36618C6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1.0</w:t>
            </w:r>
          </w:p>
        </w:tc>
        <w:tc>
          <w:tcPr>
            <w:tcW w:w="594" w:type="dxa"/>
            <w:vAlign w:val="center"/>
            <w:hideMark/>
          </w:tcPr>
          <w:p w14:paraId="57548E6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r>
      <w:tr w:rsidR="00581C8A" w:rsidRPr="00D35DBC" w14:paraId="69BDBD33" w14:textId="77777777" w:rsidTr="0048396D">
        <w:tc>
          <w:tcPr>
            <w:tcW w:w="0" w:type="auto"/>
            <w:vAlign w:val="center"/>
          </w:tcPr>
          <w:p w14:paraId="788BDC4B"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288F125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for daily life SS</w:t>
            </w:r>
          </w:p>
        </w:tc>
        <w:tc>
          <w:tcPr>
            <w:tcW w:w="0" w:type="auto"/>
            <w:vAlign w:val="center"/>
            <w:hideMark/>
          </w:tcPr>
          <w:p w14:paraId="13C09A5C"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2.3 ± 0.9</w:t>
            </w:r>
            <w:r w:rsidRPr="00D35DBC">
              <w:rPr>
                <w:rFonts w:ascii="Book Antiqua" w:hAnsi="Book Antiqua"/>
                <w:color w:val="000000" w:themeColor="text1"/>
                <w:vertAlign w:val="superscript"/>
              </w:rPr>
              <w:t>b</w:t>
            </w:r>
          </w:p>
        </w:tc>
        <w:tc>
          <w:tcPr>
            <w:tcW w:w="0" w:type="auto"/>
            <w:vAlign w:val="center"/>
            <w:hideMark/>
          </w:tcPr>
          <w:p w14:paraId="5EEE78B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0.9</w:t>
            </w:r>
            <w:r w:rsidRPr="00D35DBC">
              <w:rPr>
                <w:rFonts w:ascii="Book Antiqua" w:hAnsi="Book Antiqua"/>
                <w:color w:val="000000" w:themeColor="text1"/>
                <w:vertAlign w:val="superscript"/>
              </w:rPr>
              <w:t>b</w:t>
            </w:r>
          </w:p>
        </w:tc>
        <w:tc>
          <w:tcPr>
            <w:tcW w:w="0" w:type="auto"/>
            <w:vAlign w:val="center"/>
            <w:hideMark/>
          </w:tcPr>
          <w:p w14:paraId="7D99CE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0.9</w:t>
            </w:r>
          </w:p>
        </w:tc>
        <w:tc>
          <w:tcPr>
            <w:tcW w:w="0" w:type="auto"/>
            <w:vAlign w:val="center"/>
            <w:hideMark/>
          </w:tcPr>
          <w:p w14:paraId="108B9D2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r w:rsidRPr="00D35DBC">
              <w:rPr>
                <w:rFonts w:ascii="Book Antiqua" w:hAnsi="Book Antiqua"/>
                <w:color w:val="000000" w:themeColor="text1"/>
                <w:vertAlign w:val="superscript"/>
              </w:rPr>
              <w:t>a</w:t>
            </w:r>
          </w:p>
        </w:tc>
        <w:tc>
          <w:tcPr>
            <w:tcW w:w="0" w:type="auto"/>
            <w:vAlign w:val="center"/>
            <w:hideMark/>
          </w:tcPr>
          <w:p w14:paraId="571820A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p>
        </w:tc>
        <w:tc>
          <w:tcPr>
            <w:tcW w:w="0" w:type="auto"/>
            <w:vAlign w:val="center"/>
            <w:hideMark/>
          </w:tcPr>
          <w:p w14:paraId="53A997C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 ± 0.4</w:t>
            </w:r>
            <w:r w:rsidRPr="00D35DBC">
              <w:rPr>
                <w:rFonts w:ascii="Book Antiqua" w:hAnsi="Book Antiqua"/>
                <w:color w:val="000000" w:themeColor="text1"/>
                <w:vertAlign w:val="superscript"/>
              </w:rPr>
              <w:t>a</w:t>
            </w:r>
          </w:p>
        </w:tc>
        <w:tc>
          <w:tcPr>
            <w:tcW w:w="1119" w:type="dxa"/>
            <w:vAlign w:val="center"/>
            <w:hideMark/>
          </w:tcPr>
          <w:p w14:paraId="2C31C4A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594" w:type="dxa"/>
            <w:vAlign w:val="center"/>
            <w:hideMark/>
          </w:tcPr>
          <w:p w14:paraId="0C5310F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r>
      <w:tr w:rsidR="00581C8A" w:rsidRPr="00D35DBC" w14:paraId="22265DD0" w14:textId="77777777" w:rsidTr="0048396D">
        <w:tc>
          <w:tcPr>
            <w:tcW w:w="0" w:type="auto"/>
            <w:vAlign w:val="center"/>
          </w:tcPr>
          <w:p w14:paraId="2F102A9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A3EAD4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hAnsi="Book Antiqua"/>
                <w:color w:val="000000" w:themeColor="text1"/>
                <w:u w:val="single"/>
              </w:rPr>
              <w:t>PCS of SF-8</w:t>
            </w:r>
          </w:p>
        </w:tc>
        <w:tc>
          <w:tcPr>
            <w:tcW w:w="0" w:type="auto"/>
            <w:vAlign w:val="center"/>
            <w:hideMark/>
          </w:tcPr>
          <w:p w14:paraId="7189A4F9"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49.6 ± 5.6</w:t>
            </w:r>
            <w:r w:rsidRPr="00D35DBC">
              <w:rPr>
                <w:rFonts w:ascii="Book Antiqua" w:hAnsi="Book Antiqua"/>
                <w:color w:val="000000" w:themeColor="text1"/>
                <w:vertAlign w:val="superscript"/>
              </w:rPr>
              <w:t>b</w:t>
            </w:r>
          </w:p>
        </w:tc>
        <w:tc>
          <w:tcPr>
            <w:tcW w:w="0" w:type="auto"/>
            <w:vAlign w:val="center"/>
            <w:hideMark/>
          </w:tcPr>
          <w:p w14:paraId="488AE92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49.5 ± 6.1</w:t>
            </w:r>
          </w:p>
        </w:tc>
        <w:tc>
          <w:tcPr>
            <w:tcW w:w="0" w:type="auto"/>
            <w:vAlign w:val="center"/>
            <w:hideMark/>
          </w:tcPr>
          <w:p w14:paraId="141F716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50.8 ± 5.6</w:t>
            </w:r>
          </w:p>
        </w:tc>
        <w:tc>
          <w:tcPr>
            <w:tcW w:w="0" w:type="auto"/>
            <w:vAlign w:val="center"/>
            <w:hideMark/>
          </w:tcPr>
          <w:p w14:paraId="154D8BE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50.5 ± 5.5</w:t>
            </w:r>
          </w:p>
        </w:tc>
        <w:tc>
          <w:tcPr>
            <w:tcW w:w="0" w:type="auto"/>
            <w:vAlign w:val="center"/>
            <w:hideMark/>
          </w:tcPr>
          <w:p w14:paraId="5AFBF0F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51.1 ± 5.3</w:t>
            </w:r>
          </w:p>
        </w:tc>
        <w:tc>
          <w:tcPr>
            <w:tcW w:w="0" w:type="auto"/>
            <w:vAlign w:val="center"/>
            <w:hideMark/>
          </w:tcPr>
          <w:p w14:paraId="0E57C60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52.4 ± 3.8</w:t>
            </w:r>
            <w:r w:rsidRPr="00D35DBC">
              <w:rPr>
                <w:rFonts w:ascii="Book Antiqua" w:hAnsi="Book Antiqua"/>
                <w:color w:val="000000" w:themeColor="text1"/>
                <w:vertAlign w:val="superscript"/>
              </w:rPr>
              <w:t>a</w:t>
            </w:r>
          </w:p>
        </w:tc>
        <w:tc>
          <w:tcPr>
            <w:tcW w:w="1119" w:type="dxa"/>
            <w:vAlign w:val="center"/>
            <w:hideMark/>
          </w:tcPr>
          <w:p w14:paraId="5854473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50.5 ± 5.6</w:t>
            </w:r>
          </w:p>
        </w:tc>
        <w:tc>
          <w:tcPr>
            <w:tcW w:w="594" w:type="dxa"/>
            <w:vAlign w:val="center"/>
            <w:hideMark/>
          </w:tcPr>
          <w:p w14:paraId="343CF8E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r>
      <w:tr w:rsidR="00581C8A" w:rsidRPr="00D35DBC" w14:paraId="3B338749" w14:textId="77777777" w:rsidTr="0048396D">
        <w:tc>
          <w:tcPr>
            <w:tcW w:w="0" w:type="auto"/>
            <w:vAlign w:val="center"/>
            <w:hideMark/>
          </w:tcPr>
          <w:p w14:paraId="34E9B381" w14:textId="1556B1F5"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4982586" w14:textId="77777777" w:rsidR="00C1648E" w:rsidRPr="00D35DBC" w:rsidRDefault="00C1648E" w:rsidP="00D35DBC">
            <w:pPr>
              <w:adjustRightInd w:val="0"/>
              <w:snapToGrid w:val="0"/>
              <w:spacing w:line="360" w:lineRule="auto"/>
              <w:jc w:val="both"/>
              <w:rPr>
                <w:rFonts w:ascii="Book Antiqua" w:hAnsi="Book Antiqua"/>
                <w:color w:val="000000" w:themeColor="text1"/>
                <w:u w:val="single"/>
              </w:rPr>
            </w:pPr>
            <w:r w:rsidRPr="00D35DBC">
              <w:rPr>
                <w:rFonts w:ascii="Book Antiqua" w:hAnsi="Book Antiqua"/>
                <w:color w:val="000000" w:themeColor="text1"/>
                <w:u w:val="single"/>
              </w:rPr>
              <w:t>MCS of SF-8</w:t>
            </w:r>
          </w:p>
        </w:tc>
        <w:tc>
          <w:tcPr>
            <w:tcW w:w="0" w:type="auto"/>
            <w:vAlign w:val="center"/>
            <w:hideMark/>
          </w:tcPr>
          <w:p w14:paraId="5BE427F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49.2 ± 6.0</w:t>
            </w:r>
          </w:p>
        </w:tc>
        <w:tc>
          <w:tcPr>
            <w:tcW w:w="0" w:type="auto"/>
            <w:vAlign w:val="center"/>
            <w:hideMark/>
          </w:tcPr>
          <w:p w14:paraId="5ADF42D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49.0 ± 6.0</w:t>
            </w:r>
          </w:p>
        </w:tc>
        <w:tc>
          <w:tcPr>
            <w:tcW w:w="0" w:type="auto"/>
            <w:vAlign w:val="center"/>
            <w:hideMark/>
          </w:tcPr>
          <w:p w14:paraId="42133C5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49.8 ± 5.7</w:t>
            </w:r>
          </w:p>
        </w:tc>
        <w:tc>
          <w:tcPr>
            <w:tcW w:w="0" w:type="auto"/>
            <w:vAlign w:val="center"/>
            <w:hideMark/>
          </w:tcPr>
          <w:p w14:paraId="76FDDAF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49.9 ± 5.7</w:t>
            </w:r>
          </w:p>
        </w:tc>
        <w:tc>
          <w:tcPr>
            <w:tcW w:w="0" w:type="auto"/>
            <w:vAlign w:val="center"/>
            <w:hideMark/>
          </w:tcPr>
          <w:p w14:paraId="03C568D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50.0 ± 6.1</w:t>
            </w:r>
          </w:p>
        </w:tc>
        <w:tc>
          <w:tcPr>
            <w:tcW w:w="0" w:type="auto"/>
            <w:vAlign w:val="center"/>
            <w:hideMark/>
          </w:tcPr>
          <w:p w14:paraId="4754659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51.6 ± 4.6</w:t>
            </w:r>
            <w:r w:rsidRPr="00D35DBC">
              <w:rPr>
                <w:rFonts w:ascii="Book Antiqua" w:hAnsi="Book Antiqua"/>
                <w:color w:val="000000" w:themeColor="text1"/>
                <w:vertAlign w:val="superscript"/>
              </w:rPr>
              <w:t>a</w:t>
            </w:r>
          </w:p>
        </w:tc>
        <w:tc>
          <w:tcPr>
            <w:tcW w:w="1119" w:type="dxa"/>
            <w:vAlign w:val="center"/>
            <w:hideMark/>
          </w:tcPr>
          <w:p w14:paraId="0BCAF98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49.7 ± 5.8</w:t>
            </w:r>
          </w:p>
        </w:tc>
        <w:tc>
          <w:tcPr>
            <w:tcW w:w="594" w:type="dxa"/>
            <w:vAlign w:val="center"/>
            <w:hideMark/>
          </w:tcPr>
          <w:p w14:paraId="04D35A1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r>
    </w:tbl>
    <w:p w14:paraId="3D42F7EF" w14:textId="77777777" w:rsidR="00203838" w:rsidRDefault="005153C2" w:rsidP="00D35DBC">
      <w:pPr>
        <w:adjustRightInd w:val="0"/>
        <w:snapToGrid w:val="0"/>
        <w:spacing w:line="360" w:lineRule="auto"/>
        <w:jc w:val="both"/>
        <w:rPr>
          <w:rFonts w:ascii="Book Antiqua" w:hAnsi="Book Antiqua"/>
          <w:color w:val="000000" w:themeColor="text1"/>
          <w:lang w:eastAsia="zh-CN"/>
        </w:rPr>
      </w:pPr>
      <w:r w:rsidRPr="00D35DBC">
        <w:rPr>
          <w:rFonts w:ascii="Book Antiqua" w:hAnsi="Book Antiqua"/>
          <w:color w:val="000000" w:themeColor="text1"/>
          <w:vertAlign w:val="superscript"/>
        </w:rPr>
        <w:t>a</w:t>
      </w:r>
      <w:r w:rsidRPr="00D35DBC">
        <w:rPr>
          <w:rFonts w:ascii="Book Antiqua" w:hAnsi="Book Antiqua"/>
          <w:i/>
          <w:color w:val="000000" w:themeColor="text1"/>
        </w:rPr>
        <w:t>P</w:t>
      </w:r>
      <w:r w:rsidR="0048396D" w:rsidRPr="00D35DBC">
        <w:rPr>
          <w:rFonts w:ascii="Book Antiqua" w:hAnsi="Book Antiqua"/>
          <w:i/>
          <w:color w:val="000000" w:themeColor="text1"/>
        </w:rPr>
        <w:t xml:space="preserve"> </w:t>
      </w:r>
      <w:r w:rsidR="00C1648E" w:rsidRPr="00D35DBC">
        <w:rPr>
          <w:rFonts w:ascii="Book Antiqua" w:hAnsi="Book Antiqua"/>
          <w:color w:val="000000" w:themeColor="text1"/>
        </w:rPr>
        <w:t>&lt;</w:t>
      </w:r>
      <w:r w:rsidR="0048396D" w:rsidRPr="00D35DBC">
        <w:rPr>
          <w:rFonts w:ascii="Book Antiqua" w:hAnsi="Book Antiqua"/>
          <w:color w:val="000000" w:themeColor="text1"/>
        </w:rPr>
        <w:t xml:space="preserve"> </w:t>
      </w:r>
      <w:r w:rsidR="00C1648E" w:rsidRPr="00D35DBC">
        <w:rPr>
          <w:rFonts w:ascii="Book Antiqua" w:hAnsi="Book Antiqua"/>
          <w:color w:val="000000" w:themeColor="text1"/>
        </w:rPr>
        <w:t>0.05</w:t>
      </w:r>
      <w:r w:rsidR="002A58F6">
        <w:rPr>
          <w:rFonts w:ascii="Book Antiqua" w:hAnsi="Book Antiqua"/>
          <w:color w:val="000000" w:themeColor="text1"/>
        </w:rPr>
        <w:t>,</w:t>
      </w:r>
      <w:r w:rsidR="00C1648E" w:rsidRPr="00D35DBC">
        <w:rPr>
          <w:rFonts w:ascii="Book Antiqua" w:hAnsi="Book Antiqua"/>
          <w:color w:val="000000" w:themeColor="text1"/>
        </w:rPr>
        <w:t xml:space="preserve"> better than overall mean (ANOM)</w:t>
      </w:r>
      <w:r w:rsidR="00203838">
        <w:rPr>
          <w:rFonts w:ascii="Book Antiqua" w:hAnsi="Book Antiqua"/>
          <w:color w:val="000000" w:themeColor="text1"/>
          <w:lang w:eastAsia="zh-CN"/>
        </w:rPr>
        <w:t>.</w:t>
      </w:r>
    </w:p>
    <w:p w14:paraId="09242F3E" w14:textId="77777777" w:rsidR="00203838" w:rsidRDefault="00C1648E" w:rsidP="00D35DBC">
      <w:pPr>
        <w:adjustRightInd w:val="0"/>
        <w:snapToGrid w:val="0"/>
        <w:spacing w:line="360" w:lineRule="auto"/>
        <w:jc w:val="both"/>
        <w:rPr>
          <w:rFonts w:ascii="Book Antiqua" w:hAnsi="Book Antiqua"/>
          <w:color w:val="000000" w:themeColor="text1"/>
          <w:lang w:eastAsia="zh-CN"/>
        </w:rPr>
      </w:pPr>
      <w:r w:rsidRPr="00D35DBC">
        <w:rPr>
          <w:rFonts w:ascii="Book Antiqua" w:hAnsi="Book Antiqua"/>
          <w:color w:val="000000" w:themeColor="text1"/>
          <w:vertAlign w:val="superscript"/>
        </w:rPr>
        <w:t>b</w:t>
      </w:r>
      <w:r w:rsidR="005153C2" w:rsidRPr="00D35DBC">
        <w:rPr>
          <w:rFonts w:ascii="Book Antiqua" w:hAnsi="Book Antiqua"/>
          <w:i/>
          <w:color w:val="000000" w:themeColor="text1"/>
        </w:rPr>
        <w:t>P</w:t>
      </w:r>
      <w:r w:rsidR="0048396D" w:rsidRPr="00D35DBC">
        <w:rPr>
          <w:rFonts w:ascii="Book Antiqua" w:hAnsi="Book Antiqua"/>
          <w:i/>
          <w:color w:val="000000" w:themeColor="text1"/>
        </w:rPr>
        <w:t xml:space="preserve"> </w:t>
      </w:r>
      <w:r w:rsidRPr="00D35DBC">
        <w:rPr>
          <w:rFonts w:ascii="Book Antiqua" w:hAnsi="Book Antiqua"/>
          <w:color w:val="000000" w:themeColor="text1"/>
        </w:rPr>
        <w:t>&lt;</w:t>
      </w:r>
      <w:r w:rsidR="0048396D" w:rsidRPr="00D35DBC">
        <w:rPr>
          <w:rFonts w:ascii="Book Antiqua" w:hAnsi="Book Antiqua"/>
          <w:color w:val="000000" w:themeColor="text1"/>
        </w:rPr>
        <w:t xml:space="preserve"> </w:t>
      </w:r>
      <w:r w:rsidRPr="00D35DBC">
        <w:rPr>
          <w:rFonts w:ascii="Book Antiqua" w:hAnsi="Book Antiqua"/>
          <w:color w:val="000000" w:themeColor="text1"/>
        </w:rPr>
        <w:t>0.05</w:t>
      </w:r>
      <w:r w:rsidR="002A58F6">
        <w:rPr>
          <w:rFonts w:ascii="Book Antiqua" w:hAnsi="Book Antiqua"/>
          <w:color w:val="000000" w:themeColor="text1"/>
        </w:rPr>
        <w:t>,</w:t>
      </w:r>
      <w:r w:rsidRPr="00D35DBC">
        <w:rPr>
          <w:rFonts w:ascii="Book Antiqua" w:hAnsi="Book Antiqua"/>
          <w:color w:val="000000" w:themeColor="text1"/>
        </w:rPr>
        <w:t xml:space="preserve"> worse than overall mean (ANOM)</w:t>
      </w:r>
      <w:r w:rsidR="0048396D" w:rsidRPr="00D35DBC">
        <w:rPr>
          <w:rFonts w:ascii="Book Antiqua" w:hAnsi="Book Antiqua"/>
          <w:color w:val="000000" w:themeColor="text1"/>
          <w:lang w:eastAsia="zh-CN"/>
        </w:rPr>
        <w:t xml:space="preserve">. </w:t>
      </w:r>
    </w:p>
    <w:p w14:paraId="6DB54C37" w14:textId="4D2E6D4E"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lastRenderedPageBreak/>
        <w:t>In items or subscales with underline, higher score indicates better condition</w:t>
      </w:r>
      <w:r w:rsidR="0048396D" w:rsidRPr="00D35DBC">
        <w:rPr>
          <w:rFonts w:ascii="Book Antiqua" w:hAnsi="Book Antiqua"/>
          <w:color w:val="000000" w:themeColor="text1"/>
        </w:rPr>
        <w:t xml:space="preserve">. </w:t>
      </w:r>
      <w:r w:rsidRPr="00D35DBC">
        <w:rPr>
          <w:rFonts w:ascii="Book Antiqua" w:hAnsi="Book Antiqua"/>
          <w:color w:val="000000" w:themeColor="text1"/>
        </w:rPr>
        <w:t>In items or subscales without underline, higher score indicates worse condition</w:t>
      </w:r>
      <w:r w:rsidR="0048396D" w:rsidRPr="00D35DBC">
        <w:rPr>
          <w:rFonts w:ascii="Book Antiqua" w:hAnsi="Book Antiqua"/>
          <w:color w:val="000000" w:themeColor="text1"/>
          <w:lang w:eastAsia="zh-CN"/>
        </w:rPr>
        <w:t xml:space="preserve">. </w:t>
      </w:r>
      <w:r w:rsidRPr="00D35DBC">
        <w:rPr>
          <w:rFonts w:ascii="Book Antiqua" w:hAnsi="Book Antiqua"/>
          <w:color w:val="000000" w:themeColor="text1"/>
        </w:rPr>
        <w:t xml:space="preserve">N: </w:t>
      </w:r>
      <w:r w:rsidR="0048396D" w:rsidRPr="00D35DBC">
        <w:rPr>
          <w:rFonts w:ascii="Book Antiqua" w:hAnsi="Book Antiqua"/>
          <w:color w:val="000000" w:themeColor="text1"/>
        </w:rPr>
        <w:t>T</w:t>
      </w:r>
      <w:r w:rsidRPr="00D35DBC">
        <w:rPr>
          <w:rFonts w:ascii="Book Antiqua" w:hAnsi="Book Antiqua"/>
          <w:color w:val="000000" w:themeColor="text1"/>
        </w:rPr>
        <w:t>he number of the type of gastrectomy mean differ from the overall mean</w:t>
      </w:r>
      <w:r w:rsidR="0048396D" w:rsidRPr="00D35DBC">
        <w:rPr>
          <w:rFonts w:ascii="Book Antiqua" w:hAnsi="Book Antiqua"/>
          <w:color w:val="000000" w:themeColor="text1"/>
        </w:rPr>
        <w:t xml:space="preserve">; </w:t>
      </w:r>
      <w:r w:rsidRPr="00D35DBC">
        <w:rPr>
          <w:rFonts w:ascii="Book Antiqua" w:hAnsi="Book Antiqua"/>
          <w:color w:val="000000" w:themeColor="text1"/>
        </w:rPr>
        <w:t>TGRY: Total gastrectomy with Roux-en-Y reconstruction; PG: Proximal gastrectomy; DGRY: Distal gastrectomy with Roux-en-Y reconstruction;</w:t>
      </w:r>
      <w:r w:rsidR="005153C2" w:rsidRPr="00D35DBC">
        <w:rPr>
          <w:rFonts w:ascii="Book Antiqua" w:hAnsi="Book Antiqua"/>
          <w:color w:val="000000" w:themeColor="text1"/>
        </w:rPr>
        <w:t xml:space="preserve"> </w:t>
      </w:r>
      <w:r w:rsidRPr="00D35DBC">
        <w:rPr>
          <w:rFonts w:ascii="Book Antiqua" w:hAnsi="Book Antiqua"/>
          <w:color w:val="000000" w:themeColor="text1"/>
        </w:rPr>
        <w:t>DGBI: Distal gastrectomy with Billroth I reconstruction; PPG: Pylorus preserving gastrectomy; LR: Local resection of the stomach</w:t>
      </w:r>
      <w:r w:rsidR="009D1D46" w:rsidRPr="00D35DBC">
        <w:rPr>
          <w:rFonts w:ascii="Book Antiqua" w:hAnsi="Book Antiqua"/>
          <w:color w:val="000000" w:themeColor="text1"/>
        </w:rPr>
        <w:t xml:space="preserve">; </w:t>
      </w:r>
      <w:r w:rsidR="009D1D46" w:rsidRPr="00D35DBC">
        <w:rPr>
          <w:rFonts w:ascii="Book Antiqua" w:eastAsia="MS PGothic" w:hAnsi="Book Antiqua"/>
          <w:color w:val="000000" w:themeColor="text1"/>
        </w:rPr>
        <w:t>QOL: Q</w:t>
      </w:r>
      <w:r w:rsidR="009D1D46" w:rsidRPr="00D35DBC">
        <w:rPr>
          <w:rFonts w:ascii="Book Antiqua" w:eastAsia="Book Antiqua" w:hAnsi="Book Antiqua" w:cs="Book Antiqua"/>
          <w:color w:val="000000" w:themeColor="text1"/>
        </w:rPr>
        <w:t>uality of life</w:t>
      </w:r>
      <w:r w:rsidR="00906510" w:rsidRPr="00D35DBC">
        <w:rPr>
          <w:rFonts w:ascii="Book Antiqua" w:eastAsia="Book Antiqua" w:hAnsi="Book Antiqua" w:cs="Book Antiqua"/>
          <w:color w:val="000000" w:themeColor="text1"/>
        </w:rPr>
        <w:t>; SF-8: 8-item short-form generic health-related QOL questionnaire</w:t>
      </w:r>
      <w:r w:rsidR="0048396D" w:rsidRPr="00D35DBC">
        <w:rPr>
          <w:rFonts w:ascii="Book Antiqua" w:eastAsia="Book Antiqua" w:hAnsi="Book Antiqua" w:cs="Book Antiqua"/>
          <w:color w:val="000000" w:themeColor="text1"/>
        </w:rPr>
        <w:t>; SS: Subscale</w:t>
      </w:r>
      <w:r w:rsidR="0048396D" w:rsidRPr="00D35DBC">
        <w:rPr>
          <w:rFonts w:ascii="Book Antiqua" w:eastAsia="宋体" w:hAnsi="Book Antiqua" w:cs="宋体"/>
          <w:color w:val="000000" w:themeColor="text1"/>
          <w:lang w:eastAsia="zh-CN"/>
        </w:rPr>
        <w:t>.</w:t>
      </w:r>
    </w:p>
    <w:p w14:paraId="5F39C8C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br w:type="page"/>
      </w:r>
    </w:p>
    <w:p w14:paraId="5D77B300" w14:textId="608CD68D"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lastRenderedPageBreak/>
        <w:t xml:space="preserve">Table 4 The percentage and point against overall mean of the main outcome measures of </w:t>
      </w:r>
      <w:r w:rsidR="009F14E7" w:rsidRPr="00D35DBC">
        <w:rPr>
          <w:rFonts w:ascii="Book Antiqua" w:eastAsia="MS PGothic" w:hAnsi="Book Antiqua"/>
          <w:b/>
          <w:bCs/>
          <w:color w:val="000000" w:themeColor="text1"/>
        </w:rPr>
        <w:t>Postgastrectomy Syndrome Assessment Scale-45</w:t>
      </w:r>
      <w:r w:rsidRPr="00D35DBC">
        <w:rPr>
          <w:rFonts w:ascii="Book Antiqua" w:eastAsia="MS PGothic" w:hAnsi="Book Antiqua"/>
          <w:b/>
          <w:bCs/>
          <w:color w:val="000000" w:themeColor="text1"/>
        </w:rPr>
        <w:t xml:space="preserve"> among six types of gastrectomy</w:t>
      </w:r>
    </w:p>
    <w:tbl>
      <w:tblPr>
        <w:tblW w:w="0" w:type="auto"/>
        <w:tblBorders>
          <w:top w:val="single" w:sz="4" w:space="0" w:color="auto"/>
          <w:bottom w:val="single" w:sz="4" w:space="0" w:color="auto"/>
        </w:tblBorders>
        <w:tblLook w:val="04A0" w:firstRow="1" w:lastRow="0" w:firstColumn="1" w:lastColumn="0" w:noHBand="0" w:noVBand="1"/>
      </w:tblPr>
      <w:tblGrid>
        <w:gridCol w:w="1209"/>
        <w:gridCol w:w="1572"/>
        <w:gridCol w:w="821"/>
        <w:gridCol w:w="786"/>
        <w:gridCol w:w="687"/>
        <w:gridCol w:w="786"/>
        <w:gridCol w:w="856"/>
        <w:gridCol w:w="786"/>
        <w:gridCol w:w="787"/>
        <w:gridCol w:w="786"/>
        <w:gridCol w:w="687"/>
        <w:gridCol w:w="786"/>
        <w:gridCol w:w="687"/>
        <w:gridCol w:w="786"/>
        <w:gridCol w:w="938"/>
      </w:tblGrid>
      <w:tr w:rsidR="00581C8A" w:rsidRPr="00D35DBC" w14:paraId="7B63FFE8" w14:textId="77777777" w:rsidTr="0048396D">
        <w:tc>
          <w:tcPr>
            <w:tcW w:w="0" w:type="auto"/>
            <w:tcBorders>
              <w:top w:val="single" w:sz="4" w:space="0" w:color="auto"/>
              <w:bottom w:val="single" w:sz="4" w:space="0" w:color="auto"/>
            </w:tcBorders>
            <w:vAlign w:val="bottom"/>
          </w:tcPr>
          <w:p w14:paraId="541AFE36"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vAlign w:val="center"/>
            <w:hideMark/>
          </w:tcPr>
          <w:p w14:paraId="2A973715"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Types of gastrectomy</w:t>
            </w:r>
          </w:p>
        </w:tc>
        <w:tc>
          <w:tcPr>
            <w:tcW w:w="0" w:type="auto"/>
            <w:tcBorders>
              <w:top w:val="single" w:sz="4" w:space="0" w:color="auto"/>
              <w:bottom w:val="single" w:sz="4" w:space="0" w:color="auto"/>
            </w:tcBorders>
            <w:vAlign w:val="bottom"/>
            <w:hideMark/>
          </w:tcPr>
          <w:p w14:paraId="0628F5D4"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r w:rsidRPr="00D35DBC">
              <w:rPr>
                <w:rFonts w:ascii="Book Antiqua" w:hAnsi="Book Antiqua"/>
                <w:b/>
                <w:bCs/>
                <w:color w:val="000000" w:themeColor="text1"/>
              </w:rPr>
              <w:t>TGRY</w:t>
            </w:r>
          </w:p>
        </w:tc>
        <w:tc>
          <w:tcPr>
            <w:tcW w:w="0" w:type="auto"/>
            <w:tcBorders>
              <w:top w:val="single" w:sz="4" w:space="0" w:color="auto"/>
              <w:bottom w:val="single" w:sz="4" w:space="0" w:color="auto"/>
            </w:tcBorders>
            <w:vAlign w:val="bottom"/>
          </w:tcPr>
          <w:p w14:paraId="6C6B6748"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vAlign w:val="bottom"/>
            <w:hideMark/>
          </w:tcPr>
          <w:p w14:paraId="6F6627DE"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PG</w:t>
            </w:r>
          </w:p>
        </w:tc>
        <w:tc>
          <w:tcPr>
            <w:tcW w:w="0" w:type="auto"/>
            <w:tcBorders>
              <w:top w:val="single" w:sz="4" w:space="0" w:color="auto"/>
              <w:bottom w:val="single" w:sz="4" w:space="0" w:color="auto"/>
            </w:tcBorders>
            <w:vAlign w:val="bottom"/>
          </w:tcPr>
          <w:p w14:paraId="3D147373"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549DC9BC"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DGRY</w:t>
            </w:r>
          </w:p>
        </w:tc>
        <w:tc>
          <w:tcPr>
            <w:tcW w:w="0" w:type="auto"/>
            <w:tcBorders>
              <w:top w:val="single" w:sz="4" w:space="0" w:color="auto"/>
              <w:bottom w:val="single" w:sz="4" w:space="0" w:color="auto"/>
            </w:tcBorders>
            <w:vAlign w:val="bottom"/>
          </w:tcPr>
          <w:p w14:paraId="44510BA9"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74392E7B"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DGBI</w:t>
            </w:r>
          </w:p>
        </w:tc>
        <w:tc>
          <w:tcPr>
            <w:tcW w:w="0" w:type="auto"/>
            <w:tcBorders>
              <w:top w:val="single" w:sz="4" w:space="0" w:color="auto"/>
              <w:bottom w:val="single" w:sz="4" w:space="0" w:color="auto"/>
            </w:tcBorders>
            <w:vAlign w:val="bottom"/>
          </w:tcPr>
          <w:p w14:paraId="50B90797"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6564FCB3"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PPG</w:t>
            </w:r>
          </w:p>
        </w:tc>
        <w:tc>
          <w:tcPr>
            <w:tcW w:w="0" w:type="auto"/>
            <w:tcBorders>
              <w:top w:val="single" w:sz="4" w:space="0" w:color="auto"/>
              <w:bottom w:val="single" w:sz="4" w:space="0" w:color="auto"/>
            </w:tcBorders>
            <w:vAlign w:val="bottom"/>
          </w:tcPr>
          <w:p w14:paraId="6E3F5EDA"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1026CCC1"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LR</w:t>
            </w:r>
          </w:p>
        </w:tc>
        <w:tc>
          <w:tcPr>
            <w:tcW w:w="0" w:type="auto"/>
            <w:tcBorders>
              <w:top w:val="single" w:sz="4" w:space="0" w:color="auto"/>
              <w:bottom w:val="single" w:sz="4" w:space="0" w:color="auto"/>
            </w:tcBorders>
            <w:vAlign w:val="bottom"/>
          </w:tcPr>
          <w:p w14:paraId="3B89CFD2"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30F67E9C"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Overall</w:t>
            </w:r>
          </w:p>
        </w:tc>
      </w:tr>
      <w:tr w:rsidR="00581C8A" w:rsidRPr="00D35DBC" w14:paraId="3D1A8113" w14:textId="77777777" w:rsidTr="0048396D">
        <w:tc>
          <w:tcPr>
            <w:tcW w:w="0" w:type="auto"/>
            <w:tcBorders>
              <w:top w:val="single" w:sz="4" w:space="0" w:color="auto"/>
            </w:tcBorders>
            <w:vAlign w:val="bottom"/>
            <w:hideMark/>
          </w:tcPr>
          <w:p w14:paraId="465D744C"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Domain</w:t>
            </w:r>
          </w:p>
        </w:tc>
        <w:tc>
          <w:tcPr>
            <w:tcW w:w="0" w:type="auto"/>
            <w:tcBorders>
              <w:top w:val="single" w:sz="4" w:space="0" w:color="auto"/>
            </w:tcBorders>
            <w:vAlign w:val="center"/>
            <w:hideMark/>
          </w:tcPr>
          <w:p w14:paraId="0A435BC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Main outcome measures</w:t>
            </w:r>
          </w:p>
        </w:tc>
        <w:tc>
          <w:tcPr>
            <w:tcW w:w="0" w:type="auto"/>
            <w:tcBorders>
              <w:top w:val="single" w:sz="4" w:space="0" w:color="auto"/>
            </w:tcBorders>
            <w:vAlign w:val="bottom"/>
            <w:hideMark/>
          </w:tcPr>
          <w:p w14:paraId="5523D44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5A93877A" w14:textId="4BF17F6F" w:rsidR="00C1648E" w:rsidRPr="00D35DBC" w:rsidRDefault="0048396D"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
        </w:tc>
        <w:tc>
          <w:tcPr>
            <w:tcW w:w="0" w:type="auto"/>
            <w:tcBorders>
              <w:top w:val="single" w:sz="4" w:space="0" w:color="auto"/>
            </w:tcBorders>
            <w:vAlign w:val="bottom"/>
            <w:hideMark/>
          </w:tcPr>
          <w:p w14:paraId="68C12B6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55AC328A" w14:textId="00A52A8A" w:rsidR="00C1648E" w:rsidRPr="00D35DBC" w:rsidRDefault="0048396D"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
        </w:tc>
        <w:tc>
          <w:tcPr>
            <w:tcW w:w="0" w:type="auto"/>
            <w:tcBorders>
              <w:top w:val="single" w:sz="4" w:space="0" w:color="auto"/>
            </w:tcBorders>
            <w:vAlign w:val="bottom"/>
            <w:hideMark/>
          </w:tcPr>
          <w:p w14:paraId="4A1BC39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262AF0BD" w14:textId="312F76CC" w:rsidR="00C1648E" w:rsidRPr="00D35DBC" w:rsidRDefault="0048396D"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
        </w:tc>
        <w:tc>
          <w:tcPr>
            <w:tcW w:w="0" w:type="auto"/>
            <w:tcBorders>
              <w:top w:val="single" w:sz="4" w:space="0" w:color="auto"/>
            </w:tcBorders>
            <w:vAlign w:val="bottom"/>
            <w:hideMark/>
          </w:tcPr>
          <w:p w14:paraId="586252A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4F0ADD1D" w14:textId="1B1E84C6" w:rsidR="00C1648E" w:rsidRPr="00D35DBC" w:rsidRDefault="0048396D"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
        </w:tc>
        <w:tc>
          <w:tcPr>
            <w:tcW w:w="0" w:type="auto"/>
            <w:tcBorders>
              <w:top w:val="single" w:sz="4" w:space="0" w:color="auto"/>
            </w:tcBorders>
            <w:vAlign w:val="bottom"/>
            <w:hideMark/>
          </w:tcPr>
          <w:p w14:paraId="6ED17DB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75CFFF89" w14:textId="164BBD2F" w:rsidR="00C1648E" w:rsidRPr="00D35DBC" w:rsidRDefault="0048396D"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
        </w:tc>
        <w:tc>
          <w:tcPr>
            <w:tcW w:w="0" w:type="auto"/>
            <w:tcBorders>
              <w:top w:val="single" w:sz="4" w:space="0" w:color="auto"/>
            </w:tcBorders>
            <w:vAlign w:val="bottom"/>
            <w:hideMark/>
          </w:tcPr>
          <w:p w14:paraId="478B1DE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3F083AB5" w14:textId="4EDE59C1" w:rsidR="00C1648E" w:rsidRPr="00D35DBC" w:rsidRDefault="0048396D"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
        </w:tc>
        <w:tc>
          <w:tcPr>
            <w:tcW w:w="0" w:type="auto"/>
            <w:tcBorders>
              <w:top w:val="single" w:sz="4" w:space="0" w:color="auto"/>
            </w:tcBorders>
            <w:vAlign w:val="bottom"/>
            <w:hideMark/>
          </w:tcPr>
          <w:p w14:paraId="39C1064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r>
      <w:tr w:rsidR="00581C8A" w:rsidRPr="00D35DBC" w14:paraId="794E0DBC" w14:textId="77777777" w:rsidTr="0048396D">
        <w:tc>
          <w:tcPr>
            <w:tcW w:w="0" w:type="auto"/>
            <w:vAlign w:val="bottom"/>
            <w:hideMark/>
          </w:tcPr>
          <w:p w14:paraId="3CD680F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Symptoms</w:t>
            </w:r>
          </w:p>
        </w:tc>
        <w:tc>
          <w:tcPr>
            <w:tcW w:w="0" w:type="auto"/>
            <w:vAlign w:val="center"/>
            <w:hideMark/>
          </w:tcPr>
          <w:p w14:paraId="0C1EF72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Esophageal reflux SS</w:t>
            </w:r>
          </w:p>
        </w:tc>
        <w:tc>
          <w:tcPr>
            <w:tcW w:w="0" w:type="auto"/>
            <w:vAlign w:val="bottom"/>
            <w:hideMark/>
          </w:tcPr>
          <w:p w14:paraId="1AFD329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115.5</w:t>
            </w:r>
          </w:p>
        </w:tc>
        <w:tc>
          <w:tcPr>
            <w:tcW w:w="0" w:type="auto"/>
            <w:vAlign w:val="bottom"/>
            <w:hideMark/>
          </w:tcPr>
          <w:p w14:paraId="7E8AC25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2C4F5F2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116.4</w:t>
            </w:r>
          </w:p>
        </w:tc>
        <w:tc>
          <w:tcPr>
            <w:tcW w:w="0" w:type="auto"/>
            <w:vAlign w:val="bottom"/>
            <w:hideMark/>
          </w:tcPr>
          <w:p w14:paraId="7C01137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5055531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86.6</w:t>
            </w:r>
          </w:p>
        </w:tc>
        <w:tc>
          <w:tcPr>
            <w:tcW w:w="0" w:type="auto"/>
            <w:vAlign w:val="bottom"/>
            <w:hideMark/>
          </w:tcPr>
          <w:p w14:paraId="74625C1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7C7304E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99.1</w:t>
            </w:r>
          </w:p>
        </w:tc>
        <w:tc>
          <w:tcPr>
            <w:tcW w:w="0" w:type="auto"/>
            <w:vAlign w:val="bottom"/>
            <w:hideMark/>
          </w:tcPr>
          <w:p w14:paraId="638F7D7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2CD019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99.1</w:t>
            </w:r>
          </w:p>
        </w:tc>
        <w:tc>
          <w:tcPr>
            <w:tcW w:w="0" w:type="auto"/>
            <w:vAlign w:val="bottom"/>
            <w:hideMark/>
          </w:tcPr>
          <w:p w14:paraId="5DC2E30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88BA5C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79.6</w:t>
            </w:r>
          </w:p>
        </w:tc>
        <w:tc>
          <w:tcPr>
            <w:tcW w:w="0" w:type="auto"/>
            <w:vAlign w:val="bottom"/>
            <w:hideMark/>
          </w:tcPr>
          <w:p w14:paraId="4064C71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7537D0B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FC5ACFF" w14:textId="77777777" w:rsidTr="0048396D">
        <w:tc>
          <w:tcPr>
            <w:tcW w:w="0" w:type="auto"/>
            <w:vAlign w:val="bottom"/>
          </w:tcPr>
          <w:p w14:paraId="4271D3D1"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23D7CFC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Abdominal pain SS</w:t>
            </w:r>
          </w:p>
        </w:tc>
        <w:tc>
          <w:tcPr>
            <w:tcW w:w="0" w:type="auto"/>
            <w:vAlign w:val="bottom"/>
            <w:hideMark/>
          </w:tcPr>
          <w:p w14:paraId="294A800D"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105.0</w:t>
            </w:r>
          </w:p>
        </w:tc>
        <w:tc>
          <w:tcPr>
            <w:tcW w:w="0" w:type="auto"/>
            <w:vAlign w:val="bottom"/>
            <w:hideMark/>
          </w:tcPr>
          <w:p w14:paraId="2A1F312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09ACF15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99.5</w:t>
            </w:r>
          </w:p>
        </w:tc>
        <w:tc>
          <w:tcPr>
            <w:tcW w:w="0" w:type="auto"/>
            <w:vAlign w:val="bottom"/>
            <w:hideMark/>
          </w:tcPr>
          <w:p w14:paraId="4AB295F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02F90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98.9</w:t>
            </w:r>
          </w:p>
        </w:tc>
        <w:tc>
          <w:tcPr>
            <w:tcW w:w="0" w:type="auto"/>
            <w:vAlign w:val="bottom"/>
            <w:hideMark/>
          </w:tcPr>
          <w:p w14:paraId="7BBBD73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03BEE8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100.5</w:t>
            </w:r>
          </w:p>
        </w:tc>
        <w:tc>
          <w:tcPr>
            <w:tcW w:w="0" w:type="auto"/>
            <w:vAlign w:val="bottom"/>
            <w:hideMark/>
          </w:tcPr>
          <w:p w14:paraId="463BC9C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EB8AB6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97.7</w:t>
            </w:r>
          </w:p>
        </w:tc>
        <w:tc>
          <w:tcPr>
            <w:tcW w:w="0" w:type="auto"/>
            <w:vAlign w:val="bottom"/>
            <w:hideMark/>
          </w:tcPr>
          <w:p w14:paraId="0D95C0D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5144B0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87.6</w:t>
            </w:r>
          </w:p>
        </w:tc>
        <w:tc>
          <w:tcPr>
            <w:tcW w:w="0" w:type="auto"/>
            <w:vAlign w:val="bottom"/>
            <w:hideMark/>
          </w:tcPr>
          <w:p w14:paraId="368F319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hideMark/>
          </w:tcPr>
          <w:p w14:paraId="2E6E7D3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3BFC10D" w14:textId="77777777" w:rsidTr="0048396D">
        <w:tc>
          <w:tcPr>
            <w:tcW w:w="0" w:type="auto"/>
            <w:vAlign w:val="bottom"/>
          </w:tcPr>
          <w:p w14:paraId="3D8A9791"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8E562D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Meal-related distress SS</w:t>
            </w:r>
          </w:p>
        </w:tc>
        <w:tc>
          <w:tcPr>
            <w:tcW w:w="0" w:type="auto"/>
            <w:vAlign w:val="bottom"/>
            <w:hideMark/>
          </w:tcPr>
          <w:p w14:paraId="630E227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120.8</w:t>
            </w:r>
          </w:p>
        </w:tc>
        <w:tc>
          <w:tcPr>
            <w:tcW w:w="0" w:type="auto"/>
            <w:vAlign w:val="bottom"/>
            <w:hideMark/>
          </w:tcPr>
          <w:p w14:paraId="304DA7F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2E3296E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120.2</w:t>
            </w:r>
          </w:p>
        </w:tc>
        <w:tc>
          <w:tcPr>
            <w:tcW w:w="0" w:type="auto"/>
            <w:vAlign w:val="bottom"/>
            <w:hideMark/>
          </w:tcPr>
          <w:p w14:paraId="65D4481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1BDEF70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95.2</w:t>
            </w:r>
          </w:p>
        </w:tc>
        <w:tc>
          <w:tcPr>
            <w:tcW w:w="0" w:type="auto"/>
            <w:vAlign w:val="bottom"/>
            <w:hideMark/>
          </w:tcPr>
          <w:p w14:paraId="53B7520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AD2E7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93.7</w:t>
            </w:r>
          </w:p>
        </w:tc>
        <w:tc>
          <w:tcPr>
            <w:tcW w:w="0" w:type="auto"/>
            <w:vAlign w:val="bottom"/>
            <w:hideMark/>
          </w:tcPr>
          <w:p w14:paraId="47FD929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65EE2BC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96.3</w:t>
            </w:r>
          </w:p>
        </w:tc>
        <w:tc>
          <w:tcPr>
            <w:tcW w:w="0" w:type="auto"/>
            <w:vAlign w:val="bottom"/>
            <w:hideMark/>
          </w:tcPr>
          <w:p w14:paraId="7D1291F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C758EC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67.3</w:t>
            </w:r>
          </w:p>
        </w:tc>
        <w:tc>
          <w:tcPr>
            <w:tcW w:w="0" w:type="auto"/>
            <w:vAlign w:val="bottom"/>
            <w:hideMark/>
          </w:tcPr>
          <w:p w14:paraId="54F4875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w:t>
            </w:r>
          </w:p>
        </w:tc>
        <w:tc>
          <w:tcPr>
            <w:tcW w:w="0" w:type="auto"/>
            <w:hideMark/>
          </w:tcPr>
          <w:p w14:paraId="43F832C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4D81FC7E" w14:textId="77777777" w:rsidTr="0048396D">
        <w:tc>
          <w:tcPr>
            <w:tcW w:w="0" w:type="auto"/>
            <w:vAlign w:val="bottom"/>
          </w:tcPr>
          <w:p w14:paraId="0E5DC646"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E8C27E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Indigestion SS</w:t>
            </w:r>
          </w:p>
        </w:tc>
        <w:tc>
          <w:tcPr>
            <w:tcW w:w="0" w:type="auto"/>
            <w:vAlign w:val="bottom"/>
            <w:hideMark/>
          </w:tcPr>
          <w:p w14:paraId="21E36C70"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112.0</w:t>
            </w:r>
          </w:p>
        </w:tc>
        <w:tc>
          <w:tcPr>
            <w:tcW w:w="0" w:type="auto"/>
            <w:vAlign w:val="bottom"/>
            <w:hideMark/>
          </w:tcPr>
          <w:p w14:paraId="2CC3BBE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6C0CAE7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105.5</w:t>
            </w:r>
          </w:p>
        </w:tc>
        <w:tc>
          <w:tcPr>
            <w:tcW w:w="0" w:type="auto"/>
            <w:vAlign w:val="bottom"/>
            <w:hideMark/>
          </w:tcPr>
          <w:p w14:paraId="3D8DD66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05664EA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99.8</w:t>
            </w:r>
          </w:p>
        </w:tc>
        <w:tc>
          <w:tcPr>
            <w:tcW w:w="0" w:type="auto"/>
            <w:vAlign w:val="bottom"/>
            <w:hideMark/>
          </w:tcPr>
          <w:p w14:paraId="40E37F4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297C71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97.0</w:t>
            </w:r>
          </w:p>
        </w:tc>
        <w:tc>
          <w:tcPr>
            <w:tcW w:w="0" w:type="auto"/>
            <w:vAlign w:val="bottom"/>
            <w:hideMark/>
          </w:tcPr>
          <w:p w14:paraId="43BDFC4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6A83DC5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98.0</w:t>
            </w:r>
          </w:p>
        </w:tc>
        <w:tc>
          <w:tcPr>
            <w:tcW w:w="0" w:type="auto"/>
            <w:vAlign w:val="bottom"/>
            <w:hideMark/>
          </w:tcPr>
          <w:p w14:paraId="5FAA2BA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E58E11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72.5</w:t>
            </w:r>
          </w:p>
        </w:tc>
        <w:tc>
          <w:tcPr>
            <w:tcW w:w="0" w:type="auto"/>
            <w:vAlign w:val="bottom"/>
            <w:hideMark/>
          </w:tcPr>
          <w:p w14:paraId="52C0C14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47C4371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10507777" w14:textId="77777777" w:rsidTr="0048396D">
        <w:tc>
          <w:tcPr>
            <w:tcW w:w="0" w:type="auto"/>
            <w:vAlign w:val="bottom"/>
          </w:tcPr>
          <w:p w14:paraId="0EC03BC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FC1F82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Diarrhea SS</w:t>
            </w:r>
          </w:p>
        </w:tc>
        <w:tc>
          <w:tcPr>
            <w:tcW w:w="0" w:type="auto"/>
            <w:vAlign w:val="bottom"/>
            <w:hideMark/>
          </w:tcPr>
          <w:p w14:paraId="4F59556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110.4</w:t>
            </w:r>
          </w:p>
        </w:tc>
        <w:tc>
          <w:tcPr>
            <w:tcW w:w="0" w:type="auto"/>
            <w:vAlign w:val="bottom"/>
            <w:hideMark/>
          </w:tcPr>
          <w:p w14:paraId="312EC9B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6AFCE47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94.9</w:t>
            </w:r>
          </w:p>
        </w:tc>
        <w:tc>
          <w:tcPr>
            <w:tcW w:w="0" w:type="auto"/>
            <w:vAlign w:val="bottom"/>
            <w:hideMark/>
          </w:tcPr>
          <w:p w14:paraId="02D4AC0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33D84E7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99.9</w:t>
            </w:r>
          </w:p>
        </w:tc>
        <w:tc>
          <w:tcPr>
            <w:tcW w:w="0" w:type="auto"/>
            <w:vAlign w:val="bottom"/>
            <w:hideMark/>
          </w:tcPr>
          <w:p w14:paraId="0C467DA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75035E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102.8</w:t>
            </w:r>
          </w:p>
        </w:tc>
        <w:tc>
          <w:tcPr>
            <w:tcW w:w="0" w:type="auto"/>
            <w:vAlign w:val="bottom"/>
            <w:hideMark/>
          </w:tcPr>
          <w:p w14:paraId="2B30D9E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C2342F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89.3</w:t>
            </w:r>
          </w:p>
        </w:tc>
        <w:tc>
          <w:tcPr>
            <w:tcW w:w="0" w:type="auto"/>
            <w:vAlign w:val="bottom"/>
            <w:hideMark/>
          </w:tcPr>
          <w:p w14:paraId="3FCDAAD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5020E10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73.6</w:t>
            </w:r>
          </w:p>
        </w:tc>
        <w:tc>
          <w:tcPr>
            <w:tcW w:w="0" w:type="auto"/>
            <w:vAlign w:val="bottom"/>
            <w:hideMark/>
          </w:tcPr>
          <w:p w14:paraId="18650C2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7790FD4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66F47B1F" w14:textId="77777777" w:rsidTr="0048396D">
        <w:tc>
          <w:tcPr>
            <w:tcW w:w="0" w:type="auto"/>
            <w:vAlign w:val="bottom"/>
          </w:tcPr>
          <w:p w14:paraId="7A03C36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D6C48F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Constipation SS</w:t>
            </w:r>
          </w:p>
        </w:tc>
        <w:tc>
          <w:tcPr>
            <w:tcW w:w="0" w:type="auto"/>
            <w:vAlign w:val="bottom"/>
            <w:hideMark/>
          </w:tcPr>
          <w:p w14:paraId="3E372F93"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96.2</w:t>
            </w:r>
          </w:p>
        </w:tc>
        <w:tc>
          <w:tcPr>
            <w:tcW w:w="0" w:type="auto"/>
            <w:vAlign w:val="bottom"/>
            <w:hideMark/>
          </w:tcPr>
          <w:p w14:paraId="6628F52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C513EA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105.9</w:t>
            </w:r>
          </w:p>
        </w:tc>
        <w:tc>
          <w:tcPr>
            <w:tcW w:w="0" w:type="auto"/>
            <w:vAlign w:val="bottom"/>
            <w:hideMark/>
          </w:tcPr>
          <w:p w14:paraId="63DD0E3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3278333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4852BFB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992BD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102.2</w:t>
            </w:r>
          </w:p>
        </w:tc>
        <w:tc>
          <w:tcPr>
            <w:tcW w:w="0" w:type="auto"/>
            <w:vAlign w:val="bottom"/>
            <w:hideMark/>
          </w:tcPr>
          <w:p w14:paraId="7D74442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067739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103.0</w:t>
            </w:r>
          </w:p>
        </w:tc>
        <w:tc>
          <w:tcPr>
            <w:tcW w:w="0" w:type="auto"/>
            <w:vAlign w:val="bottom"/>
            <w:hideMark/>
          </w:tcPr>
          <w:p w14:paraId="4BC974F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A99FCB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85.6</w:t>
            </w:r>
          </w:p>
        </w:tc>
        <w:tc>
          <w:tcPr>
            <w:tcW w:w="0" w:type="auto"/>
            <w:vAlign w:val="bottom"/>
            <w:hideMark/>
          </w:tcPr>
          <w:p w14:paraId="50815E3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hideMark/>
          </w:tcPr>
          <w:p w14:paraId="0E08140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3FBB0E5B" w14:textId="77777777" w:rsidTr="0048396D">
        <w:tc>
          <w:tcPr>
            <w:tcW w:w="0" w:type="auto"/>
            <w:vAlign w:val="bottom"/>
          </w:tcPr>
          <w:p w14:paraId="4C2451C4"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2861AF8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Dumping SS</w:t>
            </w:r>
          </w:p>
        </w:tc>
        <w:tc>
          <w:tcPr>
            <w:tcW w:w="0" w:type="auto"/>
            <w:vAlign w:val="bottom"/>
            <w:hideMark/>
          </w:tcPr>
          <w:p w14:paraId="4698D53E"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116.3</w:t>
            </w:r>
          </w:p>
        </w:tc>
        <w:tc>
          <w:tcPr>
            <w:tcW w:w="0" w:type="auto"/>
            <w:vAlign w:val="bottom"/>
            <w:hideMark/>
          </w:tcPr>
          <w:p w14:paraId="7039929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6BBADB9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103.3</w:t>
            </w:r>
          </w:p>
        </w:tc>
        <w:tc>
          <w:tcPr>
            <w:tcW w:w="0" w:type="auto"/>
            <w:vAlign w:val="bottom"/>
            <w:hideMark/>
          </w:tcPr>
          <w:p w14:paraId="7A86229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6EAD24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99.5</w:t>
            </w:r>
          </w:p>
        </w:tc>
        <w:tc>
          <w:tcPr>
            <w:tcW w:w="0" w:type="auto"/>
            <w:vAlign w:val="bottom"/>
            <w:hideMark/>
          </w:tcPr>
          <w:p w14:paraId="7990CCC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30C948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99.4</w:t>
            </w:r>
          </w:p>
        </w:tc>
        <w:tc>
          <w:tcPr>
            <w:tcW w:w="0" w:type="auto"/>
            <w:vAlign w:val="bottom"/>
            <w:hideMark/>
          </w:tcPr>
          <w:p w14:paraId="54AA0B4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A7F8AA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88.6</w:t>
            </w:r>
          </w:p>
        </w:tc>
        <w:tc>
          <w:tcPr>
            <w:tcW w:w="0" w:type="auto"/>
            <w:vAlign w:val="bottom"/>
            <w:hideMark/>
          </w:tcPr>
          <w:p w14:paraId="29F6AC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773E5B9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64.2</w:t>
            </w:r>
          </w:p>
        </w:tc>
        <w:tc>
          <w:tcPr>
            <w:tcW w:w="0" w:type="auto"/>
            <w:vAlign w:val="bottom"/>
            <w:hideMark/>
          </w:tcPr>
          <w:p w14:paraId="2E4DD0A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w:t>
            </w:r>
          </w:p>
        </w:tc>
        <w:tc>
          <w:tcPr>
            <w:tcW w:w="0" w:type="auto"/>
            <w:hideMark/>
          </w:tcPr>
          <w:p w14:paraId="7A4B8F0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07EE9F1" w14:textId="77777777" w:rsidTr="0048396D">
        <w:tc>
          <w:tcPr>
            <w:tcW w:w="0" w:type="auto"/>
            <w:vAlign w:val="bottom"/>
            <w:hideMark/>
          </w:tcPr>
          <w:p w14:paraId="06229AFE" w14:textId="39F5BCA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8A0C54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Total symptom score</w:t>
            </w:r>
          </w:p>
        </w:tc>
        <w:tc>
          <w:tcPr>
            <w:tcW w:w="0" w:type="auto"/>
            <w:vAlign w:val="bottom"/>
            <w:hideMark/>
          </w:tcPr>
          <w:p w14:paraId="4ABC5DA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111.0</w:t>
            </w:r>
          </w:p>
        </w:tc>
        <w:tc>
          <w:tcPr>
            <w:tcW w:w="0" w:type="auto"/>
            <w:vAlign w:val="bottom"/>
            <w:hideMark/>
          </w:tcPr>
          <w:p w14:paraId="3761A01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3746823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105.8</w:t>
            </w:r>
          </w:p>
        </w:tc>
        <w:tc>
          <w:tcPr>
            <w:tcW w:w="0" w:type="auto"/>
            <w:vAlign w:val="bottom"/>
            <w:hideMark/>
          </w:tcPr>
          <w:p w14:paraId="26FD7FB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6619A19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0058FF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1486C2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99.4</w:t>
            </w:r>
          </w:p>
        </w:tc>
        <w:tc>
          <w:tcPr>
            <w:tcW w:w="0" w:type="auto"/>
            <w:vAlign w:val="bottom"/>
            <w:hideMark/>
          </w:tcPr>
          <w:p w14:paraId="0269A27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98B253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95.6</w:t>
            </w:r>
          </w:p>
        </w:tc>
        <w:tc>
          <w:tcPr>
            <w:tcW w:w="0" w:type="auto"/>
            <w:vAlign w:val="bottom"/>
            <w:hideMark/>
          </w:tcPr>
          <w:p w14:paraId="5A1FBBB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E70912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74.4</w:t>
            </w:r>
          </w:p>
        </w:tc>
        <w:tc>
          <w:tcPr>
            <w:tcW w:w="0" w:type="auto"/>
            <w:vAlign w:val="bottom"/>
            <w:hideMark/>
          </w:tcPr>
          <w:p w14:paraId="0F7D57D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569EADD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B2113D4" w14:textId="77777777" w:rsidTr="0048396D">
        <w:tc>
          <w:tcPr>
            <w:tcW w:w="0" w:type="auto"/>
            <w:vAlign w:val="bottom"/>
            <w:hideMark/>
          </w:tcPr>
          <w:p w14:paraId="3FE1932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Living status</w:t>
            </w:r>
          </w:p>
        </w:tc>
        <w:tc>
          <w:tcPr>
            <w:tcW w:w="0" w:type="auto"/>
            <w:vAlign w:val="center"/>
            <w:hideMark/>
          </w:tcPr>
          <w:p w14:paraId="4BD7E9E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Change in BW</w:t>
            </w:r>
          </w:p>
        </w:tc>
        <w:tc>
          <w:tcPr>
            <w:tcW w:w="0" w:type="auto"/>
            <w:vAlign w:val="bottom"/>
            <w:hideMark/>
          </w:tcPr>
          <w:p w14:paraId="35354AD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153.1</w:t>
            </w:r>
          </w:p>
        </w:tc>
        <w:tc>
          <w:tcPr>
            <w:tcW w:w="0" w:type="auto"/>
            <w:vAlign w:val="bottom"/>
            <w:hideMark/>
          </w:tcPr>
          <w:p w14:paraId="5884E09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w:t>
            </w:r>
          </w:p>
        </w:tc>
        <w:tc>
          <w:tcPr>
            <w:tcW w:w="0" w:type="auto"/>
            <w:vAlign w:val="bottom"/>
            <w:hideMark/>
          </w:tcPr>
          <w:p w14:paraId="7CA9BDF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121.8</w:t>
            </w:r>
          </w:p>
        </w:tc>
        <w:tc>
          <w:tcPr>
            <w:tcW w:w="0" w:type="auto"/>
            <w:vAlign w:val="bottom"/>
            <w:hideMark/>
          </w:tcPr>
          <w:p w14:paraId="16E9081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04E83B1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99.4</w:t>
            </w:r>
          </w:p>
        </w:tc>
        <w:tc>
          <w:tcPr>
            <w:tcW w:w="0" w:type="auto"/>
            <w:vAlign w:val="bottom"/>
            <w:hideMark/>
          </w:tcPr>
          <w:p w14:paraId="5C2FA7F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B4A801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88.2</w:t>
            </w:r>
          </w:p>
        </w:tc>
        <w:tc>
          <w:tcPr>
            <w:tcW w:w="0" w:type="auto"/>
            <w:vAlign w:val="bottom"/>
            <w:hideMark/>
          </w:tcPr>
          <w:p w14:paraId="642023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3FF46F7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76.6</w:t>
            </w:r>
          </w:p>
        </w:tc>
        <w:tc>
          <w:tcPr>
            <w:tcW w:w="0" w:type="auto"/>
            <w:vAlign w:val="bottom"/>
            <w:hideMark/>
          </w:tcPr>
          <w:p w14:paraId="1F650AB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0257CF5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18.1</w:t>
            </w:r>
          </w:p>
        </w:tc>
        <w:tc>
          <w:tcPr>
            <w:tcW w:w="0" w:type="auto"/>
            <w:vAlign w:val="bottom"/>
            <w:hideMark/>
          </w:tcPr>
          <w:p w14:paraId="7DBA086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16</w:t>
            </w:r>
          </w:p>
        </w:tc>
        <w:tc>
          <w:tcPr>
            <w:tcW w:w="0" w:type="auto"/>
            <w:hideMark/>
          </w:tcPr>
          <w:p w14:paraId="64E25D4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4E7705D" w14:textId="77777777" w:rsidTr="0048396D">
        <w:tc>
          <w:tcPr>
            <w:tcW w:w="0" w:type="auto"/>
            <w:vAlign w:val="bottom"/>
          </w:tcPr>
          <w:p w14:paraId="1F029E3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427C2A3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Ingestion amount of food per meal</w:t>
            </w:r>
          </w:p>
        </w:tc>
        <w:tc>
          <w:tcPr>
            <w:tcW w:w="0" w:type="auto"/>
            <w:vAlign w:val="bottom"/>
            <w:hideMark/>
          </w:tcPr>
          <w:p w14:paraId="306BC34A"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91.4</w:t>
            </w:r>
          </w:p>
        </w:tc>
        <w:tc>
          <w:tcPr>
            <w:tcW w:w="0" w:type="auto"/>
            <w:vAlign w:val="bottom"/>
            <w:hideMark/>
          </w:tcPr>
          <w:p w14:paraId="312FC2C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10501E6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92.2</w:t>
            </w:r>
          </w:p>
        </w:tc>
        <w:tc>
          <w:tcPr>
            <w:tcW w:w="0" w:type="auto"/>
            <w:vAlign w:val="bottom"/>
            <w:hideMark/>
          </w:tcPr>
          <w:p w14:paraId="6CABA5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0FF2FCD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102.9</w:t>
            </w:r>
          </w:p>
        </w:tc>
        <w:tc>
          <w:tcPr>
            <w:tcW w:w="0" w:type="auto"/>
            <w:vAlign w:val="bottom"/>
            <w:hideMark/>
          </w:tcPr>
          <w:p w14:paraId="77DA458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BAA373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101.3</w:t>
            </w:r>
          </w:p>
        </w:tc>
        <w:tc>
          <w:tcPr>
            <w:tcW w:w="0" w:type="auto"/>
            <w:vAlign w:val="bottom"/>
            <w:hideMark/>
          </w:tcPr>
          <w:p w14:paraId="1C14230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B9171C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99.8</w:t>
            </w:r>
          </w:p>
        </w:tc>
        <w:tc>
          <w:tcPr>
            <w:tcW w:w="0" w:type="auto"/>
            <w:vAlign w:val="bottom"/>
            <w:hideMark/>
          </w:tcPr>
          <w:p w14:paraId="25C7BBA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A7620D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127.6</w:t>
            </w:r>
          </w:p>
        </w:tc>
        <w:tc>
          <w:tcPr>
            <w:tcW w:w="0" w:type="auto"/>
            <w:vAlign w:val="bottom"/>
            <w:hideMark/>
          </w:tcPr>
          <w:p w14:paraId="20D70D5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752844E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68E9404B" w14:textId="77777777" w:rsidTr="0048396D">
        <w:tc>
          <w:tcPr>
            <w:tcW w:w="0" w:type="auto"/>
            <w:vAlign w:val="bottom"/>
          </w:tcPr>
          <w:p w14:paraId="5DCE66BE"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5248616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Necessity for additional meals</w:t>
            </w:r>
          </w:p>
        </w:tc>
        <w:tc>
          <w:tcPr>
            <w:tcW w:w="0" w:type="auto"/>
            <w:vAlign w:val="bottom"/>
            <w:hideMark/>
          </w:tcPr>
          <w:p w14:paraId="3DCCEF0D"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121.6</w:t>
            </w:r>
          </w:p>
        </w:tc>
        <w:tc>
          <w:tcPr>
            <w:tcW w:w="0" w:type="auto"/>
            <w:vAlign w:val="bottom"/>
            <w:hideMark/>
          </w:tcPr>
          <w:p w14:paraId="79FBA8A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4680F95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105.3</w:t>
            </w:r>
          </w:p>
        </w:tc>
        <w:tc>
          <w:tcPr>
            <w:tcW w:w="0" w:type="auto"/>
            <w:vAlign w:val="bottom"/>
            <w:hideMark/>
          </w:tcPr>
          <w:p w14:paraId="5CEA31C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1F84A1D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98.3</w:t>
            </w:r>
          </w:p>
        </w:tc>
        <w:tc>
          <w:tcPr>
            <w:tcW w:w="0" w:type="auto"/>
            <w:vAlign w:val="bottom"/>
            <w:hideMark/>
          </w:tcPr>
          <w:p w14:paraId="3E40B8C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53FE5D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96.3</w:t>
            </w:r>
          </w:p>
        </w:tc>
        <w:tc>
          <w:tcPr>
            <w:tcW w:w="0" w:type="auto"/>
            <w:vAlign w:val="bottom"/>
            <w:hideMark/>
          </w:tcPr>
          <w:p w14:paraId="604A475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CA0B2D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90.7</w:t>
            </w:r>
          </w:p>
        </w:tc>
        <w:tc>
          <w:tcPr>
            <w:tcW w:w="0" w:type="auto"/>
            <w:vAlign w:val="bottom"/>
            <w:hideMark/>
          </w:tcPr>
          <w:p w14:paraId="5BF8FBA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79DC106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73.3</w:t>
            </w:r>
          </w:p>
        </w:tc>
        <w:tc>
          <w:tcPr>
            <w:tcW w:w="0" w:type="auto"/>
            <w:vAlign w:val="bottom"/>
            <w:hideMark/>
          </w:tcPr>
          <w:p w14:paraId="0A6F647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6E6D0F1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7825F36A" w14:textId="77777777" w:rsidTr="0048396D">
        <w:tc>
          <w:tcPr>
            <w:tcW w:w="0" w:type="auto"/>
            <w:vAlign w:val="bottom"/>
          </w:tcPr>
          <w:p w14:paraId="57547428"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5DF9067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Quality of ingestion SS</w:t>
            </w:r>
          </w:p>
        </w:tc>
        <w:tc>
          <w:tcPr>
            <w:tcW w:w="0" w:type="auto"/>
            <w:vAlign w:val="bottom"/>
            <w:hideMark/>
          </w:tcPr>
          <w:p w14:paraId="357AA8BA"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99.8</w:t>
            </w:r>
          </w:p>
        </w:tc>
        <w:tc>
          <w:tcPr>
            <w:tcW w:w="0" w:type="auto"/>
            <w:vAlign w:val="bottom"/>
            <w:hideMark/>
          </w:tcPr>
          <w:p w14:paraId="3DA7ADB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64BFACD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94.7</w:t>
            </w:r>
          </w:p>
        </w:tc>
        <w:tc>
          <w:tcPr>
            <w:tcW w:w="0" w:type="auto"/>
            <w:vAlign w:val="bottom"/>
            <w:hideMark/>
          </w:tcPr>
          <w:p w14:paraId="2856241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0BB2A55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99.8</w:t>
            </w:r>
          </w:p>
        </w:tc>
        <w:tc>
          <w:tcPr>
            <w:tcW w:w="0" w:type="auto"/>
            <w:vAlign w:val="bottom"/>
            <w:hideMark/>
          </w:tcPr>
          <w:p w14:paraId="5F7D325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610262D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100.7</w:t>
            </w:r>
          </w:p>
        </w:tc>
        <w:tc>
          <w:tcPr>
            <w:tcW w:w="0" w:type="auto"/>
            <w:vAlign w:val="bottom"/>
            <w:hideMark/>
          </w:tcPr>
          <w:p w14:paraId="3395D2E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5C7CB3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99.8</w:t>
            </w:r>
          </w:p>
        </w:tc>
        <w:tc>
          <w:tcPr>
            <w:tcW w:w="0" w:type="auto"/>
            <w:vAlign w:val="bottom"/>
            <w:hideMark/>
          </w:tcPr>
          <w:p w14:paraId="2CCCEAA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C520BE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107.1</w:t>
            </w:r>
          </w:p>
        </w:tc>
        <w:tc>
          <w:tcPr>
            <w:tcW w:w="0" w:type="auto"/>
            <w:vAlign w:val="bottom"/>
            <w:hideMark/>
          </w:tcPr>
          <w:p w14:paraId="029FD94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hideMark/>
          </w:tcPr>
          <w:p w14:paraId="495FB81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C6122A7" w14:textId="77777777" w:rsidTr="0048396D">
        <w:tc>
          <w:tcPr>
            <w:tcW w:w="0" w:type="auto"/>
            <w:vAlign w:val="bottom"/>
            <w:hideMark/>
          </w:tcPr>
          <w:p w14:paraId="62F82F07" w14:textId="2353126F"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663113C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Ability for working</w:t>
            </w:r>
          </w:p>
        </w:tc>
        <w:tc>
          <w:tcPr>
            <w:tcW w:w="0" w:type="auto"/>
            <w:vAlign w:val="bottom"/>
            <w:hideMark/>
          </w:tcPr>
          <w:p w14:paraId="03CFC8C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112.3</w:t>
            </w:r>
          </w:p>
        </w:tc>
        <w:tc>
          <w:tcPr>
            <w:tcW w:w="0" w:type="auto"/>
            <w:vAlign w:val="bottom"/>
            <w:hideMark/>
          </w:tcPr>
          <w:p w14:paraId="55554E5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44AAF1E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107.5</w:t>
            </w:r>
          </w:p>
        </w:tc>
        <w:tc>
          <w:tcPr>
            <w:tcW w:w="0" w:type="auto"/>
            <w:vAlign w:val="bottom"/>
            <w:hideMark/>
          </w:tcPr>
          <w:p w14:paraId="6D0E779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5F0ECBC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100.5</w:t>
            </w:r>
          </w:p>
        </w:tc>
        <w:tc>
          <w:tcPr>
            <w:tcW w:w="0" w:type="auto"/>
            <w:vAlign w:val="bottom"/>
            <w:hideMark/>
          </w:tcPr>
          <w:p w14:paraId="55AD395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17D651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96.2</w:t>
            </w:r>
          </w:p>
        </w:tc>
        <w:tc>
          <w:tcPr>
            <w:tcW w:w="0" w:type="auto"/>
            <w:vAlign w:val="bottom"/>
            <w:hideMark/>
          </w:tcPr>
          <w:p w14:paraId="729D17A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FA2115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57808AE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95CA3C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77.4</w:t>
            </w:r>
          </w:p>
        </w:tc>
        <w:tc>
          <w:tcPr>
            <w:tcW w:w="0" w:type="auto"/>
            <w:vAlign w:val="bottom"/>
            <w:hideMark/>
          </w:tcPr>
          <w:p w14:paraId="720381B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hideMark/>
          </w:tcPr>
          <w:p w14:paraId="0B94893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74AA0138" w14:textId="77777777" w:rsidTr="0048396D">
        <w:tc>
          <w:tcPr>
            <w:tcW w:w="0" w:type="auto"/>
            <w:vAlign w:val="bottom"/>
            <w:hideMark/>
          </w:tcPr>
          <w:p w14:paraId="157B3D6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QOL</w:t>
            </w:r>
          </w:p>
        </w:tc>
        <w:tc>
          <w:tcPr>
            <w:tcW w:w="0" w:type="auto"/>
            <w:vAlign w:val="center"/>
            <w:hideMark/>
          </w:tcPr>
          <w:p w14:paraId="33F079D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Dissatisfaction with symptoms</w:t>
            </w:r>
          </w:p>
        </w:tc>
        <w:tc>
          <w:tcPr>
            <w:tcW w:w="0" w:type="auto"/>
            <w:vAlign w:val="bottom"/>
            <w:hideMark/>
          </w:tcPr>
          <w:p w14:paraId="2B7F98A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112.7</w:t>
            </w:r>
          </w:p>
        </w:tc>
        <w:tc>
          <w:tcPr>
            <w:tcW w:w="0" w:type="auto"/>
            <w:vAlign w:val="bottom"/>
            <w:hideMark/>
          </w:tcPr>
          <w:p w14:paraId="5911280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023A303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108.8</w:t>
            </w:r>
          </w:p>
        </w:tc>
        <w:tc>
          <w:tcPr>
            <w:tcW w:w="0" w:type="auto"/>
            <w:vAlign w:val="bottom"/>
            <w:hideMark/>
          </w:tcPr>
          <w:p w14:paraId="0D58C8B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2218A4F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97.8</w:t>
            </w:r>
          </w:p>
        </w:tc>
        <w:tc>
          <w:tcPr>
            <w:tcW w:w="0" w:type="auto"/>
            <w:vAlign w:val="bottom"/>
            <w:hideMark/>
          </w:tcPr>
          <w:p w14:paraId="267D871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8B3BA9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98.1</w:t>
            </w:r>
          </w:p>
        </w:tc>
        <w:tc>
          <w:tcPr>
            <w:tcW w:w="0" w:type="auto"/>
            <w:vAlign w:val="bottom"/>
            <w:hideMark/>
          </w:tcPr>
          <w:p w14:paraId="620A392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D3E6DA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1F0137C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CC6535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64.9</w:t>
            </w:r>
          </w:p>
        </w:tc>
        <w:tc>
          <w:tcPr>
            <w:tcW w:w="0" w:type="auto"/>
            <w:vAlign w:val="bottom"/>
            <w:hideMark/>
          </w:tcPr>
          <w:p w14:paraId="2F772BD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w:t>
            </w:r>
          </w:p>
        </w:tc>
        <w:tc>
          <w:tcPr>
            <w:tcW w:w="0" w:type="auto"/>
            <w:hideMark/>
          </w:tcPr>
          <w:p w14:paraId="09D9695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77C1EB3C" w14:textId="77777777" w:rsidTr="0048396D">
        <w:tc>
          <w:tcPr>
            <w:tcW w:w="0" w:type="auto"/>
            <w:vAlign w:val="bottom"/>
          </w:tcPr>
          <w:p w14:paraId="38FDB569"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8253E8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at the meal</w:t>
            </w:r>
          </w:p>
        </w:tc>
        <w:tc>
          <w:tcPr>
            <w:tcW w:w="0" w:type="auto"/>
            <w:vAlign w:val="bottom"/>
            <w:hideMark/>
          </w:tcPr>
          <w:p w14:paraId="47DDBD61"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122.2</w:t>
            </w:r>
          </w:p>
        </w:tc>
        <w:tc>
          <w:tcPr>
            <w:tcW w:w="0" w:type="auto"/>
            <w:vAlign w:val="bottom"/>
            <w:hideMark/>
          </w:tcPr>
          <w:p w14:paraId="20B70C6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2962AC6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116.6</w:t>
            </w:r>
          </w:p>
        </w:tc>
        <w:tc>
          <w:tcPr>
            <w:tcW w:w="0" w:type="auto"/>
            <w:vAlign w:val="bottom"/>
            <w:hideMark/>
          </w:tcPr>
          <w:p w14:paraId="497D742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6CDD58C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94.6</w:t>
            </w:r>
          </w:p>
        </w:tc>
        <w:tc>
          <w:tcPr>
            <w:tcW w:w="0" w:type="auto"/>
            <w:vAlign w:val="bottom"/>
            <w:hideMark/>
          </w:tcPr>
          <w:p w14:paraId="02A4948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7EE1DF3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95.0</w:t>
            </w:r>
          </w:p>
        </w:tc>
        <w:tc>
          <w:tcPr>
            <w:tcW w:w="0" w:type="auto"/>
            <w:vAlign w:val="bottom"/>
            <w:hideMark/>
          </w:tcPr>
          <w:p w14:paraId="3A3D56B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5E338BB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96.9</w:t>
            </w:r>
          </w:p>
        </w:tc>
        <w:tc>
          <w:tcPr>
            <w:tcW w:w="0" w:type="auto"/>
            <w:vAlign w:val="bottom"/>
            <w:hideMark/>
          </w:tcPr>
          <w:p w14:paraId="7A837C9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14E8A0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54.7</w:t>
            </w:r>
          </w:p>
        </w:tc>
        <w:tc>
          <w:tcPr>
            <w:tcW w:w="0" w:type="auto"/>
            <w:vAlign w:val="bottom"/>
            <w:hideMark/>
          </w:tcPr>
          <w:p w14:paraId="5D12607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w:t>
            </w:r>
          </w:p>
        </w:tc>
        <w:tc>
          <w:tcPr>
            <w:tcW w:w="0" w:type="auto"/>
            <w:hideMark/>
          </w:tcPr>
          <w:p w14:paraId="250CD13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AF08CC8" w14:textId="77777777" w:rsidTr="0048396D">
        <w:tc>
          <w:tcPr>
            <w:tcW w:w="0" w:type="auto"/>
            <w:vAlign w:val="bottom"/>
          </w:tcPr>
          <w:p w14:paraId="656A63F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D89EEA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at working</w:t>
            </w:r>
          </w:p>
        </w:tc>
        <w:tc>
          <w:tcPr>
            <w:tcW w:w="0" w:type="auto"/>
            <w:vAlign w:val="bottom"/>
            <w:hideMark/>
          </w:tcPr>
          <w:p w14:paraId="6F9509B4"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121.1</w:t>
            </w:r>
          </w:p>
        </w:tc>
        <w:tc>
          <w:tcPr>
            <w:tcW w:w="0" w:type="auto"/>
            <w:vAlign w:val="bottom"/>
            <w:hideMark/>
          </w:tcPr>
          <w:p w14:paraId="43A22F7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4003791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115.2</w:t>
            </w:r>
          </w:p>
        </w:tc>
        <w:tc>
          <w:tcPr>
            <w:tcW w:w="0" w:type="auto"/>
            <w:vAlign w:val="bottom"/>
            <w:hideMark/>
          </w:tcPr>
          <w:p w14:paraId="60493C2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7496557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465AF07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9C7942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94.7</w:t>
            </w:r>
          </w:p>
        </w:tc>
        <w:tc>
          <w:tcPr>
            <w:tcW w:w="0" w:type="auto"/>
            <w:vAlign w:val="bottom"/>
            <w:hideMark/>
          </w:tcPr>
          <w:p w14:paraId="688B088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38D3595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94.2</w:t>
            </w:r>
          </w:p>
        </w:tc>
        <w:tc>
          <w:tcPr>
            <w:tcW w:w="0" w:type="auto"/>
            <w:vAlign w:val="bottom"/>
            <w:hideMark/>
          </w:tcPr>
          <w:p w14:paraId="1F175C3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5E38616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62.5</w:t>
            </w:r>
          </w:p>
        </w:tc>
        <w:tc>
          <w:tcPr>
            <w:tcW w:w="0" w:type="auto"/>
            <w:vAlign w:val="bottom"/>
            <w:hideMark/>
          </w:tcPr>
          <w:p w14:paraId="33FD56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w:t>
            </w:r>
          </w:p>
        </w:tc>
        <w:tc>
          <w:tcPr>
            <w:tcW w:w="0" w:type="auto"/>
            <w:hideMark/>
          </w:tcPr>
          <w:p w14:paraId="18E1D68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7EF6017" w14:textId="77777777" w:rsidTr="0048396D">
        <w:tc>
          <w:tcPr>
            <w:tcW w:w="0" w:type="auto"/>
            <w:vAlign w:val="bottom"/>
          </w:tcPr>
          <w:p w14:paraId="695598EA"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3D8350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for daily life SS</w:t>
            </w:r>
          </w:p>
        </w:tc>
        <w:tc>
          <w:tcPr>
            <w:tcW w:w="0" w:type="auto"/>
            <w:vAlign w:val="bottom"/>
            <w:hideMark/>
          </w:tcPr>
          <w:p w14:paraId="68783113"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118.9</w:t>
            </w:r>
          </w:p>
        </w:tc>
        <w:tc>
          <w:tcPr>
            <w:tcW w:w="0" w:type="auto"/>
            <w:vAlign w:val="bottom"/>
            <w:hideMark/>
          </w:tcPr>
          <w:p w14:paraId="65FFA1A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1AEA931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113.6</w:t>
            </w:r>
          </w:p>
        </w:tc>
        <w:tc>
          <w:tcPr>
            <w:tcW w:w="0" w:type="auto"/>
            <w:vAlign w:val="bottom"/>
            <w:hideMark/>
          </w:tcPr>
          <w:p w14:paraId="341A7F8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779B162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96.4</w:t>
            </w:r>
          </w:p>
        </w:tc>
        <w:tc>
          <w:tcPr>
            <w:tcW w:w="0" w:type="auto"/>
            <w:vAlign w:val="bottom"/>
            <w:hideMark/>
          </w:tcPr>
          <w:p w14:paraId="13AE24F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ACD248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95.9</w:t>
            </w:r>
          </w:p>
        </w:tc>
        <w:tc>
          <w:tcPr>
            <w:tcW w:w="0" w:type="auto"/>
            <w:vAlign w:val="bottom"/>
            <w:hideMark/>
          </w:tcPr>
          <w:p w14:paraId="4AFEE7C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00E482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96.1</w:t>
            </w:r>
          </w:p>
        </w:tc>
        <w:tc>
          <w:tcPr>
            <w:tcW w:w="0" w:type="auto"/>
            <w:vAlign w:val="bottom"/>
            <w:hideMark/>
          </w:tcPr>
          <w:p w14:paraId="2EF30D5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D5357D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60.2</w:t>
            </w:r>
          </w:p>
        </w:tc>
        <w:tc>
          <w:tcPr>
            <w:tcW w:w="0" w:type="auto"/>
            <w:vAlign w:val="bottom"/>
            <w:hideMark/>
          </w:tcPr>
          <w:p w14:paraId="415C89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w:t>
            </w:r>
          </w:p>
        </w:tc>
        <w:tc>
          <w:tcPr>
            <w:tcW w:w="0" w:type="auto"/>
            <w:hideMark/>
          </w:tcPr>
          <w:p w14:paraId="1615A88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7E008A90" w14:textId="77777777" w:rsidTr="0048396D">
        <w:tc>
          <w:tcPr>
            <w:tcW w:w="0" w:type="auto"/>
            <w:vAlign w:val="bottom"/>
          </w:tcPr>
          <w:p w14:paraId="154647C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443C1C3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PCS of SF-8</w:t>
            </w:r>
          </w:p>
        </w:tc>
        <w:tc>
          <w:tcPr>
            <w:tcW w:w="0" w:type="auto"/>
            <w:vAlign w:val="bottom"/>
            <w:hideMark/>
          </w:tcPr>
          <w:p w14:paraId="511461E5"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98.3</w:t>
            </w:r>
          </w:p>
        </w:tc>
        <w:tc>
          <w:tcPr>
            <w:tcW w:w="0" w:type="auto"/>
            <w:vAlign w:val="bottom"/>
            <w:hideMark/>
          </w:tcPr>
          <w:p w14:paraId="15FC73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0DC195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98.1</w:t>
            </w:r>
          </w:p>
        </w:tc>
        <w:tc>
          <w:tcPr>
            <w:tcW w:w="0" w:type="auto"/>
            <w:vAlign w:val="bottom"/>
            <w:hideMark/>
          </w:tcPr>
          <w:p w14:paraId="66C3C4D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F6431F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100.6</w:t>
            </w:r>
          </w:p>
        </w:tc>
        <w:tc>
          <w:tcPr>
            <w:tcW w:w="0" w:type="auto"/>
            <w:vAlign w:val="bottom"/>
            <w:hideMark/>
          </w:tcPr>
          <w:p w14:paraId="41DDCF3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563157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100.1</w:t>
            </w:r>
          </w:p>
        </w:tc>
        <w:tc>
          <w:tcPr>
            <w:tcW w:w="0" w:type="auto"/>
            <w:vAlign w:val="bottom"/>
            <w:hideMark/>
          </w:tcPr>
          <w:p w14:paraId="753B880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7DED3C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101.1</w:t>
            </w:r>
          </w:p>
        </w:tc>
        <w:tc>
          <w:tcPr>
            <w:tcW w:w="0" w:type="auto"/>
            <w:vAlign w:val="bottom"/>
            <w:hideMark/>
          </w:tcPr>
          <w:p w14:paraId="0A6E712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9F7971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103.9</w:t>
            </w:r>
          </w:p>
        </w:tc>
        <w:tc>
          <w:tcPr>
            <w:tcW w:w="0" w:type="auto"/>
            <w:vAlign w:val="bottom"/>
            <w:hideMark/>
          </w:tcPr>
          <w:p w14:paraId="3A6B665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hideMark/>
          </w:tcPr>
          <w:p w14:paraId="454187B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691FE96" w14:textId="77777777" w:rsidTr="0048396D">
        <w:tc>
          <w:tcPr>
            <w:tcW w:w="0" w:type="auto"/>
            <w:vAlign w:val="bottom"/>
            <w:hideMark/>
          </w:tcPr>
          <w:p w14:paraId="75D0A5A7" w14:textId="44F6F5E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606FF4D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MCS of SF-8</w:t>
            </w:r>
          </w:p>
        </w:tc>
        <w:tc>
          <w:tcPr>
            <w:tcW w:w="0" w:type="auto"/>
            <w:vAlign w:val="bottom"/>
            <w:hideMark/>
          </w:tcPr>
          <w:p w14:paraId="4211FCE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98.8</w:t>
            </w:r>
          </w:p>
        </w:tc>
        <w:tc>
          <w:tcPr>
            <w:tcW w:w="0" w:type="auto"/>
            <w:vAlign w:val="bottom"/>
            <w:hideMark/>
          </w:tcPr>
          <w:p w14:paraId="4721223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5D2A2CB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98.5</w:t>
            </w:r>
          </w:p>
        </w:tc>
        <w:tc>
          <w:tcPr>
            <w:tcW w:w="0" w:type="auto"/>
            <w:vAlign w:val="bottom"/>
            <w:hideMark/>
          </w:tcPr>
          <w:p w14:paraId="36030E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E44959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100.2</w:t>
            </w:r>
          </w:p>
        </w:tc>
        <w:tc>
          <w:tcPr>
            <w:tcW w:w="0" w:type="auto"/>
            <w:vAlign w:val="bottom"/>
            <w:hideMark/>
          </w:tcPr>
          <w:p w14:paraId="182AA9C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7BF0EE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100.2</w:t>
            </w:r>
          </w:p>
        </w:tc>
        <w:tc>
          <w:tcPr>
            <w:tcW w:w="0" w:type="auto"/>
            <w:vAlign w:val="bottom"/>
            <w:hideMark/>
          </w:tcPr>
          <w:p w14:paraId="37AC94A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2D0B7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100.5</w:t>
            </w:r>
          </w:p>
        </w:tc>
        <w:tc>
          <w:tcPr>
            <w:tcW w:w="0" w:type="auto"/>
            <w:vAlign w:val="bottom"/>
            <w:hideMark/>
          </w:tcPr>
          <w:p w14:paraId="4C16868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733E80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103.6</w:t>
            </w:r>
          </w:p>
        </w:tc>
        <w:tc>
          <w:tcPr>
            <w:tcW w:w="0" w:type="auto"/>
            <w:vAlign w:val="bottom"/>
            <w:hideMark/>
          </w:tcPr>
          <w:p w14:paraId="3D59E9A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hideMark/>
          </w:tcPr>
          <w:p w14:paraId="3D64941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57FFFCC" w14:textId="77777777" w:rsidTr="0048396D">
        <w:tc>
          <w:tcPr>
            <w:tcW w:w="0" w:type="auto"/>
            <w:vAlign w:val="center"/>
          </w:tcPr>
          <w:p w14:paraId="39E09E3A"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922F9D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QOL score (Total point)</w:t>
            </w:r>
          </w:p>
        </w:tc>
        <w:tc>
          <w:tcPr>
            <w:tcW w:w="0" w:type="auto"/>
            <w:vAlign w:val="center"/>
          </w:tcPr>
          <w:p w14:paraId="4DD6FCED"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4BB1F1E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-47</w:t>
            </w:r>
          </w:p>
        </w:tc>
        <w:tc>
          <w:tcPr>
            <w:tcW w:w="0" w:type="auto"/>
            <w:vAlign w:val="bottom"/>
          </w:tcPr>
          <w:p w14:paraId="04992028"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017342B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-26</w:t>
            </w:r>
          </w:p>
        </w:tc>
        <w:tc>
          <w:tcPr>
            <w:tcW w:w="0" w:type="auto"/>
            <w:vAlign w:val="bottom"/>
          </w:tcPr>
          <w:p w14:paraId="3DD382C8"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764D08B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3</w:t>
            </w:r>
          </w:p>
        </w:tc>
        <w:tc>
          <w:tcPr>
            <w:tcW w:w="0" w:type="auto"/>
            <w:vAlign w:val="bottom"/>
          </w:tcPr>
          <w:p w14:paraId="045587BE"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60453D5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5</w:t>
            </w:r>
          </w:p>
        </w:tc>
        <w:tc>
          <w:tcPr>
            <w:tcW w:w="0" w:type="auto"/>
            <w:vAlign w:val="bottom"/>
          </w:tcPr>
          <w:p w14:paraId="5B4F3115"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081AE3D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10</w:t>
            </w:r>
          </w:p>
        </w:tc>
        <w:tc>
          <w:tcPr>
            <w:tcW w:w="0" w:type="auto"/>
            <w:vAlign w:val="bottom"/>
          </w:tcPr>
          <w:p w14:paraId="0AA3C0E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472CBCF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 xml:space="preserve">97 </w:t>
            </w:r>
          </w:p>
        </w:tc>
        <w:tc>
          <w:tcPr>
            <w:tcW w:w="0" w:type="auto"/>
            <w:vAlign w:val="bottom"/>
          </w:tcPr>
          <w:p w14:paraId="1A5AB936"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r>
    </w:tbl>
    <w:p w14:paraId="4FA19FFD" w14:textId="77777777" w:rsidR="007C4E9C" w:rsidRDefault="002A58F6" w:rsidP="00D35DBC">
      <w:pPr>
        <w:adjustRightInd w:val="0"/>
        <w:snapToGrid w:val="0"/>
        <w:spacing w:line="360" w:lineRule="auto"/>
        <w:jc w:val="both"/>
        <w:rPr>
          <w:rFonts w:ascii="Book Antiqua" w:hAnsi="Book Antiqua"/>
          <w:color w:val="000000" w:themeColor="text1"/>
          <w:lang w:eastAsia="zh-CN"/>
        </w:rPr>
      </w:pPr>
      <w:r w:rsidRPr="00D35DBC">
        <w:rPr>
          <w:rFonts w:ascii="Book Antiqua" w:hAnsi="Book Antiqua"/>
          <w:color w:val="000000" w:themeColor="text1"/>
          <w:vertAlign w:val="superscript"/>
        </w:rPr>
        <w:t>a</w:t>
      </w:r>
      <w:r w:rsidRPr="00D35DBC">
        <w:rPr>
          <w:rFonts w:ascii="Book Antiqua" w:hAnsi="Book Antiqua"/>
          <w:i/>
          <w:color w:val="000000" w:themeColor="text1"/>
        </w:rPr>
        <w:t xml:space="preserve">P </w:t>
      </w:r>
      <w:r w:rsidRPr="00D35DBC">
        <w:rPr>
          <w:rFonts w:ascii="Book Antiqua" w:hAnsi="Book Antiqua"/>
          <w:color w:val="000000" w:themeColor="text1"/>
        </w:rPr>
        <w:t>&lt; 0.05</w:t>
      </w:r>
      <w:r w:rsidR="0048396D" w:rsidRPr="00D35DBC">
        <w:rPr>
          <w:rFonts w:ascii="Book Antiqua" w:hAnsi="Book Antiqua"/>
          <w:color w:val="000000" w:themeColor="text1"/>
        </w:rPr>
        <w:t xml:space="preserve"> to the overall mean</w:t>
      </w:r>
      <w:r w:rsidR="007C4E9C">
        <w:rPr>
          <w:rFonts w:ascii="Book Antiqua" w:hAnsi="Book Antiqua"/>
          <w:color w:val="000000" w:themeColor="text1"/>
          <w:lang w:eastAsia="zh-CN"/>
        </w:rPr>
        <w:t>.</w:t>
      </w:r>
    </w:p>
    <w:p w14:paraId="00E06DE4" w14:textId="77777777" w:rsidR="007C4E9C" w:rsidRDefault="002A58F6" w:rsidP="00D35DBC">
      <w:pPr>
        <w:adjustRightInd w:val="0"/>
        <w:snapToGrid w:val="0"/>
        <w:spacing w:line="360" w:lineRule="auto"/>
        <w:jc w:val="both"/>
        <w:rPr>
          <w:rFonts w:ascii="Book Antiqua" w:hAnsi="Book Antiqua"/>
          <w:color w:val="000000" w:themeColor="text1"/>
        </w:rPr>
      </w:pPr>
      <w:r>
        <w:rPr>
          <w:rFonts w:ascii="Book Antiqua" w:hAnsi="Book Antiqua"/>
          <w:color w:val="000000" w:themeColor="text1"/>
          <w:vertAlign w:val="superscript"/>
        </w:rPr>
        <w:t>b</w:t>
      </w:r>
      <w:r w:rsidRPr="00D35DBC">
        <w:rPr>
          <w:rFonts w:ascii="Book Antiqua" w:hAnsi="Book Antiqua"/>
          <w:i/>
          <w:color w:val="000000" w:themeColor="text1"/>
        </w:rPr>
        <w:t xml:space="preserve">P </w:t>
      </w:r>
      <w:r w:rsidRPr="00D35DBC">
        <w:rPr>
          <w:rFonts w:ascii="Book Antiqua" w:hAnsi="Book Antiqua"/>
          <w:color w:val="000000" w:themeColor="text1"/>
        </w:rPr>
        <w:t>&lt; 0.05</w:t>
      </w:r>
      <w:r>
        <w:rPr>
          <w:rFonts w:ascii="Book Antiqua" w:hAnsi="Book Antiqua"/>
          <w:color w:val="000000" w:themeColor="text1"/>
        </w:rPr>
        <w:t xml:space="preserve">, </w:t>
      </w:r>
      <w:r w:rsidR="0048396D" w:rsidRPr="00D35DBC">
        <w:rPr>
          <w:rFonts w:ascii="Book Antiqua" w:hAnsi="Book Antiqua"/>
          <w:color w:val="000000" w:themeColor="text1"/>
        </w:rPr>
        <w:t xml:space="preserve">if the QOL is better more than 5% compared to the overall mean, +1 point is given for every 5%, if the QOL is worse less than 5% compared to the overall mean, -1 point is given for every 5%. </w:t>
      </w:r>
    </w:p>
    <w:p w14:paraId="2539BB11" w14:textId="77777777" w:rsidR="006A56A8" w:rsidRDefault="00C1648E" w:rsidP="00D35DBC">
      <w:pPr>
        <w:adjustRightInd w:val="0"/>
        <w:snapToGrid w:val="0"/>
        <w:spacing w:line="360" w:lineRule="auto"/>
        <w:jc w:val="both"/>
        <w:rPr>
          <w:rFonts w:ascii="Book Antiqua" w:eastAsia="宋体" w:hAnsi="Book Antiqua" w:cs="宋体"/>
          <w:color w:val="000000" w:themeColor="text1"/>
          <w:lang w:eastAsia="zh-CN"/>
        </w:rPr>
        <w:sectPr w:rsidR="006A56A8" w:rsidSect="00C1648E">
          <w:pgSz w:w="15840" w:h="12240" w:orient="landscape"/>
          <w:pgMar w:top="1440" w:right="1440" w:bottom="1440" w:left="1440" w:header="720" w:footer="720" w:gutter="0"/>
          <w:cols w:space="720"/>
          <w:docGrid w:linePitch="360"/>
        </w:sectPr>
      </w:pPr>
      <w:r w:rsidRPr="00D35DBC">
        <w:rPr>
          <w:rFonts w:ascii="Book Antiqua" w:hAnsi="Book Antiqua"/>
          <w:color w:val="000000" w:themeColor="text1"/>
        </w:rPr>
        <w:t>TGRY: Total gastrectomy with Roux-en-Y reconstruction; PG: Proximal gastrectomy; DGRY: Distal gastrectomy with Roux-en-Y reconstruction;</w:t>
      </w:r>
      <w:r w:rsidR="005153C2" w:rsidRPr="00D35DBC">
        <w:rPr>
          <w:rFonts w:ascii="Book Antiqua" w:hAnsi="Book Antiqua"/>
          <w:color w:val="000000" w:themeColor="text1"/>
        </w:rPr>
        <w:t xml:space="preserve"> </w:t>
      </w:r>
      <w:r w:rsidRPr="00D35DBC">
        <w:rPr>
          <w:rFonts w:ascii="Book Antiqua" w:hAnsi="Book Antiqua"/>
          <w:color w:val="000000" w:themeColor="text1"/>
        </w:rPr>
        <w:t xml:space="preserve">DGBI: Distal gastrectomy with Billroth I reconstruction; PPG: Pylorus preserving gastrectomy; LR: </w:t>
      </w:r>
      <w:r w:rsidRPr="00D35DBC">
        <w:rPr>
          <w:rFonts w:ascii="Book Antiqua" w:hAnsi="Book Antiqua"/>
          <w:color w:val="000000" w:themeColor="text1"/>
        </w:rPr>
        <w:lastRenderedPageBreak/>
        <w:t>Local resection of the stomach</w:t>
      </w:r>
      <w:r w:rsidR="009D1D46" w:rsidRPr="00D35DBC">
        <w:rPr>
          <w:rFonts w:ascii="Book Antiqua" w:hAnsi="Book Antiqua"/>
          <w:color w:val="000000" w:themeColor="text1"/>
        </w:rPr>
        <w:t xml:space="preserve">; </w:t>
      </w:r>
      <w:r w:rsidR="009D1D46" w:rsidRPr="00D35DBC">
        <w:rPr>
          <w:rFonts w:ascii="Book Antiqua" w:eastAsia="MS PGothic" w:hAnsi="Book Antiqua"/>
          <w:color w:val="000000" w:themeColor="text1"/>
        </w:rPr>
        <w:t>QOL: Q</w:t>
      </w:r>
      <w:r w:rsidR="009D1D46" w:rsidRPr="00D35DBC">
        <w:rPr>
          <w:rFonts w:ascii="Book Antiqua" w:eastAsia="Book Antiqua" w:hAnsi="Book Antiqua" w:cs="Book Antiqua"/>
          <w:color w:val="000000" w:themeColor="text1"/>
        </w:rPr>
        <w:t>uality of life;</w:t>
      </w:r>
      <w:r w:rsidR="00906510" w:rsidRPr="00D35DBC">
        <w:rPr>
          <w:rFonts w:ascii="Book Antiqua" w:eastAsia="Book Antiqua" w:hAnsi="Book Antiqua" w:cs="Book Antiqua"/>
          <w:color w:val="000000" w:themeColor="text1"/>
        </w:rPr>
        <w:t xml:space="preserve"> SF-8:</w:t>
      </w:r>
      <w:r w:rsidR="009D1D46" w:rsidRPr="00D35DBC">
        <w:rPr>
          <w:rFonts w:ascii="Book Antiqua" w:eastAsia="Book Antiqua" w:hAnsi="Book Antiqua" w:cs="Book Antiqua"/>
          <w:color w:val="000000" w:themeColor="text1"/>
        </w:rPr>
        <w:t xml:space="preserve"> 8-item short-form generic health-related QOL questionnaire</w:t>
      </w:r>
      <w:r w:rsidR="0048396D" w:rsidRPr="00D35DBC">
        <w:rPr>
          <w:rFonts w:ascii="Book Antiqua" w:eastAsia="Book Antiqua" w:hAnsi="Book Antiqua" w:cs="Book Antiqua"/>
          <w:color w:val="000000" w:themeColor="text1"/>
        </w:rPr>
        <w:t>; SS: Subscale</w:t>
      </w:r>
      <w:r w:rsidR="0048396D" w:rsidRPr="00D35DBC">
        <w:rPr>
          <w:rFonts w:ascii="Book Antiqua" w:eastAsia="宋体" w:hAnsi="Book Antiqua" w:cs="宋体"/>
          <w:color w:val="000000" w:themeColor="text1"/>
          <w:lang w:eastAsia="zh-CN"/>
        </w:rPr>
        <w:t>.</w:t>
      </w:r>
    </w:p>
    <w:p w14:paraId="3D1FDD07" w14:textId="77777777" w:rsidR="006A56A8" w:rsidRDefault="006A56A8" w:rsidP="006A56A8">
      <w:pPr>
        <w:jc w:val="center"/>
        <w:rPr>
          <w:rFonts w:ascii="Book Antiqua" w:hAnsi="Book Antiqua"/>
          <w:lang w:eastAsia="zh-CN"/>
        </w:rPr>
      </w:pPr>
    </w:p>
    <w:p w14:paraId="0A6F3D3F" w14:textId="77777777" w:rsidR="006A56A8" w:rsidRDefault="006A56A8" w:rsidP="006A56A8">
      <w:pPr>
        <w:jc w:val="center"/>
        <w:rPr>
          <w:rFonts w:ascii="Book Antiqua" w:hAnsi="Book Antiqua"/>
          <w:lang w:eastAsia="zh-CN"/>
        </w:rPr>
      </w:pPr>
    </w:p>
    <w:p w14:paraId="688D5C59" w14:textId="77777777" w:rsidR="006A56A8" w:rsidRDefault="006A56A8" w:rsidP="006A56A8">
      <w:pPr>
        <w:jc w:val="center"/>
        <w:rPr>
          <w:rFonts w:ascii="Book Antiqua" w:hAnsi="Book Antiqua"/>
          <w:lang w:eastAsia="zh-CN"/>
        </w:rPr>
      </w:pPr>
    </w:p>
    <w:p w14:paraId="121CA098" w14:textId="77777777" w:rsidR="006A56A8" w:rsidRDefault="006A56A8" w:rsidP="006A56A8">
      <w:pPr>
        <w:jc w:val="center"/>
        <w:rPr>
          <w:rFonts w:ascii="Book Antiqua" w:hAnsi="Book Antiqua"/>
          <w:lang w:eastAsia="zh-CN"/>
        </w:rPr>
      </w:pPr>
    </w:p>
    <w:p w14:paraId="6F49AE06" w14:textId="77777777" w:rsidR="006A56A8" w:rsidRDefault="006A56A8" w:rsidP="006A56A8">
      <w:pPr>
        <w:jc w:val="center"/>
        <w:rPr>
          <w:rFonts w:ascii="Book Antiqua" w:hAnsi="Book Antiqua"/>
          <w:lang w:eastAsia="zh-CN"/>
        </w:rPr>
      </w:pPr>
    </w:p>
    <w:p w14:paraId="78A60EF7" w14:textId="00C0F31B" w:rsidR="006A56A8" w:rsidRDefault="006A56A8" w:rsidP="006A56A8">
      <w:pPr>
        <w:jc w:val="center"/>
        <w:rPr>
          <w:rFonts w:ascii="Book Antiqua" w:hAnsi="Book Antiqua"/>
          <w:lang w:eastAsia="zh-CN"/>
        </w:rPr>
      </w:pPr>
      <w:r>
        <w:rPr>
          <w:rFonts w:ascii="Book Antiqua" w:hAnsi="Book Antiqua"/>
          <w:noProof/>
          <w:lang w:eastAsia="zh-CN"/>
        </w:rPr>
        <w:drawing>
          <wp:inline distT="0" distB="0" distL="0" distR="0" wp14:anchorId="19AAB778" wp14:editId="4B9A7D2D">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1599246D" w14:textId="77777777" w:rsidR="006A56A8" w:rsidRDefault="006A56A8" w:rsidP="006A56A8">
      <w:pPr>
        <w:jc w:val="center"/>
        <w:rPr>
          <w:rFonts w:ascii="Book Antiqua" w:hAnsi="Book Antiqua"/>
          <w:lang w:eastAsia="zh-CN"/>
        </w:rPr>
      </w:pPr>
    </w:p>
    <w:p w14:paraId="2F172577" w14:textId="77777777" w:rsidR="006A56A8" w:rsidRDefault="006A56A8" w:rsidP="006A56A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6052517" w14:textId="77777777" w:rsidR="006A56A8" w:rsidRDefault="006A56A8" w:rsidP="006A56A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6CBB8C" w14:textId="77777777" w:rsidR="006A56A8" w:rsidRDefault="006A56A8" w:rsidP="006A56A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63BBAF" w14:textId="77777777" w:rsidR="006A56A8" w:rsidRDefault="006A56A8" w:rsidP="006A56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23E98A" w14:textId="77777777" w:rsidR="006A56A8" w:rsidRDefault="006A56A8" w:rsidP="006A56A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1C3191E" w14:textId="77777777" w:rsidR="006A56A8" w:rsidRDefault="006A56A8" w:rsidP="006A56A8">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4A76067" w14:textId="77777777" w:rsidR="006A56A8" w:rsidRDefault="006A56A8" w:rsidP="006A56A8">
      <w:pPr>
        <w:jc w:val="center"/>
        <w:rPr>
          <w:rFonts w:ascii="Book Antiqua" w:hAnsi="Book Antiqua"/>
          <w:lang w:eastAsia="zh-CN"/>
        </w:rPr>
      </w:pPr>
    </w:p>
    <w:p w14:paraId="442A145A" w14:textId="77777777" w:rsidR="006A56A8" w:rsidRDefault="006A56A8" w:rsidP="006A56A8">
      <w:pPr>
        <w:jc w:val="center"/>
        <w:rPr>
          <w:rFonts w:ascii="Book Antiqua" w:hAnsi="Book Antiqua"/>
          <w:lang w:eastAsia="zh-CN"/>
        </w:rPr>
      </w:pPr>
    </w:p>
    <w:p w14:paraId="1D5B9EBC" w14:textId="77777777" w:rsidR="006A56A8" w:rsidRDefault="006A56A8" w:rsidP="006A56A8">
      <w:pPr>
        <w:jc w:val="center"/>
        <w:rPr>
          <w:rFonts w:ascii="Book Antiqua" w:hAnsi="Book Antiqua"/>
          <w:lang w:eastAsia="zh-CN"/>
        </w:rPr>
      </w:pPr>
    </w:p>
    <w:p w14:paraId="5EE54433" w14:textId="3D0FFA60" w:rsidR="006A56A8" w:rsidRDefault="006A56A8" w:rsidP="006A56A8">
      <w:pPr>
        <w:jc w:val="center"/>
        <w:rPr>
          <w:rFonts w:ascii="Book Antiqua" w:hAnsi="Book Antiqua"/>
          <w:lang w:eastAsia="zh-CN"/>
        </w:rPr>
      </w:pPr>
      <w:r>
        <w:rPr>
          <w:rFonts w:ascii="Book Antiqua" w:hAnsi="Book Antiqua"/>
          <w:noProof/>
          <w:lang w:eastAsia="zh-CN"/>
        </w:rPr>
        <w:drawing>
          <wp:inline distT="0" distB="0" distL="0" distR="0" wp14:anchorId="454D2F64" wp14:editId="76051BFF">
            <wp:extent cx="1446530" cy="1439545"/>
            <wp:effectExtent l="0" t="0" r="127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1C763152" w14:textId="77777777" w:rsidR="006A56A8" w:rsidRDefault="006A56A8" w:rsidP="006A56A8">
      <w:pPr>
        <w:jc w:val="center"/>
        <w:rPr>
          <w:rFonts w:ascii="Book Antiqua" w:hAnsi="Book Antiqua"/>
          <w:lang w:eastAsia="zh-CN"/>
        </w:rPr>
      </w:pPr>
    </w:p>
    <w:p w14:paraId="7D4ED3A1" w14:textId="77777777" w:rsidR="006A56A8" w:rsidRDefault="006A56A8" w:rsidP="006A56A8">
      <w:pPr>
        <w:jc w:val="center"/>
        <w:rPr>
          <w:rFonts w:ascii="Book Antiqua" w:hAnsi="Book Antiqua"/>
          <w:lang w:eastAsia="zh-CN"/>
        </w:rPr>
      </w:pPr>
    </w:p>
    <w:p w14:paraId="5419B435" w14:textId="77777777" w:rsidR="006A56A8" w:rsidRDefault="006A56A8" w:rsidP="006A56A8">
      <w:pPr>
        <w:jc w:val="center"/>
        <w:rPr>
          <w:rFonts w:ascii="Book Antiqua" w:hAnsi="Book Antiqua"/>
          <w:lang w:eastAsia="zh-CN"/>
        </w:rPr>
      </w:pPr>
    </w:p>
    <w:p w14:paraId="792344AB" w14:textId="77777777" w:rsidR="006A56A8" w:rsidRDefault="006A56A8" w:rsidP="006A56A8">
      <w:pPr>
        <w:jc w:val="center"/>
        <w:rPr>
          <w:rFonts w:ascii="Book Antiqua" w:hAnsi="Book Antiqua"/>
          <w:lang w:eastAsia="zh-CN"/>
        </w:rPr>
      </w:pPr>
    </w:p>
    <w:p w14:paraId="590E5825" w14:textId="77777777" w:rsidR="006A56A8" w:rsidRDefault="006A56A8" w:rsidP="006A56A8">
      <w:pPr>
        <w:jc w:val="center"/>
        <w:rPr>
          <w:rFonts w:ascii="Book Antiqua" w:hAnsi="Book Antiqua"/>
          <w:lang w:eastAsia="zh-CN"/>
        </w:rPr>
      </w:pPr>
    </w:p>
    <w:p w14:paraId="16585F62" w14:textId="77777777" w:rsidR="006A56A8" w:rsidRDefault="006A56A8" w:rsidP="006A56A8">
      <w:pPr>
        <w:jc w:val="center"/>
        <w:rPr>
          <w:rFonts w:ascii="Book Antiqua" w:hAnsi="Book Antiqua"/>
          <w:lang w:eastAsia="zh-CN"/>
        </w:rPr>
      </w:pPr>
    </w:p>
    <w:p w14:paraId="574FE135" w14:textId="77777777" w:rsidR="006A56A8" w:rsidRDefault="006A56A8" w:rsidP="006A56A8">
      <w:pPr>
        <w:jc w:val="center"/>
        <w:rPr>
          <w:rFonts w:ascii="Book Antiqua" w:hAnsi="Book Antiqua"/>
          <w:lang w:eastAsia="zh-CN"/>
        </w:rPr>
      </w:pPr>
    </w:p>
    <w:p w14:paraId="2E7F8758" w14:textId="77777777" w:rsidR="006A56A8" w:rsidRDefault="006A56A8" w:rsidP="006A56A8">
      <w:pPr>
        <w:jc w:val="center"/>
        <w:rPr>
          <w:rFonts w:ascii="Book Antiqua" w:hAnsi="Book Antiqua"/>
          <w:lang w:eastAsia="zh-CN"/>
        </w:rPr>
      </w:pPr>
    </w:p>
    <w:p w14:paraId="6D7813AE" w14:textId="77777777" w:rsidR="006A56A8" w:rsidRDefault="006A56A8" w:rsidP="006A56A8">
      <w:pPr>
        <w:jc w:val="center"/>
        <w:rPr>
          <w:rFonts w:ascii="Book Antiqua" w:hAnsi="Book Antiqua"/>
          <w:lang w:eastAsia="zh-CN"/>
        </w:rPr>
      </w:pPr>
    </w:p>
    <w:p w14:paraId="3297FCD0" w14:textId="77777777" w:rsidR="006A56A8" w:rsidRDefault="006A56A8" w:rsidP="006A56A8">
      <w:pPr>
        <w:jc w:val="right"/>
        <w:rPr>
          <w:rFonts w:ascii="Book Antiqua" w:hAnsi="Book Antiqua"/>
          <w:color w:val="000000" w:themeColor="text1"/>
          <w:lang w:eastAsia="zh-CN"/>
        </w:rPr>
      </w:pPr>
    </w:p>
    <w:p w14:paraId="0BCA821F" w14:textId="77777777" w:rsidR="006A56A8" w:rsidRDefault="006A56A8" w:rsidP="006A56A8">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10974E8" w14:textId="7CA3712D" w:rsidR="00A77B3E" w:rsidRPr="00D35DBC" w:rsidRDefault="00A77B3E" w:rsidP="00D35DBC">
      <w:pPr>
        <w:adjustRightInd w:val="0"/>
        <w:snapToGrid w:val="0"/>
        <w:spacing w:line="360" w:lineRule="auto"/>
        <w:jc w:val="both"/>
        <w:rPr>
          <w:rFonts w:ascii="Book Antiqua" w:hAnsi="Book Antiqua"/>
          <w:color w:val="000000" w:themeColor="text1"/>
        </w:rPr>
      </w:pPr>
    </w:p>
    <w:sectPr w:rsidR="00A77B3E" w:rsidRPr="00D35DBC" w:rsidSect="006A56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897E" w14:textId="77777777" w:rsidR="009B1A3B" w:rsidRDefault="009B1A3B" w:rsidP="00FD12EA">
      <w:r>
        <w:separator/>
      </w:r>
    </w:p>
  </w:endnote>
  <w:endnote w:type="continuationSeparator" w:id="0">
    <w:p w14:paraId="142BFFF8" w14:textId="77777777" w:rsidR="009B1A3B" w:rsidRDefault="009B1A3B" w:rsidP="00FD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886226"/>
      <w:docPartObj>
        <w:docPartGallery w:val="Page Numbers (Bottom of Page)"/>
        <w:docPartUnique/>
      </w:docPartObj>
    </w:sdtPr>
    <w:sdtEndPr/>
    <w:sdtContent>
      <w:sdt>
        <w:sdtPr>
          <w:id w:val="-1705238520"/>
          <w:docPartObj>
            <w:docPartGallery w:val="Page Numbers (Top of Page)"/>
            <w:docPartUnique/>
          </w:docPartObj>
        </w:sdtPr>
        <w:sdtEndPr/>
        <w:sdtContent>
          <w:p w14:paraId="40726E38" w14:textId="4138B34C" w:rsidR="00741F83" w:rsidRDefault="00741F83" w:rsidP="00D35DBC">
            <w:pPr>
              <w:pStyle w:val="a5"/>
              <w:jc w:val="right"/>
            </w:pPr>
            <w:r w:rsidRPr="00D35DBC">
              <w:rPr>
                <w:rFonts w:ascii="Book Antiqua" w:hAnsi="Book Antiqua"/>
                <w:sz w:val="24"/>
                <w:szCs w:val="24"/>
                <w:lang w:val="zh-CN" w:eastAsia="zh-CN"/>
              </w:rPr>
              <w:t xml:space="preserve"> </w:t>
            </w:r>
            <w:r w:rsidRPr="00D35DBC">
              <w:rPr>
                <w:rFonts w:ascii="Book Antiqua" w:hAnsi="Book Antiqua"/>
                <w:b/>
                <w:bCs/>
                <w:sz w:val="24"/>
                <w:szCs w:val="24"/>
              </w:rPr>
              <w:fldChar w:fldCharType="begin"/>
            </w:r>
            <w:r w:rsidRPr="00D35DBC">
              <w:rPr>
                <w:rFonts w:ascii="Book Antiqua" w:hAnsi="Book Antiqua"/>
                <w:b/>
                <w:bCs/>
                <w:sz w:val="24"/>
                <w:szCs w:val="24"/>
              </w:rPr>
              <w:instrText>PAGE</w:instrText>
            </w:r>
            <w:r w:rsidRPr="00D35DBC">
              <w:rPr>
                <w:rFonts w:ascii="Book Antiqua" w:hAnsi="Book Antiqua"/>
                <w:b/>
                <w:bCs/>
                <w:sz w:val="24"/>
                <w:szCs w:val="24"/>
              </w:rPr>
              <w:fldChar w:fldCharType="separate"/>
            </w:r>
            <w:r w:rsidRPr="00D35DBC">
              <w:rPr>
                <w:rFonts w:ascii="Book Antiqua" w:hAnsi="Book Antiqua"/>
                <w:b/>
                <w:bCs/>
                <w:sz w:val="24"/>
                <w:szCs w:val="24"/>
                <w:lang w:val="zh-CN" w:eastAsia="zh-CN"/>
              </w:rPr>
              <w:t>2</w:t>
            </w:r>
            <w:r w:rsidRPr="00D35DBC">
              <w:rPr>
                <w:rFonts w:ascii="Book Antiqua" w:hAnsi="Book Antiqua"/>
                <w:b/>
                <w:bCs/>
                <w:sz w:val="24"/>
                <w:szCs w:val="24"/>
              </w:rPr>
              <w:fldChar w:fldCharType="end"/>
            </w:r>
            <w:r w:rsidRPr="00D35DBC">
              <w:rPr>
                <w:rFonts w:ascii="Book Antiqua" w:hAnsi="Book Antiqua"/>
                <w:sz w:val="24"/>
                <w:szCs w:val="24"/>
                <w:lang w:val="zh-CN" w:eastAsia="zh-CN"/>
              </w:rPr>
              <w:t xml:space="preserve"> / </w:t>
            </w:r>
            <w:r w:rsidRPr="00D35DBC">
              <w:rPr>
                <w:rFonts w:ascii="Book Antiqua" w:hAnsi="Book Antiqua"/>
                <w:b/>
                <w:bCs/>
                <w:sz w:val="24"/>
                <w:szCs w:val="24"/>
              </w:rPr>
              <w:fldChar w:fldCharType="begin"/>
            </w:r>
            <w:r w:rsidRPr="00D35DBC">
              <w:rPr>
                <w:rFonts w:ascii="Book Antiqua" w:hAnsi="Book Antiqua"/>
                <w:b/>
                <w:bCs/>
                <w:sz w:val="24"/>
                <w:szCs w:val="24"/>
              </w:rPr>
              <w:instrText>NUMPAGES</w:instrText>
            </w:r>
            <w:r w:rsidRPr="00D35DBC">
              <w:rPr>
                <w:rFonts w:ascii="Book Antiqua" w:hAnsi="Book Antiqua"/>
                <w:b/>
                <w:bCs/>
                <w:sz w:val="24"/>
                <w:szCs w:val="24"/>
              </w:rPr>
              <w:fldChar w:fldCharType="separate"/>
            </w:r>
            <w:r w:rsidRPr="00D35DBC">
              <w:rPr>
                <w:rFonts w:ascii="Book Antiqua" w:hAnsi="Book Antiqua"/>
                <w:b/>
                <w:bCs/>
                <w:sz w:val="24"/>
                <w:szCs w:val="24"/>
                <w:lang w:val="zh-CN" w:eastAsia="zh-CN"/>
              </w:rPr>
              <w:t>2</w:t>
            </w:r>
            <w:r w:rsidRPr="00D35DBC">
              <w:rPr>
                <w:rFonts w:ascii="Book Antiqua" w:hAnsi="Book Antiqua"/>
                <w:b/>
                <w:bCs/>
                <w:sz w:val="24"/>
                <w:szCs w:val="24"/>
              </w:rPr>
              <w:fldChar w:fldCharType="end"/>
            </w:r>
          </w:p>
        </w:sdtContent>
      </w:sdt>
    </w:sdtContent>
  </w:sdt>
  <w:p w14:paraId="40931ADF" w14:textId="77777777" w:rsidR="00741F83" w:rsidRDefault="00741F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3AF2" w14:textId="77777777" w:rsidR="009B1A3B" w:rsidRDefault="009B1A3B" w:rsidP="00FD12EA">
      <w:r>
        <w:separator/>
      </w:r>
    </w:p>
  </w:footnote>
  <w:footnote w:type="continuationSeparator" w:id="0">
    <w:p w14:paraId="3DB73BC8" w14:textId="77777777" w:rsidR="009B1A3B" w:rsidRDefault="009B1A3B" w:rsidP="00FD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1A0B"/>
    <w:multiLevelType w:val="hybridMultilevel"/>
    <w:tmpl w:val="70ACF7CE"/>
    <w:lvl w:ilvl="0" w:tplc="9CE48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6CE"/>
    <w:rsid w:val="00073F0E"/>
    <w:rsid w:val="000A4626"/>
    <w:rsid w:val="000E6795"/>
    <w:rsid w:val="00116A31"/>
    <w:rsid w:val="001D5F4D"/>
    <w:rsid w:val="001E6C4D"/>
    <w:rsid w:val="00202558"/>
    <w:rsid w:val="00203838"/>
    <w:rsid w:val="002625E8"/>
    <w:rsid w:val="002A58F6"/>
    <w:rsid w:val="002D6905"/>
    <w:rsid w:val="0030294A"/>
    <w:rsid w:val="003050EC"/>
    <w:rsid w:val="003214DB"/>
    <w:rsid w:val="00324D08"/>
    <w:rsid w:val="003506FB"/>
    <w:rsid w:val="003F1C3A"/>
    <w:rsid w:val="003F71C7"/>
    <w:rsid w:val="0048396D"/>
    <w:rsid w:val="00486DC7"/>
    <w:rsid w:val="00495F7D"/>
    <w:rsid w:val="004A5143"/>
    <w:rsid w:val="004D6B7A"/>
    <w:rsid w:val="005153C2"/>
    <w:rsid w:val="0052531C"/>
    <w:rsid w:val="00581C8A"/>
    <w:rsid w:val="005B3215"/>
    <w:rsid w:val="005C1412"/>
    <w:rsid w:val="00664381"/>
    <w:rsid w:val="006A56A8"/>
    <w:rsid w:val="00707434"/>
    <w:rsid w:val="00741F83"/>
    <w:rsid w:val="007C4E9C"/>
    <w:rsid w:val="007E610D"/>
    <w:rsid w:val="007E69FF"/>
    <w:rsid w:val="00807792"/>
    <w:rsid w:val="008565EB"/>
    <w:rsid w:val="008845C7"/>
    <w:rsid w:val="008D0BA6"/>
    <w:rsid w:val="009034C4"/>
    <w:rsid w:val="00906510"/>
    <w:rsid w:val="0098598D"/>
    <w:rsid w:val="00991A49"/>
    <w:rsid w:val="009B1A3B"/>
    <w:rsid w:val="009B27C1"/>
    <w:rsid w:val="009D1D46"/>
    <w:rsid w:val="009F14E7"/>
    <w:rsid w:val="00A33F44"/>
    <w:rsid w:val="00A37194"/>
    <w:rsid w:val="00A77B3E"/>
    <w:rsid w:val="00AD35B3"/>
    <w:rsid w:val="00AD43E4"/>
    <w:rsid w:val="00B05C02"/>
    <w:rsid w:val="00B63B5A"/>
    <w:rsid w:val="00BC012B"/>
    <w:rsid w:val="00BE00A6"/>
    <w:rsid w:val="00C1648E"/>
    <w:rsid w:val="00CA2A55"/>
    <w:rsid w:val="00D008DF"/>
    <w:rsid w:val="00D207CC"/>
    <w:rsid w:val="00D35DBC"/>
    <w:rsid w:val="00D458ED"/>
    <w:rsid w:val="00D81678"/>
    <w:rsid w:val="00DB52C4"/>
    <w:rsid w:val="00DB7D9C"/>
    <w:rsid w:val="00DF06E8"/>
    <w:rsid w:val="00E070FD"/>
    <w:rsid w:val="00E3008F"/>
    <w:rsid w:val="00E46C4B"/>
    <w:rsid w:val="00E549F5"/>
    <w:rsid w:val="00ED09AA"/>
    <w:rsid w:val="00ED3144"/>
    <w:rsid w:val="00EE599C"/>
    <w:rsid w:val="00EF7DC9"/>
    <w:rsid w:val="00F1102C"/>
    <w:rsid w:val="00F24082"/>
    <w:rsid w:val="00FD12EA"/>
    <w:rsid w:val="00FD2C78"/>
    <w:rsid w:val="00FD5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60479"/>
  <w15:docId w15:val="{26817445-687C-4095-A45E-FB776138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2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12EA"/>
    <w:rPr>
      <w:sz w:val="18"/>
      <w:szCs w:val="18"/>
    </w:rPr>
  </w:style>
  <w:style w:type="paragraph" w:styleId="a5">
    <w:name w:val="footer"/>
    <w:basedOn w:val="a"/>
    <w:link w:val="a6"/>
    <w:uiPriority w:val="99"/>
    <w:unhideWhenUsed/>
    <w:rsid w:val="00FD12EA"/>
    <w:pPr>
      <w:tabs>
        <w:tab w:val="center" w:pos="4153"/>
        <w:tab w:val="right" w:pos="8306"/>
      </w:tabs>
      <w:snapToGrid w:val="0"/>
    </w:pPr>
    <w:rPr>
      <w:sz w:val="18"/>
      <w:szCs w:val="18"/>
    </w:rPr>
  </w:style>
  <w:style w:type="character" w:customStyle="1" w:styleId="a6">
    <w:name w:val="页脚 字符"/>
    <w:basedOn w:val="a0"/>
    <w:link w:val="a5"/>
    <w:uiPriority w:val="99"/>
    <w:rsid w:val="00FD12EA"/>
    <w:rPr>
      <w:sz w:val="18"/>
      <w:szCs w:val="18"/>
    </w:rPr>
  </w:style>
  <w:style w:type="character" w:styleId="a7">
    <w:name w:val="annotation reference"/>
    <w:basedOn w:val="a0"/>
    <w:semiHidden/>
    <w:unhideWhenUsed/>
    <w:rsid w:val="000E6795"/>
    <w:rPr>
      <w:sz w:val="21"/>
      <w:szCs w:val="21"/>
    </w:rPr>
  </w:style>
  <w:style w:type="paragraph" w:styleId="a8">
    <w:name w:val="annotation text"/>
    <w:basedOn w:val="a"/>
    <w:link w:val="a9"/>
    <w:semiHidden/>
    <w:unhideWhenUsed/>
    <w:rsid w:val="000E6795"/>
  </w:style>
  <w:style w:type="character" w:customStyle="1" w:styleId="a9">
    <w:name w:val="批注文字 字符"/>
    <w:basedOn w:val="a0"/>
    <w:link w:val="a8"/>
    <w:semiHidden/>
    <w:rsid w:val="000E6795"/>
    <w:rPr>
      <w:sz w:val="24"/>
      <w:szCs w:val="24"/>
    </w:rPr>
  </w:style>
  <w:style w:type="paragraph" w:styleId="aa">
    <w:name w:val="annotation subject"/>
    <w:basedOn w:val="a8"/>
    <w:next w:val="a8"/>
    <w:link w:val="ab"/>
    <w:semiHidden/>
    <w:unhideWhenUsed/>
    <w:rsid w:val="000E6795"/>
    <w:rPr>
      <w:b/>
      <w:bCs/>
    </w:rPr>
  </w:style>
  <w:style w:type="character" w:customStyle="1" w:styleId="ab">
    <w:name w:val="批注主题 字符"/>
    <w:basedOn w:val="a9"/>
    <w:link w:val="aa"/>
    <w:semiHidden/>
    <w:rsid w:val="000E6795"/>
    <w:rPr>
      <w:b/>
      <w:bCs/>
      <w:sz w:val="24"/>
      <w:szCs w:val="24"/>
    </w:rPr>
  </w:style>
  <w:style w:type="paragraph" w:styleId="ac">
    <w:name w:val="Plain Text"/>
    <w:basedOn w:val="a"/>
    <w:link w:val="ad"/>
    <w:uiPriority w:val="99"/>
    <w:unhideWhenUsed/>
    <w:rsid w:val="004D6B7A"/>
    <w:pPr>
      <w:widowControl w:val="0"/>
      <w:jc w:val="both"/>
    </w:pPr>
    <w:rPr>
      <w:rFonts w:ascii="宋体" w:eastAsia="宋体" w:hAnsi="Courier New"/>
      <w:sz w:val="20"/>
      <w:szCs w:val="20"/>
      <w:lang w:eastAsia="zh-CN"/>
    </w:rPr>
  </w:style>
  <w:style w:type="character" w:customStyle="1" w:styleId="ad">
    <w:name w:val="纯文本 字符"/>
    <w:basedOn w:val="a0"/>
    <w:link w:val="ac"/>
    <w:uiPriority w:val="99"/>
    <w:rsid w:val="004D6B7A"/>
    <w:rPr>
      <w:rFonts w:ascii="宋体" w:eastAsia="宋体" w:hAnsi="Courier New"/>
      <w:lang w:eastAsia="zh-CN"/>
    </w:rPr>
  </w:style>
  <w:style w:type="paragraph" w:styleId="ae">
    <w:name w:val="Balloon Text"/>
    <w:basedOn w:val="a"/>
    <w:link w:val="af"/>
    <w:rsid w:val="00DF06E8"/>
    <w:rPr>
      <w:rFonts w:asciiTheme="majorHAnsi" w:eastAsiaTheme="majorEastAsia" w:hAnsiTheme="majorHAnsi" w:cstheme="majorBidi"/>
      <w:sz w:val="18"/>
      <w:szCs w:val="18"/>
    </w:rPr>
  </w:style>
  <w:style w:type="character" w:customStyle="1" w:styleId="af">
    <w:name w:val="批注框文本 字符"/>
    <w:basedOn w:val="a0"/>
    <w:link w:val="ae"/>
    <w:rsid w:val="00DF0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4400">
      <w:bodyDiv w:val="1"/>
      <w:marLeft w:val="0"/>
      <w:marRight w:val="0"/>
      <w:marTop w:val="0"/>
      <w:marBottom w:val="0"/>
      <w:divBdr>
        <w:top w:val="none" w:sz="0" w:space="0" w:color="auto"/>
        <w:left w:val="none" w:sz="0" w:space="0" w:color="auto"/>
        <w:bottom w:val="none" w:sz="0" w:space="0" w:color="auto"/>
        <w:right w:val="none" w:sz="0" w:space="0" w:color="auto"/>
      </w:divBdr>
    </w:div>
    <w:div w:id="472020253">
      <w:bodyDiv w:val="1"/>
      <w:marLeft w:val="0"/>
      <w:marRight w:val="0"/>
      <w:marTop w:val="0"/>
      <w:marBottom w:val="0"/>
      <w:divBdr>
        <w:top w:val="none" w:sz="0" w:space="0" w:color="auto"/>
        <w:left w:val="none" w:sz="0" w:space="0" w:color="auto"/>
        <w:bottom w:val="none" w:sz="0" w:space="0" w:color="auto"/>
        <w:right w:val="none" w:sz="0" w:space="0" w:color="auto"/>
      </w:divBdr>
    </w:div>
    <w:div w:id="492186947">
      <w:bodyDiv w:val="1"/>
      <w:marLeft w:val="0"/>
      <w:marRight w:val="0"/>
      <w:marTop w:val="0"/>
      <w:marBottom w:val="0"/>
      <w:divBdr>
        <w:top w:val="none" w:sz="0" w:space="0" w:color="auto"/>
        <w:left w:val="none" w:sz="0" w:space="0" w:color="auto"/>
        <w:bottom w:val="none" w:sz="0" w:space="0" w:color="auto"/>
        <w:right w:val="none" w:sz="0" w:space="0" w:color="auto"/>
      </w:divBdr>
    </w:div>
    <w:div w:id="652686942">
      <w:bodyDiv w:val="1"/>
      <w:marLeft w:val="0"/>
      <w:marRight w:val="0"/>
      <w:marTop w:val="0"/>
      <w:marBottom w:val="0"/>
      <w:divBdr>
        <w:top w:val="none" w:sz="0" w:space="0" w:color="auto"/>
        <w:left w:val="none" w:sz="0" w:space="0" w:color="auto"/>
        <w:bottom w:val="none" w:sz="0" w:space="0" w:color="auto"/>
        <w:right w:val="none" w:sz="0" w:space="0" w:color="auto"/>
      </w:divBdr>
    </w:div>
    <w:div w:id="678309930">
      <w:bodyDiv w:val="1"/>
      <w:marLeft w:val="0"/>
      <w:marRight w:val="0"/>
      <w:marTop w:val="0"/>
      <w:marBottom w:val="0"/>
      <w:divBdr>
        <w:top w:val="none" w:sz="0" w:space="0" w:color="auto"/>
        <w:left w:val="none" w:sz="0" w:space="0" w:color="auto"/>
        <w:bottom w:val="none" w:sz="0" w:space="0" w:color="auto"/>
        <w:right w:val="none" w:sz="0" w:space="0" w:color="auto"/>
      </w:divBdr>
    </w:div>
    <w:div w:id="1101561346">
      <w:bodyDiv w:val="1"/>
      <w:marLeft w:val="0"/>
      <w:marRight w:val="0"/>
      <w:marTop w:val="0"/>
      <w:marBottom w:val="0"/>
      <w:divBdr>
        <w:top w:val="none" w:sz="0" w:space="0" w:color="auto"/>
        <w:left w:val="none" w:sz="0" w:space="0" w:color="auto"/>
        <w:bottom w:val="none" w:sz="0" w:space="0" w:color="auto"/>
        <w:right w:val="none" w:sz="0" w:space="0" w:color="auto"/>
      </w:divBdr>
    </w:div>
    <w:div w:id="1105540886">
      <w:bodyDiv w:val="1"/>
      <w:marLeft w:val="0"/>
      <w:marRight w:val="0"/>
      <w:marTop w:val="0"/>
      <w:marBottom w:val="0"/>
      <w:divBdr>
        <w:top w:val="none" w:sz="0" w:space="0" w:color="auto"/>
        <w:left w:val="none" w:sz="0" w:space="0" w:color="auto"/>
        <w:bottom w:val="none" w:sz="0" w:space="0" w:color="auto"/>
        <w:right w:val="none" w:sz="0" w:space="0" w:color="auto"/>
      </w:divBdr>
    </w:div>
    <w:div w:id="1180855660">
      <w:bodyDiv w:val="1"/>
      <w:marLeft w:val="0"/>
      <w:marRight w:val="0"/>
      <w:marTop w:val="0"/>
      <w:marBottom w:val="0"/>
      <w:divBdr>
        <w:top w:val="none" w:sz="0" w:space="0" w:color="auto"/>
        <w:left w:val="none" w:sz="0" w:space="0" w:color="auto"/>
        <w:bottom w:val="none" w:sz="0" w:space="0" w:color="auto"/>
        <w:right w:val="none" w:sz="0" w:space="0" w:color="auto"/>
      </w:divBdr>
    </w:div>
    <w:div w:id="1282228587">
      <w:bodyDiv w:val="1"/>
      <w:marLeft w:val="0"/>
      <w:marRight w:val="0"/>
      <w:marTop w:val="0"/>
      <w:marBottom w:val="0"/>
      <w:divBdr>
        <w:top w:val="none" w:sz="0" w:space="0" w:color="auto"/>
        <w:left w:val="none" w:sz="0" w:space="0" w:color="auto"/>
        <w:bottom w:val="none" w:sz="0" w:space="0" w:color="auto"/>
        <w:right w:val="none" w:sz="0" w:space="0" w:color="auto"/>
      </w:divBdr>
    </w:div>
    <w:div w:id="1354069405">
      <w:bodyDiv w:val="1"/>
      <w:marLeft w:val="0"/>
      <w:marRight w:val="0"/>
      <w:marTop w:val="0"/>
      <w:marBottom w:val="0"/>
      <w:divBdr>
        <w:top w:val="none" w:sz="0" w:space="0" w:color="auto"/>
        <w:left w:val="none" w:sz="0" w:space="0" w:color="auto"/>
        <w:bottom w:val="none" w:sz="0" w:space="0" w:color="auto"/>
        <w:right w:val="none" w:sz="0" w:space="0" w:color="auto"/>
      </w:divBdr>
    </w:div>
    <w:div w:id="1395467236">
      <w:bodyDiv w:val="1"/>
      <w:marLeft w:val="0"/>
      <w:marRight w:val="0"/>
      <w:marTop w:val="0"/>
      <w:marBottom w:val="0"/>
      <w:divBdr>
        <w:top w:val="none" w:sz="0" w:space="0" w:color="auto"/>
        <w:left w:val="none" w:sz="0" w:space="0" w:color="auto"/>
        <w:bottom w:val="none" w:sz="0" w:space="0" w:color="auto"/>
        <w:right w:val="none" w:sz="0" w:space="0" w:color="auto"/>
      </w:divBdr>
    </w:div>
    <w:div w:id="1906142784">
      <w:bodyDiv w:val="1"/>
      <w:marLeft w:val="0"/>
      <w:marRight w:val="0"/>
      <w:marTop w:val="0"/>
      <w:marBottom w:val="0"/>
      <w:divBdr>
        <w:top w:val="none" w:sz="0" w:space="0" w:color="auto"/>
        <w:left w:val="none" w:sz="0" w:space="0" w:color="auto"/>
        <w:bottom w:val="none" w:sz="0" w:space="0" w:color="auto"/>
        <w:right w:val="none" w:sz="0" w:space="0" w:color="auto"/>
      </w:divBdr>
    </w:div>
    <w:div w:id="1937444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23B7-DC0C-415C-B0E5-BAD21D81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42</Pages>
  <Words>8278</Words>
  <Characters>47189</Characters>
  <Application>Microsoft Office Word</Application>
  <DocSecurity>0</DocSecurity>
  <Lines>393</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中田浩二</dc:creator>
  <cp:lastModifiedBy>Li Jia-Hui</cp:lastModifiedBy>
  <cp:revision>36</cp:revision>
  <dcterms:created xsi:type="dcterms:W3CDTF">2021-04-20T11:25:00Z</dcterms:created>
  <dcterms:modified xsi:type="dcterms:W3CDTF">2021-05-20T01:52:00Z</dcterms:modified>
</cp:coreProperties>
</file>