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B98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Name of Journal: </w:t>
      </w:r>
      <w:r w:rsidRPr="001A4AA9">
        <w:rPr>
          <w:rFonts w:ascii="Book Antiqua" w:eastAsia="Book Antiqua" w:hAnsi="Book Antiqua" w:cs="Book Antiqua"/>
          <w:i/>
          <w:color w:val="000000"/>
        </w:rPr>
        <w:t>World Journal of Gastroenterology</w:t>
      </w:r>
    </w:p>
    <w:p w14:paraId="2C9164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NO: </w:t>
      </w:r>
      <w:r w:rsidRPr="001A4AA9">
        <w:rPr>
          <w:rFonts w:ascii="Book Antiqua" w:eastAsia="Book Antiqua" w:hAnsi="Book Antiqua" w:cs="Book Antiqua"/>
          <w:color w:val="000000"/>
        </w:rPr>
        <w:t>62984</w:t>
      </w:r>
    </w:p>
    <w:p w14:paraId="60CB86B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Type: </w:t>
      </w:r>
      <w:r w:rsidRPr="001A4AA9">
        <w:rPr>
          <w:rFonts w:ascii="Book Antiqua" w:eastAsia="Book Antiqua" w:hAnsi="Book Antiqua" w:cs="Book Antiqua"/>
          <w:color w:val="000000"/>
        </w:rPr>
        <w:t>MINIREVIEWS</w:t>
      </w:r>
    </w:p>
    <w:p w14:paraId="7AFCAA64" w14:textId="77777777" w:rsidR="004C489D" w:rsidRPr="001A4AA9" w:rsidRDefault="004C489D" w:rsidP="001A4AA9">
      <w:pPr>
        <w:spacing w:line="360" w:lineRule="auto"/>
        <w:jc w:val="both"/>
        <w:rPr>
          <w:rFonts w:ascii="Book Antiqua" w:hAnsi="Book Antiqua"/>
        </w:rPr>
      </w:pPr>
    </w:p>
    <w:p w14:paraId="4A21C53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Direct antiviral agents in hepatitis C virus related liver disease: Don’t count the chickens before they’re hatched</w:t>
      </w:r>
    </w:p>
    <w:p w14:paraId="0C970D92" w14:textId="77777777" w:rsidR="004C489D" w:rsidRPr="001A4AA9" w:rsidRDefault="004C489D" w:rsidP="001A4AA9">
      <w:pPr>
        <w:spacing w:line="360" w:lineRule="auto"/>
        <w:jc w:val="both"/>
        <w:rPr>
          <w:rFonts w:ascii="Book Antiqua" w:hAnsi="Book Antiqua"/>
        </w:rPr>
      </w:pPr>
    </w:p>
    <w:p w14:paraId="19F05DE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Compagnoni S </w:t>
      </w:r>
      <w:r w:rsidRPr="001A4AA9">
        <w:rPr>
          <w:rFonts w:ascii="Book Antiqua" w:eastAsia="Book Antiqua" w:hAnsi="Book Antiqua" w:cs="Book Antiqua"/>
          <w:i/>
          <w:iCs/>
          <w:color w:val="000000"/>
        </w:rPr>
        <w:t>et al</w:t>
      </w:r>
      <w:r w:rsidRPr="001A4AA9">
        <w:rPr>
          <w:rFonts w:ascii="Book Antiqua" w:eastAsia="Book Antiqua" w:hAnsi="Book Antiqua" w:cs="Book Antiqua"/>
          <w:color w:val="000000"/>
        </w:rPr>
        <w:t>. Pitfalls of direct antivirals for HCV</w:t>
      </w:r>
    </w:p>
    <w:p w14:paraId="3550164E" w14:textId="77777777" w:rsidR="004C489D" w:rsidRPr="001A4AA9" w:rsidRDefault="004C489D" w:rsidP="001A4AA9">
      <w:pPr>
        <w:spacing w:line="360" w:lineRule="auto"/>
        <w:jc w:val="both"/>
        <w:rPr>
          <w:rFonts w:ascii="Book Antiqua" w:hAnsi="Book Antiqua"/>
        </w:rPr>
      </w:pPr>
    </w:p>
    <w:p w14:paraId="5C74739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Stella Compagnoni, Erica Maria Bruno, Giorgio Madonia, Marco Cannizzaro, Salvatore Madonia</w:t>
      </w:r>
    </w:p>
    <w:p w14:paraId="7A827B95" w14:textId="77777777" w:rsidR="004C489D" w:rsidRPr="001A4AA9" w:rsidRDefault="004C489D" w:rsidP="001A4AA9">
      <w:pPr>
        <w:spacing w:line="360" w:lineRule="auto"/>
        <w:jc w:val="both"/>
        <w:rPr>
          <w:rFonts w:ascii="Book Antiqua" w:hAnsi="Book Antiqua"/>
        </w:rPr>
      </w:pPr>
    </w:p>
    <w:p w14:paraId="7ACBF14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Stella Compagnoni, Erica Maria Bruno, </w:t>
      </w:r>
      <w:r w:rsidRPr="001A4AA9">
        <w:rPr>
          <w:rFonts w:ascii="Book Antiqua" w:eastAsia="Book Antiqua" w:hAnsi="Book Antiqua" w:cs="Book Antiqua"/>
          <w:color w:val="000000"/>
        </w:rPr>
        <w:t>Department of Internal Medicine, V. Cervello Hospital, University of Palermo, Palermo 90146, Italy</w:t>
      </w:r>
    </w:p>
    <w:p w14:paraId="7CF3E4DD" w14:textId="77777777" w:rsidR="004C489D" w:rsidRPr="001A4AA9" w:rsidRDefault="004C489D" w:rsidP="001A4AA9">
      <w:pPr>
        <w:spacing w:line="360" w:lineRule="auto"/>
        <w:jc w:val="both"/>
        <w:rPr>
          <w:rFonts w:ascii="Book Antiqua" w:hAnsi="Book Antiqua"/>
        </w:rPr>
      </w:pPr>
    </w:p>
    <w:p w14:paraId="339FFBC8" w14:textId="327BBCA0"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Giorgio Madonia, </w:t>
      </w:r>
      <w:r w:rsidRPr="001A4AA9">
        <w:rPr>
          <w:rFonts w:ascii="Book Antiqua" w:eastAsia="Book Antiqua" w:hAnsi="Book Antiqua" w:cs="Book Antiqua"/>
          <w:color w:val="000000"/>
        </w:rPr>
        <w:t>Department of Surgical, Oncological and Oral Sciences, Section of Medical Oncology, Univers</w:t>
      </w:r>
      <w:r w:rsidR="00783B3F">
        <w:rPr>
          <w:rFonts w:ascii="Book Antiqua" w:eastAsia="Book Antiqua" w:hAnsi="Book Antiqua" w:cs="Book Antiqua"/>
          <w:color w:val="000000"/>
        </w:rPr>
        <w:t>i</w:t>
      </w:r>
      <w:r w:rsidRPr="001A4AA9">
        <w:rPr>
          <w:rFonts w:ascii="Book Antiqua" w:eastAsia="Book Antiqua" w:hAnsi="Book Antiqua" w:cs="Book Antiqua"/>
          <w:color w:val="000000"/>
        </w:rPr>
        <w:t>ty of Palermo, Palermo 90127, Italy</w:t>
      </w:r>
    </w:p>
    <w:p w14:paraId="1B8AE720" w14:textId="77777777" w:rsidR="004C489D" w:rsidRPr="001A4AA9" w:rsidRDefault="004C489D" w:rsidP="001A4AA9">
      <w:pPr>
        <w:spacing w:line="360" w:lineRule="auto"/>
        <w:jc w:val="both"/>
        <w:rPr>
          <w:rFonts w:ascii="Book Antiqua" w:hAnsi="Book Antiqua"/>
        </w:rPr>
      </w:pPr>
    </w:p>
    <w:p w14:paraId="3AD1645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Marco Cannizzaro, </w:t>
      </w:r>
      <w:r w:rsidRPr="001A4AA9">
        <w:rPr>
          <w:rFonts w:ascii="Book Antiqua" w:eastAsia="Book Antiqua" w:hAnsi="Book Antiqua" w:cs="Book Antiqua"/>
          <w:color w:val="000000"/>
        </w:rPr>
        <w:t>Department of Emergency Medicine, A. Ajello Hospital, Trapani 91026, Italy</w:t>
      </w:r>
    </w:p>
    <w:p w14:paraId="0E02E314" w14:textId="77777777" w:rsidR="004C489D" w:rsidRPr="001A4AA9" w:rsidRDefault="004C489D" w:rsidP="001A4AA9">
      <w:pPr>
        <w:spacing w:line="360" w:lineRule="auto"/>
        <w:jc w:val="both"/>
        <w:rPr>
          <w:rFonts w:ascii="Book Antiqua" w:hAnsi="Book Antiqua"/>
        </w:rPr>
      </w:pPr>
    </w:p>
    <w:p w14:paraId="1FCE33B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Salvatore Madonia, </w:t>
      </w:r>
      <w:r w:rsidRPr="001A4AA9">
        <w:rPr>
          <w:rFonts w:ascii="Book Antiqua" w:eastAsia="Book Antiqua" w:hAnsi="Book Antiqua" w:cs="Book Antiqua"/>
          <w:color w:val="000000"/>
        </w:rPr>
        <w:t>Department of Internal Medicine, V. Cervello Hospital, Palermo 90146, Italy</w:t>
      </w:r>
    </w:p>
    <w:p w14:paraId="44A27E7F" w14:textId="77777777" w:rsidR="004C489D" w:rsidRPr="001A4AA9" w:rsidRDefault="004C489D" w:rsidP="001A4AA9">
      <w:pPr>
        <w:spacing w:line="360" w:lineRule="auto"/>
        <w:jc w:val="both"/>
        <w:rPr>
          <w:rFonts w:ascii="Book Antiqua" w:hAnsi="Book Antiqua"/>
        </w:rPr>
      </w:pPr>
    </w:p>
    <w:p w14:paraId="28DB9C83" w14:textId="5FA8315A"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Author contributions: </w:t>
      </w:r>
      <w:r w:rsidRPr="001A4AA9">
        <w:rPr>
          <w:rFonts w:ascii="Book Antiqua" w:eastAsia="Book Antiqua" w:hAnsi="Book Antiqua" w:cs="Book Antiqua"/>
          <w:color w:val="000000"/>
        </w:rPr>
        <w:t xml:space="preserve">Compagnoni S and Bruno EM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relevant concomitant disease; Madonia G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hepatocellular carcinoma; Cannizzaro M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concomitant hepatitis B virus infection; Madonia S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o the section on advanced liver disease and coordinated the writing of the paper; All the authors have read and approved the final manuscript.</w:t>
      </w:r>
    </w:p>
    <w:p w14:paraId="0C102748" w14:textId="77777777" w:rsidR="004C489D" w:rsidRPr="001A4AA9" w:rsidRDefault="004C489D" w:rsidP="001A4AA9">
      <w:pPr>
        <w:spacing w:line="360" w:lineRule="auto"/>
        <w:jc w:val="both"/>
        <w:rPr>
          <w:rFonts w:ascii="Book Antiqua" w:hAnsi="Book Antiqua"/>
        </w:rPr>
      </w:pPr>
    </w:p>
    <w:p w14:paraId="62BFB8E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Corresponding author: Salvatore Madonia, MD, Doctor, </w:t>
      </w:r>
      <w:r w:rsidRPr="001A4AA9">
        <w:rPr>
          <w:rFonts w:ascii="Book Antiqua" w:eastAsia="Book Antiqua" w:hAnsi="Book Antiqua" w:cs="Book Antiqua"/>
          <w:color w:val="000000"/>
        </w:rPr>
        <w:t>Department of Internal Medicine, V. Cervello Hospital, Via Trabucco n 180, Palermo 90146, Italy. salvomadonia.sm@gmail.com</w:t>
      </w:r>
    </w:p>
    <w:p w14:paraId="7024E475" w14:textId="77777777" w:rsidR="004C489D" w:rsidRPr="001A4AA9" w:rsidRDefault="004C489D" w:rsidP="001A4AA9">
      <w:pPr>
        <w:spacing w:line="360" w:lineRule="auto"/>
        <w:jc w:val="both"/>
        <w:rPr>
          <w:rFonts w:ascii="Book Antiqua" w:hAnsi="Book Antiqua"/>
        </w:rPr>
      </w:pPr>
    </w:p>
    <w:p w14:paraId="525D505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Received: </w:t>
      </w:r>
      <w:r w:rsidRPr="001A4AA9">
        <w:rPr>
          <w:rFonts w:ascii="Book Antiqua" w:eastAsia="Book Antiqua" w:hAnsi="Book Antiqua" w:cs="Book Antiqua"/>
          <w:color w:val="000000"/>
        </w:rPr>
        <w:t>January 22, 2021</w:t>
      </w:r>
    </w:p>
    <w:p w14:paraId="60E012E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Revised: </w:t>
      </w:r>
      <w:r w:rsidRPr="001A4AA9">
        <w:rPr>
          <w:rFonts w:ascii="Book Antiqua" w:eastAsia="Book Antiqua" w:hAnsi="Book Antiqua" w:cs="Book Antiqua"/>
          <w:color w:val="000000"/>
        </w:rPr>
        <w:t>March 26, 2021</w:t>
      </w:r>
    </w:p>
    <w:p w14:paraId="0F4277C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Accepted: </w:t>
      </w:r>
      <w:r w:rsidR="0028373F" w:rsidRPr="001A4AA9">
        <w:rPr>
          <w:rFonts w:ascii="Book Antiqua" w:eastAsia="Book Antiqua" w:hAnsi="Book Antiqua" w:cs="Book Antiqua"/>
          <w:bCs/>
          <w:color w:val="000000"/>
        </w:rPr>
        <w:t>April 28, 2021</w:t>
      </w:r>
    </w:p>
    <w:p w14:paraId="03F9957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Published online: </w:t>
      </w:r>
    </w:p>
    <w:p w14:paraId="18E7A1FE" w14:textId="77777777" w:rsidR="004C489D" w:rsidRPr="001A4AA9" w:rsidRDefault="004C489D" w:rsidP="001A4AA9">
      <w:pPr>
        <w:spacing w:line="360" w:lineRule="auto"/>
        <w:jc w:val="both"/>
        <w:rPr>
          <w:rFonts w:ascii="Book Antiqua" w:hAnsi="Book Antiqua"/>
        </w:rPr>
        <w:sectPr w:rsidR="004C489D" w:rsidRPr="001A4AA9">
          <w:footerReference w:type="default" r:id="rId7"/>
          <w:pgSz w:w="12240" w:h="15840"/>
          <w:pgMar w:top="1440" w:right="1440" w:bottom="1440" w:left="1440" w:header="720" w:footer="720" w:gutter="0"/>
          <w:cols w:space="720"/>
          <w:docGrid w:linePitch="360"/>
        </w:sectPr>
      </w:pPr>
    </w:p>
    <w:p w14:paraId="093E43C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lastRenderedPageBreak/>
        <w:t>Abstract</w:t>
      </w:r>
    </w:p>
    <w:p w14:paraId="34B9D240" w14:textId="494F6620"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Since molecules with direct</w:t>
      </w:r>
      <w:r w:rsidR="00A55E90">
        <w:rPr>
          <w:rFonts w:ascii="Book Antiqua" w:eastAsia="Book Antiqua" w:hAnsi="Book Antiqua" w:cs="Book Antiqua"/>
          <w:color w:val="000000"/>
        </w:rPr>
        <w:t>-acting</w:t>
      </w:r>
      <w:r w:rsidRPr="001A4AA9">
        <w:rPr>
          <w:rFonts w:ascii="Book Antiqua" w:eastAsia="Book Antiqua" w:hAnsi="Book Antiqua" w:cs="Book Antiqua"/>
          <w:color w:val="000000"/>
        </w:rPr>
        <w:t xml:space="preserve"> antiviral (DAA) became available, the landscape of the treatment of hepatitis C virus (HCV) infection has completely changed. The new drugs are extremely effective in eradicating infection</w:t>
      </w:r>
      <w:r w:rsidR="00247671">
        <w:rPr>
          <w:rFonts w:ascii="Book Antiqua" w:eastAsia="Book Antiqua" w:hAnsi="Book Antiqua" w:cs="Book Antiqua"/>
          <w:color w:val="000000"/>
        </w:rPr>
        <w:t>,</w:t>
      </w:r>
      <w:r w:rsidRPr="001A4AA9">
        <w:rPr>
          <w:rFonts w:ascii="Book Antiqua" w:eastAsia="Book Antiqua" w:hAnsi="Book Antiqua" w:cs="Book Antiqua"/>
          <w:color w:val="000000"/>
        </w:rPr>
        <w:t xml:space="preserve"> and treatment is very well tolerated with a duration of 8-12 wk. This review aims to report the outstanding clinical benefits of DAA and to highlight their critical disadvantages, identifying some clinically relevant hot topics. First, do the rates of virological response remain as high when patients with more advanced cirrhosis are considered? Large studies have shown slightly lower but still satisfactory rates of response in these patients. Nevertheless, modified schedules with an extended treatment duration and use of ribavirin may be necessary. Second, does the treatment of HCV infection affect the risk of occurrence and recurrence of liver cancer? Incidence is reduced after viral eradication but remains high enough to warrant periodic surveillance for an early diagnosis. In contrast, the risk of recurrence seems to be unaffected by viral clearance; however, DAA treatment improves survival because of the reduced risk of progression of liver disease. Third, can HCV treatment also have favorable effects on major comorbidities? HCV eradication is associated with a reduced incidence of diabetes, an improvement in glycemic control and a decreased risk of cardiovascular events; nevertheless, a risk of hypoglycemia during DAA treatment has been reported. Finally, is it safe to treat patients with HCV/ hepatitis B virus (HBV) coinfection? In this setting, HCV is usually the main driver of viral activity, while HBV replication is suppressed.</w:t>
      </w:r>
      <w:r w:rsidR="00247671">
        <w:rPr>
          <w:rFonts w:ascii="Book Antiqua" w:eastAsia="Book Antiqua" w:hAnsi="Book Antiqua" w:cs="Book Antiqua"/>
          <w:color w:val="000000"/>
        </w:rPr>
        <w:t xml:space="preserve"> Because</w:t>
      </w:r>
      <w:r w:rsidRPr="001A4AA9">
        <w:rPr>
          <w:rFonts w:ascii="Book Antiqua" w:eastAsia="Book Antiqua" w:hAnsi="Book Antiqua" w:cs="Book Antiqua"/>
          <w:color w:val="000000"/>
        </w:rPr>
        <w:t xml:space="preserve"> various studies have described HBV reactivation after HCV clearance, a baseline evaluation for HBV coinfection and a specific follow-up is mandatory. </w:t>
      </w:r>
    </w:p>
    <w:p w14:paraId="57C3AF40" w14:textId="77777777" w:rsidR="004C489D" w:rsidRPr="001A4AA9" w:rsidRDefault="004C489D" w:rsidP="001A4AA9">
      <w:pPr>
        <w:spacing w:line="360" w:lineRule="auto"/>
        <w:jc w:val="both"/>
        <w:rPr>
          <w:rFonts w:ascii="Book Antiqua" w:hAnsi="Book Antiqua"/>
        </w:rPr>
      </w:pPr>
    </w:p>
    <w:p w14:paraId="09270777" w14:textId="060DA681"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Key Words: </w:t>
      </w:r>
      <w:bookmarkStart w:id="0" w:name="OLE_LINK1"/>
      <w:bookmarkStart w:id="1" w:name="OLE_LINK2"/>
      <w:r w:rsidRPr="001A4AA9">
        <w:rPr>
          <w:rFonts w:ascii="Book Antiqua" w:eastAsia="Book Antiqua" w:hAnsi="Book Antiqua" w:cs="Book Antiqua"/>
          <w:color w:val="000000"/>
        </w:rPr>
        <w:t>Hepatitis C virus; Direct antiviral activity; Advanced cirrhosis; Liver cancer; Diabe</w:t>
      </w:r>
      <w:r w:rsidR="007D7702" w:rsidRPr="001A4AA9">
        <w:rPr>
          <w:rFonts w:ascii="Book Antiqua" w:eastAsia="Book Antiqua" w:hAnsi="Book Antiqua" w:cs="Book Antiqua"/>
          <w:color w:val="000000"/>
        </w:rPr>
        <w:t>tes mellitus; Hepatitis C virus/</w:t>
      </w:r>
      <w:r w:rsidR="00247671">
        <w:rPr>
          <w:rFonts w:ascii="Book Antiqua" w:eastAsia="Book Antiqua" w:hAnsi="Book Antiqua" w:cs="Book Antiqua"/>
          <w:color w:val="000000"/>
        </w:rPr>
        <w:t>h</w:t>
      </w:r>
      <w:r w:rsidRPr="001A4AA9">
        <w:rPr>
          <w:rFonts w:ascii="Book Antiqua" w:eastAsia="Book Antiqua" w:hAnsi="Book Antiqua" w:cs="Book Antiqua"/>
          <w:color w:val="000000"/>
        </w:rPr>
        <w:t>epatitis B virus coinfection.</w:t>
      </w:r>
      <w:bookmarkEnd w:id="0"/>
      <w:bookmarkEnd w:id="1"/>
    </w:p>
    <w:p w14:paraId="39561235" w14:textId="77777777" w:rsidR="004C489D" w:rsidRPr="001A4AA9" w:rsidRDefault="004C489D" w:rsidP="001A4AA9">
      <w:pPr>
        <w:spacing w:line="360" w:lineRule="auto"/>
        <w:jc w:val="both"/>
        <w:rPr>
          <w:rFonts w:ascii="Book Antiqua" w:hAnsi="Book Antiqua"/>
        </w:rPr>
      </w:pPr>
    </w:p>
    <w:p w14:paraId="36055B0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Compagnoni S, Bruno EM, Madonia G, Cannizzaro M, Madonia S. Direct antiviral agents in hepatitis C virus related liver disease: Don’t count the chickens before they’re hatched. </w:t>
      </w:r>
      <w:r w:rsidRPr="001A4AA9">
        <w:rPr>
          <w:rFonts w:ascii="Book Antiqua" w:eastAsia="Book Antiqua" w:hAnsi="Book Antiqua" w:cs="Book Antiqua"/>
          <w:i/>
          <w:iCs/>
          <w:color w:val="000000"/>
        </w:rPr>
        <w:t>World J Gastroenterol</w:t>
      </w:r>
      <w:r w:rsidRPr="001A4AA9">
        <w:rPr>
          <w:rFonts w:ascii="Book Antiqua" w:eastAsia="Book Antiqua" w:hAnsi="Book Antiqua" w:cs="Book Antiqua"/>
          <w:color w:val="000000"/>
        </w:rPr>
        <w:t xml:space="preserve"> 2021; In press</w:t>
      </w:r>
    </w:p>
    <w:p w14:paraId="0681612D" w14:textId="77777777" w:rsidR="004C489D" w:rsidRPr="001A4AA9" w:rsidRDefault="004C489D" w:rsidP="001A4AA9">
      <w:pPr>
        <w:spacing w:line="360" w:lineRule="auto"/>
        <w:jc w:val="both"/>
        <w:rPr>
          <w:rFonts w:ascii="Book Antiqua" w:hAnsi="Book Antiqua"/>
        </w:rPr>
      </w:pPr>
    </w:p>
    <w:p w14:paraId="2C79C215" w14:textId="462EF017" w:rsidR="00A55E90" w:rsidRDefault="001B343C" w:rsidP="001A4AA9">
      <w:pPr>
        <w:spacing w:line="360" w:lineRule="auto"/>
        <w:jc w:val="both"/>
        <w:rPr>
          <w:rFonts w:ascii="Book Antiqua" w:eastAsia="Book Antiqua" w:hAnsi="Book Antiqua" w:cs="Book Antiqua"/>
          <w:color w:val="000000"/>
        </w:rPr>
      </w:pPr>
      <w:r w:rsidRPr="001A4AA9">
        <w:rPr>
          <w:rFonts w:ascii="Book Antiqua" w:eastAsia="Book Antiqua" w:hAnsi="Book Antiqua" w:cs="Book Antiqua"/>
          <w:b/>
          <w:bCs/>
          <w:color w:val="000000"/>
        </w:rPr>
        <w:t xml:space="preserve">Core Tip: </w:t>
      </w:r>
      <w:r w:rsidRPr="001A4AA9">
        <w:rPr>
          <w:rFonts w:ascii="Book Antiqua" w:eastAsia="Book Antiqua" w:hAnsi="Book Antiqua" w:cs="Book Antiqua"/>
          <w:color w:val="000000"/>
        </w:rPr>
        <w:t>The treatment of hepatitis C virus (HCV) infection has changed since direct</w:t>
      </w:r>
      <w:r w:rsidR="00A55E90">
        <w:rPr>
          <w:rFonts w:ascii="Book Antiqua" w:eastAsia="Book Antiqua" w:hAnsi="Book Antiqua" w:cs="Book Antiqua"/>
          <w:color w:val="000000"/>
        </w:rPr>
        <w:t>-acting</w:t>
      </w:r>
      <w:r w:rsidRPr="001A4AA9">
        <w:rPr>
          <w:rFonts w:ascii="Book Antiqua" w:eastAsia="Book Antiqua" w:hAnsi="Book Antiqua" w:cs="Book Antiqua"/>
          <w:color w:val="000000"/>
        </w:rPr>
        <w:t xml:space="preserve"> antiviral</w:t>
      </w:r>
      <w:r w:rsidR="00A55E90">
        <w:rPr>
          <w:rFonts w:ascii="Book Antiqua" w:eastAsia="Book Antiqua" w:hAnsi="Book Antiqua" w:cs="Book Antiqua"/>
          <w:color w:val="000000"/>
        </w:rPr>
        <w:t>s</w:t>
      </w:r>
      <w:r w:rsidRPr="001A4AA9">
        <w:rPr>
          <w:rFonts w:ascii="Book Antiqua" w:eastAsia="Book Antiqua" w:hAnsi="Book Antiqua" w:cs="Book Antiqua"/>
          <w:color w:val="000000"/>
        </w:rPr>
        <w:t xml:space="preserve"> (DAAs) became available. DAA use has been extended to patients with advanced cirrhosis and severe comorbidities. Consequently, this review addresses the following questions: What benefits can be expected from eradicating HCV in patients who already have advanced liver disease? Are DAAs associated with an appreciable benefit in liver cancer? Can HCV treatment have favorable effects on the major concomitant disorders such as diabetes or cardiovascular disease? Is there any cause for concern when using DAAs in HCV patients with a concomitant </w:t>
      </w:r>
      <w:r w:rsidR="00A55E90">
        <w:rPr>
          <w:rFonts w:ascii="Book Antiqua" w:eastAsia="Book Antiqua" w:hAnsi="Book Antiqua" w:cs="Book Antiqua"/>
          <w:color w:val="000000"/>
        </w:rPr>
        <w:t>hepatitis B virus</w:t>
      </w:r>
      <w:r w:rsidRPr="001A4AA9">
        <w:rPr>
          <w:rFonts w:ascii="Book Antiqua" w:eastAsia="Book Antiqua" w:hAnsi="Book Antiqua" w:cs="Book Antiqua"/>
          <w:color w:val="000000"/>
        </w:rPr>
        <w:t xml:space="preserve"> infection?</w:t>
      </w:r>
    </w:p>
    <w:p w14:paraId="5A8DE571" w14:textId="2CF93FD9" w:rsidR="004C489D" w:rsidRPr="001A4AA9" w:rsidRDefault="00A55E90" w:rsidP="001A4AA9">
      <w:pPr>
        <w:spacing w:line="360" w:lineRule="auto"/>
        <w:jc w:val="both"/>
        <w:rPr>
          <w:rFonts w:ascii="Book Antiqua" w:hAnsi="Book Antiqua"/>
        </w:rPr>
      </w:pPr>
      <w:r>
        <w:rPr>
          <w:rFonts w:ascii="Book Antiqua" w:eastAsia="Book Antiqua" w:hAnsi="Book Antiqua" w:cs="Book Antiqua"/>
          <w:color w:val="000000"/>
        </w:rPr>
        <w:br w:type="page"/>
      </w:r>
      <w:r w:rsidR="001B343C" w:rsidRPr="001A4AA9">
        <w:rPr>
          <w:rFonts w:ascii="Book Antiqua" w:eastAsia="Book Antiqua" w:hAnsi="Book Antiqua" w:cs="Book Antiqua"/>
          <w:b/>
          <w:caps/>
          <w:color w:val="000000"/>
          <w:u w:val="single"/>
        </w:rPr>
        <w:lastRenderedPageBreak/>
        <w:t>INTRODUCTION</w:t>
      </w:r>
    </w:p>
    <w:p w14:paraId="10A801D6" w14:textId="45C31382"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Hepatitis C virus (HCV) infection is a major cause of chronic liver disease, with more than 70 million people infected all over the world</w:t>
      </w:r>
      <w:r w:rsidRPr="001A4AA9">
        <w:rPr>
          <w:rFonts w:ascii="Book Antiqua" w:eastAsia="Book Antiqua" w:hAnsi="Book Antiqua" w:cs="Book Antiqua"/>
          <w:color w:val="000000"/>
          <w:vertAlign w:val="superscript"/>
        </w:rPr>
        <w:t>[1]</w:t>
      </w:r>
      <w:r w:rsidRPr="001A4AA9">
        <w:rPr>
          <w:rFonts w:ascii="Book Antiqua" w:eastAsia="Book Antiqua" w:hAnsi="Book Antiqua" w:cs="Book Antiqua"/>
          <w:color w:val="000000"/>
        </w:rPr>
        <w:t>. HCV is responsible for</w:t>
      </w:r>
      <w:r w:rsidR="00A55E90">
        <w:rPr>
          <w:rFonts w:ascii="Book Antiqua" w:eastAsia="Book Antiqua" w:hAnsi="Book Antiqua" w:cs="Book Antiqua"/>
          <w:color w:val="000000"/>
        </w:rPr>
        <w:t xml:space="preserve"> many cases</w:t>
      </w:r>
      <w:r w:rsidRPr="001A4AA9">
        <w:rPr>
          <w:rFonts w:ascii="Book Antiqua" w:eastAsia="Book Antiqua" w:hAnsi="Book Antiqua" w:cs="Book Antiqua"/>
          <w:color w:val="000000"/>
        </w:rPr>
        <w:t xml:space="preserve"> of hepatitis, liver cirrhosis, liver cancer (hepatocellular carcinoma, HCC), transplantation (orthotopic liver transplantation, OLT) and liver-related deaths. Initially, all the available treatments were interferon (IFN)-based</w:t>
      </w:r>
      <w:r w:rsidR="00A55E90">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A55E90">
        <w:rPr>
          <w:rFonts w:ascii="Book Antiqua" w:eastAsia="Book Antiqua" w:hAnsi="Book Antiqua" w:cs="Book Antiqua"/>
          <w:color w:val="000000"/>
        </w:rPr>
        <w:t>However, t</w:t>
      </w:r>
      <w:r w:rsidRPr="001A4AA9">
        <w:rPr>
          <w:rFonts w:ascii="Book Antiqua" w:eastAsia="Book Antiqua" w:hAnsi="Book Antiqua" w:cs="Book Antiqua"/>
          <w:color w:val="000000"/>
        </w:rPr>
        <w:t>hey were unsatisfactory mainly because the rates of viral response were between 30% and 50%</w:t>
      </w:r>
      <w:r w:rsidR="00A55E90">
        <w:rPr>
          <w:rFonts w:ascii="Book Antiqua" w:eastAsia="Book Antiqua" w:hAnsi="Book Antiqua" w:cs="Book Antiqua"/>
          <w:color w:val="000000"/>
        </w:rPr>
        <w:t>,</w:t>
      </w:r>
      <w:r w:rsidRPr="001A4AA9">
        <w:rPr>
          <w:rFonts w:ascii="Book Antiqua" w:eastAsia="Book Antiqua" w:hAnsi="Book Antiqua" w:cs="Book Antiqua"/>
          <w:color w:val="000000"/>
        </w:rPr>
        <w:t xml:space="preserve"> and their efficacy was strongly dependent on viral genotype and the degree of liver fibrosis. Furthermore, IFN-based treatments had a long duration of 24-48 wk and marked adverse effects limited their use in patients with advanced liver disease and major comorbidities.</w:t>
      </w:r>
    </w:p>
    <w:p w14:paraId="185B23CB" w14:textId="1E5C0D0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More recently, IFN-free treatments with direct-acting antiviral </w:t>
      </w:r>
      <w:r w:rsidR="009C4BD2" w:rsidRPr="001A4AA9">
        <w:rPr>
          <w:rFonts w:ascii="Book Antiqua" w:eastAsia="Book Antiqua" w:hAnsi="Book Antiqua" w:cs="Book Antiqua"/>
          <w:color w:val="000000"/>
        </w:rPr>
        <w:t xml:space="preserve">(DAAs) </w:t>
      </w:r>
      <w:r w:rsidRPr="001A4AA9">
        <w:rPr>
          <w:rFonts w:ascii="Book Antiqua" w:eastAsia="Book Antiqua" w:hAnsi="Book Antiqua" w:cs="Book Antiqua"/>
          <w:color w:val="000000"/>
        </w:rPr>
        <w:t>drugs were registered. Their availability has substantially changed the HCV-infection setting. Indeed, DAAs are able to obtain rates of sustained virological response (SVR) higher than 95%, independently of virus genotype or degree of liver damage. They have short duration schedules of 8 wk to 12 wk and are extremely well tolerated</w:t>
      </w:r>
      <w:r w:rsidRPr="001A4AA9">
        <w:rPr>
          <w:rFonts w:ascii="Book Antiqua" w:eastAsia="Book Antiqua" w:hAnsi="Book Antiqua" w:cs="Book Antiqua"/>
          <w:color w:val="000000"/>
          <w:vertAlign w:val="superscript"/>
        </w:rPr>
        <w:t>[2-4].</w:t>
      </w:r>
      <w:r w:rsidRPr="001A4AA9">
        <w:rPr>
          <w:rFonts w:ascii="Book Antiqua" w:eastAsia="Book Antiqua" w:hAnsi="Book Antiqua" w:cs="Book Antiqua"/>
          <w:color w:val="000000"/>
        </w:rPr>
        <w:t xml:space="preserve"> More recently, the advent of pangenotypic DAAs has further extended and simplified their use</w:t>
      </w:r>
      <w:r w:rsidRPr="001A4AA9">
        <w:rPr>
          <w:rFonts w:ascii="Book Antiqua" w:eastAsia="Book Antiqua" w:hAnsi="Book Antiqua" w:cs="Book Antiqua"/>
          <w:color w:val="000000"/>
          <w:vertAlign w:val="superscript"/>
        </w:rPr>
        <w:t>[2,5]</w:t>
      </w:r>
      <w:r w:rsidRPr="001A4AA9">
        <w:rPr>
          <w:rFonts w:ascii="Book Antiqua" w:eastAsia="Book Antiqua" w:hAnsi="Book Antiqua" w:cs="Book Antiqua"/>
          <w:color w:val="000000"/>
        </w:rPr>
        <w:t xml:space="preserve">. </w:t>
      </w:r>
    </w:p>
    <w:p w14:paraId="7B78ED4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The effects of viral clearance in patients with chronic hepatitis are well known. SVR is generally associated with a biochemical response (normalization of liver enzymes), improvement of liver necroinflammation and reduction in fibrosis progression or regression of fibrosis</w:t>
      </w:r>
      <w:r w:rsidRPr="001A4AA9">
        <w:rPr>
          <w:rFonts w:ascii="Book Antiqua" w:eastAsia="Book Antiqua" w:hAnsi="Book Antiqua" w:cs="Book Antiqua"/>
          <w:color w:val="000000"/>
          <w:vertAlign w:val="superscript"/>
        </w:rPr>
        <w:t>[6,7]</w:t>
      </w:r>
      <w:r w:rsidRPr="001A4AA9">
        <w:rPr>
          <w:rFonts w:ascii="Book Antiqua" w:eastAsia="Book Antiqua" w:hAnsi="Book Antiqua" w:cs="Book Antiqua"/>
          <w:color w:val="000000"/>
        </w:rPr>
        <w:t>.</w:t>
      </w:r>
    </w:p>
    <w:p w14:paraId="6934728B" w14:textId="0D8A733B"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Due to their efficacy in advanced fibrosis and high tolerability, DAA use has been extended to patients with advanced and even decompensated cirrhosis and patients with severe comorbidities, raising new questions</w:t>
      </w:r>
      <w:r w:rsidR="009C4BD2">
        <w:rPr>
          <w:rFonts w:ascii="Book Antiqua" w:eastAsia="Book Antiqua" w:hAnsi="Book Antiqua" w:cs="Book Antiqua"/>
          <w:color w:val="000000"/>
        </w:rPr>
        <w:t>.</w:t>
      </w:r>
      <w:r w:rsidRPr="001A4AA9">
        <w:rPr>
          <w:rFonts w:ascii="Book Antiqua" w:hAnsi="Book Antiqua"/>
          <w:lang w:eastAsia="zh-CN"/>
        </w:rPr>
        <w:t xml:space="preserve"> W</w:t>
      </w:r>
      <w:r w:rsidRPr="001A4AA9">
        <w:rPr>
          <w:rFonts w:ascii="Book Antiqua" w:eastAsia="Book Antiqua" w:hAnsi="Book Antiqua" w:cs="Book Antiqua"/>
          <w:color w:val="000000"/>
        </w:rPr>
        <w:t>hat benefits can be expected from eradicating HCV in patients who already have advanced liver disease?</w:t>
      </w:r>
      <w:r w:rsidRPr="001A4AA9">
        <w:rPr>
          <w:rFonts w:ascii="Book Antiqua" w:hAnsi="Book Antiqua"/>
          <w:lang w:eastAsia="zh-CN"/>
        </w:rPr>
        <w:t xml:space="preserve"> Is </w:t>
      </w:r>
      <w:r w:rsidRPr="001A4AA9">
        <w:rPr>
          <w:rFonts w:ascii="Book Antiqua" w:eastAsia="Book Antiqua" w:hAnsi="Book Antiqua" w:cs="Book Antiqua"/>
          <w:color w:val="000000"/>
        </w:rPr>
        <w:t xml:space="preserve">DAA-induced SVR associated with an appreciable benefit in liver cancer? </w:t>
      </w:r>
      <w:r w:rsidRPr="001A4AA9">
        <w:rPr>
          <w:rFonts w:ascii="Book Antiqua" w:hAnsi="Book Antiqua"/>
          <w:lang w:eastAsia="zh-CN"/>
        </w:rPr>
        <w:t>C</w:t>
      </w:r>
      <w:r w:rsidRPr="001A4AA9">
        <w:rPr>
          <w:rFonts w:ascii="Book Antiqua" w:eastAsia="Book Antiqua" w:hAnsi="Book Antiqua" w:cs="Book Antiqua"/>
          <w:color w:val="000000"/>
        </w:rPr>
        <w:t xml:space="preserve">an HCV treatment have favorable effects on major concomitant disorders such as diabetes or cardiovascular disease? </w:t>
      </w:r>
      <w:r w:rsidRPr="001A4AA9">
        <w:rPr>
          <w:rFonts w:ascii="Book Antiqua" w:hAnsi="Book Antiqua"/>
          <w:lang w:eastAsia="zh-CN"/>
        </w:rPr>
        <w:t>I</w:t>
      </w:r>
      <w:r w:rsidRPr="001A4AA9">
        <w:rPr>
          <w:rFonts w:ascii="Book Antiqua" w:eastAsia="Book Antiqua" w:hAnsi="Book Antiqua" w:cs="Book Antiqua"/>
          <w:color w:val="000000"/>
        </w:rPr>
        <w:t>s there any cause for concern when using DAAs in HCV patients with a concomitant hepatitis B virus (HBV) infection?</w:t>
      </w:r>
    </w:p>
    <w:p w14:paraId="1C1B3B1B" w14:textId="77777777" w:rsidR="004C489D" w:rsidRPr="001A4AA9" w:rsidRDefault="004C489D" w:rsidP="001A4AA9">
      <w:pPr>
        <w:spacing w:line="360" w:lineRule="auto"/>
        <w:ind w:hanging="201"/>
        <w:jc w:val="both"/>
        <w:rPr>
          <w:rFonts w:ascii="Book Antiqua" w:hAnsi="Book Antiqua"/>
        </w:rPr>
      </w:pPr>
    </w:p>
    <w:p w14:paraId="5BB730E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aps/>
          <w:color w:val="000000"/>
          <w:u w:val="single"/>
        </w:rPr>
        <w:lastRenderedPageBreak/>
        <w:t>What benefits can be expected from eradicating HCV</w:t>
      </w:r>
      <w:r w:rsidRPr="001A4AA9">
        <w:rPr>
          <w:rFonts w:ascii="Book Antiqua" w:eastAsia="Book Antiqua" w:hAnsi="Book Antiqua" w:cs="Book Antiqua"/>
          <w:b/>
          <w:caps/>
          <w:color w:val="000000"/>
          <w:u w:val="single"/>
        </w:rPr>
        <w:t xml:space="preserve"> </w:t>
      </w:r>
      <w:r w:rsidRPr="001A4AA9">
        <w:rPr>
          <w:rFonts w:ascii="Book Antiqua" w:eastAsia="Book Antiqua" w:hAnsi="Book Antiqua" w:cs="Book Antiqua"/>
          <w:b/>
          <w:bCs/>
          <w:caps/>
          <w:color w:val="000000"/>
          <w:u w:val="single"/>
        </w:rPr>
        <w:t>in patients who already have advanced liver disease?</w:t>
      </w:r>
    </w:p>
    <w:p w14:paraId="1DDC13AB" w14:textId="13734F24"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The new-generation DAA regimens sofosbuvir/velpatasvir and glecaprevir/pibrentasvir have shown rates of SVR higher than 95% in patients with cirrhosis, independent of genotype. No concerns about their safety have been described</w:t>
      </w:r>
      <w:r w:rsidRPr="001A4AA9">
        <w:rPr>
          <w:rFonts w:ascii="Book Antiqua" w:eastAsia="Book Antiqua" w:hAnsi="Book Antiqua" w:cs="Book Antiqua"/>
          <w:color w:val="000000"/>
          <w:vertAlign w:val="superscript"/>
        </w:rPr>
        <w:t>[2,5,8]</w:t>
      </w:r>
      <w:r w:rsidRPr="001A4AA9">
        <w:rPr>
          <w:rFonts w:ascii="Book Antiqua" w:eastAsia="Book Antiqua" w:hAnsi="Book Antiqua" w:cs="Book Antiqua"/>
          <w:color w:val="000000"/>
        </w:rPr>
        <w:t>.</w:t>
      </w:r>
      <w:r w:rsidRPr="001A4AA9">
        <w:rPr>
          <w:rFonts w:ascii="Book Antiqua" w:eastAsia="Book Antiqua" w:hAnsi="Book Antiqua" w:cs="Book Antiqua"/>
          <w:color w:val="000000"/>
          <w:vertAlign w:val="superscript"/>
        </w:rPr>
        <w:t xml:space="preserve"> </w:t>
      </w:r>
      <w:r w:rsidRPr="001A4AA9">
        <w:rPr>
          <w:rFonts w:ascii="Book Antiqua" w:eastAsia="Book Antiqua" w:hAnsi="Book Antiqua" w:cs="Book Antiqua"/>
          <w:color w:val="000000"/>
        </w:rPr>
        <w:t>Notably, these results have been confirmed in real-world studies conducted in large and heterogeneous populations, including patients with intravenous drug use, patients with advanced chronic kidney disease or those aged over 70, who are usually excluded from registrational trials</w:t>
      </w:r>
      <w:r w:rsidRPr="001A4AA9">
        <w:rPr>
          <w:rFonts w:ascii="Book Antiqua" w:eastAsia="Book Antiqua" w:hAnsi="Book Antiqua" w:cs="Book Antiqua"/>
          <w:color w:val="000000"/>
          <w:vertAlign w:val="superscript"/>
        </w:rPr>
        <w:t>[9,10]</w:t>
      </w:r>
      <w:r w:rsidRPr="001A4AA9">
        <w:rPr>
          <w:rFonts w:ascii="Book Antiqua" w:eastAsia="Book Antiqua" w:hAnsi="Book Antiqua" w:cs="Book Antiqua"/>
          <w:color w:val="000000"/>
        </w:rPr>
        <w:t>.</w:t>
      </w:r>
    </w:p>
    <w:p w14:paraId="1EEB435E"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Previous studies demonstrated the favorable effects of viral eradication on the histopathological features of cirrhosis, showing that SVR is associated with a histological decrease in fibrosis or cirrhosis regression</w:t>
      </w:r>
      <w:r w:rsidRPr="001A4AA9">
        <w:rPr>
          <w:rFonts w:ascii="Book Antiqua" w:eastAsia="Book Antiqua" w:hAnsi="Book Antiqua" w:cs="Book Antiqua"/>
          <w:color w:val="000000"/>
          <w:vertAlign w:val="superscript"/>
        </w:rPr>
        <w:t>[11]</w:t>
      </w:r>
      <w:r w:rsidRPr="001A4AA9">
        <w:rPr>
          <w:rFonts w:ascii="Book Antiqua" w:eastAsia="Book Antiqua" w:hAnsi="Book Antiqua" w:cs="Book Antiqua"/>
          <w:color w:val="000000"/>
        </w:rPr>
        <w:t>. More recently, various studies have shown the clinical advantages of treating HCV infection in patients with cirrhosis. One study analyzed a large French cohort of 1323 patients with biopsy-proven cirrhosis, showing that SVR was significantly associated with reductions in the risk of decompensation and of both overall and liver-related mortality</w:t>
      </w:r>
      <w:r w:rsidRPr="001A4AA9">
        <w:rPr>
          <w:rFonts w:ascii="Book Antiqua" w:eastAsia="Book Antiqua" w:hAnsi="Book Antiqua" w:cs="Book Antiqua"/>
          <w:color w:val="000000"/>
          <w:vertAlign w:val="superscript"/>
        </w:rPr>
        <w:t>[12]</w:t>
      </w:r>
      <w:r w:rsidRPr="001A4AA9">
        <w:rPr>
          <w:rFonts w:ascii="Book Antiqua" w:eastAsia="Book Antiqua" w:hAnsi="Book Antiqua" w:cs="Book Antiqua"/>
          <w:color w:val="000000"/>
        </w:rPr>
        <w:t>. The association between SVR and reduction in mortality for all causes was confirmed by another French study including 9895 cirrhotic patients followed up for more than 33 mo</w:t>
      </w:r>
      <w:r w:rsidRPr="001A4AA9">
        <w:rPr>
          <w:rFonts w:ascii="Book Antiqua" w:eastAsia="Book Antiqua" w:hAnsi="Book Antiqua" w:cs="Book Antiqua"/>
          <w:color w:val="000000"/>
          <w:vertAlign w:val="superscript"/>
        </w:rPr>
        <w:t>[6]</w:t>
      </w:r>
      <w:r w:rsidRPr="001A4AA9">
        <w:rPr>
          <w:rFonts w:ascii="Book Antiqua" w:eastAsia="Book Antiqua" w:hAnsi="Book Antiqua" w:cs="Book Antiqua"/>
          <w:color w:val="000000"/>
        </w:rPr>
        <w:t>.</w:t>
      </w:r>
    </w:p>
    <w:p w14:paraId="4284221F" w14:textId="49AFCE1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large cohort study from the United States </w:t>
      </w:r>
      <w:r w:rsidRPr="001A4AA9">
        <w:rPr>
          <w:rFonts w:ascii="Book Antiqua" w:eastAsia="Book Antiqua" w:hAnsi="Book Antiqua" w:cs="Book Antiqua"/>
          <w:color w:val="000000"/>
          <w:shd w:val="clear" w:color="auto" w:fill="FFFFFF"/>
        </w:rPr>
        <w:t xml:space="preserve">evaluated the impact of DAA-induced SVR on all-cause mortality in 15059 HCV patients with advanced liver disease. SVR was independently associated with a reduced risk of death compared to no SVR (hazard ratio: 0.26; 95% confidence interval: 0.22-0.31; </w:t>
      </w:r>
      <w:r w:rsidRPr="001A4AA9">
        <w:rPr>
          <w:rFonts w:ascii="Book Antiqua" w:eastAsia="Book Antiqua" w:hAnsi="Book Antiqua" w:cs="Book Antiqua"/>
          <w:i/>
          <w:iCs/>
          <w:color w:val="000000"/>
          <w:shd w:val="clear" w:color="auto" w:fill="FFFFFF"/>
        </w:rPr>
        <w:t>P</w:t>
      </w:r>
      <w:r w:rsidRPr="001A4AA9">
        <w:rPr>
          <w:rFonts w:ascii="Book Antiqua" w:eastAsia="Book Antiqua" w:hAnsi="Book Antiqua" w:cs="Book Antiqua"/>
          <w:color w:val="000000"/>
          <w:shd w:val="clear" w:color="auto" w:fill="FFFFFF"/>
        </w:rPr>
        <w:t xml:space="preserve"> &lt; 0.001)</w:t>
      </w:r>
      <w:r w:rsidRPr="001A4AA9">
        <w:rPr>
          <w:rFonts w:ascii="Book Antiqua" w:eastAsia="Book Antiqua" w:hAnsi="Book Antiqua" w:cs="Book Antiqua"/>
          <w:color w:val="000000"/>
          <w:shd w:val="clear" w:color="auto" w:fill="FFFFFF"/>
          <w:vertAlign w:val="superscript"/>
        </w:rPr>
        <w:t>[13]</w:t>
      </w:r>
      <w:r w:rsidRPr="001A4AA9">
        <w:rPr>
          <w:rFonts w:ascii="Book Antiqua" w:eastAsia="Book Antiqua" w:hAnsi="Book Antiqua" w:cs="Book Antiqua"/>
          <w:color w:val="000000"/>
          <w:shd w:val="clear" w:color="auto" w:fill="FFFFFF"/>
        </w:rPr>
        <w:t xml:space="preserve">. </w:t>
      </w:r>
    </w:p>
    <w:p w14:paraId="621DE935"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Studies on hemodynamics have examined the relationship between SVR and portal hypertension. A reduction in the hepatic venous pressure gradient (HVPG) has been reported after SVR with DAA, leading to a reduced risk of hepatic decompensation</w:t>
      </w:r>
      <w:r w:rsidRPr="001A4AA9">
        <w:rPr>
          <w:rFonts w:ascii="Book Antiqua" w:eastAsia="Book Antiqua" w:hAnsi="Book Antiqua" w:cs="Book Antiqua"/>
          <w:color w:val="000000"/>
          <w:vertAlign w:val="superscript"/>
        </w:rPr>
        <w:t>[14]</w:t>
      </w:r>
      <w:r w:rsidRPr="001A4AA9">
        <w:rPr>
          <w:rFonts w:ascii="Book Antiqua" w:eastAsia="Book Antiqua" w:hAnsi="Book Antiqua" w:cs="Book Antiqua"/>
          <w:color w:val="000000"/>
        </w:rPr>
        <w:t>.</w:t>
      </w:r>
    </w:p>
    <w:p w14:paraId="30889050"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Are such relevant results confirmed when patients with more advanced/decompensated cirrhosis are considered?</w:t>
      </w:r>
    </w:p>
    <w:p w14:paraId="021522C9" w14:textId="788293DC"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DAAs have been used in patients with Child-Pugh B and C cirrhosis </w:t>
      </w:r>
      <w:r w:rsidR="00481C54">
        <w:rPr>
          <w:rFonts w:ascii="Book Antiqua" w:eastAsia="Book Antiqua" w:hAnsi="Book Antiqua" w:cs="Book Antiqua"/>
          <w:color w:val="000000"/>
        </w:rPr>
        <w:t>who</w:t>
      </w:r>
      <w:r w:rsidRPr="001A4AA9">
        <w:rPr>
          <w:rFonts w:ascii="Book Antiqua" w:eastAsia="Book Antiqua" w:hAnsi="Book Antiqua" w:cs="Book Antiqua"/>
          <w:color w:val="000000"/>
        </w:rPr>
        <w:t xml:space="preserve"> were unsuitable for treatment with IFN-based regimens. Although</w:t>
      </w:r>
      <w:r w:rsidRPr="001A4AA9">
        <w:rPr>
          <w:rStyle w:val="Nessuno"/>
          <w:rFonts w:ascii="Book Antiqua" w:eastAsia="Book Antiqua" w:hAnsi="Book Antiqua" w:cs="Book Antiqua"/>
          <w:color w:val="000000"/>
        </w:rPr>
        <w:t xml:space="preserve"> such patients remain harder to treat and protease inhibitors are contraindicated in this setting, various </w:t>
      </w:r>
      <w:r w:rsidRPr="001A4AA9">
        <w:rPr>
          <w:rStyle w:val="Nessuno"/>
          <w:rFonts w:ascii="Book Antiqua" w:eastAsia="Book Antiqua" w:hAnsi="Book Antiqua" w:cs="Book Antiqua"/>
          <w:color w:val="000000"/>
        </w:rPr>
        <w:lastRenderedPageBreak/>
        <w:t>studies have reported SVR</w:t>
      </w:r>
      <w:r w:rsidRPr="001A4AA9">
        <w:rPr>
          <w:rFonts w:ascii="Book Antiqua" w:eastAsia="Book Antiqua" w:hAnsi="Book Antiqua" w:cs="Book Antiqua"/>
          <w:color w:val="000000"/>
        </w:rPr>
        <w:t xml:space="preserve"> rates higher than 90% after adding ribavirin or prolonging treatment to 24 wk</w:t>
      </w:r>
      <w:r w:rsidRPr="001A4AA9">
        <w:rPr>
          <w:rFonts w:ascii="Book Antiqua" w:eastAsia="Book Antiqua" w:hAnsi="Book Antiqua" w:cs="Book Antiqua"/>
          <w:color w:val="000000"/>
          <w:vertAlign w:val="superscript"/>
        </w:rPr>
        <w:t>[15-17]</w:t>
      </w:r>
      <w:r w:rsidRPr="001A4AA9">
        <w:rPr>
          <w:rFonts w:ascii="Book Antiqua" w:eastAsia="Book Antiqua" w:hAnsi="Book Antiqua" w:cs="Book Antiqua"/>
          <w:color w:val="000000"/>
        </w:rPr>
        <w:t>.</w:t>
      </w:r>
    </w:p>
    <w:p w14:paraId="7FE424B3" w14:textId="7BCFCC5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Even in patients with advanced cirrhosis, virological response is associated with a clinical benefit. Model for end-stage liver disease score and liver function improve in one third to one half of treated patients. Furthermore, treatment is well tolerated with no safety concerns</w:t>
      </w:r>
      <w:r w:rsidRPr="001A4AA9">
        <w:rPr>
          <w:rFonts w:ascii="Book Antiqua" w:eastAsia="Book Antiqua" w:hAnsi="Book Antiqua" w:cs="Book Antiqua"/>
          <w:color w:val="000000"/>
          <w:vertAlign w:val="superscript"/>
        </w:rPr>
        <w:t>[18]</w:t>
      </w:r>
      <w:r w:rsidRPr="001A4AA9">
        <w:rPr>
          <w:rFonts w:ascii="Book Antiqua" w:eastAsia="Book Antiqua" w:hAnsi="Book Antiqua" w:cs="Book Antiqua"/>
          <w:color w:val="000000"/>
        </w:rPr>
        <w:t>.</w:t>
      </w:r>
    </w:p>
    <w:p w14:paraId="6E60E342" w14:textId="6DDF1A0B" w:rsidR="004C489D" w:rsidRPr="001A4AA9" w:rsidRDefault="00481C54" w:rsidP="001A4AA9">
      <w:pPr>
        <w:spacing w:line="360" w:lineRule="auto"/>
        <w:ind w:firstLineChars="200" w:firstLine="480"/>
        <w:jc w:val="both"/>
        <w:rPr>
          <w:rFonts w:ascii="Book Antiqua" w:hAnsi="Book Antiqua"/>
        </w:rPr>
      </w:pPr>
      <w:r>
        <w:rPr>
          <w:rFonts w:ascii="Book Antiqua" w:eastAsia="Book Antiqua" w:hAnsi="Book Antiqua" w:cs="Book Antiqua"/>
          <w:color w:val="000000"/>
        </w:rPr>
        <w:t>H</w:t>
      </w:r>
      <w:r w:rsidRPr="001A4AA9">
        <w:rPr>
          <w:rFonts w:ascii="Book Antiqua" w:eastAsia="Book Antiqua" w:hAnsi="Book Antiqua" w:cs="Book Antiqua"/>
          <w:color w:val="000000"/>
        </w:rPr>
        <w:t>epatic venous pressure gradient</w:t>
      </w:r>
      <w:r w:rsidR="001B343C" w:rsidRPr="001A4AA9">
        <w:rPr>
          <w:rFonts w:ascii="Book Antiqua" w:eastAsia="Book Antiqua" w:hAnsi="Book Antiqua" w:cs="Book Antiqua"/>
          <w:color w:val="000000"/>
        </w:rPr>
        <w:t xml:space="preserve"> reduction after SVR has been observed even in Child-Pugh class B cirrhosis</w:t>
      </w:r>
      <w:r w:rsidR="001B343C" w:rsidRPr="001A4AA9">
        <w:rPr>
          <w:rFonts w:ascii="Book Antiqua" w:eastAsia="Book Antiqua" w:hAnsi="Book Antiqua" w:cs="Book Antiqua"/>
          <w:color w:val="000000"/>
          <w:vertAlign w:val="superscript"/>
        </w:rPr>
        <w:t>[19]</w:t>
      </w:r>
      <w:r w:rsidR="001B343C" w:rsidRPr="001A4AA9">
        <w:rPr>
          <w:rFonts w:ascii="Book Antiqua" w:eastAsia="Book Antiqua" w:hAnsi="Book Antiqua" w:cs="Book Antiqua"/>
          <w:color w:val="000000"/>
        </w:rPr>
        <w:t>, but the benefits for portal pressure can be reduced in patients with more advanced liver cirrhosis. In a multicenter prospective study, although a significant reduction in hepatic vein pressure gradient was observed after SVR, this reduction was only marginal in patients who had higher, clinically significant portal hypertension at baseline</w:t>
      </w:r>
      <w:r w:rsidR="001B343C" w:rsidRPr="001A4AA9">
        <w:rPr>
          <w:rFonts w:ascii="Book Antiqua" w:eastAsia="Book Antiqua" w:hAnsi="Book Antiqua" w:cs="Book Antiqua"/>
          <w:color w:val="000000"/>
          <w:vertAlign w:val="superscript"/>
        </w:rPr>
        <w:t>[20]</w:t>
      </w:r>
      <w:r w:rsidR="001B343C" w:rsidRPr="001A4AA9">
        <w:rPr>
          <w:rFonts w:ascii="Book Antiqua" w:eastAsia="Book Antiqua" w:hAnsi="Book Antiqua" w:cs="Book Antiqua"/>
          <w:color w:val="000000"/>
        </w:rPr>
        <w:t xml:space="preserve">. </w:t>
      </w:r>
    </w:p>
    <w:p w14:paraId="15FB520A" w14:textId="22F6FC5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Strong evidence of the clinical impact of DAAs in these patients can be found in the setting of OLT. HCV-related liver disease has been the most common indication for OLT in Western Europe for the last 20 years. DAA introduction has significantly contributed to change the OLT scenario, greatly decreasing the burden of HCV disease at waiting list registration. Data from an Italian cohort showed that after the extended approval of DAA therapies was granted in Italy in 2014, waiting list registrations for OLT due to HCV-related disease decreased from 43.3% of all waiting list registrations in the pre-DAA period to 37.2%</w:t>
      </w:r>
      <w:r w:rsidRPr="001A4AA9">
        <w:rPr>
          <w:rFonts w:ascii="Book Antiqua" w:eastAsia="Book Antiqua" w:hAnsi="Book Antiqua" w:cs="Book Antiqua"/>
          <w:color w:val="000000"/>
          <w:vertAlign w:val="superscript"/>
        </w:rPr>
        <w:t>[21]</w:t>
      </w:r>
      <w:r w:rsidRPr="001A4AA9">
        <w:rPr>
          <w:rFonts w:ascii="Book Antiqua" w:eastAsia="Book Antiqua" w:hAnsi="Book Antiqua" w:cs="Book Antiqua"/>
          <w:i/>
          <w:iCs/>
          <w:color w:val="000000"/>
        </w:rPr>
        <w:t>.</w:t>
      </w:r>
    </w:p>
    <w:p w14:paraId="6587153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Data from the European liver transplantation cohort showed that treatment with DAAs allowed as many as one third of patients already on waiting list to be delisted because of clinical improvement, with a very low risk of a subsequent need for relisting</w:t>
      </w:r>
      <w:r w:rsidRPr="001A4AA9">
        <w:rPr>
          <w:rFonts w:ascii="Book Antiqua" w:eastAsia="Book Antiqua" w:hAnsi="Book Antiqua" w:cs="Book Antiqua"/>
          <w:color w:val="000000"/>
          <w:vertAlign w:val="superscript"/>
        </w:rPr>
        <w:t>[22]</w:t>
      </w:r>
      <w:r w:rsidRPr="001A4AA9">
        <w:rPr>
          <w:rFonts w:ascii="Book Antiqua" w:eastAsia="Book Antiqua" w:hAnsi="Book Antiqua" w:cs="Book Antiqua"/>
          <w:color w:val="000000"/>
        </w:rPr>
        <w:t>.</w:t>
      </w:r>
    </w:p>
    <w:p w14:paraId="0A468334"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High rates of SVR have also been demonstrated in patients treated after transplantation</w:t>
      </w:r>
      <w:r w:rsidRPr="001A4AA9">
        <w:rPr>
          <w:rFonts w:ascii="Book Antiqua" w:eastAsia="Book Antiqua" w:hAnsi="Book Antiqua" w:cs="Book Antiqua"/>
          <w:color w:val="000000"/>
          <w:vertAlign w:val="superscript"/>
        </w:rPr>
        <w:t>[23]</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A study from Spain conducted in 112 OLT recipients showed SVR to be associated with liver fibrosis regression and a significant improvement in liver function and survival</w:t>
      </w:r>
      <w:r w:rsidRPr="001A4AA9">
        <w:rPr>
          <w:rFonts w:ascii="Book Antiqua" w:eastAsia="Book Antiqua" w:hAnsi="Book Antiqua" w:cs="Book Antiqua"/>
          <w:color w:val="000000"/>
          <w:vertAlign w:val="superscript"/>
        </w:rPr>
        <w:t>[7]</w:t>
      </w:r>
      <w:r w:rsidRPr="001A4AA9">
        <w:rPr>
          <w:rFonts w:ascii="Book Antiqua" w:eastAsia="Book Antiqua" w:hAnsi="Book Antiqua" w:cs="Book Antiqua"/>
          <w:color w:val="000000"/>
        </w:rPr>
        <w:t>.</w:t>
      </w:r>
    </w:p>
    <w:p w14:paraId="4E2424A7"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In conclusion, DAA treatment allows high rates of SVR even in patients with advanced cirrhosis. These patients remain difficult to treat, are not suitable for protease </w:t>
      </w:r>
      <w:r w:rsidRPr="001A4AA9">
        <w:rPr>
          <w:rFonts w:ascii="Book Antiqua" w:eastAsia="Book Antiqua" w:hAnsi="Book Antiqua" w:cs="Book Antiqua"/>
          <w:color w:val="000000"/>
        </w:rPr>
        <w:lastRenderedPageBreak/>
        <w:t>inhibitors and may require treatment prolongation and ribavirin use. SVR is associated with an improvement in liver function and a reduction in portal pressure in a large proportion</w:t>
      </w:r>
      <w:r w:rsidRPr="001A4AA9">
        <w:rPr>
          <w:rStyle w:val="Nessuno"/>
          <w:rFonts w:ascii="Book Antiqua" w:eastAsia="Book Antiqua" w:hAnsi="Book Antiqua" w:cs="Book Antiqua"/>
          <w:color w:val="000000"/>
        </w:rPr>
        <w:t xml:space="preserve"> of patients. DAA availability has reduced the burden of HCV-related disease in the liver transplantation setting (Table 1). </w:t>
      </w:r>
    </w:p>
    <w:p w14:paraId="5B9EEE70" w14:textId="77777777" w:rsidR="004C489D" w:rsidRPr="001A4AA9" w:rsidRDefault="004C489D" w:rsidP="001A4AA9">
      <w:pPr>
        <w:spacing w:line="360" w:lineRule="auto"/>
        <w:jc w:val="both"/>
        <w:rPr>
          <w:rFonts w:ascii="Book Antiqua" w:hAnsi="Book Antiqua"/>
        </w:rPr>
      </w:pPr>
    </w:p>
    <w:p w14:paraId="7B2E1B5F" w14:textId="77777777" w:rsidR="004C489D" w:rsidRPr="001A4AA9" w:rsidRDefault="001B343C" w:rsidP="001A4AA9">
      <w:pPr>
        <w:spacing w:line="360" w:lineRule="auto"/>
        <w:jc w:val="both"/>
        <w:rPr>
          <w:rFonts w:ascii="Book Antiqua" w:hAnsi="Book Antiqua"/>
          <w:u w:val="single"/>
        </w:rPr>
      </w:pPr>
      <w:r w:rsidRPr="001A4AA9">
        <w:rPr>
          <w:rFonts w:ascii="Book Antiqua" w:eastAsia="Book Antiqua" w:hAnsi="Book Antiqua" w:cs="Book Antiqua"/>
          <w:b/>
          <w:bCs/>
          <w:color w:val="000000"/>
          <w:u w:val="single"/>
        </w:rPr>
        <w:t>IS DAA-INDUCED SVR ASSOCIATED WITH AN APPRECIABLE BENEFIT IN HCC?</w:t>
      </w:r>
    </w:p>
    <w:p w14:paraId="32DCFFC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A number of studies have evaluated the role of DAA-induced SVR in both the occurrence and recurrence of HCC. Overall, SVR obtained with DAAs is associated with a 70% incidence reduction</w:t>
      </w:r>
      <w:r w:rsidRPr="001A4AA9">
        <w:rPr>
          <w:rFonts w:ascii="Book Antiqua" w:eastAsia="Book Antiqua" w:hAnsi="Book Antiqua" w:cs="Book Antiqua"/>
          <w:color w:val="000000"/>
          <w:vertAlign w:val="superscript"/>
        </w:rPr>
        <w:t>[24]</w:t>
      </w:r>
      <w:r w:rsidRPr="001A4AA9">
        <w:rPr>
          <w:rFonts w:ascii="Book Antiqua" w:eastAsia="Book Antiqua" w:hAnsi="Book Antiqua" w:cs="Book Antiqua"/>
          <w:i/>
          <w:iCs/>
          <w:color w:val="000000"/>
        </w:rPr>
        <w:t>.</w:t>
      </w:r>
    </w:p>
    <w:p w14:paraId="634E31B7" w14:textId="04F47F15"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 retrospective cohort study on a large population from the United States evaluated the annual rates of HCC in HCV patients treated with DAA, comparing those who achieved SVR to those who did not. The study included 22500 patients treated with DAA</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0F1A47">
        <w:rPr>
          <w:rFonts w:ascii="Book Antiqua" w:eastAsia="Book Antiqua" w:hAnsi="Book Antiqua" w:cs="Book Antiqua"/>
          <w:color w:val="000000"/>
        </w:rPr>
        <w:t>a</w:t>
      </w:r>
      <w:r w:rsidRPr="001A4AA9">
        <w:rPr>
          <w:rFonts w:ascii="Book Antiqua" w:eastAsia="Book Antiqua" w:hAnsi="Book Antiqua" w:cs="Book Antiqua"/>
          <w:color w:val="000000"/>
        </w:rPr>
        <w:t>bout one third of them had cirrhosis</w:t>
      </w:r>
      <w:r w:rsidR="000F1A47">
        <w:rPr>
          <w:rFonts w:ascii="Book Antiqua" w:eastAsia="Book Antiqua" w:hAnsi="Book Antiqua" w:cs="Book Antiqua"/>
          <w:color w:val="000000"/>
        </w:rPr>
        <w:t>. SVR was achieved in</w:t>
      </w:r>
      <w:r w:rsidRPr="001A4AA9">
        <w:rPr>
          <w:rFonts w:ascii="Book Antiqua" w:eastAsia="Book Antiqua" w:hAnsi="Book Antiqua" w:cs="Book Antiqua"/>
          <w:color w:val="000000"/>
        </w:rPr>
        <w:t xml:space="preserve"> 19518</w:t>
      </w:r>
      <w:r w:rsidR="000F1A47">
        <w:rPr>
          <w:rFonts w:ascii="Book Antiqua" w:eastAsia="Book Antiqua" w:hAnsi="Book Antiqua" w:cs="Book Antiqua"/>
          <w:color w:val="000000"/>
        </w:rPr>
        <w:t xml:space="preserve"> but not in </w:t>
      </w:r>
      <w:r w:rsidRPr="001A4AA9">
        <w:rPr>
          <w:rFonts w:ascii="Book Antiqua" w:eastAsia="Book Antiqua" w:hAnsi="Book Antiqua" w:cs="Book Antiqua"/>
          <w:color w:val="000000"/>
        </w:rPr>
        <w:t>2982. The highest risk of HCC was reported in cirrhotic patients. Even though SVR significantly reduced the risk of HCC, the absolute risk of HCC remained high in patients with cirrhosis despite SVR. Thus, patients with cirrhosis should be kept under long</w:t>
      </w:r>
      <w:r w:rsidR="000F1A47">
        <w:rPr>
          <w:rFonts w:ascii="Book Antiqua" w:eastAsia="Book Antiqua" w:hAnsi="Book Antiqua" w:cs="Book Antiqua"/>
          <w:color w:val="000000"/>
        </w:rPr>
        <w:t>-</w:t>
      </w:r>
      <w:r w:rsidRPr="001A4AA9">
        <w:rPr>
          <w:rFonts w:ascii="Book Antiqua" w:eastAsia="Book Antiqua" w:hAnsi="Book Antiqua" w:cs="Book Antiqua"/>
          <w:color w:val="000000"/>
        </w:rPr>
        <w:t>term surveillance for HCC</w:t>
      </w:r>
      <w:r w:rsidRPr="001A4AA9">
        <w:rPr>
          <w:rFonts w:ascii="Book Antiqua" w:eastAsia="Book Antiqua" w:hAnsi="Book Antiqua" w:cs="Book Antiqua"/>
          <w:color w:val="000000"/>
          <w:vertAlign w:val="superscript"/>
        </w:rPr>
        <w:t>[25]</w:t>
      </w:r>
      <w:r w:rsidRPr="001A4AA9">
        <w:rPr>
          <w:rFonts w:ascii="Book Antiqua" w:eastAsia="Book Antiqua" w:hAnsi="Book Antiqua" w:cs="Book Antiqua"/>
          <w:i/>
          <w:iCs/>
          <w:color w:val="000000"/>
        </w:rPr>
        <w:t>.</w:t>
      </w:r>
    </w:p>
    <w:p w14:paraId="49D615F1" w14:textId="32BC0E1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real-world study from Italy, including a cohort of more than </w:t>
      </w:r>
      <w:r w:rsidR="000F1A47">
        <w:rPr>
          <w:rFonts w:ascii="Book Antiqua" w:eastAsia="Book Antiqua" w:hAnsi="Book Antiqua" w:cs="Book Antiqua"/>
          <w:color w:val="000000"/>
        </w:rPr>
        <w:t>2000</w:t>
      </w:r>
      <w:r w:rsidRPr="001A4AA9">
        <w:rPr>
          <w:rFonts w:ascii="Book Antiqua" w:eastAsia="Book Antiqua" w:hAnsi="Book Antiqua" w:cs="Book Antiqua"/>
          <w:color w:val="000000"/>
        </w:rPr>
        <w:t xml:space="preserve"> cirrhotic patients, showed a significant reduction in HCC risk after achieving SVR in patients with Child-Pugh class A and class B disease. Nevertheless, the mean time lapse between exposure to DAAs and HCC occurrence was 9.8 mo, with no significant difference between patients with SVR and those without; this observation would suggest that the high incidence of HCC described in the first year after DAA might be largely related to the presence of previously unrecognized HCC cases. Thus, previously unrecognized HCC could largely contribute to an overestimation of the early risk of HCC after DAAs</w:t>
      </w:r>
      <w:r w:rsidRPr="001A4AA9">
        <w:rPr>
          <w:rFonts w:ascii="Book Antiqua" w:eastAsia="Book Antiqua" w:hAnsi="Book Antiqua" w:cs="Book Antiqua"/>
          <w:color w:val="000000"/>
          <w:vertAlign w:val="superscript"/>
        </w:rPr>
        <w:t>[24,26]</w:t>
      </w:r>
      <w:r w:rsidRPr="001A4AA9">
        <w:rPr>
          <w:rFonts w:ascii="Book Antiqua" w:eastAsia="Book Antiqua" w:hAnsi="Book Antiqua" w:cs="Book Antiqua"/>
          <w:color w:val="000000"/>
        </w:rPr>
        <w:t>.</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In this study, albumin levels and platelet counts, associated with liver function and portal hypertension</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respectively, were identified as significant predictors of HCC occurrence. </w:t>
      </w:r>
    </w:p>
    <w:p w14:paraId="35149DEF"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More recently, similar results have been confirmed in long-term follow-up studies. A retrospective study from East Asia, involving a large cohort of 5814 HCV patients treated with DAA and followed up for a median of 2.9 years, reported a significant reduction in HCC risk in SVR patients compared with those without SVR</w:t>
      </w:r>
      <w:r w:rsidRPr="001A4AA9">
        <w:rPr>
          <w:rFonts w:ascii="Book Antiqua" w:eastAsia="Book Antiqua" w:hAnsi="Book Antiqua" w:cs="Book Antiqua"/>
          <w:color w:val="000000"/>
          <w:vertAlign w:val="superscript"/>
        </w:rPr>
        <w:t>[27]</w:t>
      </w:r>
      <w:r w:rsidRPr="001A4AA9">
        <w:rPr>
          <w:rFonts w:ascii="Book Antiqua" w:eastAsia="Book Antiqua" w:hAnsi="Book Antiqua" w:cs="Book Antiqua"/>
          <w:color w:val="000000"/>
        </w:rPr>
        <w:t>.</w:t>
      </w:r>
    </w:p>
    <w:p w14:paraId="72FBBC6D" w14:textId="73754A7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retrospective study was recently conducted in 129 Veterans Health Administration hospitals. Results confirmed that in cirrhotic patients successfully treated with DAA, the occurrence of HCC was reduced but remained high enough to warrant long-term HCC surveillance. Interestingly, the risk of HCC remained stable over the </w:t>
      </w:r>
      <w:r w:rsidR="000F1A47">
        <w:rPr>
          <w:rFonts w:ascii="Book Antiqua" w:eastAsia="Book Antiqua" w:hAnsi="Book Antiqua" w:cs="Book Antiqua"/>
          <w:color w:val="000000"/>
        </w:rPr>
        <w:t xml:space="preserve">3 </w:t>
      </w:r>
      <w:r w:rsidRPr="001A4AA9">
        <w:rPr>
          <w:rFonts w:ascii="Book Antiqua" w:eastAsia="Book Antiqua" w:hAnsi="Book Antiqua" w:cs="Book Antiqua"/>
          <w:color w:val="000000"/>
        </w:rPr>
        <w:t>year observation period</w:t>
      </w:r>
      <w:r w:rsidRPr="001A4AA9">
        <w:rPr>
          <w:rFonts w:ascii="Book Antiqua" w:eastAsia="Book Antiqua" w:hAnsi="Book Antiqua" w:cs="Book Antiqua"/>
          <w:color w:val="000000"/>
          <w:vertAlign w:val="superscript"/>
        </w:rPr>
        <w:t>[28]</w:t>
      </w:r>
      <w:r w:rsidRPr="001A4AA9">
        <w:rPr>
          <w:rFonts w:ascii="Book Antiqua" w:eastAsia="Book Antiqua" w:hAnsi="Book Antiqua" w:cs="Book Antiqua"/>
          <w:i/>
          <w:iCs/>
          <w:color w:val="000000"/>
        </w:rPr>
        <w:t>.</w:t>
      </w:r>
    </w:p>
    <w:p w14:paraId="3E78A34D" w14:textId="75B5B2D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Several studies have evaluated the risk of HCC recurrence in DAA-treated HCV patients on HCC remission at DAA initiation. Some early studies raised concerns about an increased risk of HCC recurrence in patients treated with DAAs compared with those receiving IFN. Furthermore, other studies hypothesized that the rapid clearance of HCV during DAAs could decrease the immune surveillance of small HCC clones, increasing the risk of early HCC recurrence</w:t>
      </w:r>
      <w:r w:rsidRPr="001A4AA9">
        <w:rPr>
          <w:rFonts w:ascii="Book Antiqua" w:eastAsia="Book Antiqua" w:hAnsi="Book Antiqua" w:cs="Book Antiqua"/>
          <w:color w:val="000000"/>
          <w:vertAlign w:val="superscript"/>
        </w:rPr>
        <w:t>[29]</w:t>
      </w:r>
      <w:r w:rsidRPr="001A4AA9">
        <w:rPr>
          <w:rFonts w:ascii="Book Antiqua" w:eastAsia="Book Antiqua" w:hAnsi="Book Antiqua" w:cs="Book Antiqua"/>
          <w:color w:val="000000"/>
        </w:rPr>
        <w:t>.</w:t>
      </w:r>
    </w:p>
    <w:p w14:paraId="351D84A2" w14:textId="569A70DE"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 meta-analysis published in 2017 compared the risk of HCC recurrence in patients treated with DAA or IFN-based treatments, finding no difference between the two groups. In particular, DAA treatment was not associated with a higher HCC recurrence</w:t>
      </w:r>
      <w:r w:rsidRPr="001A4AA9">
        <w:rPr>
          <w:rFonts w:ascii="Book Antiqua" w:eastAsia="Book Antiqua" w:hAnsi="Book Antiqua" w:cs="Book Antiqua"/>
          <w:color w:val="000000"/>
          <w:vertAlign w:val="superscript"/>
        </w:rPr>
        <w:t>[30]</w:t>
      </w:r>
      <w:r w:rsidRPr="001A4AA9">
        <w:rPr>
          <w:rFonts w:ascii="Book Antiqua" w:eastAsia="Book Antiqua" w:hAnsi="Book Antiqua" w:cs="Book Antiqua"/>
          <w:color w:val="000000"/>
        </w:rPr>
        <w:t xml:space="preserve">. More recently, </w:t>
      </w:r>
      <w:r w:rsidRPr="001A4AA9">
        <w:rPr>
          <w:rFonts w:ascii="Book Antiqua" w:eastAsia="Book Antiqua" w:hAnsi="Book Antiqua" w:cs="Book Antiqua"/>
          <w:color w:val="000000"/>
          <w:shd w:val="clear" w:color="auto" w:fill="FFFFFF"/>
        </w:rPr>
        <w:t>a retrospective, population-based cohort study including 17836 patients confirmed that neither the HCC incidence rate nor HCC-free survival were significantly different in the DAA group compared to the IFN group</w:t>
      </w:r>
      <w:r w:rsidRPr="001A4AA9">
        <w:rPr>
          <w:rFonts w:ascii="Book Antiqua" w:eastAsia="Book Antiqua" w:hAnsi="Book Antiqua" w:cs="Book Antiqua"/>
          <w:color w:val="000000"/>
          <w:shd w:val="clear" w:color="auto" w:fill="FFFFFF"/>
          <w:vertAlign w:val="superscript"/>
        </w:rPr>
        <w:t>[31]</w:t>
      </w:r>
      <w:r w:rsidRPr="001A4AA9">
        <w:rPr>
          <w:rFonts w:ascii="Book Antiqua" w:eastAsia="Book Antiqua" w:hAnsi="Book Antiqua" w:cs="Book Antiqua"/>
          <w:color w:val="000000"/>
          <w:shd w:val="clear" w:color="auto" w:fill="FFFFFF"/>
        </w:rPr>
        <w:t>.</w:t>
      </w:r>
    </w:p>
    <w:p w14:paraId="48761584" w14:textId="6CC4052B"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 large retrospective cohort study from the United States and Canada found no significant differences in either overall or early HCC recurrence between patients who received DAAs and patients not receiving therapy after a complete response to HCC treatment</w:t>
      </w:r>
      <w:r w:rsidRPr="001A4AA9">
        <w:rPr>
          <w:rFonts w:ascii="Book Antiqua" w:eastAsia="Book Antiqua" w:hAnsi="Book Antiqua" w:cs="Book Antiqua"/>
          <w:color w:val="000000"/>
          <w:vertAlign w:val="superscript"/>
        </w:rPr>
        <w:t>[32]</w:t>
      </w:r>
      <w:r w:rsidRPr="001A4AA9">
        <w:rPr>
          <w:rFonts w:ascii="Book Antiqua" w:eastAsia="Book Antiqua" w:hAnsi="Book Antiqua" w:cs="Book Antiqua"/>
          <w:i/>
          <w:iCs/>
          <w:color w:val="000000"/>
        </w:rPr>
        <w:t>.</w:t>
      </w:r>
      <w:r w:rsidRPr="001A4AA9">
        <w:rPr>
          <w:rFonts w:ascii="Book Antiqua" w:eastAsia="Book Antiqua" w:hAnsi="Book Antiqua" w:cs="Book Antiqua"/>
          <w:color w:val="000000"/>
        </w:rPr>
        <w:t xml:space="preserve"> Even if the risk of HCC recurrence appears not to be affected by curative DAA treatment, a reduction in the risk of decompensation of cirrhosis has been observed in these patients</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and overall survival appears to be improved in those achieving SVR</w:t>
      </w:r>
      <w:r w:rsidRPr="001A4AA9">
        <w:rPr>
          <w:rFonts w:ascii="Book Antiqua" w:eastAsia="Book Antiqua" w:hAnsi="Book Antiqua" w:cs="Book Antiqua"/>
          <w:color w:val="000000"/>
          <w:vertAlign w:val="superscript"/>
        </w:rPr>
        <w:t>[33]</w:t>
      </w:r>
      <w:r w:rsidRPr="001A4AA9">
        <w:rPr>
          <w:rFonts w:ascii="Book Antiqua" w:eastAsia="Book Antiqua" w:hAnsi="Book Antiqua" w:cs="Book Antiqua"/>
          <w:color w:val="000000"/>
        </w:rPr>
        <w:t xml:space="preserve">. </w:t>
      </w:r>
    </w:p>
    <w:p w14:paraId="75243A8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 retrospective cohort study from the United States and Canada, including 797 patients with previous HCV-related HCC who had achieved a complete HCC response </w:t>
      </w:r>
      <w:r w:rsidRPr="001A4AA9">
        <w:rPr>
          <w:rFonts w:ascii="Book Antiqua" w:eastAsia="Book Antiqua" w:hAnsi="Book Antiqua" w:cs="Book Antiqua"/>
          <w:color w:val="000000"/>
        </w:rPr>
        <w:lastRenderedPageBreak/>
        <w:t>at treatment initiation, confirmed that SVR after DAA treatment was associated with a significant reduction in the overall risk of death</w:t>
      </w:r>
      <w:r w:rsidRPr="001A4AA9">
        <w:rPr>
          <w:rFonts w:ascii="Book Antiqua" w:eastAsia="Book Antiqua" w:hAnsi="Book Antiqua" w:cs="Book Antiqua"/>
          <w:color w:val="000000"/>
          <w:vertAlign w:val="superscript"/>
        </w:rPr>
        <w:t>[34]</w:t>
      </w:r>
      <w:r w:rsidRPr="001A4AA9">
        <w:rPr>
          <w:rFonts w:ascii="Book Antiqua" w:eastAsia="Book Antiqua" w:hAnsi="Book Antiqua" w:cs="Book Antiqua"/>
          <w:i/>
          <w:iCs/>
          <w:color w:val="000000"/>
        </w:rPr>
        <w:t>.</w:t>
      </w:r>
      <w:r w:rsidRPr="001A4AA9">
        <w:rPr>
          <w:rFonts w:ascii="Book Antiqua" w:eastAsia="Book Antiqua" w:hAnsi="Book Antiqua" w:cs="Book Antiqua"/>
          <w:color w:val="000000"/>
        </w:rPr>
        <w:t xml:space="preserve"> A history of previous HCC recurrence and previous main tumor size appear to be related with the risk of recurrence</w:t>
      </w:r>
      <w:r w:rsidRPr="001A4AA9">
        <w:rPr>
          <w:rFonts w:ascii="Book Antiqua" w:eastAsia="Book Antiqua" w:hAnsi="Book Antiqua" w:cs="Book Antiqua"/>
          <w:color w:val="000000"/>
          <w:vertAlign w:val="superscript"/>
        </w:rPr>
        <w:t>[35]</w:t>
      </w:r>
      <w:r w:rsidRPr="001A4AA9">
        <w:rPr>
          <w:rFonts w:ascii="Book Antiqua" w:eastAsia="Book Antiqua" w:hAnsi="Book Antiqua" w:cs="Book Antiqua"/>
          <w:color w:val="000000"/>
        </w:rPr>
        <w:t>.</w:t>
      </w:r>
    </w:p>
    <w:p w14:paraId="09E705A6" w14:textId="370737CF" w:rsidR="004C489D" w:rsidRPr="001A4AA9" w:rsidRDefault="001B343C" w:rsidP="001A4AA9">
      <w:pPr>
        <w:spacing w:line="360" w:lineRule="auto"/>
        <w:ind w:firstLineChars="200" w:firstLine="480"/>
        <w:jc w:val="both"/>
        <w:rPr>
          <w:rFonts w:ascii="Book Antiqua" w:eastAsia="Book Antiqua" w:hAnsi="Book Antiqua" w:cs="Book Antiqua"/>
          <w:color w:val="000000"/>
        </w:rPr>
      </w:pPr>
      <w:r w:rsidRPr="001A4AA9">
        <w:rPr>
          <w:rFonts w:ascii="Book Antiqua" w:eastAsia="Book Antiqua" w:hAnsi="Book Antiqua" w:cs="Book Antiqua"/>
          <w:color w:val="000000"/>
        </w:rPr>
        <w:t>In conclusion, the available data show that HCC incidence is reduced in DAA-treated patients. The risk of HCC recurrence appears unaffected</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but overall survival can be increased in these patients because of the reduced risk of decompensation. The risk of both the incidence and recurrence of DAA remains high enough to warrant long-term surveillance after treatment, even in patients with SVR (Table 1). </w:t>
      </w:r>
    </w:p>
    <w:p w14:paraId="7ED05D49" w14:textId="77777777" w:rsidR="004C489D" w:rsidRPr="001A4AA9" w:rsidRDefault="004C489D" w:rsidP="001A4AA9">
      <w:pPr>
        <w:spacing w:line="360" w:lineRule="auto"/>
        <w:ind w:firstLineChars="200" w:firstLine="480"/>
        <w:jc w:val="both"/>
        <w:rPr>
          <w:rFonts w:ascii="Book Antiqua" w:hAnsi="Book Antiqua"/>
        </w:rPr>
      </w:pPr>
    </w:p>
    <w:p w14:paraId="1A97AB43" w14:textId="77777777" w:rsidR="004C489D" w:rsidRPr="001A4AA9" w:rsidRDefault="001B343C" w:rsidP="001A4AA9">
      <w:pPr>
        <w:spacing w:line="360" w:lineRule="auto"/>
        <w:jc w:val="both"/>
        <w:rPr>
          <w:rFonts w:ascii="Book Antiqua" w:hAnsi="Book Antiqua"/>
          <w:b/>
          <w:bCs/>
          <w:u w:val="single"/>
        </w:rPr>
      </w:pPr>
      <w:r w:rsidRPr="001A4AA9">
        <w:rPr>
          <w:rFonts w:ascii="Book Antiqua" w:eastAsia="Book Antiqua" w:hAnsi="Book Antiqua" w:cs="Book Antiqua"/>
          <w:b/>
          <w:bCs/>
          <w:color w:val="000000"/>
          <w:u w:val="single"/>
        </w:rPr>
        <w:t xml:space="preserve">CAN HCV TREATMENT HAVE FAVORABLE EFFECTS ON MAJOR CONCOMITANT DISORDERS SUCH AS DIABETES OR CARDIOVASCULAR DISEASE? </w:t>
      </w:r>
    </w:p>
    <w:p w14:paraId="4791F8FD" w14:textId="4F4775BD"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An interesting, albeit unsolved issue regard</w:t>
      </w:r>
      <w:r w:rsidR="00A32EC4">
        <w:rPr>
          <w:rFonts w:ascii="Book Antiqua" w:eastAsia="Book Antiqua" w:hAnsi="Book Antiqua" w:cs="Book Antiqua"/>
          <w:color w:val="000000"/>
        </w:rPr>
        <w:t>ing</w:t>
      </w:r>
      <w:r w:rsidRPr="001A4AA9">
        <w:rPr>
          <w:rFonts w:ascii="Book Antiqua" w:eastAsia="Book Antiqua" w:hAnsi="Book Antiqua" w:cs="Book Antiqua"/>
          <w:color w:val="000000"/>
        </w:rPr>
        <w:t xml:space="preserve"> the association between HCV infection and glucose abnormalities [insulin resistance (IR) and </w:t>
      </w:r>
      <w:r w:rsidRPr="001A4AA9">
        <w:rPr>
          <w:rFonts w:ascii="Book Antiqua" w:hAnsi="Book Antiqua" w:cs="Book Antiqua"/>
          <w:color w:val="000000"/>
          <w:lang w:eastAsia="zh-CN"/>
        </w:rPr>
        <w:t>t</w:t>
      </w:r>
      <w:r w:rsidRPr="001A4AA9">
        <w:rPr>
          <w:rFonts w:ascii="Book Antiqua" w:eastAsia="Book Antiqua" w:hAnsi="Book Antiqua" w:cs="Book Antiqua"/>
          <w:color w:val="000000"/>
        </w:rPr>
        <w:t xml:space="preserve">ype 2 diabetes mellitus (T2DM)]. Even though the mechanisms </w:t>
      </w:r>
      <w:r w:rsidR="00A32EC4">
        <w:rPr>
          <w:rFonts w:ascii="Book Antiqua" w:eastAsia="Book Antiqua" w:hAnsi="Book Antiqua" w:cs="Book Antiqua"/>
          <w:color w:val="000000"/>
        </w:rPr>
        <w:t>that</w:t>
      </w:r>
      <w:r w:rsidRPr="001A4AA9">
        <w:rPr>
          <w:rFonts w:ascii="Book Antiqua" w:eastAsia="Book Antiqua" w:hAnsi="Book Antiqua" w:cs="Book Antiqua"/>
          <w:color w:val="000000"/>
        </w:rPr>
        <w:t xml:space="preserve"> lead to the development of IR and T2DM in predisposed HCV-infected patients are not fully understood, HCV seems to play a direct role by interfering with glucose metabolism. As indicated by many studies, HCV-infected subjects have a significantly higher risk of T2DM than noninfected controls</w:t>
      </w:r>
      <w:r w:rsidRPr="001A4AA9">
        <w:rPr>
          <w:rFonts w:ascii="Book Antiqua" w:eastAsia="Book Antiqua" w:hAnsi="Book Antiqua" w:cs="Book Antiqua"/>
          <w:color w:val="000000"/>
          <w:vertAlign w:val="superscript"/>
        </w:rPr>
        <w:t>[36,37]</w:t>
      </w:r>
      <w:r w:rsidRPr="001A4AA9">
        <w:rPr>
          <w:rFonts w:ascii="Book Antiqua" w:eastAsia="Book Antiqua" w:hAnsi="Book Antiqua" w:cs="Book Antiqua"/>
          <w:color w:val="000000"/>
        </w:rPr>
        <w:t>, HCV-cleared patients</w:t>
      </w:r>
      <w:r w:rsidRPr="001A4AA9">
        <w:rPr>
          <w:rFonts w:ascii="Book Antiqua" w:eastAsia="Book Antiqua" w:hAnsi="Book Antiqua" w:cs="Book Antiqua"/>
          <w:color w:val="000000"/>
          <w:vertAlign w:val="superscript"/>
        </w:rPr>
        <w:t>[38]</w:t>
      </w:r>
      <w:r w:rsidRPr="001A4AA9">
        <w:rPr>
          <w:rFonts w:ascii="Book Antiqua" w:eastAsia="Book Antiqua" w:hAnsi="Book Antiqua" w:cs="Book Antiqua"/>
          <w:color w:val="000000"/>
        </w:rPr>
        <w:t xml:space="preserve"> and HBV-infected patients</w:t>
      </w:r>
      <w:r w:rsidRPr="001A4AA9">
        <w:rPr>
          <w:rFonts w:ascii="Book Antiqua" w:eastAsia="Book Antiqua" w:hAnsi="Book Antiqua" w:cs="Book Antiqua"/>
          <w:color w:val="000000"/>
          <w:vertAlign w:val="superscript"/>
        </w:rPr>
        <w:t>[39]</w:t>
      </w:r>
      <w:r w:rsidRPr="001A4AA9">
        <w:rPr>
          <w:rFonts w:ascii="Book Antiqua" w:eastAsia="Book Antiqua" w:hAnsi="Book Antiqua" w:cs="Book Antiqua"/>
          <w:color w:val="000000"/>
        </w:rPr>
        <w:t xml:space="preserve">. Moreover, </w:t>
      </w:r>
      <w:r w:rsidRPr="001A4AA9">
        <w:rPr>
          <w:rFonts w:ascii="Book Antiqua" w:eastAsia="Book Antiqua" w:hAnsi="Book Antiqua" w:cs="Book Antiqua"/>
          <w:color w:val="000000"/>
          <w:shd w:val="clear" w:color="auto" w:fill="FFFFFF"/>
        </w:rPr>
        <w:t xml:space="preserve">some data suggest that the higher risk might be </w:t>
      </w:r>
      <w:r w:rsidRPr="001A4AA9">
        <w:rPr>
          <w:rFonts w:ascii="Book Antiqua" w:eastAsia="Book Antiqua" w:hAnsi="Book Antiqua" w:cs="Book Antiqua"/>
          <w:color w:val="000000"/>
        </w:rPr>
        <w:t>independent of body mass index and family history</w:t>
      </w:r>
      <w:r w:rsidRPr="001A4AA9">
        <w:rPr>
          <w:rFonts w:ascii="Book Antiqua" w:eastAsia="Book Antiqua" w:hAnsi="Book Antiqua" w:cs="Book Antiqua"/>
          <w:color w:val="000000"/>
          <w:vertAlign w:val="superscript"/>
        </w:rPr>
        <w:t>[40]</w:t>
      </w:r>
      <w:r w:rsidRPr="001A4AA9">
        <w:rPr>
          <w:rFonts w:ascii="Book Antiqua" w:eastAsia="Book Antiqua" w:hAnsi="Book Antiqua" w:cs="Book Antiqua"/>
          <w:color w:val="000000"/>
        </w:rPr>
        <w:t xml:space="preserve">, strengthening the hypothesis of HCV as a direct cause of T2DM. </w:t>
      </w:r>
    </w:p>
    <w:p w14:paraId="4609DEF9"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Although it is quite clear that HCV infection increases the risk of developing T2DM, the data regarding whether the stage of liver disease could affect the development of T2DM are ambiguous. Indeed, some studies show that HCV-related cirrhosis (and in particular decompensated cirrhosis) is associated with a higher risk of DM than in non-HCV cirrhosis, HCV-cleared patients and chronic HCV-infections</w:t>
      </w:r>
      <w:r w:rsidRPr="001A4AA9">
        <w:rPr>
          <w:rFonts w:ascii="Book Antiqua" w:eastAsia="Book Antiqua" w:hAnsi="Book Antiqua" w:cs="Book Antiqua"/>
          <w:color w:val="000000"/>
          <w:vertAlign w:val="superscript"/>
        </w:rPr>
        <w:t>[38]</w:t>
      </w:r>
      <w:r w:rsidRPr="001A4AA9">
        <w:rPr>
          <w:rFonts w:ascii="Book Antiqua" w:eastAsia="Book Antiqua" w:hAnsi="Book Antiqua" w:cs="Book Antiqua"/>
          <w:color w:val="000000"/>
        </w:rPr>
        <w:t xml:space="preserve">. Due to this close association between HCV infection and the development of T2DM, many studies have evaluated whether glucose abnormalities could on the contrary affect the natural course of HCV infection. </w:t>
      </w:r>
    </w:p>
    <w:p w14:paraId="03BBC0DD" w14:textId="037CA32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 xml:space="preserve">To our knowledge, </w:t>
      </w:r>
      <w:r w:rsidR="00A32EC4">
        <w:rPr>
          <w:rFonts w:ascii="Book Antiqua" w:eastAsia="Book Antiqua" w:hAnsi="Book Antiqua" w:cs="Book Antiqua"/>
          <w:color w:val="000000"/>
        </w:rPr>
        <w:t>DM</w:t>
      </w:r>
      <w:r w:rsidRPr="001A4AA9">
        <w:rPr>
          <w:rFonts w:ascii="Book Antiqua" w:eastAsia="Book Antiqua" w:hAnsi="Book Antiqua" w:cs="Book Antiqua"/>
          <w:color w:val="000000"/>
        </w:rPr>
        <w:t xml:space="preserve"> and IR are associated with a worse outcome in patients with chronic hepatitis C, with an increased risk of developing liver cirrhosis and decompensation over time</w:t>
      </w:r>
      <w:r w:rsidRPr="001A4AA9">
        <w:rPr>
          <w:rFonts w:ascii="Book Antiqua" w:eastAsia="Book Antiqua" w:hAnsi="Book Antiqua" w:cs="Book Antiqua"/>
          <w:color w:val="000000"/>
          <w:vertAlign w:val="superscript"/>
        </w:rPr>
        <w:t>[41]</w:t>
      </w:r>
      <w:r w:rsidRPr="001A4AA9">
        <w:rPr>
          <w:rFonts w:ascii="Book Antiqua" w:eastAsia="Book Antiqua" w:hAnsi="Book Antiqua" w:cs="Book Antiqua"/>
          <w:color w:val="000000"/>
        </w:rPr>
        <w:t>. In particular, the effects of fasting glucose levels seem to be increased in genotype 1 and genotype 2 patients</w:t>
      </w:r>
      <w:r w:rsidRPr="001A4AA9">
        <w:rPr>
          <w:rFonts w:ascii="Book Antiqua" w:eastAsia="Book Antiqua" w:hAnsi="Book Antiqua" w:cs="Book Antiqua"/>
          <w:color w:val="000000"/>
          <w:vertAlign w:val="superscript"/>
        </w:rPr>
        <w:t>[42]</w:t>
      </w:r>
      <w:r w:rsidRPr="001A4AA9">
        <w:rPr>
          <w:rFonts w:ascii="Book Antiqua" w:eastAsia="Book Antiqua" w:hAnsi="Book Antiqua" w:cs="Book Antiqua"/>
          <w:color w:val="000000"/>
        </w:rPr>
        <w:t>.</w:t>
      </w:r>
    </w:p>
    <w:p w14:paraId="54E29FEC" w14:textId="500DCC49"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 a cohort study, baseline diabetes was independently associated with a higher prevalence of ascites, bacterial infections and encephalopathy detected at inclusion</w:t>
      </w:r>
      <w:r w:rsidR="00A32EC4">
        <w:rPr>
          <w:rFonts w:ascii="Book Antiqua" w:eastAsia="Book Antiqua" w:hAnsi="Book Antiqua" w:cs="Book Antiqua"/>
          <w:color w:val="000000"/>
        </w:rPr>
        <w:t xml:space="preserve"> and</w:t>
      </w:r>
      <w:r w:rsidRPr="001A4AA9">
        <w:rPr>
          <w:rFonts w:ascii="Book Antiqua" w:eastAsia="Book Antiqua" w:hAnsi="Book Antiqua" w:cs="Book Antiqua"/>
          <w:color w:val="000000"/>
        </w:rPr>
        <w:t xml:space="preserve"> was independently associated with the development of ascites, renal dysfunction, bacterial infections and HCC during follow-up, showing T2DM as an independent prognostic factor in patients with chronic hepatitis C and cirrhosis</w:t>
      </w:r>
      <w:r w:rsidR="00A32EC4">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A32EC4">
        <w:rPr>
          <w:rFonts w:ascii="Book Antiqua" w:eastAsia="Book Antiqua" w:hAnsi="Book Antiqua" w:cs="Book Antiqua"/>
          <w:color w:val="000000"/>
        </w:rPr>
        <w:t>T</w:t>
      </w:r>
      <w:r w:rsidRPr="001A4AA9">
        <w:rPr>
          <w:rFonts w:ascii="Book Antiqua" w:eastAsia="Book Antiqua" w:hAnsi="Book Antiqua" w:cs="Book Antiqua"/>
          <w:color w:val="000000"/>
        </w:rPr>
        <w:t xml:space="preserve">ransplantation-free survival was also shortened, independent of the baseline </w:t>
      </w:r>
      <w:r w:rsidR="00A32EC4">
        <w:rPr>
          <w:rFonts w:ascii="Book Antiqua" w:eastAsia="Book Antiqua" w:hAnsi="Book Antiqua" w:cs="Book Antiqua"/>
          <w:color w:val="000000"/>
        </w:rPr>
        <w:t>m</w:t>
      </w:r>
      <w:r w:rsidR="00481C54" w:rsidRPr="001A4AA9">
        <w:rPr>
          <w:rFonts w:ascii="Book Antiqua" w:eastAsia="Book Antiqua" w:hAnsi="Book Antiqua" w:cs="Book Antiqua"/>
          <w:color w:val="000000"/>
        </w:rPr>
        <w:t>odel for end-stage liver disease</w:t>
      </w:r>
      <w:r w:rsidRPr="001A4AA9">
        <w:rPr>
          <w:rFonts w:ascii="Book Antiqua" w:eastAsia="Book Antiqua" w:hAnsi="Book Antiqua" w:cs="Book Antiqua"/>
          <w:color w:val="000000"/>
        </w:rPr>
        <w:t xml:space="preserve"> score</w:t>
      </w:r>
      <w:r w:rsidRPr="001A4AA9">
        <w:rPr>
          <w:rFonts w:ascii="Book Antiqua" w:eastAsia="Book Antiqua" w:hAnsi="Book Antiqua" w:cs="Book Antiqua"/>
          <w:color w:val="000000"/>
          <w:vertAlign w:val="superscript"/>
        </w:rPr>
        <w:t>[43]</w:t>
      </w:r>
      <w:r w:rsidRPr="001A4AA9">
        <w:rPr>
          <w:rFonts w:ascii="Book Antiqua" w:eastAsia="Book Antiqua" w:hAnsi="Book Antiqua" w:cs="Book Antiqua"/>
          <w:color w:val="000000"/>
        </w:rPr>
        <w:t>. Furthermore, some data suggest an important role for new-onset diabetes in chronic hepatitis C patients, which seems to lead to a significantly higher cumulative incidence of HCC</w:t>
      </w:r>
      <w:r w:rsidRPr="001A4AA9">
        <w:rPr>
          <w:rFonts w:ascii="Book Antiqua" w:eastAsia="Book Antiqua" w:hAnsi="Book Antiqua" w:cs="Book Antiqua"/>
          <w:color w:val="000000"/>
          <w:vertAlign w:val="superscript"/>
        </w:rPr>
        <w:t>[37,44]</w:t>
      </w:r>
      <w:r w:rsidRPr="001A4AA9">
        <w:rPr>
          <w:rFonts w:ascii="Book Antiqua" w:eastAsia="Book Antiqua" w:hAnsi="Book Antiqua" w:cs="Book Antiqua"/>
          <w:color w:val="000000"/>
        </w:rPr>
        <w:t>.</w:t>
      </w:r>
    </w:p>
    <w:p w14:paraId="151DFF12" w14:textId="6D17237C"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The effects of HCV eradication on glycometabolic control have been widely investigated. Although SVR after IFN/ribavirin therapies was already known to be associated with a significantly reduced risk of developing T2DM after long-term follow-up</w:t>
      </w:r>
      <w:r w:rsidRPr="001A4AA9">
        <w:rPr>
          <w:rFonts w:ascii="Book Antiqua" w:eastAsia="Book Antiqua" w:hAnsi="Book Antiqua" w:cs="Book Antiqua"/>
          <w:color w:val="000000"/>
          <w:shd w:val="clear" w:color="auto" w:fill="FFFFFF"/>
          <w:vertAlign w:val="superscript"/>
        </w:rPr>
        <w:t>[45-48]</w:t>
      </w:r>
      <w:r w:rsidRPr="001A4AA9">
        <w:rPr>
          <w:rFonts w:ascii="Book Antiqua" w:eastAsia="Book Antiqua" w:hAnsi="Book Antiqua" w:cs="Book Antiqua"/>
          <w:color w:val="000000"/>
          <w:shd w:val="clear" w:color="auto" w:fill="FFFFFF"/>
        </w:rPr>
        <w:t xml:space="preserve">, </w:t>
      </w:r>
      <w:r w:rsidRPr="001A4AA9">
        <w:rPr>
          <w:rFonts w:ascii="Book Antiqua" w:eastAsia="Book Antiqua" w:hAnsi="Book Antiqua" w:cs="Book Antiqua"/>
          <w:color w:val="000000"/>
        </w:rPr>
        <w:t>data collected in the DAA</w:t>
      </w:r>
      <w:r w:rsidR="00A32EC4">
        <w:rPr>
          <w:rFonts w:ascii="Book Antiqua" w:eastAsia="Book Antiqua" w:hAnsi="Book Antiqua" w:cs="Book Antiqua"/>
          <w:color w:val="000000"/>
        </w:rPr>
        <w:t xml:space="preserve"> </w:t>
      </w:r>
      <w:r w:rsidRPr="001A4AA9">
        <w:rPr>
          <w:rFonts w:ascii="Book Antiqua" w:eastAsia="Book Antiqua" w:hAnsi="Book Antiqua" w:cs="Book Antiqua"/>
          <w:color w:val="000000"/>
        </w:rPr>
        <w:t>era suggest a great benefit of antiviral treatment in HCV patients who already have glucose abnormalities. Many studies have shown a significant improvement in insulin sensitivity</w:t>
      </w:r>
      <w:r w:rsidRPr="001A4AA9">
        <w:rPr>
          <w:rFonts w:ascii="Book Antiqua" w:eastAsia="Book Antiqua" w:hAnsi="Book Antiqua" w:cs="Book Antiqua"/>
          <w:color w:val="000000"/>
          <w:vertAlign w:val="superscript"/>
        </w:rPr>
        <w:t>[49]</w:t>
      </w:r>
      <w:r w:rsidRPr="001A4AA9">
        <w:rPr>
          <w:rFonts w:ascii="Book Antiqua" w:eastAsia="Book Antiqua" w:hAnsi="Book Antiqua" w:cs="Book Antiqua"/>
          <w:color w:val="000000"/>
        </w:rPr>
        <w:t>, hemoglobin A1c and fasting glucose plasma levels in patients who achieved SVR after DAA therapy</w:t>
      </w:r>
      <w:r w:rsidRPr="001A4AA9">
        <w:rPr>
          <w:rFonts w:ascii="Book Antiqua" w:eastAsia="Book Antiqua" w:hAnsi="Book Antiqua" w:cs="Book Antiqua"/>
          <w:color w:val="000000"/>
          <w:vertAlign w:val="superscript"/>
        </w:rPr>
        <w:t>[50-53]</w:t>
      </w:r>
      <w:r w:rsidRPr="001A4AA9">
        <w:rPr>
          <w:rFonts w:ascii="Book Antiqua" w:eastAsia="Book Antiqua" w:hAnsi="Book Antiqua" w:cs="Book Antiqua"/>
          <w:color w:val="000000"/>
        </w:rPr>
        <w:t xml:space="preserve">. A prospective case-control study showed IR improvements in 76.5% of patients who achieved SVR and a normalized IR in about 41% of them, with these data being confirmed </w:t>
      </w:r>
      <w:r w:rsidR="009C33EE">
        <w:rPr>
          <w:rFonts w:ascii="Book Antiqua" w:eastAsia="Book Antiqua" w:hAnsi="Book Antiqua" w:cs="Book Antiqua"/>
          <w:color w:val="000000"/>
        </w:rPr>
        <w:t>3 mo</w:t>
      </w:r>
      <w:r w:rsidRPr="001A4AA9">
        <w:rPr>
          <w:rFonts w:ascii="Book Antiqua" w:eastAsia="Book Antiqua" w:hAnsi="Book Antiqua" w:cs="Book Antiqua"/>
          <w:color w:val="000000"/>
        </w:rPr>
        <w:t xml:space="preserve"> after treatment withdrawal</w:t>
      </w:r>
      <w:r w:rsidRPr="001A4AA9">
        <w:rPr>
          <w:rFonts w:ascii="Book Antiqua" w:eastAsia="Book Antiqua" w:hAnsi="Book Antiqua" w:cs="Book Antiqua"/>
          <w:color w:val="000000"/>
          <w:vertAlign w:val="superscript"/>
        </w:rPr>
        <w:t>[54]</w:t>
      </w:r>
      <w:r w:rsidRPr="001A4AA9">
        <w:rPr>
          <w:rFonts w:ascii="Book Antiqua" w:eastAsia="Book Antiqua" w:hAnsi="Book Antiqua" w:cs="Book Antiqua"/>
          <w:color w:val="000000"/>
        </w:rPr>
        <w:t>. Moreover, patients with SVR also required a lower dose of antidiabetic medications than those without</w:t>
      </w:r>
      <w:r w:rsidRPr="001A4AA9">
        <w:rPr>
          <w:rFonts w:ascii="Book Antiqua" w:eastAsia="Book Antiqua" w:hAnsi="Book Antiqua" w:cs="Book Antiqua"/>
          <w:color w:val="000000"/>
          <w:vertAlign w:val="superscript"/>
        </w:rPr>
        <w:t>[51]</w:t>
      </w:r>
      <w:r w:rsidRPr="001A4AA9">
        <w:rPr>
          <w:rFonts w:ascii="Book Antiqua" w:eastAsia="Book Antiqua" w:hAnsi="Book Antiqua" w:cs="Book Antiqua"/>
          <w:color w:val="000000"/>
        </w:rPr>
        <w:t xml:space="preserve">. Interestingly, these metabolic changes seem to be </w:t>
      </w:r>
      <w:r w:rsidR="00A32EC4" w:rsidRPr="001A4AA9">
        <w:rPr>
          <w:rFonts w:ascii="Book Antiqua" w:eastAsia="Book Antiqua" w:hAnsi="Book Antiqua" w:cs="Book Antiqua"/>
          <w:color w:val="000000"/>
        </w:rPr>
        <w:t>body mass index</w:t>
      </w:r>
      <w:r w:rsidRPr="001A4AA9">
        <w:rPr>
          <w:rFonts w:ascii="Book Antiqua" w:eastAsia="Book Antiqua" w:hAnsi="Book Antiqua" w:cs="Book Antiqua"/>
          <w:color w:val="000000"/>
        </w:rPr>
        <w:t>-independent</w:t>
      </w:r>
      <w:r w:rsidRPr="001A4AA9">
        <w:rPr>
          <w:rFonts w:ascii="Book Antiqua" w:eastAsia="Book Antiqua" w:hAnsi="Book Antiqua" w:cs="Book Antiqua"/>
          <w:color w:val="000000"/>
          <w:vertAlign w:val="superscript"/>
        </w:rPr>
        <w:t>[55]</w:t>
      </w:r>
      <w:r w:rsidRPr="001A4AA9">
        <w:rPr>
          <w:rFonts w:ascii="Book Antiqua" w:eastAsia="Book Antiqua" w:hAnsi="Book Antiqua" w:cs="Book Antiqua"/>
          <w:color w:val="000000"/>
        </w:rPr>
        <w:t>. Nevertheless, more studies are needed to clarify the long-term effects after DAA therapy.</w:t>
      </w:r>
    </w:p>
    <w:p w14:paraId="3ACF2351" w14:textId="7EDFE2B8"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All these observations lead to another question: does HCV eradication affect diabetes mellitus-related long-term complications? T</w:t>
      </w:r>
      <w:r w:rsidRPr="001A4AA9">
        <w:rPr>
          <w:rFonts w:ascii="Book Antiqua" w:eastAsia="Book Antiqua" w:hAnsi="Book Antiqua" w:cs="Book Antiqua"/>
          <w:color w:val="000000"/>
          <w:shd w:val="clear" w:color="auto" w:fill="FFFFFF"/>
        </w:rPr>
        <w:t xml:space="preserve">he clinical impact of successful antiviral therapy on the long-term outcomes of T2DM in HCV patients remains largely unknown, mainly because of the lack of specific prospective studies. However, </w:t>
      </w:r>
      <w:r w:rsidR="00A32EC4">
        <w:rPr>
          <w:rFonts w:ascii="Book Antiqua" w:eastAsia="Book Antiqua" w:hAnsi="Book Antiqua" w:cs="Book Antiqua"/>
          <w:color w:val="000000"/>
          <w:shd w:val="clear" w:color="auto" w:fill="FFFFFF"/>
        </w:rPr>
        <w:t xml:space="preserve">based </w:t>
      </w:r>
      <w:r w:rsidRPr="001A4AA9">
        <w:rPr>
          <w:rFonts w:ascii="Book Antiqua" w:eastAsia="Book Antiqua" w:hAnsi="Book Antiqua" w:cs="Book Antiqua"/>
          <w:color w:val="000000"/>
          <w:shd w:val="clear" w:color="auto" w:fill="FFFFFF"/>
        </w:rPr>
        <w:t xml:space="preserve">on </w:t>
      </w:r>
      <w:r w:rsidRPr="001A4AA9">
        <w:rPr>
          <w:rFonts w:ascii="Book Antiqua" w:eastAsia="Book Antiqua" w:hAnsi="Book Antiqua" w:cs="Book Antiqua"/>
          <w:color w:val="000000"/>
          <w:shd w:val="clear" w:color="auto" w:fill="FFFFFF"/>
        </w:rPr>
        <w:lastRenderedPageBreak/>
        <w:t xml:space="preserve">the above-mentioned data, it is reasonable to presume that HCV eradication could also reduce long-term metabolic-related complications. A Taiwanese population-based cohort study found that better renal and cardiovascular outcomes were obtained in the group treated with the antiviral </w:t>
      </w:r>
      <w:r w:rsidRPr="001A4AA9">
        <w:rPr>
          <w:rFonts w:ascii="Book Antiqua" w:eastAsia="Book Antiqua" w:hAnsi="Book Antiqua" w:cs="Book Antiqua"/>
          <w:color w:val="000000"/>
        </w:rPr>
        <w:t>IFN/ribavirin regimen than in the untreated cohort</w:t>
      </w:r>
      <w:r w:rsidRPr="001A4AA9">
        <w:rPr>
          <w:rFonts w:ascii="Book Antiqua" w:eastAsia="Book Antiqua" w:hAnsi="Book Antiqua" w:cs="Book Antiqua"/>
          <w:color w:val="000000"/>
          <w:vertAlign w:val="superscript"/>
        </w:rPr>
        <w:t>[56]</w:t>
      </w:r>
      <w:r w:rsidRPr="001A4AA9">
        <w:rPr>
          <w:rFonts w:ascii="Book Antiqua" w:eastAsia="Book Antiqua" w:hAnsi="Book Antiqua" w:cs="Book Antiqua"/>
          <w:color w:val="000000"/>
        </w:rPr>
        <w:t xml:space="preserve">. Another study showed </w:t>
      </w:r>
      <w:r w:rsidRPr="001A4AA9">
        <w:rPr>
          <w:rFonts w:ascii="Book Antiqua" w:eastAsia="Book Antiqua" w:hAnsi="Book Antiqua" w:cs="Book Antiqua"/>
          <w:color w:val="000000"/>
          <w:shd w:val="clear" w:color="auto" w:fill="FFFFFF"/>
        </w:rPr>
        <w:t>a decreased incidence of acute coronary syndrome, end-stage renal disease, ischemic stroke and retinopathy after HCV eradication, both with IFN and with DAA treatment, regardless of cirrhosis</w:t>
      </w:r>
      <w:r w:rsidRPr="001A4AA9">
        <w:rPr>
          <w:rFonts w:ascii="Book Antiqua" w:eastAsia="Book Antiqua" w:hAnsi="Book Antiqua" w:cs="Book Antiqua"/>
          <w:color w:val="000000"/>
          <w:shd w:val="clear" w:color="auto" w:fill="FFFFFF"/>
          <w:vertAlign w:val="superscript"/>
        </w:rPr>
        <w:t>[57]</w:t>
      </w:r>
      <w:r w:rsidRPr="001A4AA9">
        <w:rPr>
          <w:rFonts w:ascii="Book Antiqua" w:eastAsia="Book Antiqua" w:hAnsi="Book Antiqua" w:cs="Book Antiqua"/>
          <w:color w:val="000000"/>
          <w:shd w:val="clear" w:color="auto" w:fill="FFFFFF"/>
        </w:rPr>
        <w:t>. Whether the reduction in cardiovascular events observed in diabetic patients after HCV eradication is due to a beneficial effect on T2DM itself or to the disappearance of systemic chronic inflammation remains to be clarified.</w:t>
      </w:r>
      <w:r w:rsidRPr="001A4AA9">
        <w:rPr>
          <w:rFonts w:ascii="Book Antiqua" w:eastAsia="Book Antiqua" w:hAnsi="Book Antiqua" w:cs="Book Antiqua"/>
          <w:color w:val="000000"/>
        </w:rPr>
        <w:t xml:space="preserve"> </w:t>
      </w:r>
    </w:p>
    <w:p w14:paraId="378AA2BC" w14:textId="78FD5C09"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Although HCV eradication has important benefits for glycometabolic control, some negative aspects of DAA treatment in diabetic patients must be </w:t>
      </w:r>
      <w:r w:rsidR="00A32EC4" w:rsidRPr="001A4AA9">
        <w:rPr>
          <w:rFonts w:ascii="Book Antiqua" w:eastAsia="Book Antiqua" w:hAnsi="Book Antiqua" w:cs="Book Antiqua"/>
          <w:color w:val="000000"/>
        </w:rPr>
        <w:t>considered</w:t>
      </w:r>
      <w:r w:rsidRPr="001A4AA9">
        <w:rPr>
          <w:rFonts w:ascii="Book Antiqua" w:eastAsia="Book Antiqua" w:hAnsi="Book Antiqua" w:cs="Book Antiqua"/>
          <w:color w:val="000000"/>
        </w:rPr>
        <w:t xml:space="preserve">. </w:t>
      </w:r>
      <w:r w:rsidRPr="001A4AA9">
        <w:rPr>
          <w:rFonts w:ascii="Book Antiqua" w:eastAsia="Book Antiqua" w:hAnsi="Book Antiqua" w:cs="Book Antiqua"/>
          <w:color w:val="000000"/>
          <w:shd w:val="clear" w:color="auto" w:fill="FFFFFF"/>
        </w:rPr>
        <w:t>In fact, a Health Canada review has pointed out a link between DAA use and the risk of dysglycemia (including hypo/hyperglycemia and new-onset diabetes). The evidence was stronger concerning the risk of hypoglycemia in patients with an increased insulin sensitivity and a decreased need for antidiabetic medications</w:t>
      </w:r>
      <w:r w:rsidRPr="001A4AA9">
        <w:rPr>
          <w:rFonts w:ascii="Book Antiqua" w:eastAsia="Book Antiqua" w:hAnsi="Book Antiqua" w:cs="Book Antiqua"/>
          <w:color w:val="000000"/>
          <w:shd w:val="clear" w:color="auto" w:fill="FFFFFF"/>
          <w:vertAlign w:val="superscript"/>
        </w:rPr>
        <w:t>[58]</w:t>
      </w:r>
      <w:r w:rsidRPr="001A4AA9">
        <w:rPr>
          <w:rFonts w:ascii="Book Antiqua" w:eastAsia="Book Antiqua" w:hAnsi="Book Antiqua" w:cs="Book Antiqua"/>
          <w:color w:val="000000"/>
          <w:shd w:val="clear" w:color="auto" w:fill="FFFFFF"/>
        </w:rPr>
        <w:t>. Thus, patients with diabetes who start an anti-HCV therapy with DAAs should be closely monitored for changes in glucose levels, particularly in the first 3 mo of treatment, and adjustments to their diabetic medication or doses may be necessary.</w:t>
      </w:r>
    </w:p>
    <w:p w14:paraId="5C91C4A3" w14:textId="3D5F4791"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Independent of the association between HCV and diabetes and diabetes-related consequences, HCV infection seems to be directly associated with an increased risk of cardiovascular disease. Emerging data show that HCV infection might increase the risk of cardiovascular disease by 20%</w:t>
      </w:r>
      <w:r w:rsidRPr="001A4AA9">
        <w:rPr>
          <w:rFonts w:ascii="Book Antiqua" w:eastAsia="Book Antiqua" w:hAnsi="Book Antiqua" w:cs="Book Antiqua"/>
          <w:color w:val="000000"/>
          <w:vertAlign w:val="superscript"/>
        </w:rPr>
        <w:t>[59]</w:t>
      </w:r>
      <w:r w:rsidRPr="001A4AA9">
        <w:rPr>
          <w:rFonts w:ascii="Book Antiqua" w:eastAsia="Book Antiqua" w:hAnsi="Book Antiqua" w:cs="Book Antiqua"/>
          <w:color w:val="000000"/>
        </w:rPr>
        <w:t>. HCV</w:t>
      </w:r>
      <w:r w:rsidR="00A32EC4">
        <w:rPr>
          <w:rFonts w:ascii="Book Antiqua" w:eastAsia="Book Antiqua" w:hAnsi="Book Antiqua" w:cs="Book Antiqua"/>
          <w:color w:val="000000"/>
        </w:rPr>
        <w:t xml:space="preserve"> </w:t>
      </w:r>
      <w:r w:rsidRPr="001A4AA9">
        <w:rPr>
          <w:rFonts w:ascii="Book Antiqua" w:eastAsia="Book Antiqua" w:hAnsi="Book Antiqua" w:cs="Book Antiqua"/>
          <w:color w:val="000000"/>
        </w:rPr>
        <w:t>RNA has been found in the carotid plaques of infected subjects</w:t>
      </w:r>
      <w:r w:rsidRPr="001A4AA9">
        <w:rPr>
          <w:rFonts w:ascii="Book Antiqua" w:eastAsia="Book Antiqua" w:hAnsi="Book Antiqua" w:cs="Book Antiqua"/>
          <w:color w:val="000000"/>
          <w:vertAlign w:val="superscript"/>
        </w:rPr>
        <w:t>[60]</w:t>
      </w:r>
      <w:r w:rsidRPr="001A4AA9">
        <w:rPr>
          <w:rFonts w:ascii="Book Antiqua" w:eastAsia="Book Antiqua" w:hAnsi="Book Antiqua" w:cs="Book Antiqua"/>
          <w:color w:val="000000"/>
        </w:rPr>
        <w:t>. Thus, HCV could cause atherosclerosis through colonization and replication within the arterial wall</w:t>
      </w:r>
      <w:r w:rsidRPr="001A4AA9">
        <w:rPr>
          <w:rFonts w:ascii="Book Antiqua" w:eastAsia="Book Antiqua" w:hAnsi="Book Antiqua" w:cs="Book Antiqua"/>
          <w:color w:val="000000"/>
          <w:vertAlign w:val="superscript"/>
        </w:rPr>
        <w:t>[61]</w:t>
      </w:r>
      <w:r w:rsidRPr="001A4AA9">
        <w:rPr>
          <w:rFonts w:ascii="Book Antiqua" w:eastAsia="Book Antiqua" w:hAnsi="Book Antiqua" w:cs="Book Antiqua"/>
          <w:color w:val="000000"/>
        </w:rPr>
        <w:t>, but other mechanisms may be involved, such as oxidative stress and the imbalanced secretion of inflammatory molecules</w:t>
      </w:r>
      <w:r w:rsidRPr="001A4AA9">
        <w:rPr>
          <w:rFonts w:ascii="Book Antiqua" w:eastAsia="Book Antiqua" w:hAnsi="Book Antiqua" w:cs="Book Antiqua"/>
          <w:color w:val="000000"/>
          <w:vertAlign w:val="superscript"/>
        </w:rPr>
        <w:t>[62-65],</w:t>
      </w:r>
      <w:r w:rsidRPr="001A4AA9">
        <w:rPr>
          <w:rFonts w:ascii="Book Antiqua" w:eastAsia="Book Antiqua" w:hAnsi="Book Antiqua" w:cs="Book Antiqua"/>
          <w:color w:val="000000"/>
        </w:rPr>
        <w:t xml:space="preserve"> including C-reactive protein, soluble adhesion molecules and soluble E-selectin</w:t>
      </w:r>
      <w:r w:rsidRPr="001A4AA9">
        <w:rPr>
          <w:rFonts w:ascii="Book Antiqua" w:eastAsia="Book Antiqua" w:hAnsi="Book Antiqua" w:cs="Book Antiqua"/>
          <w:color w:val="000000"/>
          <w:vertAlign w:val="superscript"/>
        </w:rPr>
        <w:t>[66]</w:t>
      </w:r>
      <w:r w:rsidRPr="001A4AA9">
        <w:rPr>
          <w:rFonts w:ascii="Book Antiqua" w:eastAsia="Book Antiqua" w:hAnsi="Book Antiqua" w:cs="Book Antiqua"/>
          <w:color w:val="000000"/>
        </w:rPr>
        <w:t>.</w:t>
      </w:r>
    </w:p>
    <w:p w14:paraId="5F317FD9" w14:textId="1A4F2C3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Does SVR have a favorable impact on major adverse cardiovascular events? It has been demonstrated that HCV clearance improves carotid atherosclerosis. Indeed, an intima-media thickness ≥ 1 mm has been associated with a higher risk of cardiovascular </w:t>
      </w:r>
      <w:r w:rsidRPr="001A4AA9">
        <w:rPr>
          <w:rFonts w:ascii="Book Antiqua" w:eastAsia="Book Antiqua" w:hAnsi="Book Antiqua" w:cs="Book Antiqua"/>
          <w:color w:val="000000"/>
        </w:rPr>
        <w:lastRenderedPageBreak/>
        <w:t>events</w:t>
      </w:r>
      <w:r w:rsidRPr="001A4AA9">
        <w:rPr>
          <w:rFonts w:ascii="Book Antiqua" w:eastAsia="Book Antiqua" w:hAnsi="Book Antiqua" w:cs="Book Antiqua"/>
          <w:color w:val="000000"/>
          <w:vertAlign w:val="superscript"/>
        </w:rPr>
        <w:t>[67,68]</w:t>
      </w:r>
      <w:r w:rsidRPr="001A4AA9">
        <w:rPr>
          <w:rFonts w:ascii="Book Antiqua" w:eastAsia="Book Antiqua" w:hAnsi="Book Antiqua" w:cs="Book Antiqua"/>
          <w:color w:val="000000"/>
        </w:rPr>
        <w:t xml:space="preserve">, but when evaluated at 9-12 mo after the end of DAA-therapy, </w:t>
      </w:r>
      <w:r w:rsidR="00A32EC4" w:rsidRPr="001A4AA9">
        <w:rPr>
          <w:rFonts w:ascii="Book Antiqua" w:eastAsia="Book Antiqua" w:hAnsi="Book Antiqua" w:cs="Book Antiqua"/>
          <w:color w:val="000000"/>
        </w:rPr>
        <w:t>intima-media thickness</w:t>
      </w:r>
      <w:r w:rsidRPr="001A4AA9">
        <w:rPr>
          <w:rFonts w:ascii="Book Antiqua" w:eastAsia="Book Antiqua" w:hAnsi="Book Antiqua" w:cs="Book Antiqua"/>
          <w:color w:val="000000"/>
        </w:rPr>
        <w:t xml:space="preserve"> and carotid thickening appeared significantly decreased compared to baseline.</w:t>
      </w:r>
    </w:p>
    <w:p w14:paraId="0902917C" w14:textId="19F02D81"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An analysis of a large cohort of HCV-infected veterans evaluated the impact of HCV treatment on cardiovascular events in a population free of any cardiovascular disease at baseline. The study included 4436 patients treated with a pegylated interferon–ribavirin regimen, 12667 patients treated with a DAA regimen and 17103 HCV-infected matched controls. Results showed that HCV treatment both with IFN-based regimens and with DAAs was associated with a significantly decreased incidence of all cardiovascular events: acute myocardial infarction, unstable angina, congestive heart failure, peripheral vascular disease, percutaneous transluminal coronary angioplasty, coronary artery bypass grafting and stroke. The greatest benefits were observed in the DAA-treated group. Patients with advanced liver fibrosis at baseline had a higher incidence of cardiovascular events than those with minimal or no fibrosis. Nevertheless, a marked reduction in cardiovascular disease incidence was observed in treated patients independently of the degree of liver fibrosis</w:t>
      </w:r>
      <w:r w:rsidR="00C437D1">
        <w:rPr>
          <w:rFonts w:ascii="Book Antiqua" w:eastAsia="Book Antiqua" w:hAnsi="Book Antiqua" w:cs="Book Antiqua"/>
          <w:color w:val="000000"/>
        </w:rPr>
        <w:t>,</w:t>
      </w:r>
      <w:r w:rsidRPr="001A4AA9">
        <w:rPr>
          <w:rFonts w:ascii="Book Antiqua" w:eastAsia="Book Antiqua" w:hAnsi="Book Antiqua" w:cs="Book Antiqua"/>
          <w:color w:val="000000"/>
        </w:rPr>
        <w:t xml:space="preserve"> and patients with more advanced fibrosis received the greatest advantage</w:t>
      </w:r>
      <w:r w:rsidRPr="001A4AA9">
        <w:rPr>
          <w:rFonts w:ascii="Book Antiqua" w:eastAsia="Book Antiqua" w:hAnsi="Book Antiqua" w:cs="Book Antiqua"/>
          <w:color w:val="000000"/>
          <w:vertAlign w:val="superscript"/>
        </w:rPr>
        <w:t>[69]</w:t>
      </w:r>
      <w:r w:rsidRPr="001A4AA9">
        <w:rPr>
          <w:rFonts w:ascii="Book Antiqua" w:eastAsia="Book Antiqua" w:hAnsi="Book Antiqua" w:cs="Book Antiqua"/>
          <w:color w:val="000000"/>
        </w:rPr>
        <w:t>.</w:t>
      </w:r>
    </w:p>
    <w:p w14:paraId="4293F9DE" w14:textId="6A5F87A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 reduction in cardiovascular deaths after viral eradication has been observed in cirrhotic patients</w:t>
      </w:r>
      <w:r w:rsidRPr="001A4AA9">
        <w:rPr>
          <w:rFonts w:ascii="Book Antiqua" w:eastAsia="Book Antiqua" w:hAnsi="Book Antiqua" w:cs="Book Antiqua"/>
          <w:color w:val="000000"/>
          <w:vertAlign w:val="superscript"/>
        </w:rPr>
        <w:t>[70]</w:t>
      </w:r>
      <w:r w:rsidRPr="001A4AA9">
        <w:rPr>
          <w:rFonts w:ascii="Book Antiqua" w:eastAsia="Book Antiqua" w:hAnsi="Book Antiqua" w:cs="Book Antiqua"/>
          <w:color w:val="000000"/>
        </w:rPr>
        <w:t>. Moreover, a recent evaluation of the Italian Rete Sicilia Selezione Terapia-HCV cohort confirmed that DAA-induced SVR is independently associated with a reduction in the risk of both hepatic and cardiovascular mortality</w:t>
      </w:r>
      <w:r w:rsidRPr="001A4AA9">
        <w:rPr>
          <w:rFonts w:ascii="Book Antiqua" w:eastAsia="Book Antiqua" w:hAnsi="Book Antiqua" w:cs="Book Antiqua"/>
          <w:color w:val="000000"/>
          <w:vertAlign w:val="superscript"/>
        </w:rPr>
        <w:t>[71,72]</w:t>
      </w:r>
      <w:r w:rsidRPr="001A4AA9">
        <w:rPr>
          <w:rFonts w:ascii="Book Antiqua" w:eastAsia="Book Antiqua" w:hAnsi="Book Antiqua" w:cs="Book Antiqua"/>
          <w:color w:val="000000"/>
        </w:rPr>
        <w:t>. This observation has been further confirmed in other studies</w:t>
      </w:r>
      <w:r w:rsidRPr="001A4AA9">
        <w:rPr>
          <w:rFonts w:ascii="Book Antiqua" w:eastAsia="Book Antiqua" w:hAnsi="Book Antiqua" w:cs="Book Antiqua"/>
          <w:color w:val="000000"/>
          <w:vertAlign w:val="superscript"/>
        </w:rPr>
        <w:t>[73]</w:t>
      </w:r>
      <w:r w:rsidRPr="001A4AA9">
        <w:rPr>
          <w:rFonts w:ascii="Book Antiqua" w:eastAsia="Book Antiqua" w:hAnsi="Book Antiqua" w:cs="Book Antiqua"/>
          <w:color w:val="000000"/>
        </w:rPr>
        <w:t>.</w:t>
      </w:r>
    </w:p>
    <w:p w14:paraId="41E59FDA" w14:textId="38F43D5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shd w:val="clear" w:color="auto" w:fill="FFFFFF"/>
        </w:rPr>
        <w:t>In conclusion, DAA treatment in HCV patients with glucose abnormalities is associated with an improvement in glucose control and a reduced need for antidiabetic medications. Furthermore, HCV eradication in diabetic patients seems to reduce the incidence of long-term vascular complications. However, glucose levels in HCV diabetic patients undergoing DAA treatment should be closely monitored because of the risk of hypoglycemia</w:t>
      </w:r>
      <w:r w:rsidR="00C437D1">
        <w:rPr>
          <w:rFonts w:ascii="Book Antiqua" w:eastAsia="Book Antiqua" w:hAnsi="Book Antiqua" w:cs="Book Antiqua"/>
          <w:color w:val="000000"/>
          <w:shd w:val="clear" w:color="auto" w:fill="FFFFFF"/>
        </w:rPr>
        <w:t>,</w:t>
      </w:r>
      <w:r w:rsidRPr="001A4AA9">
        <w:rPr>
          <w:rFonts w:ascii="Book Antiqua" w:eastAsia="Book Antiqua" w:hAnsi="Book Antiqua" w:cs="Book Antiqua"/>
          <w:color w:val="000000"/>
          <w:shd w:val="clear" w:color="auto" w:fill="FFFFFF"/>
        </w:rPr>
        <w:t xml:space="preserve"> and diabetic medications may need some adjustment. </w:t>
      </w:r>
    </w:p>
    <w:p w14:paraId="21323EBF" w14:textId="6AC25C3F"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DAA treatment is associated with a significantly decreased incidence of all cardiovascular events independent of the degree of liver fibrosis and is also associated with a reduction in the risk of both hepatic and cardiovascular mortality (Table 1).</w:t>
      </w:r>
    </w:p>
    <w:p w14:paraId="1F9DE2FB" w14:textId="77777777" w:rsidR="004C489D" w:rsidRPr="001A4AA9" w:rsidRDefault="004C489D" w:rsidP="001A4AA9">
      <w:pPr>
        <w:spacing w:line="360" w:lineRule="auto"/>
        <w:jc w:val="both"/>
        <w:rPr>
          <w:rFonts w:ascii="Book Antiqua" w:hAnsi="Book Antiqua"/>
        </w:rPr>
      </w:pPr>
    </w:p>
    <w:p w14:paraId="07197680" w14:textId="77777777" w:rsidR="004C489D" w:rsidRPr="001A4AA9" w:rsidRDefault="001B343C" w:rsidP="001A4AA9">
      <w:pPr>
        <w:spacing w:line="360" w:lineRule="auto"/>
        <w:jc w:val="both"/>
        <w:rPr>
          <w:rFonts w:ascii="Book Antiqua" w:hAnsi="Book Antiqua"/>
          <w:u w:val="single"/>
        </w:rPr>
      </w:pPr>
      <w:r w:rsidRPr="001A4AA9">
        <w:rPr>
          <w:rFonts w:ascii="Book Antiqua" w:eastAsia="Book Antiqua" w:hAnsi="Book Antiqua" w:cs="Book Antiqua"/>
          <w:b/>
          <w:bCs/>
          <w:color w:val="000000"/>
          <w:u w:val="single"/>
        </w:rPr>
        <w:t>IS THERE ANY CAUSE FOR CONCERN WHEN USING DAAs IN HCV PATIENTS WITH A CONCOMITANT HBV INFECTION</w:t>
      </w:r>
      <w:r w:rsidRPr="001A4AA9">
        <w:rPr>
          <w:rFonts w:ascii="Book Antiqua" w:eastAsia="Book Antiqua" w:hAnsi="Book Antiqua" w:cs="Book Antiqua"/>
          <w:color w:val="000000"/>
          <w:u w:val="single"/>
        </w:rPr>
        <w:t>?</w:t>
      </w:r>
    </w:p>
    <w:p w14:paraId="76E3D2A1" w14:textId="3AA0773F"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In patients with a HCV-HBV coinfection, HCV is usually the main driver of chronic inflammation and viral activity, while HBV</w:t>
      </w:r>
      <w:r w:rsidR="00783B3F">
        <w:rPr>
          <w:rFonts w:ascii="Book Antiqua" w:eastAsia="Book Antiqua" w:hAnsi="Book Antiqua" w:cs="Book Antiqua"/>
          <w:color w:val="000000"/>
        </w:rPr>
        <w:t xml:space="preserve"> </w:t>
      </w:r>
      <w:r w:rsidRPr="001A4AA9">
        <w:rPr>
          <w:rFonts w:ascii="Book Antiqua" w:eastAsia="Book Antiqua" w:hAnsi="Book Antiqua" w:cs="Book Antiqua"/>
          <w:color w:val="000000"/>
        </w:rPr>
        <w:t>DNA levels are generally low or undetectable</w:t>
      </w:r>
      <w:r w:rsidRPr="001A4AA9">
        <w:rPr>
          <w:rFonts w:ascii="Book Antiqua" w:eastAsia="Book Antiqua" w:hAnsi="Book Antiqua" w:cs="Book Antiqua"/>
          <w:color w:val="000000"/>
          <w:vertAlign w:val="superscript"/>
        </w:rPr>
        <w:t>[1]</w:t>
      </w:r>
      <w:r w:rsidRPr="001A4AA9">
        <w:rPr>
          <w:rFonts w:ascii="Book Antiqua" w:eastAsia="Book Antiqua" w:hAnsi="Book Antiqua" w:cs="Book Antiqua"/>
          <w:color w:val="000000"/>
        </w:rPr>
        <w:t>. In these patients, HBV flares have been described after HCV suppression both by IFN-based treatments and by DAAs</w:t>
      </w:r>
      <w:r w:rsidRPr="001A4AA9">
        <w:rPr>
          <w:rFonts w:ascii="Book Antiqua" w:eastAsia="Book Antiqua" w:hAnsi="Book Antiqua" w:cs="Book Antiqua"/>
          <w:color w:val="000000"/>
          <w:vertAlign w:val="superscript"/>
        </w:rPr>
        <w:t>[74,75]</w:t>
      </w:r>
      <w:r w:rsidRPr="001A4AA9">
        <w:rPr>
          <w:rFonts w:ascii="Book Antiqua" w:eastAsia="Book Antiqua" w:hAnsi="Book Antiqua" w:cs="Book Antiqua"/>
          <w:color w:val="000000"/>
        </w:rPr>
        <w:t xml:space="preserve">. </w:t>
      </w:r>
    </w:p>
    <w:p w14:paraId="1D146B4B" w14:textId="2E330C85"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 2016, the Food and Drugs Administration issued an alert about the risk of HBV reactivation in patients treated with DAAs. Notably, in some cases HBV reactivation resulted in severe liver disorders or death.</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 xml:space="preserve">The full data were subsequently published. They referred to 29 cases of HBV reactivation in HCV-HBV patients after treatment with DAAs. The median time lapse between DAA initiation and HBV reactivation was 46 d. Before DAA initiation, 13 patients were </w:t>
      </w:r>
      <w:r w:rsidR="00783B3F">
        <w:rPr>
          <w:rFonts w:ascii="Book Antiqua" w:eastAsia="Book Antiqua" w:hAnsi="Book Antiqua" w:cs="Book Antiqua"/>
          <w:color w:val="000000"/>
        </w:rPr>
        <w:t>hepatitis B surface antigen (</w:t>
      </w:r>
      <w:r w:rsidRPr="001A4AA9">
        <w:rPr>
          <w:rFonts w:ascii="Book Antiqua" w:eastAsia="Book Antiqua" w:hAnsi="Book Antiqua" w:cs="Book Antiqua"/>
          <w:color w:val="000000"/>
        </w:rPr>
        <w:t>HBsAg</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positive</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4 </w:t>
      </w:r>
      <w:r w:rsidR="00783B3F">
        <w:rPr>
          <w:rFonts w:ascii="Book Antiqua" w:eastAsia="Book Antiqua" w:hAnsi="Book Antiqua" w:cs="Book Antiqua"/>
          <w:color w:val="000000"/>
        </w:rPr>
        <w:t xml:space="preserve">patients </w:t>
      </w:r>
      <w:r w:rsidRPr="001A4AA9">
        <w:rPr>
          <w:rFonts w:ascii="Book Antiqua" w:eastAsia="Book Antiqua" w:hAnsi="Book Antiqua" w:cs="Book Antiqua"/>
          <w:color w:val="000000"/>
        </w:rPr>
        <w:t xml:space="preserve">were HBsAg negative, </w:t>
      </w:r>
      <w:r w:rsidR="00783B3F">
        <w:rPr>
          <w:rFonts w:ascii="Book Antiqua" w:eastAsia="Book Antiqua" w:hAnsi="Book Antiqua" w:cs="Book Antiqua"/>
          <w:color w:val="000000"/>
        </w:rPr>
        <w:t>and 12 patients did not have</w:t>
      </w:r>
      <w:r w:rsidRPr="001A4AA9">
        <w:rPr>
          <w:rFonts w:ascii="Book Antiqua" w:eastAsia="Book Antiqua" w:hAnsi="Book Antiqua" w:cs="Book Antiqua"/>
          <w:color w:val="000000"/>
        </w:rPr>
        <w:t xml:space="preserve"> HBsAg reported. Two cases resulted in death and </w:t>
      </w:r>
      <w:r w:rsidR="00783B3F">
        <w:rPr>
          <w:rFonts w:ascii="Book Antiqua" w:eastAsia="Book Antiqua" w:hAnsi="Book Antiqua" w:cs="Book Antiqua"/>
          <w:color w:val="000000"/>
        </w:rPr>
        <w:t>one</w:t>
      </w:r>
      <w:r w:rsidRPr="001A4AA9">
        <w:rPr>
          <w:rFonts w:ascii="Book Antiqua" w:eastAsia="Book Antiqua" w:hAnsi="Book Antiqua" w:cs="Book Antiqua"/>
          <w:color w:val="000000"/>
        </w:rPr>
        <w:t xml:space="preserve"> case in liver transplantation</w:t>
      </w:r>
      <w:r w:rsidRPr="001A4AA9">
        <w:rPr>
          <w:rFonts w:ascii="Book Antiqua" w:eastAsia="Book Antiqua" w:hAnsi="Book Antiqua" w:cs="Book Antiqua"/>
          <w:color w:val="000000"/>
          <w:vertAlign w:val="superscript"/>
        </w:rPr>
        <w:t>[76,77]</w:t>
      </w:r>
      <w:r w:rsidRPr="001A4AA9">
        <w:rPr>
          <w:rFonts w:ascii="Book Antiqua" w:eastAsia="Book Antiqua" w:hAnsi="Book Antiqua" w:cs="Book Antiqua"/>
          <w:color w:val="000000"/>
        </w:rPr>
        <w:t xml:space="preserve">. </w:t>
      </w:r>
    </w:p>
    <w:p w14:paraId="3364D904" w14:textId="375280D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Since then, various reports have been published on HBV reactivation in HCV-HBV patients treated with DAAs, both in HBsAg positive and in HBsAg negative/anti-</w:t>
      </w:r>
      <w:r w:rsidR="00783B3F">
        <w:rPr>
          <w:rFonts w:ascii="Book Antiqua" w:eastAsia="Book Antiqua" w:hAnsi="Book Antiqua" w:cs="Book Antiqua"/>
          <w:color w:val="000000"/>
        </w:rPr>
        <w:t>hepatitis B core (</w:t>
      </w:r>
      <w:r w:rsidRPr="001A4AA9">
        <w:rPr>
          <w:rFonts w:ascii="Book Antiqua" w:eastAsia="Book Antiqua" w:hAnsi="Book Antiqua" w:cs="Book Antiqua"/>
          <w:color w:val="000000"/>
        </w:rPr>
        <w:t>HBc</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positive patients</w:t>
      </w:r>
      <w:r w:rsidRPr="001A4AA9">
        <w:rPr>
          <w:rFonts w:ascii="Book Antiqua" w:eastAsia="Book Antiqua" w:hAnsi="Book Antiqua" w:cs="Book Antiqua"/>
          <w:color w:val="000000"/>
          <w:vertAlign w:val="superscript"/>
        </w:rPr>
        <w:t>[75,78,79]</w:t>
      </w:r>
      <w:r w:rsidRPr="001A4AA9">
        <w:rPr>
          <w:rFonts w:ascii="Book Antiqua" w:eastAsia="Book Antiqua" w:hAnsi="Book Antiqua" w:cs="Book Antiqua"/>
          <w:color w:val="000000"/>
        </w:rPr>
        <w:t>. The risk of HBV reactivation is lower in HBsAg negative/anti-HBc positive than in HBsAg-positive patients. An asymptomatic increase in HBV DNA level is generally observed, although clinically relevant events are infrequent</w:t>
      </w:r>
      <w:r w:rsidRPr="001A4AA9">
        <w:rPr>
          <w:rFonts w:ascii="Book Antiqua" w:eastAsia="Book Antiqua" w:hAnsi="Book Antiqua" w:cs="Book Antiqua"/>
          <w:color w:val="000000"/>
          <w:vertAlign w:val="superscript"/>
        </w:rPr>
        <w:t>[80]</w:t>
      </w:r>
      <w:r w:rsidRPr="001A4AA9">
        <w:rPr>
          <w:rFonts w:ascii="Book Antiqua" w:eastAsia="Book Antiqua" w:hAnsi="Book Antiqua" w:cs="Book Antiqua"/>
          <w:color w:val="000000"/>
        </w:rPr>
        <w:t>.</w:t>
      </w:r>
    </w:p>
    <w:p w14:paraId="3EE62DD8" w14:textId="3A3AAB22"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On the basis of all these data, the European Association for the Study of the Liver guidelines state that patients undergoing DAA treatment for hepatitis C should be tested for HBs antigen, anti-HBc antibodies and anti-HBs antibodies. If HBs</w:t>
      </w:r>
      <w:r w:rsidR="00783B3F">
        <w:rPr>
          <w:rFonts w:ascii="Book Antiqua" w:eastAsia="Book Antiqua" w:hAnsi="Book Antiqua" w:cs="Book Antiqua"/>
          <w:color w:val="000000"/>
        </w:rPr>
        <w:t>Ag</w:t>
      </w:r>
      <w:r w:rsidRPr="001A4AA9">
        <w:rPr>
          <w:rFonts w:ascii="Book Antiqua" w:eastAsia="Book Antiqua" w:hAnsi="Book Antiqua" w:cs="Book Antiqua"/>
          <w:color w:val="000000"/>
        </w:rPr>
        <w:t xml:space="preserve"> is present, </w:t>
      </w:r>
      <w:r w:rsidR="00783B3F">
        <w:rPr>
          <w:rFonts w:ascii="Book Antiqua" w:eastAsia="Book Antiqua" w:hAnsi="Book Antiqua" w:cs="Book Antiqua"/>
          <w:color w:val="000000"/>
        </w:rPr>
        <w:t xml:space="preserve">then </w:t>
      </w:r>
      <w:r w:rsidRPr="001A4AA9">
        <w:rPr>
          <w:rFonts w:ascii="Book Antiqua" w:eastAsia="Book Antiqua" w:hAnsi="Book Antiqua" w:cs="Book Antiqua"/>
          <w:color w:val="000000"/>
        </w:rPr>
        <w:t xml:space="preserve">therapy with anti-HBV nucleoside/nucleotide analogue is indicated. In HBsAg negative/anti-HBc positive patients, monitoring for </w:t>
      </w:r>
      <w:r w:rsidR="00783B3F">
        <w:rPr>
          <w:rFonts w:ascii="Book Antiqua" w:eastAsia="Book Antiqua" w:hAnsi="Book Antiqua" w:cs="Book Antiqua"/>
          <w:color w:val="000000"/>
        </w:rPr>
        <w:t>alanine transaminase</w:t>
      </w:r>
      <w:r w:rsidRPr="001A4AA9">
        <w:rPr>
          <w:rFonts w:ascii="Book Antiqua" w:eastAsia="Book Antiqua" w:hAnsi="Book Antiqua" w:cs="Book Antiqua"/>
          <w:color w:val="000000"/>
        </w:rPr>
        <w:t xml:space="preserve"> levels, HBsAg and HBV DNA would be warranted during and after anti-HCV therapy</w:t>
      </w:r>
      <w:r w:rsidRPr="001A4AA9">
        <w:rPr>
          <w:rFonts w:ascii="Book Antiqua" w:eastAsia="Book Antiqua" w:hAnsi="Book Antiqua" w:cs="Book Antiqua"/>
          <w:color w:val="000000"/>
          <w:vertAlign w:val="superscript"/>
        </w:rPr>
        <w:t>[1]</w:t>
      </w:r>
      <w:r w:rsidRPr="001A4AA9">
        <w:rPr>
          <w:rFonts w:ascii="Book Antiqua" w:eastAsia="Book Antiqua" w:hAnsi="Book Antiqua" w:cs="Book Antiqua"/>
          <w:i/>
          <w:iCs/>
          <w:color w:val="000000"/>
        </w:rPr>
        <w:t xml:space="preserve">. </w:t>
      </w:r>
    </w:p>
    <w:p w14:paraId="1F798493" w14:textId="33F1C338"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 xml:space="preserve">In conclusion, in patients with HCV/HBV coinfection there is a risk of HBV reactivation after HCV clearance. </w:t>
      </w:r>
      <w:r w:rsidR="00783B3F">
        <w:rPr>
          <w:rFonts w:ascii="Book Antiqua" w:eastAsia="Book Antiqua" w:hAnsi="Book Antiqua" w:cs="Book Antiqua"/>
          <w:color w:val="000000"/>
        </w:rPr>
        <w:t>However, t</w:t>
      </w:r>
      <w:r w:rsidRPr="001A4AA9">
        <w:rPr>
          <w:rFonts w:ascii="Book Antiqua" w:eastAsia="Book Antiqua" w:hAnsi="Book Antiqua" w:cs="Book Antiqua"/>
          <w:color w:val="000000"/>
        </w:rPr>
        <w:t>he risk is low, particularly in HBsAg-negative/anti-HBc-positive patients. It is generally associated with an asymptomatic increase in HBV DNA levels</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but threatening clinical events have been described. Patients undergoing DAA treatment should be tested for HBV infection (Table 1). </w:t>
      </w:r>
    </w:p>
    <w:p w14:paraId="13DFAB5C" w14:textId="77777777" w:rsidR="004C489D" w:rsidRPr="001A4AA9" w:rsidRDefault="004C489D" w:rsidP="001A4AA9">
      <w:pPr>
        <w:spacing w:line="360" w:lineRule="auto"/>
        <w:jc w:val="both"/>
        <w:rPr>
          <w:rFonts w:ascii="Book Antiqua" w:hAnsi="Book Antiqua"/>
        </w:rPr>
      </w:pPr>
    </w:p>
    <w:p w14:paraId="06BDA57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aps/>
          <w:color w:val="000000"/>
          <w:u w:val="single"/>
        </w:rPr>
        <w:t>CONCLUSION</w:t>
      </w:r>
    </w:p>
    <w:p w14:paraId="348287AD" w14:textId="5CDB1B2D"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DAAs are extremely effective in eradicating infection. Furthermore, treatments are very well-tolerated, and their duration is reduced. </w:t>
      </w:r>
      <w:r w:rsidR="00783B3F" w:rsidRPr="001A4AA9">
        <w:rPr>
          <w:rFonts w:ascii="Book Antiqua" w:eastAsia="Book Antiqua" w:hAnsi="Book Antiqua" w:cs="Book Antiqua"/>
          <w:color w:val="000000"/>
        </w:rPr>
        <w:t>Most of the</w:t>
      </w:r>
      <w:r w:rsidRPr="001A4AA9">
        <w:rPr>
          <w:rFonts w:ascii="Book Antiqua" w:eastAsia="Book Antiqua" w:hAnsi="Book Antiqua" w:cs="Book Antiqua"/>
          <w:color w:val="000000"/>
        </w:rPr>
        <w:t xml:space="preserve"> information has been obtained from studies including patients with chronic hepatitis or early cirrhosis, whereas large studies in patients with advanced cirrhosis have shown slightly lower but still quite satisfactory response rates, although modified treatment schedules may be necessary.</w:t>
      </w:r>
    </w:p>
    <w:p w14:paraId="0E9BB478" w14:textId="5CAE7366"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Despite these enthusiastic results, some important points must be kept in mind. First, although the incidence of liver cancer is reduced after viral eradication, it remains high enough to warrant the continuation of periodic surveillance for an early diagnosis. The risk of recurrence seems to be unaffected, even if survival improves in treated patients because of the reduced risk of liver disease progression.</w:t>
      </w:r>
    </w:p>
    <w:p w14:paraId="0667110D" w14:textId="77777777" w:rsidR="004C489D" w:rsidRPr="001A4AA9" w:rsidRDefault="001B343C" w:rsidP="00F952AD">
      <w:pPr>
        <w:spacing w:line="360" w:lineRule="auto"/>
        <w:ind w:firstLine="480"/>
        <w:jc w:val="both"/>
        <w:rPr>
          <w:rFonts w:ascii="Book Antiqua" w:hAnsi="Book Antiqua"/>
        </w:rPr>
      </w:pPr>
      <w:r w:rsidRPr="001A4AA9">
        <w:rPr>
          <w:rFonts w:ascii="Book Antiqua" w:eastAsia="Book Antiqua" w:hAnsi="Book Antiqua" w:cs="Book Antiqua"/>
          <w:color w:val="000000"/>
        </w:rPr>
        <w:t xml:space="preserve">Furthermore, HCV eradication is associated with a reduced diabetes incidence and improved glycemic control, but there are concerns about the risk of hypoglycemia after virus clearance. </w:t>
      </w:r>
    </w:p>
    <w:p w14:paraId="3B05CEB4" w14:textId="00976DBE"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In patients with HCV/HBV coinfection, HBV reactivation after HCV clearance has been described, sometimes associated with clinically relevant events. Baseline evaluation for HBV coinfection is therefore mandatory before treatment. </w:t>
      </w:r>
    </w:p>
    <w:p w14:paraId="68D7A4F5" w14:textId="77777777" w:rsidR="004C489D" w:rsidRPr="001A4AA9" w:rsidRDefault="004C489D" w:rsidP="001A4AA9">
      <w:pPr>
        <w:spacing w:line="360" w:lineRule="auto"/>
        <w:jc w:val="both"/>
        <w:rPr>
          <w:rFonts w:ascii="Book Antiqua" w:hAnsi="Book Antiqua"/>
        </w:rPr>
      </w:pPr>
    </w:p>
    <w:p w14:paraId="33E0357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REFERENCES</w:t>
      </w:r>
    </w:p>
    <w:p w14:paraId="3B70676E" w14:textId="416B7953"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 </w:t>
      </w:r>
      <w:r w:rsidRPr="001A4AA9">
        <w:rPr>
          <w:rFonts w:ascii="Book Antiqua" w:eastAsia="Book Antiqua" w:hAnsi="Book Antiqua" w:cs="Book Antiqua"/>
          <w:b/>
          <w:bCs/>
          <w:color w:val="000000"/>
        </w:rPr>
        <w:t>European Association for the Study of the Live</w:t>
      </w:r>
      <w:r w:rsidR="009C33EE">
        <w:rPr>
          <w:rFonts w:ascii="Book Antiqua" w:eastAsia="Book Antiqua" w:hAnsi="Book Antiqua" w:cs="Book Antiqua"/>
          <w:b/>
          <w:bCs/>
          <w:color w:val="000000"/>
        </w:rPr>
        <w:t>r</w:t>
      </w:r>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73</w:t>
      </w:r>
      <w:r w:rsidRPr="001A4AA9">
        <w:rPr>
          <w:rFonts w:ascii="Book Antiqua" w:eastAsia="Book Antiqua" w:hAnsi="Book Antiqua" w:cs="Book Antiqua"/>
          <w:color w:val="000000"/>
        </w:rPr>
        <w:t>: 1170-1218 [PMID: 32956768 DOI: 10.1016/j.jhep.2020.08.018]</w:t>
      </w:r>
    </w:p>
    <w:p w14:paraId="623CC63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 </w:t>
      </w:r>
      <w:r w:rsidRPr="001A4AA9">
        <w:rPr>
          <w:rFonts w:ascii="Book Antiqua" w:eastAsia="Book Antiqua" w:hAnsi="Book Antiqua" w:cs="Book Antiqua"/>
          <w:b/>
          <w:bCs/>
          <w:color w:val="000000"/>
        </w:rPr>
        <w:t>Feld JJ</w:t>
      </w:r>
      <w:r w:rsidRPr="001A4AA9">
        <w:rPr>
          <w:rFonts w:ascii="Book Antiqua" w:eastAsia="Book Antiqua" w:hAnsi="Book Antiqua" w:cs="Book Antiqua"/>
          <w:color w:val="000000"/>
        </w:rPr>
        <w:t xml:space="preserve">, Jacobson IM, Hézode C, Asselah T, Ruane PJ, Gruener N, Abergel A, Mangia A, Lai CL, Chan HL, Mazzotta F, Moreno C, Yoshida E, Shafran SD, Towner WJ, Tran TT, McNally J, Osinusi A, Svarovskaia E, Zhu Y, Brainard DM, McHutchison JG, </w:t>
      </w:r>
      <w:r w:rsidRPr="001A4AA9">
        <w:rPr>
          <w:rFonts w:ascii="Book Antiqua" w:eastAsia="Book Antiqua" w:hAnsi="Book Antiqua" w:cs="Book Antiqua"/>
          <w:color w:val="000000"/>
        </w:rPr>
        <w:lastRenderedPageBreak/>
        <w:t xml:space="preserve">Agarwal K, Zeuzem S; ASTRAL-1 Investigators. Sofosbuvir and Velpatasvir for HCV Genotype 1, 2, 4, 5, and 6 Infection. </w:t>
      </w:r>
      <w:r w:rsidRPr="001A4AA9">
        <w:rPr>
          <w:rFonts w:ascii="Book Antiqua" w:eastAsia="Book Antiqua" w:hAnsi="Book Antiqua" w:cs="Book Antiqua"/>
          <w:i/>
          <w:iCs/>
          <w:color w:val="000000"/>
        </w:rPr>
        <w:t>N Engl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2599-2607 [PMID: 26571066 DOI: 10.1056/NEJMoa1512610]</w:t>
      </w:r>
    </w:p>
    <w:p w14:paraId="508C40D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1A4AA9">
        <w:rPr>
          <w:rFonts w:ascii="Book Antiqua" w:eastAsia="Book Antiqua" w:hAnsi="Book Antiqua" w:cs="Book Antiqua"/>
          <w:i/>
          <w:iCs/>
          <w:color w:val="000000"/>
        </w:rPr>
        <w:t>N Engl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2608-2617 [PMID: 26575258 DOI: 10.1056/NEJMoa1512612]</w:t>
      </w:r>
    </w:p>
    <w:p w14:paraId="2FA00EF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Gane E, Asatryan A, Asselah T, Ruane PJ, PolS, Poordad F, Stedman CA, Dore G, Roberts SK, Kaita K, Vierling J, Vargas HE, Kort J, Lin C-W, Liu R, NgT, Mensa F. ENDURANCE-3: safety and efficacy of glecaprevir/pibrentasvir compared to sofosbuvir plus daclatasvir in treatment-naïve HCV genotype 3-infected patients without cirrhosis.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66</w:t>
      </w:r>
      <w:r w:rsidRPr="001A4AA9">
        <w:rPr>
          <w:rFonts w:ascii="Book Antiqua" w:eastAsia="Book Antiqua" w:hAnsi="Book Antiqua" w:cs="Book Antiqua"/>
          <w:color w:val="000000"/>
        </w:rPr>
        <w:t>: S33 [DOI: 10.1016/S0168-8278(17)30326-4]</w:t>
      </w:r>
    </w:p>
    <w:p w14:paraId="2A6AB63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 </w:t>
      </w:r>
      <w:r w:rsidRPr="001A4AA9">
        <w:rPr>
          <w:rFonts w:ascii="Book Antiqua" w:eastAsia="Book Antiqua" w:hAnsi="Book Antiqua" w:cs="Book Antiqua"/>
          <w:b/>
          <w:bCs/>
          <w:color w:val="000000"/>
        </w:rPr>
        <w:t>Forns X</w:t>
      </w:r>
      <w:r w:rsidRPr="001A4AA9">
        <w:rPr>
          <w:rFonts w:ascii="Book Antiqua" w:eastAsia="Book Antiqua" w:hAnsi="Book Antiqua" w:cs="Book Antiqua"/>
          <w:color w:val="000000"/>
        </w:rPr>
        <w:t xml:space="preserve">, Lee SS, Valdes J, Lens S, Ghalib R, Aguilar H, Felizarta F, Hassanein T, Hinrichsen H, Rincon D, Morillas R, Zeuzem S, Horsmans Y, Nelson DR, Yu Y, Krishnan P, Lin CW, Kort JJ, Mensa FJ. Glecaprevir plus pibrentasvir for chronic hepatitis C virus genotype 1, 2, 4, 5, or 6 infection in adults with compensated cirrhosis (EXPEDITION-1): a single-arm, open-label, multicentre phase 3 trial. </w:t>
      </w:r>
      <w:r w:rsidRPr="001A4AA9">
        <w:rPr>
          <w:rFonts w:ascii="Book Antiqua" w:eastAsia="Book Antiqua" w:hAnsi="Book Antiqua" w:cs="Book Antiqua"/>
          <w:i/>
          <w:iCs/>
          <w:color w:val="000000"/>
        </w:rPr>
        <w:t>Lancet Infect Dis</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17</w:t>
      </w:r>
      <w:r w:rsidRPr="001A4AA9">
        <w:rPr>
          <w:rFonts w:ascii="Book Antiqua" w:eastAsia="Book Antiqua" w:hAnsi="Book Antiqua" w:cs="Book Antiqua"/>
          <w:color w:val="000000"/>
        </w:rPr>
        <w:t>: 1062-1068 [PMID: 28818546 DOI: 10.1016/S1473-3099(17)30496-6]</w:t>
      </w:r>
    </w:p>
    <w:p w14:paraId="5ADCC3A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 </w:t>
      </w:r>
      <w:r w:rsidRPr="001A4AA9">
        <w:rPr>
          <w:rFonts w:ascii="Book Antiqua" w:eastAsia="Book Antiqua" w:hAnsi="Book Antiqua" w:cs="Book Antiqua"/>
          <w:b/>
          <w:bCs/>
          <w:color w:val="000000"/>
        </w:rPr>
        <w:t>Carrat F</w:t>
      </w:r>
      <w:r w:rsidRPr="001A4AA9">
        <w:rPr>
          <w:rFonts w:ascii="Book Antiqua" w:eastAsia="Book Antiqua" w:hAnsi="Book Antiqua" w:cs="Book Antiqua"/>
          <w:color w:val="000000"/>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w:t>
      </w:r>
      <w:r w:rsidRPr="001A4AA9">
        <w:rPr>
          <w:rFonts w:ascii="Book Antiqua" w:eastAsia="Book Antiqua" w:hAnsi="Book Antiqua" w:cs="Book Antiqua"/>
          <w:color w:val="000000"/>
        </w:rPr>
        <w:lastRenderedPageBreak/>
        <w:t xml:space="preserve">study. </w:t>
      </w:r>
      <w:r w:rsidRPr="001A4AA9">
        <w:rPr>
          <w:rFonts w:ascii="Book Antiqua" w:eastAsia="Book Antiqua" w:hAnsi="Book Antiqua" w:cs="Book Antiqua"/>
          <w:i/>
          <w:iCs/>
          <w:color w:val="000000"/>
        </w:rPr>
        <w:t>Lancet</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393</w:t>
      </w:r>
      <w:r w:rsidRPr="001A4AA9">
        <w:rPr>
          <w:rFonts w:ascii="Book Antiqua" w:eastAsia="Book Antiqua" w:hAnsi="Book Antiqua" w:cs="Book Antiqua"/>
          <w:color w:val="000000"/>
        </w:rPr>
        <w:t>: 1453-1464 [PMID: 30765123 DOI: 10.1016/S0140-6736(18)32111-1]</w:t>
      </w:r>
    </w:p>
    <w:p w14:paraId="6249D00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 </w:t>
      </w:r>
      <w:r w:rsidRPr="001A4AA9">
        <w:rPr>
          <w:rFonts w:ascii="Book Antiqua" w:eastAsia="Book Antiqua" w:hAnsi="Book Antiqua" w:cs="Book Antiqua"/>
          <w:b/>
          <w:bCs/>
          <w:color w:val="000000"/>
        </w:rPr>
        <w:t>Mauro E</w:t>
      </w:r>
      <w:r w:rsidRPr="001A4AA9">
        <w:rPr>
          <w:rFonts w:ascii="Book Antiqua" w:eastAsia="Book Antiqua" w:hAnsi="Book Antiqua" w:cs="Book Antiqua"/>
          <w:color w:val="000000"/>
        </w:rPr>
        <w:t xml:space="preserve">, Crespo G, Montironi C, Londoño MC, Hernández-Gea V, Ruiz P, Sastre L, Lombardo J, Mariño Z, Díaz A, Colmenero J, Rimola A, Garcia-Pagán JC, Brunet M, Forns X, Navasa M. Portal pressure and liver stiffness measurements in the prediction of fibrosis regression after sustained virological response in recurrent hepatitis C.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1683-1694 [PMID: 28960366 DOI: 10.1002/hep.29557]</w:t>
      </w:r>
    </w:p>
    <w:p w14:paraId="44BF776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8 </w:t>
      </w:r>
      <w:r w:rsidRPr="001A4AA9">
        <w:rPr>
          <w:rFonts w:ascii="Book Antiqua" w:eastAsia="Book Antiqua" w:hAnsi="Book Antiqua" w:cs="Book Antiqua"/>
          <w:b/>
          <w:bCs/>
          <w:color w:val="000000"/>
        </w:rPr>
        <w:t>Wyles D</w:t>
      </w:r>
      <w:r w:rsidRPr="001A4AA9">
        <w:rPr>
          <w:rFonts w:ascii="Book Antiqua" w:eastAsia="Book Antiqua" w:hAnsi="Book Antiqua" w:cs="Book Antiqua"/>
          <w:color w:val="000000"/>
        </w:rPr>
        <w:t xml:space="preserve">, Poordad F, Wang S, Alric L, Felizarta F, Kwo PY, Maliakkal B, Agarwal K, Hassanein T, Weilert F, Lee SS, Kort J, Lovell SS, Liu R, Lin CW, Pilot-Matias T, Krishnan P, Mensa FJ. Glecaprevir/pibrentasvir for hepatitis C virus genotype 3 patients with cirrhosis and/or prior treatment experience: A partially randomized phase 3 clinical trial.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514-523 [PMID: 28926120 DOI: 10.1002/hep.29541]</w:t>
      </w:r>
    </w:p>
    <w:p w14:paraId="0053E3B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9 </w:t>
      </w:r>
      <w:r w:rsidRPr="001A4AA9">
        <w:rPr>
          <w:rFonts w:ascii="Book Antiqua" w:eastAsia="Book Antiqua" w:hAnsi="Book Antiqua" w:cs="Book Antiqua"/>
          <w:b/>
          <w:bCs/>
          <w:color w:val="000000"/>
        </w:rPr>
        <w:t>Mangia A,</w:t>
      </w:r>
      <w:r w:rsidRPr="001A4AA9">
        <w:rPr>
          <w:rFonts w:ascii="Book Antiqua" w:eastAsia="Book Antiqua" w:hAnsi="Book Antiqua" w:cs="Book Antiqua"/>
          <w:color w:val="000000"/>
        </w:rPr>
        <w:t xml:space="preserve"> Milligan S, Khalili M, Fagiuoli S, Shafran S, Carrat F, Ouzan D, Papatheodoridis G, Ramji A, Borgia S, Wedemeyer H, Piazzolla V, Hernández F, Wick N, Fishbein D, Lampertico P, Doucette K, Mertens M, Vanstraelen K,Turnés J. GS-03-Global real world evidence of sofosbuvir/velpatasvir as a simple, effective regimen for the treatment of chronic hepatitis C patients: Integrated analysis of 12 clinical practice cohorts”.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70</w:t>
      </w:r>
      <w:r w:rsidRPr="001A4AA9">
        <w:rPr>
          <w:rFonts w:ascii="Book Antiqua" w:eastAsia="Book Antiqua" w:hAnsi="Book Antiqua" w:cs="Book Antiqua"/>
          <w:color w:val="000000"/>
        </w:rPr>
        <w:t>: e2–e3 [DOI: 10.1016/S0618-8278(19)30003-9]</w:t>
      </w:r>
    </w:p>
    <w:p w14:paraId="2D529EC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10 </w:t>
      </w:r>
      <w:r w:rsidRPr="001A4AA9">
        <w:rPr>
          <w:rFonts w:ascii="Book Antiqua" w:eastAsia="Book Antiqua" w:hAnsi="Book Antiqua" w:cs="Book Antiqua"/>
          <w:b/>
          <w:bCs/>
          <w:color w:val="000000"/>
        </w:rPr>
        <w:t>Lampertico P</w:t>
      </w:r>
      <w:r w:rsidRPr="001A4AA9">
        <w:rPr>
          <w:rFonts w:ascii="Book Antiqua" w:eastAsia="Book Antiqua" w:hAnsi="Book Antiqua" w:cs="Book Antiqua"/>
          <w:color w:val="000000"/>
        </w:rPr>
        <w:t xml:space="preserve">, Carrión JA, Curry M, Turnes J, Cornberg M, Negro F, Brown A, Persico M, Wick N, Porcalla A, Pangerl A, Crown E, Larsen L, Yu Y, Wedemeyer H. Real-world effectiveness and safety of glecaprevir/pibrentasvir for the treatment of patients with chronic HCV infection: A meta-analysis.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72</w:t>
      </w:r>
      <w:r w:rsidRPr="001A4AA9">
        <w:rPr>
          <w:rFonts w:ascii="Book Antiqua" w:eastAsia="Book Antiqua" w:hAnsi="Book Antiqua" w:cs="Book Antiqua"/>
          <w:color w:val="000000"/>
        </w:rPr>
        <w:t>: 1112-1121 [PMID: 32061651 DOI: 10.1016/j.jhep.2020.01.025]</w:t>
      </w:r>
    </w:p>
    <w:p w14:paraId="55A2B30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11 </w:t>
      </w:r>
      <w:r w:rsidRPr="001A4AA9">
        <w:rPr>
          <w:rFonts w:ascii="Book Antiqua" w:eastAsia="Book Antiqua" w:hAnsi="Book Antiqua" w:cs="Book Antiqua"/>
          <w:b/>
          <w:bCs/>
          <w:color w:val="000000"/>
        </w:rPr>
        <w:t>D'Ambrosio R</w:t>
      </w:r>
      <w:r w:rsidRPr="001A4AA9">
        <w:rPr>
          <w:rFonts w:ascii="Book Antiqua" w:eastAsia="Book Antiqua" w:hAnsi="Book Antiqua" w:cs="Book Antiqua"/>
          <w:color w:val="000000"/>
        </w:rPr>
        <w:t xml:space="preserve">, Aghemo A, Rumi MG, Ronchi G, Donato MF, Paradis V, Colombo M, Bedossa P. A morphometric and immunohistochemical study to assess the benefit of a sustained virological response in hepatitis C virus patients with cirrhosis.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2012;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532-543 [PMID: 22271347 DOI: 10.1002/hep.25606]</w:t>
      </w:r>
    </w:p>
    <w:p w14:paraId="5DBA0CB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12 </w:t>
      </w:r>
      <w:r w:rsidRPr="001A4AA9">
        <w:rPr>
          <w:rFonts w:ascii="Book Antiqua" w:eastAsia="Book Antiqua" w:hAnsi="Book Antiqua" w:cs="Book Antiqua"/>
          <w:b/>
          <w:bCs/>
          <w:color w:val="000000"/>
        </w:rPr>
        <w:t>Nahon P</w:t>
      </w:r>
      <w:r w:rsidRPr="001A4AA9">
        <w:rPr>
          <w:rFonts w:ascii="Book Antiqua" w:eastAsia="Book Antiqua" w:hAnsi="Book Antiqua" w:cs="Book Antiqua"/>
          <w:color w:val="000000"/>
        </w:rPr>
        <w:t xml:space="preserve">, Bourcier V, Layese R, Audureau E, Cagnot C, Marcellin P, Guyader D, Fontaine H, Larrey D, De Lédinghen V, Ouzan D, Zoulim F, Roulot D, Tran A, </w:t>
      </w:r>
      <w:r w:rsidRPr="001A4AA9">
        <w:rPr>
          <w:rFonts w:ascii="Book Antiqua" w:eastAsia="Book Antiqua" w:hAnsi="Book Antiqua" w:cs="Book Antiqua"/>
          <w:color w:val="000000"/>
        </w:rPr>
        <w:lastRenderedPageBreak/>
        <w:t xml:space="preserve">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152</w:t>
      </w:r>
      <w:r w:rsidRPr="001A4AA9">
        <w:rPr>
          <w:rFonts w:ascii="Book Antiqua" w:eastAsia="Book Antiqua" w:hAnsi="Book Antiqua" w:cs="Book Antiqua"/>
          <w:color w:val="000000"/>
        </w:rPr>
        <w:t>: 142-156.e2 [PMID: 27641509 DOI: 10.1053/j.gastro.2016.09.009]</w:t>
      </w:r>
    </w:p>
    <w:p w14:paraId="4587DDF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13 </w:t>
      </w:r>
      <w:r w:rsidRPr="001A4AA9">
        <w:rPr>
          <w:rFonts w:ascii="Book Antiqua" w:eastAsia="Book Antiqua" w:hAnsi="Book Antiqua" w:cs="Book Antiqua"/>
          <w:b/>
          <w:bCs/>
          <w:color w:val="000000"/>
        </w:rPr>
        <w:t>Backus LI</w:t>
      </w:r>
      <w:r w:rsidRPr="001A4AA9">
        <w:rPr>
          <w:rFonts w:ascii="Book Antiqua" w:eastAsia="Book Antiqua" w:hAnsi="Book Antiqua" w:cs="Book Antiqua"/>
          <w:color w:val="000000"/>
        </w:rPr>
        <w:t xml:space="preserve">, Belperio PS, Shahoumian TA, Mole LA. Impact of Sustained Virologic Response with Direct-Acting Antiviral Treatment on Mortality in Patients with Advanced Liver Disease.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69</w:t>
      </w:r>
      <w:r w:rsidRPr="001A4AA9">
        <w:rPr>
          <w:rFonts w:ascii="Book Antiqua" w:eastAsia="Book Antiqua" w:hAnsi="Book Antiqua" w:cs="Book Antiqua"/>
          <w:color w:val="000000"/>
        </w:rPr>
        <w:t>: 487-497 [PMID: 28749564 DOI: 10.1002/hep.29408]</w:t>
      </w:r>
    </w:p>
    <w:p w14:paraId="085C349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14 </w:t>
      </w:r>
      <w:r w:rsidRPr="001A4AA9">
        <w:rPr>
          <w:rFonts w:ascii="Book Antiqua" w:eastAsia="Book Antiqua" w:hAnsi="Book Antiqua" w:cs="Book Antiqua"/>
          <w:b/>
          <w:bCs/>
          <w:color w:val="000000"/>
        </w:rPr>
        <w:t>Mandorfer M</w:t>
      </w:r>
      <w:r w:rsidRPr="001A4AA9">
        <w:rPr>
          <w:rFonts w:ascii="Book Antiqua" w:eastAsia="Book Antiqua" w:hAnsi="Book Antiqua" w:cs="Book Antiqua"/>
          <w:color w:val="000000"/>
        </w:rPr>
        <w:t xml:space="preserve">, Hernández-Gea V, García-Pagán JC, Reiberger T. Noninvasive Diagnostics for Portal Hypertension: A Comprehensive Review. </w:t>
      </w:r>
      <w:r w:rsidRPr="001A4AA9">
        <w:rPr>
          <w:rFonts w:ascii="Book Antiqua" w:eastAsia="Book Antiqua" w:hAnsi="Book Antiqua" w:cs="Book Antiqua"/>
          <w:i/>
          <w:iCs/>
          <w:color w:val="000000"/>
        </w:rPr>
        <w:t>Semin Liver Dis</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40</w:t>
      </w:r>
      <w:r w:rsidRPr="001A4AA9">
        <w:rPr>
          <w:rFonts w:ascii="Book Antiqua" w:eastAsia="Book Antiqua" w:hAnsi="Book Antiqua" w:cs="Book Antiqua"/>
          <w:color w:val="000000"/>
        </w:rPr>
        <w:t>: 240-255 [PMID: 32557480 DOI: 10.1055/s-0040-1708806]</w:t>
      </w:r>
    </w:p>
    <w:p w14:paraId="545B2E9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15 </w:t>
      </w:r>
      <w:r w:rsidRPr="001A4AA9">
        <w:rPr>
          <w:rFonts w:ascii="Book Antiqua" w:eastAsia="Book Antiqua" w:hAnsi="Book Antiqua" w:cs="Book Antiqua"/>
          <w:b/>
          <w:bCs/>
          <w:color w:val="000000"/>
        </w:rPr>
        <w:t>Curry MP</w:t>
      </w:r>
      <w:r w:rsidRPr="001A4AA9">
        <w:rPr>
          <w:rFonts w:ascii="Book Antiqua" w:eastAsia="Book Antiqua" w:hAnsi="Book Antiqua" w:cs="Book Antiqua"/>
          <w:color w:val="000000"/>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1A4AA9">
        <w:rPr>
          <w:rFonts w:ascii="Book Antiqua" w:eastAsia="Book Antiqua" w:hAnsi="Book Antiqua" w:cs="Book Antiqua"/>
          <w:i/>
          <w:iCs/>
          <w:color w:val="000000"/>
        </w:rPr>
        <w:t>N Engl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2618-2628 [PMID: 26569658 DOI: 10.1056/NEJMoa1512614]</w:t>
      </w:r>
    </w:p>
    <w:p w14:paraId="49185D7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16 </w:t>
      </w:r>
      <w:r w:rsidRPr="001A4AA9">
        <w:rPr>
          <w:rFonts w:ascii="Book Antiqua" w:eastAsia="Book Antiqua" w:hAnsi="Book Antiqua" w:cs="Book Antiqua"/>
          <w:b/>
          <w:bCs/>
          <w:color w:val="000000"/>
        </w:rPr>
        <w:t>Manns M</w:t>
      </w:r>
      <w:r w:rsidRPr="001A4AA9">
        <w:rPr>
          <w:rFonts w:ascii="Book Antiqua" w:eastAsia="Book Antiqua" w:hAnsi="Book Antiqua" w:cs="Book Antiqua"/>
          <w:color w:val="000000"/>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1A4AA9">
        <w:rPr>
          <w:rFonts w:ascii="Book Antiqua" w:eastAsia="Book Antiqua" w:hAnsi="Book Antiqua" w:cs="Book Antiqua"/>
          <w:i/>
          <w:iCs/>
          <w:color w:val="000000"/>
        </w:rPr>
        <w:t>Lancet Infect Dis</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16</w:t>
      </w:r>
      <w:r w:rsidRPr="001A4AA9">
        <w:rPr>
          <w:rFonts w:ascii="Book Antiqua" w:eastAsia="Book Antiqua" w:hAnsi="Book Antiqua" w:cs="Book Antiqua"/>
          <w:color w:val="000000"/>
        </w:rPr>
        <w:t>: 685-697 [PMID: 26907736 DOI: 10.1016/S1473-3099(16)00052-9]</w:t>
      </w:r>
    </w:p>
    <w:p w14:paraId="46C6273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17 </w:t>
      </w:r>
      <w:r w:rsidRPr="001A4AA9">
        <w:rPr>
          <w:rFonts w:ascii="Book Antiqua" w:eastAsia="Book Antiqua" w:hAnsi="Book Antiqua" w:cs="Book Antiqua"/>
          <w:b/>
          <w:bCs/>
          <w:color w:val="000000"/>
        </w:rPr>
        <w:t>Lu M</w:t>
      </w:r>
      <w:r w:rsidRPr="001A4AA9">
        <w:rPr>
          <w:rFonts w:ascii="Book Antiqua" w:eastAsia="Book Antiqua" w:hAnsi="Book Antiqua" w:cs="Book Antiqua"/>
          <w:color w:val="000000"/>
        </w:rPr>
        <w:t xml:space="preserve">, Wu KH, Li J, Moorman AC, Spradling PR, Teshale EH, Boscarino JA, Daida YG, Schmidt MA, Rupp LB, Zhang T, Trudeau S, Gordon SC. Adjuvant ribavirin and longer direct-acting antiviral treatment duration improve sustained virological response among hepatitis C patients at risk of treatment failure. </w:t>
      </w:r>
      <w:r w:rsidRPr="001A4AA9">
        <w:rPr>
          <w:rFonts w:ascii="Book Antiqua" w:eastAsia="Book Antiqua" w:hAnsi="Book Antiqua" w:cs="Book Antiqua"/>
          <w:i/>
          <w:iCs/>
          <w:color w:val="000000"/>
        </w:rPr>
        <w:t>J Viral Hepat</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26</w:t>
      </w:r>
      <w:r w:rsidRPr="001A4AA9">
        <w:rPr>
          <w:rFonts w:ascii="Book Antiqua" w:eastAsia="Book Antiqua" w:hAnsi="Book Antiqua" w:cs="Book Antiqua"/>
          <w:color w:val="000000"/>
        </w:rPr>
        <w:t>: 1210-1217 [PMID: 31197910 DOI: 10.1111/jvh.13162]</w:t>
      </w:r>
    </w:p>
    <w:p w14:paraId="3ADB87C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18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Irving WL, Cheung MC, Walker AJ, Hudson BE, Verma S, McLauchlan J, Mutimer DJ, Brown A, Gelson WT, MacDonald DC, Agarwal K; HCV Research, UK. Impact of direct acting antiviral therapy in patients with chronic hepatitis C and decompensated cirrhosis.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64</w:t>
      </w:r>
      <w:r w:rsidRPr="001A4AA9">
        <w:rPr>
          <w:rFonts w:ascii="Book Antiqua" w:eastAsia="Book Antiqua" w:hAnsi="Book Antiqua" w:cs="Book Antiqua"/>
          <w:color w:val="000000"/>
        </w:rPr>
        <w:t>: 1224-1231 [PMID: 26829205 DOI: 10.1016/j.jhep.2016.01.029]</w:t>
      </w:r>
    </w:p>
    <w:p w14:paraId="12F3CCF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19 </w:t>
      </w:r>
      <w:r w:rsidRPr="001A4AA9">
        <w:rPr>
          <w:rFonts w:ascii="Book Antiqua" w:eastAsia="Book Antiqua" w:hAnsi="Book Antiqua" w:cs="Book Antiqua"/>
          <w:b/>
          <w:bCs/>
          <w:color w:val="000000"/>
        </w:rPr>
        <w:t>Afdhal N</w:t>
      </w:r>
      <w:r w:rsidRPr="001A4AA9">
        <w:rPr>
          <w:rFonts w:ascii="Book Antiqua" w:eastAsia="Book Antiqua" w:hAnsi="Book Antiqua" w:cs="Book Antiqua"/>
          <w:color w:val="000000"/>
        </w:rPr>
        <w:t xml:space="preserve">, Everson GT, Calleja JL, McCaughan GW, Bosch J, Brainard DM, McHutchison JG, De-Oertel S, An D, Charlton M, Reddy KR, Asselah T, Gane E, Curry MP, Forns X. Effect of viral suppression on hepatic venous pressure gradient in hepatitis C with cirrhosis and portal hypertension. </w:t>
      </w:r>
      <w:r w:rsidRPr="001A4AA9">
        <w:rPr>
          <w:rFonts w:ascii="Book Antiqua" w:eastAsia="Book Antiqua" w:hAnsi="Book Antiqua" w:cs="Book Antiqua"/>
          <w:i/>
          <w:iCs/>
          <w:color w:val="000000"/>
        </w:rPr>
        <w:t>J Viral Hepat</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823-831 [PMID: 28295923 DOI: 10.1111/jvh.12706]</w:t>
      </w:r>
    </w:p>
    <w:p w14:paraId="2E0B992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20 </w:t>
      </w:r>
      <w:r w:rsidRPr="001A4AA9">
        <w:rPr>
          <w:rFonts w:ascii="Book Antiqua" w:eastAsia="Book Antiqua" w:hAnsi="Book Antiqua" w:cs="Book Antiqua"/>
          <w:b/>
          <w:bCs/>
          <w:color w:val="000000"/>
        </w:rPr>
        <w:t>Lens S</w:t>
      </w:r>
      <w:r w:rsidRPr="001A4AA9">
        <w:rPr>
          <w:rFonts w:ascii="Book Antiqua" w:eastAsia="Book Antiqua" w:hAnsi="Book Antiqua" w:cs="Book Antiqua"/>
          <w:color w:val="000000"/>
        </w:rPr>
        <w:t xml:space="preserve">, Alvarado-Tapias E, Mariño Z, Londoño MC, LLop E, Martinez J, Fortea JI, Ibañez L, Ariza X, Baiges A, Gallego A, Bañares R, Puente A, Albillos A, Calleja JL, Torras X, Hernández-Gea V, Bosch J, Villanueva C, Forns X, García-Pagán JC. Effects of All-Oral Anti-Viral Therapy on HVPG and Systemic Hemodynamics in Patients With Hepatitis C Virus-Associated Cirrhosis.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153</w:t>
      </w:r>
      <w:r w:rsidRPr="001A4AA9">
        <w:rPr>
          <w:rFonts w:ascii="Book Antiqua" w:eastAsia="Book Antiqua" w:hAnsi="Book Antiqua" w:cs="Book Antiqua"/>
          <w:color w:val="000000"/>
        </w:rPr>
        <w:t>: 1273-1283.e1 [PMID: 28734831 DOI: 10.1053/j.gastro.2017.07.016]</w:t>
      </w:r>
    </w:p>
    <w:p w14:paraId="0DFFD44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21 </w:t>
      </w:r>
      <w:r w:rsidRPr="001A4AA9">
        <w:rPr>
          <w:rFonts w:ascii="Book Antiqua" w:eastAsia="Book Antiqua" w:hAnsi="Book Antiqua" w:cs="Book Antiqua"/>
          <w:b/>
          <w:bCs/>
          <w:color w:val="000000"/>
        </w:rPr>
        <w:t>Ferrarese A</w:t>
      </w:r>
      <w:r w:rsidRPr="001A4AA9">
        <w:rPr>
          <w:rFonts w:ascii="Book Antiqua" w:eastAsia="Book Antiqua" w:hAnsi="Book Antiqua" w:cs="Book Antiqua"/>
          <w:color w:val="000000"/>
        </w:rPr>
        <w:t xml:space="preserve">, Germani G, Gambato M, Russo FP, Senzolo M, Zanetto A, Shalaby S, Cillo U, Zanus G, Angeli P, Burra P. Hepatitis C virus related cirrhosis decreased as indication to liver transplantation since the introduction of direct-acting antivirals: A single-center study. </w:t>
      </w:r>
      <w:r w:rsidRPr="001A4AA9">
        <w:rPr>
          <w:rFonts w:ascii="Book Antiqua" w:eastAsia="Book Antiqua" w:hAnsi="Book Antiqua" w:cs="Book Antiqua"/>
          <w:i/>
          <w:iCs/>
          <w:color w:val="000000"/>
        </w:rPr>
        <w:t>World J Gastroenterol</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4403-4411 [PMID: 30344424 DOI: 10.3748/wjg.v24.i38.4403]</w:t>
      </w:r>
    </w:p>
    <w:p w14:paraId="2A7E559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22 </w:t>
      </w:r>
      <w:r w:rsidRPr="001A4AA9">
        <w:rPr>
          <w:rFonts w:ascii="Book Antiqua" w:eastAsia="Book Antiqua" w:hAnsi="Book Antiqua" w:cs="Book Antiqua"/>
          <w:b/>
          <w:bCs/>
          <w:color w:val="000000"/>
        </w:rPr>
        <w:t>Perricone G</w:t>
      </w:r>
      <w:r w:rsidRPr="001A4AA9">
        <w:rPr>
          <w:rFonts w:ascii="Book Antiqua" w:eastAsia="Book Antiqua" w:hAnsi="Book Antiqua" w:cs="Book Antiqua"/>
          <w:color w:val="000000"/>
        </w:rPr>
        <w:t xml:space="preserve">, Duvoux C, Berenguer M, Cortesi PA, Vinaixa C, Facchetti R, Mazzarelli C, Rockenschaub SR, Martini S, Morelli C, Monico S, Volpes R, Pageaux GP, Fagiuoli S, Belli LS; European Liver and Intestine Transplant Association (ELITA). Delisting HCV-infected liver transplant candidates who improved after viral eradication: Outcome 2 </w:t>
      </w:r>
      <w:r w:rsidRPr="001A4AA9">
        <w:rPr>
          <w:rFonts w:ascii="Book Antiqua" w:eastAsia="Book Antiqua" w:hAnsi="Book Antiqua" w:cs="Book Antiqua"/>
          <w:color w:val="000000"/>
        </w:rPr>
        <w:lastRenderedPageBreak/>
        <w:t xml:space="preserve">years after delisting. </w:t>
      </w:r>
      <w:r w:rsidRPr="001A4AA9">
        <w:rPr>
          <w:rFonts w:ascii="Book Antiqua" w:eastAsia="Book Antiqua" w:hAnsi="Book Antiqua" w:cs="Book Antiqua"/>
          <w:i/>
          <w:iCs/>
          <w:color w:val="000000"/>
        </w:rPr>
        <w:t>Liver Int</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38</w:t>
      </w:r>
      <w:r w:rsidRPr="001A4AA9">
        <w:rPr>
          <w:rFonts w:ascii="Book Antiqua" w:eastAsia="Book Antiqua" w:hAnsi="Book Antiqua" w:cs="Book Antiqua"/>
          <w:color w:val="000000"/>
        </w:rPr>
        <w:t>: 2170-2177 [PMID: 29750389 DOI: 10.1111/Liv.13878]</w:t>
      </w:r>
    </w:p>
    <w:p w14:paraId="4BA77B5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23 </w:t>
      </w:r>
      <w:r w:rsidRPr="001A4AA9">
        <w:rPr>
          <w:rFonts w:ascii="Book Antiqua" w:eastAsia="Book Antiqua" w:hAnsi="Book Antiqua" w:cs="Book Antiqua"/>
          <w:b/>
          <w:bCs/>
          <w:color w:val="000000"/>
        </w:rPr>
        <w:t>Poordad F</w:t>
      </w:r>
      <w:r w:rsidRPr="001A4AA9">
        <w:rPr>
          <w:rFonts w:ascii="Book Antiqua" w:eastAsia="Book Antiqua" w:hAnsi="Book Antiqua" w:cs="Book Antiqua"/>
          <w:color w:val="000000"/>
        </w:rPr>
        <w:t xml:space="preserve">, Schiff ER, Vierling JM, Landis C, Fontana RJ, Yang R, McPhee F, Hughes EA, Noviello S, Swenson ES. Daclatasvir with sofosbuvir and ribavirin for hepatitis C virus infection with advanced cirrhosis or post-liver transplantation recurrence.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63</w:t>
      </w:r>
      <w:r w:rsidRPr="001A4AA9">
        <w:rPr>
          <w:rFonts w:ascii="Book Antiqua" w:eastAsia="Book Antiqua" w:hAnsi="Book Antiqua" w:cs="Book Antiqua"/>
          <w:color w:val="000000"/>
        </w:rPr>
        <w:t>: 1493-1505 [PMID: 26754432 DOI: 10.1002/hep.28446]</w:t>
      </w:r>
    </w:p>
    <w:p w14:paraId="7333BCD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24 </w:t>
      </w:r>
      <w:r w:rsidRPr="001A4AA9">
        <w:rPr>
          <w:rFonts w:ascii="Book Antiqua" w:eastAsia="Book Antiqua" w:hAnsi="Book Antiqua" w:cs="Book Antiqua"/>
          <w:b/>
          <w:bCs/>
          <w:color w:val="000000"/>
        </w:rPr>
        <w:t>Singal AG</w:t>
      </w:r>
      <w:r w:rsidRPr="001A4AA9">
        <w:rPr>
          <w:rFonts w:ascii="Book Antiqua" w:eastAsia="Book Antiqua" w:hAnsi="Book Antiqua" w:cs="Book Antiqua"/>
          <w:color w:val="000000"/>
        </w:rPr>
        <w:t xml:space="preserve">, Lim JK, Kanwal F. AGA Clinical Practice Update on Interaction Between Oral Direct-Acting Antivirals for Chronic Hepatitis C Infection and Hepatocellular Carcinoma: Expert Review.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2149-2157 [PMID: 30878469 DOI: 10.1053/j.gastro.2019.02.046]</w:t>
      </w:r>
    </w:p>
    <w:p w14:paraId="22E0E7E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25 </w:t>
      </w:r>
      <w:r w:rsidRPr="001A4AA9">
        <w:rPr>
          <w:rFonts w:ascii="Book Antiqua" w:eastAsia="Book Antiqua" w:hAnsi="Book Antiqua" w:cs="Book Antiqua"/>
          <w:b/>
          <w:bCs/>
          <w:color w:val="000000"/>
        </w:rPr>
        <w:t>Kanwal F</w:t>
      </w:r>
      <w:r w:rsidRPr="001A4AA9">
        <w:rPr>
          <w:rFonts w:ascii="Book Antiqua" w:eastAsia="Book Antiqua" w:hAnsi="Book Antiqua" w:cs="Book Antiqua"/>
          <w:color w:val="000000"/>
        </w:rPr>
        <w:t xml:space="preserve">, Kramer J, Asch SM, Chayanupatkul M, Cao Y, El-Serag HB. Risk of Hepatocellular Cancer in HCV Patients Treated With Direct-Acting Antiviral Agents.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153</w:t>
      </w:r>
      <w:r w:rsidRPr="001A4AA9">
        <w:rPr>
          <w:rFonts w:ascii="Book Antiqua" w:eastAsia="Book Antiqua" w:hAnsi="Book Antiqua" w:cs="Book Antiqua"/>
          <w:color w:val="000000"/>
        </w:rPr>
        <w:t>: 996-1005.e1 [PMID: 28642197 DOI: 10.1053/j.gastro.2017.06.012]</w:t>
      </w:r>
    </w:p>
    <w:p w14:paraId="292CD08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26 </w:t>
      </w:r>
      <w:r w:rsidRPr="001A4AA9">
        <w:rPr>
          <w:rFonts w:ascii="Book Antiqua" w:eastAsia="Book Antiqua" w:hAnsi="Book Antiqua" w:cs="Book Antiqua"/>
          <w:b/>
          <w:bCs/>
          <w:color w:val="000000"/>
        </w:rPr>
        <w:t>Calvaruso V</w:t>
      </w:r>
      <w:r w:rsidRPr="001A4AA9">
        <w:rPr>
          <w:rFonts w:ascii="Book Antiqua" w:eastAsia="Book Antiqua" w:hAnsi="Book Antiqua" w:cs="Book Antiqua"/>
          <w:color w:val="000000"/>
        </w:rPr>
        <w:t xml:space="preserve">, Cabibbo G, Cacciola I, Petta S, Madonia S, Bellia A, Tinè F, Distefano M, Licata A, Giannitrapani L, Prestileo T, Mazzola G, Di Rosolini MA, Larocca L, Bertino G, Digiacomo A, Benanti F, Guarneri L, Averna A, Iacobello C, Magro A, Scalisi I, Cartabellotta F, Savalli F, Barbara M, Davì A, Russello M, Scifo G, Squadrito G, Cammà C, Raimondo G, Craxì A, Di Marco V; Rete Sicilia Selezione Terapia–HCV (RESIST-HCV). Incidence of Hepatocellular Carcinoma in Patients With HCV-Associated Cirrhosis Treated With Direct-Acting Antiviral Agents.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155</w:t>
      </w:r>
      <w:r w:rsidRPr="001A4AA9">
        <w:rPr>
          <w:rFonts w:ascii="Book Antiqua" w:eastAsia="Book Antiqua" w:hAnsi="Book Antiqua" w:cs="Book Antiqua"/>
          <w:color w:val="000000"/>
        </w:rPr>
        <w:t>: 411-421.e4 [PMID: 29655836 DOI: 10.1053/j.gastro.2018.04.008]</w:t>
      </w:r>
    </w:p>
    <w:p w14:paraId="37477A9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27 </w:t>
      </w:r>
      <w:r w:rsidRPr="001A4AA9">
        <w:rPr>
          <w:rFonts w:ascii="Book Antiqua" w:eastAsia="Book Antiqua" w:hAnsi="Book Antiqua" w:cs="Book Antiqua"/>
          <w:b/>
          <w:bCs/>
          <w:color w:val="000000"/>
        </w:rPr>
        <w:t>Tanaka Y</w:t>
      </w:r>
      <w:r w:rsidRPr="001A4AA9">
        <w:rPr>
          <w:rFonts w:ascii="Book Antiqua" w:eastAsia="Book Antiqua" w:hAnsi="Book Antiqua" w:cs="Book Antiqua"/>
          <w:color w:val="000000"/>
        </w:rPr>
        <w:t xml:space="preserve">, Ogawa E, Huang CF, Toyoda H, Jun DW, Tseng CH, Hsu YC, Enomoto M, Takahashi H, Furusyo N, Yeh ML, Iio E, Yasuda S, Lam CP, Lee DH, Haga H, Yoon EL, Ahn SB, Wong G, Nakamuta M, Nomura H, Tsai PC, Jung JH, Song DS, Dang H, Maeda M, Henry L, Cheung R, Yuen MF, Ueno Y, Eguchi Y, Tamori A, Yu ML, Hayashi J, Nguyen MH; REAL-C Investigators. HCC risk post-SVR with DAAs in East Asians: findings from the REAL-C cohort. </w:t>
      </w:r>
      <w:r w:rsidRPr="001A4AA9">
        <w:rPr>
          <w:rFonts w:ascii="Book Antiqua" w:eastAsia="Book Antiqua" w:hAnsi="Book Antiqua" w:cs="Book Antiqua"/>
          <w:i/>
          <w:iCs/>
          <w:color w:val="000000"/>
        </w:rPr>
        <w:t>Hepatol Int</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14</w:t>
      </w:r>
      <w:r w:rsidRPr="001A4AA9">
        <w:rPr>
          <w:rFonts w:ascii="Book Antiqua" w:eastAsia="Book Antiqua" w:hAnsi="Book Antiqua" w:cs="Book Antiqua"/>
          <w:color w:val="000000"/>
        </w:rPr>
        <w:t>: 1023-1033 [PMID: 33277685 DOI: 10.1007/s12072-020-10105-2]</w:t>
      </w:r>
    </w:p>
    <w:p w14:paraId="4C36E69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28 </w:t>
      </w:r>
      <w:r w:rsidRPr="001A4AA9">
        <w:rPr>
          <w:rFonts w:ascii="Book Antiqua" w:eastAsia="Book Antiqua" w:hAnsi="Book Antiqua" w:cs="Book Antiqua"/>
          <w:b/>
          <w:bCs/>
          <w:color w:val="000000"/>
        </w:rPr>
        <w:t>Kanwal F</w:t>
      </w:r>
      <w:r w:rsidRPr="001A4AA9">
        <w:rPr>
          <w:rFonts w:ascii="Book Antiqua" w:eastAsia="Book Antiqua" w:hAnsi="Book Antiqua" w:cs="Book Antiqua"/>
          <w:color w:val="000000"/>
        </w:rPr>
        <w:t xml:space="preserve">, Kramer JR, Asch SM, Cao Y, Li L, El-Serag HB. Long-Term Risk of Hepatocellular Carcinoma in HCV Patients Treated With Direct Acting Antiviral Agents.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71</w:t>
      </w:r>
      <w:r w:rsidRPr="001A4AA9">
        <w:rPr>
          <w:rFonts w:ascii="Book Antiqua" w:eastAsia="Book Antiqua" w:hAnsi="Book Antiqua" w:cs="Book Antiqua"/>
          <w:color w:val="000000"/>
        </w:rPr>
        <w:t>: 44-55 [PMID: 31222774 DOI: 10.1002/hep.30823]</w:t>
      </w:r>
    </w:p>
    <w:p w14:paraId="713A2D9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29 </w:t>
      </w:r>
      <w:r w:rsidRPr="001A4AA9">
        <w:rPr>
          <w:rFonts w:ascii="Book Antiqua" w:eastAsia="Book Antiqua" w:hAnsi="Book Antiqua" w:cs="Book Antiqua"/>
          <w:b/>
          <w:bCs/>
          <w:color w:val="000000"/>
        </w:rPr>
        <w:t>Reig M</w:t>
      </w:r>
      <w:r w:rsidRPr="001A4AA9">
        <w:rPr>
          <w:rFonts w:ascii="Book Antiqua" w:eastAsia="Book Antiqua" w:hAnsi="Book Antiqua" w:cs="Book Antiqua"/>
          <w:color w:val="000000"/>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65</w:t>
      </w:r>
      <w:r w:rsidRPr="001A4AA9">
        <w:rPr>
          <w:rFonts w:ascii="Book Antiqua" w:eastAsia="Book Antiqua" w:hAnsi="Book Antiqua" w:cs="Book Antiqua"/>
          <w:color w:val="000000"/>
        </w:rPr>
        <w:t>: 719-726 [PMID: 27084592 DOI: 10.1016/j.jhep.2016.04.008]</w:t>
      </w:r>
    </w:p>
    <w:p w14:paraId="5FF3CCC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30 </w:t>
      </w:r>
      <w:r w:rsidRPr="001A4AA9">
        <w:rPr>
          <w:rFonts w:ascii="Book Antiqua" w:eastAsia="Book Antiqua" w:hAnsi="Book Antiqua" w:cs="Book Antiqua"/>
          <w:b/>
          <w:bCs/>
          <w:color w:val="000000"/>
        </w:rPr>
        <w:t>Waziry R</w:t>
      </w:r>
      <w:r w:rsidRPr="001A4AA9">
        <w:rPr>
          <w:rFonts w:ascii="Book Antiqua" w:eastAsia="Book Antiqua" w:hAnsi="Book Antiqua" w:cs="Book Antiqua"/>
          <w:color w:val="000000"/>
        </w:rPr>
        <w:t xml:space="preserve">, Hajarizadeh B, Grebely J, Amin J, Law M, Danta M, George J, Dore GJ. Hepatocellular carcinoma risk following direct-acting antiviral HCV therapy: A systematic review, meta-analyses, and meta-regression.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1204-1212 [PMID: 28802876 DOI: 10.1016/j.jhep.2017.07.025]</w:t>
      </w:r>
    </w:p>
    <w:p w14:paraId="2704B15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31 </w:t>
      </w:r>
      <w:r w:rsidRPr="001A4AA9">
        <w:rPr>
          <w:rFonts w:ascii="Book Antiqua" w:eastAsia="Book Antiqua" w:hAnsi="Book Antiqua" w:cs="Book Antiqua"/>
          <w:b/>
          <w:bCs/>
          <w:color w:val="000000"/>
        </w:rPr>
        <w:t>Li DK</w:t>
      </w:r>
      <w:r w:rsidRPr="001A4AA9">
        <w:rPr>
          <w:rFonts w:ascii="Book Antiqua" w:eastAsia="Book Antiqua" w:hAnsi="Book Antiqua" w:cs="Book Antiqua"/>
          <w:color w:val="000000"/>
        </w:rPr>
        <w:t xml:space="preserve">, Ren Y, Fierer DS, Rutledge S, Shaikh OS, Lo Re V 3rd, Simon T, Abou-Samra AB, Chung RT, Butt AA. The short-term incidence of hepatocellular carcinoma is not increased after hepatitis C treatment with direct-acting antivirals: An ERCHIVES study.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2244-2253 [PMID: 29205416 DOI: 10.1002/hep.29707]</w:t>
      </w:r>
    </w:p>
    <w:p w14:paraId="7A12FF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32 </w:t>
      </w:r>
      <w:r w:rsidRPr="001A4AA9">
        <w:rPr>
          <w:rFonts w:ascii="Book Antiqua" w:eastAsia="Book Antiqua" w:hAnsi="Book Antiqua" w:cs="Book Antiqua"/>
          <w:b/>
          <w:bCs/>
          <w:color w:val="000000"/>
        </w:rPr>
        <w:t>Singal AG</w:t>
      </w:r>
      <w:r w:rsidRPr="001A4AA9">
        <w:rPr>
          <w:rFonts w:ascii="Book Antiqua" w:eastAsia="Book Antiqua" w:hAnsi="Book Antiqua" w:cs="Book Antiqua"/>
          <w:color w:val="000000"/>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1683-1692.e1 [PMID: 30660729 DOI: 10.1053/j.gastro.2019.01.027]</w:t>
      </w:r>
    </w:p>
    <w:p w14:paraId="45E3055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33 </w:t>
      </w:r>
      <w:r w:rsidRPr="001A4AA9">
        <w:rPr>
          <w:rFonts w:ascii="Book Antiqua" w:eastAsia="Book Antiqua" w:hAnsi="Book Antiqua" w:cs="Book Antiqua"/>
          <w:b/>
          <w:bCs/>
          <w:color w:val="000000"/>
        </w:rPr>
        <w:t>Cabibbo G</w:t>
      </w:r>
      <w:r w:rsidRPr="001A4AA9">
        <w:rPr>
          <w:rFonts w:ascii="Book Antiqua" w:eastAsia="Book Antiqua" w:hAnsi="Book Antiqua" w:cs="Book Antiqua"/>
          <w:color w:val="000000"/>
        </w:rPr>
        <w:t xml:space="preserve">,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w:t>
      </w:r>
      <w:r w:rsidRPr="001A4AA9">
        <w:rPr>
          <w:rFonts w:ascii="Book Antiqua" w:eastAsia="Book Antiqua" w:hAnsi="Book Antiqua" w:cs="Book Antiqua"/>
          <w:color w:val="000000"/>
        </w:rPr>
        <w:lastRenderedPageBreak/>
        <w:t xml:space="preserve">Italian Liver Cancer (ITA.LI.CA.) Group. Direct-acting antivirals after successful treatment of early hepatocellular carcinoma improve survival in HCV-cirrhotic patients.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71</w:t>
      </w:r>
      <w:r w:rsidRPr="001A4AA9">
        <w:rPr>
          <w:rFonts w:ascii="Book Antiqua" w:eastAsia="Book Antiqua" w:hAnsi="Book Antiqua" w:cs="Book Antiqua"/>
          <w:color w:val="000000"/>
        </w:rPr>
        <w:t>: 265-273 [PMID: 30959157 DOI: 10.1016/j.jhep.2019.03.027]</w:t>
      </w:r>
    </w:p>
    <w:p w14:paraId="314FAB5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34 </w:t>
      </w:r>
      <w:r w:rsidRPr="001A4AA9">
        <w:rPr>
          <w:rFonts w:ascii="Book Antiqua" w:eastAsia="Book Antiqua" w:hAnsi="Book Antiqua" w:cs="Book Antiqua"/>
          <w:b/>
          <w:bCs/>
          <w:color w:val="000000"/>
        </w:rPr>
        <w:t>Singal AG</w:t>
      </w:r>
      <w:r w:rsidRPr="001A4AA9">
        <w:rPr>
          <w:rFonts w:ascii="Book Antiqua" w:eastAsia="Book Antiqua" w:hAnsi="Book Antiqua" w:cs="Book Antiqua"/>
          <w:color w:val="000000"/>
        </w:rPr>
        <w:t xml:space="preserve">, Rich NE, Mehta N, Branch AD, Pillai A, Hoteit M, Volk M, Odewole M, Scaglione S, Guy J, Said A, Feld JJ, John BV, Frenette C, Mantry P, Rangnekar AS, Oloruntoba O, Leise M, Jou JH, Bhamidimarri KR, Kulik L, Ioannou GN, Huang A, Tran T, Samant H, Dhanasekaran R, Duarte-Rojo A, Salgia R, Eswaran S, Jalal P, Flores A, Satapathy SK, Kagan S, Gopal P, Wong R, Parikh ND, Murphy CC. Direct-Acting Antiviral Therapy for Hepatitis C Virus Infection Is Associated With Increased Survival in Patients With a History of Hepatocellular Carcinoma.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157</w:t>
      </w:r>
      <w:r w:rsidRPr="001A4AA9">
        <w:rPr>
          <w:rFonts w:ascii="Book Antiqua" w:eastAsia="Book Antiqua" w:hAnsi="Book Antiqua" w:cs="Book Antiqua"/>
          <w:color w:val="000000"/>
        </w:rPr>
        <w:t>: 1253-1263.e2 [PMID: 31374215 DOI: 10.1053/j.gastro.2019.07.040]</w:t>
      </w:r>
    </w:p>
    <w:p w14:paraId="586D54A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35 </w:t>
      </w:r>
      <w:r w:rsidRPr="001A4AA9">
        <w:rPr>
          <w:rFonts w:ascii="Book Antiqua" w:eastAsia="Book Antiqua" w:hAnsi="Book Antiqua" w:cs="Book Antiqua"/>
          <w:b/>
          <w:bCs/>
          <w:color w:val="000000"/>
        </w:rPr>
        <w:t>Cabibbo G</w:t>
      </w:r>
      <w:r w:rsidRPr="001A4AA9">
        <w:rPr>
          <w:rFonts w:ascii="Book Antiqua" w:eastAsia="Book Antiqua" w:hAnsi="Book Antiqua" w:cs="Book Antiqua"/>
          <w:color w:val="000000"/>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sidRPr="001A4AA9">
        <w:rPr>
          <w:rFonts w:ascii="Book Antiqua" w:eastAsia="Book Antiqua" w:hAnsi="Book Antiqua" w:cs="Book Antiqua"/>
          <w:i/>
          <w:iCs/>
          <w:color w:val="000000"/>
        </w:rPr>
        <w:t>Aliment Pharmacol Ther</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46</w:t>
      </w:r>
      <w:r w:rsidRPr="001A4AA9">
        <w:rPr>
          <w:rFonts w:ascii="Book Antiqua" w:eastAsia="Book Antiqua" w:hAnsi="Book Antiqua" w:cs="Book Antiqua"/>
          <w:color w:val="000000"/>
        </w:rPr>
        <w:t>: 688-695 [PMID: 28791711 DOI: 10.1111/apt.14256]</w:t>
      </w:r>
    </w:p>
    <w:p w14:paraId="7554F33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36 </w:t>
      </w:r>
      <w:r w:rsidRPr="001A4AA9">
        <w:rPr>
          <w:rFonts w:ascii="Book Antiqua" w:eastAsia="Book Antiqua" w:hAnsi="Book Antiqua" w:cs="Book Antiqua"/>
          <w:b/>
          <w:bCs/>
          <w:color w:val="000000"/>
        </w:rPr>
        <w:t>White DL</w:t>
      </w:r>
      <w:r w:rsidRPr="001A4AA9">
        <w:rPr>
          <w:rFonts w:ascii="Book Antiqua" w:eastAsia="Book Antiqua" w:hAnsi="Book Antiqua" w:cs="Book Antiqua"/>
          <w:color w:val="000000"/>
        </w:rPr>
        <w:t xml:space="preserve">, Ratziu V, El-Serag HB. Hepatitis C infection and risk of diabetes: a systematic review and meta-analysis.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2008;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831-844 [PMID: 18814931 DOI: 10.1016/j.jhep.2008.08.006]</w:t>
      </w:r>
    </w:p>
    <w:p w14:paraId="5703647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37 </w:t>
      </w:r>
      <w:r w:rsidRPr="001A4AA9">
        <w:rPr>
          <w:rFonts w:ascii="Book Antiqua" w:eastAsia="Book Antiqua" w:hAnsi="Book Antiqua" w:cs="Book Antiqua"/>
          <w:b/>
          <w:bCs/>
          <w:color w:val="000000"/>
        </w:rPr>
        <w:t>Desbois AC</w:t>
      </w:r>
      <w:r w:rsidRPr="001A4AA9">
        <w:rPr>
          <w:rFonts w:ascii="Book Antiqua" w:eastAsia="Book Antiqua" w:hAnsi="Book Antiqua" w:cs="Book Antiqua"/>
          <w:color w:val="000000"/>
        </w:rPr>
        <w:t xml:space="preserve">, Cacoub P. Diabetes mellitus, insulin resistance and hepatitis C virus infection: A contemporary review. </w:t>
      </w:r>
      <w:r w:rsidRPr="001A4AA9">
        <w:rPr>
          <w:rFonts w:ascii="Book Antiqua" w:eastAsia="Book Antiqua" w:hAnsi="Book Antiqua" w:cs="Book Antiqua"/>
          <w:i/>
          <w:iCs/>
          <w:color w:val="000000"/>
        </w:rPr>
        <w:t>World J Gastroenterol</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23</w:t>
      </w:r>
      <w:r w:rsidRPr="001A4AA9">
        <w:rPr>
          <w:rFonts w:ascii="Book Antiqua" w:eastAsia="Book Antiqua" w:hAnsi="Book Antiqua" w:cs="Book Antiqua"/>
          <w:color w:val="000000"/>
        </w:rPr>
        <w:t>: 1697-1711 [PMID: 28321170 DOI: 10.3748/wjg.v23.i9.1697]</w:t>
      </w:r>
    </w:p>
    <w:p w14:paraId="3831066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38 </w:t>
      </w:r>
      <w:r w:rsidRPr="001A4AA9">
        <w:rPr>
          <w:rFonts w:ascii="Book Antiqua" w:eastAsia="Book Antiqua" w:hAnsi="Book Antiqua" w:cs="Book Antiqua"/>
          <w:b/>
          <w:bCs/>
          <w:color w:val="000000"/>
        </w:rPr>
        <w:t>Chen Y</w:t>
      </w:r>
      <w:r w:rsidRPr="001A4AA9">
        <w:rPr>
          <w:rFonts w:ascii="Book Antiqua" w:eastAsia="Book Antiqua" w:hAnsi="Book Antiqua" w:cs="Book Antiqua"/>
          <w:color w:val="000000"/>
        </w:rPr>
        <w:t xml:space="preserve">, Ji H, Shao J, Jia Y, Bao Q, Zhu J, Zhang L, Shen Y. Different Hepatitis C Virus Infection Statuses Show a Significant Risk of Developing Type 2 Diabetes Mellitus: A Network Meta-Analysis. </w:t>
      </w:r>
      <w:r w:rsidRPr="001A4AA9">
        <w:rPr>
          <w:rFonts w:ascii="Book Antiqua" w:eastAsia="Book Antiqua" w:hAnsi="Book Antiqua" w:cs="Book Antiqua"/>
          <w:i/>
          <w:iCs/>
          <w:color w:val="000000"/>
        </w:rPr>
        <w:t>Dig Dis Sci</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65</w:t>
      </w:r>
      <w:r w:rsidRPr="001A4AA9">
        <w:rPr>
          <w:rFonts w:ascii="Book Antiqua" w:eastAsia="Book Antiqua" w:hAnsi="Book Antiqua" w:cs="Book Antiqua"/>
          <w:color w:val="000000"/>
        </w:rPr>
        <w:t>: 1940-1950 [PMID: 31758432 DOI: 10.1007/s10620-019-05918-7]</w:t>
      </w:r>
    </w:p>
    <w:p w14:paraId="4BCFCF4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39 </w:t>
      </w:r>
      <w:r w:rsidRPr="001A4AA9">
        <w:rPr>
          <w:rFonts w:ascii="Book Antiqua" w:eastAsia="Book Antiqua" w:hAnsi="Book Antiqua" w:cs="Book Antiqua"/>
          <w:b/>
          <w:bCs/>
          <w:color w:val="000000"/>
        </w:rPr>
        <w:t>Huang JF</w:t>
      </w:r>
      <w:r w:rsidRPr="001A4AA9">
        <w:rPr>
          <w:rFonts w:ascii="Book Antiqua" w:eastAsia="Book Antiqua" w:hAnsi="Book Antiqua" w:cs="Book Antiqua"/>
          <w:color w:val="000000"/>
        </w:rPr>
        <w:t xml:space="preserve">, Dai CY, Hwang SJ, Ho CK, Hsiao PJ, Hsieh MY, Lee LP, Lin ZY, Chen SC, Hsieh MY, Wang LY, Shin SJ, Chang WY, Chuang WL, Yu ML. Hepatitis C viremia increases the association with type 2 diabetes mellitus in a hepatitis B and C endemic area: an epidemiological link with virological implication. </w:t>
      </w:r>
      <w:r w:rsidRPr="001A4AA9">
        <w:rPr>
          <w:rFonts w:ascii="Book Antiqua" w:eastAsia="Book Antiqua" w:hAnsi="Book Antiqua" w:cs="Book Antiqua"/>
          <w:i/>
          <w:iCs/>
          <w:color w:val="000000"/>
        </w:rPr>
        <w:t>Am J Gastroenterol</w:t>
      </w:r>
      <w:r w:rsidRPr="001A4AA9">
        <w:rPr>
          <w:rFonts w:ascii="Book Antiqua" w:eastAsia="Book Antiqua" w:hAnsi="Book Antiqua" w:cs="Book Antiqua"/>
          <w:color w:val="000000"/>
        </w:rPr>
        <w:t xml:space="preserve"> 2007; </w:t>
      </w:r>
      <w:r w:rsidRPr="001A4AA9">
        <w:rPr>
          <w:rFonts w:ascii="Book Antiqua" w:eastAsia="Book Antiqua" w:hAnsi="Book Antiqua" w:cs="Book Antiqua"/>
          <w:b/>
          <w:bCs/>
          <w:color w:val="000000"/>
        </w:rPr>
        <w:t>102</w:t>
      </w:r>
      <w:r w:rsidRPr="001A4AA9">
        <w:rPr>
          <w:rFonts w:ascii="Book Antiqua" w:eastAsia="Book Antiqua" w:hAnsi="Book Antiqua" w:cs="Book Antiqua"/>
          <w:color w:val="000000"/>
        </w:rPr>
        <w:t>: 1237-1243 [PMID: 17531012 DOI: 10.1111/j.1572-0241.2007.01181.x]</w:t>
      </w:r>
    </w:p>
    <w:p w14:paraId="7E5078B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40 </w:t>
      </w:r>
      <w:r w:rsidRPr="001A4AA9">
        <w:rPr>
          <w:rFonts w:ascii="Book Antiqua" w:eastAsia="Book Antiqua" w:hAnsi="Book Antiqua" w:cs="Book Antiqua"/>
          <w:b/>
          <w:bCs/>
          <w:color w:val="000000"/>
        </w:rPr>
        <w:t>Visnegarwala F</w:t>
      </w:r>
      <w:r w:rsidRPr="001A4AA9">
        <w:rPr>
          <w:rFonts w:ascii="Book Antiqua" w:eastAsia="Book Antiqua" w:hAnsi="Book Antiqua" w:cs="Book Antiqua"/>
          <w:color w:val="000000"/>
        </w:rPr>
        <w:t xml:space="preserve">, Chen L, Raghavan S, Tedaldi E. Prevalence of diabetes mellitus and dyslipidemia among antiretroviral naive patients co-infected with hepatitis C virus (HCV) and HIV-1 compared to patients without co-infection. </w:t>
      </w:r>
      <w:r w:rsidRPr="001A4AA9">
        <w:rPr>
          <w:rFonts w:ascii="Book Antiqua" w:eastAsia="Book Antiqua" w:hAnsi="Book Antiqua" w:cs="Book Antiqua"/>
          <w:i/>
          <w:iCs/>
          <w:color w:val="000000"/>
        </w:rPr>
        <w:t>J Infect</w:t>
      </w:r>
      <w:r w:rsidRPr="001A4AA9">
        <w:rPr>
          <w:rFonts w:ascii="Book Antiqua" w:eastAsia="Book Antiqua" w:hAnsi="Book Antiqua" w:cs="Book Antiqua"/>
          <w:color w:val="000000"/>
        </w:rPr>
        <w:t xml:space="preserve"> 2005; </w:t>
      </w:r>
      <w:r w:rsidRPr="001A4AA9">
        <w:rPr>
          <w:rFonts w:ascii="Book Antiqua" w:eastAsia="Book Antiqua" w:hAnsi="Book Antiqua" w:cs="Book Antiqua"/>
          <w:b/>
          <w:bCs/>
          <w:color w:val="000000"/>
        </w:rPr>
        <w:t>50</w:t>
      </w:r>
      <w:r w:rsidRPr="001A4AA9">
        <w:rPr>
          <w:rFonts w:ascii="Book Antiqua" w:eastAsia="Book Antiqua" w:hAnsi="Book Antiqua" w:cs="Book Antiqua"/>
          <w:color w:val="000000"/>
        </w:rPr>
        <w:t>: 331-337 [PMID: 15845431 DOI: 10.1016/j.jinf.2004.06.001]</w:t>
      </w:r>
    </w:p>
    <w:p w14:paraId="7032EF3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41 </w:t>
      </w:r>
      <w:r w:rsidRPr="001A4AA9">
        <w:rPr>
          <w:rFonts w:ascii="Book Antiqua" w:eastAsia="Book Antiqua" w:hAnsi="Book Antiqua" w:cs="Book Antiqua"/>
          <w:b/>
          <w:bCs/>
          <w:color w:val="000000"/>
        </w:rPr>
        <w:t>Huang YW</w:t>
      </w:r>
      <w:r w:rsidRPr="001A4AA9">
        <w:rPr>
          <w:rFonts w:ascii="Book Antiqua" w:eastAsia="Book Antiqua" w:hAnsi="Book Antiqua" w:cs="Book Antiqua"/>
          <w:color w:val="000000"/>
        </w:rPr>
        <w:t xml:space="preserve">, Yang SS, Fu SC, Wang TC, Hsu CK, Chen DS, Hu JT, Kao JH. Increased risk of cirrhosis and its decompensation in chronic hepatitis C patients with new-onset diabetes: a nationwide cohort study.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60</w:t>
      </w:r>
      <w:r w:rsidRPr="001A4AA9">
        <w:rPr>
          <w:rFonts w:ascii="Book Antiqua" w:eastAsia="Book Antiqua" w:hAnsi="Book Antiqua" w:cs="Book Antiqua"/>
          <w:color w:val="000000"/>
        </w:rPr>
        <w:t>: 807-814 [PMID: 24919583 DOI: 10.1002/hep.27212]</w:t>
      </w:r>
    </w:p>
    <w:p w14:paraId="6D103E2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42 </w:t>
      </w:r>
      <w:r w:rsidRPr="001A4AA9">
        <w:rPr>
          <w:rFonts w:ascii="Book Antiqua" w:eastAsia="Book Antiqua" w:hAnsi="Book Antiqua" w:cs="Book Antiqua"/>
          <w:b/>
          <w:bCs/>
          <w:color w:val="000000"/>
        </w:rPr>
        <w:t>Hsu CS</w:t>
      </w:r>
      <w:r w:rsidRPr="001A4AA9">
        <w:rPr>
          <w:rFonts w:ascii="Book Antiqua" w:eastAsia="Book Antiqua" w:hAnsi="Book Antiqua" w:cs="Book Antiqua"/>
          <w:color w:val="000000"/>
        </w:rPr>
        <w:t xml:space="preserve">, Liu CH, Liu CJ, Hsu SJ, Chen CL, Hwang JJ, Lai MY, Chen PJ, Chen DS, Kao JH. Association of metabolic profiles with hepatic fibrosis in chronic hepatitis C patients with genotype 1 or 2 infection. </w:t>
      </w:r>
      <w:r w:rsidRPr="001A4AA9">
        <w:rPr>
          <w:rFonts w:ascii="Book Antiqua" w:eastAsia="Book Antiqua" w:hAnsi="Book Antiqua" w:cs="Book Antiqua"/>
          <w:i/>
          <w:iCs/>
          <w:color w:val="000000"/>
        </w:rPr>
        <w:t>J Gastroenterol Hepatol</w:t>
      </w:r>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25</w:t>
      </w:r>
      <w:r w:rsidRPr="001A4AA9">
        <w:rPr>
          <w:rFonts w:ascii="Book Antiqua" w:eastAsia="Book Antiqua" w:hAnsi="Book Antiqua" w:cs="Book Antiqua"/>
          <w:color w:val="000000"/>
        </w:rPr>
        <w:t>: 970-977 [PMID: 20546452 DOI: 10.1111/j.1440-1746.2009.06186.x]</w:t>
      </w:r>
    </w:p>
    <w:p w14:paraId="232CBC3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43 </w:t>
      </w:r>
      <w:r w:rsidRPr="001A4AA9">
        <w:rPr>
          <w:rFonts w:ascii="Book Antiqua" w:eastAsia="Book Antiqua" w:hAnsi="Book Antiqua" w:cs="Book Antiqua"/>
          <w:b/>
          <w:bCs/>
          <w:color w:val="000000"/>
        </w:rPr>
        <w:t>Elkrief L</w:t>
      </w:r>
      <w:r w:rsidRPr="001A4AA9">
        <w:rPr>
          <w:rFonts w:ascii="Book Antiqua" w:eastAsia="Book Antiqua" w:hAnsi="Book Antiqua" w:cs="Book Antiqua"/>
          <w:color w:val="000000"/>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60</w:t>
      </w:r>
      <w:r w:rsidRPr="001A4AA9">
        <w:rPr>
          <w:rFonts w:ascii="Book Antiqua" w:eastAsia="Book Antiqua" w:hAnsi="Book Antiqua" w:cs="Book Antiqua"/>
          <w:color w:val="000000"/>
        </w:rPr>
        <w:t>: 823-831 [PMID: 24841704 DOI: 10.1002/hep.27228]</w:t>
      </w:r>
    </w:p>
    <w:p w14:paraId="063DCC2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44 </w:t>
      </w:r>
      <w:r w:rsidRPr="001A4AA9">
        <w:rPr>
          <w:rFonts w:ascii="Book Antiqua" w:eastAsia="Book Antiqua" w:hAnsi="Book Antiqua" w:cs="Book Antiqua"/>
          <w:b/>
          <w:bCs/>
          <w:color w:val="000000"/>
        </w:rPr>
        <w:t>Huang YW</w:t>
      </w:r>
      <w:r w:rsidRPr="001A4AA9">
        <w:rPr>
          <w:rFonts w:ascii="Book Antiqua" w:eastAsia="Book Antiqua" w:hAnsi="Book Antiqua" w:cs="Book Antiqua"/>
          <w:color w:val="000000"/>
        </w:rPr>
        <w:t xml:space="preserve">, Wang TC, Yang SS, Lin SY, Fu SC, Hu JT, Liu CJ, Kao JH, Chen DS. Increased risk of hepatocellular carcinoma in chronic hepatitis C patients with new onset diabetes: a nation-wide cohort study. </w:t>
      </w:r>
      <w:r w:rsidRPr="001A4AA9">
        <w:rPr>
          <w:rFonts w:ascii="Book Antiqua" w:eastAsia="Book Antiqua" w:hAnsi="Book Antiqua" w:cs="Book Antiqua"/>
          <w:i/>
          <w:iCs/>
          <w:color w:val="000000"/>
        </w:rPr>
        <w:t>Aliment Pharmacol Ther</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42</w:t>
      </w:r>
      <w:r w:rsidRPr="001A4AA9">
        <w:rPr>
          <w:rFonts w:ascii="Book Antiqua" w:eastAsia="Book Antiqua" w:hAnsi="Book Antiqua" w:cs="Book Antiqua"/>
          <w:color w:val="000000"/>
        </w:rPr>
        <w:t>: 902-911 [PMID: 26211742 DOI: 10.1111/apt.13341]</w:t>
      </w:r>
    </w:p>
    <w:p w14:paraId="0BCC8CF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45 </w:t>
      </w:r>
      <w:r w:rsidRPr="001A4AA9">
        <w:rPr>
          <w:rFonts w:ascii="Book Antiqua" w:eastAsia="Book Antiqua" w:hAnsi="Book Antiqua" w:cs="Book Antiqua"/>
          <w:b/>
          <w:bCs/>
          <w:color w:val="000000"/>
        </w:rPr>
        <w:t>Arase Y</w:t>
      </w:r>
      <w:r w:rsidRPr="001A4AA9">
        <w:rPr>
          <w:rFonts w:ascii="Book Antiqua" w:eastAsia="Book Antiqua" w:hAnsi="Book Antiqua" w:cs="Book Antiqua"/>
          <w:color w:val="000000"/>
        </w:rPr>
        <w:t xml:space="preserve">, Suzuki F, Suzuki Y, Akuta N, Kobayashi M, Kawamura Y, Yatsuji H, Sezaki H, Hosaka T, Hirakawa M, Ikeda K, Kumada H. Sustained virological response reduces incidence of onset of type 2 diabetes in chronic hepatitis C.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739-744 [PMID: 19127513 DOI: 10.1002/hep.22703]</w:t>
      </w:r>
    </w:p>
    <w:p w14:paraId="4147BE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46 </w:t>
      </w:r>
      <w:r w:rsidRPr="001A4AA9">
        <w:rPr>
          <w:rFonts w:ascii="Book Antiqua" w:eastAsia="Book Antiqua" w:hAnsi="Book Antiqua" w:cs="Book Antiqua"/>
          <w:b/>
          <w:bCs/>
          <w:color w:val="000000"/>
        </w:rPr>
        <w:t>Simó R</w:t>
      </w:r>
      <w:r w:rsidRPr="001A4AA9">
        <w:rPr>
          <w:rFonts w:ascii="Book Antiqua" w:eastAsia="Book Antiqua" w:hAnsi="Book Antiqua" w:cs="Book Antiqua"/>
          <w:color w:val="000000"/>
        </w:rPr>
        <w:t xml:space="preserve">, Lecube A, Genescà J, Esteban JI, Hernández C. Sustained virological response correlates with reduction in the incidence of glucose abnormalities in patients with chronic hepatitis C virus infection. </w:t>
      </w:r>
      <w:r w:rsidRPr="001A4AA9">
        <w:rPr>
          <w:rFonts w:ascii="Book Antiqua" w:eastAsia="Book Antiqua" w:hAnsi="Book Antiqua" w:cs="Book Antiqua"/>
          <w:i/>
          <w:iCs/>
          <w:color w:val="000000"/>
        </w:rPr>
        <w:t>Diabetes Care</w:t>
      </w:r>
      <w:r w:rsidRPr="001A4AA9">
        <w:rPr>
          <w:rFonts w:ascii="Book Antiqua" w:eastAsia="Book Antiqua" w:hAnsi="Book Antiqua" w:cs="Book Antiqua"/>
          <w:color w:val="000000"/>
        </w:rPr>
        <w:t xml:space="preserve"> 2006; </w:t>
      </w:r>
      <w:r w:rsidRPr="001A4AA9">
        <w:rPr>
          <w:rFonts w:ascii="Book Antiqua" w:eastAsia="Book Antiqua" w:hAnsi="Book Antiqua" w:cs="Book Antiqua"/>
          <w:b/>
          <w:bCs/>
          <w:color w:val="000000"/>
        </w:rPr>
        <w:t>29</w:t>
      </w:r>
      <w:r w:rsidRPr="001A4AA9">
        <w:rPr>
          <w:rFonts w:ascii="Book Antiqua" w:eastAsia="Book Antiqua" w:hAnsi="Book Antiqua" w:cs="Book Antiqua"/>
          <w:color w:val="000000"/>
        </w:rPr>
        <w:t>: 2462-2466 [PMID: 17065685 DOI: 10.2337/dc06-0456]</w:t>
      </w:r>
    </w:p>
    <w:p w14:paraId="786658F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47 </w:t>
      </w:r>
      <w:r w:rsidRPr="001A4AA9">
        <w:rPr>
          <w:rFonts w:ascii="Book Antiqua" w:eastAsia="Book Antiqua" w:hAnsi="Book Antiqua" w:cs="Book Antiqua"/>
          <w:b/>
          <w:bCs/>
          <w:color w:val="000000"/>
        </w:rPr>
        <w:t>Aghemo A</w:t>
      </w:r>
      <w:r w:rsidRPr="001A4AA9">
        <w:rPr>
          <w:rFonts w:ascii="Book Antiqua" w:eastAsia="Book Antiqua" w:hAnsi="Book Antiqua" w:cs="Book Antiqua"/>
          <w:color w:val="000000"/>
        </w:rPr>
        <w:t xml:space="preserve">, Prati GM, Rumi MG, Soffredini R, D'Ambrosio R, Orsi E, De Nicola S, Degasperi E, Grancini V, Colombo M. Sustained virological response prevents the development of insulin resistance in patients with chronic hepatitis C.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2012;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1681-1687 [PMID: 22619107 DOI: 10.1002/hep.25867]</w:t>
      </w:r>
    </w:p>
    <w:p w14:paraId="096F5C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48 </w:t>
      </w:r>
      <w:r w:rsidRPr="001A4AA9">
        <w:rPr>
          <w:rFonts w:ascii="Book Antiqua" w:eastAsia="Book Antiqua" w:hAnsi="Book Antiqua" w:cs="Book Antiqua"/>
          <w:b/>
          <w:bCs/>
          <w:color w:val="000000"/>
        </w:rPr>
        <w:t>Romero-Gómez M</w:t>
      </w:r>
      <w:r w:rsidRPr="001A4AA9">
        <w:rPr>
          <w:rFonts w:ascii="Book Antiqua" w:eastAsia="Book Antiqua" w:hAnsi="Book Antiqua" w:cs="Book Antiqua"/>
          <w:color w:val="000000"/>
        </w:rPr>
        <w:t xml:space="preserve">, Fernández-Rodríguez CM, Andrade RJ, Diago M, Alonso S, Planas R, Solá R, Pons JA, Salmerón J, Barcena R, Perez R, Carmona I, Durán S. Effect of sustained virological response to treatment on the incidence of abnormal glucose values in chronic hepatitis C.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2008; </w:t>
      </w:r>
      <w:r w:rsidRPr="001A4AA9">
        <w:rPr>
          <w:rFonts w:ascii="Book Antiqua" w:eastAsia="Book Antiqua" w:hAnsi="Book Antiqua" w:cs="Book Antiqua"/>
          <w:b/>
          <w:bCs/>
          <w:color w:val="000000"/>
        </w:rPr>
        <w:t>48</w:t>
      </w:r>
      <w:r w:rsidRPr="001A4AA9">
        <w:rPr>
          <w:rFonts w:ascii="Book Antiqua" w:eastAsia="Book Antiqua" w:hAnsi="Book Antiqua" w:cs="Book Antiqua"/>
          <w:color w:val="000000"/>
        </w:rPr>
        <w:t>: 721-727 [PMID: 18308416 DOI: 10.1016/j.jhep.2007.11.022]</w:t>
      </w:r>
    </w:p>
    <w:p w14:paraId="1047644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49 </w:t>
      </w:r>
      <w:r w:rsidRPr="001A4AA9">
        <w:rPr>
          <w:rFonts w:ascii="Book Antiqua" w:eastAsia="Book Antiqua" w:hAnsi="Book Antiqua" w:cs="Book Antiqua"/>
          <w:b/>
          <w:bCs/>
          <w:color w:val="000000"/>
        </w:rPr>
        <w:t>Alsebaey A</w:t>
      </w:r>
      <w:r w:rsidRPr="001A4AA9">
        <w:rPr>
          <w:rFonts w:ascii="Book Antiqua" w:eastAsia="Book Antiqua" w:hAnsi="Book Antiqua" w:cs="Book Antiqua"/>
          <w:color w:val="000000"/>
        </w:rPr>
        <w:t xml:space="preserve">, Elhelbawy M, Abdel-Razek W, Hashim M, Elshenawy H, Waked I. HCV treatment with direct acting antivirals improves the insulin sensitivity. </w:t>
      </w:r>
      <w:r w:rsidRPr="001A4AA9">
        <w:rPr>
          <w:rFonts w:ascii="Book Antiqua" w:eastAsia="Book Antiqua" w:hAnsi="Book Antiqua" w:cs="Book Antiqua"/>
          <w:i/>
          <w:iCs/>
          <w:color w:val="000000"/>
        </w:rPr>
        <w:t>Expert Rev Anti Infect Ther</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17</w:t>
      </w:r>
      <w:r w:rsidRPr="001A4AA9">
        <w:rPr>
          <w:rFonts w:ascii="Book Antiqua" w:eastAsia="Book Antiqua" w:hAnsi="Book Antiqua" w:cs="Book Antiqua"/>
          <w:color w:val="000000"/>
        </w:rPr>
        <w:t>: 749-754 [PMID: 31393188 DOI: 10.1080/14787210.2019.1653184]</w:t>
      </w:r>
    </w:p>
    <w:p w14:paraId="1DDE1EA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50 </w:t>
      </w:r>
      <w:r w:rsidRPr="001A4AA9">
        <w:rPr>
          <w:rFonts w:ascii="Book Antiqua" w:eastAsia="Book Antiqua" w:hAnsi="Book Antiqua" w:cs="Book Antiqua"/>
          <w:b/>
          <w:bCs/>
          <w:color w:val="000000"/>
        </w:rPr>
        <w:t>Ribaldone DG</w:t>
      </w:r>
      <w:r w:rsidRPr="001A4AA9">
        <w:rPr>
          <w:rFonts w:ascii="Book Antiqua" w:eastAsia="Book Antiqua" w:hAnsi="Book Antiqua" w:cs="Book Antiqua"/>
          <w:color w:val="000000"/>
        </w:rPr>
        <w:t xml:space="preserve">, Sacco M, Saracco GM. The Effect of Viral Clearance Achieved by Direct-Acting Antiviral Agents on Hepatitis C Virus Positive Patients with Type 2 Diabetes Mellitus: A Word of Caution after the Initial Enthusiasm. </w:t>
      </w:r>
      <w:r w:rsidRPr="001A4AA9">
        <w:rPr>
          <w:rFonts w:ascii="Book Antiqua" w:eastAsia="Book Antiqua" w:hAnsi="Book Antiqua" w:cs="Book Antiqua"/>
          <w:i/>
          <w:iCs/>
          <w:color w:val="000000"/>
        </w:rPr>
        <w:t>J Clin Med</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9</w:t>
      </w:r>
      <w:r w:rsidRPr="001A4AA9">
        <w:rPr>
          <w:rFonts w:ascii="Book Antiqua" w:eastAsia="Book Antiqua" w:hAnsi="Book Antiqua" w:cs="Book Antiqua"/>
          <w:color w:val="000000"/>
        </w:rPr>
        <w:t xml:space="preserve"> [PMID: 32092892 DOI: 10.3390/jcm9020563]</w:t>
      </w:r>
    </w:p>
    <w:p w14:paraId="6D49DA7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51 </w:t>
      </w:r>
      <w:r w:rsidRPr="001A4AA9">
        <w:rPr>
          <w:rFonts w:ascii="Book Antiqua" w:eastAsia="Book Antiqua" w:hAnsi="Book Antiqua" w:cs="Book Antiqua"/>
          <w:b/>
          <w:bCs/>
          <w:color w:val="000000"/>
        </w:rPr>
        <w:t>Carnovale C</w:t>
      </w:r>
      <w:r w:rsidRPr="001A4AA9">
        <w:rPr>
          <w:rFonts w:ascii="Book Antiqua" w:eastAsia="Book Antiqua" w:hAnsi="Book Antiqua" w:cs="Book Antiqua"/>
          <w:color w:val="000000"/>
        </w:rPr>
        <w:t xml:space="preserve">, Pozzi M, Dassano A, D'Addio F, Gentili M, Magni C, Clementi E, Radice S, Fiorina P. The impact of a successful treatment of hepatitis C virus on glyco-metabolic control in diabetic patients: a systematic review and meta-analysis. </w:t>
      </w:r>
      <w:r w:rsidRPr="001A4AA9">
        <w:rPr>
          <w:rFonts w:ascii="Book Antiqua" w:eastAsia="Book Antiqua" w:hAnsi="Book Antiqua" w:cs="Book Antiqua"/>
          <w:i/>
          <w:iCs/>
          <w:color w:val="000000"/>
        </w:rPr>
        <w:t>Acta Diabetol</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341-354 [PMID: 30478781 DOI: 10.1007/s00592-018-1257-1]</w:t>
      </w:r>
    </w:p>
    <w:p w14:paraId="454F924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52 </w:t>
      </w:r>
      <w:r w:rsidRPr="001A4AA9">
        <w:rPr>
          <w:rFonts w:ascii="Book Antiqua" w:eastAsia="Book Antiqua" w:hAnsi="Book Antiqua" w:cs="Book Antiqua"/>
          <w:b/>
          <w:bCs/>
          <w:color w:val="000000"/>
        </w:rPr>
        <w:t>Hum J</w:t>
      </w:r>
      <w:r w:rsidRPr="001A4AA9">
        <w:rPr>
          <w:rFonts w:ascii="Book Antiqua" w:eastAsia="Book Antiqua" w:hAnsi="Book Antiqua" w:cs="Book Antiqua"/>
          <w:color w:val="000000"/>
        </w:rPr>
        <w:t xml:space="preserve">, Jou JH, Green PK, Berry K, Lundblad J, Hettinger BD, Chang M, Ioannou GN. Improvement in Glycemic Control of Type 2 Diabetes After Successful Treatment of Hepatitis C Virus. </w:t>
      </w:r>
      <w:r w:rsidRPr="001A4AA9">
        <w:rPr>
          <w:rFonts w:ascii="Book Antiqua" w:eastAsia="Book Antiqua" w:hAnsi="Book Antiqua" w:cs="Book Antiqua"/>
          <w:i/>
          <w:iCs/>
          <w:color w:val="000000"/>
        </w:rPr>
        <w:t>Diabetes Care</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40</w:t>
      </w:r>
      <w:r w:rsidRPr="001A4AA9">
        <w:rPr>
          <w:rFonts w:ascii="Book Antiqua" w:eastAsia="Book Antiqua" w:hAnsi="Book Antiqua" w:cs="Book Antiqua"/>
          <w:color w:val="000000"/>
        </w:rPr>
        <w:t>: 1173-1180 [PMID: 28659309 DOI: 10.2337/dc17-0485]</w:t>
      </w:r>
    </w:p>
    <w:p w14:paraId="18AB6F5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53 </w:t>
      </w:r>
      <w:r w:rsidRPr="001A4AA9">
        <w:rPr>
          <w:rFonts w:ascii="Book Antiqua" w:eastAsia="Book Antiqua" w:hAnsi="Book Antiqua" w:cs="Book Antiqua"/>
          <w:b/>
          <w:bCs/>
          <w:color w:val="000000"/>
        </w:rPr>
        <w:t>Ciancio A</w:t>
      </w:r>
      <w:r w:rsidRPr="001A4AA9">
        <w:rPr>
          <w:rFonts w:ascii="Book Antiqua" w:eastAsia="Book Antiqua" w:hAnsi="Book Antiqua" w:cs="Book Antiqua"/>
          <w:color w:val="000000"/>
        </w:rPr>
        <w:t xml:space="preserve">, Bosio R, Bo S, Pellegrini M, Sacco M, Vogliotti E, Fassio G, Bianco Mauthe Degerfeld AGF, Gallo M, Giordanino C, Terzi di Bergamo L, Ribaldone D, Bugianesi E, </w:t>
      </w:r>
      <w:r w:rsidRPr="001A4AA9">
        <w:rPr>
          <w:rFonts w:ascii="Book Antiqua" w:eastAsia="Book Antiqua" w:hAnsi="Book Antiqua" w:cs="Book Antiqua"/>
          <w:color w:val="000000"/>
        </w:rPr>
        <w:lastRenderedPageBreak/>
        <w:t xml:space="preserve">Smedile A, Rizzetto M, Saracco GM. Significant improvement of glycemic control in diabetic patients with HCV infection responding to direct-acting antiviral agents. </w:t>
      </w:r>
      <w:r w:rsidRPr="001A4AA9">
        <w:rPr>
          <w:rFonts w:ascii="Book Antiqua" w:eastAsia="Book Antiqua" w:hAnsi="Book Antiqua" w:cs="Book Antiqua"/>
          <w:i/>
          <w:iCs/>
          <w:color w:val="000000"/>
        </w:rPr>
        <w:t>J Med Virol</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90</w:t>
      </w:r>
      <w:r w:rsidRPr="001A4AA9">
        <w:rPr>
          <w:rFonts w:ascii="Book Antiqua" w:eastAsia="Book Antiqua" w:hAnsi="Book Antiqua" w:cs="Book Antiqua"/>
          <w:color w:val="000000"/>
        </w:rPr>
        <w:t>: 320-327 [PMID: 28960353 DOI: 10.1002/jmv.24954]</w:t>
      </w:r>
    </w:p>
    <w:p w14:paraId="03DBCD6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54 </w:t>
      </w:r>
      <w:r w:rsidRPr="001A4AA9">
        <w:rPr>
          <w:rFonts w:ascii="Book Antiqua" w:eastAsia="Book Antiqua" w:hAnsi="Book Antiqua" w:cs="Book Antiqua"/>
          <w:b/>
          <w:bCs/>
          <w:color w:val="000000"/>
        </w:rPr>
        <w:t>Adinolfi LE</w:t>
      </w:r>
      <w:r w:rsidRPr="001A4AA9">
        <w:rPr>
          <w:rFonts w:ascii="Book Antiqua" w:eastAsia="Book Antiqua" w:hAnsi="Book Antiqua" w:cs="Book Antiqua"/>
          <w:color w:val="000000"/>
        </w:rPr>
        <w:t xml:space="preserve">, Nevola R, Guerrera B, D'Alterio G, Marrone A, Giordano M, Rinaldi L. Hepatitis C virus clearance by direct-acting antiviral treatments and impact on insulin resistance in chronic hepatitis C patients. </w:t>
      </w:r>
      <w:r w:rsidRPr="001A4AA9">
        <w:rPr>
          <w:rFonts w:ascii="Book Antiqua" w:eastAsia="Book Antiqua" w:hAnsi="Book Antiqua" w:cs="Book Antiqua"/>
          <w:i/>
          <w:iCs/>
          <w:color w:val="000000"/>
        </w:rPr>
        <w:t>J Gastroenterol Hepatol</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33</w:t>
      </w:r>
      <w:r w:rsidRPr="001A4AA9">
        <w:rPr>
          <w:rFonts w:ascii="Book Antiqua" w:eastAsia="Book Antiqua" w:hAnsi="Book Antiqua" w:cs="Book Antiqua"/>
          <w:color w:val="000000"/>
        </w:rPr>
        <w:t>: 1379-1382 [PMID: 29228501 DOI: 10.1111/jgh.14067]</w:t>
      </w:r>
    </w:p>
    <w:p w14:paraId="2264A07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55 </w:t>
      </w:r>
      <w:r w:rsidRPr="001A4AA9">
        <w:rPr>
          <w:rFonts w:ascii="Book Antiqua" w:eastAsia="Book Antiqua" w:hAnsi="Book Antiqua" w:cs="Book Antiqua"/>
          <w:b/>
          <w:bCs/>
          <w:color w:val="000000"/>
        </w:rPr>
        <w:t>Weidner P</w:t>
      </w:r>
      <w:r w:rsidRPr="001A4AA9">
        <w:rPr>
          <w:rFonts w:ascii="Book Antiqua" w:eastAsia="Book Antiqua" w:hAnsi="Book Antiqua" w:cs="Book Antiqua"/>
          <w:color w:val="000000"/>
        </w:rPr>
        <w:t xml:space="preserve">, Boettche D, Zimmerer T, Burgermeister E, Teufel A, Ebert MPA, Antoni C. Impact of direct acting antiviral (DAA) treatment on glucose metabolism and reduction of pre-diabetes in patients with chronic hepatitis C. </w:t>
      </w:r>
      <w:r w:rsidRPr="001A4AA9">
        <w:rPr>
          <w:rFonts w:ascii="Book Antiqua" w:eastAsia="Book Antiqua" w:hAnsi="Book Antiqua" w:cs="Book Antiqua"/>
          <w:i/>
          <w:iCs/>
          <w:color w:val="000000"/>
        </w:rPr>
        <w:t>J Gastrointestin Liver Dis</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27</w:t>
      </w:r>
      <w:r w:rsidRPr="001A4AA9">
        <w:rPr>
          <w:rFonts w:ascii="Book Antiqua" w:eastAsia="Book Antiqua" w:hAnsi="Book Antiqua" w:cs="Book Antiqua"/>
          <w:color w:val="000000"/>
        </w:rPr>
        <w:t>: 281-289 [PMID: 30240472 DOI: 10.15403/jgld.2014.1121.273.daa]</w:t>
      </w:r>
    </w:p>
    <w:p w14:paraId="096DF012"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56 </w:t>
      </w:r>
      <w:r w:rsidRPr="001A4AA9">
        <w:rPr>
          <w:rFonts w:ascii="Book Antiqua" w:eastAsia="Book Antiqua" w:hAnsi="Book Antiqua" w:cs="Book Antiqua"/>
          <w:b/>
          <w:bCs/>
          <w:color w:val="000000"/>
        </w:rPr>
        <w:t>Hsu YC</w:t>
      </w:r>
      <w:r w:rsidRPr="001A4AA9">
        <w:rPr>
          <w:rFonts w:ascii="Book Antiqua" w:eastAsia="Book Antiqua" w:hAnsi="Book Antiqua" w:cs="Book Antiqua"/>
          <w:color w:val="000000"/>
        </w:rPr>
        <w:t xml:space="preserve">, Lin JT, Ho HJ, Kao YH, Huang YT, Hsiao NW, Wu MS, Liu YY, Wu CY. Antiviral treatment for hepatitis C virus infection is associated with improved renal and cardiovascular outcomes in diabetic patients.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59</w:t>
      </w:r>
      <w:r w:rsidRPr="001A4AA9">
        <w:rPr>
          <w:rFonts w:ascii="Book Antiqua" w:eastAsia="Book Antiqua" w:hAnsi="Book Antiqua" w:cs="Book Antiqua"/>
          <w:color w:val="000000"/>
        </w:rPr>
        <w:t>: 1293-1302 [PMID: 24122848 DOI: 10.1002/hep.26892]</w:t>
      </w:r>
    </w:p>
    <w:p w14:paraId="599FA46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57 </w:t>
      </w:r>
      <w:r w:rsidRPr="001A4AA9">
        <w:rPr>
          <w:rFonts w:ascii="Book Antiqua" w:eastAsia="Book Antiqua" w:hAnsi="Book Antiqua" w:cs="Book Antiqua"/>
          <w:b/>
          <w:bCs/>
          <w:color w:val="000000"/>
        </w:rPr>
        <w:t>Li J</w:t>
      </w:r>
      <w:r w:rsidRPr="001A4AA9">
        <w:rPr>
          <w:rFonts w:ascii="Book Antiqua" w:eastAsia="Book Antiqua" w:hAnsi="Book Antiqua" w:cs="Book Antiqua"/>
          <w:color w:val="000000"/>
        </w:rPr>
        <w:t xml:space="preserve">, Gordon SC, Rupp LB, Zhang T, Trudeau S, Holmberg SD, Moorman AC, Spradling PR, Teshale EH, Boscarino JA, Schmidt MA, Daida YG, Lu M; CHeCS Investigators. Sustained virological response to hepatitis C treatment decreases the incidence of complications associated with type 2 diabetes. </w:t>
      </w:r>
      <w:r w:rsidRPr="001A4AA9">
        <w:rPr>
          <w:rFonts w:ascii="Book Antiqua" w:eastAsia="Book Antiqua" w:hAnsi="Book Antiqua" w:cs="Book Antiqua"/>
          <w:i/>
          <w:iCs/>
          <w:color w:val="000000"/>
        </w:rPr>
        <w:t>Aliment Pharmacol Ther</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599-608 [PMID: 30650468 DOI: 10.1111/apt.15102]</w:t>
      </w:r>
    </w:p>
    <w:p w14:paraId="5C72D04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58 Summary Safety Review - Direct-acting antivirals (DAAs) - Health Canada. 2020 Feb 17 [cited 27 December 2020]. In: Government of Canada [Internet]. Available from: https://hpr-rps.hres.ca/reg-content/summary-safety-review-detail.php?linkID=SSR00234</w:t>
      </w:r>
    </w:p>
    <w:p w14:paraId="3BADB50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59 </w:t>
      </w:r>
      <w:r w:rsidRPr="001A4AA9">
        <w:rPr>
          <w:rFonts w:ascii="Book Antiqua" w:eastAsia="Book Antiqua" w:hAnsi="Book Antiqua" w:cs="Book Antiqua"/>
          <w:b/>
          <w:bCs/>
          <w:color w:val="000000"/>
        </w:rPr>
        <w:t>Negro F</w:t>
      </w:r>
      <w:r w:rsidRPr="001A4AA9">
        <w:rPr>
          <w:rFonts w:ascii="Book Antiqua" w:eastAsia="Book Antiqua" w:hAnsi="Book Antiqua" w:cs="Book Antiqua"/>
          <w:color w:val="000000"/>
        </w:rPr>
        <w:t xml:space="preserve">. Natural History of Hepatic and Extrahepatic Hepatitis C Virus Diseases and Impact of Interferon-Free HCV Therapy. </w:t>
      </w:r>
      <w:r w:rsidRPr="001A4AA9">
        <w:rPr>
          <w:rFonts w:ascii="Book Antiqua" w:eastAsia="Book Antiqua" w:hAnsi="Book Antiqua" w:cs="Book Antiqua"/>
          <w:i/>
          <w:iCs/>
          <w:color w:val="000000"/>
        </w:rPr>
        <w:t>Cold Spring Harb Perspect Med</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 xml:space="preserve">10: </w:t>
      </w:r>
      <w:r w:rsidRPr="001A4AA9">
        <w:rPr>
          <w:rFonts w:ascii="Book Antiqua" w:eastAsia="Book Antiqua" w:hAnsi="Book Antiqua" w:cs="Book Antiqua"/>
          <w:color w:val="000000"/>
        </w:rPr>
        <w:t>a036921 [PMID: 31636094 DOI: 10.1101/cshperspect.a036921]</w:t>
      </w:r>
    </w:p>
    <w:p w14:paraId="1206709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60 </w:t>
      </w:r>
      <w:r w:rsidRPr="001A4AA9">
        <w:rPr>
          <w:rFonts w:ascii="Book Antiqua" w:eastAsia="Book Antiqua" w:hAnsi="Book Antiqua" w:cs="Book Antiqua"/>
          <w:b/>
          <w:bCs/>
          <w:color w:val="000000"/>
        </w:rPr>
        <w:t>Boddi M</w:t>
      </w:r>
      <w:r w:rsidRPr="001A4AA9">
        <w:rPr>
          <w:rFonts w:ascii="Book Antiqua" w:eastAsia="Book Antiqua" w:hAnsi="Book Antiqua" w:cs="Book Antiqua"/>
          <w:color w:val="000000"/>
        </w:rPr>
        <w:t xml:space="preserve">, Abbate R, Chellini B, Giusti B, Giannini C, Pratesi G, Rossi L, Pratesi C, Gensini GF, Paperetti L, Zignego AL. Hepatitis C virus RNA localization in human </w:t>
      </w:r>
      <w:r w:rsidRPr="001A4AA9">
        <w:rPr>
          <w:rFonts w:ascii="Book Antiqua" w:eastAsia="Book Antiqua" w:hAnsi="Book Antiqua" w:cs="Book Antiqua"/>
          <w:color w:val="000000"/>
        </w:rPr>
        <w:lastRenderedPageBreak/>
        <w:t xml:space="preserve">carotid plaques. </w:t>
      </w:r>
      <w:r w:rsidRPr="001A4AA9">
        <w:rPr>
          <w:rFonts w:ascii="Book Antiqua" w:eastAsia="Book Antiqua" w:hAnsi="Book Antiqua" w:cs="Book Antiqua"/>
          <w:i/>
          <w:iCs/>
          <w:color w:val="000000"/>
        </w:rPr>
        <w:t>J Clin Virol</w:t>
      </w:r>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47</w:t>
      </w:r>
      <w:r w:rsidRPr="001A4AA9">
        <w:rPr>
          <w:rFonts w:ascii="Book Antiqua" w:eastAsia="Book Antiqua" w:hAnsi="Book Antiqua" w:cs="Book Antiqua"/>
          <w:color w:val="000000"/>
        </w:rPr>
        <w:t>: 72-75 [PMID: 19896417 DOI: 10.1016/j.jcv.2009.10.005]</w:t>
      </w:r>
    </w:p>
    <w:p w14:paraId="1C1AEAD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61 </w:t>
      </w:r>
      <w:r w:rsidRPr="001A4AA9">
        <w:rPr>
          <w:rFonts w:ascii="Book Antiqua" w:eastAsia="Book Antiqua" w:hAnsi="Book Antiqua" w:cs="Book Antiqua"/>
          <w:b/>
          <w:bCs/>
          <w:color w:val="000000"/>
        </w:rPr>
        <w:t>Petta S</w:t>
      </w:r>
      <w:r w:rsidRPr="001A4AA9">
        <w:rPr>
          <w:rFonts w:ascii="Book Antiqua" w:eastAsia="Book Antiqua" w:hAnsi="Book Antiqua" w:cs="Book Antiqua"/>
          <w:color w:val="000000"/>
        </w:rPr>
        <w:t xml:space="preserve">, Amato M, Cabibi D, Cammà C, Di Marco V, Giordano C, Galluzzo A, Craxì A. Visceral adiposity index is associated with histological findings and high viral load in patients with chronic hepatitis C due to genotype 1.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52</w:t>
      </w:r>
      <w:r w:rsidRPr="001A4AA9">
        <w:rPr>
          <w:rFonts w:ascii="Book Antiqua" w:eastAsia="Book Antiqua" w:hAnsi="Book Antiqua" w:cs="Book Antiqua"/>
          <w:color w:val="000000"/>
        </w:rPr>
        <w:t>: 1543-1552 [PMID: 20799355 DOI: 10.1002/hep.23859]</w:t>
      </w:r>
    </w:p>
    <w:p w14:paraId="4FAEF4B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62 </w:t>
      </w:r>
      <w:r w:rsidRPr="001A4AA9">
        <w:rPr>
          <w:rFonts w:ascii="Book Antiqua" w:eastAsia="Book Antiqua" w:hAnsi="Book Antiqua" w:cs="Book Antiqua"/>
          <w:b/>
          <w:bCs/>
          <w:color w:val="000000"/>
        </w:rPr>
        <w:t>Rehermann B</w:t>
      </w:r>
      <w:r w:rsidRPr="001A4AA9">
        <w:rPr>
          <w:rFonts w:ascii="Book Antiqua" w:eastAsia="Book Antiqua" w:hAnsi="Book Antiqua" w:cs="Book Antiqua"/>
          <w:color w:val="000000"/>
        </w:rPr>
        <w:t xml:space="preserve">. Pathogenesis of chronic viral hepatitis: differential roles of T cells and NK cells. </w:t>
      </w:r>
      <w:r w:rsidRPr="001A4AA9">
        <w:rPr>
          <w:rFonts w:ascii="Book Antiqua" w:eastAsia="Book Antiqua" w:hAnsi="Book Antiqua" w:cs="Book Antiqua"/>
          <w:i/>
          <w:iCs/>
          <w:color w:val="000000"/>
        </w:rPr>
        <w:t>Nat Med</w:t>
      </w:r>
      <w:r w:rsidRPr="001A4AA9">
        <w:rPr>
          <w:rFonts w:ascii="Book Antiqua" w:eastAsia="Book Antiqua" w:hAnsi="Book Antiqua" w:cs="Book Antiqua"/>
          <w:color w:val="000000"/>
        </w:rPr>
        <w:t xml:space="preserve"> 2013; </w:t>
      </w:r>
      <w:r w:rsidRPr="001A4AA9">
        <w:rPr>
          <w:rFonts w:ascii="Book Antiqua" w:eastAsia="Book Antiqua" w:hAnsi="Book Antiqua" w:cs="Book Antiqua"/>
          <w:b/>
          <w:bCs/>
          <w:color w:val="000000"/>
        </w:rPr>
        <w:t>19</w:t>
      </w:r>
      <w:r w:rsidRPr="001A4AA9">
        <w:rPr>
          <w:rFonts w:ascii="Book Antiqua" w:eastAsia="Book Antiqua" w:hAnsi="Book Antiqua" w:cs="Book Antiqua"/>
          <w:color w:val="000000"/>
        </w:rPr>
        <w:t>: 859-868 [PMID: 23836236 DOI: 10.1038/nm.3251]</w:t>
      </w:r>
    </w:p>
    <w:p w14:paraId="05F00C4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63 </w:t>
      </w:r>
      <w:r w:rsidRPr="001A4AA9">
        <w:rPr>
          <w:rFonts w:ascii="Book Antiqua" w:eastAsia="Book Antiqua" w:hAnsi="Book Antiqua" w:cs="Book Antiqua"/>
          <w:b/>
          <w:bCs/>
          <w:color w:val="000000"/>
        </w:rPr>
        <w:t>Petit JM</w:t>
      </w:r>
      <w:r w:rsidRPr="001A4AA9">
        <w:rPr>
          <w:rFonts w:ascii="Book Antiqua" w:eastAsia="Book Antiqua" w:hAnsi="Book Antiqua" w:cs="Book Antiqua"/>
          <w:color w:val="000000"/>
        </w:rPr>
        <w:t xml:space="preserve">, Minello A, Jooste V, Bour JB, Galland F, Duvillard L, Verges B, Olsson NO, Gambert P, Hillon P. Decreased plasma adiponectin concentrations are closely related to steatosis in hepatitis C virus-infected patients. </w:t>
      </w:r>
      <w:r w:rsidRPr="001A4AA9">
        <w:rPr>
          <w:rFonts w:ascii="Book Antiqua" w:eastAsia="Book Antiqua" w:hAnsi="Book Antiqua" w:cs="Book Antiqua"/>
          <w:i/>
          <w:iCs/>
          <w:color w:val="000000"/>
        </w:rPr>
        <w:t>J Clin Endocrinol Metab</w:t>
      </w:r>
      <w:r w:rsidRPr="001A4AA9">
        <w:rPr>
          <w:rFonts w:ascii="Book Antiqua" w:eastAsia="Book Antiqua" w:hAnsi="Book Antiqua" w:cs="Book Antiqua"/>
          <w:color w:val="000000"/>
        </w:rPr>
        <w:t xml:space="preserve"> 2005; </w:t>
      </w:r>
      <w:r w:rsidRPr="001A4AA9">
        <w:rPr>
          <w:rFonts w:ascii="Book Antiqua" w:eastAsia="Book Antiqua" w:hAnsi="Book Antiqua" w:cs="Book Antiqua"/>
          <w:b/>
          <w:bCs/>
          <w:color w:val="000000"/>
        </w:rPr>
        <w:t>90</w:t>
      </w:r>
      <w:r w:rsidRPr="001A4AA9">
        <w:rPr>
          <w:rFonts w:ascii="Book Antiqua" w:eastAsia="Book Antiqua" w:hAnsi="Book Antiqua" w:cs="Book Antiqua"/>
          <w:color w:val="000000"/>
        </w:rPr>
        <w:t>: 2240-2243 [PMID: 15644404 DOI: 10.1210/jc.2004-1266]</w:t>
      </w:r>
    </w:p>
    <w:p w14:paraId="651468F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64 </w:t>
      </w:r>
      <w:r w:rsidRPr="001A4AA9">
        <w:rPr>
          <w:rFonts w:ascii="Book Antiqua" w:eastAsia="Book Antiqua" w:hAnsi="Book Antiqua" w:cs="Book Antiqua"/>
          <w:b/>
          <w:bCs/>
          <w:color w:val="000000"/>
        </w:rPr>
        <w:t>Cua IH</w:t>
      </w:r>
      <w:r w:rsidRPr="001A4AA9">
        <w:rPr>
          <w:rFonts w:ascii="Book Antiqua" w:eastAsia="Book Antiqua" w:hAnsi="Book Antiqua" w:cs="Book Antiqua"/>
          <w:color w:val="000000"/>
        </w:rPr>
        <w:t xml:space="preserve">, Hui JM, Bandara P, Kench JG, Farrell GC, McCaughan GW, George J. Insulin resistance and liver injury in hepatitis C is not associated with virus-specific changes in adipocytokines. </w:t>
      </w:r>
      <w:r w:rsidRPr="001A4AA9">
        <w:rPr>
          <w:rFonts w:ascii="Book Antiqua" w:eastAsia="Book Antiqua" w:hAnsi="Book Antiqua" w:cs="Book Antiqua"/>
          <w:i/>
          <w:iCs/>
          <w:color w:val="000000"/>
        </w:rPr>
        <w:t>Hepatology</w:t>
      </w:r>
      <w:r w:rsidRPr="001A4AA9">
        <w:rPr>
          <w:rFonts w:ascii="Book Antiqua" w:eastAsia="Book Antiqua" w:hAnsi="Book Antiqua" w:cs="Book Antiqua"/>
          <w:color w:val="000000"/>
        </w:rPr>
        <w:t xml:space="preserve"> 2007; </w:t>
      </w:r>
      <w:r w:rsidRPr="001A4AA9">
        <w:rPr>
          <w:rFonts w:ascii="Book Antiqua" w:eastAsia="Book Antiqua" w:hAnsi="Book Antiqua" w:cs="Book Antiqua"/>
          <w:b/>
          <w:bCs/>
          <w:color w:val="000000"/>
        </w:rPr>
        <w:t>46</w:t>
      </w:r>
      <w:r w:rsidRPr="001A4AA9">
        <w:rPr>
          <w:rFonts w:ascii="Book Antiqua" w:eastAsia="Book Antiqua" w:hAnsi="Book Antiqua" w:cs="Book Antiqua"/>
          <w:color w:val="000000"/>
        </w:rPr>
        <w:t>: 66-73 [PMID: 17596870 DOI: 10.1002/hep.21703]</w:t>
      </w:r>
    </w:p>
    <w:p w14:paraId="5B0BD61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65 </w:t>
      </w:r>
      <w:r w:rsidRPr="001A4AA9">
        <w:rPr>
          <w:rFonts w:ascii="Book Antiqua" w:eastAsia="Book Antiqua" w:hAnsi="Book Antiqua" w:cs="Book Antiqua"/>
          <w:b/>
          <w:bCs/>
          <w:color w:val="000000"/>
        </w:rPr>
        <w:t>González-Reimers E</w:t>
      </w:r>
      <w:r w:rsidRPr="001A4AA9">
        <w:rPr>
          <w:rFonts w:ascii="Book Antiqua" w:eastAsia="Book Antiqua" w:hAnsi="Book Antiqua" w:cs="Book Antiqua"/>
          <w:color w:val="000000"/>
        </w:rPr>
        <w:t xml:space="preserve">, Quintero-Platt G, Martín-González C, Pérez-Hernández O, Romero-Acevedo L, Santolaria-Fernández F. Thrombin activation and liver inflammation in advanced hepatitis C virus infection. </w:t>
      </w:r>
      <w:r w:rsidRPr="001A4AA9">
        <w:rPr>
          <w:rFonts w:ascii="Book Antiqua" w:eastAsia="Book Antiqua" w:hAnsi="Book Antiqua" w:cs="Book Antiqua"/>
          <w:i/>
          <w:iCs/>
          <w:color w:val="000000"/>
        </w:rPr>
        <w:t>World J Gastroenterol</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22</w:t>
      </w:r>
      <w:r w:rsidRPr="001A4AA9">
        <w:rPr>
          <w:rFonts w:ascii="Book Antiqua" w:eastAsia="Book Antiqua" w:hAnsi="Book Antiqua" w:cs="Book Antiqua"/>
          <w:color w:val="000000"/>
        </w:rPr>
        <w:t>: 4427-4437 [PMID: 27182154 DOI: 10.3748/wjg.v22.i18.4427]</w:t>
      </w:r>
    </w:p>
    <w:p w14:paraId="70224FE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66 </w:t>
      </w:r>
      <w:r w:rsidRPr="001A4AA9">
        <w:rPr>
          <w:rFonts w:ascii="Book Antiqua" w:eastAsia="Book Antiqua" w:hAnsi="Book Antiqua" w:cs="Book Antiqua"/>
          <w:b/>
          <w:bCs/>
          <w:color w:val="000000"/>
        </w:rPr>
        <w:t>Butt AA</w:t>
      </w:r>
      <w:r w:rsidRPr="001A4AA9">
        <w:rPr>
          <w:rFonts w:ascii="Book Antiqua" w:eastAsia="Book Antiqua" w:hAnsi="Book Antiqua" w:cs="Book Antiqua"/>
          <w:color w:val="000000"/>
        </w:rPr>
        <w:t xml:space="preserve">, Xiaoqiang W, Budoff M, Leaf D, Kuller LH, Justice AC. Hepatitis C virus infection and the risk of coronary disease. </w:t>
      </w:r>
      <w:r w:rsidRPr="001A4AA9">
        <w:rPr>
          <w:rFonts w:ascii="Book Antiqua" w:eastAsia="Book Antiqua" w:hAnsi="Book Antiqua" w:cs="Book Antiqua"/>
          <w:i/>
          <w:iCs/>
          <w:color w:val="000000"/>
        </w:rPr>
        <w:t>Clin Infect Dis</w:t>
      </w:r>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225-232 [PMID: 19508169 DOI: 10.1086/599371]</w:t>
      </w:r>
    </w:p>
    <w:p w14:paraId="6F605FA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67 </w:t>
      </w:r>
      <w:r w:rsidRPr="001A4AA9">
        <w:rPr>
          <w:rFonts w:ascii="Book Antiqua" w:eastAsia="Book Antiqua" w:hAnsi="Book Antiqua" w:cs="Book Antiqua"/>
          <w:b/>
          <w:bCs/>
          <w:color w:val="000000"/>
        </w:rPr>
        <w:t>Howard G</w:t>
      </w:r>
      <w:r w:rsidRPr="001A4AA9">
        <w:rPr>
          <w:rFonts w:ascii="Book Antiqua" w:eastAsia="Book Antiqua" w:hAnsi="Book Antiqua" w:cs="Book Antiqua"/>
          <w:color w:val="000000"/>
        </w:rPr>
        <w:t xml:space="preserve">, Sharrett AR, Heiss G, Evans GW, Chambless LE, Riley WA, Burke GL. Carotid artery intimal-medial thickness distribution in general populations as evaluated by B-mode ultrasound. ARIC Investigators. </w:t>
      </w:r>
      <w:r w:rsidRPr="001A4AA9">
        <w:rPr>
          <w:rFonts w:ascii="Book Antiqua" w:eastAsia="Book Antiqua" w:hAnsi="Book Antiqua" w:cs="Book Antiqua"/>
          <w:i/>
          <w:iCs/>
          <w:color w:val="000000"/>
        </w:rPr>
        <w:t>Stroke</w:t>
      </w:r>
      <w:r w:rsidRPr="001A4AA9">
        <w:rPr>
          <w:rFonts w:ascii="Book Antiqua" w:eastAsia="Book Antiqua" w:hAnsi="Book Antiqua" w:cs="Book Antiqua"/>
          <w:color w:val="000000"/>
        </w:rPr>
        <w:t xml:space="preserve"> 1993;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1297-1304 [PMID: 8362421 DOI: 10.1161/01.str.24.9.1297]</w:t>
      </w:r>
    </w:p>
    <w:p w14:paraId="5F428AE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68 </w:t>
      </w:r>
      <w:r w:rsidRPr="001A4AA9">
        <w:rPr>
          <w:rFonts w:ascii="Book Antiqua" w:eastAsia="Book Antiqua" w:hAnsi="Book Antiqua" w:cs="Book Antiqua"/>
          <w:b/>
          <w:bCs/>
          <w:color w:val="000000"/>
        </w:rPr>
        <w:t>Chambless LE</w:t>
      </w:r>
      <w:r w:rsidRPr="001A4AA9">
        <w:rPr>
          <w:rFonts w:ascii="Book Antiqua" w:eastAsia="Book Antiqua" w:hAnsi="Book Antiqua" w:cs="Book Antiqua"/>
          <w:color w:val="000000"/>
        </w:rPr>
        <w:t xml:space="preserve">, Heiss G, Folsom AR, Rosamond W, Szklo M, Sharrett AR, Clegg LX. Association of coronary heart disease incidence with carotid arterial wall thickness and major risk factors: the Atherosclerosis Risk in Communities (ARIC) Study, 1987-1993. </w:t>
      </w:r>
      <w:r w:rsidRPr="001A4AA9">
        <w:rPr>
          <w:rFonts w:ascii="Book Antiqua" w:eastAsia="Book Antiqua" w:hAnsi="Book Antiqua" w:cs="Book Antiqua"/>
          <w:i/>
          <w:iCs/>
          <w:color w:val="000000"/>
        </w:rPr>
        <w:lastRenderedPageBreak/>
        <w:t>Am J Epidemiol</w:t>
      </w:r>
      <w:r w:rsidRPr="001A4AA9">
        <w:rPr>
          <w:rFonts w:ascii="Book Antiqua" w:eastAsia="Book Antiqua" w:hAnsi="Book Antiqua" w:cs="Book Antiqua"/>
          <w:color w:val="000000"/>
        </w:rPr>
        <w:t xml:space="preserve"> 1997; </w:t>
      </w:r>
      <w:r w:rsidRPr="001A4AA9">
        <w:rPr>
          <w:rFonts w:ascii="Book Antiqua" w:eastAsia="Book Antiqua" w:hAnsi="Book Antiqua" w:cs="Book Antiqua"/>
          <w:b/>
          <w:bCs/>
          <w:color w:val="000000"/>
        </w:rPr>
        <w:t>146</w:t>
      </w:r>
      <w:r w:rsidRPr="001A4AA9">
        <w:rPr>
          <w:rFonts w:ascii="Book Antiqua" w:eastAsia="Book Antiqua" w:hAnsi="Book Antiqua" w:cs="Book Antiqua"/>
          <w:color w:val="000000"/>
        </w:rPr>
        <w:t>: 483-494 [PMID: 9290509 DOI: 10.1093/oxfordjournals.aje.a009302]</w:t>
      </w:r>
    </w:p>
    <w:p w14:paraId="16D83FF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69 </w:t>
      </w:r>
      <w:r w:rsidRPr="001A4AA9">
        <w:rPr>
          <w:rFonts w:ascii="Book Antiqua" w:eastAsia="Book Antiqua" w:hAnsi="Book Antiqua" w:cs="Book Antiqua"/>
          <w:b/>
          <w:bCs/>
          <w:color w:val="000000"/>
        </w:rPr>
        <w:t>Butt AA</w:t>
      </w:r>
      <w:r w:rsidRPr="001A4AA9">
        <w:rPr>
          <w:rFonts w:ascii="Book Antiqua" w:eastAsia="Book Antiqua" w:hAnsi="Book Antiqua" w:cs="Book Antiqua"/>
          <w:color w:val="000000"/>
        </w:rPr>
        <w:t xml:space="preserve">, Yan P, Shuaib A, Abou-Samra AB, Shaikh OS, Freiberg MS. Direct-Acting Antiviral Therapy for HCV Infection Is Associated With a Reduced Risk of Cardiovascular Disease Events.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987-996.e8 [PMID: 30445009 DOI: 10.1053/j.gastro.2018.11.022]</w:t>
      </w:r>
    </w:p>
    <w:p w14:paraId="011A1A4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70 </w:t>
      </w:r>
      <w:r w:rsidRPr="001A4AA9">
        <w:rPr>
          <w:rFonts w:ascii="Book Antiqua" w:eastAsia="Book Antiqua" w:hAnsi="Book Antiqua" w:cs="Book Antiqua"/>
          <w:b/>
          <w:bCs/>
          <w:color w:val="000000"/>
        </w:rPr>
        <w:t>Magro B,</w:t>
      </w:r>
      <w:r w:rsidRPr="001A4AA9">
        <w:rPr>
          <w:rFonts w:ascii="Book Antiqua" w:eastAsia="Book Antiqua" w:hAnsi="Book Antiqua" w:cs="Book Antiqua"/>
          <w:color w:val="000000"/>
        </w:rPr>
        <w:t xml:space="preserve"> CalvarusoV, Petta S, Cacciola I, Cabibbo G, Cartabellotta F, Di Rosolini A, Davì A, Cannavò M, Russello M, Di Stefano M, Scifo G, Di Lorenzo F, Prestileo T, LaRocca L, Montineri A, Fuduli G, Digiacomo A, Cannizzaro M, Madonia S, Licata A, Malizia G, Alaimo G, Bertino G, Cacopardo B, Iacobello C, Averna A, Guarneri L, Scalisi I, Mazzola G, Mondello L, Portelli V, Squadrito G, Cammà C, Raimondo G, Craxì A, Di Marco V. Liver and cardiovascular mortality after DAAS: data from the RESIST-HCV cohort. </w:t>
      </w:r>
      <w:r w:rsidRPr="001A4AA9">
        <w:rPr>
          <w:rFonts w:ascii="Book Antiqua" w:eastAsia="Book Antiqua" w:hAnsi="Book Antiqua" w:cs="Book Antiqua"/>
          <w:i/>
          <w:iCs/>
          <w:color w:val="000000"/>
        </w:rPr>
        <w:t>Dig Liver Dis</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51</w:t>
      </w:r>
      <w:r w:rsidRPr="001A4AA9">
        <w:rPr>
          <w:rFonts w:ascii="Book Antiqua" w:eastAsia="Book Antiqua" w:hAnsi="Book Antiqua" w:cs="Book Antiqua"/>
          <w:color w:val="000000"/>
        </w:rPr>
        <w:t>: e75-e76 [DOI: 10.1016/S1590-8658(19)30134-3]</w:t>
      </w:r>
    </w:p>
    <w:p w14:paraId="616FF1A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71 </w:t>
      </w:r>
      <w:r w:rsidRPr="001A4AA9">
        <w:rPr>
          <w:rFonts w:ascii="Book Antiqua" w:eastAsia="Book Antiqua" w:hAnsi="Book Antiqua" w:cs="Book Antiqua"/>
          <w:b/>
          <w:bCs/>
          <w:color w:val="000000"/>
        </w:rPr>
        <w:t>Calvaruso V</w:t>
      </w:r>
      <w:r w:rsidRPr="001A4AA9">
        <w:rPr>
          <w:rFonts w:ascii="Book Antiqua" w:eastAsia="Book Antiqua" w:hAnsi="Book Antiqua" w:cs="Book Antiqua"/>
          <w:color w:val="000000"/>
        </w:rPr>
        <w:t xml:space="preserve">, Craxì A. Hepatic benefits of HCV cure.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73</w:t>
      </w:r>
      <w:r w:rsidRPr="001A4AA9">
        <w:rPr>
          <w:rFonts w:ascii="Book Antiqua" w:eastAsia="Book Antiqua" w:hAnsi="Book Antiqua" w:cs="Book Antiqua"/>
          <w:color w:val="000000"/>
        </w:rPr>
        <w:t>: 1548-1556 [PMID: 32777323 DOI: 10.1016/j.jhep.2020.08.006]</w:t>
      </w:r>
    </w:p>
    <w:p w14:paraId="1E97AE2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72 </w:t>
      </w:r>
      <w:r w:rsidRPr="001A4AA9">
        <w:rPr>
          <w:rFonts w:ascii="Book Antiqua" w:eastAsia="Book Antiqua" w:hAnsi="Book Antiqua" w:cs="Book Antiqua"/>
          <w:b/>
          <w:bCs/>
          <w:color w:val="000000"/>
        </w:rPr>
        <w:t>Calvaruso V,</w:t>
      </w:r>
      <w:r w:rsidRPr="001A4AA9">
        <w:rPr>
          <w:rFonts w:ascii="Book Antiqua" w:eastAsia="Book Antiqua" w:hAnsi="Book Antiqua" w:cs="Book Antiqua"/>
          <w:color w:val="000000"/>
        </w:rPr>
        <w:t xml:space="preserve"> PettaS, Cacciola I, Cabibbo G, Cartabellotta F, Di Rosolini A, Davì A, Cannavò M, Russello M, DistefanoM, Scifo G, Di Lorenzo F, Prestileo T, La Rocca L, Montineri A, Fiduli G, Digiacomo A, Cannizzaro M, Madonia S, Licata A, Malizia G, Alaimo G, Bertino G, Cacopardo B, Iacobello C, Averna A, Guarneri L, Scalisi I, Mazzola G, Mondello L, Portelli V, SquadritoG, Cammà C, Raimondo G, Craxì A, Di Marco V. Disease outcomes after DAA-induced SVR: data from the resist-HCV cohort. </w:t>
      </w:r>
      <w:r w:rsidRPr="001A4AA9">
        <w:rPr>
          <w:rFonts w:ascii="Book Antiqua" w:eastAsia="Book Antiqua" w:hAnsi="Book Antiqua" w:cs="Book Antiqua"/>
          <w:i/>
          <w:iCs/>
          <w:color w:val="000000"/>
        </w:rPr>
        <w:t>J Hepatol</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68</w:t>
      </w:r>
      <w:r w:rsidRPr="001A4AA9">
        <w:rPr>
          <w:rFonts w:ascii="Book Antiqua" w:eastAsia="Book Antiqua" w:hAnsi="Book Antiqua" w:cs="Book Antiqua"/>
          <w:color w:val="000000"/>
        </w:rPr>
        <w:t>: S83 [DOI: 10.1016/S0168-8278(18)30385-4]</w:t>
      </w:r>
    </w:p>
    <w:p w14:paraId="3BFFE7F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73 </w:t>
      </w:r>
      <w:r w:rsidRPr="001A4AA9">
        <w:rPr>
          <w:rFonts w:ascii="Book Antiqua" w:eastAsia="Book Antiqua" w:hAnsi="Book Antiqua" w:cs="Book Antiqua"/>
          <w:b/>
          <w:bCs/>
          <w:color w:val="000000"/>
        </w:rPr>
        <w:t>Cacoub P</w:t>
      </w:r>
      <w:r w:rsidRPr="001A4AA9">
        <w:rPr>
          <w:rFonts w:ascii="Book Antiqua" w:eastAsia="Book Antiqua" w:hAnsi="Book Antiqua" w:cs="Book Antiqua"/>
          <w:color w:val="000000"/>
        </w:rPr>
        <w:t xml:space="preserve">, Nahon P, Layese R, Blaise L, Desbois AC, Bourcier V, Cagnot C, Marcellin P, Guyader D, Pol S, Larrey D, De Lédinghen V, Ouzan D, Zoulim F, Roulot D, Tran A, Bronowicki JP, Zarski JP, Riachi G, Calès P, Péron JM, Alric L, Bourlière M, Mathurin P, Blanc JF, Abergel A, Serfaty L, Mallat A, Grangé JD, Attali P, Bacq Y, Wartelle C, Dao T, Thabut D, Pilette C, Silvain C, Christidis C, Capron D, Thiefin G, Zucman D, Di Martino V, Bagnis CI, Ziol M, Sutton A, Letouze E, Roudot-Thoraval F, Audureau E; ANRS CO12 CirVir group. Prognostic value of viral eradication for major adverse </w:t>
      </w:r>
      <w:r w:rsidRPr="001A4AA9">
        <w:rPr>
          <w:rFonts w:ascii="Book Antiqua" w:eastAsia="Book Antiqua" w:hAnsi="Book Antiqua" w:cs="Book Antiqua"/>
          <w:color w:val="000000"/>
        </w:rPr>
        <w:lastRenderedPageBreak/>
        <w:t xml:space="preserve">cardiovascular events in hepatitis C cirrhotic patients. </w:t>
      </w:r>
      <w:r w:rsidRPr="001A4AA9">
        <w:rPr>
          <w:rFonts w:ascii="Book Antiqua" w:eastAsia="Book Antiqua" w:hAnsi="Book Antiqua" w:cs="Book Antiqua"/>
          <w:i/>
          <w:iCs/>
          <w:color w:val="000000"/>
        </w:rPr>
        <w:t>Am Heart J</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198</w:t>
      </w:r>
      <w:r w:rsidRPr="001A4AA9">
        <w:rPr>
          <w:rFonts w:ascii="Book Antiqua" w:eastAsia="Book Antiqua" w:hAnsi="Book Antiqua" w:cs="Book Antiqua"/>
          <w:color w:val="000000"/>
        </w:rPr>
        <w:t>: 4-17 [PMID: 29653647 DOI: 10.1016/j.ahj.2017.10.024]</w:t>
      </w:r>
    </w:p>
    <w:p w14:paraId="6373404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74 </w:t>
      </w:r>
      <w:r w:rsidRPr="001A4AA9">
        <w:rPr>
          <w:rFonts w:ascii="Book Antiqua" w:eastAsia="Book Antiqua" w:hAnsi="Book Antiqua" w:cs="Book Antiqua"/>
          <w:b/>
          <w:bCs/>
          <w:color w:val="000000"/>
        </w:rPr>
        <w:t>Potthoff A</w:t>
      </w:r>
      <w:r w:rsidRPr="001A4AA9">
        <w:rPr>
          <w:rFonts w:ascii="Book Antiqua" w:eastAsia="Book Antiqua" w:hAnsi="Book Antiqua" w:cs="Book Antiqua"/>
          <w:color w:val="000000"/>
        </w:rPr>
        <w:t xml:space="preserve">, Berg T, Wedemeyer H; HEP-NET B/C Coinfection Study Group. Late hepatitis B virus relapse in patients co-infected with hepatitis B virus and hepatitis C virus after antiviral treatment with pegylated interferon-a2b and ribavirin. </w:t>
      </w:r>
      <w:r w:rsidRPr="001A4AA9">
        <w:rPr>
          <w:rFonts w:ascii="Book Antiqua" w:eastAsia="Book Antiqua" w:hAnsi="Book Antiqua" w:cs="Book Antiqua"/>
          <w:i/>
          <w:iCs/>
          <w:color w:val="000000"/>
        </w:rPr>
        <w:t>Scand J Gastroenterol</w:t>
      </w:r>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44</w:t>
      </w:r>
      <w:r w:rsidRPr="001A4AA9">
        <w:rPr>
          <w:rFonts w:ascii="Book Antiqua" w:eastAsia="Book Antiqua" w:hAnsi="Book Antiqua" w:cs="Book Antiqua"/>
          <w:color w:val="000000"/>
        </w:rPr>
        <w:t>: 1487-1490 [PMID: 19900055 DOI: 10.3109/00365520903329585]</w:t>
      </w:r>
    </w:p>
    <w:p w14:paraId="5776CC0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75 </w:t>
      </w:r>
      <w:r w:rsidRPr="001A4AA9">
        <w:rPr>
          <w:rFonts w:ascii="Book Antiqua" w:eastAsia="Book Antiqua" w:hAnsi="Book Antiqua" w:cs="Book Antiqua"/>
          <w:b/>
          <w:bCs/>
          <w:color w:val="000000"/>
        </w:rPr>
        <w:t>Wang C</w:t>
      </w:r>
      <w:r w:rsidRPr="001A4AA9">
        <w:rPr>
          <w:rFonts w:ascii="Book Antiqua" w:eastAsia="Book Antiqua" w:hAnsi="Book Antiqua" w:cs="Book Antiqua"/>
          <w:color w:val="000000"/>
        </w:rPr>
        <w:t xml:space="preserve">, Ji D, Chen J, Shao Q, Li B, Liu J, Wu V, Wong A, Wang Y, Zhang X, Lu L, Wong C, Tsang S, Zhang Z, Sun J, Hou J, Chen G, Lau G. Hepatitis due to Reactivation of Hepatitis B Virus in Endemic Areas Among Patients With Hepatitis C Treated With Direct-acting Antiviral Agents. </w:t>
      </w:r>
      <w:r w:rsidRPr="001A4AA9">
        <w:rPr>
          <w:rFonts w:ascii="Book Antiqua" w:eastAsia="Book Antiqua" w:hAnsi="Book Antiqua" w:cs="Book Antiqua"/>
          <w:i/>
          <w:iCs/>
          <w:color w:val="000000"/>
        </w:rPr>
        <w:t>Clin Gastroenterol Hepatol</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w:t>
      </w:r>
      <w:r w:rsidRPr="001A4AA9">
        <w:rPr>
          <w:rFonts w:ascii="Book Antiqua" w:eastAsia="Book Antiqua" w:hAnsi="Book Antiqua" w:cs="Book Antiqua"/>
          <w:color w:val="000000"/>
        </w:rPr>
        <w:t>: 132-136 [PMID: 27392759 DOI: 10.1016/j.cgh.2016.06.023]</w:t>
      </w:r>
    </w:p>
    <w:p w14:paraId="037ECE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76 </w:t>
      </w:r>
      <w:r w:rsidRPr="001A4AA9">
        <w:rPr>
          <w:rFonts w:ascii="Book Antiqua" w:eastAsia="Book Antiqua" w:hAnsi="Book Antiqua" w:cs="Book Antiqua"/>
          <w:b/>
          <w:bCs/>
          <w:color w:val="000000"/>
        </w:rPr>
        <w:t>Bersoff-Matcha SJ</w:t>
      </w:r>
      <w:r w:rsidRPr="001A4AA9">
        <w:rPr>
          <w:rFonts w:ascii="Book Antiqua" w:eastAsia="Book Antiqua" w:hAnsi="Book Antiqua" w:cs="Book Antiqua"/>
          <w:color w:val="000000"/>
        </w:rPr>
        <w:t xml:space="preserve">, Cao K, Jason M, Ajao A, Jones SC, Meyer T, Brinker A. Hepatitis B Virus Reactivation Associated With Direct-Acting Antiviral Therapy for Chronic Hepatitis C Virus: A Review of Cases Reported to the U.S. Food and Drug Administration Adverse Event Reporting System. </w:t>
      </w:r>
      <w:r w:rsidRPr="001A4AA9">
        <w:rPr>
          <w:rFonts w:ascii="Book Antiqua" w:eastAsia="Book Antiqua" w:hAnsi="Book Antiqua" w:cs="Book Antiqua"/>
          <w:i/>
          <w:iCs/>
          <w:color w:val="000000"/>
        </w:rPr>
        <w:t>Ann Intern Med</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166</w:t>
      </w:r>
      <w:r w:rsidRPr="001A4AA9">
        <w:rPr>
          <w:rFonts w:ascii="Book Antiqua" w:eastAsia="Book Antiqua" w:hAnsi="Book Antiqua" w:cs="Book Antiqua"/>
          <w:color w:val="000000"/>
        </w:rPr>
        <w:t>: 792-798 [PMID: 28437794 DOI: 10.7326/M17-0377]</w:t>
      </w:r>
    </w:p>
    <w:p w14:paraId="32CFDA7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77 </w:t>
      </w:r>
      <w:r w:rsidRPr="001A4AA9">
        <w:rPr>
          <w:rFonts w:ascii="Book Antiqua" w:eastAsia="Book Antiqua" w:hAnsi="Book Antiqua" w:cs="Book Antiqua"/>
          <w:b/>
          <w:bCs/>
          <w:color w:val="000000"/>
        </w:rPr>
        <w:t>Pockros PJ</w:t>
      </w:r>
      <w:r w:rsidRPr="001A4AA9">
        <w:rPr>
          <w:rFonts w:ascii="Book Antiqua" w:eastAsia="Book Antiqua" w:hAnsi="Book Antiqua" w:cs="Book Antiqua"/>
          <w:color w:val="000000"/>
        </w:rPr>
        <w:t xml:space="preserve">. Black Box Warning for Possible HBV Reactivation During DAA Therapy for Chronic HCV Infection. </w:t>
      </w:r>
      <w:r w:rsidRPr="001A4AA9">
        <w:rPr>
          <w:rFonts w:ascii="Book Antiqua" w:eastAsia="Book Antiqua" w:hAnsi="Book Antiqua" w:cs="Book Antiqua"/>
          <w:i/>
          <w:iCs/>
          <w:color w:val="000000"/>
        </w:rPr>
        <w:t>Gastroenterol Hepatol (N 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13</w:t>
      </w:r>
      <w:r w:rsidRPr="001A4AA9">
        <w:rPr>
          <w:rFonts w:ascii="Book Antiqua" w:eastAsia="Book Antiqua" w:hAnsi="Book Antiqua" w:cs="Book Antiqua"/>
          <w:color w:val="000000"/>
        </w:rPr>
        <w:t>: 536-540 [PMID: 29038644]</w:t>
      </w:r>
    </w:p>
    <w:p w14:paraId="6AFD2B8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78 </w:t>
      </w:r>
      <w:r w:rsidRPr="001A4AA9">
        <w:rPr>
          <w:rFonts w:ascii="Book Antiqua" w:eastAsia="Book Antiqua" w:hAnsi="Book Antiqua" w:cs="Book Antiqua"/>
          <w:b/>
          <w:bCs/>
          <w:color w:val="000000"/>
        </w:rPr>
        <w:t>Madonia S</w:t>
      </w:r>
      <w:r w:rsidRPr="001A4AA9">
        <w:rPr>
          <w:rFonts w:ascii="Book Antiqua" w:eastAsia="Book Antiqua" w:hAnsi="Book Antiqua" w:cs="Book Antiqua"/>
          <w:color w:val="000000"/>
        </w:rPr>
        <w:t xml:space="preserve">, Orlando E, Madonia G, Cannizzaro M. HCV/HBV coinfection: The dark side of DAAs treatment? </w:t>
      </w:r>
      <w:r w:rsidRPr="001A4AA9">
        <w:rPr>
          <w:rFonts w:ascii="Book Antiqua" w:eastAsia="Book Antiqua" w:hAnsi="Book Antiqua" w:cs="Book Antiqua"/>
          <w:i/>
          <w:iCs/>
          <w:color w:val="000000"/>
        </w:rPr>
        <w:t>Liver Int</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37</w:t>
      </w:r>
      <w:r w:rsidRPr="001A4AA9">
        <w:rPr>
          <w:rFonts w:ascii="Book Antiqua" w:eastAsia="Book Antiqua" w:hAnsi="Book Antiqua" w:cs="Book Antiqua"/>
          <w:color w:val="000000"/>
        </w:rPr>
        <w:t>: 1086-1087 [PMID: 27966812 DOI: 10.1111/Liv.13342]</w:t>
      </w:r>
    </w:p>
    <w:p w14:paraId="0D7C80A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79 </w:t>
      </w:r>
      <w:r w:rsidRPr="001A4AA9">
        <w:rPr>
          <w:rFonts w:ascii="Book Antiqua" w:eastAsia="Book Antiqua" w:hAnsi="Book Antiqua" w:cs="Book Antiqua"/>
          <w:b/>
          <w:bCs/>
          <w:color w:val="000000"/>
        </w:rPr>
        <w:t>Ozaras R</w:t>
      </w:r>
      <w:r w:rsidRPr="001A4AA9">
        <w:rPr>
          <w:rFonts w:ascii="Book Antiqua" w:eastAsia="Book Antiqua" w:hAnsi="Book Antiqua" w:cs="Book Antiqua"/>
          <w:color w:val="000000"/>
        </w:rPr>
        <w:t xml:space="preserve">, Mete B, Tabak F. Occult Hepatitis B and Risk of Reactivation After Hepatitis C Treatment With Direct-Acting Antivirals. </w:t>
      </w:r>
      <w:r w:rsidRPr="001A4AA9">
        <w:rPr>
          <w:rFonts w:ascii="Book Antiqua" w:eastAsia="Book Antiqua" w:hAnsi="Book Antiqua" w:cs="Book Antiqua"/>
          <w:i/>
          <w:iCs/>
          <w:color w:val="000000"/>
        </w:rPr>
        <w:t>Clin Gastroenterol Hepatol</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w:t>
      </w:r>
      <w:r w:rsidRPr="001A4AA9">
        <w:rPr>
          <w:rFonts w:ascii="Book Antiqua" w:eastAsia="Book Antiqua" w:hAnsi="Book Antiqua" w:cs="Book Antiqua"/>
          <w:color w:val="000000"/>
        </w:rPr>
        <w:t>: 605 [PMID: 27923721 DOI: 10.1016/j.cgh.2016.11.030]</w:t>
      </w:r>
    </w:p>
    <w:p w14:paraId="7C60B5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80 </w:t>
      </w:r>
      <w:r w:rsidRPr="001A4AA9">
        <w:rPr>
          <w:rFonts w:ascii="Book Antiqua" w:eastAsia="Book Antiqua" w:hAnsi="Book Antiqua" w:cs="Book Antiqua"/>
          <w:b/>
          <w:bCs/>
          <w:color w:val="000000"/>
        </w:rPr>
        <w:t>Liu CJ</w:t>
      </w:r>
      <w:r w:rsidRPr="001A4AA9">
        <w:rPr>
          <w:rFonts w:ascii="Book Antiqua" w:eastAsia="Book Antiqua" w:hAnsi="Book Antiqua" w:cs="Book Antiqua"/>
          <w:color w:val="000000"/>
        </w:rPr>
        <w:t xml:space="preserve">, Chuang WL, Sheen IS, Wang HY, Chen CY, Tseng KC, Chang TT, Massetto B, Yang JC, Yun C, Knox SJ, Osinusi A, Camus G, Jiang D, Brainard DM, McHutchison JG, Hu TH, Hsu YC, Lo GH, Chu CJ, Chen JJ, Peng CY, Chien RN, Chen PJ. Efficacy of Ledipasvir and Sofosbuvir Treatment of HCV Infection in Patients Coinfected With </w:t>
      </w:r>
      <w:r w:rsidRPr="001A4AA9">
        <w:rPr>
          <w:rFonts w:ascii="Book Antiqua" w:eastAsia="Book Antiqua" w:hAnsi="Book Antiqua" w:cs="Book Antiqua"/>
          <w:color w:val="000000"/>
        </w:rPr>
        <w:lastRenderedPageBreak/>
        <w:t xml:space="preserve">HBV.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154</w:t>
      </w:r>
      <w:r w:rsidRPr="001A4AA9">
        <w:rPr>
          <w:rFonts w:ascii="Book Antiqua" w:eastAsia="Book Antiqua" w:hAnsi="Book Antiqua" w:cs="Book Antiqua"/>
          <w:color w:val="000000"/>
        </w:rPr>
        <w:t>: 989-997 [PMID: 29174546 DOI: 10.1053/j.gastro.2017.11.011]</w:t>
      </w:r>
    </w:p>
    <w:p w14:paraId="25191A81" w14:textId="77777777" w:rsidR="004C489D" w:rsidRPr="001A4AA9" w:rsidRDefault="004C489D" w:rsidP="001A4AA9">
      <w:pPr>
        <w:spacing w:line="360" w:lineRule="auto"/>
        <w:jc w:val="both"/>
        <w:rPr>
          <w:rFonts w:ascii="Book Antiqua" w:hAnsi="Book Antiqua"/>
        </w:rPr>
        <w:sectPr w:rsidR="004C489D" w:rsidRPr="001A4AA9">
          <w:pgSz w:w="12240" w:h="15840"/>
          <w:pgMar w:top="1440" w:right="1440" w:bottom="1440" w:left="1440" w:header="720" w:footer="720" w:gutter="0"/>
          <w:cols w:space="720"/>
          <w:docGrid w:linePitch="360"/>
        </w:sectPr>
      </w:pPr>
    </w:p>
    <w:p w14:paraId="4F1A89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lastRenderedPageBreak/>
        <w:t>Footnotes</w:t>
      </w:r>
    </w:p>
    <w:p w14:paraId="4813136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Conflict-of-interest statement: </w:t>
      </w:r>
      <w:r w:rsidRPr="001A4AA9">
        <w:rPr>
          <w:rFonts w:ascii="Book Antiqua" w:eastAsia="Book Antiqua" w:hAnsi="Book Antiqua" w:cs="Book Antiqua"/>
          <w:color w:val="000000"/>
        </w:rPr>
        <w:t>There is no conflict of interest associated with any of the authors who contributed to this manuscript.</w:t>
      </w:r>
    </w:p>
    <w:p w14:paraId="1EDC9051" w14:textId="77777777" w:rsidR="004C489D" w:rsidRPr="001A4AA9" w:rsidRDefault="004C489D" w:rsidP="001A4AA9">
      <w:pPr>
        <w:spacing w:line="360" w:lineRule="auto"/>
        <w:jc w:val="both"/>
        <w:rPr>
          <w:rFonts w:ascii="Book Antiqua" w:hAnsi="Book Antiqua"/>
        </w:rPr>
      </w:pPr>
    </w:p>
    <w:p w14:paraId="0E993FD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Open-Access: </w:t>
      </w:r>
      <w:r w:rsidRPr="001A4A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337287" w14:textId="77777777" w:rsidR="004C489D" w:rsidRPr="001A4AA9" w:rsidRDefault="004C489D" w:rsidP="001A4AA9">
      <w:pPr>
        <w:spacing w:line="360" w:lineRule="auto"/>
        <w:jc w:val="both"/>
        <w:rPr>
          <w:rFonts w:ascii="Book Antiqua" w:hAnsi="Book Antiqua"/>
        </w:rPr>
      </w:pPr>
    </w:p>
    <w:p w14:paraId="58BD60D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source: </w:t>
      </w:r>
      <w:r w:rsidRPr="001A4AA9">
        <w:rPr>
          <w:rFonts w:ascii="Book Antiqua" w:eastAsia="Book Antiqua" w:hAnsi="Book Antiqua" w:cs="Book Antiqua"/>
          <w:color w:val="000000"/>
        </w:rPr>
        <w:t>Invited manuscript</w:t>
      </w:r>
    </w:p>
    <w:p w14:paraId="7438C9A1" w14:textId="77777777" w:rsidR="004C489D" w:rsidRPr="001A4AA9" w:rsidRDefault="004C489D" w:rsidP="001A4AA9">
      <w:pPr>
        <w:spacing w:line="360" w:lineRule="auto"/>
        <w:jc w:val="both"/>
        <w:rPr>
          <w:rFonts w:ascii="Book Antiqua" w:hAnsi="Book Antiqua"/>
        </w:rPr>
      </w:pPr>
    </w:p>
    <w:p w14:paraId="419C282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Peer-review started: </w:t>
      </w:r>
      <w:r w:rsidRPr="001A4AA9">
        <w:rPr>
          <w:rFonts w:ascii="Book Antiqua" w:eastAsia="Book Antiqua" w:hAnsi="Book Antiqua" w:cs="Book Antiqua"/>
          <w:color w:val="000000"/>
        </w:rPr>
        <w:t>January 25, 2021</w:t>
      </w:r>
    </w:p>
    <w:p w14:paraId="1EBDA4B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First decision: </w:t>
      </w:r>
      <w:r w:rsidRPr="001A4AA9">
        <w:rPr>
          <w:rFonts w:ascii="Book Antiqua" w:eastAsia="Book Antiqua" w:hAnsi="Book Antiqua" w:cs="Book Antiqua"/>
          <w:color w:val="000000"/>
        </w:rPr>
        <w:t>February 28, 2021</w:t>
      </w:r>
    </w:p>
    <w:p w14:paraId="6C64783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Article in press: </w:t>
      </w:r>
    </w:p>
    <w:p w14:paraId="656596BF" w14:textId="77777777" w:rsidR="004C489D" w:rsidRPr="001A4AA9" w:rsidRDefault="004C489D" w:rsidP="001A4AA9">
      <w:pPr>
        <w:spacing w:line="360" w:lineRule="auto"/>
        <w:jc w:val="both"/>
        <w:rPr>
          <w:rFonts w:ascii="Book Antiqua" w:hAnsi="Book Antiqua"/>
        </w:rPr>
      </w:pPr>
    </w:p>
    <w:p w14:paraId="05550E7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Specialty type: </w:t>
      </w:r>
      <w:r w:rsidRPr="001A4AA9">
        <w:rPr>
          <w:rFonts w:ascii="Book Antiqua" w:eastAsia="Book Antiqua" w:hAnsi="Book Antiqua" w:cs="Book Antiqua"/>
          <w:color w:val="000000"/>
        </w:rPr>
        <w:t>Gastroenterology and hepatology</w:t>
      </w:r>
    </w:p>
    <w:p w14:paraId="2B1855A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Country/Territory of origin: </w:t>
      </w:r>
      <w:r w:rsidRPr="001A4AA9">
        <w:rPr>
          <w:rFonts w:ascii="Book Antiqua" w:eastAsia="Book Antiqua" w:hAnsi="Book Antiqua" w:cs="Book Antiqua"/>
          <w:color w:val="000000"/>
        </w:rPr>
        <w:t>Italy</w:t>
      </w:r>
    </w:p>
    <w:p w14:paraId="5F9AB58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Peer-review report’s scientific quality classification</w:t>
      </w:r>
    </w:p>
    <w:p w14:paraId="4D327E9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A (Excellent): 0</w:t>
      </w:r>
    </w:p>
    <w:p w14:paraId="252F477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B (Very good): B, B</w:t>
      </w:r>
    </w:p>
    <w:p w14:paraId="21D472B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C (Good): 0</w:t>
      </w:r>
    </w:p>
    <w:p w14:paraId="6E40FC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D (Fair): 0</w:t>
      </w:r>
    </w:p>
    <w:p w14:paraId="4E2EC1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E (Poor): 0</w:t>
      </w:r>
    </w:p>
    <w:p w14:paraId="72BB7560" w14:textId="77777777" w:rsidR="004C489D" w:rsidRPr="001A4AA9" w:rsidRDefault="004C489D" w:rsidP="001A4AA9">
      <w:pPr>
        <w:spacing w:line="360" w:lineRule="auto"/>
        <w:jc w:val="both"/>
        <w:rPr>
          <w:rFonts w:ascii="Book Antiqua" w:hAnsi="Book Antiqua"/>
        </w:rPr>
      </w:pPr>
    </w:p>
    <w:p w14:paraId="1C92D71E" w14:textId="130285D1" w:rsidR="004C489D" w:rsidRPr="001A4AA9" w:rsidRDefault="001B343C" w:rsidP="001A4AA9">
      <w:pPr>
        <w:spacing w:line="360" w:lineRule="auto"/>
        <w:jc w:val="both"/>
        <w:rPr>
          <w:rFonts w:ascii="Book Antiqua" w:eastAsia="Book Antiqua" w:hAnsi="Book Antiqua" w:cs="Book Antiqua"/>
          <w:b/>
          <w:color w:val="000000"/>
        </w:rPr>
      </w:pPr>
      <w:r w:rsidRPr="001A4AA9">
        <w:rPr>
          <w:rFonts w:ascii="Book Antiqua" w:eastAsia="Book Antiqua" w:hAnsi="Book Antiqua" w:cs="Book Antiqua"/>
          <w:b/>
          <w:color w:val="000000"/>
        </w:rPr>
        <w:t xml:space="preserve">P-Reviewer: </w:t>
      </w:r>
      <w:r w:rsidRPr="001A4AA9">
        <w:rPr>
          <w:rFonts w:ascii="Book Antiqua" w:eastAsia="Book Antiqua" w:hAnsi="Book Antiqua" w:cs="Book Antiqua"/>
          <w:color w:val="000000"/>
        </w:rPr>
        <w:t>Doganay L, Ristic-Medic D</w:t>
      </w:r>
      <w:r w:rsidRPr="001A4AA9">
        <w:rPr>
          <w:rFonts w:ascii="Book Antiqua" w:eastAsia="Book Antiqua" w:hAnsi="Book Antiqua" w:cs="Book Antiqua"/>
          <w:b/>
          <w:color w:val="000000"/>
        </w:rPr>
        <w:t xml:space="preserve"> S-Editor: </w:t>
      </w:r>
      <w:r w:rsidRPr="001A4AA9">
        <w:rPr>
          <w:rFonts w:ascii="Book Antiqua" w:eastAsia="Book Antiqua" w:hAnsi="Book Antiqua" w:cs="Book Antiqua"/>
          <w:color w:val="000000"/>
        </w:rPr>
        <w:t>Liu M</w:t>
      </w:r>
      <w:r w:rsidRPr="001A4AA9">
        <w:rPr>
          <w:rFonts w:ascii="Book Antiqua" w:eastAsia="Book Antiqua" w:hAnsi="Book Antiqua" w:cs="Book Antiqua"/>
          <w:b/>
          <w:color w:val="000000"/>
        </w:rPr>
        <w:t xml:space="preserve"> L-Editor: </w:t>
      </w:r>
      <w:r w:rsidR="004305DD" w:rsidRPr="001A4AA9">
        <w:rPr>
          <w:rFonts w:ascii="Book Antiqua" w:eastAsia="Book Antiqua" w:hAnsi="Book Antiqua" w:cs="Book Antiqua"/>
          <w:bCs/>
          <w:color w:val="000000"/>
        </w:rPr>
        <w:t>Filipodia</w:t>
      </w:r>
      <w:r w:rsidRPr="001A4AA9">
        <w:rPr>
          <w:rFonts w:ascii="Book Antiqua" w:eastAsia="Book Antiqua" w:hAnsi="Book Antiqua" w:cs="Book Antiqua"/>
          <w:b/>
          <w:color w:val="000000"/>
        </w:rPr>
        <w:t xml:space="preserve"> P-Editor: </w:t>
      </w:r>
    </w:p>
    <w:p w14:paraId="48535B76" w14:textId="4C59D097" w:rsidR="004C489D" w:rsidRPr="001A4AA9" w:rsidRDefault="001B343C" w:rsidP="001A4AA9">
      <w:pPr>
        <w:adjustRightInd w:val="0"/>
        <w:snapToGrid w:val="0"/>
        <w:spacing w:line="360" w:lineRule="auto"/>
        <w:jc w:val="both"/>
        <w:rPr>
          <w:rFonts w:ascii="Book Antiqua" w:hAnsi="Book Antiqua"/>
          <w:b/>
        </w:rPr>
      </w:pPr>
      <w:r w:rsidRPr="001A4AA9">
        <w:rPr>
          <w:rFonts w:ascii="Book Antiqua" w:eastAsia="Book Antiqua" w:hAnsi="Book Antiqua" w:cs="Book Antiqua"/>
          <w:b/>
          <w:color w:val="000000"/>
        </w:rPr>
        <w:br w:type="page"/>
      </w:r>
      <w:r w:rsidRPr="001A4AA9">
        <w:rPr>
          <w:rFonts w:ascii="Book Antiqua" w:hAnsi="Book Antiqua"/>
          <w:b/>
        </w:rPr>
        <w:lastRenderedPageBreak/>
        <w:t>Table 1 Benefits and pitfalls of sustained virological response using direct</w:t>
      </w:r>
      <w:r w:rsidR="00481C54">
        <w:rPr>
          <w:rFonts w:ascii="Book Antiqua" w:hAnsi="Book Antiqua"/>
          <w:b/>
        </w:rPr>
        <w:t>-</w:t>
      </w:r>
      <w:r w:rsidRPr="001A4AA9">
        <w:rPr>
          <w:rFonts w:ascii="Book Antiqua" w:hAnsi="Book Antiqua"/>
          <w:b/>
        </w:rPr>
        <w:t>acting antivirals in different hepatitis C virus scenarios</w:t>
      </w:r>
    </w:p>
    <w:tbl>
      <w:tblPr>
        <w:tblStyle w:val="TableGrid"/>
        <w:tblW w:w="9135" w:type="dxa"/>
        <w:jc w:val="center"/>
        <w:tblBorders>
          <w:left w:val="none" w:sz="0" w:space="0" w:color="auto"/>
          <w:right w:val="none" w:sz="0" w:space="0" w:color="auto"/>
        </w:tblBorders>
        <w:tblLook w:val="04A0" w:firstRow="1" w:lastRow="0" w:firstColumn="1" w:lastColumn="0" w:noHBand="0" w:noVBand="1"/>
      </w:tblPr>
      <w:tblGrid>
        <w:gridCol w:w="2600"/>
        <w:gridCol w:w="3189"/>
        <w:gridCol w:w="3346"/>
      </w:tblGrid>
      <w:tr w:rsidR="004C489D" w:rsidRPr="001A4AA9" w14:paraId="6A964371" w14:textId="77777777">
        <w:trPr>
          <w:jc w:val="center"/>
        </w:trPr>
        <w:tc>
          <w:tcPr>
            <w:tcW w:w="2600" w:type="dxa"/>
            <w:tcBorders>
              <w:top w:val="single" w:sz="4" w:space="0" w:color="auto"/>
              <w:left w:val="nil"/>
              <w:bottom w:val="single" w:sz="4" w:space="0" w:color="auto"/>
              <w:right w:val="nil"/>
            </w:tcBorders>
          </w:tcPr>
          <w:p w14:paraId="40E8953C" w14:textId="77777777" w:rsidR="004C489D" w:rsidRPr="001A4AA9" w:rsidRDefault="001B343C" w:rsidP="001A4AA9">
            <w:pPr>
              <w:adjustRightInd w:val="0"/>
              <w:snapToGrid w:val="0"/>
              <w:spacing w:line="360" w:lineRule="auto"/>
              <w:jc w:val="both"/>
              <w:rPr>
                <w:rFonts w:ascii="Book Antiqua" w:hAnsi="Book Antiqua"/>
                <w:b/>
                <w:bCs/>
                <w:lang w:eastAsia="zh-CN"/>
              </w:rPr>
            </w:pPr>
            <w:r w:rsidRPr="001A4AA9">
              <w:rPr>
                <w:rFonts w:ascii="Book Antiqua" w:eastAsia="Times New Roman" w:hAnsi="Book Antiqua"/>
                <w:b/>
                <w:bCs/>
                <w:lang w:eastAsia="zh-CN"/>
              </w:rPr>
              <w:t>Setting</w:t>
            </w:r>
          </w:p>
        </w:tc>
        <w:tc>
          <w:tcPr>
            <w:tcW w:w="3189" w:type="dxa"/>
            <w:tcBorders>
              <w:top w:val="single" w:sz="4" w:space="0" w:color="auto"/>
              <w:left w:val="nil"/>
              <w:bottom w:val="single" w:sz="4" w:space="0" w:color="auto"/>
              <w:right w:val="nil"/>
            </w:tcBorders>
          </w:tcPr>
          <w:p w14:paraId="35B1F0B2" w14:textId="77777777" w:rsidR="004C489D" w:rsidRPr="001A4AA9" w:rsidRDefault="001B343C" w:rsidP="001A4AA9">
            <w:pPr>
              <w:adjustRightInd w:val="0"/>
              <w:snapToGrid w:val="0"/>
              <w:spacing w:line="360" w:lineRule="auto"/>
              <w:jc w:val="both"/>
              <w:rPr>
                <w:rFonts w:ascii="Book Antiqua" w:eastAsia="Times New Roman" w:hAnsi="Book Antiqua"/>
                <w:b/>
                <w:bCs/>
                <w:lang w:eastAsia="zh-CN"/>
              </w:rPr>
            </w:pPr>
            <w:r w:rsidRPr="001A4AA9">
              <w:rPr>
                <w:rFonts w:ascii="Book Antiqua" w:eastAsia="Times New Roman" w:hAnsi="Book Antiqua"/>
                <w:b/>
                <w:bCs/>
                <w:lang w:eastAsia="zh-CN"/>
              </w:rPr>
              <w:t>Benefits</w:t>
            </w:r>
          </w:p>
        </w:tc>
        <w:tc>
          <w:tcPr>
            <w:tcW w:w="3346" w:type="dxa"/>
            <w:tcBorders>
              <w:top w:val="single" w:sz="4" w:space="0" w:color="auto"/>
              <w:left w:val="nil"/>
              <w:bottom w:val="single" w:sz="4" w:space="0" w:color="auto"/>
              <w:right w:val="nil"/>
            </w:tcBorders>
          </w:tcPr>
          <w:p w14:paraId="066BA499" w14:textId="77777777" w:rsidR="004C489D" w:rsidRPr="001A4AA9" w:rsidRDefault="001B343C" w:rsidP="001A4AA9">
            <w:pPr>
              <w:adjustRightInd w:val="0"/>
              <w:snapToGrid w:val="0"/>
              <w:spacing w:line="360" w:lineRule="auto"/>
              <w:jc w:val="both"/>
              <w:rPr>
                <w:rFonts w:ascii="Book Antiqua" w:eastAsia="Times New Roman" w:hAnsi="Book Antiqua"/>
                <w:b/>
                <w:bCs/>
                <w:lang w:eastAsia="zh-CN"/>
              </w:rPr>
            </w:pPr>
            <w:r w:rsidRPr="001A4AA9">
              <w:rPr>
                <w:rFonts w:ascii="Book Antiqua" w:eastAsia="Times New Roman" w:hAnsi="Book Antiqua"/>
                <w:b/>
                <w:bCs/>
                <w:lang w:eastAsia="zh-CN"/>
              </w:rPr>
              <w:t>Pitfalls</w:t>
            </w:r>
          </w:p>
        </w:tc>
      </w:tr>
      <w:tr w:rsidR="004C489D" w:rsidRPr="001A4AA9" w14:paraId="766C3B33" w14:textId="77777777">
        <w:trPr>
          <w:jc w:val="center"/>
        </w:trPr>
        <w:tc>
          <w:tcPr>
            <w:tcW w:w="2600" w:type="dxa"/>
            <w:tcBorders>
              <w:top w:val="single" w:sz="4" w:space="0" w:color="auto"/>
              <w:left w:val="nil"/>
              <w:bottom w:val="nil"/>
              <w:right w:val="nil"/>
            </w:tcBorders>
          </w:tcPr>
          <w:p w14:paraId="21A6394B"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Advanced liver disease</w:t>
            </w:r>
          </w:p>
          <w:p w14:paraId="00F0B3AA"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single" w:sz="4" w:space="0" w:color="auto"/>
              <w:left w:val="nil"/>
              <w:bottom w:val="nil"/>
              <w:right w:val="nil"/>
            </w:tcBorders>
          </w:tcPr>
          <w:p w14:paraId="2D2923D3"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eastAsia="Times New Roman" w:hAnsi="Book Antiqua" w:cs="Tahoma"/>
              </w:rPr>
            </w:pPr>
            <w:r w:rsidRPr="001A4AA9">
              <w:rPr>
                <w:rFonts w:ascii="Book Antiqua" w:hAnsi="Book Antiqua" w:cs="Tahoma"/>
              </w:rPr>
              <w:t xml:space="preserve">SVR rates </w:t>
            </w:r>
            <w:r w:rsidRPr="001A4AA9">
              <w:rPr>
                <w:rFonts w:ascii="Book Antiqua" w:eastAsia="Times New Roman" w:hAnsi="Book Antiqua" w:cs="Tahoma"/>
              </w:rPr>
              <w:t>higher than 95%</w:t>
            </w:r>
          </w:p>
          <w:p w14:paraId="1E502FCB"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eastAsia="Times New Roman" w:hAnsi="Book Antiqua" w:cs="Tahoma"/>
              </w:rPr>
            </w:pPr>
            <w:r w:rsidRPr="001A4AA9">
              <w:rPr>
                <w:rFonts w:ascii="Book Antiqua" w:eastAsia="Times New Roman" w:hAnsi="Book Antiqua" w:cs="Tahoma"/>
              </w:rPr>
              <w:t>Reduced risk of decompensation and death</w:t>
            </w:r>
          </w:p>
          <w:p w14:paraId="0546516F"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eastAsia="Times New Roman" w:hAnsi="Book Antiqua" w:cs="Tahoma"/>
              </w:rPr>
            </w:pPr>
            <w:r w:rsidRPr="001A4AA9">
              <w:rPr>
                <w:rFonts w:ascii="Book Antiqua" w:eastAsia="Times New Roman" w:hAnsi="Book Antiqua" w:cs="Tahoma"/>
              </w:rPr>
              <w:t xml:space="preserve">HVPG reduction </w:t>
            </w:r>
          </w:p>
          <w:p w14:paraId="75AEC083" w14:textId="77777777" w:rsidR="004C489D" w:rsidRPr="001A4AA9" w:rsidRDefault="004C489D" w:rsidP="001A4AA9">
            <w:pPr>
              <w:adjustRightInd w:val="0"/>
              <w:snapToGrid w:val="0"/>
              <w:spacing w:line="360" w:lineRule="auto"/>
              <w:jc w:val="both"/>
              <w:rPr>
                <w:rFonts w:ascii="Book Antiqua" w:eastAsia="Times New Roman" w:hAnsi="Book Antiqua" w:cs="Tahoma"/>
                <w:lang w:eastAsia="zh-CN"/>
              </w:rPr>
            </w:pPr>
          </w:p>
        </w:tc>
        <w:tc>
          <w:tcPr>
            <w:tcW w:w="3346" w:type="dxa"/>
            <w:tcBorders>
              <w:top w:val="single" w:sz="4" w:space="0" w:color="auto"/>
              <w:left w:val="nil"/>
              <w:bottom w:val="nil"/>
              <w:right w:val="nil"/>
            </w:tcBorders>
          </w:tcPr>
          <w:p w14:paraId="4C1C5817"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Nothing to report</w:t>
            </w:r>
          </w:p>
        </w:tc>
      </w:tr>
      <w:tr w:rsidR="004C489D" w:rsidRPr="001A4AA9" w14:paraId="0FABA071" w14:textId="77777777">
        <w:trPr>
          <w:jc w:val="center"/>
        </w:trPr>
        <w:tc>
          <w:tcPr>
            <w:tcW w:w="2600" w:type="dxa"/>
            <w:tcBorders>
              <w:top w:val="nil"/>
              <w:left w:val="nil"/>
              <w:bottom w:val="nil"/>
              <w:right w:val="nil"/>
            </w:tcBorders>
          </w:tcPr>
          <w:p w14:paraId="3128135B"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Decompensated cirrhosis</w:t>
            </w:r>
          </w:p>
          <w:p w14:paraId="697B5F66"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nil"/>
              <w:right w:val="nil"/>
            </w:tcBorders>
          </w:tcPr>
          <w:p w14:paraId="3D07C7FD"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rPr>
              <w:t>Liver function improvement in one third to one half of patients</w:t>
            </w:r>
          </w:p>
          <w:p w14:paraId="6E8FF904" w14:textId="2CA3FE09"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rPr>
              <w:t>Treatment well</w:t>
            </w:r>
            <w:r w:rsidR="00481C54">
              <w:rPr>
                <w:rFonts w:ascii="Book Antiqua" w:eastAsia="Times New Roman" w:hAnsi="Book Antiqua" w:cs="Tahoma"/>
              </w:rPr>
              <w:t>-</w:t>
            </w:r>
            <w:r w:rsidRPr="001A4AA9">
              <w:rPr>
                <w:rFonts w:ascii="Book Antiqua" w:eastAsia="Times New Roman" w:hAnsi="Book Antiqua" w:cs="Tahoma"/>
              </w:rPr>
              <w:t>tolerated</w:t>
            </w:r>
          </w:p>
          <w:p w14:paraId="245112EE"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346" w:type="dxa"/>
            <w:tcBorders>
              <w:top w:val="nil"/>
              <w:left w:val="nil"/>
              <w:bottom w:val="nil"/>
              <w:right w:val="nil"/>
            </w:tcBorders>
          </w:tcPr>
          <w:p w14:paraId="554FED55"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Slightly lower SVR rates</w:t>
            </w:r>
          </w:p>
          <w:p w14:paraId="7650AA8B" w14:textId="28904153"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cs="Tahoma"/>
              </w:rPr>
              <w:t>Need for ribavirin or treatment elongation to 24 wk</w:t>
            </w:r>
          </w:p>
        </w:tc>
      </w:tr>
      <w:tr w:rsidR="004C489D" w:rsidRPr="001A4AA9" w14:paraId="4B92F1A4" w14:textId="77777777">
        <w:trPr>
          <w:jc w:val="center"/>
        </w:trPr>
        <w:tc>
          <w:tcPr>
            <w:tcW w:w="2600" w:type="dxa"/>
            <w:tcBorders>
              <w:top w:val="nil"/>
              <w:left w:val="nil"/>
              <w:bottom w:val="nil"/>
              <w:right w:val="nil"/>
            </w:tcBorders>
          </w:tcPr>
          <w:p w14:paraId="4636D1F6"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HCC occurrence</w:t>
            </w:r>
          </w:p>
          <w:p w14:paraId="4021AC13"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nil"/>
              <w:right w:val="nil"/>
            </w:tcBorders>
          </w:tcPr>
          <w:p w14:paraId="66D32958"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Reduced occurrence of HCC</w:t>
            </w:r>
          </w:p>
          <w:p w14:paraId="4DE60A02" w14:textId="77777777" w:rsidR="004C489D" w:rsidRPr="001A4AA9" w:rsidRDefault="004C489D" w:rsidP="001A4AA9">
            <w:pPr>
              <w:pStyle w:val="Paragrafoelenco1"/>
              <w:adjustRightInd w:val="0"/>
              <w:snapToGrid w:val="0"/>
              <w:spacing w:before="0" w:beforeAutospacing="0" w:after="0" w:afterAutospacing="0" w:line="360" w:lineRule="auto"/>
              <w:ind w:left="0"/>
              <w:jc w:val="both"/>
              <w:rPr>
                <w:rFonts w:ascii="Book Antiqua" w:hAnsi="Book Antiqua"/>
              </w:rPr>
            </w:pPr>
          </w:p>
        </w:tc>
        <w:tc>
          <w:tcPr>
            <w:tcW w:w="3346" w:type="dxa"/>
            <w:tcBorders>
              <w:top w:val="nil"/>
              <w:left w:val="nil"/>
              <w:bottom w:val="nil"/>
              <w:right w:val="nil"/>
            </w:tcBorders>
          </w:tcPr>
          <w:p w14:paraId="0D1ABDEE"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Still relevant risk of HCC</w:t>
            </w:r>
          </w:p>
          <w:p w14:paraId="55F506B6" w14:textId="4126D815"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Need for periodic surveillance for early diagnosis</w:t>
            </w:r>
          </w:p>
          <w:p w14:paraId="340F5740" w14:textId="77777777" w:rsidR="004C489D" w:rsidRPr="001A4AA9" w:rsidRDefault="004C489D" w:rsidP="001A4AA9">
            <w:pPr>
              <w:pStyle w:val="Paragrafoelenco1"/>
              <w:adjustRightInd w:val="0"/>
              <w:snapToGrid w:val="0"/>
              <w:spacing w:before="0" w:beforeAutospacing="0" w:after="0" w:afterAutospacing="0" w:line="360" w:lineRule="auto"/>
              <w:ind w:left="0"/>
              <w:jc w:val="both"/>
              <w:rPr>
                <w:rFonts w:ascii="Book Antiqua" w:hAnsi="Book Antiqua"/>
              </w:rPr>
            </w:pPr>
          </w:p>
        </w:tc>
      </w:tr>
      <w:tr w:rsidR="004C489D" w:rsidRPr="001A4AA9" w14:paraId="279DD270" w14:textId="77777777">
        <w:trPr>
          <w:jc w:val="center"/>
        </w:trPr>
        <w:tc>
          <w:tcPr>
            <w:tcW w:w="2600" w:type="dxa"/>
            <w:tcBorders>
              <w:top w:val="nil"/>
              <w:left w:val="nil"/>
              <w:bottom w:val="nil"/>
              <w:right w:val="nil"/>
            </w:tcBorders>
          </w:tcPr>
          <w:p w14:paraId="5F4CEDAE"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HCC recurrence</w:t>
            </w:r>
          </w:p>
          <w:p w14:paraId="25470288"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nil"/>
              <w:right w:val="nil"/>
            </w:tcBorders>
          </w:tcPr>
          <w:p w14:paraId="3038D879"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 xml:space="preserve">Improved survival due to reduced risk of decompensation </w:t>
            </w:r>
          </w:p>
        </w:tc>
        <w:tc>
          <w:tcPr>
            <w:tcW w:w="3346" w:type="dxa"/>
            <w:tcBorders>
              <w:top w:val="nil"/>
              <w:left w:val="nil"/>
              <w:bottom w:val="nil"/>
              <w:right w:val="nil"/>
            </w:tcBorders>
          </w:tcPr>
          <w:p w14:paraId="0FD57539"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Risk of HCC recurrence unaffected by SVR</w:t>
            </w:r>
          </w:p>
          <w:p w14:paraId="0AFEC854" w14:textId="0A3C69AF"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Need for periodic surveillance for early diagnosis</w:t>
            </w:r>
          </w:p>
          <w:p w14:paraId="6B57EFF7" w14:textId="77777777" w:rsidR="004C489D" w:rsidRPr="001A4AA9" w:rsidRDefault="004C489D" w:rsidP="001A4AA9">
            <w:pPr>
              <w:pStyle w:val="Paragrafoelenco1"/>
              <w:adjustRightInd w:val="0"/>
              <w:snapToGrid w:val="0"/>
              <w:spacing w:before="0" w:beforeAutospacing="0" w:after="0" w:afterAutospacing="0" w:line="360" w:lineRule="auto"/>
              <w:ind w:left="0"/>
              <w:jc w:val="both"/>
              <w:rPr>
                <w:rFonts w:ascii="Book Antiqua" w:hAnsi="Book Antiqua"/>
              </w:rPr>
            </w:pPr>
          </w:p>
        </w:tc>
      </w:tr>
      <w:tr w:rsidR="004C489D" w:rsidRPr="001A4AA9" w14:paraId="189757B3" w14:textId="77777777">
        <w:trPr>
          <w:jc w:val="center"/>
        </w:trPr>
        <w:tc>
          <w:tcPr>
            <w:tcW w:w="2600" w:type="dxa"/>
            <w:tcBorders>
              <w:top w:val="nil"/>
              <w:left w:val="nil"/>
              <w:bottom w:val="nil"/>
              <w:right w:val="nil"/>
            </w:tcBorders>
          </w:tcPr>
          <w:p w14:paraId="6C9EE854"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Diabetes</w:t>
            </w:r>
          </w:p>
          <w:p w14:paraId="2743CFF5"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nil"/>
              <w:right w:val="nil"/>
            </w:tcBorders>
          </w:tcPr>
          <w:p w14:paraId="6F8DC424"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 xml:space="preserve">Reduced incidence of diabetes </w:t>
            </w:r>
          </w:p>
          <w:p w14:paraId="2CAA86A0"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 xml:space="preserve">Improvement of glycemic control </w:t>
            </w:r>
          </w:p>
          <w:p w14:paraId="24FB712F"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346" w:type="dxa"/>
            <w:tcBorders>
              <w:top w:val="nil"/>
              <w:left w:val="nil"/>
              <w:bottom w:val="nil"/>
              <w:right w:val="nil"/>
            </w:tcBorders>
          </w:tcPr>
          <w:p w14:paraId="5D31CF5F" w14:textId="4AAF2010"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color w:val="0B0C0C"/>
                <w:shd w:val="clear" w:color="auto" w:fill="FFFFFF"/>
              </w:rPr>
              <w:t>Risk of hypoglycemia in patients receiving antidiabetic medications</w:t>
            </w:r>
          </w:p>
          <w:p w14:paraId="5AED4B4C" w14:textId="3B6DD636"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cs="Tahoma"/>
              </w:rPr>
            </w:pPr>
            <w:r w:rsidRPr="001A4AA9">
              <w:rPr>
                <w:rFonts w:ascii="Book Antiqua" w:eastAsia="Times New Roman" w:hAnsi="Book Antiqua" w:cs="Tahoma"/>
                <w:color w:val="0B0C0C"/>
                <w:shd w:val="clear" w:color="auto" w:fill="FFFFFF"/>
              </w:rPr>
              <w:t>Adjustments of antidiabetic medication may be necessary</w:t>
            </w:r>
          </w:p>
          <w:p w14:paraId="5C6E9001" w14:textId="77777777" w:rsidR="004C489D" w:rsidRPr="001A4AA9" w:rsidRDefault="004C489D" w:rsidP="001A4AA9">
            <w:pPr>
              <w:pStyle w:val="Paragrafoelenco1"/>
              <w:adjustRightInd w:val="0"/>
              <w:snapToGrid w:val="0"/>
              <w:spacing w:before="0" w:beforeAutospacing="0" w:after="0" w:afterAutospacing="0" w:line="360" w:lineRule="auto"/>
              <w:ind w:left="0"/>
              <w:jc w:val="both"/>
              <w:rPr>
                <w:rFonts w:ascii="Book Antiqua" w:hAnsi="Book Antiqua"/>
              </w:rPr>
            </w:pPr>
          </w:p>
        </w:tc>
      </w:tr>
      <w:tr w:rsidR="004C489D" w:rsidRPr="001A4AA9" w14:paraId="48D54901" w14:textId="77777777">
        <w:trPr>
          <w:jc w:val="center"/>
        </w:trPr>
        <w:tc>
          <w:tcPr>
            <w:tcW w:w="2600" w:type="dxa"/>
            <w:tcBorders>
              <w:top w:val="nil"/>
              <w:left w:val="nil"/>
              <w:bottom w:val="nil"/>
              <w:right w:val="nil"/>
            </w:tcBorders>
          </w:tcPr>
          <w:p w14:paraId="010C1FA2" w14:textId="77777777"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lastRenderedPageBreak/>
              <w:t>Cardiovascular diseases</w:t>
            </w:r>
          </w:p>
          <w:p w14:paraId="492646C5"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nil"/>
              <w:right w:val="nil"/>
            </w:tcBorders>
          </w:tcPr>
          <w:p w14:paraId="5C75C0E4"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cs="Tahoma"/>
              </w:rPr>
              <w:t xml:space="preserve">Decreased risk of cardiovascular events </w:t>
            </w:r>
          </w:p>
          <w:p w14:paraId="2C75E184"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cs="Tahoma"/>
              </w:rPr>
              <w:t xml:space="preserve">Reduction in cardiovascular </w:t>
            </w:r>
            <w:r w:rsidRPr="001A4AA9">
              <w:rPr>
                <w:rFonts w:ascii="Book Antiqua" w:hAnsi="Book Antiqua" w:cs="Tahoma"/>
                <w:color w:val="000000"/>
              </w:rPr>
              <w:t xml:space="preserve">deaths </w:t>
            </w:r>
          </w:p>
          <w:p w14:paraId="41595401"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346" w:type="dxa"/>
            <w:tcBorders>
              <w:top w:val="nil"/>
              <w:left w:val="nil"/>
              <w:bottom w:val="nil"/>
              <w:right w:val="nil"/>
            </w:tcBorders>
          </w:tcPr>
          <w:p w14:paraId="1AF8760B"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Nothing to report</w:t>
            </w:r>
          </w:p>
        </w:tc>
      </w:tr>
      <w:tr w:rsidR="004C489D" w:rsidRPr="001A4AA9" w14:paraId="5FFE818F" w14:textId="77777777">
        <w:trPr>
          <w:jc w:val="center"/>
        </w:trPr>
        <w:tc>
          <w:tcPr>
            <w:tcW w:w="2600" w:type="dxa"/>
            <w:tcBorders>
              <w:top w:val="nil"/>
              <w:left w:val="nil"/>
              <w:bottom w:val="single" w:sz="4" w:space="0" w:color="auto"/>
              <w:right w:val="nil"/>
            </w:tcBorders>
          </w:tcPr>
          <w:p w14:paraId="395E905E" w14:textId="7FBFABA2" w:rsidR="004C489D" w:rsidRPr="001A4AA9" w:rsidRDefault="001B343C" w:rsidP="001A4AA9">
            <w:pPr>
              <w:adjustRightInd w:val="0"/>
              <w:snapToGrid w:val="0"/>
              <w:spacing w:line="360" w:lineRule="auto"/>
              <w:jc w:val="both"/>
              <w:rPr>
                <w:rFonts w:ascii="Book Antiqua" w:eastAsia="Times New Roman" w:hAnsi="Book Antiqua"/>
                <w:lang w:eastAsia="zh-CN"/>
              </w:rPr>
            </w:pPr>
            <w:r w:rsidRPr="001A4AA9">
              <w:rPr>
                <w:rFonts w:ascii="Book Antiqua" w:eastAsia="Times New Roman" w:hAnsi="Book Antiqua"/>
                <w:lang w:eastAsia="zh-CN"/>
              </w:rPr>
              <w:t>HBV coinfection</w:t>
            </w:r>
          </w:p>
          <w:p w14:paraId="7BD53A4A" w14:textId="77777777" w:rsidR="004C489D" w:rsidRPr="001A4AA9" w:rsidRDefault="004C489D" w:rsidP="001A4AA9">
            <w:pPr>
              <w:adjustRightInd w:val="0"/>
              <w:snapToGrid w:val="0"/>
              <w:spacing w:line="360" w:lineRule="auto"/>
              <w:jc w:val="both"/>
              <w:rPr>
                <w:rFonts w:ascii="Book Antiqua" w:eastAsia="Times New Roman" w:hAnsi="Book Antiqua"/>
                <w:lang w:eastAsia="zh-CN"/>
              </w:rPr>
            </w:pPr>
          </w:p>
        </w:tc>
        <w:tc>
          <w:tcPr>
            <w:tcW w:w="3189" w:type="dxa"/>
            <w:tcBorders>
              <w:top w:val="nil"/>
              <w:left w:val="nil"/>
              <w:bottom w:val="single" w:sz="4" w:space="0" w:color="auto"/>
              <w:right w:val="nil"/>
            </w:tcBorders>
          </w:tcPr>
          <w:p w14:paraId="3E2A2869"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As for general HCV population</w:t>
            </w:r>
          </w:p>
        </w:tc>
        <w:tc>
          <w:tcPr>
            <w:tcW w:w="3346" w:type="dxa"/>
            <w:tcBorders>
              <w:top w:val="nil"/>
              <w:left w:val="nil"/>
              <w:bottom w:val="single" w:sz="4" w:space="0" w:color="auto"/>
              <w:right w:val="nil"/>
            </w:tcBorders>
          </w:tcPr>
          <w:p w14:paraId="725D23FA" w14:textId="61229863"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color w:val="333333"/>
              </w:rPr>
              <w:t xml:space="preserve">Risk for </w:t>
            </w:r>
            <w:r w:rsidR="00481C54">
              <w:rPr>
                <w:rFonts w:ascii="Book Antiqua" w:eastAsia="Times New Roman" w:hAnsi="Book Antiqua" w:cs="Tahoma"/>
                <w:color w:val="333333"/>
              </w:rPr>
              <w:t>H</w:t>
            </w:r>
            <w:r w:rsidRPr="001A4AA9">
              <w:rPr>
                <w:rFonts w:ascii="Book Antiqua" w:eastAsia="Times New Roman" w:hAnsi="Book Antiqua" w:cs="Tahoma"/>
                <w:color w:val="333333"/>
              </w:rPr>
              <w:t>B</w:t>
            </w:r>
            <w:r w:rsidR="00481C54">
              <w:rPr>
                <w:rFonts w:ascii="Book Antiqua" w:eastAsia="Times New Roman" w:hAnsi="Book Antiqua" w:cs="Tahoma"/>
                <w:color w:val="333333"/>
              </w:rPr>
              <w:t xml:space="preserve">V </w:t>
            </w:r>
            <w:r w:rsidRPr="001A4AA9">
              <w:rPr>
                <w:rFonts w:ascii="Book Antiqua" w:eastAsia="Times New Roman" w:hAnsi="Book Antiqua" w:cs="Tahoma"/>
                <w:color w:val="333333"/>
              </w:rPr>
              <w:t>reactivation</w:t>
            </w:r>
          </w:p>
          <w:p w14:paraId="7A3A13DF" w14:textId="073CF67E"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color w:val="333333"/>
              </w:rPr>
              <w:t>Pre-DAA screening for HBV indicated</w:t>
            </w:r>
          </w:p>
          <w:p w14:paraId="21193B23"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eastAsia="Times New Roman" w:hAnsi="Book Antiqua" w:cs="Tahoma"/>
                <w:color w:val="333333"/>
              </w:rPr>
              <w:t>Need for HBV treatment or on-treatment HBV monitoring as requested</w:t>
            </w:r>
          </w:p>
        </w:tc>
      </w:tr>
    </w:tbl>
    <w:p w14:paraId="41BD2E9B" w14:textId="1A78283C" w:rsidR="004C489D" w:rsidRPr="001A4AA9" w:rsidRDefault="001B343C" w:rsidP="001A4AA9">
      <w:pPr>
        <w:adjustRightInd w:val="0"/>
        <w:snapToGrid w:val="0"/>
        <w:spacing w:line="360" w:lineRule="auto"/>
        <w:jc w:val="both"/>
        <w:rPr>
          <w:rFonts w:ascii="Book Antiqua" w:hAnsi="Book Antiqua"/>
          <w:lang w:eastAsia="zh-CN"/>
        </w:rPr>
      </w:pPr>
      <w:r w:rsidRPr="001A4AA9">
        <w:rPr>
          <w:rFonts w:ascii="Book Antiqua" w:eastAsia="MS Mincho" w:hAnsi="Book Antiqua"/>
        </w:rPr>
        <w:t>DAA: Direct</w:t>
      </w:r>
      <w:r w:rsidR="00481C54">
        <w:rPr>
          <w:rFonts w:ascii="Book Antiqua" w:eastAsia="MS Mincho" w:hAnsi="Book Antiqua"/>
        </w:rPr>
        <w:t>-</w:t>
      </w:r>
      <w:r w:rsidRPr="001A4AA9">
        <w:rPr>
          <w:rFonts w:ascii="Book Antiqua" w:eastAsia="MS Mincho" w:hAnsi="Book Antiqua"/>
        </w:rPr>
        <w:t xml:space="preserve">acting antiviral; HBV: Hepatitis B virus; </w:t>
      </w:r>
      <w:r w:rsidR="009C33EE" w:rsidRPr="001A4AA9">
        <w:rPr>
          <w:rFonts w:ascii="Book Antiqua" w:hAnsi="Book Antiqua"/>
        </w:rPr>
        <w:t>HCC</w:t>
      </w:r>
      <w:r w:rsidR="009C33EE" w:rsidRPr="001A4AA9">
        <w:rPr>
          <w:rFonts w:ascii="Book Antiqua" w:hAnsi="Book Antiqua"/>
          <w:lang w:eastAsia="zh-CN"/>
        </w:rPr>
        <w:t>: Hepatocellular carcinoma</w:t>
      </w:r>
      <w:r w:rsidR="009C33EE">
        <w:rPr>
          <w:rFonts w:ascii="Book Antiqua" w:hAnsi="Book Antiqua"/>
          <w:lang w:eastAsia="zh-CN"/>
        </w:rPr>
        <w:t xml:space="preserve">; </w:t>
      </w:r>
      <w:r w:rsidRPr="001A4AA9">
        <w:rPr>
          <w:rFonts w:ascii="Book Antiqua" w:eastAsia="MS Mincho" w:hAnsi="Book Antiqua"/>
        </w:rPr>
        <w:t xml:space="preserve">HCV: Hepatitis C virus; </w:t>
      </w:r>
      <w:r w:rsidR="00481C54">
        <w:rPr>
          <w:rFonts w:ascii="Book Antiqua" w:hAnsi="Book Antiqua"/>
          <w:lang w:eastAsia="zh-CN"/>
        </w:rPr>
        <w:t xml:space="preserve">HVPG: </w:t>
      </w:r>
      <w:r w:rsidR="00481C54">
        <w:rPr>
          <w:rFonts w:ascii="Book Antiqua" w:eastAsia="Book Antiqua" w:hAnsi="Book Antiqua" w:cs="Book Antiqua"/>
          <w:color w:val="000000"/>
        </w:rPr>
        <w:t>H</w:t>
      </w:r>
      <w:r w:rsidR="00481C54" w:rsidRPr="001A4AA9">
        <w:rPr>
          <w:rFonts w:ascii="Book Antiqua" w:eastAsia="Book Antiqua" w:hAnsi="Book Antiqua" w:cs="Book Antiqua"/>
          <w:color w:val="000000"/>
        </w:rPr>
        <w:t>epatic venous pressure gradient</w:t>
      </w:r>
      <w:r w:rsidR="009C33EE">
        <w:rPr>
          <w:rFonts w:ascii="Book Antiqua" w:hAnsi="Book Antiqua"/>
          <w:lang w:eastAsia="zh-CN"/>
        </w:rPr>
        <w:t>;</w:t>
      </w:r>
      <w:r w:rsidR="009C33EE" w:rsidRPr="009C33EE">
        <w:rPr>
          <w:rFonts w:ascii="Book Antiqua" w:eastAsia="MS Mincho" w:hAnsi="Book Antiqua"/>
        </w:rPr>
        <w:t xml:space="preserve"> </w:t>
      </w:r>
      <w:r w:rsidR="009C33EE" w:rsidRPr="001A4AA9">
        <w:rPr>
          <w:rFonts w:ascii="Book Antiqua" w:eastAsia="MS Mincho" w:hAnsi="Book Antiqua"/>
        </w:rPr>
        <w:t>SVR: Sustained virological response</w:t>
      </w:r>
      <w:r w:rsidR="009C33EE">
        <w:rPr>
          <w:rFonts w:ascii="Book Antiqua" w:eastAsia="SimSun" w:hAnsi="Book Antiqua"/>
          <w:lang w:eastAsia="zh-CN"/>
        </w:rPr>
        <w:t>.</w:t>
      </w:r>
    </w:p>
    <w:p w14:paraId="11B1BA1E" w14:textId="77777777" w:rsidR="004C489D" w:rsidRPr="001A4AA9" w:rsidRDefault="004C489D" w:rsidP="001A4AA9">
      <w:pPr>
        <w:spacing w:line="360" w:lineRule="auto"/>
        <w:jc w:val="both"/>
        <w:rPr>
          <w:rFonts w:ascii="Book Antiqua" w:hAnsi="Book Antiqua"/>
        </w:rPr>
      </w:pPr>
    </w:p>
    <w:sectPr w:rsidR="004C489D" w:rsidRPr="001A4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7755" w14:textId="77777777" w:rsidR="00FD76A3" w:rsidRDefault="00FD76A3">
      <w:r>
        <w:separator/>
      </w:r>
    </w:p>
  </w:endnote>
  <w:endnote w:type="continuationSeparator" w:id="0">
    <w:p w14:paraId="77F4A482" w14:textId="77777777" w:rsidR="00FD76A3" w:rsidRDefault="00FD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986160"/>
      <w:docPartObj>
        <w:docPartGallery w:val="AutoText"/>
      </w:docPartObj>
    </w:sdtPr>
    <w:sdtEndPr/>
    <w:sdtContent>
      <w:sdt>
        <w:sdtPr>
          <w:id w:val="-1705238520"/>
          <w:docPartObj>
            <w:docPartGallery w:val="AutoText"/>
          </w:docPartObj>
        </w:sdtPr>
        <w:sdtEndPr/>
        <w:sdtContent>
          <w:p w14:paraId="2A59AB7F" w14:textId="77777777" w:rsidR="004C489D" w:rsidRPr="00247671" w:rsidRDefault="001B343C">
            <w:pPr>
              <w:pStyle w:val="Footer"/>
              <w:jc w:val="right"/>
            </w:pPr>
            <w:r w:rsidRPr="00247671">
              <w:rPr>
                <w:rFonts w:ascii="Book Antiqua" w:hAnsi="Book Antiqua"/>
                <w:sz w:val="24"/>
                <w:szCs w:val="24"/>
                <w:lang w:val="zh-CN" w:eastAsia="zh-CN"/>
              </w:rPr>
              <w:t xml:space="preserve"> </w:t>
            </w:r>
            <w:r w:rsidRPr="00F952AD">
              <w:rPr>
                <w:rFonts w:ascii="Book Antiqua" w:hAnsi="Book Antiqua"/>
                <w:sz w:val="24"/>
                <w:szCs w:val="24"/>
              </w:rPr>
              <w:fldChar w:fldCharType="begin"/>
            </w:r>
            <w:r w:rsidRPr="00F952AD">
              <w:rPr>
                <w:rFonts w:ascii="Book Antiqua" w:hAnsi="Book Antiqua"/>
                <w:sz w:val="24"/>
                <w:szCs w:val="24"/>
              </w:rPr>
              <w:instrText>PAGE</w:instrText>
            </w:r>
            <w:r w:rsidRPr="00F952AD">
              <w:rPr>
                <w:rFonts w:ascii="Book Antiqua" w:hAnsi="Book Antiqua"/>
                <w:sz w:val="24"/>
                <w:szCs w:val="24"/>
              </w:rPr>
              <w:fldChar w:fldCharType="separate"/>
            </w:r>
            <w:r w:rsidR="00F1461A">
              <w:rPr>
                <w:rFonts w:ascii="Book Antiqua" w:hAnsi="Book Antiqua"/>
                <w:noProof/>
                <w:sz w:val="24"/>
                <w:szCs w:val="24"/>
              </w:rPr>
              <w:t>1</w:t>
            </w:r>
            <w:r w:rsidRPr="00F952AD">
              <w:rPr>
                <w:rFonts w:ascii="Book Antiqua" w:hAnsi="Book Antiqua"/>
                <w:sz w:val="24"/>
                <w:szCs w:val="24"/>
              </w:rPr>
              <w:fldChar w:fldCharType="end"/>
            </w:r>
            <w:r w:rsidRPr="00247671">
              <w:rPr>
                <w:rFonts w:ascii="Book Antiqua" w:hAnsi="Book Antiqua"/>
                <w:sz w:val="24"/>
                <w:szCs w:val="24"/>
                <w:lang w:val="zh-CN" w:eastAsia="zh-CN"/>
              </w:rPr>
              <w:t xml:space="preserve"> / </w:t>
            </w:r>
            <w:r w:rsidRPr="00F952AD">
              <w:rPr>
                <w:rFonts w:ascii="Book Antiqua" w:hAnsi="Book Antiqua"/>
                <w:sz w:val="24"/>
                <w:szCs w:val="24"/>
              </w:rPr>
              <w:fldChar w:fldCharType="begin"/>
            </w:r>
            <w:r w:rsidRPr="00F952AD">
              <w:rPr>
                <w:rFonts w:ascii="Book Antiqua" w:hAnsi="Book Antiqua"/>
                <w:sz w:val="24"/>
                <w:szCs w:val="24"/>
              </w:rPr>
              <w:instrText>NUMPAGES</w:instrText>
            </w:r>
            <w:r w:rsidRPr="00F952AD">
              <w:rPr>
                <w:rFonts w:ascii="Book Antiqua" w:hAnsi="Book Antiqua"/>
                <w:sz w:val="24"/>
                <w:szCs w:val="24"/>
              </w:rPr>
              <w:fldChar w:fldCharType="separate"/>
            </w:r>
            <w:r w:rsidR="00F1461A">
              <w:rPr>
                <w:rFonts w:ascii="Book Antiqua" w:hAnsi="Book Antiqua"/>
                <w:noProof/>
                <w:sz w:val="24"/>
                <w:szCs w:val="24"/>
              </w:rPr>
              <w:t>20</w:t>
            </w:r>
            <w:r w:rsidRPr="00F952AD">
              <w:rPr>
                <w:rFonts w:ascii="Book Antiqua" w:hAnsi="Book Antiqua"/>
                <w:sz w:val="24"/>
                <w:szCs w:val="24"/>
              </w:rPr>
              <w:fldChar w:fldCharType="end"/>
            </w:r>
          </w:p>
        </w:sdtContent>
      </w:sdt>
    </w:sdtContent>
  </w:sdt>
  <w:p w14:paraId="4D14DF1C" w14:textId="77777777" w:rsidR="004C489D" w:rsidRDefault="004C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FD08" w14:textId="77777777" w:rsidR="00FD76A3" w:rsidRDefault="00FD76A3">
      <w:r>
        <w:separator/>
      </w:r>
    </w:p>
  </w:footnote>
  <w:footnote w:type="continuationSeparator" w:id="0">
    <w:p w14:paraId="1DBEA09E" w14:textId="77777777" w:rsidR="00FD76A3" w:rsidRDefault="00FD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1A47"/>
    <w:rsid w:val="001304AA"/>
    <w:rsid w:val="001904E7"/>
    <w:rsid w:val="001A4AA9"/>
    <w:rsid w:val="001B343C"/>
    <w:rsid w:val="00247671"/>
    <w:rsid w:val="0028373F"/>
    <w:rsid w:val="004305DD"/>
    <w:rsid w:val="00481C54"/>
    <w:rsid w:val="004C489D"/>
    <w:rsid w:val="004C64A3"/>
    <w:rsid w:val="00526D7E"/>
    <w:rsid w:val="00541FB2"/>
    <w:rsid w:val="006433A9"/>
    <w:rsid w:val="006601B7"/>
    <w:rsid w:val="00681513"/>
    <w:rsid w:val="00783B3F"/>
    <w:rsid w:val="007D7702"/>
    <w:rsid w:val="007E6A8A"/>
    <w:rsid w:val="007F57CC"/>
    <w:rsid w:val="00814387"/>
    <w:rsid w:val="00911FD0"/>
    <w:rsid w:val="00926904"/>
    <w:rsid w:val="00942B90"/>
    <w:rsid w:val="009C33EE"/>
    <w:rsid w:val="009C4BD2"/>
    <w:rsid w:val="00A04851"/>
    <w:rsid w:val="00A26181"/>
    <w:rsid w:val="00A32EC4"/>
    <w:rsid w:val="00A5264F"/>
    <w:rsid w:val="00A55E90"/>
    <w:rsid w:val="00A77B3E"/>
    <w:rsid w:val="00AF27A0"/>
    <w:rsid w:val="00B61588"/>
    <w:rsid w:val="00B67E0C"/>
    <w:rsid w:val="00B94962"/>
    <w:rsid w:val="00C13D97"/>
    <w:rsid w:val="00C437D1"/>
    <w:rsid w:val="00C51FC6"/>
    <w:rsid w:val="00CA2A55"/>
    <w:rsid w:val="00CD6D29"/>
    <w:rsid w:val="00CE0473"/>
    <w:rsid w:val="00D05325"/>
    <w:rsid w:val="00E86221"/>
    <w:rsid w:val="00F1461A"/>
    <w:rsid w:val="00F87844"/>
    <w:rsid w:val="00F952AD"/>
    <w:rsid w:val="00FC5305"/>
    <w:rsid w:val="00FD76A3"/>
    <w:rsid w:val="00FE122B"/>
    <w:rsid w:val="616E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2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rPr>
      <w:rFonts w:ascii="Lucida Grande" w:hAnsi="Lucida Grande"/>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Nessuno">
    <w:name w:val="Nessuno"/>
    <w:basedOn w:val="DefaultParagraphFont"/>
    <w:qForma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Paragrafoelenco1">
    <w:name w:val="Paragrafo elenco1"/>
    <w:basedOn w:val="Normal"/>
    <w:qFormat/>
    <w:pPr>
      <w:spacing w:before="100" w:beforeAutospacing="1" w:after="100" w:afterAutospacing="1"/>
      <w:ind w:left="720"/>
      <w:contextualSpacing/>
    </w:pPr>
    <w:rPr>
      <w:rFonts w:ascii="Cambria" w:eastAsia="MS Mincho" w:hAnsi="Cambria"/>
      <w:lang w:eastAsia="zh-CN"/>
    </w:rPr>
  </w:style>
  <w:style w:type="character" w:customStyle="1" w:styleId="BalloonTextChar">
    <w:name w:val="Balloon Text Char"/>
    <w:basedOn w:val="DefaultParagraphFont"/>
    <w:link w:val="BalloonText"/>
    <w:qFormat/>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8982</Words>
  <Characters>51200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2021-05-03T20:57:00Z</dcterms:created>
  <dcterms:modified xsi:type="dcterms:W3CDTF">2021-05-03T20:57:00Z</dcterms:modified>
</cp:coreProperties>
</file>